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1BA2A" w14:textId="32FFD84B" w:rsidR="006270D4" w:rsidRDefault="006270D4" w:rsidP="003076DF">
      <w:pPr>
        <w:spacing w:line="360" w:lineRule="auto"/>
        <w:jc w:val="center"/>
        <w:rPr>
          <w:b/>
          <w:bCs/>
        </w:rPr>
      </w:pPr>
      <w:r w:rsidRPr="00E41CED">
        <w:rPr>
          <w:rFonts w:ascii="Arial" w:hAnsi="Arial" w:cs="Arial"/>
          <w:noProof/>
        </w:rPr>
        <w:drawing>
          <wp:inline distT="0" distB="0" distL="0" distR="0" wp14:anchorId="1C197277" wp14:editId="17490212">
            <wp:extent cx="2743200" cy="904825"/>
            <wp:effectExtent l="0" t="0" r="0" b="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5">
                      <a:extLst>
                        <a:ext uri="{28A0092B-C50C-407E-A947-70E740481C1C}">
                          <a14:useLocalDpi xmlns:a14="http://schemas.microsoft.com/office/drawing/2010/main" val="0"/>
                        </a:ext>
                      </a:extLst>
                    </a:blip>
                    <a:srcRect l="2166" t="17667" r="2334" b="19333"/>
                    <a:stretch/>
                  </pic:blipFill>
                  <pic:spPr bwMode="auto">
                    <a:xfrm>
                      <a:off x="0" y="0"/>
                      <a:ext cx="2835801" cy="935369"/>
                    </a:xfrm>
                    <a:prstGeom prst="rect">
                      <a:avLst/>
                    </a:prstGeom>
                    <a:noFill/>
                    <a:ln>
                      <a:noFill/>
                    </a:ln>
                    <a:extLst>
                      <a:ext uri="{53640926-AAD7-44D8-BBD7-CCE9431645EC}">
                        <a14:shadowObscured xmlns:a14="http://schemas.microsoft.com/office/drawing/2010/main"/>
                      </a:ext>
                    </a:extLst>
                  </pic:spPr>
                </pic:pic>
              </a:graphicData>
            </a:graphic>
          </wp:inline>
        </w:drawing>
      </w:r>
    </w:p>
    <w:p w14:paraId="72EB888C" w14:textId="77777777" w:rsidR="007D0564" w:rsidRDefault="007D0564" w:rsidP="003076DF">
      <w:pPr>
        <w:spacing w:line="360" w:lineRule="auto"/>
        <w:jc w:val="center"/>
        <w:rPr>
          <w:b/>
          <w:bCs/>
        </w:rPr>
      </w:pPr>
    </w:p>
    <w:p w14:paraId="147E6DD7" w14:textId="77777777" w:rsidR="007D0564" w:rsidRDefault="007D0564" w:rsidP="003076DF">
      <w:pPr>
        <w:spacing w:line="360" w:lineRule="auto"/>
        <w:jc w:val="center"/>
        <w:rPr>
          <w:b/>
          <w:bCs/>
        </w:rPr>
      </w:pPr>
    </w:p>
    <w:p w14:paraId="679CE815" w14:textId="77777777" w:rsidR="007D0564" w:rsidRDefault="007D0564" w:rsidP="003076DF">
      <w:pPr>
        <w:spacing w:line="360" w:lineRule="auto"/>
        <w:jc w:val="center"/>
        <w:rPr>
          <w:b/>
          <w:bCs/>
        </w:rPr>
      </w:pPr>
    </w:p>
    <w:p w14:paraId="24C1DA73" w14:textId="2894D9BC" w:rsidR="00E72A54" w:rsidRPr="00D303E2" w:rsidRDefault="00E72A54" w:rsidP="003076DF">
      <w:pPr>
        <w:spacing w:line="360" w:lineRule="auto"/>
        <w:jc w:val="center"/>
        <w:rPr>
          <w:b/>
          <w:bCs/>
        </w:rPr>
      </w:pPr>
      <w:r w:rsidRPr="00D303E2">
        <w:rPr>
          <w:b/>
          <w:bCs/>
        </w:rPr>
        <w:t xml:space="preserve">Student </w:t>
      </w:r>
      <w:r w:rsidR="00DC3D92" w:rsidRPr="00D303E2">
        <w:rPr>
          <w:b/>
          <w:bCs/>
        </w:rPr>
        <w:t>Number:</w:t>
      </w:r>
      <w:r w:rsidR="00DC3D92">
        <w:rPr>
          <w:b/>
          <w:bCs/>
        </w:rPr>
        <w:t xml:space="preserve"> Mohammad</w:t>
      </w:r>
      <w:r w:rsidR="00AC23CB">
        <w:rPr>
          <w:b/>
          <w:bCs/>
        </w:rPr>
        <w:t xml:space="preserve"> Adil</w:t>
      </w:r>
    </w:p>
    <w:p w14:paraId="3BE63DA7" w14:textId="32A31A5C" w:rsidR="00E72A54" w:rsidRPr="00D303E2" w:rsidRDefault="00E72A54" w:rsidP="003076DF">
      <w:pPr>
        <w:spacing w:line="360" w:lineRule="auto"/>
        <w:jc w:val="center"/>
        <w:rPr>
          <w:b/>
          <w:bCs/>
        </w:rPr>
      </w:pPr>
      <w:r w:rsidRPr="00D303E2">
        <w:rPr>
          <w:b/>
          <w:bCs/>
        </w:rPr>
        <w:t>Module Code:</w:t>
      </w:r>
      <w:r w:rsidRPr="00257829">
        <w:rPr>
          <w:b/>
          <w:bCs/>
        </w:rPr>
        <w:t xml:space="preserve"> LCHS400</w:t>
      </w:r>
      <w:r w:rsidR="00106F2F">
        <w:rPr>
          <w:b/>
          <w:bCs/>
        </w:rPr>
        <w:t>8</w:t>
      </w:r>
    </w:p>
    <w:p w14:paraId="695F4936" w14:textId="4387F5A9" w:rsidR="00B34515" w:rsidRPr="00D303E2" w:rsidRDefault="00E72A54" w:rsidP="00B34515">
      <w:pPr>
        <w:spacing w:line="360" w:lineRule="auto"/>
        <w:jc w:val="center"/>
        <w:rPr>
          <w:b/>
          <w:bCs/>
        </w:rPr>
      </w:pPr>
      <w:r w:rsidRPr="00D303E2">
        <w:rPr>
          <w:b/>
          <w:bCs/>
        </w:rPr>
        <w:t>Module Title:</w:t>
      </w:r>
      <w:r w:rsidRPr="00D303E2">
        <w:t xml:space="preserve"> </w:t>
      </w:r>
      <w:r w:rsidRPr="005F3054">
        <w:rPr>
          <w:b/>
          <w:bCs/>
        </w:rPr>
        <w:t xml:space="preserve">Introduction to </w:t>
      </w:r>
      <w:r w:rsidR="00B34515">
        <w:rPr>
          <w:b/>
          <w:bCs/>
        </w:rPr>
        <w:t>Public Health</w:t>
      </w:r>
    </w:p>
    <w:p w14:paraId="6712EDE2" w14:textId="4EDD2A42" w:rsidR="00106F2F" w:rsidRDefault="00E72A54" w:rsidP="00106F2F">
      <w:pPr>
        <w:spacing w:line="360" w:lineRule="auto"/>
        <w:jc w:val="center"/>
        <w:rPr>
          <w:b/>
          <w:bCs/>
        </w:rPr>
      </w:pPr>
      <w:r w:rsidRPr="00D303E2">
        <w:rPr>
          <w:b/>
          <w:bCs/>
        </w:rPr>
        <w:t xml:space="preserve">Assignment </w:t>
      </w:r>
      <w:r w:rsidR="00106F2F" w:rsidRPr="00D303E2">
        <w:rPr>
          <w:b/>
          <w:bCs/>
        </w:rPr>
        <w:t>Title:</w:t>
      </w:r>
      <w:r w:rsidR="00106F2F">
        <w:rPr>
          <w:b/>
          <w:bCs/>
        </w:rPr>
        <w:t xml:space="preserve"> Anxiety</w:t>
      </w:r>
    </w:p>
    <w:p w14:paraId="223466B8" w14:textId="240B7A1F" w:rsidR="00E72A54" w:rsidRDefault="00E72A54" w:rsidP="003076DF">
      <w:pPr>
        <w:spacing w:line="360" w:lineRule="auto"/>
        <w:jc w:val="center"/>
        <w:rPr>
          <w:b/>
          <w:bCs/>
        </w:rPr>
      </w:pPr>
      <w:r>
        <w:rPr>
          <w:b/>
          <w:bCs/>
        </w:rPr>
        <w:t xml:space="preserve">Word Count: </w:t>
      </w:r>
      <w:r w:rsidR="00106F2F">
        <w:rPr>
          <w:b/>
          <w:bCs/>
        </w:rPr>
        <w:t>1553</w:t>
      </w:r>
    </w:p>
    <w:p w14:paraId="136F82A5" w14:textId="21199CCC" w:rsidR="00CE0EA8" w:rsidRPr="00257829" w:rsidRDefault="00CE0EA8" w:rsidP="003076DF">
      <w:pPr>
        <w:spacing w:line="360" w:lineRule="auto"/>
        <w:jc w:val="center"/>
        <w:rPr>
          <w:b/>
          <w:bCs/>
        </w:rPr>
      </w:pPr>
      <w:r>
        <w:rPr>
          <w:b/>
          <w:bCs/>
        </w:rPr>
        <w:t>Teacher Name:</w:t>
      </w:r>
      <w:r w:rsidR="00F11B00">
        <w:rPr>
          <w:b/>
          <w:bCs/>
        </w:rPr>
        <w:t>Emm</w:t>
      </w:r>
      <w:r w:rsidR="009E301C">
        <w:rPr>
          <w:b/>
          <w:bCs/>
        </w:rPr>
        <w:t>an</w:t>
      </w:r>
      <w:r w:rsidR="00A7165D">
        <w:rPr>
          <w:b/>
          <w:bCs/>
        </w:rPr>
        <w:t xml:space="preserve">uel </w:t>
      </w:r>
      <w:r w:rsidR="00DE2D8E">
        <w:rPr>
          <w:b/>
          <w:bCs/>
        </w:rPr>
        <w:t>Adud</w:t>
      </w:r>
    </w:p>
    <w:p w14:paraId="45A293EF" w14:textId="77777777" w:rsidR="00265AA5" w:rsidRDefault="00265AA5">
      <w:pPr>
        <w:pStyle w:val="Heading1"/>
        <w:rPr>
          <w:rFonts w:eastAsia="Times New Roman"/>
        </w:rPr>
      </w:pPr>
    </w:p>
    <w:p w14:paraId="23B17067" w14:textId="08189051" w:rsidR="00385470" w:rsidRDefault="00385470">
      <w:pPr>
        <w:pStyle w:val="Heading1"/>
        <w:rPr>
          <w:rFonts w:eastAsia="Times New Roman"/>
          <w:kern w:val="36"/>
          <w:sz w:val="48"/>
          <w:szCs w:val="48"/>
          <w14:ligatures w14:val="none"/>
        </w:rPr>
      </w:pPr>
      <w:r>
        <w:rPr>
          <w:rFonts w:eastAsia="Times New Roman"/>
        </w:rPr>
        <w:t xml:space="preserve"> Anxiety </w:t>
      </w:r>
      <w:r w:rsidR="008841FD">
        <w:rPr>
          <w:rFonts w:eastAsia="Times New Roman"/>
        </w:rPr>
        <w:t>Disorder</w:t>
      </w:r>
    </w:p>
    <w:p w14:paraId="6931F6C8" w14:textId="77777777" w:rsidR="00385470" w:rsidRDefault="00385470">
      <w:pPr>
        <w:pStyle w:val="Heading2"/>
        <w:rPr>
          <w:rFonts w:eastAsia="Times New Roman"/>
        </w:rPr>
      </w:pPr>
      <w:r>
        <w:rPr>
          <w:rFonts w:ascii="Arial" w:eastAsia="Times New Roman" w:hAnsi="Arial" w:cs="Arial"/>
        </w:rPr>
        <w:t>​</w:t>
      </w:r>
      <w:r>
        <w:rPr>
          <w:rFonts w:eastAsia="Times New Roman"/>
        </w:rPr>
        <w:t>Introduction</w:t>
      </w:r>
    </w:p>
    <w:p w14:paraId="3CD54EEB" w14:textId="77777777" w:rsidR="00385470" w:rsidRDefault="00385470">
      <w:pPr>
        <w:pStyle w:val="Heading3"/>
        <w:rPr>
          <w:rFonts w:eastAsia="Times New Roman"/>
        </w:rPr>
      </w:pPr>
      <w:r>
        <w:rPr>
          <w:rFonts w:ascii="Arial" w:eastAsia="Times New Roman" w:hAnsi="Arial" w:cs="Arial"/>
        </w:rPr>
        <w:t>​</w:t>
      </w:r>
      <w:r>
        <w:rPr>
          <w:rFonts w:eastAsia="Times New Roman"/>
        </w:rPr>
        <w:t>Definition</w:t>
      </w:r>
    </w:p>
    <w:p w14:paraId="5E41554D" w14:textId="77777777" w:rsidR="00385470" w:rsidRDefault="00385470">
      <w:pPr>
        <w:pStyle w:val="NormalWeb"/>
      </w:pPr>
      <w:r>
        <w:t xml:space="preserve">​Anxiety disorders encompass a spectrum of mental health conditions characterized by persistent, excessive fear, autonomic arousal, and apprehension that significantly disrupt daily functioning. Unlike transient situational nervousness, pathological anxiety involves distorted cognitive appraisals of threat and maladaptive avoidance behaviours. Key clinical sub-types include Generalised Anxiety Disorder (GAD), Panic Disorder, Social Anxiety Disorder, and Agoraphobia. </w:t>
      </w:r>
    </w:p>
    <w:p w14:paraId="0B725334" w14:textId="77777777" w:rsidR="00385470" w:rsidRDefault="00385470">
      <w:pPr>
        <w:pStyle w:val="Heading3"/>
        <w:rPr>
          <w:rFonts w:eastAsia="Times New Roman"/>
        </w:rPr>
      </w:pPr>
      <w:r>
        <w:rPr>
          <w:rFonts w:ascii="Arial" w:eastAsia="Times New Roman" w:hAnsi="Arial" w:cs="Arial"/>
        </w:rPr>
        <w:t>​</w:t>
      </w:r>
      <w:r>
        <w:rPr>
          <w:rFonts w:eastAsia="Times New Roman"/>
        </w:rPr>
        <w:t>Signs and Symptoms</w:t>
      </w:r>
    </w:p>
    <w:p w14:paraId="3BEE9868" w14:textId="77777777" w:rsidR="00385470" w:rsidRDefault="00385470">
      <w:pPr>
        <w:pStyle w:val="NormalWeb"/>
      </w:pPr>
      <w:r>
        <w:t xml:space="preserve">​Symptom presentations span psychological and physiological domains. Psychologically, individuals experience uncontrollable worry, hypervigilance, catastrophic thinking, irritability, persistent restlessness, and difficulty concentrating. Physiologically, symptoms present as muscle tension, fatigue, sleep disturbances, tachycardia, tachypnoea, diaphoresis, palpitations, and gastrointestinal distress. </w:t>
      </w:r>
    </w:p>
    <w:p w14:paraId="4B598F31" w14:textId="77777777" w:rsidR="00385470" w:rsidRDefault="00385470">
      <w:pPr>
        <w:pStyle w:val="Heading3"/>
        <w:rPr>
          <w:rFonts w:eastAsia="Times New Roman"/>
        </w:rPr>
      </w:pPr>
      <w:r>
        <w:rPr>
          <w:rFonts w:ascii="Arial" w:eastAsia="Times New Roman" w:hAnsi="Arial" w:cs="Arial"/>
        </w:rPr>
        <w:t>​</w:t>
      </w:r>
      <w:r>
        <w:rPr>
          <w:rFonts w:eastAsia="Times New Roman"/>
        </w:rPr>
        <w:t>Risk Factors</w:t>
      </w:r>
    </w:p>
    <w:p w14:paraId="45D73A98" w14:textId="77777777" w:rsidR="00385470" w:rsidRDefault="00385470">
      <w:pPr>
        <w:pStyle w:val="NormalWeb"/>
      </w:pPr>
      <w:r>
        <w:t xml:space="preserve">​Anxiety disorders stem from an interplay of genetic, biological, psychological, and environmental risk factors. Genetic predispositions interact with neurochemical imbalances in GABA and serotonin pathways. Environmental stressors—such as economic pressures, pandemics, pregnancy, or major life changes—combine with historical trauma and adverse childhood experiences (ACEs) to elevate individual vulnerability. </w:t>
      </w:r>
    </w:p>
    <w:p w14:paraId="6CEFB35B" w14:textId="77777777" w:rsidR="00385470" w:rsidRDefault="00385470">
      <w:pPr>
        <w:pStyle w:val="Heading3"/>
        <w:rPr>
          <w:rFonts w:eastAsia="Times New Roman"/>
        </w:rPr>
      </w:pPr>
      <w:r>
        <w:rPr>
          <w:rFonts w:ascii="Arial" w:eastAsia="Times New Roman" w:hAnsi="Arial" w:cs="Arial"/>
        </w:rPr>
        <w:t>​</w:t>
      </w:r>
      <w:r>
        <w:rPr>
          <w:rFonts w:eastAsia="Times New Roman"/>
        </w:rPr>
        <w:t>Global and UK Incidence Statistics</w:t>
      </w:r>
    </w:p>
    <w:p w14:paraId="42C0979B" w14:textId="286B12E1" w:rsidR="00385470" w:rsidRDefault="00385470">
      <w:pPr>
        <w:pStyle w:val="NormalWeb"/>
      </w:pPr>
      <w:r>
        <w:t xml:space="preserve">​Epidemiologically, anxiety disorders represent the most prevalent class of psychiatric conditions globally. The World Health Organization (WHO) estimates that anxiety affects over 300 to 470 million individuals worldwide, equating to a global prevalence rate between 4.4% and 4.9%. In England and the UK, prevalence exceeds the global baseline. Approximately 6 in 100 people are diagnosed with GAD, 1 in 5 adults report a common mental health problem overall, and over 8 million adults live with a diagnosed anxiety disorder at any given time. Data consistently demonstrate a higher burden among women (37.1% reported impact vs. 29.9% for men) and younger demographics aged 16–29 years, who exhibit the highest impact at 40%. </w:t>
      </w:r>
    </w:p>
    <w:p w14:paraId="7184DE36" w14:textId="77777777" w:rsidR="00385470" w:rsidRDefault="00385470">
      <w:pPr>
        <w:pStyle w:val="Heading3"/>
        <w:rPr>
          <w:rFonts w:eastAsia="Times New Roman"/>
        </w:rPr>
      </w:pPr>
      <w:r>
        <w:rPr>
          <w:rFonts w:ascii="Arial" w:eastAsia="Times New Roman" w:hAnsi="Arial" w:cs="Arial"/>
        </w:rPr>
        <w:t>​</w:t>
      </w:r>
      <w:r>
        <w:rPr>
          <w:rFonts w:eastAsia="Times New Roman"/>
        </w:rPr>
        <w:t>Aim of the Report</w:t>
      </w:r>
    </w:p>
    <w:p w14:paraId="114DB3B5" w14:textId="77777777" w:rsidR="00385470" w:rsidRDefault="00385470">
      <w:pPr>
        <w:pStyle w:val="NormalWeb"/>
      </w:pPr>
      <w:r>
        <w:t xml:space="preserve">​This report aims to investigate anxiety as a major public health concern, evaluating the methods used to measure and monitor its burden in the UK, alongside its socio-economic consequences for individuals, communities, and the National Health Service (NHS). </w:t>
      </w:r>
    </w:p>
    <w:p w14:paraId="6CF3E46B" w14:textId="77777777" w:rsidR="00385470" w:rsidRDefault="00385470">
      <w:pPr>
        <w:pStyle w:val="Heading2"/>
        <w:rPr>
          <w:rFonts w:eastAsia="Times New Roman"/>
        </w:rPr>
      </w:pPr>
      <w:r>
        <w:rPr>
          <w:rFonts w:ascii="Arial" w:eastAsia="Times New Roman" w:hAnsi="Arial" w:cs="Arial"/>
        </w:rPr>
        <w:t>​</w:t>
      </w:r>
      <w:r>
        <w:rPr>
          <w:rFonts w:eastAsia="Times New Roman"/>
        </w:rPr>
        <w:t>Core Content and Discussion</w:t>
      </w:r>
    </w:p>
    <w:p w14:paraId="638EC984" w14:textId="77777777" w:rsidR="00385470" w:rsidRDefault="00385470">
      <w:pPr>
        <w:pStyle w:val="Heading3"/>
        <w:rPr>
          <w:rFonts w:eastAsia="Times New Roman"/>
        </w:rPr>
      </w:pPr>
      <w:r>
        <w:rPr>
          <w:rFonts w:ascii="Arial" w:eastAsia="Times New Roman" w:hAnsi="Arial" w:cs="Arial"/>
        </w:rPr>
        <w:t>​</w:t>
      </w:r>
      <w:r>
        <w:rPr>
          <w:rFonts w:eastAsia="Times New Roman"/>
        </w:rPr>
        <w:t>Approaches to Measure, Monitor, and Surveillance Systems in the UK</w:t>
      </w:r>
    </w:p>
    <w:p w14:paraId="77D5B553" w14:textId="77777777" w:rsidR="00385470" w:rsidRDefault="00385470">
      <w:pPr>
        <w:pStyle w:val="NormalWeb"/>
      </w:pPr>
      <w:r>
        <w:t xml:space="preserve">​Measuring the burden of anxiety and establishing robust disease surveillance requires combining standardized clinical outcome tools with national population-level monitoring systems. </w:t>
      </w:r>
    </w:p>
    <w:p w14:paraId="5C9A3254" w14:textId="2A17037D" w:rsidR="00385470" w:rsidRDefault="00385470">
      <w:pPr>
        <w:pStyle w:val="NormalWeb"/>
      </w:pPr>
      <w:r>
        <w:t>​Diagnostic and Clinical Assessment Scales</w:t>
      </w:r>
    </w:p>
    <w:p w14:paraId="2289A00D" w14:textId="77777777" w:rsidR="00385470" w:rsidRDefault="00385470" w:rsidP="00385470">
      <w:pPr>
        <w:numPr>
          <w:ilvl w:val="0"/>
          <w:numId w:val="1"/>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Generalised Anxiety Disorder Assessment (GAD-7):</w:t>
      </w:r>
      <w:r>
        <w:rPr>
          <w:rFonts w:eastAsia="Times New Roman"/>
        </w:rPr>
        <w:t xml:space="preserve"> A 7-item self-report questionnaire widely utilized across UK primary care and NHS Talking Therapies. It assesses symptom severity over the preceding fortnight on a 4-point Likert scale (0–3). Scores of 5, 10, and 15 represent mild, moderate, and severe anxiety thresholds, respectively, guiding stepping decisions within stepped-care models.</w:t>
      </w:r>
    </w:p>
    <w:p w14:paraId="14CDDCE8" w14:textId="77777777" w:rsidR="00385470" w:rsidRDefault="00385470" w:rsidP="00385470">
      <w:pPr>
        <w:numPr>
          <w:ilvl w:val="0"/>
          <w:numId w:val="2"/>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Hamilton Anxiety Rating Scale (HAM-A):</w:t>
      </w:r>
      <w:r>
        <w:rPr>
          <w:rFonts w:eastAsia="Times New Roman"/>
        </w:rPr>
        <w:t xml:space="preserve"> A clinician-administered 14-item scale designed to evaluate both psychic anxiety (mental agitation, emotional distress) and somatic anxiety (physical complaints such as muscle stiffness and cardiovascular symptoms). It serves as a primary tool in clinical trials and specialist secondary mental health care.</w:t>
      </w:r>
    </w:p>
    <w:p w14:paraId="38A05D04" w14:textId="77777777" w:rsidR="00385470" w:rsidRDefault="00385470" w:rsidP="00385470">
      <w:pPr>
        <w:numPr>
          <w:ilvl w:val="0"/>
          <w:numId w:val="3"/>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Panic Disorder Severity Scale (PDSS):</w:t>
      </w:r>
      <w:r>
        <w:rPr>
          <w:rFonts w:eastAsia="Times New Roman"/>
        </w:rPr>
        <w:t xml:space="preserve"> Specifically measures the frequency, distress, and behavioral avoidance associated with panic attacks.</w:t>
      </w:r>
    </w:p>
    <w:p w14:paraId="7B1D26C9" w14:textId="77777777" w:rsidR="00385470" w:rsidRDefault="00385470" w:rsidP="00385470">
      <w:pPr>
        <w:numPr>
          <w:ilvl w:val="0"/>
          <w:numId w:val="4"/>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Biopsychosocial Monitoring and Wearables:</w:t>
      </w:r>
      <w:r>
        <w:rPr>
          <w:rFonts w:eastAsia="Times New Roman"/>
        </w:rPr>
        <w:t xml:space="preserve"> Modern monitoring protocols incorporate routine clinical reviews alongside Patient-Reported Outcome Measures (PROMs). Ambulatory digital tools (e.g., smart wearable devices tracking heart rate variability and sleep patterns) are increasingly utilized alongside digital mood logs to evaluate real-time physiological and psychological distress.</w:t>
      </w:r>
    </w:p>
    <w:p w14:paraId="2865E009" w14:textId="77777777" w:rsidR="00385470" w:rsidRDefault="00385470">
      <w:pPr>
        <w:pStyle w:val="NormalWeb"/>
      </w:pPr>
      <w:r>
        <w:t>​UK Surveillance and Data Frameworks</w:t>
      </w:r>
    </w:p>
    <w:p w14:paraId="67508C37" w14:textId="77777777" w:rsidR="00385470" w:rsidRDefault="00385470">
      <w:pPr>
        <w:pStyle w:val="NormalWeb"/>
      </w:pPr>
      <w:r>
        <w:t>​To track population prevalence, service demand, and treatment effectiveness, the UK relies on key surveillance mechanisms:</w:t>
      </w:r>
    </w:p>
    <w:p w14:paraId="181FF6BF" w14:textId="77777777" w:rsidR="00385470" w:rsidRDefault="00385470" w:rsidP="00385470">
      <w:pPr>
        <w:numPr>
          <w:ilvl w:val="0"/>
          <w:numId w:val="5"/>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Adult Psychiatric Morbidity Survey (APMS):</w:t>
      </w:r>
      <w:r>
        <w:rPr>
          <w:rFonts w:eastAsia="Times New Roman"/>
        </w:rPr>
        <w:t xml:space="preserve"> Conducted periodically by NHS England and National Centre for Social Research (NatCen), the APMS provides benchmark epidemiological data on the prevalence of common mental disorders (CMDs) across demographic groups in England.</w:t>
      </w:r>
    </w:p>
    <w:p w14:paraId="1D49ABEB" w14:textId="77777777" w:rsidR="00385470" w:rsidRDefault="00385470" w:rsidP="00385470">
      <w:pPr>
        <w:numPr>
          <w:ilvl w:val="0"/>
          <w:numId w:val="5"/>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Mental Health Services Data Set (MHSDS):</w:t>
      </w:r>
      <w:r>
        <w:rPr>
          <w:rFonts w:eastAsia="Times New Roman"/>
        </w:rPr>
        <w:t xml:space="preserve"> Managed by NHS England, this monthly operational surveillance system compiles mandatory data from primary, secondary, and tertiary mental health providers. It monitors access rates, waiting times, demographic distributions, and service utilization across community and inpatient settings.</w:t>
      </w:r>
    </w:p>
    <w:p w14:paraId="2E55287E" w14:textId="302FCDB8" w:rsidR="00385470" w:rsidRDefault="00385470" w:rsidP="00385470">
      <w:pPr>
        <w:numPr>
          <w:ilvl w:val="0"/>
          <w:numId w:val="5"/>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NHS Talking Therapies Routine Outcome Monitoring:</w:t>
      </w:r>
      <w:r>
        <w:rPr>
          <w:rFonts w:eastAsia="Times New Roman"/>
        </w:rPr>
        <w:t xml:space="preserve"> A clinical dataset tracking session-by-session GAD-7 and PHQ-9 scores. This continuous data collection allows real-time surveillance of recovery rates, clinical outcomes, and service performance across Integrated Care Boards (ICBs).</w:t>
      </w:r>
    </w:p>
    <w:p w14:paraId="13FF469D" w14:textId="77777777" w:rsidR="00385470" w:rsidRDefault="00385470">
      <w:pPr>
        <w:pStyle w:val="Heading3"/>
        <w:rPr>
          <w:rFonts w:eastAsia="Times New Roman"/>
        </w:rPr>
      </w:pPr>
      <w:r>
        <w:rPr>
          <w:rFonts w:ascii="Arial" w:eastAsia="Times New Roman" w:hAnsi="Arial" w:cs="Arial"/>
        </w:rPr>
        <w:t>​</w:t>
      </w:r>
      <w:r>
        <w:rPr>
          <w:rFonts w:eastAsia="Times New Roman"/>
        </w:rPr>
        <w:t>Demographic Distribution of Anxiety Burden</w:t>
      </w:r>
    </w:p>
    <w:p w14:paraId="1BABE389" w14:textId="4C349CF0" w:rsidR="00385470" w:rsidRDefault="00385470"/>
    <w:p w14:paraId="0A509793" w14:textId="51507519" w:rsidR="00677474" w:rsidRDefault="00677474">
      <w:pPr>
        <w:pStyle w:val="NormalWeb"/>
      </w:pPr>
      <w:r>
        <w:t>Age-Related Trends</w:t>
      </w:r>
    </w:p>
    <w:p w14:paraId="50D3908F" w14:textId="45019180" w:rsidR="00677474" w:rsidRDefault="001455BF">
      <w:pPr>
        <w:pStyle w:val="NormalWeb"/>
      </w:pPr>
      <w:r>
        <w:rPr>
          <w:noProof/>
        </w:rPr>
        <w:drawing>
          <wp:anchor distT="0" distB="0" distL="114300" distR="114300" simplePos="0" relativeHeight="251665408" behindDoc="0" locked="0" layoutInCell="1" allowOverlap="1" wp14:anchorId="66860CAF" wp14:editId="3ADBABCC">
            <wp:simplePos x="0" y="0"/>
            <wp:positionH relativeFrom="column">
              <wp:posOffset>-22860</wp:posOffset>
            </wp:positionH>
            <wp:positionV relativeFrom="paragraph">
              <wp:posOffset>244475</wp:posOffset>
            </wp:positionV>
            <wp:extent cx="5842000" cy="2692400"/>
            <wp:effectExtent l="0" t="0" r="6350" b="0"/>
            <wp:wrapTopAndBottom/>
            <wp:docPr id="3181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15803" name=""/>
                    <pic:cNvPicPr/>
                  </pic:nvPicPr>
                  <pic:blipFill>
                    <a:blip r:embed="rId6"/>
                    <a:stretch>
                      <a:fillRect/>
                    </a:stretch>
                  </pic:blipFill>
                  <pic:spPr>
                    <a:xfrm flipV="1">
                      <a:off x="0" y="0"/>
                      <a:ext cx="5842000" cy="2692400"/>
                    </a:xfrm>
                    <a:prstGeom prst="rect">
                      <a:avLst/>
                    </a:prstGeom>
                  </pic:spPr>
                </pic:pic>
              </a:graphicData>
            </a:graphic>
            <wp14:sizeRelH relativeFrom="margin">
              <wp14:pctWidth>0</wp14:pctWidth>
            </wp14:sizeRelH>
            <wp14:sizeRelV relativeFrom="margin">
              <wp14:pctHeight>0</wp14:pctHeight>
            </wp14:sizeRelV>
          </wp:anchor>
        </w:drawing>
      </w:r>
      <w:r w:rsidR="00677474">
        <w:t xml:space="preserve">​Reported anxiety impact follows a clear inverse relationship with age: </w:t>
      </w:r>
    </w:p>
    <w:p w14:paraId="5F5D9397" w14:textId="7A525E88" w:rsidR="00677474" w:rsidRDefault="00677474" w:rsidP="00677474">
      <w:pPr>
        <w:numPr>
          <w:ilvl w:val="0"/>
          <w:numId w:val="6"/>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Young Adults (16–29 years):</w:t>
      </w:r>
      <w:r>
        <w:rPr>
          <w:rFonts w:eastAsia="Times New Roman"/>
        </w:rPr>
        <w:t xml:space="preserve"> Suffer the highest burden at </w:t>
      </w:r>
      <w:r>
        <w:rPr>
          <w:rFonts w:eastAsia="Times New Roman"/>
          <w:b/>
          <w:bCs/>
        </w:rPr>
        <w:t>40.0%</w:t>
      </w:r>
      <w:r>
        <w:rPr>
          <w:rFonts w:eastAsia="Times New Roman"/>
        </w:rPr>
        <w:t xml:space="preserve">. This peak aligns with major life transitions, career uncertainty, screen-based media exposure, peer pressure, and financial instability. </w:t>
      </w:r>
    </w:p>
    <w:p w14:paraId="23F3F94D" w14:textId="77777777" w:rsidR="00677474" w:rsidRDefault="00677474" w:rsidP="00677474">
      <w:pPr>
        <w:numPr>
          <w:ilvl w:val="0"/>
          <w:numId w:val="7"/>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Early to Mid-Adulthood (30–44 years):</w:t>
      </w:r>
      <w:r>
        <w:rPr>
          <w:rFonts w:eastAsia="Times New Roman"/>
        </w:rPr>
        <w:t xml:space="preserve"> Reports drop to </w:t>
      </w:r>
      <w:r>
        <w:rPr>
          <w:rFonts w:eastAsia="Times New Roman"/>
          <w:b/>
          <w:bCs/>
        </w:rPr>
        <w:t>26.0%</w:t>
      </w:r>
      <w:r>
        <w:rPr>
          <w:rFonts w:eastAsia="Times New Roman"/>
        </w:rPr>
        <w:t xml:space="preserve"> as individuals establish occupational and personal stability. </w:t>
      </w:r>
    </w:p>
    <w:p w14:paraId="61AFB299" w14:textId="77777777" w:rsidR="00677474" w:rsidRDefault="00677474" w:rsidP="00677474">
      <w:pPr>
        <w:numPr>
          <w:ilvl w:val="0"/>
          <w:numId w:val="8"/>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Older Adult Cohorts (45–64 years &amp; 65+ years):</w:t>
      </w:r>
      <w:r>
        <w:rPr>
          <w:rFonts w:eastAsia="Times New Roman"/>
        </w:rPr>
        <w:t xml:space="preserve"> Impact decreases further to </w:t>
      </w:r>
      <w:r>
        <w:rPr>
          <w:rFonts w:eastAsia="Times New Roman"/>
          <w:b/>
          <w:bCs/>
        </w:rPr>
        <w:t>19.0%</w:t>
      </w:r>
      <w:r>
        <w:rPr>
          <w:rFonts w:eastAsia="Times New Roman"/>
        </w:rPr>
        <w:t xml:space="preserve"> and </w:t>
      </w:r>
      <w:r>
        <w:rPr>
          <w:rFonts w:eastAsia="Times New Roman"/>
          <w:b/>
          <w:bCs/>
        </w:rPr>
        <w:t>13.0%</w:t>
      </w:r>
      <w:r>
        <w:rPr>
          <w:rFonts w:eastAsia="Times New Roman"/>
        </w:rPr>
        <w:t xml:space="preserve">, respectively. </w:t>
      </w:r>
    </w:p>
    <w:p w14:paraId="2C637731" w14:textId="77777777" w:rsidR="00677474" w:rsidRDefault="00677474">
      <w:pPr>
        <w:pStyle w:val="NormalWeb"/>
      </w:pPr>
      <w:r>
        <w:t>​Gender-Related Differences</w:t>
      </w:r>
    </w:p>
    <w:p w14:paraId="7EE063F2" w14:textId="77777777" w:rsidR="00677474" w:rsidRDefault="00677474" w:rsidP="00677474">
      <w:pPr>
        <w:numPr>
          <w:ilvl w:val="0"/>
          <w:numId w:val="9"/>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Women</w:t>
      </w:r>
      <w:r>
        <w:rPr>
          <w:rFonts w:eastAsia="Times New Roman"/>
        </w:rPr>
        <w:t xml:space="preserve"> report a noticeably higher impact (</w:t>
      </w:r>
      <w:r>
        <w:rPr>
          <w:rFonts w:eastAsia="Times New Roman"/>
          <w:b/>
          <w:bCs/>
        </w:rPr>
        <w:t>37.1%</w:t>
      </w:r>
      <w:r>
        <w:rPr>
          <w:rFonts w:eastAsia="Times New Roman"/>
        </w:rPr>
        <w:t xml:space="preserve">) compared to </w:t>
      </w:r>
      <w:r>
        <w:rPr>
          <w:rFonts w:eastAsia="Times New Roman"/>
          <w:b/>
          <w:bCs/>
        </w:rPr>
        <w:t>Men</w:t>
      </w:r>
      <w:r>
        <w:rPr>
          <w:rFonts w:eastAsia="Times New Roman"/>
        </w:rPr>
        <w:t xml:space="preserve"> (</w:t>
      </w:r>
      <w:r>
        <w:rPr>
          <w:rFonts w:eastAsia="Times New Roman"/>
          <w:b/>
          <w:bCs/>
        </w:rPr>
        <w:t>29.9%</w:t>
      </w:r>
      <w:r>
        <w:rPr>
          <w:rFonts w:eastAsia="Times New Roman"/>
        </w:rPr>
        <w:t xml:space="preserve">). </w:t>
      </w:r>
    </w:p>
    <w:p w14:paraId="01673042" w14:textId="77777777" w:rsidR="00677474" w:rsidRDefault="00677474" w:rsidP="00677474">
      <w:pPr>
        <w:numPr>
          <w:ilvl w:val="0"/>
          <w:numId w:val="10"/>
        </w:numPr>
        <w:spacing w:before="100" w:beforeAutospacing="1" w:after="100" w:afterAutospacing="1" w:line="240" w:lineRule="auto"/>
        <w:rPr>
          <w:rFonts w:eastAsia="Times New Roman"/>
        </w:rPr>
      </w:pPr>
      <w:r>
        <w:rPr>
          <w:rFonts w:ascii="Arial" w:eastAsia="Times New Roman" w:hAnsi="Arial" w:cs="Arial"/>
        </w:rPr>
        <w:t>​</w:t>
      </w:r>
      <w:r>
        <w:rPr>
          <w:rFonts w:eastAsia="Times New Roman"/>
        </w:rPr>
        <w:t xml:space="preserve">This gap of </w:t>
      </w:r>
      <w:r>
        <w:rPr>
          <w:rFonts w:eastAsia="Times New Roman"/>
          <w:b/>
          <w:bCs/>
        </w:rPr>
        <w:t>7.2 percentage points</w:t>
      </w:r>
      <w:r>
        <w:rPr>
          <w:rFonts w:eastAsia="Times New Roman"/>
        </w:rPr>
        <w:t xml:space="preserve"> reflects a combination of biological factors, neurochemical variations, distinct health-seeking behaviours, and gendered social expectations.</w:t>
      </w:r>
    </w:p>
    <w:p w14:paraId="6EB2F252" w14:textId="77777777" w:rsidR="00677474" w:rsidRDefault="00677474">
      <w:pPr>
        <w:pStyle w:val="Heading3"/>
        <w:rPr>
          <w:rFonts w:eastAsia="Times New Roman"/>
        </w:rPr>
      </w:pPr>
      <w:r>
        <w:rPr>
          <w:rFonts w:ascii="Arial" w:eastAsia="Times New Roman" w:hAnsi="Arial" w:cs="Arial"/>
        </w:rPr>
        <w:t>​</w:t>
      </w:r>
      <w:r>
        <w:rPr>
          <w:rFonts w:eastAsia="Times New Roman"/>
        </w:rPr>
        <w:t>Consequences for the Community, Individuals, and the NHS</w:t>
      </w:r>
    </w:p>
    <w:p w14:paraId="62072348" w14:textId="77777777" w:rsidR="00677474" w:rsidRDefault="00677474">
      <w:pPr>
        <w:pStyle w:val="NormalWeb"/>
      </w:pPr>
      <w:r>
        <w:t xml:space="preserve">​The widespread prevalence of anxiety creates substantial impacts across healthcare systems, local communities, and individual quality of life. </w:t>
      </w:r>
    </w:p>
    <w:p w14:paraId="46E17153" w14:textId="77777777" w:rsidR="00677474" w:rsidRDefault="00677474">
      <w:pPr>
        <w:pStyle w:val="NormalWeb"/>
      </w:pPr>
      <w:r>
        <w:t>​1. Economic Burden and Workplace Productivity</w:t>
      </w:r>
    </w:p>
    <w:p w14:paraId="51C553C5" w14:textId="77777777" w:rsidR="00677474" w:rsidRDefault="00677474">
      <w:pPr>
        <w:pStyle w:val="NormalWeb"/>
      </w:pPr>
      <w:r>
        <w:t xml:space="preserve">​Anxiety accounts for significant lost working days, reduced workplace productivity (presenteeism), and long-term sickness absence. In the UK, common mental health conditions reduce national workforce capacity and cost the economy billions annually in lost productivity and healthcare expenditures. </w:t>
      </w:r>
    </w:p>
    <w:p w14:paraId="1A2B8582" w14:textId="77777777" w:rsidR="00677474" w:rsidRDefault="00677474">
      <w:pPr>
        <w:pStyle w:val="NormalWeb"/>
      </w:pPr>
      <w:r>
        <w:t>​2. Direct Impact on NHS Resources</w:t>
      </w:r>
    </w:p>
    <w:p w14:paraId="12AD9702" w14:textId="77777777" w:rsidR="00677474" w:rsidRDefault="00677474">
      <w:pPr>
        <w:pStyle w:val="NormalWeb"/>
      </w:pPr>
      <w:r>
        <w:t xml:space="preserve">​High rates of untreated or poorly managed anxiety lead to frequent emergency department visits and primary care consultations for somatic manifestations (e.g., chest pain, dyspnoea, and palpitations). This places heavy operational demands on acute emergency services and primary care teams, increasing diagnostic testing costs to rule out physical pathology. </w:t>
      </w:r>
    </w:p>
    <w:p w14:paraId="2886E5D8" w14:textId="77777777" w:rsidR="00677474" w:rsidRDefault="00677474">
      <w:pPr>
        <w:pStyle w:val="NormalWeb"/>
      </w:pPr>
      <w:r>
        <w:t>​3. Social Isolation and Community Cohesion</w:t>
      </w:r>
    </w:p>
    <w:p w14:paraId="5A2C5932" w14:textId="77777777" w:rsidR="00677474" w:rsidRDefault="00677474">
      <w:pPr>
        <w:pStyle w:val="NormalWeb"/>
      </w:pPr>
      <w:r>
        <w:t xml:space="preserve">​Severe social anxiety or agoraphobia often causes individuals to withdraw from educational, professional, and civic participation. This social erosion leads to community fragmentation, heightened loneliness, and persistent vulnerability among affected populations. </w:t>
      </w:r>
    </w:p>
    <w:p w14:paraId="7266C92C" w14:textId="77777777" w:rsidR="00677474" w:rsidRDefault="00677474">
      <w:pPr>
        <w:pStyle w:val="NormalWeb"/>
      </w:pPr>
      <w:r>
        <w:t>​4. Intergenerational Dynamics</w:t>
      </w:r>
    </w:p>
    <w:p w14:paraId="6C40A068" w14:textId="77777777" w:rsidR="00677474" w:rsidRDefault="00677474">
      <w:pPr>
        <w:pStyle w:val="NormalWeb"/>
      </w:pPr>
      <w:r>
        <w:t xml:space="preserve">​Chronic parental anxiety impacts caregiving capacity and household stability, elevating emotional distress within families and increasing the risk of adverse childhood experiences (ACEs) and developmental anxiety in young people. </w:t>
      </w:r>
    </w:p>
    <w:p w14:paraId="0656A68D" w14:textId="77777777" w:rsidR="00677474" w:rsidRDefault="00677474">
      <w:pPr>
        <w:pStyle w:val="Heading3"/>
        <w:rPr>
          <w:rFonts w:eastAsia="Times New Roman"/>
        </w:rPr>
      </w:pPr>
      <w:r>
        <w:rPr>
          <w:rFonts w:ascii="Arial" w:eastAsia="Times New Roman" w:hAnsi="Arial" w:cs="Arial"/>
        </w:rPr>
        <w:t>​</w:t>
      </w:r>
      <w:r>
        <w:rPr>
          <w:rFonts w:eastAsia="Times New Roman"/>
        </w:rPr>
        <w:t>Healthcare Interventions and Support Requirements</w:t>
      </w:r>
    </w:p>
    <w:p w14:paraId="454030EF" w14:textId="77777777" w:rsidR="00677474" w:rsidRDefault="00677474">
      <w:pPr>
        <w:pStyle w:val="NormalWeb"/>
      </w:pPr>
      <w:r>
        <w:t xml:space="preserve">​To manage anxiety effectively and mitigate its socio-economic impact, patients require an integrated multi-tiered healthcare response following National Institute for Health and Care Excellence (NICE) stepped-care guidelines: </w:t>
      </w:r>
    </w:p>
    <w:p w14:paraId="186BDC24" w14:textId="44C54514" w:rsidR="00990B25" w:rsidRDefault="00677474" w:rsidP="005640F2">
      <w:pPr>
        <w:pStyle w:val="NormalWeb"/>
      </w:pPr>
      <w:r>
        <w:t xml:space="preserve">​Stepped-Care Clinical </w:t>
      </w:r>
    </w:p>
    <w:p w14:paraId="3948DD92" w14:textId="77777777" w:rsidR="005640F2" w:rsidRDefault="005640F2" w:rsidP="003076DF">
      <w:pPr>
        <w:pStyle w:val="NormalWeb"/>
      </w:pPr>
      <w:r>
        <w:t>Stepped-Care Clinical Management</w:t>
      </w:r>
    </w:p>
    <w:p w14:paraId="3B68EFF3" w14:textId="77777777" w:rsidR="005640F2" w:rsidRDefault="005640F2" w:rsidP="003076DF">
      <w:r>
        <w:t>+-----------------------------------------------------------------------------------+</w:t>
      </w:r>
    </w:p>
    <w:p w14:paraId="43CA02D0" w14:textId="77777777" w:rsidR="005640F2" w:rsidRDefault="005640F2" w:rsidP="003076DF">
      <w:r>
        <w:t>|                        STEPPED-CARE MANAGEMENT MODEL                              |</w:t>
      </w:r>
    </w:p>
    <w:p w14:paraId="37DAAE9E" w14:textId="77777777" w:rsidR="005640F2" w:rsidRDefault="005640F2" w:rsidP="003076DF">
      <w:r>
        <w:t>+--------+----------------------------+---------------------------------------------+</w:t>
      </w:r>
    </w:p>
    <w:p w14:paraId="5B69C10F" w14:textId="77777777" w:rsidR="005640F2" w:rsidRDefault="005640F2" w:rsidP="003076DF">
      <w:r>
        <w:t>| Step   | Severity Level             | Recommended Intervention                    |</w:t>
      </w:r>
    </w:p>
    <w:p w14:paraId="0320383E" w14:textId="77777777" w:rsidR="005640F2" w:rsidRDefault="005640F2" w:rsidP="003076DF">
      <w:r>
        <w:t>+--------+----------------------------+---------------------------------------------+</w:t>
      </w:r>
    </w:p>
    <w:p w14:paraId="061A4332" w14:textId="77777777" w:rsidR="005640F2" w:rsidRDefault="005640F2" w:rsidP="003076DF">
      <w:r>
        <w:t>| Step 1 | Mild / Sub-threshold       | Assessment, Psychoeducation, Lifestyle      |</w:t>
      </w:r>
    </w:p>
    <w:p w14:paraId="38909023" w14:textId="77777777" w:rsidR="005640F2" w:rsidRDefault="005640F2" w:rsidP="003076DF">
      <w:r>
        <w:t>| Step 2 | Mild to Moderate           | Low-Intensity CBT, Guided Self-Help, cCBT   |</w:t>
      </w:r>
    </w:p>
    <w:p w14:paraId="1CF65751" w14:textId="77777777" w:rsidR="005640F2" w:rsidRDefault="005640F2" w:rsidP="003076DF">
      <w:r>
        <w:t>| Step 3 | Moderate to Severe         | High-Intensity CBT, Pharmacotherapy (SSRIs) |</w:t>
      </w:r>
    </w:p>
    <w:p w14:paraId="318090FF" w14:textId="77777777" w:rsidR="005640F2" w:rsidRDefault="005640F2" w:rsidP="003076DF">
      <w:r>
        <w:t>| Step 4 | Complex / Treatment-Resist | Secondary Care (CMHTs), Multidisciplinary   |</w:t>
      </w:r>
    </w:p>
    <w:p w14:paraId="2C4766EC" w14:textId="77777777" w:rsidR="005640F2" w:rsidRDefault="005640F2" w:rsidP="003076DF">
      <w:r>
        <w:t>+--------+----------------------------+---------------------------------------------+</w:t>
      </w:r>
    </w:p>
    <w:p w14:paraId="164A3E68" w14:textId="77777777" w:rsidR="005640F2" w:rsidRDefault="005640F2" w:rsidP="005640F2">
      <w:pPr>
        <w:pStyle w:val="NormalWeb"/>
      </w:pPr>
    </w:p>
    <w:p w14:paraId="668C8E9C" w14:textId="77777777" w:rsidR="005640F2" w:rsidRDefault="005640F2" w:rsidP="005640F2">
      <w:pPr>
        <w:pStyle w:val="NormalWeb"/>
      </w:pPr>
    </w:p>
    <w:p w14:paraId="3EBA0D89" w14:textId="77777777" w:rsidR="00354670" w:rsidRDefault="00354670" w:rsidP="00354670">
      <w:pPr>
        <w:numPr>
          <w:ilvl w:val="0"/>
          <w:numId w:val="11"/>
        </w:numPr>
        <w:spacing w:before="100" w:beforeAutospacing="1" w:after="100" w:afterAutospacing="1" w:line="240" w:lineRule="auto"/>
        <w:rPr>
          <w:rFonts w:eastAsia="Times New Roman"/>
          <w:kern w:val="0"/>
          <w14:ligatures w14:val="none"/>
        </w:rPr>
      </w:pPr>
      <w:r>
        <w:rPr>
          <w:rFonts w:ascii="Arial" w:eastAsia="Times New Roman" w:hAnsi="Arial" w:cs="Arial"/>
        </w:rPr>
        <w:t>​</w:t>
      </w:r>
      <w:r>
        <w:rPr>
          <w:rFonts w:eastAsia="Times New Roman"/>
          <w:b/>
          <w:bCs/>
        </w:rPr>
        <w:t>Psychological Interventions:</w:t>
      </w:r>
      <w:r>
        <w:rPr>
          <w:rFonts w:eastAsia="Times New Roman"/>
        </w:rPr>
        <w:t xml:space="preserve"> </w:t>
      </w:r>
    </w:p>
    <w:p w14:paraId="02A61BBD" w14:textId="77777777" w:rsidR="00354670" w:rsidRDefault="00354670" w:rsidP="00354670">
      <w:pPr>
        <w:numPr>
          <w:ilvl w:val="1"/>
          <w:numId w:val="11"/>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Cognitive Behavioural Therapy (CBT):</w:t>
      </w:r>
      <w:r>
        <w:rPr>
          <w:rFonts w:eastAsia="Times New Roman"/>
        </w:rPr>
        <w:t xml:space="preserve"> The gold-standard first-line psychological treatment targeting cognitive distortions (e.g., overestimating threat) through psychoeducation, cognitive restructuring, and systematic exposure.</w:t>
      </w:r>
    </w:p>
    <w:p w14:paraId="3982C268" w14:textId="77777777" w:rsidR="00354670" w:rsidRDefault="00354670" w:rsidP="00354670">
      <w:pPr>
        <w:numPr>
          <w:ilvl w:val="1"/>
          <w:numId w:val="11"/>
        </w:numPr>
        <w:spacing w:before="100" w:beforeAutospacing="1" w:after="100" w:afterAutospacing="1" w:line="240" w:lineRule="auto"/>
        <w:rPr>
          <w:rFonts w:eastAsia="Times New Roman"/>
        </w:rPr>
      </w:pPr>
      <w:r>
        <w:rPr>
          <w:rFonts w:ascii="Arial" w:eastAsia="Times New Roman" w:hAnsi="Arial" w:cs="Arial"/>
        </w:rPr>
        <w:t>​</w:t>
      </w:r>
      <w:r>
        <w:rPr>
          <w:rFonts w:eastAsia="Times New Roman"/>
          <w:b/>
          <w:bCs/>
        </w:rPr>
        <w:t>Low-Intensity Interventions:</w:t>
      </w:r>
      <w:r>
        <w:rPr>
          <w:rFonts w:eastAsia="Times New Roman"/>
        </w:rPr>
        <w:t xml:space="preserve"> Guided self-help, psychoeducational groups, and computerized CBT (cCBT) provide scalable early care for mild-to-moderate cases.</w:t>
      </w:r>
    </w:p>
    <w:p w14:paraId="6868D1B8" w14:textId="77777777" w:rsidR="00354670" w:rsidRDefault="00354670">
      <w:pPr>
        <w:pStyle w:val="NormalWeb"/>
        <w:ind w:left="720"/>
      </w:pPr>
      <w:r>
        <w:t xml:space="preserve">. </w:t>
      </w:r>
    </w:p>
    <w:p w14:paraId="18426AB2" w14:textId="77777777" w:rsidR="00354670" w:rsidRDefault="00354670" w:rsidP="00354670">
      <w:pPr>
        <w:numPr>
          <w:ilvl w:val="0"/>
          <w:numId w:val="12"/>
        </w:numPr>
        <w:spacing w:before="100" w:beforeAutospacing="1" w:after="100" w:afterAutospacing="1" w:line="240" w:lineRule="auto"/>
        <w:ind w:left="1440"/>
        <w:rPr>
          <w:rFonts w:eastAsia="Times New Roman"/>
        </w:rPr>
      </w:pPr>
      <w:r>
        <w:rPr>
          <w:rFonts w:ascii="Arial" w:eastAsia="Times New Roman" w:hAnsi="Arial" w:cs="Arial"/>
        </w:rPr>
        <w:t>​</w:t>
      </w:r>
      <w:r>
        <w:rPr>
          <w:rFonts w:eastAsia="Times New Roman"/>
          <w:b/>
          <w:bCs/>
        </w:rPr>
        <w:t>Pharmacological Management:</w:t>
      </w:r>
      <w:r>
        <w:rPr>
          <w:rFonts w:eastAsia="Times New Roman"/>
        </w:rPr>
        <w:t xml:space="preserve"> </w:t>
      </w:r>
    </w:p>
    <w:p w14:paraId="4703E2E4" w14:textId="77777777" w:rsidR="00354670" w:rsidRDefault="00354670" w:rsidP="00354670">
      <w:pPr>
        <w:numPr>
          <w:ilvl w:val="1"/>
          <w:numId w:val="12"/>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SSRIs (Selective Serotonin Reuptake Inhibitors):</w:t>
      </w:r>
      <w:r>
        <w:rPr>
          <w:rFonts w:eastAsia="Times New Roman"/>
        </w:rPr>
        <w:t xml:space="preserve"> Sertraline, escitalopram, and fluoxetine represent the primary pharmacological treatment due to their favorable safety profile.</w:t>
      </w:r>
    </w:p>
    <w:p w14:paraId="7B240F74" w14:textId="77777777" w:rsidR="00354670" w:rsidRDefault="00354670" w:rsidP="00354670">
      <w:pPr>
        <w:numPr>
          <w:ilvl w:val="1"/>
          <w:numId w:val="12"/>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SNRIs (Serotonin-Norepinephrine Reuptake Inhibitors):</w:t>
      </w:r>
      <w:r>
        <w:rPr>
          <w:rFonts w:eastAsia="Times New Roman"/>
        </w:rPr>
        <w:t xml:space="preserve"> Venlafaxine and duloxetine serve as secondary options when SSRIs prove ineffective.</w:t>
      </w:r>
    </w:p>
    <w:p w14:paraId="3171D20C" w14:textId="77777777" w:rsidR="00354670" w:rsidRDefault="00354670" w:rsidP="00354670">
      <w:pPr>
        <w:numPr>
          <w:ilvl w:val="1"/>
          <w:numId w:val="12"/>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Adjunctive Agents:</w:t>
      </w:r>
      <w:r>
        <w:rPr>
          <w:rFonts w:eastAsia="Times New Roman"/>
        </w:rPr>
        <w:t xml:space="preserve"> Pregabalin is utilized for GAD when first-line options fail. Beta-blockers (e.g., propranolol) manage peripheral autonomic symptoms (tremor, palpitations), while benzodiazepines are strictly restricted to short-term emergency stabilization.</w:t>
      </w:r>
    </w:p>
    <w:p w14:paraId="7693E867" w14:textId="77777777" w:rsidR="00354670" w:rsidRDefault="00354670">
      <w:pPr>
        <w:pStyle w:val="NormalWeb"/>
        <w:ind w:left="1440"/>
      </w:pPr>
      <w:r>
        <w:t xml:space="preserve">on. </w:t>
      </w:r>
    </w:p>
    <w:p w14:paraId="2347B3A7" w14:textId="77777777" w:rsidR="00354670" w:rsidRDefault="00354670" w:rsidP="00354670">
      <w:pPr>
        <w:numPr>
          <w:ilvl w:val="0"/>
          <w:numId w:val="13"/>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Lifestyle Modifications:</w:t>
      </w:r>
      <w:r>
        <w:rPr>
          <w:rFonts w:eastAsia="Times New Roman"/>
        </w:rPr>
        <w:t xml:space="preserve"> Regular physical activity, structured sleep hygiene, Mindfulness-Based Stress Reduction (MBSR), and dietary adjustments (reducing caffeine and alcohol) form essential components of holistic care.</w:t>
      </w:r>
    </w:p>
    <w:p w14:paraId="10C3C74B" w14:textId="77777777" w:rsidR="00354670" w:rsidRDefault="00354670">
      <w:pPr>
        <w:pStyle w:val="NormalWeb"/>
        <w:ind w:left="1440"/>
      </w:pPr>
      <w:r>
        <w:t>​Integrated Community Support Services</w:t>
      </w:r>
    </w:p>
    <w:p w14:paraId="41C12F82" w14:textId="77777777" w:rsidR="00354670" w:rsidRDefault="00354670">
      <w:pPr>
        <w:pStyle w:val="NormalWeb"/>
        <w:ind w:left="1440"/>
      </w:pPr>
      <w:r>
        <w:t xml:space="preserve">​Patients require seamless pathways across community support structures: </w:t>
      </w:r>
    </w:p>
    <w:p w14:paraId="2B486EF6" w14:textId="77777777" w:rsidR="00354670" w:rsidRDefault="00354670" w:rsidP="00354670">
      <w:pPr>
        <w:numPr>
          <w:ilvl w:val="0"/>
          <w:numId w:val="14"/>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Primary Care and General Practice:</w:t>
      </w:r>
      <w:r>
        <w:rPr>
          <w:rFonts w:eastAsia="Times New Roman"/>
        </w:rPr>
        <w:t xml:space="preserve"> GPs act as the frontline gateway for initial diagnosis, physical health differential exclusion, medication management, and referral into specialist pathways.</w:t>
      </w:r>
    </w:p>
    <w:p w14:paraId="14D599F4" w14:textId="77777777" w:rsidR="00354670" w:rsidRDefault="00354670" w:rsidP="00354670">
      <w:pPr>
        <w:numPr>
          <w:ilvl w:val="0"/>
          <w:numId w:val="15"/>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NHS Talking Therapies:</w:t>
      </w:r>
      <w:r>
        <w:rPr>
          <w:rFonts w:eastAsia="Times New Roman"/>
        </w:rPr>
        <w:t xml:space="preserve"> Provides accessible primary care psychology delivering evidence-based therapies (CBT, counseling, guided self-help).</w:t>
      </w:r>
    </w:p>
    <w:p w14:paraId="617FDD29" w14:textId="77777777" w:rsidR="00354670" w:rsidRDefault="00354670" w:rsidP="00354670">
      <w:pPr>
        <w:numPr>
          <w:ilvl w:val="0"/>
          <w:numId w:val="16"/>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Community Mental Health Teams (CMHTs):</w:t>
      </w:r>
      <w:r>
        <w:rPr>
          <w:rFonts w:eastAsia="Times New Roman"/>
        </w:rPr>
        <w:t xml:space="preserve"> Secondary care teams consisting of Consultant Psychiatrists, Community Psychiatric Nurses (CPNs), Clinical Psychologists, and Occupational Therapists offering multidisciplinary care for complex or treatment-resistant anxiety.</w:t>
      </w:r>
    </w:p>
    <w:p w14:paraId="01545E97" w14:textId="77777777" w:rsidR="00354670" w:rsidRDefault="00354670" w:rsidP="00354670">
      <w:pPr>
        <w:numPr>
          <w:ilvl w:val="0"/>
          <w:numId w:val="17"/>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Third-Sector Organisations:</w:t>
      </w:r>
      <w:r>
        <w:rPr>
          <w:rFonts w:eastAsia="Times New Roman"/>
        </w:rPr>
        <w:t xml:space="preserve"> Non-governmental bodies (e.g., Mind, Mental Health UK, Anxiety UK, Samaritans) deliver non-clinical social support, peer groups, crisis helplines, and community integration programs.</w:t>
      </w:r>
    </w:p>
    <w:p w14:paraId="1CBD8187" w14:textId="77777777" w:rsidR="00354670" w:rsidRDefault="00354670" w:rsidP="00354670">
      <w:pPr>
        <w:numPr>
          <w:ilvl w:val="0"/>
          <w:numId w:val="18"/>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b/>
          <w:bCs/>
        </w:rPr>
        <w:t>Social Care and Housing:</w:t>
      </w:r>
      <w:r>
        <w:rPr>
          <w:rFonts w:eastAsia="Times New Roman"/>
        </w:rPr>
        <w:t xml:space="preserve"> Adult social care services assist individuals with severe functional impairment by providing personal care plans, supported housing, and guidance on disability benefits (e.g., Personal Independence Payment).</w:t>
      </w:r>
    </w:p>
    <w:p w14:paraId="2D1ED423" w14:textId="77777777" w:rsidR="00354670" w:rsidRDefault="00354670">
      <w:pPr>
        <w:pStyle w:val="Heading2"/>
        <w:ind w:left="1440"/>
        <w:rPr>
          <w:rFonts w:eastAsia="Times New Roman"/>
        </w:rPr>
      </w:pPr>
      <w:r>
        <w:rPr>
          <w:rFonts w:ascii="Arial" w:eastAsia="Times New Roman" w:hAnsi="Arial" w:cs="Arial"/>
        </w:rPr>
        <w:t>​</w:t>
      </w:r>
      <w:r>
        <w:rPr>
          <w:rFonts w:eastAsia="Times New Roman"/>
        </w:rPr>
        <w:t>Conclusion</w:t>
      </w:r>
    </w:p>
    <w:p w14:paraId="12BD1B9F" w14:textId="77777777" w:rsidR="00354670" w:rsidRDefault="00354670">
      <w:pPr>
        <w:pStyle w:val="NormalWeb"/>
        <w:ind w:left="1440"/>
      </w:pPr>
      <w:r>
        <w:t xml:space="preserve">​Anxiety disorders constitute a major public health challenge characterized by substantial global and UK prevalence rates. The condition imposes a severe burden on affected individuals, healthcare infrastructure, and broader community cohesion. Early identification through validated screening instruments like the GAD-7, supported by surveillance tools such as the APMS and MHSDS, is essential to enable timely intervention. </w:t>
      </w:r>
    </w:p>
    <w:p w14:paraId="7BD956DF" w14:textId="77777777" w:rsidR="00354670" w:rsidRDefault="00354670">
      <w:pPr>
        <w:pStyle w:val="NormalWeb"/>
        <w:ind w:left="1440"/>
      </w:pPr>
      <w:r>
        <w:t xml:space="preserve">​Effective management necessitates a stepped-care biopsychosocial strategy, combining evidence-based psychological therapies like CBT with appropriate pharmacotherapy and lifestyle modifications. Mitigating the widespread economic and social consequences of anxiety requires robust investment in integrated community support networks, bridging primary healthcare, specialist CMHTs, third-sector organizations, and local social care services. </w:t>
      </w:r>
    </w:p>
    <w:p w14:paraId="5BE6A2BB" w14:textId="77777777" w:rsidR="00354670" w:rsidRDefault="00354670">
      <w:pPr>
        <w:pStyle w:val="Heading2"/>
        <w:ind w:left="1440"/>
        <w:rPr>
          <w:rFonts w:eastAsia="Times New Roman"/>
        </w:rPr>
      </w:pPr>
      <w:r>
        <w:rPr>
          <w:rFonts w:ascii="Arial" w:eastAsia="Times New Roman" w:hAnsi="Arial" w:cs="Arial"/>
        </w:rPr>
        <w:t>​</w:t>
      </w:r>
      <w:r>
        <w:rPr>
          <w:rFonts w:eastAsia="Times New Roman"/>
        </w:rPr>
        <w:t>References</w:t>
      </w:r>
    </w:p>
    <w:p w14:paraId="39FDCFCD" w14:textId="77777777" w:rsidR="00354670" w:rsidRDefault="00354670" w:rsidP="00354670">
      <w:pPr>
        <w:numPr>
          <w:ilvl w:val="0"/>
          <w:numId w:val="19"/>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rPr>
        <w:t xml:space="preserve">Mental Health UK (2026). </w:t>
      </w:r>
      <w:r>
        <w:rPr>
          <w:rFonts w:eastAsia="Times New Roman"/>
          <w:i/>
          <w:iCs/>
        </w:rPr>
        <w:t>What is anxiety disorder?</w:t>
      </w:r>
      <w:r>
        <w:rPr>
          <w:rFonts w:eastAsia="Times New Roman"/>
        </w:rPr>
        <w:t xml:space="preserve"> Available at: </w:t>
      </w:r>
      <w:hyperlink r:id="rId7" w:history="1">
        <w:r>
          <w:rPr>
            <w:rStyle w:val="Hyperlink"/>
            <w:rFonts w:eastAsia="Times New Roman"/>
          </w:rPr>
          <w:t>https://mentalhealth-uk.org/help-and-information/conditions/anxiety-disorders/what-is-anxiety/</w:t>
        </w:r>
      </w:hyperlink>
    </w:p>
    <w:p w14:paraId="5919CC94" w14:textId="77777777" w:rsidR="00354670" w:rsidRDefault="00354670" w:rsidP="00354670">
      <w:pPr>
        <w:numPr>
          <w:ilvl w:val="0"/>
          <w:numId w:val="20"/>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rPr>
        <w:t xml:space="preserve">Mind (2026). </w:t>
      </w:r>
      <w:r>
        <w:rPr>
          <w:rFonts w:eastAsia="Times New Roman"/>
          <w:i/>
          <w:iCs/>
        </w:rPr>
        <w:t>Key facts and statistics about mental health.</w:t>
      </w:r>
      <w:r>
        <w:rPr>
          <w:rFonts w:eastAsia="Times New Roman"/>
        </w:rPr>
        <w:t xml:space="preserve"> Available at: </w:t>
      </w:r>
      <w:hyperlink r:id="rId8" w:history="1">
        <w:r>
          <w:rPr>
            <w:rStyle w:val="Hyperlink"/>
            <w:rFonts w:eastAsia="Times New Roman"/>
          </w:rPr>
          <w:t>https://www.mind.org.uk/information-support/a-z-mental-health/mental-health-facts-and-statistics/</w:t>
        </w:r>
      </w:hyperlink>
    </w:p>
    <w:p w14:paraId="4DCA3330" w14:textId="77777777" w:rsidR="00354670" w:rsidRDefault="00354670" w:rsidP="00354670">
      <w:pPr>
        <w:numPr>
          <w:ilvl w:val="0"/>
          <w:numId w:val="21"/>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rPr>
        <w:t xml:space="preserve">National Institute for Health and Care Excellence (NICE) (2019). </w:t>
      </w:r>
      <w:r>
        <w:rPr>
          <w:rFonts w:eastAsia="Times New Roman"/>
          <w:i/>
          <w:iCs/>
        </w:rPr>
        <w:t>Generalised anxiety disorder and panic disorder in adults: management</w:t>
      </w:r>
      <w:r>
        <w:rPr>
          <w:rFonts w:eastAsia="Times New Roman"/>
        </w:rPr>
        <w:t xml:space="preserve"> [CG113]. London: NICE.</w:t>
      </w:r>
    </w:p>
    <w:p w14:paraId="611AA814" w14:textId="77777777" w:rsidR="00354670" w:rsidRDefault="00354670" w:rsidP="00354670">
      <w:pPr>
        <w:numPr>
          <w:ilvl w:val="0"/>
          <w:numId w:val="22"/>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rPr>
        <w:t xml:space="preserve">NHS England (2026). </w:t>
      </w:r>
      <w:r>
        <w:rPr>
          <w:rFonts w:eastAsia="Times New Roman"/>
          <w:i/>
          <w:iCs/>
        </w:rPr>
        <w:t>Mental Health Services Data Set (MHSDS) &amp; NHS Talking Therapies Manual</w:t>
      </w:r>
      <w:r>
        <w:rPr>
          <w:rFonts w:eastAsia="Times New Roman"/>
        </w:rPr>
        <w:t>. London: NHS England.</w:t>
      </w:r>
    </w:p>
    <w:p w14:paraId="56AEF9D4" w14:textId="77777777" w:rsidR="00354670" w:rsidRDefault="00354670" w:rsidP="00354670">
      <w:pPr>
        <w:numPr>
          <w:ilvl w:val="0"/>
          <w:numId w:val="22"/>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rPr>
        <w:t xml:space="preserve">Priory Group (2026). </w:t>
      </w:r>
      <w:r>
        <w:rPr>
          <w:rFonts w:eastAsia="Times New Roman"/>
          <w:i/>
          <w:iCs/>
        </w:rPr>
        <w:t>Anxiety statistics UK 2026.</w:t>
      </w:r>
      <w:r>
        <w:rPr>
          <w:rFonts w:eastAsia="Times New Roman"/>
        </w:rPr>
        <w:t xml:space="preserve"> Available at: </w:t>
      </w:r>
      <w:hyperlink r:id="rId9" w:history="1">
        <w:r>
          <w:rPr>
            <w:rStyle w:val="Hyperlink"/>
            <w:rFonts w:eastAsia="Times New Roman"/>
          </w:rPr>
          <w:t>https://www.priorygroup.com/mental-health/anxiety-treatment/anxiety-statistics</w:t>
        </w:r>
      </w:hyperlink>
    </w:p>
    <w:p w14:paraId="11B32FCE" w14:textId="77777777" w:rsidR="00354670" w:rsidRDefault="00354670" w:rsidP="00354670">
      <w:pPr>
        <w:numPr>
          <w:ilvl w:val="0"/>
          <w:numId w:val="23"/>
        </w:numPr>
        <w:spacing w:before="100" w:beforeAutospacing="1" w:after="100" w:afterAutospacing="1" w:line="240" w:lineRule="auto"/>
        <w:ind w:left="2160"/>
        <w:rPr>
          <w:rFonts w:eastAsia="Times New Roman"/>
        </w:rPr>
      </w:pPr>
      <w:r>
        <w:rPr>
          <w:rFonts w:ascii="Arial" w:eastAsia="Times New Roman" w:hAnsi="Arial" w:cs="Arial"/>
        </w:rPr>
        <w:t>​</w:t>
      </w:r>
      <w:r>
        <w:rPr>
          <w:rFonts w:eastAsia="Times New Roman"/>
        </w:rPr>
        <w:t xml:space="preserve">World Health Organization (WHO) (2026). </w:t>
      </w:r>
      <w:r>
        <w:rPr>
          <w:rFonts w:eastAsia="Times New Roman"/>
          <w:i/>
          <w:iCs/>
        </w:rPr>
        <w:t>Anxiety disorders: Fact sheet.</w:t>
      </w:r>
      <w:r>
        <w:rPr>
          <w:rFonts w:eastAsia="Times New Roman"/>
        </w:rPr>
        <w:t xml:space="preserve"> Available at: </w:t>
      </w:r>
      <w:hyperlink r:id="rId10" w:history="1">
        <w:r>
          <w:rPr>
            <w:rStyle w:val="Hyperlink"/>
            <w:rFonts w:eastAsia="Times New Roman"/>
          </w:rPr>
          <w:t>https://www.who.int/news-room/fact-sheets/detail/anxiety-disorders</w:t>
        </w:r>
      </w:hyperlink>
    </w:p>
    <w:p w14:paraId="593DFFA6" w14:textId="77777777" w:rsidR="00CB07B1" w:rsidRDefault="00CB07B1"/>
    <w:sectPr w:rsidR="00CB07B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F54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349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41A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DB776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2901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D959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B67795"/>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1339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BD32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DB2AA8"/>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3931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1578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B93C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7F36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D613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4F7B1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384E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1264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F079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0607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BA79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305B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AB27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3453348">
    <w:abstractNumId w:val="18"/>
  </w:num>
  <w:num w:numId="2" w16cid:durableId="946933088">
    <w:abstractNumId w:val="22"/>
  </w:num>
  <w:num w:numId="3" w16cid:durableId="1948658411">
    <w:abstractNumId w:val="13"/>
  </w:num>
  <w:num w:numId="4" w16cid:durableId="1963686985">
    <w:abstractNumId w:val="12"/>
  </w:num>
  <w:num w:numId="5" w16cid:durableId="537548155">
    <w:abstractNumId w:val="14"/>
  </w:num>
  <w:num w:numId="6" w16cid:durableId="1947150543">
    <w:abstractNumId w:val="3"/>
  </w:num>
  <w:num w:numId="7" w16cid:durableId="2085252287">
    <w:abstractNumId w:val="10"/>
  </w:num>
  <w:num w:numId="8" w16cid:durableId="1239514436">
    <w:abstractNumId w:val="7"/>
  </w:num>
  <w:num w:numId="9" w16cid:durableId="1081298125">
    <w:abstractNumId w:val="19"/>
  </w:num>
  <w:num w:numId="10" w16cid:durableId="1406025767">
    <w:abstractNumId w:val="2"/>
  </w:num>
  <w:num w:numId="11" w16cid:durableId="907882800">
    <w:abstractNumId w:val="9"/>
  </w:num>
  <w:num w:numId="12" w16cid:durableId="1438406540">
    <w:abstractNumId w:val="6"/>
  </w:num>
  <w:num w:numId="13" w16cid:durableId="1013534025">
    <w:abstractNumId w:val="15"/>
  </w:num>
  <w:num w:numId="14" w16cid:durableId="35593420">
    <w:abstractNumId w:val="8"/>
  </w:num>
  <w:num w:numId="15" w16cid:durableId="230850028">
    <w:abstractNumId w:val="1"/>
  </w:num>
  <w:num w:numId="16" w16cid:durableId="1736314758">
    <w:abstractNumId w:val="5"/>
  </w:num>
  <w:num w:numId="17" w16cid:durableId="1021467943">
    <w:abstractNumId w:val="11"/>
  </w:num>
  <w:num w:numId="18" w16cid:durableId="1911115579">
    <w:abstractNumId w:val="21"/>
  </w:num>
  <w:num w:numId="19" w16cid:durableId="331957071">
    <w:abstractNumId w:val="16"/>
  </w:num>
  <w:num w:numId="20" w16cid:durableId="1536965832">
    <w:abstractNumId w:val="20"/>
  </w:num>
  <w:num w:numId="21" w16cid:durableId="436024046">
    <w:abstractNumId w:val="0"/>
  </w:num>
  <w:num w:numId="22" w16cid:durableId="1315798223">
    <w:abstractNumId w:val="4"/>
  </w:num>
  <w:num w:numId="23" w16cid:durableId="4442341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470"/>
    <w:rsid w:val="00106F2F"/>
    <w:rsid w:val="001455BF"/>
    <w:rsid w:val="00265AA5"/>
    <w:rsid w:val="002D6E20"/>
    <w:rsid w:val="002F5262"/>
    <w:rsid w:val="00354670"/>
    <w:rsid w:val="00385470"/>
    <w:rsid w:val="003D1726"/>
    <w:rsid w:val="005640F2"/>
    <w:rsid w:val="005D5DF6"/>
    <w:rsid w:val="006270D4"/>
    <w:rsid w:val="00677474"/>
    <w:rsid w:val="0071022C"/>
    <w:rsid w:val="007372DA"/>
    <w:rsid w:val="007D0564"/>
    <w:rsid w:val="008841FD"/>
    <w:rsid w:val="008E3168"/>
    <w:rsid w:val="00901024"/>
    <w:rsid w:val="00974B60"/>
    <w:rsid w:val="00990B25"/>
    <w:rsid w:val="009E301C"/>
    <w:rsid w:val="009F43C3"/>
    <w:rsid w:val="00A311EA"/>
    <w:rsid w:val="00A7165D"/>
    <w:rsid w:val="00AC23CB"/>
    <w:rsid w:val="00B34515"/>
    <w:rsid w:val="00B34958"/>
    <w:rsid w:val="00CB07B1"/>
    <w:rsid w:val="00CE0EA8"/>
    <w:rsid w:val="00DC3D92"/>
    <w:rsid w:val="00DE2D8E"/>
    <w:rsid w:val="00E14564"/>
    <w:rsid w:val="00E72A54"/>
    <w:rsid w:val="00F11B00"/>
    <w:rsid w:val="00FD4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719F1A"/>
  <w15:chartTrackingRefBased/>
  <w15:docId w15:val="{D56BD359-A8F9-1D43-87F2-26315773B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5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5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4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4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470"/>
    <w:rPr>
      <w:rFonts w:eastAsiaTheme="majorEastAsia" w:cstheme="majorBidi"/>
      <w:color w:val="272727" w:themeColor="text1" w:themeTint="D8"/>
    </w:rPr>
  </w:style>
  <w:style w:type="paragraph" w:styleId="Title">
    <w:name w:val="Title"/>
    <w:basedOn w:val="Normal"/>
    <w:next w:val="Normal"/>
    <w:link w:val="TitleChar"/>
    <w:uiPriority w:val="10"/>
    <w:qFormat/>
    <w:rsid w:val="00385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470"/>
    <w:pPr>
      <w:spacing w:before="160"/>
      <w:jc w:val="center"/>
    </w:pPr>
    <w:rPr>
      <w:i/>
      <w:iCs/>
      <w:color w:val="404040" w:themeColor="text1" w:themeTint="BF"/>
    </w:rPr>
  </w:style>
  <w:style w:type="character" w:customStyle="1" w:styleId="QuoteChar">
    <w:name w:val="Quote Char"/>
    <w:basedOn w:val="DefaultParagraphFont"/>
    <w:link w:val="Quote"/>
    <w:uiPriority w:val="29"/>
    <w:rsid w:val="00385470"/>
    <w:rPr>
      <w:i/>
      <w:iCs/>
      <w:color w:val="404040" w:themeColor="text1" w:themeTint="BF"/>
    </w:rPr>
  </w:style>
  <w:style w:type="paragraph" w:styleId="ListParagraph">
    <w:name w:val="List Paragraph"/>
    <w:basedOn w:val="Normal"/>
    <w:uiPriority w:val="34"/>
    <w:qFormat/>
    <w:rsid w:val="00385470"/>
    <w:pPr>
      <w:ind w:left="720"/>
      <w:contextualSpacing/>
    </w:pPr>
  </w:style>
  <w:style w:type="character" w:styleId="IntenseEmphasis">
    <w:name w:val="Intense Emphasis"/>
    <w:basedOn w:val="DefaultParagraphFont"/>
    <w:uiPriority w:val="21"/>
    <w:qFormat/>
    <w:rsid w:val="00385470"/>
    <w:rPr>
      <w:i/>
      <w:iCs/>
      <w:color w:val="0F4761" w:themeColor="accent1" w:themeShade="BF"/>
    </w:rPr>
  </w:style>
  <w:style w:type="paragraph" w:styleId="IntenseQuote">
    <w:name w:val="Intense Quote"/>
    <w:basedOn w:val="Normal"/>
    <w:next w:val="Normal"/>
    <w:link w:val="IntenseQuoteChar"/>
    <w:uiPriority w:val="30"/>
    <w:qFormat/>
    <w:rsid w:val="00385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470"/>
    <w:rPr>
      <w:i/>
      <w:iCs/>
      <w:color w:val="0F4761" w:themeColor="accent1" w:themeShade="BF"/>
    </w:rPr>
  </w:style>
  <w:style w:type="character" w:styleId="IntenseReference">
    <w:name w:val="Intense Reference"/>
    <w:basedOn w:val="DefaultParagraphFont"/>
    <w:uiPriority w:val="32"/>
    <w:qFormat/>
    <w:rsid w:val="00385470"/>
    <w:rPr>
      <w:b/>
      <w:bCs/>
      <w:smallCaps/>
      <w:color w:val="0F4761" w:themeColor="accent1" w:themeShade="BF"/>
      <w:spacing w:val="5"/>
    </w:rPr>
  </w:style>
  <w:style w:type="paragraph" w:styleId="NormalWeb">
    <w:name w:val="Normal (Web)"/>
    <w:basedOn w:val="Normal"/>
    <w:uiPriority w:val="99"/>
    <w:unhideWhenUsed/>
    <w:rsid w:val="00385470"/>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CB0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546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a-z-mental-health/mental-health-facts-and-statistics/" TargetMode="External" /><Relationship Id="rId3" Type="http://schemas.openxmlformats.org/officeDocument/2006/relationships/settings" Target="settings.xml" /><Relationship Id="rId7" Type="http://schemas.openxmlformats.org/officeDocument/2006/relationships/hyperlink" Target="https://mentalhealth-uk.org/help-and-information/conditions/anxiety-disorders/what-is-anxiety/"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fontTable" Target="fontTable.xml" /><Relationship Id="rId5" Type="http://schemas.openxmlformats.org/officeDocument/2006/relationships/image" Target="media/image1.jpeg" /><Relationship Id="rId10" Type="http://schemas.openxmlformats.org/officeDocument/2006/relationships/hyperlink" Target="https://www.who.int/news-room/fact-sheets/detail/anxiety-disorders" TargetMode="External" /><Relationship Id="rId4" Type="http://schemas.openxmlformats.org/officeDocument/2006/relationships/webSettings" Target="webSettings.xml" /><Relationship Id="rId9" Type="http://schemas.openxmlformats.org/officeDocument/2006/relationships/hyperlink" Target="https://www.priorygroup.com/mental-health/anxiety-treatment/anxiety-statistic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2000</Words>
  <Characters>11406</Characters>
  <Application>Microsoft Office Word</Application>
  <DocSecurity>0</DocSecurity>
  <Lines>95</Lines>
  <Paragraphs>26</Paragraphs>
  <ScaleCrop>false</ScaleCrop>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Rizwana Zahiem (2542634)</dc:creator>
  <cp:keywords/>
  <dc:description/>
  <cp:lastModifiedBy>Rizwana Zahiem (2542634)</cp:lastModifiedBy>
  <cp:revision>2</cp:revision>
  <dcterms:created xsi:type="dcterms:W3CDTF">2026-10-26T14:31:00Z</dcterms:created>
  <dcterms:modified xsi:type="dcterms:W3CDTF">2026-10-26T14:31:00Z</dcterms:modified>
</cp:coreProperties>
</file>