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DDD578" w14:textId="15665FA0" w:rsidR="00D50798" w:rsidRDefault="00D50798" w:rsidP="00D50798">
      <w:pPr>
        <w:pStyle w:val="Title"/>
        <w:rPr>
          <w:rFonts w:ascii="Arial" w:hAnsi="Arial" w:cs="Arial"/>
          <w:shd w:val="clear" w:color="auto" w:fill="FFFFFF"/>
        </w:rPr>
      </w:pPr>
      <w:r w:rsidRPr="00D50798">
        <w:rPr>
          <w:rFonts w:ascii="Arial" w:hAnsi="Arial" w:cs="Arial"/>
        </w:rPr>
        <w:t xml:space="preserve">MODULE </w:t>
      </w:r>
      <w:r w:rsidRPr="00D50798">
        <w:rPr>
          <w:rFonts w:ascii="Arial" w:hAnsi="Arial" w:cs="Arial"/>
          <w:shd w:val="clear" w:color="auto" w:fill="FFFFFF"/>
        </w:rPr>
        <w:t>BMPF7073D:</w:t>
      </w:r>
      <w:r>
        <w:rPr>
          <w:rFonts w:ascii="Arial" w:hAnsi="Arial" w:cs="Arial"/>
          <w:shd w:val="clear" w:color="auto" w:fill="FFFFFF"/>
        </w:rPr>
        <w:t xml:space="preserve"> </w:t>
      </w:r>
      <w:r w:rsidR="00B06FEE">
        <w:rPr>
          <w:rFonts w:ascii="Arial" w:hAnsi="Arial" w:cs="Arial"/>
          <w:shd w:val="clear" w:color="auto" w:fill="FFFFFF"/>
        </w:rPr>
        <w:t xml:space="preserve">How does </w:t>
      </w:r>
      <w:r w:rsidR="009070E6">
        <w:rPr>
          <w:rFonts w:ascii="Arial" w:hAnsi="Arial" w:cs="Arial"/>
          <w:shd w:val="clear" w:color="auto" w:fill="FFFFFF"/>
        </w:rPr>
        <w:t>gesture</w:t>
      </w:r>
      <w:r w:rsidR="00B06FEE">
        <w:rPr>
          <w:rFonts w:ascii="Arial" w:hAnsi="Arial" w:cs="Arial"/>
          <w:shd w:val="clear" w:color="auto" w:fill="FFFFFF"/>
        </w:rPr>
        <w:t xml:space="preserve"> relate to speech</w:t>
      </w:r>
      <w:r w:rsidR="00A63156">
        <w:rPr>
          <w:rFonts w:ascii="Arial" w:hAnsi="Arial" w:cs="Arial"/>
          <w:shd w:val="clear" w:color="auto" w:fill="FFFFFF"/>
        </w:rPr>
        <w:t>, and how should this inform our singing teaching?</w:t>
      </w:r>
    </w:p>
    <w:p w14:paraId="4E0C11A2" w14:textId="77777777" w:rsidR="0040669A" w:rsidRPr="0040669A" w:rsidRDefault="0040669A" w:rsidP="0040669A">
      <w:pPr>
        <w:rPr>
          <w:lang w:eastAsia="en-US"/>
        </w:rPr>
      </w:pPr>
    </w:p>
    <w:p w14:paraId="6DC97953" w14:textId="31CCA2A8" w:rsidR="00D50798" w:rsidRPr="00C64E28" w:rsidRDefault="00D50798" w:rsidP="0040669A">
      <w:pPr>
        <w:pStyle w:val="Title"/>
      </w:pPr>
      <w:r w:rsidRPr="00C64E28">
        <w:t>Sue McPhail</w:t>
      </w:r>
    </w:p>
    <w:p w14:paraId="5AEB7FA4" w14:textId="77777777" w:rsidR="0040669A" w:rsidRDefault="0040669A" w:rsidP="0040669A">
      <w:pPr>
        <w:pStyle w:val="Title"/>
      </w:pPr>
    </w:p>
    <w:p w14:paraId="70CDF934" w14:textId="400D57BB" w:rsidR="00D50798" w:rsidRPr="00C64E28" w:rsidRDefault="00D50798" w:rsidP="0040669A">
      <w:pPr>
        <w:pStyle w:val="Title"/>
      </w:pPr>
      <w:r w:rsidRPr="00C64E28">
        <w:t>Student number: 2333178</w:t>
      </w:r>
    </w:p>
    <w:p w14:paraId="09F7033B" w14:textId="77777777" w:rsidR="0040669A" w:rsidRDefault="0040669A" w:rsidP="0040669A">
      <w:pPr>
        <w:pStyle w:val="Title"/>
      </w:pPr>
    </w:p>
    <w:p w14:paraId="2BDABC5A" w14:textId="72E6AFA3" w:rsidR="00B1309D" w:rsidRDefault="00D50798" w:rsidP="0040669A">
      <w:pPr>
        <w:pStyle w:val="Title"/>
        <w:rPr>
          <w:shd w:val="clear" w:color="auto" w:fill="FFFFFF"/>
        </w:rPr>
      </w:pPr>
      <w:r w:rsidRPr="00C64E28">
        <w:t>Word Count:</w:t>
      </w:r>
      <w:r w:rsidRPr="00D50798">
        <w:rPr>
          <w:shd w:val="clear" w:color="auto" w:fill="FFFFFF"/>
        </w:rPr>
        <w:t xml:space="preserve"> </w:t>
      </w:r>
      <w:r w:rsidR="00263EB0">
        <w:rPr>
          <w:shd w:val="clear" w:color="auto" w:fill="FFFFFF"/>
        </w:rPr>
        <w:t>717</w:t>
      </w:r>
      <w:r w:rsidR="00250032">
        <w:rPr>
          <w:shd w:val="clear" w:color="auto" w:fill="FFFFFF"/>
        </w:rPr>
        <w:t>4</w:t>
      </w:r>
    </w:p>
    <w:p w14:paraId="24103DA4" w14:textId="1E1974A0" w:rsidR="00D50798" w:rsidRDefault="00D50798">
      <w:r>
        <w:br w:type="page"/>
      </w:r>
    </w:p>
    <w:sdt>
      <w:sdtPr>
        <w:rPr>
          <w:rFonts w:ascii="Times New Roman" w:eastAsia="Times New Roman" w:hAnsi="Times New Roman" w:cs="Times New Roman"/>
          <w:b w:val="0"/>
          <w:bCs w:val="0"/>
          <w:color w:val="auto"/>
          <w:sz w:val="24"/>
          <w:szCs w:val="24"/>
          <w:lang w:val="en-GB" w:eastAsia="en-GB"/>
        </w:rPr>
        <w:id w:val="332344591"/>
        <w:docPartObj>
          <w:docPartGallery w:val="Table of Contents"/>
          <w:docPartUnique/>
        </w:docPartObj>
      </w:sdtPr>
      <w:sdtEndPr>
        <w:rPr>
          <w:noProof/>
        </w:rPr>
      </w:sdtEndPr>
      <w:sdtContent>
        <w:p w14:paraId="15E7CBBB" w14:textId="63B1AF04" w:rsidR="0040669A" w:rsidRDefault="0040669A">
          <w:pPr>
            <w:pStyle w:val="TOCHeading"/>
          </w:pPr>
          <w:r>
            <w:t>Table of Contents</w:t>
          </w:r>
        </w:p>
        <w:p w14:paraId="4E0BF3A7" w14:textId="18D7AD01" w:rsidR="00332841" w:rsidRDefault="0040669A">
          <w:pPr>
            <w:pStyle w:val="TOC1"/>
            <w:tabs>
              <w:tab w:val="right" w:leader="dot" w:pos="9016"/>
            </w:tabs>
            <w:rPr>
              <w:rFonts w:eastAsiaTheme="minorEastAsia" w:cstheme="minorBidi"/>
              <w:b w:val="0"/>
              <w:bCs w:val="0"/>
              <w:i w:val="0"/>
              <w:iCs w:val="0"/>
              <w:noProof/>
              <w:kern w:val="2"/>
              <w14:ligatures w14:val="standardContextual"/>
            </w:rPr>
          </w:pPr>
          <w:r>
            <w:rPr>
              <w:b w:val="0"/>
              <w:bCs w:val="0"/>
            </w:rPr>
            <w:fldChar w:fldCharType="begin"/>
          </w:r>
          <w:r>
            <w:instrText xml:space="preserve"> TOC \o "1-3" \h \z \u </w:instrText>
          </w:r>
          <w:r>
            <w:rPr>
              <w:b w:val="0"/>
              <w:bCs w:val="0"/>
            </w:rPr>
            <w:fldChar w:fldCharType="separate"/>
          </w:r>
          <w:hyperlink w:anchor="_Toc218505595" w:history="1">
            <w:r w:rsidR="00332841" w:rsidRPr="002F192B">
              <w:rPr>
                <w:rStyle w:val="Hyperlink"/>
                <w:rFonts w:eastAsiaTheme="majorEastAsia"/>
                <w:noProof/>
              </w:rPr>
              <w:t>Component1: Project Proposal</w:t>
            </w:r>
            <w:r w:rsidR="00332841">
              <w:rPr>
                <w:noProof/>
                <w:webHidden/>
              </w:rPr>
              <w:tab/>
            </w:r>
            <w:r w:rsidR="00332841">
              <w:rPr>
                <w:noProof/>
                <w:webHidden/>
              </w:rPr>
              <w:fldChar w:fldCharType="begin"/>
            </w:r>
            <w:r w:rsidR="00332841">
              <w:rPr>
                <w:noProof/>
                <w:webHidden/>
              </w:rPr>
              <w:instrText xml:space="preserve"> PAGEREF _Toc218505595 \h </w:instrText>
            </w:r>
            <w:r w:rsidR="00332841">
              <w:rPr>
                <w:noProof/>
                <w:webHidden/>
              </w:rPr>
            </w:r>
            <w:r w:rsidR="00332841">
              <w:rPr>
                <w:noProof/>
                <w:webHidden/>
              </w:rPr>
              <w:fldChar w:fldCharType="separate"/>
            </w:r>
            <w:r w:rsidR="00250032">
              <w:rPr>
                <w:noProof/>
                <w:webHidden/>
              </w:rPr>
              <w:t>3</w:t>
            </w:r>
            <w:r w:rsidR="00332841">
              <w:rPr>
                <w:noProof/>
                <w:webHidden/>
              </w:rPr>
              <w:fldChar w:fldCharType="end"/>
            </w:r>
          </w:hyperlink>
        </w:p>
        <w:p w14:paraId="3B8F2569" w14:textId="26E9CA99" w:rsidR="00332841" w:rsidRDefault="00332841">
          <w:pPr>
            <w:pStyle w:val="TOC2"/>
            <w:tabs>
              <w:tab w:val="right" w:leader="dot" w:pos="9016"/>
            </w:tabs>
            <w:rPr>
              <w:rFonts w:eastAsiaTheme="minorEastAsia" w:cstheme="minorBidi"/>
              <w:b w:val="0"/>
              <w:bCs w:val="0"/>
              <w:noProof/>
              <w:kern w:val="2"/>
              <w:sz w:val="24"/>
              <w:szCs w:val="24"/>
              <w14:ligatures w14:val="standardContextual"/>
            </w:rPr>
          </w:pPr>
          <w:hyperlink w:anchor="_Toc218505596" w:history="1">
            <w:r w:rsidRPr="002F192B">
              <w:rPr>
                <w:rStyle w:val="Hyperlink"/>
                <w:rFonts w:eastAsiaTheme="majorEastAsia"/>
                <w:noProof/>
              </w:rPr>
              <w:t>1.1 Introduction</w:t>
            </w:r>
            <w:r>
              <w:rPr>
                <w:noProof/>
                <w:webHidden/>
              </w:rPr>
              <w:tab/>
            </w:r>
            <w:r>
              <w:rPr>
                <w:noProof/>
                <w:webHidden/>
              </w:rPr>
              <w:fldChar w:fldCharType="begin"/>
            </w:r>
            <w:r>
              <w:rPr>
                <w:noProof/>
                <w:webHidden/>
              </w:rPr>
              <w:instrText xml:space="preserve"> PAGEREF _Toc218505596 \h </w:instrText>
            </w:r>
            <w:r>
              <w:rPr>
                <w:noProof/>
                <w:webHidden/>
              </w:rPr>
            </w:r>
            <w:r>
              <w:rPr>
                <w:noProof/>
                <w:webHidden/>
              </w:rPr>
              <w:fldChar w:fldCharType="separate"/>
            </w:r>
            <w:r w:rsidR="00250032">
              <w:rPr>
                <w:noProof/>
                <w:webHidden/>
              </w:rPr>
              <w:t>3</w:t>
            </w:r>
            <w:r>
              <w:rPr>
                <w:noProof/>
                <w:webHidden/>
              </w:rPr>
              <w:fldChar w:fldCharType="end"/>
            </w:r>
          </w:hyperlink>
        </w:p>
        <w:p w14:paraId="7D9AFB84" w14:textId="20ABF033" w:rsidR="00332841" w:rsidRDefault="00332841">
          <w:pPr>
            <w:pStyle w:val="TOC2"/>
            <w:tabs>
              <w:tab w:val="right" w:leader="dot" w:pos="9016"/>
            </w:tabs>
            <w:rPr>
              <w:rFonts w:eastAsiaTheme="minorEastAsia" w:cstheme="minorBidi"/>
              <w:b w:val="0"/>
              <w:bCs w:val="0"/>
              <w:noProof/>
              <w:kern w:val="2"/>
              <w:sz w:val="24"/>
              <w:szCs w:val="24"/>
              <w14:ligatures w14:val="standardContextual"/>
            </w:rPr>
          </w:pPr>
          <w:hyperlink w:anchor="_Toc218505597" w:history="1">
            <w:r w:rsidRPr="002F192B">
              <w:rPr>
                <w:rStyle w:val="Hyperlink"/>
                <w:rFonts w:eastAsiaTheme="majorEastAsia"/>
                <w:noProof/>
              </w:rPr>
              <w:t>1.2 Planned Programme of Study</w:t>
            </w:r>
            <w:r>
              <w:rPr>
                <w:noProof/>
                <w:webHidden/>
              </w:rPr>
              <w:tab/>
            </w:r>
            <w:r>
              <w:rPr>
                <w:noProof/>
                <w:webHidden/>
              </w:rPr>
              <w:fldChar w:fldCharType="begin"/>
            </w:r>
            <w:r>
              <w:rPr>
                <w:noProof/>
                <w:webHidden/>
              </w:rPr>
              <w:instrText xml:space="preserve"> PAGEREF _Toc218505597 \h </w:instrText>
            </w:r>
            <w:r>
              <w:rPr>
                <w:noProof/>
                <w:webHidden/>
              </w:rPr>
            </w:r>
            <w:r>
              <w:rPr>
                <w:noProof/>
                <w:webHidden/>
              </w:rPr>
              <w:fldChar w:fldCharType="separate"/>
            </w:r>
            <w:r w:rsidR="00250032">
              <w:rPr>
                <w:noProof/>
                <w:webHidden/>
              </w:rPr>
              <w:t>4</w:t>
            </w:r>
            <w:r>
              <w:rPr>
                <w:noProof/>
                <w:webHidden/>
              </w:rPr>
              <w:fldChar w:fldCharType="end"/>
            </w:r>
          </w:hyperlink>
        </w:p>
        <w:p w14:paraId="3DAFF702" w14:textId="1E5CD847" w:rsidR="00332841" w:rsidRDefault="00332841">
          <w:pPr>
            <w:pStyle w:val="TOC2"/>
            <w:tabs>
              <w:tab w:val="right" w:leader="dot" w:pos="9016"/>
            </w:tabs>
            <w:rPr>
              <w:rFonts w:eastAsiaTheme="minorEastAsia" w:cstheme="minorBidi"/>
              <w:b w:val="0"/>
              <w:bCs w:val="0"/>
              <w:noProof/>
              <w:kern w:val="2"/>
              <w:sz w:val="24"/>
              <w:szCs w:val="24"/>
              <w14:ligatures w14:val="standardContextual"/>
            </w:rPr>
          </w:pPr>
          <w:hyperlink w:anchor="_Toc218505598" w:history="1">
            <w:r w:rsidRPr="002F192B">
              <w:rPr>
                <w:rStyle w:val="Hyperlink"/>
                <w:rFonts w:eastAsiaTheme="majorEastAsia"/>
                <w:noProof/>
              </w:rPr>
              <w:t>1.3 Methodology</w:t>
            </w:r>
            <w:r>
              <w:rPr>
                <w:noProof/>
                <w:webHidden/>
              </w:rPr>
              <w:tab/>
            </w:r>
            <w:r>
              <w:rPr>
                <w:noProof/>
                <w:webHidden/>
              </w:rPr>
              <w:fldChar w:fldCharType="begin"/>
            </w:r>
            <w:r>
              <w:rPr>
                <w:noProof/>
                <w:webHidden/>
              </w:rPr>
              <w:instrText xml:space="preserve"> PAGEREF _Toc218505598 \h </w:instrText>
            </w:r>
            <w:r>
              <w:rPr>
                <w:noProof/>
                <w:webHidden/>
              </w:rPr>
            </w:r>
            <w:r>
              <w:rPr>
                <w:noProof/>
                <w:webHidden/>
              </w:rPr>
              <w:fldChar w:fldCharType="separate"/>
            </w:r>
            <w:r w:rsidR="00250032">
              <w:rPr>
                <w:noProof/>
                <w:webHidden/>
              </w:rPr>
              <w:t>7</w:t>
            </w:r>
            <w:r>
              <w:rPr>
                <w:noProof/>
                <w:webHidden/>
              </w:rPr>
              <w:fldChar w:fldCharType="end"/>
            </w:r>
          </w:hyperlink>
        </w:p>
        <w:p w14:paraId="22A3CB8A" w14:textId="76FE3786" w:rsidR="00332841" w:rsidRDefault="00332841">
          <w:pPr>
            <w:pStyle w:val="TOC1"/>
            <w:tabs>
              <w:tab w:val="right" w:leader="dot" w:pos="9016"/>
            </w:tabs>
            <w:rPr>
              <w:rFonts w:eastAsiaTheme="minorEastAsia" w:cstheme="minorBidi"/>
              <w:b w:val="0"/>
              <w:bCs w:val="0"/>
              <w:i w:val="0"/>
              <w:iCs w:val="0"/>
              <w:noProof/>
              <w:kern w:val="2"/>
              <w14:ligatures w14:val="standardContextual"/>
            </w:rPr>
          </w:pPr>
          <w:hyperlink w:anchor="_Toc218505599" w:history="1">
            <w:r w:rsidRPr="002F192B">
              <w:rPr>
                <w:rStyle w:val="Hyperlink"/>
                <w:rFonts w:eastAsiaTheme="majorEastAsia"/>
                <w:noProof/>
              </w:rPr>
              <w:t>Component 2: Project Report</w:t>
            </w:r>
            <w:r>
              <w:rPr>
                <w:noProof/>
                <w:webHidden/>
              </w:rPr>
              <w:tab/>
            </w:r>
            <w:r>
              <w:rPr>
                <w:noProof/>
                <w:webHidden/>
              </w:rPr>
              <w:fldChar w:fldCharType="begin"/>
            </w:r>
            <w:r>
              <w:rPr>
                <w:noProof/>
                <w:webHidden/>
              </w:rPr>
              <w:instrText xml:space="preserve"> PAGEREF _Toc218505599 \h </w:instrText>
            </w:r>
            <w:r>
              <w:rPr>
                <w:noProof/>
                <w:webHidden/>
              </w:rPr>
            </w:r>
            <w:r>
              <w:rPr>
                <w:noProof/>
                <w:webHidden/>
              </w:rPr>
              <w:fldChar w:fldCharType="separate"/>
            </w:r>
            <w:r w:rsidR="00250032">
              <w:rPr>
                <w:noProof/>
                <w:webHidden/>
              </w:rPr>
              <w:t>9</w:t>
            </w:r>
            <w:r>
              <w:rPr>
                <w:noProof/>
                <w:webHidden/>
              </w:rPr>
              <w:fldChar w:fldCharType="end"/>
            </w:r>
          </w:hyperlink>
        </w:p>
        <w:p w14:paraId="00C42F60" w14:textId="03E0A88B" w:rsidR="00332841" w:rsidRDefault="00332841">
          <w:pPr>
            <w:pStyle w:val="TOC2"/>
            <w:tabs>
              <w:tab w:val="right" w:leader="dot" w:pos="9016"/>
            </w:tabs>
            <w:rPr>
              <w:rFonts w:eastAsiaTheme="minorEastAsia" w:cstheme="minorBidi"/>
              <w:b w:val="0"/>
              <w:bCs w:val="0"/>
              <w:noProof/>
              <w:kern w:val="2"/>
              <w:sz w:val="24"/>
              <w:szCs w:val="24"/>
              <w14:ligatures w14:val="standardContextual"/>
            </w:rPr>
          </w:pPr>
          <w:hyperlink w:anchor="_Toc218505600" w:history="1">
            <w:r w:rsidRPr="002F192B">
              <w:rPr>
                <w:rStyle w:val="Hyperlink"/>
                <w:rFonts w:eastAsiaTheme="majorEastAsia"/>
                <w:noProof/>
              </w:rPr>
              <w:t>2.1 Introduction</w:t>
            </w:r>
            <w:r>
              <w:rPr>
                <w:noProof/>
                <w:webHidden/>
              </w:rPr>
              <w:tab/>
            </w:r>
            <w:r>
              <w:rPr>
                <w:noProof/>
                <w:webHidden/>
              </w:rPr>
              <w:fldChar w:fldCharType="begin"/>
            </w:r>
            <w:r>
              <w:rPr>
                <w:noProof/>
                <w:webHidden/>
              </w:rPr>
              <w:instrText xml:space="preserve"> PAGEREF _Toc218505600 \h </w:instrText>
            </w:r>
            <w:r>
              <w:rPr>
                <w:noProof/>
                <w:webHidden/>
              </w:rPr>
            </w:r>
            <w:r>
              <w:rPr>
                <w:noProof/>
                <w:webHidden/>
              </w:rPr>
              <w:fldChar w:fldCharType="separate"/>
            </w:r>
            <w:r w:rsidR="00250032">
              <w:rPr>
                <w:noProof/>
                <w:webHidden/>
              </w:rPr>
              <w:t>9</w:t>
            </w:r>
            <w:r>
              <w:rPr>
                <w:noProof/>
                <w:webHidden/>
              </w:rPr>
              <w:fldChar w:fldCharType="end"/>
            </w:r>
          </w:hyperlink>
        </w:p>
        <w:p w14:paraId="015A18DF" w14:textId="2F3DBBFC" w:rsidR="00332841" w:rsidRDefault="00332841">
          <w:pPr>
            <w:pStyle w:val="TOC2"/>
            <w:tabs>
              <w:tab w:val="right" w:leader="dot" w:pos="9016"/>
            </w:tabs>
            <w:rPr>
              <w:rFonts w:eastAsiaTheme="minorEastAsia" w:cstheme="minorBidi"/>
              <w:b w:val="0"/>
              <w:bCs w:val="0"/>
              <w:noProof/>
              <w:kern w:val="2"/>
              <w:sz w:val="24"/>
              <w:szCs w:val="24"/>
              <w14:ligatures w14:val="standardContextual"/>
            </w:rPr>
          </w:pPr>
          <w:hyperlink w:anchor="_Toc218505601" w:history="1">
            <w:r w:rsidRPr="002F192B">
              <w:rPr>
                <w:rStyle w:val="Hyperlink"/>
                <w:rFonts w:eastAsiaTheme="majorEastAsia"/>
                <w:noProof/>
              </w:rPr>
              <w:t>2.2 Review</w:t>
            </w:r>
            <w:r>
              <w:rPr>
                <w:noProof/>
                <w:webHidden/>
              </w:rPr>
              <w:tab/>
            </w:r>
            <w:r>
              <w:rPr>
                <w:noProof/>
                <w:webHidden/>
              </w:rPr>
              <w:fldChar w:fldCharType="begin"/>
            </w:r>
            <w:r>
              <w:rPr>
                <w:noProof/>
                <w:webHidden/>
              </w:rPr>
              <w:instrText xml:space="preserve"> PAGEREF _Toc218505601 \h </w:instrText>
            </w:r>
            <w:r>
              <w:rPr>
                <w:noProof/>
                <w:webHidden/>
              </w:rPr>
            </w:r>
            <w:r>
              <w:rPr>
                <w:noProof/>
                <w:webHidden/>
              </w:rPr>
              <w:fldChar w:fldCharType="separate"/>
            </w:r>
            <w:r w:rsidR="00250032">
              <w:rPr>
                <w:noProof/>
                <w:webHidden/>
              </w:rPr>
              <w:t>10</w:t>
            </w:r>
            <w:r>
              <w:rPr>
                <w:noProof/>
                <w:webHidden/>
              </w:rPr>
              <w:fldChar w:fldCharType="end"/>
            </w:r>
          </w:hyperlink>
        </w:p>
        <w:p w14:paraId="7878CFD1" w14:textId="2D7EF8B8" w:rsidR="00332841" w:rsidRDefault="00332841">
          <w:pPr>
            <w:pStyle w:val="TOC3"/>
            <w:tabs>
              <w:tab w:val="right" w:leader="dot" w:pos="9016"/>
            </w:tabs>
            <w:rPr>
              <w:rFonts w:eastAsiaTheme="minorEastAsia" w:cstheme="minorBidi"/>
              <w:noProof/>
              <w:kern w:val="2"/>
              <w:sz w:val="24"/>
              <w:szCs w:val="24"/>
              <w14:ligatures w14:val="standardContextual"/>
            </w:rPr>
          </w:pPr>
          <w:hyperlink w:anchor="_Toc218505602" w:history="1">
            <w:r w:rsidRPr="002F192B">
              <w:rPr>
                <w:rStyle w:val="Hyperlink"/>
                <w:rFonts w:eastAsiaTheme="majorEastAsia"/>
                <w:noProof/>
              </w:rPr>
              <w:t>Gesture and singing</w:t>
            </w:r>
            <w:r>
              <w:rPr>
                <w:noProof/>
                <w:webHidden/>
              </w:rPr>
              <w:tab/>
            </w:r>
            <w:r>
              <w:rPr>
                <w:noProof/>
                <w:webHidden/>
              </w:rPr>
              <w:fldChar w:fldCharType="begin"/>
            </w:r>
            <w:r>
              <w:rPr>
                <w:noProof/>
                <w:webHidden/>
              </w:rPr>
              <w:instrText xml:space="preserve"> PAGEREF _Toc218505602 \h </w:instrText>
            </w:r>
            <w:r>
              <w:rPr>
                <w:noProof/>
                <w:webHidden/>
              </w:rPr>
            </w:r>
            <w:r>
              <w:rPr>
                <w:noProof/>
                <w:webHidden/>
              </w:rPr>
              <w:fldChar w:fldCharType="separate"/>
            </w:r>
            <w:r w:rsidR="00250032">
              <w:rPr>
                <w:noProof/>
                <w:webHidden/>
              </w:rPr>
              <w:t>10</w:t>
            </w:r>
            <w:r>
              <w:rPr>
                <w:noProof/>
                <w:webHidden/>
              </w:rPr>
              <w:fldChar w:fldCharType="end"/>
            </w:r>
          </w:hyperlink>
        </w:p>
        <w:p w14:paraId="4DC98217" w14:textId="73C7205A" w:rsidR="00332841" w:rsidRDefault="00332841">
          <w:pPr>
            <w:pStyle w:val="TOC3"/>
            <w:tabs>
              <w:tab w:val="right" w:leader="dot" w:pos="9016"/>
            </w:tabs>
            <w:rPr>
              <w:rFonts w:eastAsiaTheme="minorEastAsia" w:cstheme="minorBidi"/>
              <w:noProof/>
              <w:kern w:val="2"/>
              <w:sz w:val="24"/>
              <w:szCs w:val="24"/>
              <w14:ligatures w14:val="standardContextual"/>
            </w:rPr>
          </w:pPr>
          <w:hyperlink w:anchor="_Toc218505603" w:history="1">
            <w:r w:rsidRPr="002F192B">
              <w:rPr>
                <w:rStyle w:val="Hyperlink"/>
                <w:rFonts w:eastAsiaTheme="majorEastAsia"/>
                <w:noProof/>
              </w:rPr>
              <w:t>Gesture and language</w:t>
            </w:r>
            <w:r>
              <w:rPr>
                <w:noProof/>
                <w:webHidden/>
              </w:rPr>
              <w:tab/>
            </w:r>
            <w:r>
              <w:rPr>
                <w:noProof/>
                <w:webHidden/>
              </w:rPr>
              <w:fldChar w:fldCharType="begin"/>
            </w:r>
            <w:r>
              <w:rPr>
                <w:noProof/>
                <w:webHidden/>
              </w:rPr>
              <w:instrText xml:space="preserve"> PAGEREF _Toc218505603 \h </w:instrText>
            </w:r>
            <w:r>
              <w:rPr>
                <w:noProof/>
                <w:webHidden/>
              </w:rPr>
            </w:r>
            <w:r>
              <w:rPr>
                <w:noProof/>
                <w:webHidden/>
              </w:rPr>
              <w:fldChar w:fldCharType="separate"/>
            </w:r>
            <w:r w:rsidR="00250032">
              <w:rPr>
                <w:noProof/>
                <w:webHidden/>
              </w:rPr>
              <w:t>11</w:t>
            </w:r>
            <w:r>
              <w:rPr>
                <w:noProof/>
                <w:webHidden/>
              </w:rPr>
              <w:fldChar w:fldCharType="end"/>
            </w:r>
          </w:hyperlink>
        </w:p>
        <w:p w14:paraId="469092EF" w14:textId="294316EE" w:rsidR="00332841" w:rsidRDefault="00332841">
          <w:pPr>
            <w:pStyle w:val="TOC3"/>
            <w:tabs>
              <w:tab w:val="right" w:leader="dot" w:pos="9016"/>
            </w:tabs>
            <w:rPr>
              <w:rFonts w:eastAsiaTheme="minorEastAsia" w:cstheme="minorBidi"/>
              <w:noProof/>
              <w:kern w:val="2"/>
              <w:sz w:val="24"/>
              <w:szCs w:val="24"/>
              <w14:ligatures w14:val="standardContextual"/>
            </w:rPr>
          </w:pPr>
          <w:hyperlink w:anchor="_Toc218505604" w:history="1">
            <w:r w:rsidRPr="002F192B">
              <w:rPr>
                <w:rStyle w:val="Hyperlink"/>
                <w:rFonts w:eastAsiaTheme="majorEastAsia"/>
                <w:noProof/>
              </w:rPr>
              <w:t>Gesture and language acquisition in infants</w:t>
            </w:r>
            <w:r>
              <w:rPr>
                <w:noProof/>
                <w:webHidden/>
              </w:rPr>
              <w:tab/>
            </w:r>
            <w:r>
              <w:rPr>
                <w:noProof/>
                <w:webHidden/>
              </w:rPr>
              <w:fldChar w:fldCharType="begin"/>
            </w:r>
            <w:r>
              <w:rPr>
                <w:noProof/>
                <w:webHidden/>
              </w:rPr>
              <w:instrText xml:space="preserve"> PAGEREF _Toc218505604 \h </w:instrText>
            </w:r>
            <w:r>
              <w:rPr>
                <w:noProof/>
                <w:webHidden/>
              </w:rPr>
            </w:r>
            <w:r>
              <w:rPr>
                <w:noProof/>
                <w:webHidden/>
              </w:rPr>
              <w:fldChar w:fldCharType="separate"/>
            </w:r>
            <w:r w:rsidR="00250032">
              <w:rPr>
                <w:noProof/>
                <w:webHidden/>
              </w:rPr>
              <w:t>12</w:t>
            </w:r>
            <w:r>
              <w:rPr>
                <w:noProof/>
                <w:webHidden/>
              </w:rPr>
              <w:fldChar w:fldCharType="end"/>
            </w:r>
          </w:hyperlink>
        </w:p>
        <w:p w14:paraId="3361A7DA" w14:textId="010D7145" w:rsidR="00332841" w:rsidRDefault="00332841">
          <w:pPr>
            <w:pStyle w:val="TOC3"/>
            <w:tabs>
              <w:tab w:val="right" w:leader="dot" w:pos="9016"/>
            </w:tabs>
            <w:rPr>
              <w:rFonts w:eastAsiaTheme="minorEastAsia" w:cstheme="minorBidi"/>
              <w:noProof/>
              <w:kern w:val="2"/>
              <w:sz w:val="24"/>
              <w:szCs w:val="24"/>
              <w14:ligatures w14:val="standardContextual"/>
            </w:rPr>
          </w:pPr>
          <w:hyperlink w:anchor="_Toc218505605" w:history="1">
            <w:r w:rsidRPr="002F192B">
              <w:rPr>
                <w:rStyle w:val="Hyperlink"/>
                <w:rFonts w:eastAsiaTheme="majorEastAsia"/>
                <w:noProof/>
              </w:rPr>
              <w:t>Gesture and second language acquisition</w:t>
            </w:r>
            <w:r>
              <w:rPr>
                <w:noProof/>
                <w:webHidden/>
              </w:rPr>
              <w:tab/>
            </w:r>
            <w:r>
              <w:rPr>
                <w:noProof/>
                <w:webHidden/>
              </w:rPr>
              <w:fldChar w:fldCharType="begin"/>
            </w:r>
            <w:r>
              <w:rPr>
                <w:noProof/>
                <w:webHidden/>
              </w:rPr>
              <w:instrText xml:space="preserve"> PAGEREF _Toc218505605 \h </w:instrText>
            </w:r>
            <w:r>
              <w:rPr>
                <w:noProof/>
                <w:webHidden/>
              </w:rPr>
            </w:r>
            <w:r>
              <w:rPr>
                <w:noProof/>
                <w:webHidden/>
              </w:rPr>
              <w:fldChar w:fldCharType="separate"/>
            </w:r>
            <w:r w:rsidR="00250032">
              <w:rPr>
                <w:noProof/>
                <w:webHidden/>
              </w:rPr>
              <w:t>14</w:t>
            </w:r>
            <w:r>
              <w:rPr>
                <w:noProof/>
                <w:webHidden/>
              </w:rPr>
              <w:fldChar w:fldCharType="end"/>
            </w:r>
          </w:hyperlink>
        </w:p>
        <w:p w14:paraId="4471258B" w14:textId="6A2581A1" w:rsidR="00332841" w:rsidRDefault="00332841">
          <w:pPr>
            <w:pStyle w:val="TOC3"/>
            <w:tabs>
              <w:tab w:val="right" w:leader="dot" w:pos="9016"/>
            </w:tabs>
            <w:rPr>
              <w:rFonts w:eastAsiaTheme="minorEastAsia" w:cstheme="minorBidi"/>
              <w:noProof/>
              <w:kern w:val="2"/>
              <w:sz w:val="24"/>
              <w:szCs w:val="24"/>
              <w14:ligatures w14:val="standardContextual"/>
            </w:rPr>
          </w:pPr>
          <w:hyperlink w:anchor="_Toc218505606" w:history="1">
            <w:r w:rsidRPr="002F192B">
              <w:rPr>
                <w:rStyle w:val="Hyperlink"/>
                <w:rFonts w:eastAsiaTheme="majorEastAsia"/>
                <w:noProof/>
              </w:rPr>
              <w:t>Gesture and sign language</w:t>
            </w:r>
            <w:r>
              <w:rPr>
                <w:noProof/>
                <w:webHidden/>
              </w:rPr>
              <w:tab/>
            </w:r>
            <w:r>
              <w:rPr>
                <w:noProof/>
                <w:webHidden/>
              </w:rPr>
              <w:fldChar w:fldCharType="begin"/>
            </w:r>
            <w:r>
              <w:rPr>
                <w:noProof/>
                <w:webHidden/>
              </w:rPr>
              <w:instrText xml:space="preserve"> PAGEREF _Toc218505606 \h </w:instrText>
            </w:r>
            <w:r>
              <w:rPr>
                <w:noProof/>
                <w:webHidden/>
              </w:rPr>
            </w:r>
            <w:r>
              <w:rPr>
                <w:noProof/>
                <w:webHidden/>
              </w:rPr>
              <w:fldChar w:fldCharType="separate"/>
            </w:r>
            <w:r w:rsidR="00250032">
              <w:rPr>
                <w:noProof/>
                <w:webHidden/>
              </w:rPr>
              <w:t>16</w:t>
            </w:r>
            <w:r>
              <w:rPr>
                <w:noProof/>
                <w:webHidden/>
              </w:rPr>
              <w:fldChar w:fldCharType="end"/>
            </w:r>
          </w:hyperlink>
        </w:p>
        <w:p w14:paraId="43BA2D0C" w14:textId="3CC93260" w:rsidR="00332841" w:rsidRDefault="00332841">
          <w:pPr>
            <w:pStyle w:val="TOC3"/>
            <w:tabs>
              <w:tab w:val="right" w:leader="dot" w:pos="9016"/>
            </w:tabs>
            <w:rPr>
              <w:rFonts w:eastAsiaTheme="minorEastAsia" w:cstheme="minorBidi"/>
              <w:noProof/>
              <w:kern w:val="2"/>
              <w:sz w:val="24"/>
              <w:szCs w:val="24"/>
              <w14:ligatures w14:val="standardContextual"/>
            </w:rPr>
          </w:pPr>
          <w:hyperlink w:anchor="_Toc218505607" w:history="1">
            <w:r w:rsidRPr="002F192B">
              <w:rPr>
                <w:rStyle w:val="Hyperlink"/>
                <w:rFonts w:eastAsiaTheme="majorEastAsia"/>
                <w:noProof/>
              </w:rPr>
              <w:t>Gesture in other fields of learning</w:t>
            </w:r>
            <w:r>
              <w:rPr>
                <w:noProof/>
                <w:webHidden/>
              </w:rPr>
              <w:tab/>
            </w:r>
            <w:r>
              <w:rPr>
                <w:noProof/>
                <w:webHidden/>
              </w:rPr>
              <w:fldChar w:fldCharType="begin"/>
            </w:r>
            <w:r>
              <w:rPr>
                <w:noProof/>
                <w:webHidden/>
              </w:rPr>
              <w:instrText xml:space="preserve"> PAGEREF _Toc218505607 \h </w:instrText>
            </w:r>
            <w:r>
              <w:rPr>
                <w:noProof/>
                <w:webHidden/>
              </w:rPr>
            </w:r>
            <w:r>
              <w:rPr>
                <w:noProof/>
                <w:webHidden/>
              </w:rPr>
              <w:fldChar w:fldCharType="separate"/>
            </w:r>
            <w:r w:rsidR="00250032">
              <w:rPr>
                <w:noProof/>
                <w:webHidden/>
              </w:rPr>
              <w:t>17</w:t>
            </w:r>
            <w:r>
              <w:rPr>
                <w:noProof/>
                <w:webHidden/>
              </w:rPr>
              <w:fldChar w:fldCharType="end"/>
            </w:r>
          </w:hyperlink>
        </w:p>
        <w:p w14:paraId="585F003F" w14:textId="10F9CA9B" w:rsidR="00332841" w:rsidRDefault="00332841">
          <w:pPr>
            <w:pStyle w:val="TOC3"/>
            <w:tabs>
              <w:tab w:val="right" w:leader="dot" w:pos="9016"/>
            </w:tabs>
            <w:rPr>
              <w:rFonts w:eastAsiaTheme="minorEastAsia" w:cstheme="minorBidi"/>
              <w:noProof/>
              <w:kern w:val="2"/>
              <w:sz w:val="24"/>
              <w:szCs w:val="24"/>
              <w14:ligatures w14:val="standardContextual"/>
            </w:rPr>
          </w:pPr>
          <w:hyperlink w:anchor="_Toc218505608" w:history="1">
            <w:r w:rsidRPr="002F192B">
              <w:rPr>
                <w:rStyle w:val="Hyperlink"/>
                <w:rFonts w:eastAsiaTheme="majorEastAsia"/>
                <w:noProof/>
              </w:rPr>
              <w:t>The neuroscience of vocal learning and speech production</w:t>
            </w:r>
            <w:r>
              <w:rPr>
                <w:noProof/>
                <w:webHidden/>
              </w:rPr>
              <w:tab/>
            </w:r>
            <w:r>
              <w:rPr>
                <w:noProof/>
                <w:webHidden/>
              </w:rPr>
              <w:fldChar w:fldCharType="begin"/>
            </w:r>
            <w:r>
              <w:rPr>
                <w:noProof/>
                <w:webHidden/>
              </w:rPr>
              <w:instrText xml:space="preserve"> PAGEREF _Toc218505608 \h </w:instrText>
            </w:r>
            <w:r>
              <w:rPr>
                <w:noProof/>
                <w:webHidden/>
              </w:rPr>
            </w:r>
            <w:r>
              <w:rPr>
                <w:noProof/>
                <w:webHidden/>
              </w:rPr>
              <w:fldChar w:fldCharType="separate"/>
            </w:r>
            <w:r w:rsidR="00250032">
              <w:rPr>
                <w:noProof/>
                <w:webHidden/>
              </w:rPr>
              <w:t>18</w:t>
            </w:r>
            <w:r>
              <w:rPr>
                <w:noProof/>
                <w:webHidden/>
              </w:rPr>
              <w:fldChar w:fldCharType="end"/>
            </w:r>
          </w:hyperlink>
        </w:p>
        <w:p w14:paraId="4F995763" w14:textId="3EECF79C" w:rsidR="00332841" w:rsidRDefault="00332841">
          <w:pPr>
            <w:pStyle w:val="TOC3"/>
            <w:tabs>
              <w:tab w:val="right" w:leader="dot" w:pos="9016"/>
            </w:tabs>
            <w:rPr>
              <w:rFonts w:eastAsiaTheme="minorEastAsia" w:cstheme="minorBidi"/>
              <w:noProof/>
              <w:kern w:val="2"/>
              <w:sz w:val="24"/>
              <w:szCs w:val="24"/>
              <w14:ligatures w14:val="standardContextual"/>
            </w:rPr>
          </w:pPr>
          <w:hyperlink w:anchor="_Toc218505609" w:history="1">
            <w:r w:rsidRPr="002F192B">
              <w:rPr>
                <w:rStyle w:val="Hyperlink"/>
                <w:rFonts w:eastAsiaTheme="majorEastAsia"/>
                <w:noProof/>
              </w:rPr>
              <w:t>Discussion</w:t>
            </w:r>
            <w:r>
              <w:rPr>
                <w:noProof/>
                <w:webHidden/>
              </w:rPr>
              <w:tab/>
            </w:r>
            <w:r>
              <w:rPr>
                <w:noProof/>
                <w:webHidden/>
              </w:rPr>
              <w:fldChar w:fldCharType="begin"/>
            </w:r>
            <w:r>
              <w:rPr>
                <w:noProof/>
                <w:webHidden/>
              </w:rPr>
              <w:instrText xml:space="preserve"> PAGEREF _Toc218505609 \h </w:instrText>
            </w:r>
            <w:r>
              <w:rPr>
                <w:noProof/>
                <w:webHidden/>
              </w:rPr>
            </w:r>
            <w:r>
              <w:rPr>
                <w:noProof/>
                <w:webHidden/>
              </w:rPr>
              <w:fldChar w:fldCharType="separate"/>
            </w:r>
            <w:r w:rsidR="00250032">
              <w:rPr>
                <w:noProof/>
                <w:webHidden/>
              </w:rPr>
              <w:t>22</w:t>
            </w:r>
            <w:r>
              <w:rPr>
                <w:noProof/>
                <w:webHidden/>
              </w:rPr>
              <w:fldChar w:fldCharType="end"/>
            </w:r>
          </w:hyperlink>
        </w:p>
        <w:p w14:paraId="48BA5D63" w14:textId="789C934C" w:rsidR="00332841" w:rsidRDefault="00332841">
          <w:pPr>
            <w:pStyle w:val="TOC3"/>
            <w:tabs>
              <w:tab w:val="right" w:leader="dot" w:pos="9016"/>
            </w:tabs>
            <w:rPr>
              <w:rFonts w:eastAsiaTheme="minorEastAsia" w:cstheme="minorBidi"/>
              <w:noProof/>
              <w:kern w:val="2"/>
              <w:sz w:val="24"/>
              <w:szCs w:val="24"/>
              <w14:ligatures w14:val="standardContextual"/>
            </w:rPr>
          </w:pPr>
          <w:hyperlink w:anchor="_Toc218505610" w:history="1">
            <w:r w:rsidRPr="002F192B">
              <w:rPr>
                <w:rStyle w:val="Hyperlink"/>
                <w:rFonts w:eastAsiaTheme="majorEastAsia"/>
                <w:noProof/>
              </w:rPr>
              <w:t>Conclusions and Future Recommendations</w:t>
            </w:r>
            <w:r>
              <w:rPr>
                <w:noProof/>
                <w:webHidden/>
              </w:rPr>
              <w:tab/>
            </w:r>
            <w:r>
              <w:rPr>
                <w:noProof/>
                <w:webHidden/>
              </w:rPr>
              <w:fldChar w:fldCharType="begin"/>
            </w:r>
            <w:r>
              <w:rPr>
                <w:noProof/>
                <w:webHidden/>
              </w:rPr>
              <w:instrText xml:space="preserve"> PAGEREF _Toc218505610 \h </w:instrText>
            </w:r>
            <w:r>
              <w:rPr>
                <w:noProof/>
                <w:webHidden/>
              </w:rPr>
            </w:r>
            <w:r>
              <w:rPr>
                <w:noProof/>
                <w:webHidden/>
              </w:rPr>
              <w:fldChar w:fldCharType="separate"/>
            </w:r>
            <w:r w:rsidR="00250032">
              <w:rPr>
                <w:noProof/>
                <w:webHidden/>
              </w:rPr>
              <w:t>24</w:t>
            </w:r>
            <w:r>
              <w:rPr>
                <w:noProof/>
                <w:webHidden/>
              </w:rPr>
              <w:fldChar w:fldCharType="end"/>
            </w:r>
          </w:hyperlink>
        </w:p>
        <w:p w14:paraId="309D7270" w14:textId="08DD2E93" w:rsidR="00332841" w:rsidRDefault="00332841">
          <w:pPr>
            <w:pStyle w:val="TOC2"/>
            <w:tabs>
              <w:tab w:val="right" w:leader="dot" w:pos="9016"/>
            </w:tabs>
            <w:rPr>
              <w:rFonts w:eastAsiaTheme="minorEastAsia" w:cstheme="minorBidi"/>
              <w:b w:val="0"/>
              <w:bCs w:val="0"/>
              <w:noProof/>
              <w:kern w:val="2"/>
              <w:sz w:val="24"/>
              <w:szCs w:val="24"/>
              <w14:ligatures w14:val="standardContextual"/>
            </w:rPr>
          </w:pPr>
          <w:hyperlink w:anchor="_Toc218505611" w:history="1">
            <w:r w:rsidRPr="002F192B">
              <w:rPr>
                <w:rStyle w:val="Hyperlink"/>
                <w:rFonts w:eastAsiaTheme="majorEastAsia"/>
                <w:noProof/>
              </w:rPr>
              <w:t>2.3 Critical Reflection</w:t>
            </w:r>
            <w:r>
              <w:rPr>
                <w:noProof/>
                <w:webHidden/>
              </w:rPr>
              <w:tab/>
            </w:r>
            <w:r>
              <w:rPr>
                <w:noProof/>
                <w:webHidden/>
              </w:rPr>
              <w:fldChar w:fldCharType="begin"/>
            </w:r>
            <w:r>
              <w:rPr>
                <w:noProof/>
                <w:webHidden/>
              </w:rPr>
              <w:instrText xml:space="preserve"> PAGEREF _Toc218505611 \h </w:instrText>
            </w:r>
            <w:r>
              <w:rPr>
                <w:noProof/>
                <w:webHidden/>
              </w:rPr>
            </w:r>
            <w:r>
              <w:rPr>
                <w:noProof/>
                <w:webHidden/>
              </w:rPr>
              <w:fldChar w:fldCharType="separate"/>
            </w:r>
            <w:r w:rsidR="00250032">
              <w:rPr>
                <w:noProof/>
                <w:webHidden/>
              </w:rPr>
              <w:t>25</w:t>
            </w:r>
            <w:r>
              <w:rPr>
                <w:noProof/>
                <w:webHidden/>
              </w:rPr>
              <w:fldChar w:fldCharType="end"/>
            </w:r>
          </w:hyperlink>
        </w:p>
        <w:p w14:paraId="233BF381" w14:textId="302423A1" w:rsidR="00332841" w:rsidRDefault="00332841">
          <w:pPr>
            <w:pStyle w:val="TOC1"/>
            <w:tabs>
              <w:tab w:val="right" w:leader="dot" w:pos="9016"/>
            </w:tabs>
            <w:rPr>
              <w:rFonts w:eastAsiaTheme="minorEastAsia" w:cstheme="minorBidi"/>
              <w:b w:val="0"/>
              <w:bCs w:val="0"/>
              <w:i w:val="0"/>
              <w:iCs w:val="0"/>
              <w:noProof/>
              <w:kern w:val="2"/>
              <w14:ligatures w14:val="standardContextual"/>
            </w:rPr>
          </w:pPr>
          <w:hyperlink w:anchor="_Toc218505612" w:history="1">
            <w:r w:rsidRPr="002F192B">
              <w:rPr>
                <w:rStyle w:val="Hyperlink"/>
                <w:rFonts w:eastAsiaTheme="majorEastAsia"/>
                <w:noProof/>
              </w:rPr>
              <w:t>Bibliography</w:t>
            </w:r>
            <w:r>
              <w:rPr>
                <w:noProof/>
                <w:webHidden/>
              </w:rPr>
              <w:tab/>
            </w:r>
            <w:r>
              <w:rPr>
                <w:noProof/>
                <w:webHidden/>
              </w:rPr>
              <w:fldChar w:fldCharType="begin"/>
            </w:r>
            <w:r>
              <w:rPr>
                <w:noProof/>
                <w:webHidden/>
              </w:rPr>
              <w:instrText xml:space="preserve"> PAGEREF _Toc218505612 \h </w:instrText>
            </w:r>
            <w:r>
              <w:rPr>
                <w:noProof/>
                <w:webHidden/>
              </w:rPr>
            </w:r>
            <w:r>
              <w:rPr>
                <w:noProof/>
                <w:webHidden/>
              </w:rPr>
              <w:fldChar w:fldCharType="separate"/>
            </w:r>
            <w:r w:rsidR="00250032">
              <w:rPr>
                <w:noProof/>
                <w:webHidden/>
              </w:rPr>
              <w:t>28</w:t>
            </w:r>
            <w:r>
              <w:rPr>
                <w:noProof/>
                <w:webHidden/>
              </w:rPr>
              <w:fldChar w:fldCharType="end"/>
            </w:r>
          </w:hyperlink>
        </w:p>
        <w:p w14:paraId="459E6BFB" w14:textId="77777777" w:rsidR="00332841" w:rsidRDefault="0040669A" w:rsidP="00332841">
          <w:pPr>
            <w:rPr>
              <w:noProof/>
            </w:rPr>
          </w:pPr>
          <w:r>
            <w:rPr>
              <w:b/>
              <w:bCs/>
              <w:noProof/>
            </w:rPr>
            <w:fldChar w:fldCharType="end"/>
          </w:r>
        </w:p>
      </w:sdtContent>
    </w:sdt>
    <w:p w14:paraId="2EA4E1DB" w14:textId="44DBD38E" w:rsidR="0031453B" w:rsidRDefault="0031453B">
      <w:pPr>
        <w:pStyle w:val="TableofFigures"/>
        <w:tabs>
          <w:tab w:val="right" w:leader="underscore" w:pos="9016"/>
        </w:tabs>
        <w:rPr>
          <w:rFonts w:eastAsiaTheme="minorEastAsia" w:cstheme="minorBidi"/>
          <w:i w:val="0"/>
          <w:iCs w:val="0"/>
          <w:noProof/>
          <w:kern w:val="2"/>
          <w:sz w:val="24"/>
          <w:szCs w:val="24"/>
          <w14:ligatures w14:val="standardContextual"/>
        </w:rPr>
      </w:pPr>
      <w:r>
        <w:fldChar w:fldCharType="begin"/>
      </w:r>
      <w:r>
        <w:instrText xml:space="preserve"> TOC \h \z \t "Caption" \c </w:instrText>
      </w:r>
      <w:r>
        <w:fldChar w:fldCharType="separate"/>
      </w:r>
      <w:hyperlink w:anchor="_Toc218507939" w:history="1">
        <w:r w:rsidRPr="00F65A11">
          <w:rPr>
            <w:rStyle w:val="Hyperlink"/>
            <w:rFonts w:eastAsiaTheme="majorEastAsia"/>
            <w:noProof/>
          </w:rPr>
          <w:t>Figure 1 Module 4 Gantt Chart</w:t>
        </w:r>
        <w:r>
          <w:rPr>
            <w:noProof/>
            <w:webHidden/>
          </w:rPr>
          <w:tab/>
        </w:r>
        <w:r>
          <w:rPr>
            <w:noProof/>
            <w:webHidden/>
          </w:rPr>
          <w:fldChar w:fldCharType="begin"/>
        </w:r>
        <w:r>
          <w:rPr>
            <w:noProof/>
            <w:webHidden/>
          </w:rPr>
          <w:instrText xml:space="preserve"> PAGEREF _Toc218507939 \h </w:instrText>
        </w:r>
        <w:r>
          <w:rPr>
            <w:noProof/>
            <w:webHidden/>
          </w:rPr>
        </w:r>
        <w:r>
          <w:rPr>
            <w:noProof/>
            <w:webHidden/>
          </w:rPr>
          <w:fldChar w:fldCharType="separate"/>
        </w:r>
        <w:r>
          <w:rPr>
            <w:noProof/>
            <w:webHidden/>
          </w:rPr>
          <w:t>6</w:t>
        </w:r>
        <w:r>
          <w:rPr>
            <w:noProof/>
            <w:webHidden/>
          </w:rPr>
          <w:fldChar w:fldCharType="end"/>
        </w:r>
      </w:hyperlink>
    </w:p>
    <w:p w14:paraId="06795DC3" w14:textId="52105504" w:rsidR="0031453B" w:rsidRDefault="0031453B">
      <w:pPr>
        <w:pStyle w:val="TableofFigures"/>
        <w:tabs>
          <w:tab w:val="right" w:leader="underscore" w:pos="9016"/>
        </w:tabs>
        <w:rPr>
          <w:rFonts w:eastAsiaTheme="minorEastAsia" w:cstheme="minorBidi"/>
          <w:i w:val="0"/>
          <w:iCs w:val="0"/>
          <w:noProof/>
          <w:kern w:val="2"/>
          <w:sz w:val="24"/>
          <w:szCs w:val="24"/>
          <w14:ligatures w14:val="standardContextual"/>
        </w:rPr>
      </w:pPr>
      <w:hyperlink w:anchor="_Toc218507940" w:history="1">
        <w:r w:rsidRPr="00F65A11">
          <w:rPr>
            <w:rStyle w:val="Hyperlink"/>
            <w:rFonts w:eastAsiaTheme="majorEastAsia"/>
            <w:noProof/>
          </w:rPr>
          <w:t>Figure 2: Comparative brains of vocal learners and non-vocal learners (Jarvis, 2019).</w:t>
        </w:r>
        <w:r>
          <w:rPr>
            <w:noProof/>
            <w:webHidden/>
          </w:rPr>
          <w:tab/>
        </w:r>
        <w:r>
          <w:rPr>
            <w:noProof/>
            <w:webHidden/>
          </w:rPr>
          <w:fldChar w:fldCharType="begin"/>
        </w:r>
        <w:r>
          <w:rPr>
            <w:noProof/>
            <w:webHidden/>
          </w:rPr>
          <w:instrText xml:space="preserve"> PAGEREF _Toc218507940 \h </w:instrText>
        </w:r>
        <w:r>
          <w:rPr>
            <w:noProof/>
            <w:webHidden/>
          </w:rPr>
        </w:r>
        <w:r>
          <w:rPr>
            <w:noProof/>
            <w:webHidden/>
          </w:rPr>
          <w:fldChar w:fldCharType="separate"/>
        </w:r>
        <w:r>
          <w:rPr>
            <w:noProof/>
            <w:webHidden/>
          </w:rPr>
          <w:t>19</w:t>
        </w:r>
        <w:r>
          <w:rPr>
            <w:noProof/>
            <w:webHidden/>
          </w:rPr>
          <w:fldChar w:fldCharType="end"/>
        </w:r>
      </w:hyperlink>
    </w:p>
    <w:p w14:paraId="790EB516" w14:textId="57ABE6E4" w:rsidR="0031453B" w:rsidRDefault="0031453B">
      <w:pPr>
        <w:pStyle w:val="TableofFigures"/>
        <w:tabs>
          <w:tab w:val="right" w:leader="underscore" w:pos="9016"/>
        </w:tabs>
        <w:rPr>
          <w:rFonts w:eastAsiaTheme="minorEastAsia" w:cstheme="minorBidi"/>
          <w:i w:val="0"/>
          <w:iCs w:val="0"/>
          <w:noProof/>
          <w:kern w:val="2"/>
          <w:sz w:val="24"/>
          <w:szCs w:val="24"/>
          <w14:ligatures w14:val="standardContextual"/>
        </w:rPr>
      </w:pPr>
      <w:hyperlink w:anchor="_Toc218507941" w:history="1">
        <w:r w:rsidRPr="00F65A11">
          <w:rPr>
            <w:rStyle w:val="Hyperlink"/>
            <w:rFonts w:eastAsiaTheme="majorEastAsia"/>
            <w:noProof/>
            <w:lang w:eastAsia="en-US"/>
          </w:rPr>
          <w:t>Figure 3: Location of articulator control (Silva et al., 2024)</w:t>
        </w:r>
        <w:r>
          <w:rPr>
            <w:noProof/>
            <w:webHidden/>
          </w:rPr>
          <w:tab/>
        </w:r>
        <w:r>
          <w:rPr>
            <w:noProof/>
            <w:webHidden/>
          </w:rPr>
          <w:fldChar w:fldCharType="begin"/>
        </w:r>
        <w:r>
          <w:rPr>
            <w:noProof/>
            <w:webHidden/>
          </w:rPr>
          <w:instrText xml:space="preserve"> PAGEREF _Toc218507941 \h </w:instrText>
        </w:r>
        <w:r>
          <w:rPr>
            <w:noProof/>
            <w:webHidden/>
          </w:rPr>
        </w:r>
        <w:r>
          <w:rPr>
            <w:noProof/>
            <w:webHidden/>
          </w:rPr>
          <w:fldChar w:fldCharType="separate"/>
        </w:r>
        <w:r>
          <w:rPr>
            <w:noProof/>
            <w:webHidden/>
          </w:rPr>
          <w:t>21</w:t>
        </w:r>
        <w:r>
          <w:rPr>
            <w:noProof/>
            <w:webHidden/>
          </w:rPr>
          <w:fldChar w:fldCharType="end"/>
        </w:r>
      </w:hyperlink>
    </w:p>
    <w:p w14:paraId="6703B09B" w14:textId="4446167C" w:rsidR="005628CB" w:rsidRDefault="0031453B">
      <w:pPr>
        <w:spacing w:after="160" w:line="278" w:lineRule="auto"/>
        <w:rPr>
          <w:rFonts w:asciiTheme="majorHAnsi" w:eastAsiaTheme="majorEastAsia" w:hAnsiTheme="majorHAnsi" w:cstheme="majorBidi"/>
          <w:color w:val="0F4761" w:themeColor="accent1" w:themeShade="BF"/>
          <w:kern w:val="2"/>
          <w:sz w:val="40"/>
          <w:szCs w:val="40"/>
          <w:lang w:eastAsia="en-US"/>
          <w14:ligatures w14:val="standardContextual"/>
        </w:rPr>
      </w:pPr>
      <w:r>
        <w:fldChar w:fldCharType="end"/>
      </w:r>
      <w:r w:rsidR="005628CB">
        <w:br w:type="page"/>
      </w:r>
    </w:p>
    <w:p w14:paraId="519BF2DE" w14:textId="57452F09" w:rsidR="00D50798" w:rsidRDefault="00D50798" w:rsidP="00D50798">
      <w:pPr>
        <w:pStyle w:val="Heading1"/>
      </w:pPr>
      <w:bookmarkStart w:id="0" w:name="_Toc218505595"/>
      <w:r>
        <w:lastRenderedPageBreak/>
        <w:t>Component1: Project Proposal</w:t>
      </w:r>
      <w:bookmarkEnd w:id="0"/>
    </w:p>
    <w:p w14:paraId="0A2E222E" w14:textId="1640B027" w:rsidR="00D50798" w:rsidRDefault="005C188A" w:rsidP="005C188A">
      <w:pPr>
        <w:pStyle w:val="Heading2"/>
      </w:pPr>
      <w:bookmarkStart w:id="1" w:name="_Toc218505596"/>
      <w:r>
        <w:t xml:space="preserve">1.1 </w:t>
      </w:r>
      <w:r w:rsidR="00D50798">
        <w:t>Introduction</w:t>
      </w:r>
      <w:bookmarkEnd w:id="1"/>
      <w:r w:rsidR="00763571">
        <w:t xml:space="preserve"> </w:t>
      </w:r>
    </w:p>
    <w:p w14:paraId="44F7E11E" w14:textId="3BBE95B9" w:rsidR="00A63156" w:rsidRDefault="005C188A" w:rsidP="00BF48FD">
      <w:pPr>
        <w:pStyle w:val="Modulenormal"/>
      </w:pPr>
      <w:r>
        <w:t>Using</w:t>
      </w:r>
      <w:r w:rsidR="000E265C" w:rsidRPr="00BF48FD">
        <w:t xml:space="preserve"> </w:t>
      </w:r>
      <w:r>
        <w:t>British Sign Language (</w:t>
      </w:r>
      <w:r w:rsidR="000E265C" w:rsidRPr="00BF48FD">
        <w:t>BSL</w:t>
      </w:r>
      <w:r>
        <w:t>)</w:t>
      </w:r>
      <w:r w:rsidR="000E265C" w:rsidRPr="00BF48FD">
        <w:t xml:space="preserve"> translations along with </w:t>
      </w:r>
      <w:r>
        <w:t xml:space="preserve">singing </w:t>
      </w:r>
      <w:r w:rsidR="00A63156" w:rsidRPr="00BF48FD">
        <w:t xml:space="preserve">has transformed my relationship with song. I sing, teach and conduct </w:t>
      </w:r>
      <w:r w:rsidR="000E265C" w:rsidRPr="00BF48FD">
        <w:t xml:space="preserve">differently </w:t>
      </w:r>
      <w:r w:rsidR="00A63156" w:rsidRPr="00BF48FD">
        <w:t xml:space="preserve">using insights </w:t>
      </w:r>
      <w:r>
        <w:t>signed singing</w:t>
      </w:r>
      <w:r w:rsidR="000E265C" w:rsidRPr="00BF48FD">
        <w:t xml:space="preserve"> has given me. I believe that conscious use of sign language and gesture, aligned with the structure of a song, has the potential to be a powerful tool in examining the way we sing.</w:t>
      </w:r>
    </w:p>
    <w:p w14:paraId="219D578B" w14:textId="77777777" w:rsidR="00BF48FD" w:rsidRPr="00BF48FD" w:rsidRDefault="00BF48FD" w:rsidP="00BF48FD"/>
    <w:p w14:paraId="6C487B7C" w14:textId="62BDE186" w:rsidR="00251E99" w:rsidRDefault="00251E99" w:rsidP="00BF48FD">
      <w:pPr>
        <w:pStyle w:val="Modulenormal"/>
      </w:pPr>
      <w:r w:rsidRPr="00BF48FD">
        <w:t>We know that adults speak to infants differently than to other adults</w:t>
      </w:r>
      <w:r w:rsidR="000E265C" w:rsidRPr="00BF48FD">
        <w:t xml:space="preserve"> (</w:t>
      </w:r>
      <w:r w:rsidR="00C5545B" w:rsidRPr="00BF48FD">
        <w:t xml:space="preserve">Matychuk, 2005; </w:t>
      </w:r>
      <w:r w:rsidR="000E265C" w:rsidRPr="00BF48FD">
        <w:t>Golinkoff et al., 2015)</w:t>
      </w:r>
      <w:r w:rsidRPr="00BF48FD">
        <w:t xml:space="preserve">. This child-directed speech </w:t>
      </w:r>
      <w:r w:rsidR="00BF48FD" w:rsidRPr="00BF48FD">
        <w:t>(</w:t>
      </w:r>
      <w:r w:rsidRPr="00BF48FD">
        <w:t>CDS) or “motherese” appears to assist in the child’s acquisition of speech</w:t>
      </w:r>
      <w:r w:rsidR="00BF48FD">
        <w:t xml:space="preserve"> (</w:t>
      </w:r>
      <w:r w:rsidR="00BF48FD" w:rsidRPr="00BF48FD">
        <w:t>Matychuk, 2005</w:t>
      </w:r>
      <w:r w:rsidR="00BF48FD">
        <w:t>)</w:t>
      </w:r>
      <w:r w:rsidRPr="00BF48FD">
        <w:t xml:space="preserve">. </w:t>
      </w:r>
      <w:r w:rsidR="00B06FEE">
        <w:t xml:space="preserve">There is </w:t>
      </w:r>
      <w:r w:rsidR="00054ADE">
        <w:t>a corresponding</w:t>
      </w:r>
      <w:r w:rsidR="00B06FEE">
        <w:t xml:space="preserve"> </w:t>
      </w:r>
      <w:r w:rsidR="006C245C">
        <w:t xml:space="preserve">difference </w:t>
      </w:r>
      <w:r w:rsidR="00B06FEE">
        <w:t>in</w:t>
      </w:r>
      <w:r w:rsidRPr="00BF48FD">
        <w:t xml:space="preserve"> the gestures </w:t>
      </w:r>
      <w:r w:rsidR="008E4D5A">
        <w:t xml:space="preserve">that </w:t>
      </w:r>
      <w:r w:rsidRPr="00BF48FD">
        <w:t>parents, particularly mothers, use when communicating with their infant children</w:t>
      </w:r>
      <w:r w:rsidR="00BF48FD">
        <w:t xml:space="preserve"> (</w:t>
      </w:r>
      <w:r w:rsidR="003D2420">
        <w:t xml:space="preserve">Iverson et al., 1999; </w:t>
      </w:r>
      <w:r w:rsidR="00BF48FD">
        <w:t>Gogate, Bahrick and Watson</w:t>
      </w:r>
      <w:r w:rsidR="003D2420">
        <w:t xml:space="preserve">, </w:t>
      </w:r>
      <w:r w:rsidR="00BF48FD">
        <w:t>2000)</w:t>
      </w:r>
      <w:r w:rsidRPr="00BF48FD">
        <w:t xml:space="preserve">. </w:t>
      </w:r>
      <w:r w:rsidR="00EC4BF0" w:rsidRPr="00BF48FD">
        <w:t xml:space="preserve">Research into the interdependence of gesture and speech in </w:t>
      </w:r>
      <w:r w:rsidR="005C188A">
        <w:t>infants</w:t>
      </w:r>
      <w:r w:rsidRPr="00BF48FD">
        <w:t xml:space="preserve"> </w:t>
      </w:r>
      <w:r w:rsidR="00EC4BF0" w:rsidRPr="00BF48FD">
        <w:t>has revealed strong links for both spoken and signed languages</w:t>
      </w:r>
      <w:r w:rsidR="003D2420">
        <w:t xml:space="preserve"> (O’Neill</w:t>
      </w:r>
      <w:r w:rsidR="00E96168">
        <w:t xml:space="preserve"> et al.</w:t>
      </w:r>
      <w:r w:rsidR="003D2420">
        <w:t>,</w:t>
      </w:r>
      <w:r w:rsidR="004B16AA">
        <w:t xml:space="preserve"> 2005)</w:t>
      </w:r>
      <w:r w:rsidR="00EC4BF0" w:rsidRPr="00BF48FD">
        <w:t>.</w:t>
      </w:r>
    </w:p>
    <w:p w14:paraId="6C0E0400" w14:textId="77777777" w:rsidR="00BF48FD" w:rsidRPr="00BF48FD" w:rsidRDefault="00BF48FD" w:rsidP="00BF48FD"/>
    <w:p w14:paraId="47D8B2A6" w14:textId="58F92C79" w:rsidR="004B16AA" w:rsidRDefault="00251E99" w:rsidP="00BF48FD">
      <w:pPr>
        <w:pStyle w:val="Modulenormal"/>
      </w:pPr>
      <w:r w:rsidRPr="00BF48FD">
        <w:t>There is evidence showing that learning the gestures of a second language may improve our learning trajectory in that language</w:t>
      </w:r>
      <w:r w:rsidR="004B16AA">
        <w:t xml:space="preserve"> (</w:t>
      </w:r>
      <w:r w:rsidR="00B06FEE" w:rsidRPr="00B06FEE">
        <w:t>Gullberg,</w:t>
      </w:r>
      <w:r w:rsidR="00B06FEE">
        <w:t xml:space="preserve"> </w:t>
      </w:r>
      <w:r w:rsidR="00B06FEE" w:rsidRPr="00B06FEE">
        <w:t>2006</w:t>
      </w:r>
      <w:r w:rsidR="00B06FEE">
        <w:t xml:space="preserve">; </w:t>
      </w:r>
      <w:r w:rsidR="004B16AA">
        <w:t>McCafferty, 2006</w:t>
      </w:r>
      <w:r w:rsidR="006C245C">
        <w:t xml:space="preserve">; </w:t>
      </w:r>
      <w:r w:rsidR="006C245C" w:rsidRPr="006C245C">
        <w:t>Goldin-Meadow,</w:t>
      </w:r>
      <w:r w:rsidR="006C245C">
        <w:t xml:space="preserve"> </w:t>
      </w:r>
      <w:r w:rsidR="006C245C" w:rsidRPr="006C245C">
        <w:t>2018</w:t>
      </w:r>
      <w:r w:rsidR="004B16AA">
        <w:t>)</w:t>
      </w:r>
      <w:r w:rsidRPr="00BF48FD">
        <w:t xml:space="preserve">. Gesture has been shown to </w:t>
      </w:r>
      <w:r w:rsidR="006368D4">
        <w:t>affect</w:t>
      </w:r>
      <w:r w:rsidRPr="00BF48FD">
        <w:t xml:space="preserve"> learning in other fields</w:t>
      </w:r>
      <w:r w:rsidR="00E6025C">
        <w:t>, such as mathematics,</w:t>
      </w:r>
      <w:r w:rsidRPr="00BF48FD">
        <w:t xml:space="preserve"> as well</w:t>
      </w:r>
      <w:r w:rsidR="00B06FEE">
        <w:t xml:space="preserve"> (</w:t>
      </w:r>
      <w:r w:rsidR="006C245C">
        <w:t>Novack et al., 2014</w:t>
      </w:r>
      <w:r w:rsidR="00E96168">
        <w:t xml:space="preserve">; </w:t>
      </w:r>
      <w:r w:rsidR="00E96168">
        <w:t>Wakefield et al., 2018;</w:t>
      </w:r>
      <w:r w:rsidR="00E96168">
        <w:t xml:space="preserve"> </w:t>
      </w:r>
      <w:r w:rsidR="00E96168">
        <w:t>Stylianou et al., 2024</w:t>
      </w:r>
      <w:r w:rsidR="00B06FEE">
        <w:t>).</w:t>
      </w:r>
    </w:p>
    <w:p w14:paraId="41DCE90A" w14:textId="77777777" w:rsidR="004B16AA" w:rsidRDefault="004B16AA" w:rsidP="00BF48FD">
      <w:pPr>
        <w:pStyle w:val="Modulenormal"/>
      </w:pPr>
    </w:p>
    <w:p w14:paraId="5BAA7FCB" w14:textId="69A159D8" w:rsidR="00251E99" w:rsidRPr="00BF48FD" w:rsidRDefault="004B16AA" w:rsidP="00BF48FD">
      <w:pPr>
        <w:pStyle w:val="Modulenormal"/>
      </w:pPr>
      <w:r>
        <w:t xml:space="preserve">With so much circumstantial evidence linking language and gesture, it seems there might be a cognitive link between our language and our gesture. </w:t>
      </w:r>
      <w:r w:rsidR="00251E99" w:rsidRPr="00BF48FD">
        <w:t>By gaining a better understanding of the neuroscience of vocal learning and gesture</w:t>
      </w:r>
      <w:r w:rsidR="00E25530">
        <w:t xml:space="preserve"> </w:t>
      </w:r>
      <w:r w:rsidR="00E25530">
        <w:rPr>
          <w:rFonts w:eastAsiaTheme="majorEastAsia"/>
          <w:lang w:eastAsia="en-US"/>
        </w:rPr>
        <w:t xml:space="preserve">(Belyk and Brown, 2017; </w:t>
      </w:r>
      <w:r w:rsidR="006B40F3">
        <w:rPr>
          <w:rFonts w:eastAsiaTheme="majorEastAsia"/>
          <w:lang w:eastAsia="en-US"/>
        </w:rPr>
        <w:t xml:space="preserve">Jarvis, 2019; </w:t>
      </w:r>
      <w:r w:rsidR="00E25530">
        <w:rPr>
          <w:rFonts w:eastAsiaTheme="majorEastAsia"/>
          <w:lang w:eastAsia="en-US"/>
        </w:rPr>
        <w:t xml:space="preserve">Erickson, 2022a; Erickson, 2022b; </w:t>
      </w:r>
      <w:r w:rsidR="00E25530">
        <w:rPr>
          <w:rFonts w:eastAsiaTheme="majorEastAsia"/>
          <w:lang w:eastAsia="en-US"/>
        </w:rPr>
        <w:t>Erickson, 2023)</w:t>
      </w:r>
      <w:r w:rsidR="00251E99" w:rsidRPr="00BF48FD">
        <w:t xml:space="preserve">, I hope to </w:t>
      </w:r>
      <w:r w:rsidR="00EC4BF0" w:rsidRPr="00BF48FD">
        <w:t>better understand</w:t>
      </w:r>
      <w:r w:rsidR="00251E99" w:rsidRPr="00BF48FD">
        <w:t xml:space="preserve"> the use of gesture in the singing studio</w:t>
      </w:r>
      <w:r w:rsidR="00EC4BF0" w:rsidRPr="00BF48FD">
        <w:t>, and how to use it to best effect.</w:t>
      </w:r>
    </w:p>
    <w:p w14:paraId="44CB838C" w14:textId="4E827B6F" w:rsidR="00D50798" w:rsidRDefault="00D50798">
      <w:r>
        <w:br w:type="page"/>
      </w:r>
    </w:p>
    <w:p w14:paraId="4B13C5B4" w14:textId="0F558CB4" w:rsidR="00D50798" w:rsidRDefault="005C188A" w:rsidP="00D50798">
      <w:pPr>
        <w:pStyle w:val="Heading2"/>
      </w:pPr>
      <w:bookmarkStart w:id="2" w:name="_Toc218505597"/>
      <w:r>
        <w:lastRenderedPageBreak/>
        <w:t xml:space="preserve">1.2 </w:t>
      </w:r>
      <w:r w:rsidR="00D50798">
        <w:t>Planned Programme of Study</w:t>
      </w:r>
      <w:bookmarkEnd w:id="2"/>
    </w:p>
    <w:p w14:paraId="2CBE3779" w14:textId="6F183B8B" w:rsidR="00CD0B4B" w:rsidRDefault="00CD0B4B" w:rsidP="00065FCB">
      <w:pPr>
        <w:pStyle w:val="Modulenormal"/>
      </w:pPr>
      <w:r>
        <w:rPr>
          <w:lang w:eastAsia="en-US"/>
        </w:rPr>
        <w:t xml:space="preserve">For this module, my aim is to improve my understanding of the role of gesture in teaching singing. </w:t>
      </w:r>
      <w:r w:rsidR="006368D4">
        <w:rPr>
          <w:lang w:eastAsia="en-US"/>
        </w:rPr>
        <w:t>My experience with using BSL translations of song suggests to me that there is a visceral connection between ge</w:t>
      </w:r>
      <w:r w:rsidR="00C23B60">
        <w:rPr>
          <w:lang w:eastAsia="en-US"/>
        </w:rPr>
        <w:t xml:space="preserve">sture and singing worth exploring. </w:t>
      </w:r>
      <w:r w:rsidR="00FE47A5">
        <w:t>Gesture</w:t>
      </w:r>
      <w:r w:rsidR="00E6025C">
        <w:t xml:space="preserve"> is closely associated with spoken communication as shown through a long history of research (Gleason, Klima and Bellugi, 1979; Kendon, 1997). It follows that a better understanding of the role of gesture would be useful in teaching singing, the only musical instrument to </w:t>
      </w:r>
      <w:r w:rsidR="00E25530">
        <w:t>express</w:t>
      </w:r>
      <w:r w:rsidR="00E6025C">
        <w:t xml:space="preserve"> language</w:t>
      </w:r>
      <w:r w:rsidR="00E25530">
        <w:t xml:space="preserve"> directly</w:t>
      </w:r>
      <w:r w:rsidR="00E6025C">
        <w:t xml:space="preserve">. </w:t>
      </w:r>
    </w:p>
    <w:p w14:paraId="3A9D37DE" w14:textId="77777777" w:rsidR="00D776B5" w:rsidRDefault="00D776B5" w:rsidP="00D776B5"/>
    <w:p w14:paraId="646B0B17" w14:textId="54C46993" w:rsidR="00D776B5" w:rsidRDefault="00E6025C" w:rsidP="00D776B5">
      <w:pPr>
        <w:pStyle w:val="Modulenormal"/>
      </w:pPr>
      <w:r>
        <w:t>Most</w:t>
      </w:r>
      <w:r w:rsidR="006368D4">
        <w:t>, but not all,</w:t>
      </w:r>
      <w:r>
        <w:t xml:space="preserve"> singing teachers use gesture to some degree</w:t>
      </w:r>
      <w:r w:rsidR="00112112">
        <w:t xml:space="preserve"> (Nafisi,</w:t>
      </w:r>
      <w:r w:rsidR="00C23B60">
        <w:t xml:space="preserve"> </w:t>
      </w:r>
      <w:r w:rsidR="00112112">
        <w:t>201</w:t>
      </w:r>
      <w:r w:rsidR="00856E87">
        <w:t>3</w:t>
      </w:r>
      <w:r w:rsidR="00112112">
        <w:t>)</w:t>
      </w:r>
      <w:r w:rsidR="00D776B5">
        <w:t>. Classical choirs</w:t>
      </w:r>
      <w:r w:rsidR="000E6C87">
        <w:t xml:space="preserve">, from amateur groups to the </w:t>
      </w:r>
      <w:r w:rsidR="00D776B5">
        <w:t>highest level</w:t>
      </w:r>
      <w:r w:rsidR="000E6C87">
        <w:t>,</w:t>
      </w:r>
      <w:r w:rsidR="009E2244">
        <w:t xml:space="preserve"> expect</w:t>
      </w:r>
      <w:r w:rsidR="00D776B5">
        <w:t xml:space="preserve"> their members to keep very still</w:t>
      </w:r>
      <w:r w:rsidR="009E2244">
        <w:t xml:space="preserve"> (</w:t>
      </w:r>
      <w:r w:rsidR="000B395F" w:rsidRPr="00612CC0">
        <w:t>The Halle</w:t>
      </w:r>
      <w:r w:rsidR="000B395F">
        <w:t xml:space="preserve">, </w:t>
      </w:r>
      <w:r w:rsidR="000B395F" w:rsidRPr="00612CC0">
        <w:t>2020</w:t>
      </w:r>
      <w:r w:rsidR="000B395F">
        <w:t xml:space="preserve">; </w:t>
      </w:r>
      <w:r w:rsidR="009E2244">
        <w:t>Tenebrae Choir, 2024)</w:t>
      </w:r>
      <w:r w:rsidR="00D776B5">
        <w:t xml:space="preserve">. </w:t>
      </w:r>
      <w:r w:rsidR="009E2244">
        <w:t>Barbershop and Sweet Adeline choirs, on the other hand, are expe</w:t>
      </w:r>
      <w:r w:rsidR="006368D4">
        <w:t>c</w:t>
      </w:r>
      <w:r w:rsidR="009E2244">
        <w:t xml:space="preserve">ted to incorporate choreographed gesture </w:t>
      </w:r>
      <w:r w:rsidR="006368D4">
        <w:t>with</w:t>
      </w:r>
      <w:r w:rsidR="009E2244">
        <w:t xml:space="preserve"> their performance (</w:t>
      </w:r>
      <w:r w:rsidR="006368D4" w:rsidRPr="009E2244">
        <w:t>Barbershop Harmony Society</w:t>
      </w:r>
      <w:r w:rsidR="006368D4">
        <w:t xml:space="preserve">, </w:t>
      </w:r>
      <w:r w:rsidR="006368D4" w:rsidRPr="009E2244">
        <w:t>2017</w:t>
      </w:r>
      <w:r w:rsidR="006368D4">
        <w:t xml:space="preserve">; </w:t>
      </w:r>
      <w:r w:rsidR="009E2244">
        <w:t>Sweet Adelines International, 2024)</w:t>
      </w:r>
      <w:r w:rsidR="006368D4">
        <w:t xml:space="preserve">. </w:t>
      </w:r>
      <w:r w:rsidR="00D776B5">
        <w:t>Clearly gesture</w:t>
      </w:r>
      <w:r w:rsidR="006368D4">
        <w:t xml:space="preserve"> can add to performance but</w:t>
      </w:r>
      <w:r w:rsidR="00D776B5">
        <w:t xml:space="preserve"> is not essentia</w:t>
      </w:r>
      <w:r w:rsidR="006368D4">
        <w:t>l</w:t>
      </w:r>
      <w:r w:rsidR="00C97E21">
        <w:t>.</w:t>
      </w:r>
    </w:p>
    <w:p w14:paraId="79955562" w14:textId="77777777" w:rsidR="00D776B5" w:rsidRDefault="00D776B5" w:rsidP="00D776B5"/>
    <w:p w14:paraId="70F97D3F" w14:textId="4EC06923" w:rsidR="00D776B5" w:rsidRPr="00D776B5" w:rsidRDefault="00D776B5" w:rsidP="00C97E21">
      <w:pPr>
        <w:pStyle w:val="Modulenormal"/>
      </w:pPr>
      <w:r>
        <w:t>So why use gesture?</w:t>
      </w:r>
      <w:r w:rsidR="000E6C87">
        <w:t xml:space="preserve"> There is research pointing to gesture as a valuable tool for learning across a wide range of contexts (Bowyer, 2015</w:t>
      </w:r>
      <w:r w:rsidR="002A4A5B">
        <w:t>; Wakefield et al., 2018</w:t>
      </w:r>
      <w:r w:rsidR="00E96168">
        <w:t xml:space="preserve">; </w:t>
      </w:r>
      <w:r w:rsidR="00E96168">
        <w:t>Stylianou et al., 2024</w:t>
      </w:r>
      <w:r w:rsidR="000E6C87">
        <w:t>)</w:t>
      </w:r>
      <w:r w:rsidR="002A4A5B">
        <w:t>, particularly in language acquisition (</w:t>
      </w:r>
      <w:r w:rsidR="00B06FEE">
        <w:t>McCafferty, 2006</w:t>
      </w:r>
      <w:r w:rsidR="002A4A5B">
        <w:t xml:space="preserve">). We have a good understanding of the physical mechanisms of vocal production, but </w:t>
      </w:r>
      <w:r w:rsidR="00F73301">
        <w:t>there are challenges in communicating clearly to the student what changes they need to make</w:t>
      </w:r>
      <w:r w:rsidR="002A4A5B">
        <w:t xml:space="preserve"> (</w:t>
      </w:r>
      <w:r w:rsidR="00F73301">
        <w:t>Brown, 202</w:t>
      </w:r>
      <w:r w:rsidR="00DC1DD6">
        <w:t>5</w:t>
      </w:r>
      <w:r w:rsidR="00F73301">
        <w:t>). Gestures potentially provide us with an</w:t>
      </w:r>
      <w:r w:rsidR="006368D4">
        <w:t xml:space="preserve"> additional</w:t>
      </w:r>
      <w:r w:rsidR="00F73301">
        <w:t xml:space="preserve"> tool of communication.</w:t>
      </w:r>
    </w:p>
    <w:p w14:paraId="7527CFA0" w14:textId="77777777" w:rsidR="00783173" w:rsidRDefault="00783173" w:rsidP="00065FCB">
      <w:pPr>
        <w:pStyle w:val="Modulenormal"/>
        <w:rPr>
          <w:lang w:eastAsia="en-US"/>
        </w:rPr>
      </w:pPr>
    </w:p>
    <w:p w14:paraId="0D3EB1D1" w14:textId="2B52ED5A" w:rsidR="004C6D28" w:rsidRPr="00783173" w:rsidRDefault="00783173" w:rsidP="00065FCB">
      <w:pPr>
        <w:pStyle w:val="Modulenormal"/>
        <w:rPr>
          <w:lang w:eastAsia="en-US"/>
        </w:rPr>
      </w:pPr>
      <w:r>
        <w:rPr>
          <w:lang w:eastAsia="en-US"/>
        </w:rPr>
        <w:t>My motivation for researching this topic is that, while use of gesture is widespread in the singing studio</w:t>
      </w:r>
      <w:r w:rsidR="004C6D28">
        <w:rPr>
          <w:lang w:eastAsia="en-US"/>
        </w:rPr>
        <w:t xml:space="preserve"> (Nafisi, 2013</w:t>
      </w:r>
      <w:r w:rsidR="00065FCB">
        <w:rPr>
          <w:lang w:eastAsia="en-US"/>
        </w:rPr>
        <w:t>; Kilpatrick, 2020</w:t>
      </w:r>
      <w:r w:rsidR="004C6D28">
        <w:rPr>
          <w:lang w:eastAsia="en-US"/>
        </w:rPr>
        <w:t>)</w:t>
      </w:r>
      <w:r>
        <w:rPr>
          <w:lang w:eastAsia="en-US"/>
        </w:rPr>
        <w:t xml:space="preserve">, by choral conductors </w:t>
      </w:r>
      <w:r w:rsidR="004C6D28">
        <w:rPr>
          <w:lang w:eastAsia="en-US"/>
        </w:rPr>
        <w:t xml:space="preserve">(Durrant, 2009; Martins and </w:t>
      </w:r>
      <w:r w:rsidR="00856E87">
        <w:rPr>
          <w:lang w:eastAsia="en-US"/>
        </w:rPr>
        <w:t xml:space="preserve">dos </w:t>
      </w:r>
      <w:r w:rsidR="001B4E79">
        <w:rPr>
          <w:lang w:eastAsia="en-US"/>
        </w:rPr>
        <w:t xml:space="preserve">Santos </w:t>
      </w:r>
      <w:r w:rsidR="004C6D28">
        <w:rPr>
          <w:lang w:eastAsia="en-US"/>
        </w:rPr>
        <w:t xml:space="preserve">Junior, 2016) </w:t>
      </w:r>
      <w:r>
        <w:rPr>
          <w:lang w:eastAsia="en-US"/>
        </w:rPr>
        <w:t xml:space="preserve">and on stage, there is a gap in the literature in terms of the science behind its use. Having seen the power of gesture for myself and the singers I work with while using BSL interpretations of songs, I am interested in discovering what we know about the </w:t>
      </w:r>
      <w:r w:rsidR="004C6D28">
        <w:rPr>
          <w:lang w:eastAsia="en-US"/>
        </w:rPr>
        <w:t>inter-relatedness of gesture and speech or song.</w:t>
      </w:r>
      <w:r w:rsidR="00065FCB">
        <w:rPr>
          <w:lang w:eastAsia="en-US"/>
        </w:rPr>
        <w:t xml:space="preserve"> A better understanding of this relationship should inform more productive use of gesture in the singing studio.</w:t>
      </w:r>
    </w:p>
    <w:p w14:paraId="23B1CF2D" w14:textId="77777777" w:rsidR="00CD0B4B" w:rsidRDefault="00CD0B4B" w:rsidP="00065FCB">
      <w:pPr>
        <w:pStyle w:val="Modulenormal"/>
        <w:rPr>
          <w:lang w:eastAsia="en-US"/>
        </w:rPr>
      </w:pPr>
    </w:p>
    <w:p w14:paraId="19BFE85E" w14:textId="1C63ABF2" w:rsidR="00F73301" w:rsidRDefault="00CD0B4B" w:rsidP="00F73301">
      <w:pPr>
        <w:pStyle w:val="Modulenormal"/>
        <w:rPr>
          <w:lang w:eastAsia="en-US"/>
        </w:rPr>
      </w:pPr>
      <w:r>
        <w:rPr>
          <w:lang w:eastAsia="en-US"/>
        </w:rPr>
        <w:t xml:space="preserve">I have two main </w:t>
      </w:r>
      <w:r w:rsidR="00E6025C">
        <w:rPr>
          <w:lang w:eastAsia="en-US"/>
        </w:rPr>
        <w:t>aim</w:t>
      </w:r>
      <w:r>
        <w:rPr>
          <w:lang w:eastAsia="en-US"/>
        </w:rPr>
        <w:t>s</w:t>
      </w:r>
      <w:r w:rsidR="00E6025C">
        <w:rPr>
          <w:lang w:eastAsia="en-US"/>
        </w:rPr>
        <w:t>:</w:t>
      </w:r>
    </w:p>
    <w:p w14:paraId="36DE972E" w14:textId="066B6CC3" w:rsidR="00E6025C" w:rsidRDefault="00E6025C" w:rsidP="00E6025C">
      <w:pPr>
        <w:pStyle w:val="ListParagraph"/>
        <w:numPr>
          <w:ilvl w:val="0"/>
          <w:numId w:val="10"/>
        </w:numPr>
      </w:pPr>
      <w:r>
        <w:t>To explore the ways we can use the power of gesture in a more considered way in the singing studio</w:t>
      </w:r>
    </w:p>
    <w:p w14:paraId="2091D00A" w14:textId="2706C8A4" w:rsidR="00E6025C" w:rsidRPr="00E6025C" w:rsidRDefault="00E6025C" w:rsidP="00E6025C">
      <w:pPr>
        <w:pStyle w:val="ListParagraph"/>
        <w:numPr>
          <w:ilvl w:val="0"/>
          <w:numId w:val="10"/>
        </w:numPr>
      </w:pPr>
      <w:r>
        <w:t>To place the role of gesture within current thinking on neuroscience of the voice</w:t>
      </w:r>
    </w:p>
    <w:p w14:paraId="2C98E0B7" w14:textId="77777777" w:rsidR="00F73301" w:rsidRPr="00F73301" w:rsidRDefault="00F73301" w:rsidP="00F73301"/>
    <w:p w14:paraId="5D930219" w14:textId="6C225F45" w:rsidR="00CD0B4B" w:rsidRDefault="00CD0B4B" w:rsidP="00065FCB">
      <w:pPr>
        <w:pStyle w:val="Modulenormal"/>
        <w:rPr>
          <w:lang w:eastAsia="en-US"/>
        </w:rPr>
      </w:pPr>
      <w:r>
        <w:rPr>
          <w:lang w:eastAsia="en-US"/>
        </w:rPr>
        <w:t>My learning outcomes will be:</w:t>
      </w:r>
    </w:p>
    <w:p w14:paraId="23D71479" w14:textId="5E48E55E" w:rsidR="00E6025C" w:rsidRDefault="00E6025C" w:rsidP="00065FCB">
      <w:pPr>
        <w:pStyle w:val="Modulenormal"/>
        <w:numPr>
          <w:ilvl w:val="0"/>
          <w:numId w:val="3"/>
        </w:numPr>
      </w:pPr>
      <w:r>
        <w:rPr>
          <w:lang w:eastAsia="en-US"/>
        </w:rPr>
        <w:lastRenderedPageBreak/>
        <w:t xml:space="preserve">To </w:t>
      </w:r>
      <w:r>
        <w:rPr>
          <w:lang w:eastAsia="en-US"/>
        </w:rPr>
        <w:t xml:space="preserve">understand how gesture informs our acquisition of language, in the context of infant speech development and second language acquisition (SLA). </w:t>
      </w:r>
    </w:p>
    <w:p w14:paraId="410B1763" w14:textId="645E58A1" w:rsidR="00065FCB" w:rsidRPr="00065FCB" w:rsidRDefault="00E6025C" w:rsidP="00E6025C">
      <w:pPr>
        <w:pStyle w:val="Modulenormal"/>
        <w:numPr>
          <w:ilvl w:val="0"/>
          <w:numId w:val="3"/>
        </w:numPr>
      </w:pPr>
      <w:r>
        <w:rPr>
          <w:lang w:eastAsia="en-US"/>
        </w:rPr>
        <w:t>To</w:t>
      </w:r>
      <w:r>
        <w:rPr>
          <w:lang w:eastAsia="en-US"/>
        </w:rPr>
        <w:t xml:space="preserve"> understand the prevailing neuroscience of vocal learning and discover whether there is any link to gesture from this perspective</w:t>
      </w:r>
    </w:p>
    <w:p w14:paraId="1F66F04B" w14:textId="6ED20995" w:rsidR="00783173" w:rsidRDefault="00E6025C" w:rsidP="00065FCB">
      <w:pPr>
        <w:pStyle w:val="Modulenormal"/>
        <w:numPr>
          <w:ilvl w:val="0"/>
          <w:numId w:val="3"/>
        </w:numPr>
      </w:pPr>
      <w:r>
        <w:t xml:space="preserve">To propose concrete </w:t>
      </w:r>
      <w:r w:rsidR="00E25530">
        <w:t>applications for</w:t>
      </w:r>
      <w:r>
        <w:t xml:space="preserve"> my findings within my teaching practice </w:t>
      </w:r>
    </w:p>
    <w:p w14:paraId="42F2C1FB" w14:textId="77777777" w:rsidR="00E6025C" w:rsidRDefault="00E6025C" w:rsidP="00507F87">
      <w:pPr>
        <w:pStyle w:val="Modulenormal"/>
        <w:rPr>
          <w:lang w:eastAsia="en-US"/>
        </w:rPr>
      </w:pPr>
    </w:p>
    <w:p w14:paraId="5E0AC93D" w14:textId="4DF6AF85" w:rsidR="00CD0B4B" w:rsidRDefault="00F73301" w:rsidP="00507F87">
      <w:pPr>
        <w:pStyle w:val="Modulenormal"/>
        <w:rPr>
          <w:lang w:eastAsia="en-US"/>
        </w:rPr>
      </w:pPr>
      <w:r>
        <w:rPr>
          <w:lang w:eastAsia="en-US"/>
        </w:rPr>
        <w:t xml:space="preserve">As can be seen from my project Gantt chart (Figure 1) </w:t>
      </w:r>
      <w:r w:rsidR="00507F87">
        <w:rPr>
          <w:lang w:eastAsia="en-US"/>
        </w:rPr>
        <w:t xml:space="preserve">I have allocated extended periods to most phases of this module. Because I am taking an iterative approach as described by </w:t>
      </w:r>
      <w:r w:rsidR="00507F87">
        <w:t>Boel</w:t>
      </w:r>
      <w:r w:rsidR="00DC1DD6">
        <w:t>l</w:t>
      </w:r>
      <w:r w:rsidR="00507F87">
        <w:t xml:space="preserve"> and Cecez-Kecmanovic (2010)</w:t>
      </w:r>
      <w:r w:rsidR="00507F87">
        <w:rPr>
          <w:lang w:eastAsia="en-US"/>
        </w:rPr>
        <w:t>, and using my findings to refine my search process, I have allowed for a lot of overlap between the phases.</w:t>
      </w:r>
    </w:p>
    <w:p w14:paraId="7AD15AB4" w14:textId="14085FCB" w:rsidR="00CD0B4B" w:rsidRPr="00CD0B4B" w:rsidRDefault="00CD0B4B" w:rsidP="00CD0B4B">
      <w:pPr>
        <w:pStyle w:val="Modulenormal"/>
        <w:rPr>
          <w:lang w:eastAsia="en-US"/>
        </w:rPr>
      </w:pPr>
    </w:p>
    <w:p w14:paraId="4ADA0DFA" w14:textId="77777777" w:rsidR="00F73301" w:rsidRDefault="005628CB" w:rsidP="00F73301">
      <w:pPr>
        <w:keepNext/>
      </w:pPr>
      <w:r>
        <w:rPr>
          <w:noProof/>
          <w:lang w:eastAsia="en-US"/>
          <w14:ligatures w14:val="standardContextual"/>
        </w:rPr>
        <w:lastRenderedPageBreak/>
        <w:drawing>
          <wp:inline distT="0" distB="0" distL="0" distR="0" wp14:anchorId="42671CF3" wp14:editId="624190B3">
            <wp:extent cx="8686537" cy="1682258"/>
            <wp:effectExtent l="0" t="3175" r="0" b="0"/>
            <wp:docPr id="1136811946" name="Picture 1" descr="A yellow and green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811946" name="Picture 1" descr="A yellow and green lines&#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rot="16200000">
                      <a:off x="0" y="0"/>
                      <a:ext cx="8756288" cy="1695766"/>
                    </a:xfrm>
                    <a:prstGeom prst="rect">
                      <a:avLst/>
                    </a:prstGeom>
                  </pic:spPr>
                </pic:pic>
              </a:graphicData>
            </a:graphic>
          </wp:inline>
        </w:drawing>
      </w:r>
    </w:p>
    <w:p w14:paraId="1C9B7AAC" w14:textId="478CC2E1" w:rsidR="005628CB" w:rsidRPr="005628CB" w:rsidRDefault="00F73301" w:rsidP="00F73301">
      <w:pPr>
        <w:pStyle w:val="Caption"/>
        <w:rPr>
          <w:lang w:eastAsia="en-US"/>
        </w:rPr>
      </w:pPr>
      <w:bookmarkStart w:id="3" w:name="_Toc218505476"/>
      <w:bookmarkStart w:id="4" w:name="_Toc218505583"/>
      <w:bookmarkStart w:id="5" w:name="_Toc218505709"/>
      <w:bookmarkStart w:id="6" w:name="_Toc218507939"/>
      <w:r>
        <w:t xml:space="preserve">Figure </w:t>
      </w:r>
      <w:r>
        <w:fldChar w:fldCharType="begin"/>
      </w:r>
      <w:r>
        <w:instrText xml:space="preserve"> SEQ Figure \* ARABIC </w:instrText>
      </w:r>
      <w:r>
        <w:fldChar w:fldCharType="separate"/>
      </w:r>
      <w:r>
        <w:rPr>
          <w:noProof/>
        </w:rPr>
        <w:t>1</w:t>
      </w:r>
      <w:r>
        <w:rPr>
          <w:noProof/>
        </w:rPr>
        <w:fldChar w:fldCharType="end"/>
      </w:r>
      <w:r>
        <w:t xml:space="preserve"> Module 4 Gantt Chart</w:t>
      </w:r>
      <w:bookmarkEnd w:id="3"/>
      <w:bookmarkEnd w:id="4"/>
      <w:bookmarkEnd w:id="5"/>
      <w:bookmarkEnd w:id="6"/>
    </w:p>
    <w:p w14:paraId="5D432FF5" w14:textId="2DF0E4DA" w:rsidR="00D50798" w:rsidRDefault="00D50798"/>
    <w:p w14:paraId="3F4BA140" w14:textId="600388B7" w:rsidR="00D50798" w:rsidRDefault="005C188A" w:rsidP="00D50798">
      <w:pPr>
        <w:pStyle w:val="Heading2"/>
      </w:pPr>
      <w:bookmarkStart w:id="7" w:name="_Toc218505598"/>
      <w:r>
        <w:t xml:space="preserve">1.3 </w:t>
      </w:r>
      <w:r w:rsidR="00D50798">
        <w:t>Methodology</w:t>
      </w:r>
      <w:bookmarkEnd w:id="7"/>
      <w:r w:rsidR="00134D4B">
        <w:t xml:space="preserve"> </w:t>
      </w:r>
    </w:p>
    <w:p w14:paraId="53350FA8" w14:textId="77777777" w:rsidR="00DA7FFC" w:rsidRDefault="00DA7FFC" w:rsidP="00DA7FFC"/>
    <w:p w14:paraId="36BCFEDB" w14:textId="7CB403C5" w:rsidR="00FE47A5" w:rsidRDefault="0002272F" w:rsidP="00FE47A5">
      <w:pPr>
        <w:pStyle w:val="Modulenormal"/>
      </w:pPr>
      <w:r>
        <w:t>My literature review is narrative in form</w:t>
      </w:r>
      <w:r w:rsidR="00FE47A5">
        <w:t>. The</w:t>
      </w:r>
      <w:r>
        <w:t xml:space="preserve"> separate threads of the use of gesture in acquiring language</w:t>
      </w:r>
      <w:r w:rsidR="00FE47A5">
        <w:t xml:space="preserve"> </w:t>
      </w:r>
      <w:r>
        <w:t xml:space="preserve">and looking at the neuroscience of vocal learning, </w:t>
      </w:r>
      <w:r w:rsidR="00FE47A5">
        <w:t>require quite different approaches.</w:t>
      </w:r>
    </w:p>
    <w:p w14:paraId="6853F60E" w14:textId="77777777" w:rsidR="00411B39" w:rsidRPr="0042509A" w:rsidRDefault="00411B39" w:rsidP="0042509A">
      <w:pPr>
        <w:pStyle w:val="Modulenormal"/>
      </w:pPr>
    </w:p>
    <w:p w14:paraId="18EBFC13" w14:textId="38EA3216" w:rsidR="00411B39" w:rsidRDefault="00411B39" w:rsidP="00411B39">
      <w:pPr>
        <w:pStyle w:val="Modulenormal"/>
      </w:pPr>
      <w:r>
        <w:t>Because these topics</w:t>
      </w:r>
      <w:r w:rsidR="00D776B5">
        <w:t xml:space="preserve"> are</w:t>
      </w:r>
      <w:r>
        <w:t xml:space="preserve"> new to me, an iterative approach will allow me to refine my searches through the literature as I learn more. This aligns with a hermeneutic approach</w:t>
      </w:r>
      <w:r w:rsidR="00D776B5">
        <w:t xml:space="preserve"> (Boel</w:t>
      </w:r>
      <w:r w:rsidR="00DC1DD6">
        <w:t>l</w:t>
      </w:r>
      <w:r w:rsidR="00D776B5">
        <w:t xml:space="preserve"> and Cecez-Kecmanovic, 2010)</w:t>
      </w:r>
      <w:r>
        <w:t>.</w:t>
      </w:r>
      <w:r w:rsidR="00D776B5">
        <w:t xml:space="preserve"> As Boel</w:t>
      </w:r>
      <w:r w:rsidR="00DC1DD6">
        <w:t>l</w:t>
      </w:r>
      <w:r w:rsidR="00D776B5">
        <w:t xml:space="preserve"> and Cecez-Kecmanovic (2010) point out, it is important to be clear about the inherent bias and perspective I bring to this piece of work.</w:t>
      </w:r>
    </w:p>
    <w:p w14:paraId="7B6CDC45" w14:textId="77777777" w:rsidR="00763571" w:rsidRDefault="00763571" w:rsidP="00763571"/>
    <w:p w14:paraId="3432ADFD" w14:textId="4BDD6D69" w:rsidR="00763571" w:rsidRDefault="00763571" w:rsidP="00763571">
      <w:pPr>
        <w:pStyle w:val="Modulenormal"/>
      </w:pPr>
      <w:r>
        <w:t>To keep track of the articles I have found through this search, I will be using Zotero, an open source, free to use software manager. I will use the Collections functionality to separate my</w:t>
      </w:r>
      <w:r w:rsidR="007D3660">
        <w:t xml:space="preserve"> </w:t>
      </w:r>
      <w:r w:rsidR="00187231">
        <w:t>r</w:t>
      </w:r>
      <w:r>
        <w:t>eferences by topic of interest as follows:</w:t>
      </w:r>
    </w:p>
    <w:p w14:paraId="544C60A5" w14:textId="660BA3E8" w:rsidR="00763571" w:rsidRDefault="00763571" w:rsidP="00763571">
      <w:pPr>
        <w:pStyle w:val="Modulenormal"/>
        <w:numPr>
          <w:ilvl w:val="0"/>
          <w:numId w:val="11"/>
        </w:numPr>
      </w:pPr>
      <w:r>
        <w:t>Child directed gesture</w:t>
      </w:r>
    </w:p>
    <w:p w14:paraId="645F48FD" w14:textId="7FC8AFD9" w:rsidR="00763571" w:rsidRDefault="00187231" w:rsidP="00763571">
      <w:pPr>
        <w:pStyle w:val="ListParagraph"/>
        <w:numPr>
          <w:ilvl w:val="0"/>
          <w:numId w:val="11"/>
        </w:numPr>
      </w:pPr>
      <w:r>
        <w:t>Gesture and language learning</w:t>
      </w:r>
    </w:p>
    <w:p w14:paraId="4A760A76" w14:textId="5669883E" w:rsidR="00187231" w:rsidRDefault="00187231" w:rsidP="00763571">
      <w:pPr>
        <w:pStyle w:val="ListParagraph"/>
        <w:numPr>
          <w:ilvl w:val="0"/>
          <w:numId w:val="11"/>
        </w:numPr>
      </w:pPr>
      <w:r>
        <w:t>Gesture and sign language</w:t>
      </w:r>
    </w:p>
    <w:p w14:paraId="795F33D0" w14:textId="616983E1" w:rsidR="00187231" w:rsidRDefault="00187231" w:rsidP="00763571">
      <w:pPr>
        <w:pStyle w:val="ListParagraph"/>
        <w:numPr>
          <w:ilvl w:val="0"/>
          <w:numId w:val="11"/>
        </w:numPr>
      </w:pPr>
      <w:r>
        <w:t>Music and gesture</w:t>
      </w:r>
    </w:p>
    <w:p w14:paraId="10A3335F" w14:textId="10FA464B" w:rsidR="00DE048B" w:rsidRDefault="00187231" w:rsidP="006A2546">
      <w:pPr>
        <w:pStyle w:val="ListParagraph"/>
        <w:numPr>
          <w:ilvl w:val="0"/>
          <w:numId w:val="11"/>
        </w:numPr>
      </w:pPr>
      <w:r>
        <w:t>Neuroscience of singing</w:t>
      </w:r>
    </w:p>
    <w:p w14:paraId="38B8DC2D" w14:textId="0B90433F" w:rsidR="00134D4B" w:rsidRPr="00763571" w:rsidRDefault="007437CF" w:rsidP="00DE048B">
      <w:pPr>
        <w:pStyle w:val="Modulenormal"/>
      </w:pPr>
      <w:r>
        <w:t>A hermeneutic approach recognises that knowledge gained during the research process can be used to refine and direct further research (</w:t>
      </w:r>
      <w:r>
        <w:t>Boel</w:t>
      </w:r>
      <w:r w:rsidR="00DC1DD6">
        <w:t>l</w:t>
      </w:r>
      <w:r>
        <w:t xml:space="preserve"> and Cecez-Kecmanovic</w:t>
      </w:r>
      <w:r>
        <w:t xml:space="preserve">, </w:t>
      </w:r>
      <w:r>
        <w:t>2010</w:t>
      </w:r>
      <w:r>
        <w:t xml:space="preserve">). </w:t>
      </w:r>
      <w:r w:rsidR="00DE048B">
        <w:t xml:space="preserve">For each topic, once I have read sufficiently to establish some relevant factors for the scope of this essay, </w:t>
      </w:r>
      <w:r w:rsidR="00134D4B">
        <w:t>I will use the Tags functionality to identify articles</w:t>
      </w:r>
      <w:r w:rsidR="00DE048B">
        <w:t xml:space="preserve"> addressing these factors so I can refer to them as I need them in my report.</w:t>
      </w:r>
      <w:r w:rsidR="004824D7">
        <w:t xml:space="preserve"> As another facet of this hermeneutic approach, I will look out for the names of researchers that appear repeatedly in the articles I have found most </w:t>
      </w:r>
      <w:r w:rsidR="00D15FE0">
        <w:t>relevant and</w:t>
      </w:r>
      <w:r w:rsidR="004824D7">
        <w:t xml:space="preserve"> explore their publications for related articles</w:t>
      </w:r>
      <w:r w:rsidR="006A2546">
        <w:t xml:space="preserve"> </w:t>
      </w:r>
      <w:r w:rsidR="006A2546">
        <w:t>(Webster and Watson, 2002</w:t>
      </w:r>
      <w:r w:rsidR="006A2546">
        <w:t>)</w:t>
      </w:r>
      <w:r w:rsidR="004824D7">
        <w:t>.</w:t>
      </w:r>
    </w:p>
    <w:p w14:paraId="0D38198B" w14:textId="77777777" w:rsidR="00411B39" w:rsidRDefault="00411B39" w:rsidP="00763571">
      <w:pPr>
        <w:pStyle w:val="Modulenormal"/>
      </w:pPr>
    </w:p>
    <w:p w14:paraId="36F0576F" w14:textId="573217CA" w:rsidR="00DE048B" w:rsidRDefault="00DE048B" w:rsidP="00DE048B">
      <w:pPr>
        <w:pStyle w:val="Modulenormal"/>
      </w:pPr>
      <w:r>
        <w:t xml:space="preserve">A preliminary search on the University of Wales Trinity St David (UWTSD) library website on the role of gesture in second language acquisition yielded over a hundred results. </w:t>
      </w:r>
      <w:r w:rsidR="006A2546">
        <w:t>Because I aim to synthesize information across a range of fields, I need to concentrate on articles that address the issues relevant to constructing my narrative (</w:t>
      </w:r>
      <w:r w:rsidR="006A2546">
        <w:t>Webster and Watson,</w:t>
      </w:r>
      <w:r w:rsidR="006A2546">
        <w:t xml:space="preserve"> </w:t>
      </w:r>
      <w:r w:rsidR="006A2546">
        <w:t xml:space="preserve">2002) </w:t>
      </w:r>
      <w:r>
        <w:t>My methodology is to begin with the most recent articles dealing explicitly with this topic and</w:t>
      </w:r>
      <w:r w:rsidR="006A2546">
        <w:t xml:space="preserve"> to follow the citations given, particularly those that occur repeatedly, </w:t>
      </w:r>
      <w:r>
        <w:t>to find older research that has influenced the work being carried out currently</w:t>
      </w:r>
      <w:r w:rsidR="006A2546">
        <w:t xml:space="preserve"> </w:t>
      </w:r>
      <w:r w:rsidR="006A2546">
        <w:t>(Webster and Watson, 2002</w:t>
      </w:r>
      <w:r w:rsidR="006A2546">
        <w:t>)</w:t>
      </w:r>
      <w:r>
        <w:t>.</w:t>
      </w:r>
    </w:p>
    <w:p w14:paraId="18A6C2CB" w14:textId="77777777" w:rsidR="00DE048B" w:rsidRDefault="00DE048B" w:rsidP="00DE048B">
      <w:pPr>
        <w:pStyle w:val="Modulenormal"/>
      </w:pPr>
    </w:p>
    <w:p w14:paraId="16C40E68" w14:textId="2481209D" w:rsidR="00DE048B" w:rsidRPr="00DE048B" w:rsidRDefault="00DE048B" w:rsidP="00DE048B">
      <w:pPr>
        <w:pStyle w:val="Modulenormal"/>
      </w:pPr>
      <w:r>
        <w:lastRenderedPageBreak/>
        <w:t>A search</w:t>
      </w:r>
      <w:r w:rsidR="006A2546">
        <w:t xml:space="preserve"> in the UWTSD library website using the terms</w:t>
      </w:r>
      <w:r>
        <w:t xml:space="preserve"> ‘gesture’ and ‘motherese’ yielded a </w:t>
      </w:r>
      <w:r w:rsidR="006A2546">
        <w:t>small number of</w:t>
      </w:r>
      <w:r>
        <w:t xml:space="preserve"> fascinating studies into the gesture equivalent of child-directed speech, so I will look at all of these in more detail.</w:t>
      </w:r>
    </w:p>
    <w:p w14:paraId="50CF2CA3" w14:textId="77777777" w:rsidR="00DE048B" w:rsidRPr="00DE048B" w:rsidRDefault="00DE048B" w:rsidP="00DE048B"/>
    <w:p w14:paraId="636F082E" w14:textId="387085C7" w:rsidR="00411B39" w:rsidRDefault="006A2546" w:rsidP="00411B39">
      <w:pPr>
        <w:pStyle w:val="Modulenormal"/>
      </w:pPr>
      <w:r>
        <w:t>My interest in the</w:t>
      </w:r>
      <w:r w:rsidR="00411B39">
        <w:t xml:space="preserve"> neuroscience of vocal learning</w:t>
      </w:r>
      <w:r>
        <w:t xml:space="preserve"> began with </w:t>
      </w:r>
      <w:r>
        <w:t>a series of video lectures by Heid Moss Erickson (Voice Study Centre, 2025), a recognised current practitioner in this field</w:t>
      </w:r>
      <w:r>
        <w:t>.</w:t>
      </w:r>
      <w:r w:rsidR="00067ADF">
        <w:t xml:space="preserve"> </w:t>
      </w:r>
      <w:r>
        <w:t>B</w:t>
      </w:r>
      <w:r w:rsidR="00067ADF">
        <w:t>ecause advances in the technology in this century have enabled much of the current research (</w:t>
      </w:r>
      <w:r w:rsidR="0040669A">
        <w:t xml:space="preserve">Belyk and Brown, 2017; </w:t>
      </w:r>
      <w:r w:rsidR="00067ADF">
        <w:t>Silva et al., 2024)</w:t>
      </w:r>
      <w:r>
        <w:t xml:space="preserve"> and the field of neuroscience is vast, I will</w:t>
      </w:r>
      <w:r w:rsidR="00411B39">
        <w:t xml:space="preserve"> </w:t>
      </w:r>
      <w:r>
        <w:t>u</w:t>
      </w:r>
      <w:r w:rsidR="00411B39">
        <w:t>s</w:t>
      </w:r>
      <w:r>
        <w:t>e</w:t>
      </w:r>
      <w:r w:rsidR="00411B39">
        <w:t xml:space="preserve"> her </w:t>
      </w:r>
      <w:r w:rsidR="00067ADF">
        <w:t xml:space="preserve">related </w:t>
      </w:r>
      <w:r w:rsidR="00411B39">
        <w:t xml:space="preserve">articles as a starting point </w:t>
      </w:r>
      <w:r>
        <w:t>and</w:t>
      </w:r>
      <w:r w:rsidR="00411B39">
        <w:t xml:space="preserve"> look at cited articles</w:t>
      </w:r>
      <w:r>
        <w:t xml:space="preserve"> </w:t>
      </w:r>
      <w:r>
        <w:t>(Webster and Watson, 2002</w:t>
      </w:r>
      <w:r>
        <w:t xml:space="preserve">; </w:t>
      </w:r>
      <w:r>
        <w:t>Boel</w:t>
      </w:r>
      <w:r w:rsidR="00DC1DD6">
        <w:t>l</w:t>
      </w:r>
      <w:r>
        <w:t xml:space="preserve"> and Cecez-Kecmanovic, 2010</w:t>
      </w:r>
      <w:r>
        <w:t>)</w:t>
      </w:r>
      <w:r w:rsidR="00411B39">
        <w:t xml:space="preserve">. This will give me some field-specific vocabulary to conduct more specific searches into related literature. </w:t>
      </w:r>
    </w:p>
    <w:p w14:paraId="150ECFC3" w14:textId="77777777" w:rsidR="0042509A" w:rsidRPr="0042509A" w:rsidRDefault="0042509A" w:rsidP="0042509A">
      <w:pPr>
        <w:pStyle w:val="Modulenormal"/>
      </w:pPr>
    </w:p>
    <w:p w14:paraId="0F32437F" w14:textId="012010DB" w:rsidR="00067ADF" w:rsidRDefault="0042509A" w:rsidP="00285C75">
      <w:pPr>
        <w:pStyle w:val="Modulenormal"/>
      </w:pPr>
      <w:r w:rsidRPr="0042509A">
        <w:t>I have looked at the use of gesture in singing previously in my studies</w:t>
      </w:r>
      <w:r>
        <w:t xml:space="preserve"> through my interest in signed singing.</w:t>
      </w:r>
      <w:r w:rsidRPr="0042509A">
        <w:t xml:space="preserve"> I will draw on literature with which I am already familiar to discuss gesture in the choral world, using examples from conducting (</w:t>
      </w:r>
      <w:r w:rsidR="00285C75">
        <w:rPr>
          <w:lang w:eastAsia="en-US"/>
        </w:rPr>
        <w:t xml:space="preserve">Durrant, 2009; </w:t>
      </w:r>
      <w:r w:rsidRPr="0042509A">
        <w:t xml:space="preserve">Martins and </w:t>
      </w:r>
      <w:r w:rsidR="00856E87">
        <w:t xml:space="preserve">dos </w:t>
      </w:r>
      <w:r w:rsidR="001B4E79">
        <w:t xml:space="preserve">Santos </w:t>
      </w:r>
      <w:r w:rsidRPr="0042509A">
        <w:t>Junior, 2016)</w:t>
      </w:r>
      <w:r>
        <w:t xml:space="preserve">, training singers (Nafisi, </w:t>
      </w:r>
      <w:r w:rsidR="00285C75">
        <w:t>2013; Kilpatrick, 2020)</w:t>
      </w:r>
      <w:r w:rsidRPr="0042509A">
        <w:t xml:space="preserve"> and from solfege (Bowyer, 2015). </w:t>
      </w:r>
    </w:p>
    <w:p w14:paraId="02087525" w14:textId="77777777" w:rsidR="00285C75" w:rsidRDefault="00285C75" w:rsidP="00285C75"/>
    <w:p w14:paraId="45F5A3F8" w14:textId="7BA04C9D" w:rsidR="00285C75" w:rsidRPr="00285C75" w:rsidRDefault="00285C75" w:rsidP="00285C75">
      <w:pPr>
        <w:pStyle w:val="Modulenormal"/>
      </w:pPr>
      <w:r>
        <w:t>My aim is to draw together what I discover about these topics and synthesize my learning in terms of my use of gesture in teaching singing.</w:t>
      </w:r>
    </w:p>
    <w:p w14:paraId="545BFFED" w14:textId="77777777" w:rsidR="00D50798" w:rsidRDefault="00D50798">
      <w:pPr>
        <w:rPr>
          <w:rFonts w:asciiTheme="majorHAnsi" w:eastAsiaTheme="majorEastAsia" w:hAnsiTheme="majorHAnsi" w:cstheme="majorBidi"/>
          <w:color w:val="0F4761" w:themeColor="accent1" w:themeShade="BF"/>
          <w:sz w:val="40"/>
          <w:szCs w:val="40"/>
        </w:rPr>
      </w:pPr>
      <w:r>
        <w:br w:type="page"/>
      </w:r>
    </w:p>
    <w:p w14:paraId="7EC6288A" w14:textId="38CFC3CE" w:rsidR="00D50798" w:rsidRDefault="00D50798" w:rsidP="00D50798">
      <w:pPr>
        <w:pStyle w:val="Heading1"/>
      </w:pPr>
      <w:bookmarkStart w:id="8" w:name="_Toc218505599"/>
      <w:r>
        <w:lastRenderedPageBreak/>
        <w:t>Component 2: Project Report</w:t>
      </w:r>
      <w:bookmarkEnd w:id="8"/>
    </w:p>
    <w:p w14:paraId="14F1FA62" w14:textId="498F9B3D" w:rsidR="000173C9" w:rsidRDefault="0040669A" w:rsidP="000173C9">
      <w:pPr>
        <w:pStyle w:val="Heading2"/>
      </w:pPr>
      <w:bookmarkStart w:id="9" w:name="_Toc218505600"/>
      <w:r>
        <w:t xml:space="preserve">2.1 </w:t>
      </w:r>
      <w:r w:rsidR="000173C9">
        <w:t>Introduction</w:t>
      </w:r>
      <w:bookmarkEnd w:id="9"/>
    </w:p>
    <w:p w14:paraId="55FB4348" w14:textId="77777777" w:rsidR="00436275" w:rsidRDefault="00436275" w:rsidP="00436275">
      <w:pPr>
        <w:rPr>
          <w:lang w:eastAsia="en-US"/>
        </w:rPr>
      </w:pPr>
    </w:p>
    <w:p w14:paraId="7801348B" w14:textId="6ECFA28F" w:rsidR="00436275" w:rsidRDefault="00436275" w:rsidP="00436275">
      <w:pPr>
        <w:pStyle w:val="Modulenormal"/>
        <w:rPr>
          <w:lang w:eastAsia="en-US"/>
        </w:rPr>
      </w:pPr>
      <w:r>
        <w:rPr>
          <w:lang w:eastAsia="en-US"/>
        </w:rPr>
        <w:t>The purpose of this study was to investigate the nature of gesture and to use this knowledge to inform its use in the singing studio.</w:t>
      </w:r>
    </w:p>
    <w:p w14:paraId="39023A86" w14:textId="77777777" w:rsidR="00436275" w:rsidRDefault="00436275" w:rsidP="00436275">
      <w:pPr>
        <w:pStyle w:val="Modulenormal"/>
        <w:rPr>
          <w:lang w:eastAsia="en-US"/>
        </w:rPr>
      </w:pPr>
    </w:p>
    <w:p w14:paraId="745B840B" w14:textId="472EB016" w:rsidR="00D809D6" w:rsidRDefault="00436275" w:rsidP="00436275">
      <w:pPr>
        <w:pStyle w:val="Modulenormal"/>
        <w:rPr>
          <w:lang w:eastAsia="en-US"/>
        </w:rPr>
      </w:pPr>
      <w:r>
        <w:rPr>
          <w:lang w:eastAsia="en-US"/>
        </w:rPr>
        <w:t>Gesture is used in a wide variety of ways in the singing world, by conductors,</w:t>
      </w:r>
      <w:r w:rsidR="00614ECC" w:rsidRPr="00614ECC">
        <w:rPr>
          <w:lang w:eastAsia="en-US"/>
        </w:rPr>
        <w:t xml:space="preserve"> </w:t>
      </w:r>
      <w:r w:rsidR="00614ECC">
        <w:rPr>
          <w:lang w:eastAsia="en-US"/>
        </w:rPr>
        <w:t>(</w:t>
      </w:r>
      <w:r w:rsidR="00614ECC">
        <w:rPr>
          <w:lang w:eastAsia="en-US"/>
        </w:rPr>
        <w:t xml:space="preserve">Durrant, 2009; Martins and </w:t>
      </w:r>
      <w:r w:rsidR="00856E87">
        <w:rPr>
          <w:lang w:eastAsia="en-US"/>
        </w:rPr>
        <w:t xml:space="preserve">dos </w:t>
      </w:r>
      <w:r w:rsidR="001B4E79">
        <w:rPr>
          <w:lang w:eastAsia="en-US"/>
        </w:rPr>
        <w:t xml:space="preserve">Santos </w:t>
      </w:r>
      <w:r w:rsidR="00614ECC">
        <w:rPr>
          <w:lang w:eastAsia="en-US"/>
        </w:rPr>
        <w:t>Junior, 2016)</w:t>
      </w:r>
      <w:r>
        <w:rPr>
          <w:lang w:eastAsia="en-US"/>
        </w:rPr>
        <w:t xml:space="preserve"> through the hand-signs of solfege in Kodaly teaching </w:t>
      </w:r>
      <w:r w:rsidR="00614ECC">
        <w:rPr>
          <w:lang w:eastAsia="en-US"/>
        </w:rPr>
        <w:t xml:space="preserve">(Bowyer, 2015) </w:t>
      </w:r>
      <w:r>
        <w:rPr>
          <w:lang w:eastAsia="en-US"/>
        </w:rPr>
        <w:t>and as a tool in teaching singing</w:t>
      </w:r>
      <w:r w:rsidR="00614ECC">
        <w:rPr>
          <w:lang w:eastAsia="en-US"/>
        </w:rPr>
        <w:t xml:space="preserve"> </w:t>
      </w:r>
      <w:r w:rsidR="00614ECC">
        <w:rPr>
          <w:lang w:eastAsia="en-US"/>
        </w:rPr>
        <w:t>(Nafisi, 2013; Kilpatrick, 2020)</w:t>
      </w:r>
      <w:r>
        <w:rPr>
          <w:lang w:eastAsia="en-US"/>
        </w:rPr>
        <w:t>.</w:t>
      </w:r>
      <w:r w:rsidR="00D809D6">
        <w:rPr>
          <w:lang w:eastAsia="en-US"/>
        </w:rPr>
        <w:t xml:space="preserve"> Through my exposure to BSL signed singing I have seen great potential in the use of sign and gesture, </w:t>
      </w:r>
      <w:r w:rsidR="0040669A">
        <w:rPr>
          <w:lang w:eastAsia="en-US"/>
        </w:rPr>
        <w:t>a</w:t>
      </w:r>
      <w:r w:rsidR="00D809D6">
        <w:rPr>
          <w:lang w:eastAsia="en-US"/>
        </w:rPr>
        <w:t>nd</w:t>
      </w:r>
      <w:r w:rsidR="0040669A">
        <w:rPr>
          <w:lang w:eastAsia="en-US"/>
        </w:rPr>
        <w:t xml:space="preserve"> I</w:t>
      </w:r>
      <w:r w:rsidR="00D809D6">
        <w:rPr>
          <w:lang w:eastAsia="en-US"/>
        </w:rPr>
        <w:t xml:space="preserve"> hope to understand it better.</w:t>
      </w:r>
    </w:p>
    <w:p w14:paraId="0467C78E" w14:textId="77777777" w:rsidR="00D809D6" w:rsidRDefault="00D809D6" w:rsidP="00436275">
      <w:pPr>
        <w:pStyle w:val="Modulenormal"/>
        <w:rPr>
          <w:lang w:eastAsia="en-US"/>
        </w:rPr>
      </w:pPr>
    </w:p>
    <w:p w14:paraId="066A2696" w14:textId="6A666001" w:rsidR="00436275" w:rsidRDefault="00D809D6" w:rsidP="00436275">
      <w:pPr>
        <w:pStyle w:val="Modulenormal"/>
        <w:rPr>
          <w:rFonts w:eastAsiaTheme="majorEastAsia"/>
        </w:rPr>
      </w:pPr>
      <w:r>
        <w:rPr>
          <w:lang w:eastAsia="en-US"/>
        </w:rPr>
        <w:t>In this report I looked at the role of gesture in communication, particularly in first and second language acquisition (</w:t>
      </w:r>
      <w:r w:rsidRPr="00615646">
        <w:t>Kendon,</w:t>
      </w:r>
      <w:r>
        <w:t xml:space="preserve"> </w:t>
      </w:r>
      <w:r w:rsidRPr="00615646">
        <w:t>1997</w:t>
      </w:r>
      <w:r>
        <w:t xml:space="preserve">; Iverson et al., 1999; O’Neill et al., 2005; </w:t>
      </w:r>
      <w:r w:rsidRPr="00B46AF6">
        <w:t>Volterra, Iverson</w:t>
      </w:r>
      <w:r>
        <w:t xml:space="preserve"> and</w:t>
      </w:r>
      <w:r w:rsidRPr="00B46AF6">
        <w:t xml:space="preserve"> Castrataro</w:t>
      </w:r>
      <w:r>
        <w:t>, 2005;</w:t>
      </w:r>
      <w:r w:rsidRPr="00D809D6">
        <w:t xml:space="preserve"> </w:t>
      </w:r>
      <w:r>
        <w:t>Gullberg, 2006; Bunzeck and Diessel, 2025</w:t>
      </w:r>
      <w:r w:rsidRPr="00615646">
        <w:t>)</w:t>
      </w:r>
      <w:r>
        <w:rPr>
          <w:lang w:eastAsia="en-US"/>
        </w:rPr>
        <w:t>.</w:t>
      </w:r>
      <w:r w:rsidR="00436275">
        <w:rPr>
          <w:lang w:eastAsia="en-US"/>
        </w:rPr>
        <w:t xml:space="preserve"> </w:t>
      </w:r>
      <w:r>
        <w:rPr>
          <w:lang w:eastAsia="en-US"/>
        </w:rPr>
        <w:t>I then looked at the neuroscience behind vocal learning and production (</w:t>
      </w:r>
      <w:r>
        <w:rPr>
          <w:rFonts w:eastAsiaTheme="majorEastAsia"/>
        </w:rPr>
        <w:t xml:space="preserve">Belyk and Brown, 2017; </w:t>
      </w:r>
      <w:r w:rsidR="006B40F3">
        <w:rPr>
          <w:rFonts w:eastAsiaTheme="majorEastAsia"/>
        </w:rPr>
        <w:t xml:space="preserve">Jarvis, 2019; </w:t>
      </w:r>
      <w:r>
        <w:rPr>
          <w:rFonts w:eastAsiaTheme="majorEastAsia"/>
        </w:rPr>
        <w:t xml:space="preserve">Erickson, 2022a; Erickson, 2022b; Erickson, 2023; </w:t>
      </w:r>
      <w:r>
        <w:rPr>
          <w:rFonts w:eastAsiaTheme="majorEastAsia"/>
          <w:lang w:eastAsia="en-US"/>
        </w:rPr>
        <w:t>Silva et al., 2024</w:t>
      </w:r>
      <w:r>
        <w:rPr>
          <w:rFonts w:eastAsiaTheme="majorEastAsia"/>
        </w:rPr>
        <w:t>).</w:t>
      </w:r>
    </w:p>
    <w:p w14:paraId="26C4D544" w14:textId="77777777" w:rsidR="00D809D6" w:rsidRDefault="00D809D6" w:rsidP="00D809D6"/>
    <w:p w14:paraId="06AC7481" w14:textId="5B60B954" w:rsidR="00D809D6" w:rsidRPr="00D809D6" w:rsidRDefault="00D809D6" w:rsidP="00D809D6">
      <w:pPr>
        <w:pStyle w:val="Modulenormal"/>
      </w:pPr>
      <w:r>
        <w:t xml:space="preserve">Finally, I reflected critically on the common ground between these two perspectives and what can be applied in teaching singing and voice. </w:t>
      </w:r>
      <w:r w:rsidR="0040669A">
        <w:t>I looked at the implications for my own teaching and how I can improve my approach to teaching singing based on what I have learned.</w:t>
      </w:r>
    </w:p>
    <w:p w14:paraId="5F30F0BF" w14:textId="77777777" w:rsidR="000173C9" w:rsidRDefault="000173C9">
      <w:pPr>
        <w:rPr>
          <w:rFonts w:asciiTheme="majorHAnsi" w:eastAsiaTheme="majorEastAsia" w:hAnsiTheme="majorHAnsi" w:cstheme="majorBidi"/>
          <w:color w:val="0F4761" w:themeColor="accent1" w:themeShade="BF"/>
          <w:sz w:val="32"/>
          <w:szCs w:val="32"/>
        </w:rPr>
      </w:pPr>
      <w:r>
        <w:br w:type="page"/>
      </w:r>
    </w:p>
    <w:p w14:paraId="3494A6C5" w14:textId="29E5EAA8" w:rsidR="006C245C" w:rsidRPr="006C245C" w:rsidRDefault="0040669A" w:rsidP="006C245C">
      <w:pPr>
        <w:pStyle w:val="Heading2"/>
      </w:pPr>
      <w:bookmarkStart w:id="10" w:name="_Toc218505601"/>
      <w:r>
        <w:lastRenderedPageBreak/>
        <w:t xml:space="preserve">2.2 </w:t>
      </w:r>
      <w:r w:rsidR="000173C9">
        <w:t>Revie</w:t>
      </w:r>
      <w:r w:rsidR="00CE60FA">
        <w:t>w</w:t>
      </w:r>
      <w:bookmarkEnd w:id="10"/>
    </w:p>
    <w:p w14:paraId="147D321A" w14:textId="59FD3D62" w:rsidR="003F6591" w:rsidRDefault="003F6591" w:rsidP="00CE60FA">
      <w:pPr>
        <w:pStyle w:val="Heading3"/>
      </w:pPr>
      <w:bookmarkStart w:id="11" w:name="_Toc218505602"/>
      <w:r>
        <w:t xml:space="preserve">Gesture and </w:t>
      </w:r>
      <w:r w:rsidR="00DE3890">
        <w:t>sing</w:t>
      </w:r>
      <w:r>
        <w:t>ing</w:t>
      </w:r>
      <w:bookmarkEnd w:id="11"/>
    </w:p>
    <w:p w14:paraId="35E07900" w14:textId="1C946DEB" w:rsidR="001B4E79" w:rsidRDefault="00AE6DBC" w:rsidP="00AE6DBC">
      <w:pPr>
        <w:pStyle w:val="Modulenormal"/>
      </w:pPr>
      <w:r>
        <w:rPr>
          <w:lang w:eastAsia="en-US"/>
        </w:rPr>
        <w:t xml:space="preserve">There are multiple examples of the use of gesture in singing. </w:t>
      </w:r>
      <w:r w:rsidR="00DE3890">
        <w:t xml:space="preserve">The Australian researcher Nafisi </w:t>
      </w:r>
      <w:r w:rsidR="00EB083A">
        <w:t xml:space="preserve">(2013) </w:t>
      </w:r>
      <w:r w:rsidR="00DE3890">
        <w:t xml:space="preserve">conducted research on </w:t>
      </w:r>
      <w:r w:rsidR="00C42729">
        <w:t>singing teachers’</w:t>
      </w:r>
      <w:r w:rsidR="00DE3890">
        <w:t xml:space="preserve"> use of gesture.</w:t>
      </w:r>
      <w:r w:rsidR="00EB083A">
        <w:t xml:space="preserve"> Based on an initial pilot study videoing singing lessons, she</w:t>
      </w:r>
      <w:r w:rsidR="000E4C76">
        <w:t xml:space="preserve"> divided gestures into</w:t>
      </w:r>
      <w:r w:rsidR="00EB083A">
        <w:t xml:space="preserve"> four categories which she used in a survey of teachers in Germany: musical gestures relating to expression, physiological gestures relating to sound-producing actions, sensation gestures describing how the student experiences singing</w:t>
      </w:r>
      <w:r w:rsidR="00AB2E21">
        <w:t>,</w:t>
      </w:r>
      <w:r w:rsidR="00EB083A">
        <w:t xml:space="preserve"> and body movements for </w:t>
      </w:r>
      <w:r w:rsidR="000E4C76">
        <w:t xml:space="preserve">any other </w:t>
      </w:r>
      <w:r w:rsidR="00EB083A">
        <w:t>actions</w:t>
      </w:r>
      <w:r w:rsidR="000E4C76">
        <w:t xml:space="preserve">. </w:t>
      </w:r>
      <w:r w:rsidR="00EB083A">
        <w:t>She found that nearly all respondents used gestures in their practise</w:t>
      </w:r>
      <w:r w:rsidR="00AB2E21">
        <w:t xml:space="preserve"> (Nafisi, 2013)</w:t>
      </w:r>
      <w:r w:rsidR="00EB083A">
        <w:t>. Respondents used gesture and body movement</w:t>
      </w:r>
      <w:r w:rsidR="001B4E79">
        <w:t xml:space="preserve"> for a broad spectrum of reasons, including improving posture, technique, dealing with tension, musical expression and body awareness, and reflected a variety of schools of thought including Feldenkrais, Estil method and Alexander Technique</w:t>
      </w:r>
      <w:r w:rsidR="00F53080">
        <w:t xml:space="preserve"> (Nafisi, 2013)</w:t>
      </w:r>
      <w:r w:rsidR="001B4E79">
        <w:t>.</w:t>
      </w:r>
      <w:r w:rsidR="00077BB6">
        <w:t xml:space="preserve"> I believe the proliferation of philosophies of singing where movement and gesture are central </w:t>
      </w:r>
      <w:r w:rsidR="001D1710">
        <w:t>is evidence of</w:t>
      </w:r>
      <w:r w:rsidR="00077BB6">
        <w:t xml:space="preserve"> their effectiveness</w:t>
      </w:r>
      <w:r w:rsidR="00F53080">
        <w:t>.</w:t>
      </w:r>
      <w:r w:rsidR="00077BB6">
        <w:t xml:space="preserve"> </w:t>
      </w:r>
    </w:p>
    <w:p w14:paraId="20C50C45" w14:textId="77777777" w:rsidR="001B4E79" w:rsidRDefault="001B4E79" w:rsidP="00AE6DBC">
      <w:pPr>
        <w:pStyle w:val="Modulenormal"/>
      </w:pPr>
    </w:p>
    <w:p w14:paraId="0EF9B301" w14:textId="71268F23" w:rsidR="00065E3E" w:rsidRDefault="000E4C76" w:rsidP="00AE6DBC">
      <w:pPr>
        <w:pStyle w:val="Modulenormal"/>
        <w:rPr>
          <w:lang w:eastAsia="en-US"/>
        </w:rPr>
      </w:pPr>
      <w:r>
        <w:t>Similar patterns emerge</w:t>
      </w:r>
      <w:r w:rsidR="00AB2E21">
        <w:t>d</w:t>
      </w:r>
      <w:r>
        <w:t xml:space="preserve"> in studies of gesture in the choral world. </w:t>
      </w:r>
      <w:r w:rsidR="001B4E79">
        <w:t xml:space="preserve">Choral conductors use gesture to convey tempo, dynamics and expression (Durrant, 2009). One of the most </w:t>
      </w:r>
      <w:r w:rsidR="00AB2E21">
        <w:t>salient</w:t>
      </w:r>
      <w:r w:rsidR="001B4E79">
        <w:t xml:space="preserve"> findings</w:t>
      </w:r>
      <w:r w:rsidR="00AB2E21">
        <w:t xml:space="preserve"> in terms of </w:t>
      </w:r>
      <w:r w:rsidR="00C477CF">
        <w:t>research on speech and gesture</w:t>
      </w:r>
      <w:r w:rsidR="001B4E79">
        <w:t xml:space="preserve"> is that </w:t>
      </w:r>
      <w:r w:rsidR="00077BB6">
        <w:t xml:space="preserve">conductor </w:t>
      </w:r>
      <w:r w:rsidR="001B4E79">
        <w:t>gesture works best when it is clear and consistent</w:t>
      </w:r>
      <w:r w:rsidR="00077BB6">
        <w:t xml:space="preserve"> with verbal instruction (</w:t>
      </w:r>
      <w:r w:rsidR="00077BB6">
        <w:t>Nápoles, Silvey and Montemayor,</w:t>
      </w:r>
      <w:r w:rsidR="00077BB6">
        <w:t xml:space="preserve"> </w:t>
      </w:r>
      <w:r w:rsidR="00077BB6">
        <w:t>2021)</w:t>
      </w:r>
      <w:r w:rsidR="00077BB6">
        <w:t xml:space="preserve">. </w:t>
      </w:r>
      <w:r w:rsidR="00077BB6">
        <w:t xml:space="preserve">Martins and </w:t>
      </w:r>
      <w:r w:rsidR="00856E87">
        <w:t xml:space="preserve">dos </w:t>
      </w:r>
      <w:r w:rsidR="00077BB6">
        <w:t xml:space="preserve">Santos Junior (2016) </w:t>
      </w:r>
      <w:r w:rsidR="00077BB6">
        <w:t>studied the effect of gestures</w:t>
      </w:r>
      <w:r w:rsidR="00077BB6">
        <w:t xml:space="preserve"> </w:t>
      </w:r>
      <w:r w:rsidR="00077BB6">
        <w:t xml:space="preserve">performed by amateur and professional </w:t>
      </w:r>
      <w:r w:rsidR="00077BB6">
        <w:t xml:space="preserve">choir members while singing </w:t>
      </w:r>
      <w:r w:rsidR="00077BB6">
        <w:t xml:space="preserve">and </w:t>
      </w:r>
      <w:r w:rsidR="00077BB6">
        <w:t>found improve</w:t>
      </w:r>
      <w:r w:rsidR="00077BB6">
        <w:t>ment in</w:t>
      </w:r>
      <w:r w:rsidR="00077BB6">
        <w:t xml:space="preserve"> intonation, breath control and resonance.</w:t>
      </w:r>
      <w:r w:rsidR="00AB2E21">
        <w:t xml:space="preserve"> </w:t>
      </w:r>
      <w:r w:rsidR="00AB2E21" w:rsidRPr="00AB2E21">
        <w:t>Liao and Davidso</w:t>
      </w:r>
      <w:r w:rsidR="00AB2E21">
        <w:t>n</w:t>
      </w:r>
      <w:r w:rsidR="00AB2E21" w:rsidRPr="00AB2E21">
        <w:t xml:space="preserve"> (2016</w:t>
      </w:r>
      <w:r w:rsidR="00AB2E21">
        <w:t>) obtained similar results with a children’s choir. This adds to the circumstantial evidence for the effectiveness of gesture in improving singing,</w:t>
      </w:r>
    </w:p>
    <w:p w14:paraId="7FC6A3D3" w14:textId="77777777" w:rsidR="00065E3E" w:rsidRPr="00065E3E" w:rsidRDefault="00065E3E" w:rsidP="00065E3E"/>
    <w:p w14:paraId="1E0EE3CE" w14:textId="384DB0E8" w:rsidR="00065E3E" w:rsidRPr="00065E3E" w:rsidRDefault="00F53080" w:rsidP="00F53080">
      <w:pPr>
        <w:pStyle w:val="Modulenormal"/>
      </w:pPr>
      <w:r>
        <w:t>Brand (2021) explored some possible reasons why gesture is an effective technique in teaching singing</w:t>
      </w:r>
      <w:r w:rsidR="001D1710">
        <w:t xml:space="preserve">, </w:t>
      </w:r>
      <w:r>
        <w:t>assisting vocal technique, improving tonal quality and enabling musical expression, for example by illustrating phrasing and style. This study (Brand, 2021) looks at evidence from sports research that performance improves when the athlete focuses on an external aspect rather than an internal aspect of their actions</w:t>
      </w:r>
      <w:r w:rsidR="00AB2E21">
        <w:t>. Br</w:t>
      </w:r>
      <w:r>
        <w:t>and</w:t>
      </w:r>
      <w:r w:rsidR="00AB2E21">
        <w:t xml:space="preserve"> (2021)</w:t>
      </w:r>
      <w:r>
        <w:t xml:space="preserve"> postulates that gesture allows a singer to focus on an external </w:t>
      </w:r>
      <w:r w:rsidR="000E4C76">
        <w:t>quality, such as the sound they are producing, rather than internal sensations. This insight correlates with recent research into the neuroscience of vocal learning which will be discussed in a later section.</w:t>
      </w:r>
    </w:p>
    <w:p w14:paraId="32B38E8C" w14:textId="77777777" w:rsidR="003F6591" w:rsidRDefault="003F6591">
      <w:pPr>
        <w:spacing w:after="160" w:line="278" w:lineRule="auto"/>
        <w:rPr>
          <w:rFonts w:asciiTheme="minorHAnsi" w:eastAsiaTheme="majorEastAsia" w:hAnsiTheme="minorHAnsi" w:cstheme="majorBidi"/>
          <w:color w:val="0F4761" w:themeColor="accent1" w:themeShade="BF"/>
          <w:kern w:val="2"/>
          <w:sz w:val="28"/>
          <w:szCs w:val="28"/>
          <w:lang w:eastAsia="en-US"/>
          <w14:ligatures w14:val="standardContextual"/>
        </w:rPr>
      </w:pPr>
      <w:r>
        <w:br w:type="page"/>
      </w:r>
    </w:p>
    <w:p w14:paraId="332083FA" w14:textId="627ECB2E" w:rsidR="00CE60FA" w:rsidRDefault="00CE60FA" w:rsidP="00CE60FA">
      <w:pPr>
        <w:pStyle w:val="Heading3"/>
      </w:pPr>
      <w:bookmarkStart w:id="12" w:name="_Toc218505603"/>
      <w:r>
        <w:lastRenderedPageBreak/>
        <w:t xml:space="preserve">Gesture and </w:t>
      </w:r>
      <w:r w:rsidR="008648C8">
        <w:t>language</w:t>
      </w:r>
      <w:bookmarkEnd w:id="12"/>
    </w:p>
    <w:p w14:paraId="0340E092" w14:textId="0BE05359" w:rsidR="00C335A9" w:rsidRDefault="006C245C" w:rsidP="006C245C">
      <w:pPr>
        <w:pStyle w:val="Modulenormal"/>
      </w:pPr>
      <w:r>
        <w:rPr>
          <w:lang w:eastAsia="en-US"/>
        </w:rPr>
        <w:t xml:space="preserve">There is a well-documented link between gesture and speech </w:t>
      </w:r>
      <w:r w:rsidR="00ED3882">
        <w:rPr>
          <w:lang w:eastAsia="en-US"/>
        </w:rPr>
        <w:t>(</w:t>
      </w:r>
      <w:r w:rsidR="00ED3882" w:rsidRPr="00615646">
        <w:t>Kendon,</w:t>
      </w:r>
      <w:r w:rsidR="00ED3882">
        <w:t xml:space="preserve"> </w:t>
      </w:r>
      <w:r w:rsidR="00ED3882" w:rsidRPr="00615646">
        <w:t>1997</w:t>
      </w:r>
      <w:r w:rsidR="00ED3882">
        <w:t>; Gullberg, 2006</w:t>
      </w:r>
      <w:r w:rsidR="00ED3882" w:rsidRPr="00615646">
        <w:t>)</w:t>
      </w:r>
      <w:r w:rsidR="00ED3882">
        <w:t xml:space="preserve">. </w:t>
      </w:r>
      <w:r w:rsidR="001350F0">
        <w:t xml:space="preserve">It is important to understand that the definition of gesture is </w:t>
      </w:r>
      <w:r w:rsidR="0040669A">
        <w:t>context dependent</w:t>
      </w:r>
      <w:r w:rsidR="001350F0">
        <w:t xml:space="preserve">. </w:t>
      </w:r>
      <w:r w:rsidR="00C477CF">
        <w:t xml:space="preserve">In researching singing teaching, Nafisi (2013) found it most useful to categorise gesture by its pedagogical function. </w:t>
      </w:r>
      <w:r w:rsidR="001350F0">
        <w:t>Kendon (</w:t>
      </w:r>
      <w:r w:rsidR="00D809D6">
        <w:t>1997</w:t>
      </w:r>
      <w:r w:rsidR="001350F0">
        <w:t xml:space="preserve">) was a pioneer in the field of gesture </w:t>
      </w:r>
      <w:r w:rsidR="008F3F8E">
        <w:t>alongside</w:t>
      </w:r>
      <w:r w:rsidR="001350F0">
        <w:t xml:space="preserve"> spoken or signed languages</w:t>
      </w:r>
      <w:r w:rsidR="0040669A">
        <w:t>. He used</w:t>
      </w:r>
      <w:r w:rsidR="001350F0">
        <w:t xml:space="preserve"> the term “utterance visible action” to disambiguate his idea of gesture. </w:t>
      </w:r>
      <w:r w:rsidR="00614ECC">
        <w:t xml:space="preserve">Gullberg (2006, p. 104) defined gesture in terms of its relationship with speech, as “symbolic movements related to ongoing talk and to the expressive effort or intention”, as compared to other body movements. </w:t>
      </w:r>
      <w:r w:rsidR="001350F0">
        <w:t>Erickson</w:t>
      </w:r>
      <w:r w:rsidR="0025788F">
        <w:t xml:space="preserve"> (2023, p.669)</w:t>
      </w:r>
      <w:r w:rsidR="001350F0">
        <w:t xml:space="preserve">, </w:t>
      </w:r>
      <w:r w:rsidR="008F3F8E">
        <w:t xml:space="preserve">whose neuroscientific </w:t>
      </w:r>
      <w:r w:rsidR="001A0963">
        <w:t xml:space="preserve">work is discussed in </w:t>
      </w:r>
      <w:r w:rsidR="00955925">
        <w:t>a later</w:t>
      </w:r>
      <w:r w:rsidR="001A0963">
        <w:t xml:space="preserve"> section</w:t>
      </w:r>
      <w:r w:rsidR="001350F0">
        <w:t>, use</w:t>
      </w:r>
      <w:r w:rsidR="004E4705">
        <w:t>d</w:t>
      </w:r>
      <w:r w:rsidR="001350F0">
        <w:t xml:space="preserve"> the word “gesture” </w:t>
      </w:r>
      <w:r w:rsidR="008F3F8E">
        <w:t>to mean a “g</w:t>
      </w:r>
      <w:r w:rsidR="008F3F8E" w:rsidRPr="008F3F8E">
        <w:t xml:space="preserve">estural </w:t>
      </w:r>
      <w:r w:rsidR="008F3F8E">
        <w:t>c</w:t>
      </w:r>
      <w:r w:rsidR="008F3F8E" w:rsidRPr="008F3F8E">
        <w:t xml:space="preserve">lustering of </w:t>
      </w:r>
      <w:r w:rsidR="008F3F8E">
        <w:t>p</w:t>
      </w:r>
      <w:r w:rsidR="008F3F8E" w:rsidRPr="008F3F8E">
        <w:t>honemes</w:t>
      </w:r>
      <w:r w:rsidR="008F3F8E">
        <w:t xml:space="preserve">” </w:t>
      </w:r>
      <w:r w:rsidR="001350F0">
        <w:t xml:space="preserve">to describe an excerpt from a </w:t>
      </w:r>
      <w:r w:rsidR="008F3F8E">
        <w:t xml:space="preserve">song </w:t>
      </w:r>
      <w:r w:rsidR="001350F0">
        <w:t>phrase</w:t>
      </w:r>
      <w:r w:rsidR="0025788F">
        <w:t>.</w:t>
      </w:r>
    </w:p>
    <w:p w14:paraId="6813ACAD" w14:textId="77777777" w:rsidR="00C25EC9" w:rsidRDefault="00C25EC9" w:rsidP="00C25EC9"/>
    <w:p w14:paraId="087FE4C8" w14:textId="5CECD7BD" w:rsidR="00E27B18" w:rsidRPr="00614ECC" w:rsidRDefault="00C25EC9" w:rsidP="00B62E45">
      <w:pPr>
        <w:pStyle w:val="Modulenormal"/>
      </w:pPr>
      <w:r>
        <w:t>There are a variety of systems for categorising gesture</w:t>
      </w:r>
      <w:r w:rsidR="00C477CF">
        <w:t>s in their relationship with speech</w:t>
      </w:r>
      <w:r>
        <w:t xml:space="preserve"> (Gullberg, 2006), most of them based on the</w:t>
      </w:r>
      <w:r w:rsidR="0053264E">
        <w:t>ir</w:t>
      </w:r>
      <w:r>
        <w:t xml:space="preserve"> functions</w:t>
      </w:r>
      <w:r w:rsidR="0053264E">
        <w:t xml:space="preserve"> and symbolic meanings. Gullberg (2006) </w:t>
      </w:r>
      <w:r w:rsidR="00E27B18">
        <w:t>describe</w:t>
      </w:r>
      <w:r w:rsidR="004E4705">
        <w:t>d</w:t>
      </w:r>
      <w:r w:rsidR="00E27B18">
        <w:t xml:space="preserve"> some of these categories:</w:t>
      </w:r>
      <w:r w:rsidR="008F3F8E">
        <w:t xml:space="preserve"> i</w:t>
      </w:r>
      <w:r w:rsidR="0053264E">
        <w:t xml:space="preserve">conic gestures resemble </w:t>
      </w:r>
      <w:r w:rsidR="00E27B18">
        <w:t xml:space="preserve">what </w:t>
      </w:r>
      <w:r w:rsidR="0053264E">
        <w:t>they represent in an identifiable</w:t>
      </w:r>
      <w:r w:rsidR="001350F0">
        <w:t xml:space="preserve"> or culturally agreed</w:t>
      </w:r>
      <w:r w:rsidR="0053264E">
        <w:t xml:space="preserve"> way</w:t>
      </w:r>
      <w:r w:rsidR="008F3F8E">
        <w:t>, d</w:t>
      </w:r>
      <w:r w:rsidR="0053264E">
        <w:t>eictic gestures direct our attention</w:t>
      </w:r>
      <w:r w:rsidR="00614ECC">
        <w:t>, pointing being an example</w:t>
      </w:r>
      <w:r w:rsidR="008F3F8E">
        <w:t>,</w:t>
      </w:r>
      <w:r w:rsidR="00614ECC">
        <w:t xml:space="preserve"> </w:t>
      </w:r>
      <w:r w:rsidR="008F3F8E">
        <w:rPr>
          <w:rFonts w:eastAsiaTheme="majorEastAsia"/>
        </w:rPr>
        <w:t>b</w:t>
      </w:r>
      <w:r w:rsidR="0053264E">
        <w:t>eat gestures align with the stresses in spoken language</w:t>
      </w:r>
      <w:r w:rsidR="00614ECC">
        <w:t xml:space="preserve"> and metaphoric gestures serve the same purpose as verbal imagery</w:t>
      </w:r>
      <w:r w:rsidR="008F3F8E">
        <w:t>.</w:t>
      </w:r>
      <w:r w:rsidR="008F3F8E">
        <w:rPr>
          <w:rFonts w:eastAsiaTheme="majorEastAsia"/>
        </w:rPr>
        <w:t xml:space="preserve"> </w:t>
      </w:r>
      <w:r w:rsidR="001D1710">
        <w:rPr>
          <w:rFonts w:eastAsiaTheme="majorEastAsia"/>
        </w:rPr>
        <w:t xml:space="preserve">This perspective aligned most closely with my perspective on the way these gestures can be used in the singing studio, so </w:t>
      </w:r>
      <w:r w:rsidR="00955925">
        <w:rPr>
          <w:rFonts w:eastAsiaTheme="majorEastAsia"/>
        </w:rPr>
        <w:t>I have largely followed</w:t>
      </w:r>
      <w:r w:rsidR="001D1710">
        <w:rPr>
          <w:rFonts w:eastAsiaTheme="majorEastAsia"/>
        </w:rPr>
        <w:t xml:space="preserve"> </w:t>
      </w:r>
      <w:r w:rsidR="00955925">
        <w:rPr>
          <w:rFonts w:eastAsiaTheme="majorEastAsia"/>
        </w:rPr>
        <w:t>th</w:t>
      </w:r>
      <w:r w:rsidR="001D1710">
        <w:rPr>
          <w:rFonts w:eastAsiaTheme="majorEastAsia"/>
        </w:rPr>
        <w:t xml:space="preserve">is categorisation. </w:t>
      </w:r>
      <w:r w:rsidR="00E27B18">
        <w:t>Gestures are part of the flow of conversation, helping us organise our ideas, assisting turn-taking and providing or requesting feedback (Gullberg, 2006).</w:t>
      </w:r>
    </w:p>
    <w:p w14:paraId="0373A30B" w14:textId="77777777" w:rsidR="00E27B18" w:rsidRPr="00E27B18" w:rsidRDefault="00E27B18" w:rsidP="00E27B18"/>
    <w:p w14:paraId="35F06563" w14:textId="2486F631" w:rsidR="003F7FC0" w:rsidRDefault="00C25EC9" w:rsidP="0053264E">
      <w:pPr>
        <w:pStyle w:val="Modulenormal"/>
      </w:pPr>
      <w:r>
        <w:t>While gestures are unique and individual, there is a recognition that a language or culture has its own vocabulary of gesture (Kendon, 1997; Gullberg, 2006) borne out of the syntax, stress patterns</w:t>
      </w:r>
      <w:r w:rsidR="00B62E45">
        <w:t xml:space="preserve"> </w:t>
      </w:r>
      <w:r w:rsidR="001350F0">
        <w:t>and grammatical constructions of th</w:t>
      </w:r>
      <w:r w:rsidR="00B852DD">
        <w:t>e spoken</w:t>
      </w:r>
      <w:r w:rsidR="001350F0">
        <w:t xml:space="preserve"> language</w:t>
      </w:r>
      <w:r w:rsidR="00E27B18">
        <w:t xml:space="preserve">. For this reason, it has become a topic of interest in the study </w:t>
      </w:r>
      <w:r w:rsidR="00B62E45">
        <w:t xml:space="preserve">of </w:t>
      </w:r>
      <w:r w:rsidR="00E27B18">
        <w:t>language acquisition</w:t>
      </w:r>
      <w:r w:rsidR="00B62E45">
        <w:t>, both in infants (</w:t>
      </w:r>
      <w:r w:rsidR="0040669A">
        <w:t xml:space="preserve">Iverson et al., 1999; O’Neill et al., 2005; </w:t>
      </w:r>
      <w:r w:rsidR="0040669A" w:rsidRPr="00B46AF6">
        <w:t>Volterra, Iverson</w:t>
      </w:r>
      <w:r w:rsidR="0040669A">
        <w:t xml:space="preserve"> and</w:t>
      </w:r>
      <w:r w:rsidR="0040669A" w:rsidRPr="00B46AF6">
        <w:t xml:space="preserve"> Castrataro</w:t>
      </w:r>
      <w:r w:rsidR="0040669A">
        <w:t>,</w:t>
      </w:r>
      <w:r w:rsidR="00392BA9">
        <w:t xml:space="preserve"> </w:t>
      </w:r>
      <w:r w:rsidR="0040669A">
        <w:t>2005</w:t>
      </w:r>
      <w:r w:rsidR="00B62E45">
        <w:t>) and for second language learner</w:t>
      </w:r>
      <w:r w:rsidR="0040669A">
        <w:t>s</w:t>
      </w:r>
      <w:r w:rsidR="00E87B32">
        <w:t xml:space="preserve"> (</w:t>
      </w:r>
      <w:r w:rsidR="005F4A6D">
        <w:t>McCafferty, 2006</w:t>
      </w:r>
      <w:r w:rsidR="005F4A6D">
        <w:t xml:space="preserve">; </w:t>
      </w:r>
      <w:r w:rsidR="005F4A6D">
        <w:t xml:space="preserve">Brown and Gullberg, 2008; </w:t>
      </w:r>
      <w:r w:rsidR="00E87B32" w:rsidRPr="00E87B32">
        <w:t>Janzen Ulbricht,</w:t>
      </w:r>
      <w:r w:rsidR="00E87B32">
        <w:t xml:space="preserve"> </w:t>
      </w:r>
      <w:r w:rsidR="00E87B32" w:rsidRPr="00E87B32">
        <w:t>2018</w:t>
      </w:r>
      <w:r w:rsidR="005F4A6D">
        <w:t xml:space="preserve">; </w:t>
      </w:r>
      <w:r w:rsidR="005F4A6D">
        <w:t>Baills</w:t>
      </w:r>
      <w:r w:rsidR="005F4A6D">
        <w:t xml:space="preserve"> et al., 2019; </w:t>
      </w:r>
      <w:r w:rsidR="005F4A6D">
        <w:t>Li, Baills and Prieto, 2020</w:t>
      </w:r>
      <w:r w:rsidR="00E87B32" w:rsidRPr="00E87B32">
        <w:t>)</w:t>
      </w:r>
      <w:r w:rsidR="00B62E45">
        <w:t>.</w:t>
      </w:r>
    </w:p>
    <w:p w14:paraId="44680E79" w14:textId="77777777" w:rsidR="003F7FC0" w:rsidRDefault="003F7FC0">
      <w:pPr>
        <w:spacing w:after="160" w:line="278" w:lineRule="auto"/>
        <w:rPr>
          <w:rFonts w:ascii="Arial" w:hAnsi="Arial" w:cs="Arial"/>
          <w:color w:val="000000"/>
          <w:sz w:val="22"/>
          <w:szCs w:val="22"/>
        </w:rPr>
      </w:pPr>
      <w:r>
        <w:br w:type="page"/>
      </w:r>
    </w:p>
    <w:p w14:paraId="3853207B" w14:textId="73913D78" w:rsidR="000A6133" w:rsidRDefault="003F7FC0" w:rsidP="003F7FC0">
      <w:pPr>
        <w:pStyle w:val="Heading3"/>
      </w:pPr>
      <w:bookmarkStart w:id="13" w:name="_Toc218505604"/>
      <w:r>
        <w:lastRenderedPageBreak/>
        <w:t>Gesture and language acquisition in infants</w:t>
      </w:r>
      <w:bookmarkEnd w:id="13"/>
    </w:p>
    <w:p w14:paraId="10FB5AE6" w14:textId="20FA26B4" w:rsidR="000A6133" w:rsidRPr="00D0537E" w:rsidRDefault="00D0537E" w:rsidP="00D0537E">
      <w:pPr>
        <w:pStyle w:val="Modulenormal"/>
      </w:pPr>
      <w:r w:rsidRPr="00D0537E">
        <w:t>Child-directed speech (CDS)</w:t>
      </w:r>
      <w:r>
        <w:t xml:space="preserve"> has been the focus of much research. While authors such as Chomsky (1972) criticised the simplification of input to learners, implying this made it harder to grasp the complexity of spoken language, there has been more focus in recent times on the interaction between adult and child, using joint exploration of the environment to build a shared system of communication (</w:t>
      </w:r>
      <w:r w:rsidR="00A12D70">
        <w:t xml:space="preserve">Snow, 1996; </w:t>
      </w:r>
      <w:r w:rsidR="00D809D6" w:rsidRPr="00B46AF6">
        <w:t>Volterra, Iverson</w:t>
      </w:r>
      <w:r w:rsidR="00D809D6">
        <w:t xml:space="preserve"> and</w:t>
      </w:r>
      <w:r w:rsidR="00D809D6" w:rsidRPr="00B46AF6">
        <w:t xml:space="preserve"> Castrataro</w:t>
      </w:r>
      <w:r w:rsidR="00D809D6">
        <w:t xml:space="preserve">, 2005; </w:t>
      </w:r>
      <w:r>
        <w:t xml:space="preserve">Bunzeck and Diessel, 2025). The recognised features of CDS include </w:t>
      </w:r>
      <w:r w:rsidR="00800C50">
        <w:t>reduced vocabulary, slower delivery and more varied intonation compared to adult speech (Bunzeck and Diessel, 2025). The move towards looking at CDS from a usage perspective, rather than measuring it against fully developed adult language, puts greater focus on how CDS evolves with the growing communicative skills of the child, a far more interactive model (</w:t>
      </w:r>
      <w:r w:rsidR="00392BA9">
        <w:t>Gogate, Bahrick and Watson, 2000</w:t>
      </w:r>
      <w:r w:rsidR="00392BA9">
        <w:t xml:space="preserve">; </w:t>
      </w:r>
      <w:r w:rsidR="00800C50">
        <w:t xml:space="preserve">Bunzeck and Diessel, 2025). This seems to me to align more closely with what we now know about the process of vocal learning from a neuroscientific perspective, as described </w:t>
      </w:r>
      <w:r w:rsidR="00474C6C">
        <w:t>later in this assignment</w:t>
      </w:r>
      <w:r w:rsidR="00800C50">
        <w:t>.</w:t>
      </w:r>
    </w:p>
    <w:p w14:paraId="24133AEB" w14:textId="77777777" w:rsidR="008F3F8E" w:rsidRDefault="008F3F8E" w:rsidP="008F3F8E"/>
    <w:p w14:paraId="57F2323D" w14:textId="38CA88E3" w:rsidR="00331856" w:rsidRDefault="000A6133" w:rsidP="00FE7205">
      <w:pPr>
        <w:pStyle w:val="Modulenormal"/>
      </w:pPr>
      <w:r>
        <w:t>There is relatively little literature on</w:t>
      </w:r>
      <w:r w:rsidR="00101A50">
        <w:t xml:space="preserve"> “gesturese”,</w:t>
      </w:r>
      <w:r>
        <w:t xml:space="preserve"> the set of gestures mothers use with infants, compared to the body of research on </w:t>
      </w:r>
      <w:r w:rsidR="00D0537E">
        <w:t>CDS.</w:t>
      </w:r>
      <w:r>
        <w:t xml:space="preserve"> Iverson et al. (1999) studied the interactions of twelve Italian mother and child dyads, when the infants were 16 and 20 months old</w:t>
      </w:r>
      <w:r w:rsidR="007276E6">
        <w:t>,</w:t>
      </w:r>
      <w:r w:rsidR="00947A24">
        <w:t xml:space="preserve"> and most subsequent studies refer to these findings</w:t>
      </w:r>
      <w:r>
        <w:t>. They found that the mothers</w:t>
      </w:r>
      <w:r w:rsidR="00800C50">
        <w:t xml:space="preserve"> used a different set of gestures when interacting with their infant as compared to those used with adults, using less </w:t>
      </w:r>
      <w:r w:rsidR="00D02660">
        <w:t xml:space="preserve">“fluid hand-waving gestures” and using simple gestures that </w:t>
      </w:r>
      <w:r w:rsidR="000A604D">
        <w:t>align</w:t>
      </w:r>
      <w:r w:rsidR="00D02660">
        <w:t>ed more precisely to their spoken meaning, for example by pointing (Iverson et al., 1999, p. 58)</w:t>
      </w:r>
      <w:r w:rsidR="00101A50">
        <w:t>. The authors describe</w:t>
      </w:r>
      <w:r w:rsidR="004E4705">
        <w:t>d</w:t>
      </w:r>
      <w:r w:rsidR="00101A50">
        <w:t xml:space="preserve"> some of the functions of the mothers’ gestures as adding information, disambiguation, emphasis and directing attention. </w:t>
      </w:r>
      <w:r w:rsidR="004C0916">
        <w:t>They also found that the gestures used evolved over time</w:t>
      </w:r>
      <w:r w:rsidR="00474C6C">
        <w:t>.</w:t>
      </w:r>
      <w:r w:rsidR="004C0916">
        <w:t xml:space="preserve"> </w:t>
      </w:r>
      <w:r w:rsidR="00101A50">
        <w:t xml:space="preserve">A similar study on English children (O’Neill et al., </w:t>
      </w:r>
      <w:r w:rsidR="00331856">
        <w:t xml:space="preserve">2005) corroborated these findings in activities requiring some scaffolding or support of learning. O’Neill et al. </w:t>
      </w:r>
      <w:r w:rsidR="000A604D">
        <w:t xml:space="preserve">(2005) </w:t>
      </w:r>
      <w:r w:rsidR="00331856">
        <w:t>found that gestures made up nearly a third of maternal communication, and consisted of contextual information, such as emphasis, direction and disambiguation.</w:t>
      </w:r>
      <w:r w:rsidR="006C6595">
        <w:t xml:space="preserve"> </w:t>
      </w:r>
      <w:r w:rsidR="0040669A">
        <w:t>This</w:t>
      </w:r>
      <w:r w:rsidR="006C6595">
        <w:t xml:space="preserve"> aligns with the neuroscientific view of vocal learning as a process of exploring and discovering our environment</w:t>
      </w:r>
      <w:r w:rsidR="00B46AF6">
        <w:t>,</w:t>
      </w:r>
      <w:r w:rsidR="006C6595">
        <w:t xml:space="preserve"> learning language as we communicate with others about our expanding world view.</w:t>
      </w:r>
      <w:r w:rsidR="004C0916">
        <w:t xml:space="preserve"> As with Bunzeck and Diessel (2025),</w:t>
      </w:r>
      <w:r w:rsidR="004C0916">
        <w:t xml:space="preserve"> the gestures used</w:t>
      </w:r>
      <w:r w:rsidR="004C0916">
        <w:t xml:space="preserve"> between mother and child</w:t>
      </w:r>
      <w:r w:rsidR="004C0916">
        <w:t xml:space="preserve"> evolved over time</w:t>
      </w:r>
      <w:r w:rsidR="004C0916">
        <w:t xml:space="preserve"> as the child develop</w:t>
      </w:r>
      <w:r w:rsidR="000A604D">
        <w:t>ed</w:t>
      </w:r>
      <w:r w:rsidR="004C0916">
        <w:t xml:space="preserve"> (</w:t>
      </w:r>
      <w:r w:rsidR="004C0916">
        <w:t>Iverson et al.</w:t>
      </w:r>
      <w:r w:rsidR="004C0916">
        <w:t>, 1999)</w:t>
      </w:r>
      <w:r w:rsidR="00947A24">
        <w:t>,</w:t>
      </w:r>
      <w:r w:rsidR="00474C6C">
        <w:t xml:space="preserve"> reiterating the importance of language development as a </w:t>
      </w:r>
      <w:r w:rsidR="00947A24">
        <w:t>shared</w:t>
      </w:r>
      <w:r w:rsidR="00474C6C">
        <w:t xml:space="preserve"> journey of </w:t>
      </w:r>
      <w:r w:rsidR="0035527B">
        <w:t>exploration</w:t>
      </w:r>
      <w:r w:rsidR="00947A24">
        <w:t xml:space="preserve"> between infant and adult</w:t>
      </w:r>
      <w:r w:rsidR="0035527B">
        <w:t>.</w:t>
      </w:r>
    </w:p>
    <w:p w14:paraId="4578D0C2" w14:textId="77777777" w:rsidR="00B46AF6" w:rsidRDefault="00B46AF6" w:rsidP="00B46AF6"/>
    <w:p w14:paraId="080558CE" w14:textId="3EE9DF70" w:rsidR="003F7FC0" w:rsidRDefault="00A57131" w:rsidP="00A12D70">
      <w:pPr>
        <w:pStyle w:val="Modulenormal"/>
      </w:pPr>
      <w:r>
        <w:t>A study into the role of gesture in language acquisition comparing the experience of hearing and deaf infants exposed to different combinations of signed and spoken language (</w:t>
      </w:r>
      <w:r w:rsidR="00B46AF6" w:rsidRPr="00B46AF6">
        <w:t>Volterra, Iverson</w:t>
      </w:r>
      <w:r w:rsidR="00B46AF6">
        <w:t xml:space="preserve"> and</w:t>
      </w:r>
      <w:r w:rsidR="00B46AF6" w:rsidRPr="00B46AF6">
        <w:t xml:space="preserve"> Castrataro</w:t>
      </w:r>
      <w:r>
        <w:t xml:space="preserve">, </w:t>
      </w:r>
      <w:r w:rsidR="00B46AF6">
        <w:t xml:space="preserve">2005) </w:t>
      </w:r>
      <w:r w:rsidR="00947A24">
        <w:t xml:space="preserve">investigated </w:t>
      </w:r>
      <w:r w:rsidR="00B46AF6">
        <w:t xml:space="preserve">the role of gesture alongside CDS in the </w:t>
      </w:r>
      <w:r w:rsidR="00B46AF6">
        <w:lastRenderedPageBreak/>
        <w:t xml:space="preserve">acquisition of speech. </w:t>
      </w:r>
      <w:r w:rsidR="00065E3E">
        <w:t xml:space="preserve">Volterra, Iverson and </w:t>
      </w:r>
      <w:r w:rsidR="00392BA9" w:rsidRPr="00B46AF6">
        <w:t>Castrataro</w:t>
      </w:r>
      <w:r w:rsidR="00392BA9">
        <w:t xml:space="preserve"> </w:t>
      </w:r>
      <w:r w:rsidR="00065E3E">
        <w:t xml:space="preserve">(2005) </w:t>
      </w:r>
      <w:r w:rsidR="00947A24">
        <w:t>described</w:t>
      </w:r>
      <w:r w:rsidR="00065E3E">
        <w:t xml:space="preserve"> the process by which infants move from single-word and single-gesture communication to gesture and word combinations, before progressing to two-word utterances. They demonstrate</w:t>
      </w:r>
      <w:r w:rsidR="0035527B">
        <w:t>d</w:t>
      </w:r>
      <w:r w:rsidR="00065E3E">
        <w:t xml:space="preserve"> this with reference to various previous studies in addition to their own.</w:t>
      </w:r>
      <w:r w:rsidR="00DE3890">
        <w:t xml:space="preserve"> </w:t>
      </w:r>
      <w:r w:rsidR="00436275">
        <w:t xml:space="preserve">This illustrates how closely </w:t>
      </w:r>
      <w:r w:rsidR="00947A24">
        <w:t>spoken and manual</w:t>
      </w:r>
      <w:r w:rsidR="00436275">
        <w:t xml:space="preserve"> modes of communication are connected, especially in the early stages of language acquisition. </w:t>
      </w:r>
    </w:p>
    <w:p w14:paraId="55BD8803" w14:textId="6317C15D" w:rsidR="003F7FC0" w:rsidRDefault="003F7FC0">
      <w:pPr>
        <w:spacing w:after="160" w:line="278" w:lineRule="auto"/>
      </w:pPr>
      <w:r>
        <w:br w:type="page"/>
      </w:r>
    </w:p>
    <w:p w14:paraId="47D4260A" w14:textId="4ECD3041" w:rsidR="008648C8" w:rsidRDefault="003F7FC0" w:rsidP="003F7FC0">
      <w:pPr>
        <w:pStyle w:val="Heading3"/>
      </w:pPr>
      <w:bookmarkStart w:id="14" w:name="_Toc218505605"/>
      <w:r>
        <w:lastRenderedPageBreak/>
        <w:t>Gesture and second language acquisition</w:t>
      </w:r>
      <w:bookmarkEnd w:id="14"/>
    </w:p>
    <w:p w14:paraId="6F36C99E" w14:textId="76358452" w:rsidR="008648C8" w:rsidRDefault="008648C8" w:rsidP="001B2A85">
      <w:pPr>
        <w:pStyle w:val="Modulenormal"/>
      </w:pPr>
      <w:r>
        <w:t xml:space="preserve">Numerous studies into second language </w:t>
      </w:r>
      <w:r w:rsidR="001B2A85">
        <w:t xml:space="preserve">acquisition </w:t>
      </w:r>
      <w:r w:rsidR="003F7FC0">
        <w:t>have explored the ways gestures support learning</w:t>
      </w:r>
      <w:r w:rsidR="001B2A85">
        <w:t xml:space="preserve"> (McCafferty, 2006; Brown and Gullberg, 2008; </w:t>
      </w:r>
      <w:r w:rsidR="001B2A85" w:rsidRPr="00E87B32">
        <w:t>Janzen Ulbricht,</w:t>
      </w:r>
      <w:r w:rsidR="001B2A85">
        <w:t xml:space="preserve"> </w:t>
      </w:r>
      <w:r w:rsidR="001B2A85" w:rsidRPr="00E87B32">
        <w:t>2018</w:t>
      </w:r>
      <w:r w:rsidR="001B2A85">
        <w:t>; Baills et al., 2019; Li, Baills and Prieto, 2020</w:t>
      </w:r>
      <w:r w:rsidR="001B2A85" w:rsidRPr="00E87B32">
        <w:t>)</w:t>
      </w:r>
      <w:r w:rsidR="001B2A85">
        <w:t>.</w:t>
      </w:r>
      <w:r w:rsidR="003F7FC0">
        <w:t xml:space="preserve"> </w:t>
      </w:r>
      <w:r w:rsidR="006B0331">
        <w:t>Different types of gesture (</w:t>
      </w:r>
      <w:r w:rsidR="00390DE2">
        <w:t>Gullberg, 2006) assist learning a second language in different ways</w:t>
      </w:r>
      <w:r w:rsidR="000B3301">
        <w:t>, which may help to inform the way we use gestures as teachers of singing</w:t>
      </w:r>
      <w:r w:rsidR="00390DE2">
        <w:t>.</w:t>
      </w:r>
    </w:p>
    <w:p w14:paraId="3EFD0B8F" w14:textId="77777777" w:rsidR="00451319" w:rsidRDefault="00451319" w:rsidP="00451319"/>
    <w:p w14:paraId="0737E499" w14:textId="05640A2B" w:rsidR="00451319" w:rsidRPr="00451319" w:rsidRDefault="00451319" w:rsidP="00451319">
      <w:pPr>
        <w:pStyle w:val="Modulenormal"/>
      </w:pPr>
      <w:r>
        <w:t>Salvato</w:t>
      </w:r>
      <w:r>
        <w:t xml:space="preserve"> (2022)</w:t>
      </w:r>
      <w:r>
        <w:t xml:space="preserve"> describe</w:t>
      </w:r>
      <w:r w:rsidR="000A604D">
        <w:t>d</w:t>
      </w:r>
      <w:r>
        <w:t xml:space="preserve"> the necessity </w:t>
      </w:r>
      <w:r w:rsidR="007276E6">
        <w:t>of</w:t>
      </w:r>
      <w:r>
        <w:t xml:space="preserve"> relying on non-verbal communication, including gesture, in a beginners’ language class. </w:t>
      </w:r>
      <w:r w:rsidR="00343131">
        <w:t>The author</w:t>
      </w:r>
      <w:r>
        <w:t xml:space="preserve"> (</w:t>
      </w:r>
      <w:r>
        <w:t xml:space="preserve">Salvato, 2022) </w:t>
      </w:r>
      <w:r>
        <w:t>describe</w:t>
      </w:r>
      <w:r w:rsidR="000A604D">
        <w:t>d</w:t>
      </w:r>
      <w:r>
        <w:t xml:space="preserve"> </w:t>
      </w:r>
      <w:r w:rsidR="00A12D70">
        <w:t>various</w:t>
      </w:r>
      <w:r>
        <w:t xml:space="preserve"> ways that gesture can clarify speech, for example by illustrating that an action is ongoing, by regulating turn-taking in conversation</w:t>
      </w:r>
      <w:r w:rsidR="00A12D70">
        <w:t xml:space="preserve"> and</w:t>
      </w:r>
      <w:r>
        <w:t xml:space="preserve"> by indicating whether we agree or disagree</w:t>
      </w:r>
      <w:r w:rsidR="00343131">
        <w:t xml:space="preserve">. In this study </w:t>
      </w:r>
      <w:r w:rsidR="00343131">
        <w:t>(Salvato, 2022)</w:t>
      </w:r>
      <w:r w:rsidR="00343131">
        <w:t xml:space="preserve">, learners of Italian with a variety of </w:t>
      </w:r>
      <w:r w:rsidR="001D1710">
        <w:t>first</w:t>
      </w:r>
      <w:r w:rsidR="00343131">
        <w:t xml:space="preserve"> languages were explicitly taught common Italian gestures and encouraged to use them in conversation.</w:t>
      </w:r>
    </w:p>
    <w:p w14:paraId="2B04A614" w14:textId="77777777" w:rsidR="00390DE2" w:rsidRDefault="00390DE2" w:rsidP="00390DE2"/>
    <w:p w14:paraId="57AD7A75" w14:textId="5DE333DF" w:rsidR="00390DE2" w:rsidRPr="00390DE2" w:rsidRDefault="00390DE2" w:rsidP="00390DE2">
      <w:pPr>
        <w:pStyle w:val="Modulenormal"/>
      </w:pPr>
      <w:r>
        <w:t>Iconic gestures, which remind us of the word they accompany in some way (Gullberg, 2006) are useful in helping build vocabulary in the new language as they provide a kinaesthetic link to that object or action (</w:t>
      </w:r>
      <w:r w:rsidRPr="00390DE2">
        <w:t>Kelly, McDevitt and Esch,</w:t>
      </w:r>
      <w:r>
        <w:t xml:space="preserve"> </w:t>
      </w:r>
      <w:r w:rsidRPr="00390DE2">
        <w:t>2009</w:t>
      </w:r>
      <w:r>
        <w:t xml:space="preserve">). This relationship is more complex than might first be imagined. A study on Dutch learners of Spanish </w:t>
      </w:r>
      <w:r w:rsidR="000B3301">
        <w:t>(</w:t>
      </w:r>
      <w:r w:rsidR="000B3301">
        <w:t>Hoetjes and van Maastricht,</w:t>
      </w:r>
      <w:r w:rsidR="000B3301">
        <w:t xml:space="preserve"> </w:t>
      </w:r>
      <w:r w:rsidR="000B3301">
        <w:t>2020)</w:t>
      </w:r>
      <w:r w:rsidR="000B3301">
        <w:t xml:space="preserve"> showed that </w:t>
      </w:r>
      <w:r w:rsidR="00090066">
        <w:t xml:space="preserve">the complexity of both </w:t>
      </w:r>
      <w:r w:rsidR="000B3301">
        <w:t xml:space="preserve">gesture </w:t>
      </w:r>
      <w:r w:rsidR="00090066">
        <w:t>and</w:t>
      </w:r>
      <w:r w:rsidR="000B3301">
        <w:t xml:space="preserve"> n</w:t>
      </w:r>
      <w:r w:rsidR="00090066">
        <w:t>ovel</w:t>
      </w:r>
      <w:r w:rsidR="000B3301">
        <w:t xml:space="preserve"> vowel sound </w:t>
      </w:r>
      <w:r w:rsidR="00090066">
        <w:t>affected whether the gesture assisted in learning new phonemes</w:t>
      </w:r>
      <w:r w:rsidR="000B3301">
        <w:t xml:space="preserve">. </w:t>
      </w:r>
      <w:r w:rsidR="007276E6">
        <w:t>This leads me to believe t</w:t>
      </w:r>
      <w:r w:rsidR="000B3301">
        <w:t>here may be a role for iconic gestures to play in memorising</w:t>
      </w:r>
      <w:r w:rsidR="000A604D">
        <w:t xml:space="preserve"> and reinforcing the meaning of</w:t>
      </w:r>
      <w:r w:rsidR="000B3301">
        <w:t xml:space="preserve"> lyrics, so long as the singer connects the gesture to the word or words at an intuitive level.</w:t>
      </w:r>
    </w:p>
    <w:p w14:paraId="6A93DB92" w14:textId="77777777" w:rsidR="00E76B55" w:rsidRDefault="00E76B55" w:rsidP="00E76B55"/>
    <w:p w14:paraId="5BAF3D14" w14:textId="75790F1B" w:rsidR="00E76B55" w:rsidRDefault="00E76B55" w:rsidP="00A8668B">
      <w:pPr>
        <w:pStyle w:val="Modulenormal"/>
      </w:pPr>
      <w:r>
        <w:t xml:space="preserve">Beat gestures have </w:t>
      </w:r>
      <w:r w:rsidR="00A8668B">
        <w:t>various</w:t>
      </w:r>
      <w:r w:rsidR="00EE6579">
        <w:t xml:space="preserve"> </w:t>
      </w:r>
      <w:r>
        <w:t xml:space="preserve">roles to play in </w:t>
      </w:r>
      <w:r w:rsidR="000B3301">
        <w:t>verbal communication</w:t>
      </w:r>
      <w:r>
        <w:t xml:space="preserve">. </w:t>
      </w:r>
      <w:r w:rsidR="00EE6579">
        <w:t xml:space="preserve">McCafferty (2006) studied </w:t>
      </w:r>
      <w:r w:rsidR="0017169D">
        <w:t>the way a learner uses beat gestures to match the syllables of the new language, helping them to produce fluent speech by embodying its stresses and rhythms.</w:t>
      </w:r>
      <w:r w:rsidR="00467DB8">
        <w:t xml:space="preserve"> </w:t>
      </w:r>
      <w:r w:rsidR="00343131">
        <w:t xml:space="preserve">In some languages, such as English, </w:t>
      </w:r>
      <w:r w:rsidR="001F74D3">
        <w:t xml:space="preserve">rhythmic pattern follows the </w:t>
      </w:r>
      <w:r w:rsidR="00343131">
        <w:t xml:space="preserve">stressed syllables </w:t>
      </w:r>
      <w:r w:rsidR="001F74D3">
        <w:t xml:space="preserve">which </w:t>
      </w:r>
      <w:r w:rsidR="00343131">
        <w:t>tend to fall at</w:t>
      </w:r>
      <w:r w:rsidR="001F74D3">
        <w:t xml:space="preserve"> roughly</w:t>
      </w:r>
      <w:r w:rsidR="00343131">
        <w:t xml:space="preserve"> regular intervals, while in others, such as Spanish and French, all syllables tend to have </w:t>
      </w:r>
      <w:r w:rsidR="001F74D3">
        <w:t>similar</w:t>
      </w:r>
      <w:r w:rsidR="00343131">
        <w:t xml:space="preserve"> length</w:t>
      </w:r>
      <w:r w:rsidR="001F74D3">
        <w:t>s</w:t>
      </w:r>
      <w:r w:rsidR="00343131">
        <w:t xml:space="preserve"> (</w:t>
      </w:r>
      <w:r w:rsidR="00F337A3">
        <w:t>Gluhareva and Prieto</w:t>
      </w:r>
      <w:r w:rsidR="00F337A3">
        <w:t xml:space="preserve">, </w:t>
      </w:r>
      <w:r w:rsidR="00F337A3">
        <w:t>2017)</w:t>
      </w:r>
      <w:r w:rsidR="00F337A3">
        <w:t xml:space="preserve">. The authors </w:t>
      </w:r>
      <w:r w:rsidR="00F337A3">
        <w:t>(Gluhareva and Prieto, 2017)</w:t>
      </w:r>
      <w:r w:rsidR="00F337A3">
        <w:t xml:space="preserve"> found that use of beat gestures improved fluency and accent placement in a second language</w:t>
      </w:r>
      <w:r w:rsidR="001F74D3">
        <w:t xml:space="preserve"> with different rhythmic patterns to the </w:t>
      </w:r>
      <w:r w:rsidR="001D1710">
        <w:t>first language</w:t>
      </w:r>
      <w:r w:rsidR="00F337A3">
        <w:t>. It seems to me that music, which uses strong beats and expression markings to indicate where stresses should fall, is a perfect case for the use of beat gestures to make singers more aware of these patterns.</w:t>
      </w:r>
    </w:p>
    <w:p w14:paraId="64B0FF6B" w14:textId="77777777" w:rsidR="001718FE" w:rsidRDefault="001718FE" w:rsidP="001F74D3">
      <w:pPr>
        <w:pStyle w:val="Modulenormal"/>
      </w:pPr>
    </w:p>
    <w:p w14:paraId="3E5C4F69" w14:textId="69FC680E" w:rsidR="00E76B55" w:rsidRDefault="001F74D3" w:rsidP="001F74D3">
      <w:pPr>
        <w:pStyle w:val="Modulenormal"/>
      </w:pPr>
      <w:r>
        <w:t xml:space="preserve">Having worked with singers that struggle with intonation, I was particularly interested in studies of the effect of gesture on pitch discernment. Second language learners of Mandarin must become sensitive to the importance of tonal variation in this language, a distinction that </w:t>
      </w:r>
      <w:r>
        <w:lastRenderedPageBreak/>
        <w:t>languages such as English do not employ (Baills et al., 2019). This study showed that congruent hand gestures designed to represent the tone pattern of the words, especially if performed by the learner</w:t>
      </w:r>
      <w:r w:rsidR="000A604D">
        <w:t xml:space="preserve"> rather than just the teacher</w:t>
      </w:r>
      <w:r>
        <w:t>, were found to increase the learners’ perception and recall of tone variations (Baills et al., 2019). This is an observation that might benefit singers who struggle with intonation, for instance using melodic contours to increase a student’s perception of pitch changes.</w:t>
      </w:r>
      <w:r w:rsidR="00E25530">
        <w:t xml:space="preserve"> Having followed Kodaly methodology, I have used solfege hand signals to represent relative pitches (Bowyer, 2015) </w:t>
      </w:r>
      <w:r w:rsidR="00553CE6">
        <w:t>to teach students a kinaesthetic grasp of intervals in a similar way.</w:t>
      </w:r>
    </w:p>
    <w:p w14:paraId="5D82F723" w14:textId="77777777" w:rsidR="001F74D3" w:rsidRDefault="001F74D3" w:rsidP="001F74D3"/>
    <w:p w14:paraId="403AC053" w14:textId="1BA1EF17" w:rsidR="00E76B55" w:rsidRPr="00E76B55" w:rsidRDefault="001F74D3" w:rsidP="001F74D3">
      <w:pPr>
        <w:pStyle w:val="Modulenormal"/>
      </w:pPr>
      <w:r>
        <w:t>Jansen Ulbricht (2018) compared the long-term effect on fluency of two different styles of gesture support of learning material in a second language (an English play) in two German schools. In this study, the first method was to attach a gesture to each phoneme and learn the script with these gestures, while the second was to attach a gesture to each phrase or sentence (Jansen Ulbricht, 2018). The effectiveness of the method was found to depend on the initial fluency of the learners, the first method being more effective for less fluent learners and the second for more fluent learners (Jansen Ulbricht, 2018). This resonates with the findings of studies in child</w:t>
      </w:r>
      <w:r w:rsidR="003B197F">
        <w:t>-</w:t>
      </w:r>
      <w:r>
        <w:t xml:space="preserve">directed gestures, which showed that mothers modify their use of gesture as the child’s grasp of language develops (Iverson et al., 1999). </w:t>
      </w:r>
      <w:r w:rsidR="000A604D">
        <w:t>I</w:t>
      </w:r>
      <w:r>
        <w:t>t appears that the relationship between gesture and speech is complex and nuanced, very much depending on the subjective interactions between teacher, learner and the content they are exploring.</w:t>
      </w:r>
    </w:p>
    <w:p w14:paraId="61B14AB2" w14:textId="698B88DF" w:rsidR="0086633C" w:rsidRDefault="0086633C">
      <w:pPr>
        <w:spacing w:after="160" w:line="278" w:lineRule="auto"/>
      </w:pPr>
      <w:r>
        <w:br w:type="page"/>
      </w:r>
    </w:p>
    <w:p w14:paraId="290EB6AB" w14:textId="59991B73" w:rsidR="0086633C" w:rsidRPr="0086633C" w:rsidRDefault="0086633C" w:rsidP="0086633C">
      <w:pPr>
        <w:pStyle w:val="Heading3"/>
      </w:pPr>
      <w:bookmarkStart w:id="15" w:name="_Toc218505606"/>
      <w:r>
        <w:lastRenderedPageBreak/>
        <w:t>Gesture and sign language</w:t>
      </w:r>
      <w:bookmarkEnd w:id="15"/>
    </w:p>
    <w:p w14:paraId="35FC447C" w14:textId="0138284F" w:rsidR="00E56570" w:rsidRDefault="001718FE" w:rsidP="001B2A85">
      <w:pPr>
        <w:pStyle w:val="Modulenormal"/>
      </w:pPr>
      <w:r>
        <w:t>Having become interested in the role of gesture in my teaching through learning songs in BSL, I was interested in the way we distinguish language and gesture for a manually expressed language.</w:t>
      </w:r>
    </w:p>
    <w:p w14:paraId="5C01C409" w14:textId="77777777" w:rsidR="001718FE" w:rsidRPr="001718FE" w:rsidRDefault="001718FE" w:rsidP="001718FE"/>
    <w:p w14:paraId="7CBA7591" w14:textId="62162AD6" w:rsidR="00E56570" w:rsidRDefault="001350F0" w:rsidP="001350F0">
      <w:pPr>
        <w:pStyle w:val="Modulenormal"/>
      </w:pPr>
      <w:r>
        <w:t xml:space="preserve">The definition of gesture use within a signed language is </w:t>
      </w:r>
      <w:r w:rsidR="0035527B">
        <w:t>a complex one</w:t>
      </w:r>
      <w:r>
        <w:t>. Müller (2018) describe</w:t>
      </w:r>
      <w:r w:rsidR="004E4705">
        <w:t>d</w:t>
      </w:r>
      <w:r>
        <w:t xml:space="preserve"> the differing schools of thought</w:t>
      </w:r>
      <w:r w:rsidR="00B852DD">
        <w:t xml:space="preserve"> as deriving from different views on what constitutes gesture. She point</w:t>
      </w:r>
      <w:r w:rsidR="004E4705">
        <w:t>ed</w:t>
      </w:r>
      <w:r w:rsidR="00B852DD">
        <w:t xml:space="preserve"> out that Kendon (1997) studied the development of signed languages, saw them as emerging from the same medium and therefore considered gesture as part of the continuum of </w:t>
      </w:r>
      <w:r w:rsidR="00D2191B">
        <w:t xml:space="preserve">a </w:t>
      </w:r>
      <w:r w:rsidR="00B852DD">
        <w:t xml:space="preserve">fully developed sign language. </w:t>
      </w:r>
      <w:r w:rsidR="00B852DD" w:rsidRPr="00B852DD">
        <w:rPr>
          <w:rFonts w:eastAsiaTheme="majorEastAsia"/>
        </w:rPr>
        <w:t xml:space="preserve">Goldin-Meadow and Brentari </w:t>
      </w:r>
      <w:r w:rsidR="00B852DD">
        <w:rPr>
          <w:rFonts w:eastAsiaTheme="majorEastAsia"/>
        </w:rPr>
        <w:t>(</w:t>
      </w:r>
      <w:r w:rsidR="00B852DD" w:rsidRPr="00B852DD">
        <w:rPr>
          <w:rFonts w:eastAsiaTheme="majorEastAsia"/>
        </w:rPr>
        <w:t>2017</w:t>
      </w:r>
      <w:r w:rsidR="00B852DD">
        <w:rPr>
          <w:rFonts w:eastAsiaTheme="majorEastAsia"/>
        </w:rPr>
        <w:t>)</w:t>
      </w:r>
      <w:r w:rsidR="00B852DD" w:rsidRPr="00B852DD">
        <w:t>,</w:t>
      </w:r>
      <w:r w:rsidR="00B852DD">
        <w:t xml:space="preserve"> who argued for a complete separation of gesture and signed language, looked at the role of gesture in assisting and predicting lea</w:t>
      </w:r>
      <w:r w:rsidR="00D2191B">
        <w:t xml:space="preserve">rning in other fields, such as mathematics, so were interested in a specific subset of gestures relating to abstract processing, rather than concrete communication. </w:t>
      </w:r>
      <w:r w:rsidR="00C83188">
        <w:t xml:space="preserve">Müller </w:t>
      </w:r>
      <w:r w:rsidR="00C83188">
        <w:t>(</w:t>
      </w:r>
      <w:r w:rsidR="00C83188">
        <w:t>2018)</w:t>
      </w:r>
      <w:r w:rsidR="00C83188">
        <w:t xml:space="preserve"> </w:t>
      </w:r>
      <w:r w:rsidR="00D2191B">
        <w:t>argue</w:t>
      </w:r>
      <w:r w:rsidR="00C83188">
        <w:t>d a more dynamic, fluid boundary</w:t>
      </w:r>
      <w:r w:rsidR="00D2191B">
        <w:t xml:space="preserve"> </w:t>
      </w:r>
      <w:r w:rsidR="00C83188">
        <w:t xml:space="preserve">between </w:t>
      </w:r>
      <w:r w:rsidR="00D2191B">
        <w:t xml:space="preserve">gesture </w:t>
      </w:r>
      <w:r w:rsidR="00C83188">
        <w:t xml:space="preserve">and </w:t>
      </w:r>
      <w:r w:rsidR="00D2191B">
        <w:t>spoken or signed language</w:t>
      </w:r>
      <w:r w:rsidR="00C83188">
        <w:t xml:space="preserve">. </w:t>
      </w:r>
      <w:r w:rsidR="00D2191B">
        <w:t>For my purposes as a practitioner researcher, the latter position is useful</w:t>
      </w:r>
      <w:r w:rsidR="008F3F8E">
        <w:t>.</w:t>
      </w:r>
      <w:r w:rsidR="00D2191B">
        <w:t xml:space="preserve"> I am interested in the way I can borrow the gesture component of signed singing to </w:t>
      </w:r>
      <w:r w:rsidR="008F3F8E">
        <w:t xml:space="preserve">enrich </w:t>
      </w:r>
      <w:r w:rsidR="00D2191B">
        <w:t>my teaching as a tool for illustrating musical expression.</w:t>
      </w:r>
      <w:r w:rsidR="00B852DD">
        <w:t xml:space="preserve"> </w:t>
      </w:r>
    </w:p>
    <w:p w14:paraId="3CB76D97" w14:textId="77777777" w:rsidR="00AD12DA" w:rsidRDefault="00AD12DA" w:rsidP="00AD12DA"/>
    <w:p w14:paraId="541301CC" w14:textId="4B97F19C" w:rsidR="005865F8" w:rsidRPr="00AD12DA" w:rsidRDefault="005865F8" w:rsidP="005865F8">
      <w:pPr>
        <w:pStyle w:val="Modulenormal"/>
      </w:pPr>
      <w:r>
        <w:t xml:space="preserve">A study by </w:t>
      </w:r>
      <w:r>
        <w:t>Newman</w:t>
      </w:r>
      <w:r>
        <w:t xml:space="preserve"> et al. (2015) shed some light on the boundary between language and gesture for sign language speakers, showing that for signers both American Sign Language and iconic gesture describing motion were processed by the parts of the brain associated with language processing, while non-signers used the parts of the brain concerned with biological motion to interpret the same video footage. In my view this underlines the difficulty in establishing a clear border between sign and gesture. </w:t>
      </w:r>
    </w:p>
    <w:p w14:paraId="4AC088E5" w14:textId="77777777" w:rsidR="0086633C" w:rsidRDefault="0086633C" w:rsidP="0086633C"/>
    <w:p w14:paraId="6D2D4C05" w14:textId="6C6F1AAC" w:rsidR="0086633C" w:rsidRPr="007276E6" w:rsidRDefault="00214670" w:rsidP="007276E6">
      <w:pPr>
        <w:pStyle w:val="Modulenormal"/>
      </w:pPr>
      <w:r>
        <w:t>Chen Pichler and Koulidobrova</w:t>
      </w:r>
      <w:r>
        <w:t xml:space="preserve"> </w:t>
      </w:r>
      <w:r>
        <w:t>(2015)</w:t>
      </w:r>
      <w:r>
        <w:t xml:space="preserve"> discuss the complex area of studying second language acquisition of a signed language. They point out that, as with other second language learners, signed language learners impose the grammatical structure and rhythms of their first language</w:t>
      </w:r>
      <w:r w:rsidR="00B65A12">
        <w:t xml:space="preserve"> on their new language at first</w:t>
      </w:r>
      <w:r>
        <w:t xml:space="preserve">, but also </w:t>
      </w:r>
      <w:r w:rsidR="00B65A12">
        <w:t>quickly acquire</w:t>
      </w:r>
      <w:r>
        <w:t xml:space="preserve"> signs that </w:t>
      </w:r>
      <w:r w:rsidR="00F50361">
        <w:t>resemble those used by non-signers, for example “call me” (</w:t>
      </w:r>
      <w:r w:rsidR="00F50361">
        <w:t>Chen Pichler and Koulidobrova</w:t>
      </w:r>
      <w:r w:rsidR="00F50361">
        <w:t xml:space="preserve">, </w:t>
      </w:r>
      <w:r w:rsidR="00F50361">
        <w:t>2015</w:t>
      </w:r>
      <w:r w:rsidR="00F50361">
        <w:t>, pp. 223-224</w:t>
      </w:r>
      <w:r w:rsidR="00F50361">
        <w:t>)</w:t>
      </w:r>
      <w:r w:rsidR="00F50361">
        <w:t>.</w:t>
      </w:r>
      <w:r w:rsidR="00B65A12">
        <w:t xml:space="preserve"> </w:t>
      </w:r>
      <w:r w:rsidR="00152A92">
        <w:t xml:space="preserve">Just as some words will be easier to learn in a </w:t>
      </w:r>
      <w:r w:rsidR="007276E6">
        <w:t xml:space="preserve">spoken </w:t>
      </w:r>
      <w:r w:rsidR="00152A92">
        <w:t>second language because they are similar to words with the same meaning in the learner’s first language, it turns out that some signed vocabulary is easier to learn because the sign resembles an iconic gesture with the same meaning (</w:t>
      </w:r>
      <w:r w:rsidR="00152A92" w:rsidRPr="00152A92">
        <w:t>Orteg</w:t>
      </w:r>
      <w:r w:rsidR="00152A92">
        <w:t>a</w:t>
      </w:r>
      <w:r w:rsidR="00152A92" w:rsidRPr="00152A92">
        <w:t>, Özyürek and Peeters, 2020</w:t>
      </w:r>
      <w:r w:rsidR="00AD12DA">
        <w:t xml:space="preserve">; </w:t>
      </w:r>
      <w:r w:rsidR="00AD12DA" w:rsidRPr="00AD12DA">
        <w:t>Karadöller</w:t>
      </w:r>
      <w:r w:rsidR="00AD12DA">
        <w:t xml:space="preserve"> et al., 2024</w:t>
      </w:r>
      <w:r w:rsidR="00152A92" w:rsidRPr="00152A92">
        <w:t>)</w:t>
      </w:r>
      <w:r w:rsidR="00152A92">
        <w:t>.</w:t>
      </w:r>
      <w:r w:rsidR="00DE0CF7">
        <w:t xml:space="preserve"> This resonates with my experience with signed song, where the actions are easier to perform than body percussion, for example, because there is frequently an intuitive connection between the sign and </w:t>
      </w:r>
      <w:r w:rsidR="00B65A12">
        <w:t>its</w:t>
      </w:r>
      <w:r w:rsidR="00DE0CF7">
        <w:t xml:space="preserve"> meaning.</w:t>
      </w:r>
    </w:p>
    <w:p w14:paraId="48A13187" w14:textId="082E2425" w:rsidR="0086633C" w:rsidRPr="0086633C" w:rsidRDefault="0086633C" w:rsidP="0086633C">
      <w:pPr>
        <w:pStyle w:val="Heading3"/>
      </w:pPr>
      <w:bookmarkStart w:id="16" w:name="_Toc218505607"/>
      <w:r>
        <w:lastRenderedPageBreak/>
        <w:t>Gesture in other fields of learning</w:t>
      </w:r>
      <w:bookmarkEnd w:id="16"/>
    </w:p>
    <w:p w14:paraId="5222618B" w14:textId="53BEB955" w:rsidR="00A12D70" w:rsidRDefault="00F43E25" w:rsidP="00A12D70">
      <w:pPr>
        <w:pStyle w:val="Modulenormal"/>
        <w:rPr>
          <w:rFonts w:eastAsiaTheme="majorEastAsia"/>
        </w:rPr>
      </w:pPr>
      <w:r>
        <w:rPr>
          <w:rFonts w:eastAsiaTheme="majorEastAsia"/>
        </w:rPr>
        <w:t>There is evidence that gesture is part of the learning process in areas outside of language (</w:t>
      </w:r>
      <w:r w:rsidR="000B395F">
        <w:t>Novack et al., 2014; Wakefield et al., 2018; Stylianou et al., 2024</w:t>
      </w:r>
      <w:r>
        <w:rPr>
          <w:rFonts w:eastAsiaTheme="majorEastAsia"/>
        </w:rPr>
        <w:t xml:space="preserve">). </w:t>
      </w:r>
      <w:r w:rsidR="00A12D70" w:rsidRPr="00321944">
        <w:t xml:space="preserve">McCafferty (2006) </w:t>
      </w:r>
      <w:r w:rsidR="00A12D70">
        <w:t>describe</w:t>
      </w:r>
      <w:r w:rsidR="000B395F">
        <w:t>s</w:t>
      </w:r>
      <w:r w:rsidR="00A12D70">
        <w:t xml:space="preserve"> gesture as part of the process of </w:t>
      </w:r>
      <w:r w:rsidR="00A12D70" w:rsidRPr="00321944">
        <w:t>obtain</w:t>
      </w:r>
      <w:r w:rsidR="00A12D70">
        <w:t>ing</w:t>
      </w:r>
      <w:r w:rsidR="00A12D70" w:rsidRPr="00321944">
        <w:t xml:space="preserve"> knowledge through</w:t>
      </w:r>
      <w:r w:rsidR="00A12D70">
        <w:t xml:space="preserve"> sharing</w:t>
      </w:r>
      <w:r w:rsidR="00A12D70" w:rsidRPr="00321944">
        <w:t xml:space="preserve"> lived experience, by interacting with the physical world.</w:t>
      </w:r>
      <w:r w:rsidR="00A12D70">
        <w:t xml:space="preserve"> As McCafferty </w:t>
      </w:r>
      <w:r w:rsidR="00B65A12">
        <w:t xml:space="preserve">(2006) </w:t>
      </w:r>
      <w:r w:rsidR="00A12D70">
        <w:t xml:space="preserve">goes on to say, we may also use gesture in private, when learning </w:t>
      </w:r>
      <w:r w:rsidR="00A73387">
        <w:t>on our own</w:t>
      </w:r>
      <w:r w:rsidR="00A12D70">
        <w:t xml:space="preserve">. </w:t>
      </w:r>
    </w:p>
    <w:p w14:paraId="33047C94" w14:textId="77777777" w:rsidR="00A12D70" w:rsidRDefault="00A12D70" w:rsidP="00A12D70">
      <w:pPr>
        <w:pStyle w:val="Modulenormal"/>
        <w:rPr>
          <w:rFonts w:eastAsiaTheme="majorEastAsia"/>
        </w:rPr>
      </w:pPr>
    </w:p>
    <w:p w14:paraId="71C63710" w14:textId="56760B75" w:rsidR="004E4705" w:rsidRDefault="00F43E25" w:rsidP="00A12D70">
      <w:pPr>
        <w:pStyle w:val="Modulenormal"/>
        <w:rPr>
          <w:rFonts w:eastAsiaTheme="majorEastAsia"/>
        </w:rPr>
      </w:pPr>
      <w:r>
        <w:rPr>
          <w:rFonts w:eastAsiaTheme="majorEastAsia"/>
        </w:rPr>
        <w:t>Wakefield et al</w:t>
      </w:r>
      <w:r w:rsidR="00D902AB">
        <w:rPr>
          <w:rFonts w:eastAsiaTheme="majorEastAsia"/>
        </w:rPr>
        <w:t>.</w:t>
      </w:r>
      <w:r>
        <w:rPr>
          <w:rFonts w:eastAsiaTheme="majorEastAsia"/>
        </w:rPr>
        <w:t xml:space="preserve"> (2018) describe</w:t>
      </w:r>
      <w:r w:rsidR="004E4705">
        <w:rPr>
          <w:rFonts w:eastAsiaTheme="majorEastAsia"/>
        </w:rPr>
        <w:t>d</w:t>
      </w:r>
      <w:r>
        <w:rPr>
          <w:rFonts w:eastAsiaTheme="majorEastAsia"/>
        </w:rPr>
        <w:t xml:space="preserve"> the difference between action learning, for instance in dividing a cake into segments to illustrate fractions, with the gesture a teacher uses to illustrate the same process. The authors suggest</w:t>
      </w:r>
      <w:r w:rsidR="004E4705">
        <w:rPr>
          <w:rFonts w:eastAsiaTheme="majorEastAsia"/>
        </w:rPr>
        <w:t>ed</w:t>
      </w:r>
      <w:r>
        <w:rPr>
          <w:rFonts w:eastAsiaTheme="majorEastAsia"/>
        </w:rPr>
        <w:t xml:space="preserve"> that the gesture </w:t>
      </w:r>
      <w:r w:rsidR="00A73387">
        <w:rPr>
          <w:rFonts w:eastAsiaTheme="majorEastAsia"/>
        </w:rPr>
        <w:t>provid</w:t>
      </w:r>
      <w:r>
        <w:rPr>
          <w:rFonts w:eastAsiaTheme="majorEastAsia"/>
        </w:rPr>
        <w:t>es the abstract idea of the concept, compared to the specific example given in action learning</w:t>
      </w:r>
      <w:r w:rsidR="00B65A12">
        <w:rPr>
          <w:rFonts w:eastAsiaTheme="majorEastAsia"/>
        </w:rPr>
        <w:t xml:space="preserve"> (cutting an actual cake)</w:t>
      </w:r>
      <w:r>
        <w:rPr>
          <w:rFonts w:eastAsiaTheme="majorEastAsia"/>
        </w:rPr>
        <w:t>, creating a more generalised concept for the learner which can be applied across multiple examples. This seems seminal to me, and a perfect example of the metaphoric aspect of gesture.</w:t>
      </w:r>
      <w:r w:rsidR="0035527B">
        <w:rPr>
          <w:rFonts w:eastAsiaTheme="majorEastAsia"/>
        </w:rPr>
        <w:t xml:space="preserve"> </w:t>
      </w:r>
      <w:r w:rsidR="008648C8">
        <w:rPr>
          <w:rFonts w:eastAsiaTheme="majorEastAsia"/>
        </w:rPr>
        <w:t xml:space="preserve">For a singing student, an equivalent </w:t>
      </w:r>
      <w:r w:rsidR="00A73387">
        <w:rPr>
          <w:rFonts w:eastAsiaTheme="majorEastAsia"/>
        </w:rPr>
        <w:t xml:space="preserve">metaphoric gesture </w:t>
      </w:r>
      <w:r w:rsidR="008648C8">
        <w:rPr>
          <w:rFonts w:eastAsiaTheme="majorEastAsia"/>
        </w:rPr>
        <w:t>might be expressing yearning by reaching out with the hands to echo this sentiment in the song.</w:t>
      </w:r>
      <w:r>
        <w:rPr>
          <w:rFonts w:eastAsiaTheme="majorEastAsia"/>
        </w:rPr>
        <w:t xml:space="preserve"> </w:t>
      </w:r>
    </w:p>
    <w:p w14:paraId="6CEEA93B" w14:textId="77777777" w:rsidR="004E4705" w:rsidRDefault="004E4705" w:rsidP="00A12D70">
      <w:pPr>
        <w:pStyle w:val="Modulenormal"/>
        <w:rPr>
          <w:rFonts w:eastAsiaTheme="majorEastAsia"/>
        </w:rPr>
      </w:pPr>
    </w:p>
    <w:p w14:paraId="571AD710" w14:textId="445E398A" w:rsidR="00B62E45" w:rsidRDefault="004E4705" w:rsidP="00A12D70">
      <w:pPr>
        <w:pStyle w:val="Modulenormal"/>
        <w:rPr>
          <w:rFonts w:eastAsiaTheme="majorEastAsia"/>
        </w:rPr>
      </w:pPr>
      <w:r>
        <w:rPr>
          <w:rFonts w:eastAsiaTheme="majorEastAsia"/>
        </w:rPr>
        <w:t>Another function Wakefield et al. (2018) ascribed to gesture was emphasis of important words and concepts, an idea that carries over very naturally to music where the conductor literally illustrates the beats.</w:t>
      </w:r>
      <w:r w:rsidR="008648C8">
        <w:rPr>
          <w:rFonts w:eastAsiaTheme="majorEastAsia"/>
        </w:rPr>
        <w:t xml:space="preserve"> Similarly, we might use gesture to reinforce the stress on the focal syllable of a sung phrase.</w:t>
      </w:r>
    </w:p>
    <w:p w14:paraId="54F87EEA" w14:textId="77777777" w:rsidR="00DE3890" w:rsidRDefault="00DE3890" w:rsidP="00A12D70">
      <w:pPr>
        <w:pStyle w:val="Modulenormal"/>
      </w:pPr>
    </w:p>
    <w:p w14:paraId="49B10121" w14:textId="66CD8DEC" w:rsidR="00DE3890" w:rsidRPr="00DE3890" w:rsidRDefault="00DE3890" w:rsidP="00A12D70">
      <w:pPr>
        <w:pStyle w:val="Modulenormal"/>
      </w:pPr>
      <w:r w:rsidRPr="004600AF">
        <w:t>The research conducted by Wakefield et al. (2018) examined the hypothesis that gestures promote learning because they direct our attention to what is being taught. The author</w:t>
      </w:r>
      <w:r>
        <w:t xml:space="preserve"> </w:t>
      </w:r>
      <w:r w:rsidRPr="004600AF">
        <w:t xml:space="preserve">found that, while this is the case, gestures integrated with speech assist us </w:t>
      </w:r>
      <w:r>
        <w:t xml:space="preserve">best </w:t>
      </w:r>
      <w:r w:rsidRPr="004600AF">
        <w:t>in understand</w:t>
      </w:r>
      <w:r>
        <w:t>ing an abstract concept</w:t>
      </w:r>
      <w:r w:rsidRPr="004600AF">
        <w:t xml:space="preserve">. </w:t>
      </w:r>
      <w:r>
        <w:t>The authors found that the combination of gesture and speech assisted the learners in identifying the important elements of what was being said.</w:t>
      </w:r>
      <w:r w:rsidR="008648C8">
        <w:t xml:space="preserve"> This functionality is useful for a singer in thinking about what is most important, and for the audience in responding to the meaning of the phrase. </w:t>
      </w:r>
    </w:p>
    <w:p w14:paraId="6E09A7E2" w14:textId="77777777" w:rsidR="00D809D6" w:rsidRDefault="00D809D6" w:rsidP="00A12D70">
      <w:pPr>
        <w:pStyle w:val="Modulenormal"/>
        <w:rPr>
          <w:rFonts w:asciiTheme="minorHAnsi" w:eastAsiaTheme="majorEastAsia" w:hAnsiTheme="minorHAnsi" w:cstheme="majorBidi"/>
          <w:color w:val="0F4761" w:themeColor="accent1" w:themeShade="BF"/>
          <w:kern w:val="2"/>
          <w:sz w:val="28"/>
          <w:szCs w:val="28"/>
          <w:lang w:eastAsia="en-US"/>
          <w14:ligatures w14:val="standardContextual"/>
        </w:rPr>
      </w:pPr>
      <w:r>
        <w:br w:type="page"/>
      </w:r>
    </w:p>
    <w:p w14:paraId="1461231E" w14:textId="50ABE8AA" w:rsidR="001A0963" w:rsidRDefault="001A0963" w:rsidP="001A0963">
      <w:pPr>
        <w:pStyle w:val="Heading3"/>
      </w:pPr>
      <w:bookmarkStart w:id="17" w:name="_Toc218505608"/>
      <w:r>
        <w:lastRenderedPageBreak/>
        <w:t>The neuroscience of vocal learning</w:t>
      </w:r>
      <w:r w:rsidR="00FE7205">
        <w:t xml:space="preserve"> and speech production</w:t>
      </w:r>
      <w:bookmarkEnd w:id="17"/>
    </w:p>
    <w:p w14:paraId="5C8EFAA5" w14:textId="2857443F" w:rsidR="00E65625" w:rsidRDefault="00E65625" w:rsidP="00E65625">
      <w:pPr>
        <w:pStyle w:val="Modulenormal"/>
        <w:rPr>
          <w:lang w:eastAsia="en-US"/>
        </w:rPr>
      </w:pPr>
      <w:r>
        <w:rPr>
          <w:lang w:eastAsia="en-US"/>
        </w:rPr>
        <w:t>The process of imitation, learning and improvising speech and song has turned out to be a complex and fascinating field of study. Humans are the only primates who exhibit this behaviour, though other vocal learners have been identified across the animal kingdom</w:t>
      </w:r>
      <w:r w:rsidR="008735BC">
        <w:rPr>
          <w:lang w:eastAsia="en-US"/>
        </w:rPr>
        <w:t xml:space="preserve"> (</w:t>
      </w:r>
      <w:r>
        <w:rPr>
          <w:lang w:eastAsia="en-US"/>
        </w:rPr>
        <w:t>Jarvis, 20</w:t>
      </w:r>
      <w:r w:rsidR="008735BC">
        <w:rPr>
          <w:lang w:eastAsia="en-US"/>
        </w:rPr>
        <w:t>19</w:t>
      </w:r>
      <w:r>
        <w:rPr>
          <w:lang w:eastAsia="en-US"/>
        </w:rPr>
        <w:t>).</w:t>
      </w:r>
    </w:p>
    <w:p w14:paraId="4D51F180" w14:textId="77777777" w:rsidR="00E65625" w:rsidRPr="00E65625" w:rsidRDefault="00E65625" w:rsidP="00E65625">
      <w:pPr>
        <w:rPr>
          <w:lang w:eastAsia="en-US"/>
        </w:rPr>
      </w:pPr>
    </w:p>
    <w:p w14:paraId="20935D5B" w14:textId="611AEA4A" w:rsidR="00FE2152" w:rsidRDefault="00FE2152" w:rsidP="00105A5A">
      <w:pPr>
        <w:pStyle w:val="Modulenormal"/>
        <w:rPr>
          <w:rFonts w:eastAsiaTheme="majorEastAsia"/>
          <w:lang w:eastAsia="en-US"/>
        </w:rPr>
      </w:pPr>
      <w:r>
        <w:rPr>
          <w:rFonts w:eastAsiaTheme="majorEastAsia"/>
          <w:lang w:eastAsia="en-US"/>
        </w:rPr>
        <w:t xml:space="preserve">Understanding which areas of the brain control </w:t>
      </w:r>
      <w:r w:rsidR="00C836F0">
        <w:rPr>
          <w:rFonts w:eastAsiaTheme="majorEastAsia"/>
          <w:lang w:eastAsia="en-US"/>
        </w:rPr>
        <w:t xml:space="preserve">production of speech and singing is an area of study that is undergoing rapid development, as twenty-first century tools such as functional magnetic resonance imaging (fMRI) have helped clarify the exact locations in the brain of the laryngeal motor cortices (Belyk and Brown, 2017). It turns out that motor control of the larynx </w:t>
      </w:r>
      <w:r w:rsidR="00571283">
        <w:rPr>
          <w:rFonts w:eastAsiaTheme="majorEastAsia"/>
          <w:lang w:eastAsia="en-US"/>
        </w:rPr>
        <w:t xml:space="preserve">for vocal production </w:t>
      </w:r>
      <w:r w:rsidR="00C836F0">
        <w:rPr>
          <w:rFonts w:eastAsiaTheme="majorEastAsia"/>
          <w:lang w:eastAsia="en-US"/>
        </w:rPr>
        <w:t xml:space="preserve">is closely associated with control of </w:t>
      </w:r>
      <w:r w:rsidR="00326B88">
        <w:rPr>
          <w:rFonts w:eastAsiaTheme="majorEastAsia"/>
          <w:lang w:eastAsia="en-US"/>
        </w:rPr>
        <w:t xml:space="preserve">other </w:t>
      </w:r>
      <w:r w:rsidR="00A73387">
        <w:rPr>
          <w:rFonts w:eastAsiaTheme="majorEastAsia"/>
          <w:lang w:eastAsia="en-US"/>
        </w:rPr>
        <w:t>speech-</w:t>
      </w:r>
      <w:r w:rsidR="00571283">
        <w:rPr>
          <w:rFonts w:eastAsiaTheme="majorEastAsia"/>
          <w:lang w:eastAsia="en-US"/>
        </w:rPr>
        <w:t xml:space="preserve">related </w:t>
      </w:r>
      <w:r w:rsidR="00326B88">
        <w:rPr>
          <w:rFonts w:eastAsiaTheme="majorEastAsia"/>
          <w:lang w:eastAsia="en-US"/>
        </w:rPr>
        <w:t>systems, the articulators and the expiration phase of breathing, and that there are two area of the brain which control these systems, the dorsal laryngeal motor cortex</w:t>
      </w:r>
      <w:r w:rsidR="00105A5A">
        <w:rPr>
          <w:rFonts w:eastAsiaTheme="majorEastAsia"/>
          <w:lang w:eastAsia="en-US"/>
        </w:rPr>
        <w:t xml:space="preserve"> (dLMC)</w:t>
      </w:r>
      <w:r w:rsidR="00326B88">
        <w:rPr>
          <w:rFonts w:eastAsiaTheme="majorEastAsia"/>
          <w:lang w:eastAsia="en-US"/>
        </w:rPr>
        <w:t xml:space="preserve"> and the ventral laryngeal motor cortex</w:t>
      </w:r>
      <w:r w:rsidR="00105A5A">
        <w:rPr>
          <w:rFonts w:eastAsiaTheme="majorEastAsia"/>
          <w:lang w:eastAsia="en-US"/>
        </w:rPr>
        <w:t xml:space="preserve"> (vLMC)</w:t>
      </w:r>
      <w:r w:rsidR="00326B88">
        <w:rPr>
          <w:rFonts w:eastAsiaTheme="majorEastAsia"/>
          <w:lang w:eastAsia="en-US"/>
        </w:rPr>
        <w:t xml:space="preserve"> (</w:t>
      </w:r>
      <w:r w:rsidR="008735BC">
        <w:rPr>
          <w:rFonts w:eastAsiaTheme="majorEastAsia"/>
          <w:lang w:eastAsia="en-US"/>
        </w:rPr>
        <w:t xml:space="preserve">Belyk and Brown, 2017; </w:t>
      </w:r>
      <w:r w:rsidR="00326B88">
        <w:rPr>
          <w:rFonts w:eastAsiaTheme="majorEastAsia"/>
          <w:lang w:eastAsia="en-US"/>
        </w:rPr>
        <w:t>Jarvis, 20</w:t>
      </w:r>
      <w:r w:rsidR="008735BC">
        <w:rPr>
          <w:rFonts w:eastAsiaTheme="majorEastAsia"/>
          <w:lang w:eastAsia="en-US"/>
        </w:rPr>
        <w:t>19</w:t>
      </w:r>
      <w:r w:rsidR="00326B88">
        <w:rPr>
          <w:rFonts w:eastAsiaTheme="majorEastAsia"/>
          <w:lang w:eastAsia="en-US"/>
        </w:rPr>
        <w:t>; Erickson, 2023). This close association of motor control of the complex group of systems involved in vocal production in humans explains why earlier researchers struggled to isolate the exact location of laryngeal motor control using older technologies such as neurosurgical stimulation</w:t>
      </w:r>
      <w:r w:rsidR="00326B88" w:rsidRPr="00326B88">
        <w:rPr>
          <w:rFonts w:eastAsiaTheme="majorEastAsia"/>
        </w:rPr>
        <w:t>,</w:t>
      </w:r>
      <w:r w:rsidR="00105A5A">
        <w:t xml:space="preserve"> </w:t>
      </w:r>
      <w:hyperlink r:id="rId9" w:tooltip="Learn more about transcranial magnetic stimulation from ScienceDirect's AI-generated Topic Pages" w:history="1">
        <w:r w:rsidR="00326B88" w:rsidRPr="00326B88">
          <w:rPr>
            <w:rFonts w:eastAsiaTheme="majorEastAsia"/>
          </w:rPr>
          <w:t>transcranial magnetic stimulation</w:t>
        </w:r>
      </w:hyperlink>
      <w:r w:rsidR="00326B88" w:rsidRPr="00326B88">
        <w:t> (TMS) and</w:t>
      </w:r>
      <w:r w:rsidR="00326B88">
        <w:t xml:space="preserve"> </w:t>
      </w:r>
      <w:r w:rsidR="00326B88" w:rsidRPr="00326B88">
        <w:rPr>
          <w:rFonts w:eastAsiaTheme="majorEastAsia"/>
        </w:rPr>
        <w:t>electromyography</w:t>
      </w:r>
      <w:r w:rsidR="00326B88" w:rsidRPr="00326B88">
        <w:t> (EMG),</w:t>
      </w:r>
      <w:r w:rsidR="00C836F0" w:rsidRPr="00326B88">
        <w:rPr>
          <w:rFonts w:eastAsiaTheme="majorEastAsia"/>
        </w:rPr>
        <w:t xml:space="preserve"> </w:t>
      </w:r>
      <w:r w:rsidR="00326B88" w:rsidRPr="00326B88">
        <w:rPr>
          <w:rFonts w:eastAsiaTheme="majorEastAsia"/>
        </w:rPr>
        <w:t>(Belyk and Brown, 2017).</w:t>
      </w:r>
    </w:p>
    <w:p w14:paraId="52011A97" w14:textId="77777777" w:rsidR="00105A5A" w:rsidRDefault="00105A5A" w:rsidP="00105A5A">
      <w:pPr>
        <w:rPr>
          <w:rFonts w:eastAsiaTheme="majorEastAsia"/>
        </w:rPr>
      </w:pPr>
    </w:p>
    <w:p w14:paraId="5475777D" w14:textId="5126D796" w:rsidR="00105A5A" w:rsidRDefault="00105A5A" w:rsidP="00105A5A">
      <w:pPr>
        <w:pStyle w:val="Modulenormal"/>
        <w:rPr>
          <w:rFonts w:eastAsiaTheme="majorEastAsia"/>
        </w:rPr>
      </w:pPr>
      <w:r>
        <w:rPr>
          <w:rFonts w:eastAsiaTheme="majorEastAsia"/>
        </w:rPr>
        <w:t xml:space="preserve">Having two separate areas of laryngeal motor control, the dLMC and the vLMC, distinguishes us from other primates that do not communicate using speech in such a complex way (Belyk and Brown, 2017). Of the other vocal learners in the animal kingdom, only the neural vocal learning pathways of </w:t>
      </w:r>
      <w:r w:rsidR="002C5D4E">
        <w:rPr>
          <w:rFonts w:eastAsiaTheme="majorEastAsia"/>
        </w:rPr>
        <w:t>song</w:t>
      </w:r>
      <w:r>
        <w:rPr>
          <w:rFonts w:eastAsiaTheme="majorEastAsia"/>
        </w:rPr>
        <w:t>birds have been studied extensively, but they exhibit the same duplication of motor control cortex locations</w:t>
      </w:r>
      <w:r w:rsidR="00E65625">
        <w:rPr>
          <w:rFonts w:eastAsiaTheme="majorEastAsia"/>
        </w:rPr>
        <w:t xml:space="preserve"> </w:t>
      </w:r>
      <w:r w:rsidR="00F01C8F">
        <w:rPr>
          <w:rFonts w:eastAsiaTheme="majorEastAsia"/>
        </w:rPr>
        <w:t>allowing for feedback between perception and production of sound (</w:t>
      </w:r>
      <w:r w:rsidR="00E65625">
        <w:rPr>
          <w:rFonts w:eastAsiaTheme="majorEastAsia"/>
        </w:rPr>
        <w:t>Jarvis, 20</w:t>
      </w:r>
      <w:r w:rsidR="008735BC">
        <w:rPr>
          <w:rFonts w:eastAsiaTheme="majorEastAsia"/>
        </w:rPr>
        <w:t>19</w:t>
      </w:r>
      <w:r w:rsidR="00E65625">
        <w:rPr>
          <w:rFonts w:eastAsiaTheme="majorEastAsia"/>
        </w:rPr>
        <w:t>)</w:t>
      </w:r>
      <w:r>
        <w:rPr>
          <w:rFonts w:eastAsiaTheme="majorEastAsia"/>
        </w:rPr>
        <w:t>.</w:t>
      </w:r>
    </w:p>
    <w:p w14:paraId="34BDD5BC" w14:textId="77777777" w:rsidR="00FE7205" w:rsidRDefault="00FE7205" w:rsidP="00FE7205">
      <w:pPr>
        <w:rPr>
          <w:rFonts w:eastAsiaTheme="majorEastAsia"/>
        </w:rPr>
      </w:pPr>
    </w:p>
    <w:p w14:paraId="5830429F" w14:textId="4C89FE25" w:rsidR="00FE7205" w:rsidRDefault="00FE7205" w:rsidP="00FE7205">
      <w:pPr>
        <w:pStyle w:val="Modulenormal"/>
        <w:rPr>
          <w:rFonts w:eastAsiaTheme="majorEastAsia"/>
          <w:lang w:eastAsia="en-US"/>
        </w:rPr>
      </w:pPr>
      <w:r>
        <w:rPr>
          <w:rFonts w:eastAsiaTheme="majorEastAsia"/>
          <w:lang w:eastAsia="en-US"/>
        </w:rPr>
        <w:t>Jarvis (20</w:t>
      </w:r>
      <w:r w:rsidR="008735BC">
        <w:rPr>
          <w:rFonts w:eastAsiaTheme="majorEastAsia"/>
          <w:lang w:eastAsia="en-US"/>
        </w:rPr>
        <w:t>19</w:t>
      </w:r>
      <w:r>
        <w:rPr>
          <w:rFonts w:eastAsiaTheme="majorEastAsia"/>
          <w:lang w:eastAsia="en-US"/>
        </w:rPr>
        <w:t>) described the learning pathways that enable vocal learning, the ability to imitate and modify perceived sounds. Figure 2 (Jarvis, 20</w:t>
      </w:r>
      <w:r w:rsidR="008735BC">
        <w:rPr>
          <w:rFonts w:eastAsiaTheme="majorEastAsia"/>
          <w:lang w:eastAsia="en-US"/>
        </w:rPr>
        <w:t>19</w:t>
      </w:r>
      <w:r>
        <w:rPr>
          <w:rFonts w:eastAsiaTheme="majorEastAsia"/>
          <w:lang w:eastAsia="en-US"/>
        </w:rPr>
        <w:t xml:space="preserve">) gives a comparative illustration of the presence of a feedback loop across humans </w:t>
      </w:r>
      <w:r w:rsidR="008735BC">
        <w:rPr>
          <w:rFonts w:eastAsiaTheme="majorEastAsia"/>
          <w:lang w:eastAsia="en-US"/>
        </w:rPr>
        <w:t>and songbirds, compared to its absence in other primates and in birds that are not vocal learners</w:t>
      </w:r>
      <w:r>
        <w:rPr>
          <w:rFonts w:eastAsiaTheme="majorEastAsia"/>
          <w:lang w:eastAsia="en-US"/>
        </w:rPr>
        <w:t>.</w:t>
      </w:r>
    </w:p>
    <w:p w14:paraId="23CE6B42" w14:textId="77777777" w:rsidR="00A73387" w:rsidRDefault="00A73387" w:rsidP="004A6880">
      <w:pPr>
        <w:pStyle w:val="Modulenormal"/>
        <w:rPr>
          <w:rFonts w:eastAsiaTheme="majorEastAsia"/>
          <w:lang w:eastAsia="en-US"/>
        </w:rPr>
      </w:pPr>
      <w:r>
        <w:rPr>
          <w:rFonts w:eastAsiaTheme="majorEastAsia"/>
          <w:noProof/>
          <w:lang w:eastAsia="en-US"/>
        </w:rPr>
        <w:lastRenderedPageBreak/>
        <w:drawing>
          <wp:inline distT="0" distB="0" distL="0" distR="0" wp14:anchorId="26B97031" wp14:editId="3311BD87">
            <wp:extent cx="5286375" cy="6641060"/>
            <wp:effectExtent l="0" t="0" r="0" b="1270"/>
            <wp:docPr id="1741118362" name="Picture 1" descr="A diagram of the bra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118362" name="Picture 1" descr="A diagram of the brain&#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86375" cy="6641060"/>
                    </a:xfrm>
                    <a:prstGeom prst="rect">
                      <a:avLst/>
                    </a:prstGeom>
                  </pic:spPr>
                </pic:pic>
              </a:graphicData>
            </a:graphic>
          </wp:inline>
        </w:drawing>
      </w:r>
    </w:p>
    <w:p w14:paraId="40F589EF" w14:textId="77777777" w:rsidR="00A73387" w:rsidRPr="00332841" w:rsidRDefault="00A73387" w:rsidP="00A73387">
      <w:pPr>
        <w:pStyle w:val="Caption"/>
      </w:pPr>
      <w:bookmarkStart w:id="18" w:name="_Toc218507940"/>
      <w:r w:rsidRPr="00332841">
        <w:t>Figure 2: Comparative brains of vocal learners and non-vocal learners (Jarvis, 2019).</w:t>
      </w:r>
      <w:bookmarkEnd w:id="18"/>
      <w:r w:rsidRPr="00332841">
        <w:t xml:space="preserve"> </w:t>
      </w:r>
    </w:p>
    <w:p w14:paraId="4E78B1B7" w14:textId="77777777" w:rsidR="00FE7205" w:rsidRDefault="00FE7205" w:rsidP="00FE7205">
      <w:pPr>
        <w:rPr>
          <w:rFonts w:eastAsiaTheme="majorEastAsia"/>
          <w:lang w:eastAsia="en-US"/>
        </w:rPr>
      </w:pPr>
    </w:p>
    <w:p w14:paraId="5C7D802D" w14:textId="25855167" w:rsidR="00FE7205" w:rsidRDefault="00FE7205" w:rsidP="00FE7205">
      <w:pPr>
        <w:pStyle w:val="Modulenormal"/>
        <w:rPr>
          <w:rFonts w:eastAsiaTheme="majorEastAsia"/>
          <w:lang w:eastAsia="en-US"/>
        </w:rPr>
      </w:pPr>
      <w:r>
        <w:rPr>
          <w:rFonts w:eastAsiaTheme="majorEastAsia"/>
          <w:lang w:eastAsia="en-US"/>
        </w:rPr>
        <w:t>Jarvis (20</w:t>
      </w:r>
      <w:r w:rsidR="008735BC">
        <w:rPr>
          <w:rFonts w:eastAsiaTheme="majorEastAsia"/>
          <w:lang w:eastAsia="en-US"/>
        </w:rPr>
        <w:t>19</w:t>
      </w:r>
      <w:r>
        <w:rPr>
          <w:rFonts w:eastAsiaTheme="majorEastAsia"/>
          <w:lang w:eastAsia="en-US"/>
        </w:rPr>
        <w:t>) proposed that it is the connections between the auditory processing part of the brain including Wernicke’s area, and the vocal premotor area</w:t>
      </w:r>
      <w:r w:rsidR="008735BC">
        <w:rPr>
          <w:rFonts w:eastAsiaTheme="majorEastAsia"/>
          <w:lang w:eastAsia="en-US"/>
        </w:rPr>
        <w:t>,</w:t>
      </w:r>
      <w:r>
        <w:rPr>
          <w:rFonts w:eastAsiaTheme="majorEastAsia"/>
          <w:lang w:eastAsia="en-US"/>
        </w:rPr>
        <w:t xml:space="preserve"> that allow humans to imitate, learn and produce speech and song in a </w:t>
      </w:r>
      <w:r w:rsidR="00F01C8F">
        <w:rPr>
          <w:rFonts w:eastAsiaTheme="majorEastAsia"/>
          <w:lang w:eastAsia="en-US"/>
        </w:rPr>
        <w:t>similar</w:t>
      </w:r>
      <w:r>
        <w:rPr>
          <w:rFonts w:eastAsiaTheme="majorEastAsia"/>
          <w:lang w:eastAsia="en-US"/>
        </w:rPr>
        <w:t xml:space="preserve"> way to </w:t>
      </w:r>
      <w:r w:rsidR="008735BC">
        <w:rPr>
          <w:rFonts w:eastAsiaTheme="majorEastAsia"/>
          <w:lang w:eastAsia="en-US"/>
        </w:rPr>
        <w:t>songbirds</w:t>
      </w:r>
      <w:r>
        <w:rPr>
          <w:rFonts w:eastAsiaTheme="majorEastAsia"/>
          <w:lang w:eastAsia="en-US"/>
        </w:rPr>
        <w:t xml:space="preserve">. </w:t>
      </w:r>
      <w:r w:rsidR="00B46AF6">
        <w:rPr>
          <w:rFonts w:eastAsiaTheme="majorEastAsia"/>
          <w:lang w:eastAsia="en-US"/>
        </w:rPr>
        <w:t>The connecting structure in humans is called the arcuate fasciculus (Erickson, 2022</w:t>
      </w:r>
      <w:r w:rsidR="00D809D6">
        <w:rPr>
          <w:rFonts w:eastAsiaTheme="majorEastAsia"/>
          <w:lang w:eastAsia="en-US"/>
        </w:rPr>
        <w:t>a</w:t>
      </w:r>
      <w:r w:rsidR="002C5D4E">
        <w:rPr>
          <w:rFonts w:eastAsiaTheme="majorEastAsia"/>
          <w:lang w:eastAsia="en-US"/>
        </w:rPr>
        <w:t>) and</w:t>
      </w:r>
      <w:r w:rsidR="00B46AF6">
        <w:rPr>
          <w:rFonts w:eastAsiaTheme="majorEastAsia"/>
          <w:lang w:eastAsia="en-US"/>
        </w:rPr>
        <w:t xml:space="preserve"> is </w:t>
      </w:r>
      <w:r w:rsidR="00F01C8F">
        <w:rPr>
          <w:rFonts w:eastAsiaTheme="majorEastAsia"/>
          <w:lang w:eastAsia="en-US"/>
        </w:rPr>
        <w:t>highly</w:t>
      </w:r>
      <w:r w:rsidR="00B46AF6">
        <w:rPr>
          <w:rFonts w:eastAsiaTheme="majorEastAsia"/>
          <w:lang w:eastAsia="en-US"/>
        </w:rPr>
        <w:t xml:space="preserve"> developed in trained opera singers</w:t>
      </w:r>
      <w:r w:rsidR="00F01C8F">
        <w:rPr>
          <w:rFonts w:eastAsiaTheme="majorEastAsia"/>
          <w:lang w:eastAsia="en-US"/>
        </w:rPr>
        <w:t xml:space="preserve"> compared to the </w:t>
      </w:r>
      <w:r w:rsidR="002C5D4E">
        <w:rPr>
          <w:rFonts w:eastAsiaTheme="majorEastAsia"/>
          <w:lang w:eastAsia="en-US"/>
        </w:rPr>
        <w:t>general</w:t>
      </w:r>
      <w:r w:rsidR="00F01C8F">
        <w:rPr>
          <w:rFonts w:eastAsiaTheme="majorEastAsia"/>
          <w:lang w:eastAsia="en-US"/>
        </w:rPr>
        <w:t xml:space="preserve"> population</w:t>
      </w:r>
      <w:r w:rsidR="00B46AF6">
        <w:rPr>
          <w:rFonts w:eastAsiaTheme="majorEastAsia"/>
          <w:lang w:eastAsia="en-US"/>
        </w:rPr>
        <w:t>. Jarvis (201</w:t>
      </w:r>
      <w:r w:rsidR="008735BC">
        <w:rPr>
          <w:rFonts w:eastAsiaTheme="majorEastAsia"/>
          <w:lang w:eastAsia="en-US"/>
        </w:rPr>
        <w:t>9</w:t>
      </w:r>
      <w:r w:rsidR="00B46AF6">
        <w:rPr>
          <w:rFonts w:eastAsiaTheme="majorEastAsia"/>
          <w:lang w:eastAsia="en-US"/>
        </w:rPr>
        <w:t>)</w:t>
      </w:r>
      <w:r>
        <w:rPr>
          <w:rFonts w:eastAsiaTheme="majorEastAsia"/>
          <w:lang w:eastAsia="en-US"/>
        </w:rPr>
        <w:t xml:space="preserve"> hypothesised that in </w:t>
      </w:r>
      <w:r w:rsidR="00F01C8F">
        <w:rPr>
          <w:rFonts w:eastAsiaTheme="majorEastAsia"/>
          <w:lang w:eastAsia="en-US"/>
        </w:rPr>
        <w:t>songbirds and humans</w:t>
      </w:r>
      <w:r>
        <w:rPr>
          <w:rFonts w:eastAsiaTheme="majorEastAsia"/>
          <w:lang w:eastAsia="en-US"/>
        </w:rPr>
        <w:t xml:space="preserve"> this pathway evolved by the duplication of an adjacent motor pathway which became specialised for vocal learning. This hypothesis is supported by the </w:t>
      </w:r>
      <w:r>
        <w:rPr>
          <w:rFonts w:eastAsiaTheme="majorEastAsia"/>
          <w:lang w:eastAsia="en-US"/>
        </w:rPr>
        <w:lastRenderedPageBreak/>
        <w:t xml:space="preserve">presence </w:t>
      </w:r>
      <w:r w:rsidR="002C5D4E">
        <w:rPr>
          <w:rFonts w:eastAsiaTheme="majorEastAsia"/>
          <w:lang w:eastAsia="en-US"/>
        </w:rPr>
        <w:t xml:space="preserve">in both songbirds and humans </w:t>
      </w:r>
      <w:r>
        <w:rPr>
          <w:rFonts w:eastAsiaTheme="majorEastAsia"/>
          <w:lang w:eastAsia="en-US"/>
        </w:rPr>
        <w:t xml:space="preserve">of 50 to 70 genes </w:t>
      </w:r>
      <w:r w:rsidR="00F01C8F">
        <w:rPr>
          <w:rFonts w:eastAsiaTheme="majorEastAsia"/>
          <w:lang w:eastAsia="en-US"/>
        </w:rPr>
        <w:t>associated with</w:t>
      </w:r>
      <w:r>
        <w:rPr>
          <w:rFonts w:eastAsiaTheme="majorEastAsia"/>
          <w:lang w:eastAsia="en-US"/>
        </w:rPr>
        <w:t xml:space="preserve"> vocal processing which more closely resemble those of the adjacent motor areas than other auditory areas</w:t>
      </w:r>
      <w:r w:rsidR="00F01C8F">
        <w:rPr>
          <w:rFonts w:eastAsiaTheme="majorEastAsia"/>
          <w:lang w:eastAsia="en-US"/>
        </w:rPr>
        <w:t xml:space="preserve"> </w:t>
      </w:r>
      <w:r>
        <w:rPr>
          <w:rFonts w:eastAsiaTheme="majorEastAsia"/>
          <w:lang w:eastAsia="en-US"/>
        </w:rPr>
        <w:t>(Jarvis, 201</w:t>
      </w:r>
      <w:r w:rsidR="008735BC">
        <w:rPr>
          <w:rFonts w:eastAsiaTheme="majorEastAsia"/>
          <w:lang w:eastAsia="en-US"/>
        </w:rPr>
        <w:t>9</w:t>
      </w:r>
      <w:r>
        <w:rPr>
          <w:rFonts w:eastAsiaTheme="majorEastAsia"/>
          <w:lang w:eastAsia="en-US"/>
        </w:rPr>
        <w:t xml:space="preserve">). While this is a hypothesis, </w:t>
      </w:r>
      <w:r w:rsidR="002C5D4E">
        <w:rPr>
          <w:rFonts w:eastAsiaTheme="majorEastAsia"/>
          <w:lang w:eastAsia="en-US"/>
        </w:rPr>
        <w:t>it</w:t>
      </w:r>
      <w:r>
        <w:rPr>
          <w:rFonts w:eastAsiaTheme="majorEastAsia"/>
          <w:lang w:eastAsia="en-US"/>
        </w:rPr>
        <w:t xml:space="preserve"> adds to the circumstantial link between gesture and speech in terms of neural organisation.</w:t>
      </w:r>
    </w:p>
    <w:p w14:paraId="10101102" w14:textId="77777777" w:rsidR="00FE7205" w:rsidRDefault="00FE7205" w:rsidP="00FE7205">
      <w:pPr>
        <w:rPr>
          <w:rFonts w:eastAsiaTheme="majorEastAsia"/>
        </w:rPr>
      </w:pPr>
    </w:p>
    <w:p w14:paraId="1E8BD6AE" w14:textId="3DEE553C" w:rsidR="00FE2152" w:rsidRDefault="00FE7205" w:rsidP="003F7FC0">
      <w:pPr>
        <w:pStyle w:val="Modulenormal"/>
        <w:rPr>
          <w:rFonts w:eastAsiaTheme="majorEastAsia"/>
          <w:lang w:eastAsia="en-US"/>
        </w:rPr>
      </w:pPr>
      <w:r>
        <w:rPr>
          <w:rFonts w:eastAsiaTheme="majorEastAsia"/>
          <w:lang w:eastAsia="en-US"/>
        </w:rPr>
        <w:t xml:space="preserve">Erickson (2023) described the complexity of the paths of auditory perception and vocal production, and their highly flexible operation. </w:t>
      </w:r>
      <w:r w:rsidR="00B46AF6">
        <w:rPr>
          <w:rFonts w:eastAsiaTheme="majorEastAsia"/>
          <w:lang w:eastAsia="en-US"/>
        </w:rPr>
        <w:t>All vocal learning</w:t>
      </w:r>
      <w:r w:rsidR="00F01C8F">
        <w:rPr>
          <w:rFonts w:eastAsiaTheme="majorEastAsia"/>
          <w:lang w:eastAsia="en-US"/>
        </w:rPr>
        <w:t xml:space="preserve"> in both songbirds and humans</w:t>
      </w:r>
      <w:r w:rsidR="00B46AF6">
        <w:rPr>
          <w:rFonts w:eastAsiaTheme="majorEastAsia"/>
          <w:lang w:eastAsia="en-US"/>
        </w:rPr>
        <w:t xml:space="preserve"> begins with assimilating input (Erickson, 2022</w:t>
      </w:r>
      <w:r w:rsidR="00D809D6">
        <w:rPr>
          <w:rFonts w:eastAsiaTheme="majorEastAsia"/>
          <w:lang w:eastAsia="en-US"/>
        </w:rPr>
        <w:t>a</w:t>
      </w:r>
      <w:r w:rsidR="00B46AF6">
        <w:rPr>
          <w:rFonts w:eastAsiaTheme="majorEastAsia"/>
          <w:lang w:eastAsia="en-US"/>
        </w:rPr>
        <w:t>), and map</w:t>
      </w:r>
      <w:r w:rsidR="00F01C8F">
        <w:rPr>
          <w:rFonts w:eastAsiaTheme="majorEastAsia"/>
          <w:lang w:eastAsia="en-US"/>
        </w:rPr>
        <w:t>s</w:t>
      </w:r>
      <w:r w:rsidR="00B46AF6">
        <w:rPr>
          <w:rFonts w:eastAsiaTheme="majorEastAsia"/>
          <w:lang w:eastAsia="en-US"/>
        </w:rPr>
        <w:t xml:space="preserve"> that input onto our articulator system. Zebra finches learn tunes by hearing and imitating snatches of song from an adult “tutor” by trial and error (Erickson, 2022</w:t>
      </w:r>
      <w:r w:rsidR="00D809D6">
        <w:rPr>
          <w:rFonts w:eastAsiaTheme="majorEastAsia"/>
          <w:lang w:eastAsia="en-US"/>
        </w:rPr>
        <w:t>a</w:t>
      </w:r>
      <w:r w:rsidR="00B46AF6">
        <w:rPr>
          <w:rFonts w:eastAsiaTheme="majorEastAsia"/>
          <w:lang w:eastAsia="en-US"/>
        </w:rPr>
        <w:t xml:space="preserve">, p. 2) and then joining the segments together. This </w:t>
      </w:r>
      <w:r w:rsidR="006C5B4C">
        <w:rPr>
          <w:rFonts w:eastAsiaTheme="majorEastAsia"/>
          <w:lang w:eastAsia="en-US"/>
        </w:rPr>
        <w:t xml:space="preserve">process </w:t>
      </w:r>
      <w:r w:rsidR="002C5D4E">
        <w:rPr>
          <w:rFonts w:eastAsiaTheme="majorEastAsia"/>
          <w:lang w:eastAsia="en-US"/>
        </w:rPr>
        <w:t>is analogous to</w:t>
      </w:r>
      <w:r w:rsidR="00B46AF6">
        <w:rPr>
          <w:rFonts w:eastAsiaTheme="majorEastAsia"/>
          <w:lang w:eastAsia="en-US"/>
        </w:rPr>
        <w:t xml:space="preserve"> </w:t>
      </w:r>
      <w:r w:rsidR="001D1710">
        <w:rPr>
          <w:rFonts w:eastAsiaTheme="majorEastAsia"/>
          <w:lang w:eastAsia="en-US"/>
        </w:rPr>
        <w:t>language acquisition</w:t>
      </w:r>
      <w:r w:rsidR="00B46AF6">
        <w:rPr>
          <w:rFonts w:eastAsiaTheme="majorEastAsia"/>
          <w:lang w:eastAsia="en-US"/>
        </w:rPr>
        <w:t xml:space="preserve"> in infants</w:t>
      </w:r>
      <w:r w:rsidR="006C5B4C">
        <w:rPr>
          <w:rFonts w:eastAsiaTheme="majorEastAsia"/>
          <w:lang w:eastAsia="en-US"/>
        </w:rPr>
        <w:t>,</w:t>
      </w:r>
      <w:r w:rsidR="00D5231E">
        <w:rPr>
          <w:rFonts w:eastAsiaTheme="majorEastAsia"/>
          <w:lang w:eastAsia="en-US"/>
        </w:rPr>
        <w:t xml:space="preserve"> where </w:t>
      </w:r>
      <w:r w:rsidR="003F7FC0">
        <w:rPr>
          <w:rFonts w:eastAsiaTheme="majorEastAsia"/>
          <w:lang w:eastAsia="en-US"/>
        </w:rPr>
        <w:t xml:space="preserve">initial speech consists of single words, progressing to two-element utterances as the infant </w:t>
      </w:r>
      <w:r w:rsidR="002C5D4E">
        <w:rPr>
          <w:rFonts w:eastAsiaTheme="majorEastAsia"/>
          <w:lang w:eastAsia="en-US"/>
        </w:rPr>
        <w:t>develops in</w:t>
      </w:r>
      <w:r w:rsidR="003F7FC0">
        <w:rPr>
          <w:rFonts w:eastAsiaTheme="majorEastAsia"/>
          <w:lang w:eastAsia="en-US"/>
        </w:rPr>
        <w:t xml:space="preserve"> expertise (</w:t>
      </w:r>
      <w:r w:rsidR="003F7FC0">
        <w:t xml:space="preserve">Volterra, Iverson and </w:t>
      </w:r>
      <w:r w:rsidR="00392BA9" w:rsidRPr="00B46AF6">
        <w:t>Castrataro</w:t>
      </w:r>
      <w:r w:rsidR="00392BA9">
        <w:t>,</w:t>
      </w:r>
      <w:r w:rsidR="003F7FC0">
        <w:t xml:space="preserve"> </w:t>
      </w:r>
      <w:r w:rsidR="003F7FC0">
        <w:t>2005)</w:t>
      </w:r>
      <w:r w:rsidR="003F7FC0">
        <w:rPr>
          <w:rFonts w:eastAsiaTheme="majorEastAsia"/>
          <w:lang w:eastAsia="en-US"/>
        </w:rPr>
        <w:t>.</w:t>
      </w:r>
    </w:p>
    <w:p w14:paraId="173F8AE6" w14:textId="77777777" w:rsidR="003F7FC0" w:rsidRPr="003F7FC0" w:rsidRDefault="003F7FC0" w:rsidP="003F7FC0">
      <w:pPr>
        <w:rPr>
          <w:lang w:eastAsia="en-US"/>
        </w:rPr>
      </w:pPr>
    </w:p>
    <w:p w14:paraId="42C3AF68" w14:textId="4AA0A096" w:rsidR="00FE7205" w:rsidRDefault="00FE7205" w:rsidP="00FE7205">
      <w:pPr>
        <w:pStyle w:val="Modulenormal"/>
        <w:rPr>
          <w:rFonts w:eastAsiaTheme="majorEastAsia"/>
          <w:lang w:eastAsia="en-US"/>
        </w:rPr>
      </w:pPr>
      <w:r>
        <w:rPr>
          <w:rFonts w:eastAsiaTheme="majorEastAsia"/>
          <w:lang w:eastAsia="en-US"/>
        </w:rPr>
        <w:t xml:space="preserve">Silva et al. </w:t>
      </w:r>
      <w:r w:rsidR="00067ADF">
        <w:rPr>
          <w:rFonts w:eastAsiaTheme="majorEastAsia"/>
          <w:lang w:eastAsia="en-US"/>
        </w:rPr>
        <w:t xml:space="preserve">(2024) </w:t>
      </w:r>
      <w:r>
        <w:rPr>
          <w:rFonts w:eastAsiaTheme="majorEastAsia"/>
          <w:lang w:eastAsia="en-US"/>
        </w:rPr>
        <w:t>describe</w:t>
      </w:r>
      <w:r w:rsidR="002C5D4E">
        <w:rPr>
          <w:rFonts w:eastAsiaTheme="majorEastAsia"/>
          <w:lang w:eastAsia="en-US"/>
        </w:rPr>
        <w:t>d</w:t>
      </w:r>
      <w:r>
        <w:rPr>
          <w:rFonts w:eastAsiaTheme="majorEastAsia"/>
          <w:lang w:eastAsia="en-US"/>
        </w:rPr>
        <w:t xml:space="preserve"> the </w:t>
      </w:r>
      <w:r w:rsidR="006C5B4C">
        <w:rPr>
          <w:rFonts w:eastAsiaTheme="majorEastAsia"/>
          <w:lang w:eastAsia="en-US"/>
        </w:rPr>
        <w:t>developing field</w:t>
      </w:r>
      <w:r>
        <w:rPr>
          <w:rFonts w:eastAsiaTheme="majorEastAsia"/>
          <w:lang w:eastAsia="en-US"/>
        </w:rPr>
        <w:t xml:space="preserve"> of synthesizing speech by using neuroprosthetics, such as electrocorticography (ECoG) electrode arrays. Speech can be broken into constituent sounds</w:t>
      </w:r>
      <w:r w:rsidR="006C5B4C">
        <w:rPr>
          <w:rFonts w:eastAsiaTheme="majorEastAsia"/>
          <w:lang w:eastAsia="en-US"/>
        </w:rPr>
        <w:t xml:space="preserve"> or building blocks</w:t>
      </w:r>
      <w:r>
        <w:rPr>
          <w:rFonts w:eastAsiaTheme="majorEastAsia"/>
          <w:lang w:eastAsia="en-US"/>
        </w:rPr>
        <w:t xml:space="preserve"> known as phonemes, and the mapping of control of the articulators for each phoneme is so precisely located </w:t>
      </w:r>
      <w:r w:rsidR="006C5B4C">
        <w:rPr>
          <w:rFonts w:eastAsiaTheme="majorEastAsia"/>
          <w:lang w:eastAsia="en-US"/>
        </w:rPr>
        <w:t xml:space="preserve">in the brain </w:t>
      </w:r>
      <w:r>
        <w:rPr>
          <w:rFonts w:eastAsiaTheme="majorEastAsia"/>
          <w:lang w:eastAsia="en-US"/>
        </w:rPr>
        <w:t xml:space="preserve">that it can be mapped through these ECoG arrays for the purposes of speech synthesis (Flinker et al, 2011; Silva et al., 2024). Critically, this </w:t>
      </w:r>
      <w:r w:rsidR="006C5B4C">
        <w:rPr>
          <w:rFonts w:eastAsiaTheme="majorEastAsia"/>
          <w:lang w:eastAsia="en-US"/>
        </w:rPr>
        <w:t>mapping is possible</w:t>
      </w:r>
      <w:r>
        <w:rPr>
          <w:rFonts w:eastAsiaTheme="majorEastAsia"/>
          <w:lang w:eastAsia="en-US"/>
        </w:rPr>
        <w:t xml:space="preserve"> even if the speech is </w:t>
      </w:r>
      <w:r w:rsidR="006C5B4C">
        <w:rPr>
          <w:rFonts w:eastAsiaTheme="majorEastAsia"/>
          <w:lang w:eastAsia="en-US"/>
        </w:rPr>
        <w:t xml:space="preserve">internal, for example </w:t>
      </w:r>
      <w:r>
        <w:rPr>
          <w:rFonts w:eastAsiaTheme="majorEastAsia"/>
          <w:lang w:eastAsia="en-US"/>
        </w:rPr>
        <w:t xml:space="preserve">for “locked-in” </w:t>
      </w:r>
      <w:r w:rsidR="006C5B4C">
        <w:rPr>
          <w:rFonts w:eastAsiaTheme="majorEastAsia"/>
          <w:lang w:eastAsia="en-US"/>
        </w:rPr>
        <w:t>people</w:t>
      </w:r>
      <w:r>
        <w:rPr>
          <w:rFonts w:eastAsiaTheme="majorEastAsia"/>
          <w:lang w:eastAsia="en-US"/>
        </w:rPr>
        <w:t xml:space="preserve"> with damage </w:t>
      </w:r>
      <w:r w:rsidR="006C5B4C">
        <w:rPr>
          <w:rFonts w:eastAsiaTheme="majorEastAsia"/>
          <w:lang w:eastAsia="en-US"/>
        </w:rPr>
        <w:t>preventing them from speaking aloud</w:t>
      </w:r>
      <w:r>
        <w:rPr>
          <w:rFonts w:eastAsiaTheme="majorEastAsia"/>
          <w:lang w:eastAsia="en-US"/>
        </w:rPr>
        <w:t xml:space="preserve"> (Silva et al., 2024). The authors describe</w:t>
      </w:r>
      <w:r w:rsidR="00A73387">
        <w:rPr>
          <w:rFonts w:eastAsiaTheme="majorEastAsia"/>
          <w:lang w:eastAsia="en-US"/>
        </w:rPr>
        <w:t>d</w:t>
      </w:r>
      <w:r>
        <w:rPr>
          <w:rFonts w:eastAsiaTheme="majorEastAsia"/>
          <w:lang w:eastAsia="en-US"/>
        </w:rPr>
        <w:t xml:space="preserve"> some of the </w:t>
      </w:r>
      <w:r w:rsidR="006C5B4C">
        <w:rPr>
          <w:rFonts w:eastAsiaTheme="majorEastAsia"/>
          <w:lang w:eastAsia="en-US"/>
        </w:rPr>
        <w:t>work involved in effective</w:t>
      </w:r>
      <w:r>
        <w:rPr>
          <w:rFonts w:eastAsiaTheme="majorEastAsia"/>
          <w:lang w:eastAsia="en-US"/>
        </w:rPr>
        <w:t xml:space="preserve"> speech synthesis</w:t>
      </w:r>
      <w:r w:rsidR="006C5B4C">
        <w:rPr>
          <w:rFonts w:eastAsiaTheme="majorEastAsia"/>
          <w:lang w:eastAsia="en-US"/>
        </w:rPr>
        <w:t xml:space="preserve">. It is necessary to collect </w:t>
      </w:r>
      <w:r w:rsidR="006C5B4C">
        <w:rPr>
          <w:rFonts w:eastAsiaTheme="majorEastAsia"/>
          <w:lang w:eastAsia="en-US"/>
        </w:rPr>
        <w:t xml:space="preserve">large amounts of data </w:t>
      </w:r>
      <w:r w:rsidR="006C5B4C">
        <w:rPr>
          <w:rFonts w:eastAsiaTheme="majorEastAsia"/>
          <w:lang w:eastAsia="en-US"/>
        </w:rPr>
        <w:t>for a specific</w:t>
      </w:r>
      <w:r w:rsidR="006C5B4C">
        <w:rPr>
          <w:rFonts w:eastAsiaTheme="majorEastAsia"/>
          <w:lang w:eastAsia="en-US"/>
        </w:rPr>
        <w:t xml:space="preserve"> language</w:t>
      </w:r>
      <w:r w:rsidR="006C5B4C">
        <w:rPr>
          <w:rFonts w:eastAsiaTheme="majorEastAsia"/>
          <w:lang w:eastAsia="en-US"/>
        </w:rPr>
        <w:t xml:space="preserve"> to predict</w:t>
      </w:r>
      <w:r>
        <w:rPr>
          <w:rFonts w:eastAsiaTheme="majorEastAsia"/>
          <w:lang w:eastAsia="en-US"/>
        </w:rPr>
        <w:t xml:space="preserve"> variations in pitch use</w:t>
      </w:r>
      <w:r w:rsidR="006C5B4C">
        <w:rPr>
          <w:rFonts w:eastAsiaTheme="majorEastAsia"/>
          <w:lang w:eastAsia="en-US"/>
        </w:rPr>
        <w:t xml:space="preserve"> and </w:t>
      </w:r>
      <w:r>
        <w:rPr>
          <w:rFonts w:eastAsiaTheme="majorEastAsia"/>
          <w:lang w:eastAsia="en-US"/>
        </w:rPr>
        <w:t>syntax</w:t>
      </w:r>
      <w:r w:rsidR="006C5B4C">
        <w:rPr>
          <w:rFonts w:eastAsiaTheme="majorEastAsia"/>
          <w:lang w:eastAsia="en-US"/>
        </w:rPr>
        <w:t>, us</w:t>
      </w:r>
      <w:r>
        <w:rPr>
          <w:rFonts w:eastAsiaTheme="majorEastAsia"/>
          <w:lang w:eastAsia="en-US"/>
        </w:rPr>
        <w:t>ing machine-learning to interpret the neural signals</w:t>
      </w:r>
      <w:r w:rsidR="006C5B4C">
        <w:rPr>
          <w:rFonts w:eastAsiaTheme="majorEastAsia"/>
          <w:lang w:eastAsia="en-US"/>
        </w:rPr>
        <w:t xml:space="preserve"> into intelligible speech</w:t>
      </w:r>
      <w:r>
        <w:rPr>
          <w:rFonts w:eastAsiaTheme="majorEastAsia"/>
          <w:lang w:eastAsia="en-US"/>
        </w:rPr>
        <w:t xml:space="preserve"> (</w:t>
      </w:r>
      <w:r>
        <w:t xml:space="preserve">Tang, Hamilton and Chang, 2017; </w:t>
      </w:r>
      <w:r>
        <w:rPr>
          <w:rFonts w:eastAsiaTheme="majorEastAsia"/>
          <w:lang w:eastAsia="en-US"/>
        </w:rPr>
        <w:t>Silva et al., 2024</w:t>
      </w:r>
      <w:r>
        <w:t>)</w:t>
      </w:r>
      <w:r>
        <w:rPr>
          <w:rFonts w:eastAsiaTheme="majorEastAsia"/>
          <w:lang w:eastAsia="en-US"/>
        </w:rPr>
        <w:t>. As shown in Figure 2 (Silva et al., 2024), this illustrates the complexity and precision of the neurological activity required for speech production. As noted by Erickson (2023) this complexity has implications for the way we teach singing</w:t>
      </w:r>
      <w:r w:rsidR="004D7217">
        <w:rPr>
          <w:rFonts w:eastAsiaTheme="majorEastAsia"/>
          <w:lang w:eastAsia="en-US"/>
        </w:rPr>
        <w:t>:</w:t>
      </w:r>
      <w:r>
        <w:rPr>
          <w:rFonts w:eastAsiaTheme="majorEastAsia"/>
          <w:lang w:eastAsia="en-US"/>
        </w:rPr>
        <w:t xml:space="preserve"> we should be looking at ways to optimise this operation rather than expecting full control of our articulators while singing</w:t>
      </w:r>
      <w:r w:rsidR="004D7217">
        <w:rPr>
          <w:rFonts w:eastAsiaTheme="majorEastAsia"/>
          <w:lang w:eastAsia="en-US"/>
        </w:rPr>
        <w:t>. The implication is that t</w:t>
      </w:r>
      <w:r>
        <w:rPr>
          <w:rFonts w:eastAsiaTheme="majorEastAsia"/>
          <w:lang w:eastAsia="en-US"/>
        </w:rPr>
        <w:t xml:space="preserve">here is simply too much going on for us to have full conscious control of the process. </w:t>
      </w:r>
    </w:p>
    <w:p w14:paraId="243FE31D" w14:textId="77777777" w:rsidR="00FE7205" w:rsidRDefault="00FE7205" w:rsidP="00FE7205">
      <w:pPr>
        <w:pStyle w:val="Modulenormal"/>
        <w:rPr>
          <w:rFonts w:eastAsiaTheme="majorEastAsia"/>
          <w:lang w:eastAsia="en-US"/>
        </w:rPr>
      </w:pPr>
    </w:p>
    <w:p w14:paraId="392E0BD6" w14:textId="4A030805" w:rsidR="00FE7205" w:rsidRDefault="00FE7205" w:rsidP="00FE7205">
      <w:pPr>
        <w:pStyle w:val="Modulenormal"/>
        <w:rPr>
          <w:rFonts w:eastAsiaTheme="majorEastAsia"/>
          <w:lang w:eastAsia="en-US"/>
        </w:rPr>
      </w:pPr>
      <w:r>
        <w:rPr>
          <w:rFonts w:eastAsiaTheme="majorEastAsia"/>
          <w:lang w:eastAsia="en-US"/>
        </w:rPr>
        <w:t xml:space="preserve">Two other aspects discussed by Silva et al. (2024) have a bearing on the topic of speech and gesture. Firstly, it is interesting to note in Figure 3 that the area for motor control of the hand is adjacent to the areas controlling the articulators, because the somatotopic arrangement of the brain, the relative position of areas for motor control of different parts of the body, tend to be arranged so that physically related areas are close together. This is not positive proof of a relationship between speech and gesture, but it does suggest that their </w:t>
      </w:r>
      <w:r>
        <w:rPr>
          <w:rFonts w:eastAsiaTheme="majorEastAsia"/>
          <w:lang w:eastAsia="en-US"/>
        </w:rPr>
        <w:lastRenderedPageBreak/>
        <w:t>functions may be aligned in some way. Secondly, individual neurons have been detected in the orofacial and hand cortex of the anterior gyrus that connect to the articulators, again pointing to a deeper connection between gesture and speech that is not yet fully understood.</w:t>
      </w:r>
    </w:p>
    <w:p w14:paraId="49001359" w14:textId="63BE39CA" w:rsidR="00FE7205" w:rsidRDefault="00FE7205" w:rsidP="00FE7205">
      <w:pPr>
        <w:rPr>
          <w:rFonts w:eastAsiaTheme="majorEastAsia"/>
          <w:lang w:eastAsia="en-US"/>
        </w:rPr>
      </w:pPr>
      <w:r>
        <w:rPr>
          <w:rFonts w:eastAsiaTheme="majorEastAsia"/>
          <w:noProof/>
          <w:lang w:eastAsia="en-US"/>
          <w14:ligatures w14:val="standardContextual"/>
        </w:rPr>
        <w:drawing>
          <wp:inline distT="0" distB="0" distL="0" distR="0" wp14:anchorId="13BBF93D" wp14:editId="2519572E">
            <wp:extent cx="3522224" cy="3890211"/>
            <wp:effectExtent l="0" t="0" r="0" b="0"/>
            <wp:docPr id="296833410" name="Picture 2" descr="A diagram of the bra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833410" name="Picture 2" descr="A diagram of the brain&#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553560" cy="3924820"/>
                    </a:xfrm>
                    <a:prstGeom prst="rect">
                      <a:avLst/>
                    </a:prstGeom>
                  </pic:spPr>
                </pic:pic>
              </a:graphicData>
            </a:graphic>
          </wp:inline>
        </w:drawing>
      </w:r>
    </w:p>
    <w:p w14:paraId="6D8B37E0" w14:textId="2B7AD489" w:rsidR="00FE7205" w:rsidRPr="00FE7205" w:rsidRDefault="00FE7205" w:rsidP="002C5D4E">
      <w:pPr>
        <w:pStyle w:val="Caption"/>
        <w:rPr>
          <w:rFonts w:eastAsiaTheme="majorEastAsia"/>
          <w:lang w:eastAsia="en-US"/>
        </w:rPr>
      </w:pPr>
      <w:bookmarkStart w:id="19" w:name="_Toc218507941"/>
      <w:r>
        <w:rPr>
          <w:rFonts w:eastAsiaTheme="majorEastAsia"/>
          <w:lang w:eastAsia="en-US"/>
        </w:rPr>
        <w:t>Figure 3: Location of articulator control (Silva et al., 2024)</w:t>
      </w:r>
      <w:bookmarkEnd w:id="19"/>
    </w:p>
    <w:p w14:paraId="149E2F5C" w14:textId="71F569E6" w:rsidR="000173C9" w:rsidRPr="00ED3882" w:rsidRDefault="000173C9" w:rsidP="00F02215">
      <w:pPr>
        <w:pStyle w:val="Modulenormal"/>
        <w:rPr>
          <w:rFonts w:asciiTheme="majorHAnsi" w:eastAsiaTheme="majorEastAsia" w:hAnsiTheme="majorHAnsi" w:cstheme="majorBidi"/>
          <w:color w:val="0F4761" w:themeColor="accent1" w:themeShade="BF"/>
          <w:sz w:val="32"/>
          <w:szCs w:val="32"/>
        </w:rPr>
      </w:pPr>
      <w:r>
        <w:br w:type="page"/>
      </w:r>
    </w:p>
    <w:p w14:paraId="119363BB" w14:textId="77777777" w:rsidR="003F6591" w:rsidRDefault="003F6591" w:rsidP="003F6591">
      <w:pPr>
        <w:pStyle w:val="Heading3"/>
      </w:pPr>
      <w:bookmarkStart w:id="20" w:name="_Toc218505609"/>
      <w:r>
        <w:lastRenderedPageBreak/>
        <w:t>Discussion</w:t>
      </w:r>
      <w:bookmarkEnd w:id="20"/>
    </w:p>
    <w:p w14:paraId="1B868ED9" w14:textId="4367402F" w:rsidR="00AF498E" w:rsidRPr="00987171" w:rsidRDefault="003F6591" w:rsidP="00987171">
      <w:pPr>
        <w:pStyle w:val="Modulenormal"/>
      </w:pPr>
      <w:r w:rsidRPr="00987171">
        <w:t xml:space="preserve">Gesture is clearly a powerful tool. Through the examination of the role of gesture in the acquisition of language, we can see that gesture enables and supports learning, whether it is our </w:t>
      </w:r>
      <w:r w:rsidR="001D1710" w:rsidRPr="00987171">
        <w:t>first language</w:t>
      </w:r>
      <w:r w:rsidRPr="00987171">
        <w:t xml:space="preserve"> (Volterra, Iverson and Castrataro, 2005; Bunzeck and Diessel, 2025) or a second language</w:t>
      </w:r>
      <w:r w:rsidR="00E505A8" w:rsidRPr="00987171">
        <w:t xml:space="preserve"> </w:t>
      </w:r>
      <w:r w:rsidR="00E505A8" w:rsidRPr="00987171">
        <w:t>(McCafferty, 2006; Brown and Gullberg, 2008; Janzen Ulbricht, 2018; Baills et al., 2019; Li, Baills and Prieto, 2020)</w:t>
      </w:r>
      <w:r w:rsidRPr="00987171">
        <w:t xml:space="preserve">. There is evidence that gesture can help us acquire understanding of diverse topics, </w:t>
      </w:r>
      <w:r w:rsidR="002C5D4E">
        <w:t>as has been shown in</w:t>
      </w:r>
      <w:r w:rsidRPr="00987171">
        <w:t xml:space="preserve"> mathematics (</w:t>
      </w:r>
      <w:r w:rsidR="000B395F">
        <w:t>Novack et al., 2014; Wakefield et al., 2018; Stylianou et al., 2024</w:t>
      </w:r>
      <w:r w:rsidRPr="00987171">
        <w:t xml:space="preserve">). </w:t>
      </w:r>
    </w:p>
    <w:p w14:paraId="2FE394EB" w14:textId="77777777" w:rsidR="00AF498E" w:rsidRPr="00987171" w:rsidRDefault="00AF498E" w:rsidP="00987171">
      <w:pPr>
        <w:pStyle w:val="Modulenormal"/>
      </w:pPr>
    </w:p>
    <w:p w14:paraId="166B5D36" w14:textId="6B5DDFA1" w:rsidR="00AF498E" w:rsidRPr="00987171" w:rsidRDefault="00AF498E" w:rsidP="00987171">
      <w:pPr>
        <w:pStyle w:val="Modulenormal"/>
      </w:pPr>
      <w:r w:rsidRPr="00987171">
        <w:t xml:space="preserve">A study into the use of singing in a multilingual Swedish preschool (Kultti, 2013) </w:t>
      </w:r>
      <w:r w:rsidRPr="00987171">
        <w:t>provided a good example of the way singing, gesture and shared exploration of the environment can facilitate learning. Kultti (2013) described the way group singing on themes of interest to the children incorporated repetition, gesture and the qualities of child-directed speech (simplicity, slower tempo and pitch variation) to provide ideal language learning conditions</w:t>
      </w:r>
      <w:r w:rsidR="00F01C8F" w:rsidRPr="00987171">
        <w:t xml:space="preserve"> which the children were able to incorporate into their own play</w:t>
      </w:r>
      <w:r w:rsidR="002C5D4E">
        <w:t xml:space="preserve">, communicating across </w:t>
      </w:r>
      <w:r w:rsidR="00250032">
        <w:t>different</w:t>
      </w:r>
      <w:r w:rsidR="002C5D4E">
        <w:t xml:space="preserve"> first languages</w:t>
      </w:r>
      <w:r w:rsidR="00F01C8F" w:rsidRPr="00987171">
        <w:t>.</w:t>
      </w:r>
    </w:p>
    <w:p w14:paraId="7C92704E" w14:textId="77777777" w:rsidR="003F6591" w:rsidRPr="00987171" w:rsidRDefault="003F6591" w:rsidP="00987171">
      <w:pPr>
        <w:pStyle w:val="Modulenormal"/>
      </w:pPr>
    </w:p>
    <w:p w14:paraId="18EB6DF4" w14:textId="6688CE9E" w:rsidR="003F6591" w:rsidRPr="00987171" w:rsidRDefault="003F6591" w:rsidP="00987171">
      <w:pPr>
        <w:pStyle w:val="Modulenormal"/>
      </w:pPr>
      <w:r w:rsidRPr="00987171">
        <w:t>The use of gesture as metaphor is particularly useful in the singing studio. While there is technical understanding of the mechanisms of breath, the vocal cords, the vocal tract and the articulators, translating this knowledge into clear instruction in the studio is a challenge (Brown, 2025). The processes of vocal learning and vocal production rely on extremely complex, interconnected and constantly changing systems (Erickson, 2022a; Erickson, 2022b; Erickson, 2023). We can increase our chances of success by using verbal and gestural imagery, connecting a gesture or a mental image to a particular sensation and sound so we can reproduce it with some level of control</w:t>
      </w:r>
      <w:r w:rsidR="002C5D4E">
        <w:t xml:space="preserve"> </w:t>
      </w:r>
      <w:r w:rsidR="002C5D4E" w:rsidRPr="00987171">
        <w:t>(Erickson, 2022a; Erickson, 2022b; Erickson, 2023</w:t>
      </w:r>
      <w:r w:rsidR="002C5D4E">
        <w:t xml:space="preserve">; </w:t>
      </w:r>
      <w:r w:rsidR="002C5D4E" w:rsidRPr="00987171">
        <w:t>Brown, 2025)</w:t>
      </w:r>
      <w:r w:rsidRPr="00987171">
        <w:t>.</w:t>
      </w:r>
    </w:p>
    <w:p w14:paraId="1AE5E8CF" w14:textId="77777777" w:rsidR="003F6591" w:rsidRPr="00987171" w:rsidRDefault="003F6591" w:rsidP="00987171">
      <w:pPr>
        <w:pStyle w:val="Modulenormal"/>
      </w:pPr>
    </w:p>
    <w:p w14:paraId="01210566" w14:textId="4499BB3B" w:rsidR="003F6591" w:rsidRPr="00987171" w:rsidRDefault="003F6591" w:rsidP="00987171">
      <w:pPr>
        <w:pStyle w:val="Modulenormal"/>
      </w:pPr>
      <w:r w:rsidRPr="00987171">
        <w:t>Our understanding of the paths of vocal learning in the brain is increasing rapidly (Jarvis, 201</w:t>
      </w:r>
      <w:r w:rsidR="008735BC">
        <w:t>9</w:t>
      </w:r>
      <w:r w:rsidRPr="00987171">
        <w:t xml:space="preserve">; Silva et al., 2024). While the location of the production of </w:t>
      </w:r>
      <w:r w:rsidR="00987171">
        <w:t>the</w:t>
      </w:r>
      <w:r w:rsidRPr="00987171">
        <w:t xml:space="preserve"> phonemes</w:t>
      </w:r>
      <w:r w:rsidR="00987171">
        <w:t xml:space="preserve"> that make up speech</w:t>
      </w:r>
      <w:r w:rsidRPr="00987171">
        <w:t xml:space="preserve"> has been successfully mapped, this has not yet been correlated with the gestures that accompany speech (Silva et al., 2024). While there is clearly a strong interplay between gestures and vocal production, we do not yet have enough evidence to say exactly where and how this occurs. Jarvis (201</w:t>
      </w:r>
      <w:r w:rsidR="008735BC">
        <w:t>9</w:t>
      </w:r>
      <w:r w:rsidRPr="00987171">
        <w:t>) suggested that the vocal learning pathway may have evolved by duplication of a motor pathway, but he made it clear there may be other explanations. A</w:t>
      </w:r>
      <w:r w:rsidR="002C5D4E">
        <w:t xml:space="preserve">s </w:t>
      </w:r>
      <w:r w:rsidRPr="00987171">
        <w:t>Silva et al. (2024) pointed out</w:t>
      </w:r>
      <w:r w:rsidR="002C5D4E">
        <w:t xml:space="preserve">, </w:t>
      </w:r>
      <w:r w:rsidRPr="00987171">
        <w:t xml:space="preserve">motor control of the hands occurs adjacent to the region where the articulator control occurs. </w:t>
      </w:r>
    </w:p>
    <w:p w14:paraId="6AD8D65F" w14:textId="77777777" w:rsidR="003F6591" w:rsidRPr="00987171" w:rsidRDefault="003F6591" w:rsidP="00987171">
      <w:pPr>
        <w:pStyle w:val="Modulenormal"/>
      </w:pPr>
    </w:p>
    <w:p w14:paraId="7E3C758B" w14:textId="25EA2DF7" w:rsidR="00AF498E" w:rsidRPr="00987171" w:rsidRDefault="003F6591" w:rsidP="00987171">
      <w:pPr>
        <w:pStyle w:val="Modulenormal"/>
      </w:pPr>
      <w:r w:rsidRPr="00987171">
        <w:t>Brown (2025) looked at the use of verbal imagery and its limitations in an age where we do understand some of the mechanisms of singing. She made it clear that there are pitfalls to be avoided, as the learner will bring their own mental imagery and previous experience to bear on a new image. Brown (2025) suggested allowing the student to create their own metaphoric descriptions to articulate how they have arrived at a particular sound or concept. I would suggest this approach could be extended to gestures, so that the student builds their own library of gestures to assist them in finding the sounds they wish to produce.</w:t>
      </w:r>
    </w:p>
    <w:p w14:paraId="1EB82F4B" w14:textId="77777777" w:rsidR="003F6591" w:rsidRPr="00987171" w:rsidRDefault="003F6591" w:rsidP="00987171">
      <w:pPr>
        <w:pStyle w:val="Modulenormal"/>
      </w:pPr>
    </w:p>
    <w:p w14:paraId="1AFB2345" w14:textId="231021F3" w:rsidR="003F6591" w:rsidRPr="00987171" w:rsidRDefault="003F6591" w:rsidP="00987171">
      <w:pPr>
        <w:pStyle w:val="Modulenormal"/>
      </w:pPr>
      <w:r w:rsidRPr="00987171">
        <w:t xml:space="preserve">Erickson (2023) advocated using our understanding of the iterative, feedback-based nature of vocal learning to our advantage by finding creative ways to provide information to the processing centres of the brain. Her methods include taking small sections of a passage of music and singing them in different tempi, musical styles and conveying varied emotions. </w:t>
      </w:r>
      <w:r w:rsidR="007A75F2">
        <w:t>I believe that a</w:t>
      </w:r>
      <w:r w:rsidRPr="00987171">
        <w:t>dding physical gesture to this creative process could help facilitate this kind of practise.</w:t>
      </w:r>
    </w:p>
    <w:p w14:paraId="7974131A" w14:textId="31BBED82" w:rsidR="003F6591" w:rsidRPr="00987171" w:rsidRDefault="003F6591" w:rsidP="00987171">
      <w:pPr>
        <w:pStyle w:val="Modulenormal"/>
      </w:pPr>
      <w:r w:rsidRPr="00987171">
        <w:br w:type="page"/>
      </w:r>
    </w:p>
    <w:p w14:paraId="355F8771" w14:textId="5F91DA64" w:rsidR="00D809D6" w:rsidRPr="0040669A" w:rsidRDefault="00D809D6" w:rsidP="0040669A">
      <w:pPr>
        <w:pStyle w:val="Heading3"/>
      </w:pPr>
      <w:bookmarkStart w:id="21" w:name="_Toc218505610"/>
      <w:r w:rsidRPr="0040669A">
        <w:lastRenderedPageBreak/>
        <w:t>Conclusions and Future Recommendations</w:t>
      </w:r>
      <w:bookmarkEnd w:id="21"/>
    </w:p>
    <w:p w14:paraId="27392BAB" w14:textId="31751301" w:rsidR="00067ADF" w:rsidRDefault="00067ADF" w:rsidP="0040669A">
      <w:pPr>
        <w:pStyle w:val="Modulenormal"/>
        <w:rPr>
          <w:lang w:eastAsia="en-US"/>
        </w:rPr>
      </w:pPr>
      <w:r>
        <w:rPr>
          <w:lang w:eastAsia="en-US"/>
        </w:rPr>
        <w:t>Gaining a deeper understanding of the complexity of vocal learning and production has made me think about teaching singing in a broader way (Erickson, 2022a; Erickson, 2022b; Erickson 2023). As Erickson</w:t>
      </w:r>
      <w:r w:rsidR="0025788F">
        <w:rPr>
          <w:lang w:eastAsia="en-US"/>
        </w:rPr>
        <w:t xml:space="preserve"> (2022a; 2022b; 2023)</w:t>
      </w:r>
      <w:r>
        <w:rPr>
          <w:lang w:eastAsia="en-US"/>
        </w:rPr>
        <w:t xml:space="preserve"> explained, the brain is the most influential part of our singing equipment and performs intricate, dynamic calculations as we perform.</w:t>
      </w:r>
      <w:r w:rsidR="00CD368B">
        <w:rPr>
          <w:lang w:eastAsia="en-US"/>
        </w:rPr>
        <w:t xml:space="preserve"> This is something </w:t>
      </w:r>
      <w:r w:rsidR="007A75F2">
        <w:rPr>
          <w:lang w:eastAsia="en-US"/>
        </w:rPr>
        <w:t xml:space="preserve">I feel </w:t>
      </w:r>
      <w:r w:rsidR="00CD368B">
        <w:rPr>
          <w:lang w:eastAsia="en-US"/>
        </w:rPr>
        <w:t xml:space="preserve">we should hold in mind as singing teachers, that our students are </w:t>
      </w:r>
      <w:r w:rsidR="00CD368B">
        <w:rPr>
          <w:lang w:eastAsia="en-US"/>
        </w:rPr>
        <w:t>far more than a pair of lungs and a vocal tract</w:t>
      </w:r>
      <w:r w:rsidR="00BC3B51">
        <w:rPr>
          <w:lang w:eastAsia="en-US"/>
        </w:rPr>
        <w:t>.</w:t>
      </w:r>
    </w:p>
    <w:p w14:paraId="1FB833DF" w14:textId="77777777" w:rsidR="00067ADF" w:rsidRDefault="00067ADF" w:rsidP="0040669A">
      <w:pPr>
        <w:pStyle w:val="Modulenormal"/>
        <w:rPr>
          <w:lang w:eastAsia="en-US"/>
        </w:rPr>
      </w:pPr>
    </w:p>
    <w:p w14:paraId="45EBFA76" w14:textId="7366DD02" w:rsidR="00067ADF" w:rsidRDefault="00067ADF" w:rsidP="0040669A">
      <w:pPr>
        <w:pStyle w:val="Modulenormal"/>
        <w:rPr>
          <w:lang w:eastAsia="en-US"/>
        </w:rPr>
      </w:pPr>
      <w:r>
        <w:rPr>
          <w:lang w:eastAsia="en-US"/>
        </w:rPr>
        <w:t>This is daunting, but also exciting, as we can teach the singer to explore new ways of providing themselves with richer information to inform this neural process (Erickson, 2022a). Understanding the plasticity of the brain and its ability to find new ways to produce the sounds we want gives us an intelligent way to meet different vocal challenges (Erickson, 2022b).</w:t>
      </w:r>
    </w:p>
    <w:p w14:paraId="63E6AA09" w14:textId="77777777" w:rsidR="00067ADF" w:rsidRDefault="00067ADF" w:rsidP="00D809D6">
      <w:pPr>
        <w:rPr>
          <w:lang w:eastAsia="en-US"/>
        </w:rPr>
      </w:pPr>
    </w:p>
    <w:p w14:paraId="71874E5E" w14:textId="0BD72A30" w:rsidR="0016688C" w:rsidRPr="0016688C" w:rsidRDefault="00067ADF" w:rsidP="00067ADF">
      <w:pPr>
        <w:pStyle w:val="Modulenormal"/>
        <w:rPr>
          <w:lang w:eastAsia="en-US"/>
        </w:rPr>
      </w:pPr>
      <w:r>
        <w:rPr>
          <w:lang w:eastAsia="en-US"/>
        </w:rPr>
        <w:t>Gesture holds a vital place in our communication and has a close relationship with our processes of acquiring language (</w:t>
      </w:r>
      <w:r w:rsidRPr="00B46AF6">
        <w:t>Volterra, Iverson</w:t>
      </w:r>
      <w:r>
        <w:t xml:space="preserve"> and</w:t>
      </w:r>
      <w:r w:rsidRPr="00B46AF6">
        <w:t xml:space="preserve"> Castrataro</w:t>
      </w:r>
      <w:r>
        <w:t>, 2005; Bunzeck and Diessel, 2025</w:t>
      </w:r>
      <w:r>
        <w:rPr>
          <w:lang w:eastAsia="en-US"/>
        </w:rPr>
        <w:t>), even though we cannot yet quantify the relationship at a neural level. Associating gesture with our phrasing, emotions and even our meaning has huge potential as a tool in teaching voice, in much the same way as metaphor</w:t>
      </w:r>
      <w:r w:rsidR="007A75F2">
        <w:rPr>
          <w:lang w:eastAsia="en-US"/>
        </w:rPr>
        <w:t xml:space="preserve"> (Brown, 2025)</w:t>
      </w:r>
      <w:r>
        <w:rPr>
          <w:lang w:eastAsia="en-US"/>
        </w:rPr>
        <w:t xml:space="preserve">. As Brown </w:t>
      </w:r>
      <w:r w:rsidR="00DC1DD6">
        <w:rPr>
          <w:lang w:eastAsia="en-US"/>
        </w:rPr>
        <w:t xml:space="preserve">(2025) </w:t>
      </w:r>
      <w:r>
        <w:rPr>
          <w:lang w:eastAsia="en-US"/>
        </w:rPr>
        <w:t>explain</w:t>
      </w:r>
      <w:r w:rsidR="004E4705">
        <w:rPr>
          <w:lang w:eastAsia="en-US"/>
        </w:rPr>
        <w:t>ed,</w:t>
      </w:r>
      <w:r>
        <w:rPr>
          <w:lang w:eastAsia="en-US"/>
        </w:rPr>
        <w:t xml:space="preserve"> the danger of using a metaphor </w:t>
      </w:r>
      <w:r w:rsidR="007A75F2">
        <w:rPr>
          <w:lang w:eastAsia="en-US"/>
        </w:rPr>
        <w:t>is that it may</w:t>
      </w:r>
      <w:r>
        <w:rPr>
          <w:lang w:eastAsia="en-US"/>
        </w:rPr>
        <w:t xml:space="preserve"> not mean the same to the teacher and the student (Brown, 2025)</w:t>
      </w:r>
      <w:r w:rsidR="00BC3B51">
        <w:rPr>
          <w:lang w:eastAsia="en-US"/>
        </w:rPr>
        <w:t>,</w:t>
      </w:r>
      <w:r>
        <w:rPr>
          <w:lang w:eastAsia="en-US"/>
        </w:rPr>
        <w:t xml:space="preserve"> </w:t>
      </w:r>
      <w:r w:rsidR="00BC3B51">
        <w:rPr>
          <w:lang w:eastAsia="en-US"/>
        </w:rPr>
        <w:t>so it is most effective to</w:t>
      </w:r>
      <w:r>
        <w:rPr>
          <w:lang w:eastAsia="en-US"/>
        </w:rPr>
        <w:t xml:space="preserve"> work with the student to find suitable gestures, rather than imposing them.</w:t>
      </w:r>
      <w:r w:rsidR="00BC3B51">
        <w:rPr>
          <w:lang w:eastAsia="en-US"/>
        </w:rPr>
        <w:t xml:space="preserve"> This corresponds to the way infants learn language by exploring their environment alongside a nurturing adult who </w:t>
      </w:r>
      <w:r w:rsidR="00E51AC0">
        <w:rPr>
          <w:lang w:eastAsia="en-US"/>
        </w:rPr>
        <w:t xml:space="preserve">matches their verbal and gestural response to the child’s current grasp of that language </w:t>
      </w:r>
      <w:r w:rsidR="00BC3B51">
        <w:t>(Iverson et al., 1999</w:t>
      </w:r>
      <w:r w:rsidR="00E51AC0">
        <w:t xml:space="preserve">; </w:t>
      </w:r>
      <w:r w:rsidR="00E51AC0">
        <w:t>Bunzeck and Diessel</w:t>
      </w:r>
      <w:r w:rsidR="00E51AC0">
        <w:t xml:space="preserve">, </w:t>
      </w:r>
      <w:r w:rsidR="00E51AC0">
        <w:t>2025</w:t>
      </w:r>
      <w:r w:rsidR="00BC3B51">
        <w:t>)</w:t>
      </w:r>
      <w:r w:rsidR="00E51AC0">
        <w:t>.</w:t>
      </w:r>
    </w:p>
    <w:p w14:paraId="004E5818" w14:textId="03E2F862" w:rsidR="00D809D6" w:rsidRDefault="00D809D6">
      <w:pPr>
        <w:spacing w:after="160" w:line="278" w:lineRule="auto"/>
        <w:rPr>
          <w:rFonts w:asciiTheme="majorHAnsi" w:eastAsiaTheme="majorEastAsia" w:hAnsiTheme="majorHAnsi" w:cstheme="majorBidi"/>
          <w:color w:val="0F4761" w:themeColor="accent1" w:themeShade="BF"/>
          <w:kern w:val="2"/>
          <w:sz w:val="32"/>
          <w:szCs w:val="32"/>
          <w:lang w:eastAsia="en-US"/>
          <w14:ligatures w14:val="standardContextual"/>
        </w:rPr>
      </w:pPr>
      <w:r>
        <w:br w:type="page"/>
      </w:r>
    </w:p>
    <w:p w14:paraId="304820A2" w14:textId="37FFFFB0" w:rsidR="00F43E25" w:rsidRDefault="007D3660" w:rsidP="007D3660">
      <w:pPr>
        <w:pStyle w:val="Heading2"/>
      </w:pPr>
      <w:bookmarkStart w:id="22" w:name="_Toc218505611"/>
      <w:r>
        <w:lastRenderedPageBreak/>
        <w:t xml:space="preserve">2.3 </w:t>
      </w:r>
      <w:r w:rsidR="000173C9">
        <w:t>Critical Reflection</w:t>
      </w:r>
      <w:bookmarkEnd w:id="22"/>
      <w:r w:rsidR="003F7FC0">
        <w:t xml:space="preserve"> </w:t>
      </w:r>
    </w:p>
    <w:p w14:paraId="5DBBEFF1" w14:textId="02D6B1DF" w:rsidR="00263EB0" w:rsidRDefault="00A201FA" w:rsidP="00C0661A">
      <w:pPr>
        <w:pStyle w:val="Modulenormal"/>
        <w:rPr>
          <w:lang w:eastAsia="en-US"/>
        </w:rPr>
      </w:pPr>
      <w:r>
        <w:rPr>
          <w:lang w:eastAsia="en-US"/>
        </w:rPr>
        <w:t xml:space="preserve">My critical reflection is structured on the experiential learning cycle </w:t>
      </w:r>
      <w:r w:rsidR="00263EB0">
        <w:rPr>
          <w:lang w:eastAsia="en-US"/>
        </w:rPr>
        <w:t xml:space="preserve">of experience, reflection, thinking and action </w:t>
      </w:r>
      <w:r>
        <w:rPr>
          <w:lang w:eastAsia="en-US"/>
        </w:rPr>
        <w:t>(Kolb and Kolb, 2018), which recognises that learning is an ongoing</w:t>
      </w:r>
      <w:r w:rsidR="007A75F2">
        <w:rPr>
          <w:lang w:eastAsia="en-US"/>
        </w:rPr>
        <w:t>, iterative process</w:t>
      </w:r>
      <w:r>
        <w:rPr>
          <w:lang w:eastAsia="en-US"/>
        </w:rPr>
        <w:t xml:space="preserve">. </w:t>
      </w:r>
    </w:p>
    <w:p w14:paraId="6E6AF821" w14:textId="77777777" w:rsidR="00263EB0" w:rsidRDefault="00263EB0" w:rsidP="00C0661A">
      <w:pPr>
        <w:pStyle w:val="Modulenormal"/>
        <w:rPr>
          <w:lang w:eastAsia="en-US"/>
        </w:rPr>
      </w:pPr>
    </w:p>
    <w:p w14:paraId="36F11FA6" w14:textId="0DF0EAC3" w:rsidR="00A201FA" w:rsidRDefault="00A201FA" w:rsidP="00C0661A">
      <w:pPr>
        <w:pStyle w:val="Modulenormal"/>
        <w:rPr>
          <w:lang w:eastAsia="en-US"/>
        </w:rPr>
      </w:pPr>
      <w:r>
        <w:rPr>
          <w:lang w:eastAsia="en-US"/>
        </w:rPr>
        <w:t xml:space="preserve">My interest in this topic began with my experience of signed song and the impact it had on my practice. This literature review allowed me space to reflect on this impact and investigate the reasons behind it. </w:t>
      </w:r>
    </w:p>
    <w:p w14:paraId="58D09306" w14:textId="77777777" w:rsidR="00A201FA" w:rsidRDefault="00A201FA" w:rsidP="00C0661A">
      <w:pPr>
        <w:pStyle w:val="Modulenormal"/>
        <w:rPr>
          <w:lang w:eastAsia="en-US"/>
        </w:rPr>
      </w:pPr>
    </w:p>
    <w:p w14:paraId="73BC6508" w14:textId="58ABA217" w:rsidR="00D809D6" w:rsidRDefault="00D809D6" w:rsidP="00C0661A">
      <w:pPr>
        <w:pStyle w:val="Modulenormal"/>
      </w:pPr>
      <w:r>
        <w:rPr>
          <w:lang w:eastAsia="en-US"/>
        </w:rPr>
        <w:t xml:space="preserve">It seems appropriate that </w:t>
      </w:r>
      <w:r w:rsidR="00E505A8">
        <w:rPr>
          <w:lang w:eastAsia="en-US"/>
        </w:rPr>
        <w:t>my choice of</w:t>
      </w:r>
      <w:r>
        <w:rPr>
          <w:lang w:eastAsia="en-US"/>
        </w:rPr>
        <w:t xml:space="preserve"> hermeneutic methodology </w:t>
      </w:r>
      <w:r>
        <w:t>(Boel</w:t>
      </w:r>
      <w:r w:rsidR="00DC1DD6">
        <w:t>l</w:t>
      </w:r>
      <w:r>
        <w:t xml:space="preserve"> and Cecez-Kecmanovic, 2010), following an iterative process using my initial research to refine my subsequent research</w:t>
      </w:r>
      <w:r w:rsidR="00E505A8">
        <w:t>,</w:t>
      </w:r>
      <w:r>
        <w:t xml:space="preserve"> tied in with my findings on the </w:t>
      </w:r>
      <w:r w:rsidR="00C0661A">
        <w:t xml:space="preserve">iterative </w:t>
      </w:r>
      <w:r>
        <w:t xml:space="preserve">way we learn and develop language skills. As infants, we explore our world under the guidance of a parent </w:t>
      </w:r>
      <w:r w:rsidR="00E51AC0">
        <w:t>figure and</w:t>
      </w:r>
      <w:r>
        <w:t xml:space="preserve"> develop spoken language through joint interaction and feedback from the environment (</w:t>
      </w:r>
      <w:r w:rsidRPr="00B46AF6">
        <w:t>Volterra, Iverson</w:t>
      </w:r>
      <w:r>
        <w:t xml:space="preserve"> and</w:t>
      </w:r>
      <w:r w:rsidRPr="00B46AF6">
        <w:t xml:space="preserve"> Castrataro</w:t>
      </w:r>
      <w:r>
        <w:t>, 2005; Bunzeck and Diessel, 2025). Similarly, the neural processes that enable us to learn and produce speech and song rely on a complex, iterative feedback system between different areas of the brain (Jarvis, 201</w:t>
      </w:r>
      <w:r w:rsidR="008735BC">
        <w:t>9</w:t>
      </w:r>
      <w:r>
        <w:t>; Erickson, 2022a; Erickson, 2022b; Erickson, 2023).</w:t>
      </w:r>
    </w:p>
    <w:p w14:paraId="1EDEF2DD" w14:textId="77777777" w:rsidR="00E51AC0" w:rsidRDefault="00E51AC0" w:rsidP="00C0661A">
      <w:pPr>
        <w:pStyle w:val="Modulenormal"/>
        <w:rPr>
          <w:lang w:eastAsia="en-US"/>
        </w:rPr>
      </w:pPr>
    </w:p>
    <w:p w14:paraId="2D4E4536" w14:textId="1DAD6057" w:rsidR="00E51AC0" w:rsidRPr="00E51AC0" w:rsidRDefault="00E51AC0" w:rsidP="00C0661A">
      <w:pPr>
        <w:pStyle w:val="Modulenormal"/>
        <w:rPr>
          <w:lang w:eastAsia="en-US"/>
        </w:rPr>
      </w:pPr>
      <w:r>
        <w:rPr>
          <w:lang w:eastAsia="en-US"/>
        </w:rPr>
        <w:t>Following an iterative process through this assignment enabled me to connect ideas from different disciplines</w:t>
      </w:r>
      <w:r w:rsidR="007410DF">
        <w:rPr>
          <w:lang w:eastAsia="en-US"/>
        </w:rPr>
        <w:t xml:space="preserve"> </w:t>
      </w:r>
      <w:r w:rsidR="007410DF">
        <w:t>(Boel</w:t>
      </w:r>
      <w:r w:rsidR="00DC1DD6">
        <w:t>l</w:t>
      </w:r>
      <w:r w:rsidR="007410DF">
        <w:t xml:space="preserve"> and Cecez-Kecmanovic, 2010)</w:t>
      </w:r>
      <w:r w:rsidR="007410DF">
        <w:rPr>
          <w:lang w:eastAsia="en-US"/>
        </w:rPr>
        <w:t>. On my first pass through the literature on second language acquisition (McNeill, 1985; Kendon, 1997; Gullberg, 2006), I was primarily concerned with understanding terminology that was new to me and following the thread of discussion in each article. Coming back to these articles after gaining a better understanding of vocal learning (Jarvis, 201</w:t>
      </w:r>
      <w:r w:rsidR="008735BC">
        <w:rPr>
          <w:lang w:eastAsia="en-US"/>
        </w:rPr>
        <w:t>9</w:t>
      </w:r>
      <w:r w:rsidR="007410DF">
        <w:rPr>
          <w:lang w:eastAsia="en-US"/>
        </w:rPr>
        <w:t>; Ericson, 2022a) I was better able to frame my learning in terms of the way our brains understand and produce speech.</w:t>
      </w:r>
    </w:p>
    <w:p w14:paraId="25B74B80" w14:textId="77777777" w:rsidR="00D809D6" w:rsidRDefault="00D809D6" w:rsidP="00C0661A">
      <w:pPr>
        <w:pStyle w:val="Modulenormal"/>
        <w:rPr>
          <w:lang w:eastAsia="en-US"/>
        </w:rPr>
      </w:pPr>
    </w:p>
    <w:p w14:paraId="2FA2509B" w14:textId="29ECE539" w:rsidR="003B197F" w:rsidRDefault="00D809D6" w:rsidP="00C0661A">
      <w:pPr>
        <w:pStyle w:val="Modulenormal"/>
      </w:pPr>
      <w:r>
        <w:rPr>
          <w:lang w:eastAsia="en-US"/>
        </w:rPr>
        <w:t xml:space="preserve">While studying this topic, I have been reflecting on the effectiveness of gestural imagery in my singing teaching. Using a sweeping arm gesture to represent the length of a phrase has been very effective at improving breath control (Erickson, 2022b). As Erickson (2022b) explained, there is a complex interplay between our perceived need to breath and the physical state of our body and mind. As with many gestures, </w:t>
      </w:r>
      <w:r w:rsidR="00C26E68">
        <w:rPr>
          <w:lang w:eastAsia="en-US"/>
        </w:rPr>
        <w:t xml:space="preserve">I believe that </w:t>
      </w:r>
      <w:r>
        <w:rPr>
          <w:lang w:eastAsia="en-US"/>
        </w:rPr>
        <w:t xml:space="preserve">part of the effect may be to distract us from interfering with the complex process of producing the precise sounds we want, to encourage us to relax and concentrate on what we want to convey, rather than how to do so. </w:t>
      </w:r>
      <w:r w:rsidR="00C26E68">
        <w:rPr>
          <w:lang w:eastAsia="en-US"/>
        </w:rPr>
        <w:t xml:space="preserve">This ties in for me with </w:t>
      </w:r>
      <w:r w:rsidR="003B197F">
        <w:rPr>
          <w:lang w:eastAsia="en-US"/>
        </w:rPr>
        <w:t>the article</w:t>
      </w:r>
      <w:r w:rsidR="00C26E68">
        <w:rPr>
          <w:lang w:eastAsia="en-US"/>
        </w:rPr>
        <w:t xml:space="preserve"> </w:t>
      </w:r>
      <w:r w:rsidR="003B197F">
        <w:rPr>
          <w:lang w:eastAsia="en-US"/>
        </w:rPr>
        <w:t>by</w:t>
      </w:r>
      <w:r w:rsidR="00C26E68">
        <w:rPr>
          <w:lang w:eastAsia="en-US"/>
        </w:rPr>
        <w:t xml:space="preserve"> </w:t>
      </w:r>
      <w:r w:rsidR="00C26E68">
        <w:t>Brand (2021)</w:t>
      </w:r>
      <w:r w:rsidR="003B197F">
        <w:t xml:space="preserve"> discussing the </w:t>
      </w:r>
      <w:r w:rsidR="003B197F">
        <w:lastRenderedPageBreak/>
        <w:t xml:space="preserve">way </w:t>
      </w:r>
      <w:r w:rsidR="00955925">
        <w:t xml:space="preserve">gesture provides </w:t>
      </w:r>
      <w:r w:rsidR="003B197F">
        <w:t>an external focus</w:t>
      </w:r>
      <w:r w:rsidR="00955925">
        <w:t xml:space="preserve">, which results in </w:t>
      </w:r>
      <w:r w:rsidR="003B197F">
        <w:t>improve</w:t>
      </w:r>
      <w:r w:rsidR="00955925">
        <w:t>d</w:t>
      </w:r>
      <w:r w:rsidR="003B197F">
        <w:t xml:space="preserve"> performance compared to focussing on what is happening internally.</w:t>
      </w:r>
    </w:p>
    <w:p w14:paraId="3AA9F9E1" w14:textId="77777777" w:rsidR="003B197F" w:rsidRDefault="003B197F" w:rsidP="00C0661A">
      <w:pPr>
        <w:pStyle w:val="Modulenormal"/>
      </w:pPr>
    </w:p>
    <w:p w14:paraId="1C3F1219" w14:textId="15609AA6" w:rsidR="00E51AC0" w:rsidRPr="00E51AC0" w:rsidRDefault="003B197F" w:rsidP="00C0661A">
      <w:pPr>
        <w:pStyle w:val="Modulenormal"/>
        <w:rPr>
          <w:lang w:eastAsia="en-US"/>
        </w:rPr>
      </w:pPr>
      <w:r>
        <w:t>While I already use gesture in my teaching practice, my reading for this review has opened my eyes to new ways of using gesture, for example to model pitch patterns for intonation (</w:t>
      </w:r>
      <w:r>
        <w:t>Baills et al., 2019</w:t>
      </w:r>
      <w:r>
        <w:t>)</w:t>
      </w:r>
      <w:r w:rsidR="00553CE6">
        <w:t xml:space="preserve"> to tie in with the Kodaly system of hand signals to represent relative pitch (Bowyer, 2015)</w:t>
      </w:r>
      <w:r>
        <w:t>.</w:t>
      </w:r>
      <w:r w:rsidR="00C0661A">
        <w:t xml:space="preserve"> In future I will be looking for iconic, metaphoric and beat gestures (Gullberg, 2006) that have some intuitive link with any area that challenges a student, as a kinaesthetic aid to meeting that challenge.</w:t>
      </w:r>
      <w:r w:rsidR="007D3660">
        <w:t xml:space="preserve"> I will encourage the student to come up with their own gestures so that there is a clear metaphoric link for them (Brown, 2025).</w:t>
      </w:r>
    </w:p>
    <w:p w14:paraId="13270531" w14:textId="77777777" w:rsidR="00D809D6" w:rsidRDefault="00D809D6" w:rsidP="00C0661A">
      <w:pPr>
        <w:pStyle w:val="Modulenormal"/>
        <w:rPr>
          <w:lang w:eastAsia="en-US"/>
        </w:rPr>
      </w:pPr>
    </w:p>
    <w:p w14:paraId="7E2A4367" w14:textId="27158031" w:rsidR="00D809D6" w:rsidRDefault="00D809D6" w:rsidP="00C0661A">
      <w:pPr>
        <w:pStyle w:val="Modulenormal"/>
        <w:rPr>
          <w:lang w:eastAsia="en-US"/>
        </w:rPr>
      </w:pPr>
      <w:r>
        <w:rPr>
          <w:lang w:eastAsia="en-US"/>
        </w:rPr>
        <w:t>As a singer, I have found I am more relaxed and more confident when performing a BSL translation, as I am immersed in remembering the signs and what they mean. Many signs are iconic in nature, in the same sense as iconic gestures where the sign represents an object or an emotion in an identifiable way</w:t>
      </w:r>
      <w:r w:rsidR="00067ADF">
        <w:rPr>
          <w:lang w:eastAsia="en-US"/>
        </w:rPr>
        <w:t xml:space="preserve"> </w:t>
      </w:r>
      <w:r w:rsidR="00067ADF">
        <w:t>(Gullberg, 2006</w:t>
      </w:r>
      <w:r w:rsidR="00553CE6">
        <w:t xml:space="preserve">; </w:t>
      </w:r>
      <w:r w:rsidR="00553CE6" w:rsidRPr="00390DE2">
        <w:t>Kelly, McDevitt and Esch,</w:t>
      </w:r>
      <w:r w:rsidR="00553CE6">
        <w:t xml:space="preserve"> </w:t>
      </w:r>
      <w:r w:rsidR="00553CE6" w:rsidRPr="00390DE2">
        <w:t>2009</w:t>
      </w:r>
      <w:r w:rsidR="00067ADF">
        <w:t>)</w:t>
      </w:r>
      <w:r>
        <w:rPr>
          <w:lang w:eastAsia="en-US"/>
        </w:rPr>
        <w:t>.</w:t>
      </w:r>
      <w:r w:rsidR="00067ADF">
        <w:rPr>
          <w:lang w:eastAsia="en-US"/>
        </w:rPr>
        <w:t xml:space="preserve"> In </w:t>
      </w:r>
      <w:r w:rsidR="00553CE6">
        <w:rPr>
          <w:lang w:eastAsia="en-US"/>
        </w:rPr>
        <w:t>the same</w:t>
      </w:r>
      <w:r w:rsidR="00067ADF">
        <w:rPr>
          <w:lang w:eastAsia="en-US"/>
        </w:rPr>
        <w:t xml:space="preserve"> way </w:t>
      </w:r>
      <w:r w:rsidR="00553CE6">
        <w:rPr>
          <w:lang w:eastAsia="en-US"/>
        </w:rPr>
        <w:t>internalised</w:t>
      </w:r>
      <w:r w:rsidR="00067ADF">
        <w:rPr>
          <w:lang w:eastAsia="en-US"/>
        </w:rPr>
        <w:t xml:space="preserve"> speech activat</w:t>
      </w:r>
      <w:r w:rsidR="00553CE6">
        <w:rPr>
          <w:lang w:eastAsia="en-US"/>
        </w:rPr>
        <w:t>es</w:t>
      </w:r>
      <w:r w:rsidR="00067ADF">
        <w:rPr>
          <w:lang w:eastAsia="en-US"/>
        </w:rPr>
        <w:t xml:space="preserve"> the same areas of the laryngeal motor cortices as speaking</w:t>
      </w:r>
      <w:r w:rsidR="00553CE6">
        <w:rPr>
          <w:lang w:eastAsia="en-US"/>
        </w:rPr>
        <w:t xml:space="preserve"> out loud</w:t>
      </w:r>
      <w:r w:rsidR="00067ADF">
        <w:rPr>
          <w:lang w:eastAsia="en-US"/>
        </w:rPr>
        <w:t xml:space="preserve"> (</w:t>
      </w:r>
      <w:r w:rsidR="00553CE6">
        <w:rPr>
          <w:rFonts w:eastAsiaTheme="majorEastAsia"/>
          <w:lang w:eastAsia="en-US"/>
        </w:rPr>
        <w:t>Silva et al.</w:t>
      </w:r>
      <w:r w:rsidR="00553CE6">
        <w:rPr>
          <w:rFonts w:eastAsiaTheme="majorEastAsia"/>
          <w:lang w:eastAsia="en-US"/>
        </w:rPr>
        <w:t xml:space="preserve">, </w:t>
      </w:r>
      <w:r w:rsidR="00553CE6">
        <w:rPr>
          <w:rFonts w:eastAsiaTheme="majorEastAsia"/>
          <w:lang w:eastAsia="en-US"/>
        </w:rPr>
        <w:t>2024)</w:t>
      </w:r>
      <w:r w:rsidR="00067ADF">
        <w:rPr>
          <w:lang w:eastAsia="en-US"/>
        </w:rPr>
        <w:t xml:space="preserve">, </w:t>
      </w:r>
      <w:r w:rsidR="00553CE6">
        <w:rPr>
          <w:lang w:eastAsia="en-US"/>
        </w:rPr>
        <w:t>mentally performing</w:t>
      </w:r>
      <w:r w:rsidR="00067ADF">
        <w:rPr>
          <w:lang w:eastAsia="en-US"/>
        </w:rPr>
        <w:t xml:space="preserve"> the sign</w:t>
      </w:r>
      <w:r w:rsidR="00553CE6">
        <w:rPr>
          <w:lang w:eastAsia="en-US"/>
        </w:rPr>
        <w:t>ed translation</w:t>
      </w:r>
      <w:r w:rsidR="00067ADF">
        <w:rPr>
          <w:lang w:eastAsia="en-US"/>
        </w:rPr>
        <w:t xml:space="preserve"> creates the same feeling of immersion</w:t>
      </w:r>
      <w:r w:rsidR="00553CE6">
        <w:rPr>
          <w:lang w:eastAsia="en-US"/>
        </w:rPr>
        <w:t xml:space="preserve"> as physically signing.</w:t>
      </w:r>
      <w:r w:rsidR="00067ADF">
        <w:rPr>
          <w:lang w:eastAsia="en-US"/>
        </w:rPr>
        <w:t xml:space="preserve"> </w:t>
      </w:r>
    </w:p>
    <w:p w14:paraId="54F8335F" w14:textId="77777777" w:rsidR="00067ADF" w:rsidRDefault="00067ADF" w:rsidP="00C0661A">
      <w:pPr>
        <w:pStyle w:val="Modulenormal"/>
        <w:rPr>
          <w:lang w:eastAsia="en-US"/>
        </w:rPr>
      </w:pPr>
    </w:p>
    <w:p w14:paraId="7E3E9EE9" w14:textId="0E6E1A64" w:rsidR="00067ADF" w:rsidRDefault="00067ADF" w:rsidP="00C0661A">
      <w:pPr>
        <w:pStyle w:val="Modulenormal"/>
        <w:rPr>
          <w:lang w:eastAsia="en-US"/>
        </w:rPr>
      </w:pPr>
      <w:r>
        <w:rPr>
          <w:lang w:eastAsia="en-US"/>
        </w:rPr>
        <w:t xml:space="preserve">As a conductor, I have found that being more aware of gesture and intention </w:t>
      </w:r>
      <w:r w:rsidR="00553CE6">
        <w:rPr>
          <w:lang w:eastAsia="en-US"/>
        </w:rPr>
        <w:t xml:space="preserve">through using signed song </w:t>
      </w:r>
      <w:r>
        <w:rPr>
          <w:lang w:eastAsia="en-US"/>
        </w:rPr>
        <w:t>has improved the choir’s performance</w:t>
      </w:r>
      <w:r w:rsidR="00C0661A">
        <w:rPr>
          <w:lang w:eastAsia="en-US"/>
        </w:rPr>
        <w:t xml:space="preserve"> in a similar way</w:t>
      </w:r>
      <w:r>
        <w:rPr>
          <w:lang w:eastAsia="en-US"/>
        </w:rPr>
        <w:t xml:space="preserve">. </w:t>
      </w:r>
      <w:r w:rsidR="00E51AC0">
        <w:rPr>
          <w:lang w:eastAsia="en-US"/>
        </w:rPr>
        <w:t>As the literature shows, gestures are most effective when they are consistent with what we want to convey, for example using quick, sharp movements for staccato passages (</w:t>
      </w:r>
      <w:r w:rsidR="00E51AC0">
        <w:rPr>
          <w:lang w:eastAsia="en-US"/>
        </w:rPr>
        <w:t xml:space="preserve">Martins and </w:t>
      </w:r>
      <w:r w:rsidR="00856E87">
        <w:rPr>
          <w:lang w:eastAsia="en-US"/>
        </w:rPr>
        <w:t xml:space="preserve">dos </w:t>
      </w:r>
      <w:r w:rsidR="001B4E79">
        <w:rPr>
          <w:lang w:eastAsia="en-US"/>
        </w:rPr>
        <w:t xml:space="preserve">Santos </w:t>
      </w:r>
      <w:r w:rsidR="00E51AC0">
        <w:rPr>
          <w:lang w:eastAsia="en-US"/>
        </w:rPr>
        <w:t>Junior, 2016)</w:t>
      </w:r>
      <w:r w:rsidR="00E51AC0">
        <w:rPr>
          <w:lang w:eastAsia="en-US"/>
        </w:rPr>
        <w:t xml:space="preserve">. </w:t>
      </w:r>
      <w:r>
        <w:rPr>
          <w:lang w:eastAsia="en-US"/>
        </w:rPr>
        <w:t xml:space="preserve">This makes sense as the singers will have a clearer picture of what I want and will respond to my feeling more relaxed and confident. </w:t>
      </w:r>
    </w:p>
    <w:p w14:paraId="62FC196F" w14:textId="77777777" w:rsidR="00553CE6" w:rsidRDefault="00553CE6" w:rsidP="00C0661A">
      <w:pPr>
        <w:pStyle w:val="Modulenormal"/>
        <w:rPr>
          <w:lang w:eastAsia="en-US"/>
        </w:rPr>
      </w:pPr>
    </w:p>
    <w:p w14:paraId="295ACDAC" w14:textId="22F1E356" w:rsidR="00D15FE0" w:rsidRDefault="00553CE6" w:rsidP="00A60F0E">
      <w:pPr>
        <w:pStyle w:val="Modulenormal"/>
      </w:pPr>
      <w:r>
        <w:rPr>
          <w:lang w:eastAsia="en-US"/>
        </w:rPr>
        <w:t>Overall, having gained a broader picture of the complexity of the neural systems involved in learning and producing vocal learning (Jarvis, 201</w:t>
      </w:r>
      <w:r w:rsidR="008735BC">
        <w:rPr>
          <w:lang w:eastAsia="en-US"/>
        </w:rPr>
        <w:t>9</w:t>
      </w:r>
      <w:r>
        <w:rPr>
          <w:lang w:eastAsia="en-US"/>
        </w:rPr>
        <w:t>; Erickson, 2022a; Erickson, 2022b; Erickson, 2023; Silva et al., 2024) and the power of gesture in learning (O’Neill et al</w:t>
      </w:r>
      <w:r w:rsidR="00316677">
        <w:rPr>
          <w:lang w:eastAsia="en-US"/>
        </w:rPr>
        <w:t>.</w:t>
      </w:r>
      <w:r>
        <w:rPr>
          <w:lang w:eastAsia="en-US"/>
        </w:rPr>
        <w:t xml:space="preserve">, 2005; </w:t>
      </w:r>
      <w:r w:rsidRPr="006C245C">
        <w:t>Goldin-Meadow, 2018</w:t>
      </w:r>
      <w:r>
        <w:t>) has empowered me to explore different ways of approaching challenges in the singing studio and encourage my students to explore their voices holistically.</w:t>
      </w:r>
      <w:r w:rsidR="00A60F0E">
        <w:t xml:space="preserve"> </w:t>
      </w:r>
    </w:p>
    <w:p w14:paraId="762035C4" w14:textId="77777777" w:rsidR="00C42729" w:rsidRDefault="00C42729" w:rsidP="00C42729"/>
    <w:p w14:paraId="12C42E8E" w14:textId="67A73493" w:rsidR="00A60F0E" w:rsidRDefault="00C42729" w:rsidP="00C42729">
      <w:pPr>
        <w:pStyle w:val="Modulenormal"/>
      </w:pPr>
      <w:r>
        <w:t xml:space="preserve">Having reflected on my experience and thought about my learning, I am ready to act and make changes to the way I teach (Kolb and Kolb, 2018). </w:t>
      </w:r>
      <w:r w:rsidR="00A60F0E">
        <w:t xml:space="preserve">The many techniques and tips I have been taught over the years will remain part of my toolkit, but my perspective has shifted towards </w:t>
      </w:r>
      <w:r w:rsidR="00D15FE0">
        <w:t xml:space="preserve">viewing them as part of the learning process, rather than part of performance. </w:t>
      </w:r>
      <w:r w:rsidR="00D15FE0">
        <w:lastRenderedPageBreak/>
        <w:t>Based on what I have learned about the plasticity and complexity of the neuroscience of the voice (</w:t>
      </w:r>
      <w:r w:rsidR="00D15FE0">
        <w:rPr>
          <w:lang w:eastAsia="en-US"/>
        </w:rPr>
        <w:t>Erickson, 2022a; Erickson, 2022b; Erickson, 2023</w:t>
      </w:r>
      <w:r w:rsidR="00D15FE0">
        <w:rPr>
          <w:lang w:eastAsia="en-US"/>
        </w:rPr>
        <w:t>)</w:t>
      </w:r>
      <w:r w:rsidR="00D15FE0">
        <w:t>, I will look to empower students to trust in the outward focus advocated by Brand (2021) and use the full power of their imagination when they sing.</w:t>
      </w:r>
      <w:r w:rsidR="001D1710">
        <w:t xml:space="preserve"> Gesture provides an excellent tool for externalising and making physical what we want to hear (</w:t>
      </w:r>
      <w:r w:rsidR="001D1710" w:rsidRPr="006C245C">
        <w:t>Goldin-Meadow, 2018</w:t>
      </w:r>
      <w:r w:rsidR="001D1710">
        <w:t>).</w:t>
      </w:r>
    </w:p>
    <w:p w14:paraId="7B18DAE3" w14:textId="77777777" w:rsidR="00C42729" w:rsidRDefault="00C42729" w:rsidP="00C42729">
      <w:pPr>
        <w:pStyle w:val="Modulenormal"/>
      </w:pPr>
    </w:p>
    <w:p w14:paraId="19AD024A" w14:textId="579B11FE" w:rsidR="00C42729" w:rsidRPr="00C42729" w:rsidRDefault="00C42729" w:rsidP="00C42729">
      <w:pPr>
        <w:pStyle w:val="Modulenormal"/>
      </w:pPr>
      <w:r>
        <w:t xml:space="preserve">This brings me back to the next iteration of the cycle, which will be to experience the effects of using my learning in my practice </w:t>
      </w:r>
      <w:r>
        <w:t>(Kolb and Kolb, 2018)</w:t>
      </w:r>
      <w:r>
        <w:t xml:space="preserve"> and reflect continually on what is working best for my students and me.</w:t>
      </w:r>
    </w:p>
    <w:p w14:paraId="15D1BD8A" w14:textId="3D16122D" w:rsidR="00D50798" w:rsidRDefault="00D50798" w:rsidP="00A60F0E">
      <w:pPr>
        <w:pStyle w:val="Modulenormal"/>
      </w:pPr>
      <w:r>
        <w:br w:type="page"/>
      </w:r>
    </w:p>
    <w:p w14:paraId="67E3B436" w14:textId="4C47DB9D" w:rsidR="00D50798" w:rsidRDefault="00D50798" w:rsidP="00D50798">
      <w:pPr>
        <w:pStyle w:val="Heading1"/>
      </w:pPr>
      <w:bookmarkStart w:id="23" w:name="_Toc218505612"/>
      <w:r>
        <w:lastRenderedPageBreak/>
        <w:t>Bibliography</w:t>
      </w:r>
      <w:bookmarkEnd w:id="23"/>
    </w:p>
    <w:p w14:paraId="02611257" w14:textId="46487136" w:rsidR="005F4A6D" w:rsidRDefault="005F4A6D" w:rsidP="005F4A6D">
      <w:pPr>
        <w:pStyle w:val="Modulenormal"/>
      </w:pPr>
      <w:r>
        <w:t>Baills, F.</w:t>
      </w:r>
      <w:r>
        <w:t xml:space="preserve">, </w:t>
      </w:r>
      <w:r w:rsidRPr="005F4A6D">
        <w:t>Suárez-González</w:t>
      </w:r>
      <w:r>
        <w:t xml:space="preserve">, N., </w:t>
      </w:r>
      <w:r w:rsidRPr="005F4A6D">
        <w:t>González-Fuente</w:t>
      </w:r>
      <w:r>
        <w:t xml:space="preserve">, S. and </w:t>
      </w:r>
      <w:r w:rsidRPr="005F4A6D">
        <w:t>Prieto</w:t>
      </w:r>
      <w:r>
        <w:t>, P.</w:t>
      </w:r>
      <w:r>
        <w:t xml:space="preserve"> (2019) ‘Observing and Producing Pitch Gestures Facilitates the Learning of Mandarin Chinese Tones and Words’, </w:t>
      </w:r>
      <w:r>
        <w:rPr>
          <w:i/>
          <w:iCs/>
        </w:rPr>
        <w:t>Studies in Second Language Acquisition</w:t>
      </w:r>
      <w:r>
        <w:t>, 41(1), pp. 33–58.</w:t>
      </w:r>
    </w:p>
    <w:p w14:paraId="27CBBF25" w14:textId="77777777" w:rsidR="005F4A6D" w:rsidRDefault="005F4A6D" w:rsidP="009E2244">
      <w:pPr>
        <w:pStyle w:val="Modulenormal"/>
      </w:pPr>
    </w:p>
    <w:p w14:paraId="23D97A4E" w14:textId="7A0FC12C" w:rsidR="008064E1" w:rsidRPr="009E2244" w:rsidRDefault="008064E1" w:rsidP="009E2244">
      <w:pPr>
        <w:pStyle w:val="Modulenormal"/>
      </w:pPr>
      <w:r w:rsidRPr="009E2244">
        <w:t xml:space="preserve">Barbershop Harmony Society (2017) </w:t>
      </w:r>
      <w:r w:rsidR="009E2244" w:rsidRPr="009E2244">
        <w:rPr>
          <w:i/>
          <w:iCs/>
        </w:rPr>
        <w:t>The Newfangled Four - Supercalifragilisticexpialidocious [from Mary Poppins]</w:t>
      </w:r>
      <w:r w:rsidR="009E2244" w:rsidRPr="009E2244">
        <w:t xml:space="preserve">. Available at: </w:t>
      </w:r>
      <w:hyperlink r:id="rId12" w:history="1">
        <w:r w:rsidR="009E2244" w:rsidRPr="00316677">
          <w:rPr>
            <w:rStyle w:val="Hyperlink"/>
          </w:rPr>
          <w:t>https://www.youtube.com/watch?v=7BH2CqE5mNQ</w:t>
        </w:r>
      </w:hyperlink>
      <w:r w:rsidR="009E2244" w:rsidRPr="009E2244">
        <w:t xml:space="preserve"> (Accessed: 27 December 2025).</w:t>
      </w:r>
    </w:p>
    <w:p w14:paraId="4F3E9F32" w14:textId="77777777" w:rsidR="008064E1" w:rsidRDefault="008064E1" w:rsidP="00B22F46">
      <w:pPr>
        <w:pStyle w:val="Modulenormal"/>
      </w:pPr>
    </w:p>
    <w:p w14:paraId="63FAFF07" w14:textId="6935C7CB" w:rsidR="00B22F46" w:rsidRDefault="00B22F46" w:rsidP="00B22F46">
      <w:pPr>
        <w:pStyle w:val="Modulenormal"/>
      </w:pPr>
      <w:r>
        <w:t xml:space="preserve">Belyk, M. and Brown, S. (2017) ‘The origins of the vocal brain in humans’, </w:t>
      </w:r>
      <w:r>
        <w:rPr>
          <w:i/>
          <w:iCs/>
        </w:rPr>
        <w:t>Neuroscience &amp; Biobehavioral Reviews</w:t>
      </w:r>
      <w:r>
        <w:t xml:space="preserve">, 77, pp. 177–193. </w:t>
      </w:r>
    </w:p>
    <w:p w14:paraId="1DCE699A" w14:textId="77777777" w:rsidR="00B22F46" w:rsidRPr="00B22F46" w:rsidRDefault="00B22F46" w:rsidP="00B22F46"/>
    <w:p w14:paraId="2E9F2E62" w14:textId="3A1EE2FC" w:rsidR="00D776B5" w:rsidRDefault="00D776B5" w:rsidP="00D776B5">
      <w:pPr>
        <w:pStyle w:val="Modulenormal"/>
      </w:pPr>
      <w:r>
        <w:t>Boel</w:t>
      </w:r>
      <w:r w:rsidR="00DC1DD6">
        <w:t>l</w:t>
      </w:r>
      <w:r>
        <w:t>, S.K. and Cecez-Kecmanovic, D. (2010) ‘Literature Reviews</w:t>
      </w:r>
    </w:p>
    <w:p w14:paraId="2BC343CA" w14:textId="77777777" w:rsidR="00D776B5" w:rsidRDefault="00D776B5" w:rsidP="00D776B5">
      <w:pPr>
        <w:pStyle w:val="Modulenormal"/>
      </w:pPr>
      <w:r>
        <w:t xml:space="preserve">and the Hermeneutic Circle’, </w:t>
      </w:r>
      <w:r w:rsidRPr="00411B39">
        <w:rPr>
          <w:i/>
          <w:iCs/>
        </w:rPr>
        <w:t>Australian Academic &amp; Research Libraries</w:t>
      </w:r>
      <w:r>
        <w:t>, 41(2), pp. 129-144.</w:t>
      </w:r>
    </w:p>
    <w:p w14:paraId="40789E74" w14:textId="77777777" w:rsidR="000E6C87" w:rsidRDefault="000E6C87" w:rsidP="000E6C87"/>
    <w:p w14:paraId="7C980AE4" w14:textId="559AC2D9" w:rsidR="000E6C87" w:rsidRDefault="000E6C87" w:rsidP="000E6C87">
      <w:pPr>
        <w:pStyle w:val="Modulenormal"/>
      </w:pPr>
      <w:r>
        <w:t xml:space="preserve">Bowyer, J. (2015) ‘More than Solfège and Hand Signs: Philosophy, Tools, and Lesson Planning in the Authentic Kodály Classroom’, </w:t>
      </w:r>
      <w:r>
        <w:rPr>
          <w:i/>
          <w:iCs/>
        </w:rPr>
        <w:t>Music Educators Journal</w:t>
      </w:r>
      <w:r>
        <w:t>, 102(2), pp. 69–76.</w:t>
      </w:r>
    </w:p>
    <w:p w14:paraId="1622CEFB" w14:textId="77777777" w:rsidR="00F53080" w:rsidRDefault="00F53080" w:rsidP="00F53080">
      <w:pPr>
        <w:pStyle w:val="Modulenormal"/>
      </w:pPr>
    </w:p>
    <w:p w14:paraId="3D68A885" w14:textId="65633D12" w:rsidR="00F53080" w:rsidRDefault="00F53080" w:rsidP="00F53080">
      <w:pPr>
        <w:pStyle w:val="Modulenormal"/>
      </w:pPr>
      <w:r>
        <w:t xml:space="preserve">Brand, S. (2021) ‘Attentional Focus Effects and Singing: Enhancing Vocal Performance through Body Movements and Gestures as External Foci of Attention’, </w:t>
      </w:r>
      <w:r>
        <w:rPr>
          <w:i/>
          <w:iCs/>
        </w:rPr>
        <w:t>The International Journal of Arts Education, 4</w:t>
      </w:r>
      <w:r>
        <w:t xml:space="preserve">, 16(2), pp. 1–12. </w:t>
      </w:r>
    </w:p>
    <w:p w14:paraId="31982D82" w14:textId="77777777" w:rsidR="008413BB" w:rsidRDefault="008413BB" w:rsidP="008413BB"/>
    <w:p w14:paraId="1D5A6849" w14:textId="520B00A0" w:rsidR="008413BB" w:rsidRPr="008413BB" w:rsidRDefault="008413BB" w:rsidP="008413BB">
      <w:pPr>
        <w:pStyle w:val="Modulenormal"/>
      </w:pPr>
      <w:r>
        <w:t xml:space="preserve">Brown, A. and Gullberg, M. (2008) ‘BIDIRECTIONAL CROSSLINGUISTIC INFLUENCE IN L1-L2 ENCODING OF MANNER IN SPEECH AND GESTURE: A Study of Japanese Speakers of English’, </w:t>
      </w:r>
      <w:r>
        <w:rPr>
          <w:i/>
          <w:iCs/>
        </w:rPr>
        <w:t>Studies in Second Language Acquisition</w:t>
      </w:r>
      <w:r>
        <w:t>, 30(2), pp. 225–251.</w:t>
      </w:r>
    </w:p>
    <w:p w14:paraId="7DE28DBF" w14:textId="77777777" w:rsidR="00F73301" w:rsidRDefault="00F73301" w:rsidP="00F53080">
      <w:pPr>
        <w:pStyle w:val="Modulenormal"/>
      </w:pPr>
    </w:p>
    <w:p w14:paraId="444F9DFE" w14:textId="4D0070A5" w:rsidR="00D809D6" w:rsidRPr="00D809D6" w:rsidRDefault="00D809D6" w:rsidP="00D809D6">
      <w:pPr>
        <w:pStyle w:val="Modulenormal"/>
      </w:pPr>
      <w:r w:rsidRPr="00D809D6">
        <w:t>Brown, J. (2025). Keep it Clean! A New Approach to Imagery in Singing Pedagogy. </w:t>
      </w:r>
      <w:r w:rsidRPr="005F4A6D">
        <w:rPr>
          <w:i/>
          <w:iCs/>
        </w:rPr>
        <w:t>Voice and Speech Review, </w:t>
      </w:r>
      <w:r w:rsidRPr="00D809D6">
        <w:t>19(1), 17–29</w:t>
      </w:r>
    </w:p>
    <w:p w14:paraId="75792223" w14:textId="77777777" w:rsidR="00D0537E" w:rsidRDefault="00D0537E" w:rsidP="00D0537E"/>
    <w:p w14:paraId="2AC7C8BF" w14:textId="6580758D" w:rsidR="00D0537E" w:rsidRPr="00D0537E" w:rsidRDefault="00D0537E" w:rsidP="00D0537E">
      <w:pPr>
        <w:pStyle w:val="Modulenormal"/>
      </w:pPr>
      <w:r>
        <w:t xml:space="preserve">Bunzeck, B. and Diessel, H. (2025) ‘The richness of the stimulus: Constructional variation and development in child-directed speech’, </w:t>
      </w:r>
      <w:r>
        <w:rPr>
          <w:i/>
          <w:iCs/>
        </w:rPr>
        <w:t>First Language</w:t>
      </w:r>
      <w:r>
        <w:t>, 45(2), pp. 152–176.</w:t>
      </w:r>
    </w:p>
    <w:p w14:paraId="5E3AC741" w14:textId="77777777" w:rsidR="00D776B5" w:rsidRDefault="00D776B5" w:rsidP="004C6D28">
      <w:pPr>
        <w:pStyle w:val="Modulenormal"/>
      </w:pPr>
    </w:p>
    <w:p w14:paraId="45EAF40C" w14:textId="77777777" w:rsidR="00152A92" w:rsidRPr="00214670" w:rsidRDefault="00152A92" w:rsidP="00152A92">
      <w:pPr>
        <w:pStyle w:val="Modulenormal"/>
      </w:pPr>
      <w:r>
        <w:t xml:space="preserve">Chen Pichler, D. and Koulidobrova, E. (2015) ‘Acquisition of Sign Language as a Second Language’, in M. Marschark and P.E. Spencer (eds) </w:t>
      </w:r>
      <w:r>
        <w:rPr>
          <w:i/>
          <w:iCs/>
        </w:rPr>
        <w:t>The Oxford Handbook of Deaf Studies in Language</w:t>
      </w:r>
      <w:r>
        <w:t xml:space="preserve">. Oxford University Press, p. 0. </w:t>
      </w:r>
    </w:p>
    <w:p w14:paraId="5DC5C579" w14:textId="77777777" w:rsidR="00D0537E" w:rsidRDefault="00D0537E" w:rsidP="00D0537E"/>
    <w:p w14:paraId="2C3661FB" w14:textId="0DBD3273" w:rsidR="00D0537E" w:rsidRPr="00D0537E" w:rsidRDefault="00D0537E" w:rsidP="00D0537E">
      <w:pPr>
        <w:pStyle w:val="Modulenormal"/>
      </w:pPr>
      <w:r w:rsidRPr="00D0537E">
        <w:t>Chomsky N. (1972). </w:t>
      </w:r>
      <w:r w:rsidRPr="00D0537E">
        <w:rPr>
          <w:rStyle w:val="Emphasis"/>
          <w:rFonts w:eastAsiaTheme="majorEastAsia"/>
          <w:i w:val="0"/>
          <w:iCs w:val="0"/>
        </w:rPr>
        <w:t>Studies on semantics in generative grammar</w:t>
      </w:r>
      <w:r w:rsidRPr="00D0537E">
        <w:t>. Mouton.</w:t>
      </w:r>
    </w:p>
    <w:p w14:paraId="68A16AF6" w14:textId="77777777" w:rsidR="009723C8" w:rsidRPr="009723C8" w:rsidRDefault="009723C8" w:rsidP="009723C8"/>
    <w:p w14:paraId="5E9B01A3" w14:textId="7D0C5C38" w:rsidR="004C6D28" w:rsidRDefault="004C6D28" w:rsidP="004C6D28">
      <w:pPr>
        <w:pStyle w:val="Modulenormal"/>
      </w:pPr>
      <w:r>
        <w:t xml:space="preserve">Durrant, C. (2009) ‘Communicating and accentuating the aesthetic and expressive dimension in choral conducting’, </w:t>
      </w:r>
      <w:r>
        <w:rPr>
          <w:i/>
          <w:iCs/>
        </w:rPr>
        <w:t>International Journal of Music Education</w:t>
      </w:r>
      <w:r>
        <w:t xml:space="preserve">, 27(4), pp. 326–340. </w:t>
      </w:r>
    </w:p>
    <w:p w14:paraId="345ABD95" w14:textId="77777777" w:rsidR="00D809D6" w:rsidRPr="00D809D6" w:rsidRDefault="00D809D6" w:rsidP="00D809D6"/>
    <w:p w14:paraId="709339DC" w14:textId="3554D6E2" w:rsidR="00B46AF6" w:rsidRDefault="00B46AF6" w:rsidP="00B46AF6">
      <w:pPr>
        <w:pStyle w:val="Modulenormal"/>
      </w:pPr>
      <w:r>
        <w:t>Erickson, H.M. (2022</w:t>
      </w:r>
      <w:r w:rsidR="00D809D6">
        <w:t>a</w:t>
      </w:r>
      <w:r>
        <w:t xml:space="preserve">) ‘Vocal Learning and Songbirds: An Evolutionary Tale of Singing.’, </w:t>
      </w:r>
      <w:r>
        <w:rPr>
          <w:i/>
          <w:iCs/>
        </w:rPr>
        <w:t>Journal of Singing</w:t>
      </w:r>
      <w:r>
        <w:t xml:space="preserve">, 79(1), pp. 87–94. </w:t>
      </w:r>
    </w:p>
    <w:p w14:paraId="2CBD25C4" w14:textId="77777777" w:rsidR="00D809D6" w:rsidRDefault="00D809D6" w:rsidP="00D809D6">
      <w:pPr>
        <w:pStyle w:val="Modulenormal"/>
      </w:pPr>
    </w:p>
    <w:p w14:paraId="1F662599" w14:textId="1A248FAC" w:rsidR="00D809D6" w:rsidRPr="00D809D6" w:rsidRDefault="00D809D6" w:rsidP="00D809D6">
      <w:pPr>
        <w:pStyle w:val="Modulenormal"/>
      </w:pPr>
      <w:r w:rsidRPr="00D809D6">
        <w:t>Erickson, H</w:t>
      </w:r>
      <w:r>
        <w:t>.M</w:t>
      </w:r>
      <w:r w:rsidRPr="00D809D6">
        <w:t xml:space="preserve">. </w:t>
      </w:r>
      <w:r>
        <w:t>(2022b</w:t>
      </w:r>
      <w:r w:rsidRPr="00D809D6">
        <w:t xml:space="preserve">) ‘A Copernican Shift: Reframing How We Think About Breath in Singing.’, </w:t>
      </w:r>
      <w:r w:rsidRPr="00D809D6">
        <w:rPr>
          <w:i/>
          <w:iCs/>
        </w:rPr>
        <w:t>Journal of Singing</w:t>
      </w:r>
      <w:r w:rsidRPr="00D809D6">
        <w:t>, 79(2), pp. 233–242.</w:t>
      </w:r>
    </w:p>
    <w:p w14:paraId="650E66BD" w14:textId="77777777" w:rsidR="00B46AF6" w:rsidRPr="00B46AF6" w:rsidRDefault="00B46AF6" w:rsidP="00B46AF6"/>
    <w:p w14:paraId="641BCC7D" w14:textId="32346EC5" w:rsidR="00D2191B" w:rsidRDefault="00D2191B" w:rsidP="008F3F8E">
      <w:pPr>
        <w:pStyle w:val="Modulenormal"/>
      </w:pPr>
      <w:r>
        <w:t xml:space="preserve">Erickson, H.M. (2023) ‘Between Time and Space: Coordination of Articulator Movements in The Motor Cortex.’, </w:t>
      </w:r>
      <w:r>
        <w:rPr>
          <w:i/>
          <w:iCs/>
        </w:rPr>
        <w:t>Journal of Singing</w:t>
      </w:r>
      <w:r>
        <w:t xml:space="preserve">, 79(5), pp. 665–670. </w:t>
      </w:r>
    </w:p>
    <w:p w14:paraId="0112A8AD" w14:textId="77777777" w:rsidR="00FE7205" w:rsidRDefault="00FE7205" w:rsidP="00FE7205"/>
    <w:p w14:paraId="272DE53F" w14:textId="49DC5B7B" w:rsidR="00FE7205" w:rsidRDefault="00FE7205" w:rsidP="00FE7205">
      <w:pPr>
        <w:pStyle w:val="Modulenormal"/>
      </w:pPr>
      <w:r w:rsidRPr="00FE7205">
        <w:t xml:space="preserve">Flinker, A., Chang, E.F., Barbaro, N.M., Berger, M.S. and Knight, R.T. (2011) ‘Sub-centimeter language organization in the human temporal lobe’, Brain and Language, 117(3), pp. 103–109. </w:t>
      </w:r>
    </w:p>
    <w:p w14:paraId="2D12702B" w14:textId="77777777" w:rsidR="00E76B55" w:rsidRDefault="00E76B55" w:rsidP="00E76B55"/>
    <w:p w14:paraId="5A9B5B82" w14:textId="2CE47307" w:rsidR="00E76B55" w:rsidRPr="00E76B55" w:rsidRDefault="00E76B55" w:rsidP="00E76B55">
      <w:pPr>
        <w:pStyle w:val="Modulenormal"/>
      </w:pPr>
      <w:r>
        <w:t xml:space="preserve">Gluhareva, D. and Prieto, P. (2017) ‘Training with rhythmic beat gestures benefits L2 pronunciation in discourse-demanding situations’, </w:t>
      </w:r>
      <w:r>
        <w:rPr>
          <w:i/>
          <w:iCs/>
        </w:rPr>
        <w:t>Language Teaching Research</w:t>
      </w:r>
      <w:r>
        <w:t xml:space="preserve">, 21(5), pp. 609–631. </w:t>
      </w:r>
    </w:p>
    <w:p w14:paraId="4CF9BFD0" w14:textId="77777777" w:rsidR="00E6025C" w:rsidRDefault="00E6025C" w:rsidP="00E6025C"/>
    <w:p w14:paraId="5D2A5503" w14:textId="77777777" w:rsidR="00E6025C" w:rsidRDefault="00E6025C" w:rsidP="00E6025C">
      <w:pPr>
        <w:pStyle w:val="Modulenormal"/>
      </w:pPr>
      <w:r>
        <w:t xml:space="preserve">Gleason, J.B. (1979) ‘Gestural Linguistics’, </w:t>
      </w:r>
      <w:r>
        <w:rPr>
          <w:i/>
          <w:iCs/>
        </w:rPr>
        <w:t>Science</w:t>
      </w:r>
      <w:r>
        <w:t>. Edited by E.S. Klima and U. Bellugi, 205(4412), pp. 1253–1254.</w:t>
      </w:r>
    </w:p>
    <w:p w14:paraId="709D05CE" w14:textId="77777777" w:rsidR="003D2420" w:rsidRPr="00E6025C" w:rsidRDefault="003D2420" w:rsidP="00E6025C">
      <w:pPr>
        <w:pStyle w:val="Modulenormal"/>
      </w:pPr>
    </w:p>
    <w:p w14:paraId="72E5E9A5" w14:textId="6474D1AF" w:rsidR="00BF48FD" w:rsidRDefault="00BF48FD" w:rsidP="00BF48FD">
      <w:pPr>
        <w:pStyle w:val="Modulenormal"/>
      </w:pPr>
      <w:r>
        <w:t xml:space="preserve">Gogate, L.J., Bahrick, L.E. and Watson, J.D. (2000) ‘A Study of Multimodal Motherese: The Role of Temporal Synchrony between Verbal Labels and Gestures’, </w:t>
      </w:r>
      <w:r>
        <w:rPr>
          <w:i/>
          <w:iCs/>
        </w:rPr>
        <w:t>Child development</w:t>
      </w:r>
      <w:r>
        <w:t xml:space="preserve">, 71(4), pp. 878–894. </w:t>
      </w:r>
    </w:p>
    <w:p w14:paraId="16738706" w14:textId="77777777" w:rsidR="00D2191B" w:rsidRDefault="00D2191B" w:rsidP="00D2191B">
      <w:pPr>
        <w:pStyle w:val="Modulenormal"/>
      </w:pPr>
    </w:p>
    <w:p w14:paraId="1BBEC095" w14:textId="06C44852" w:rsidR="00D2191B" w:rsidRPr="00D2191B" w:rsidRDefault="00D2191B" w:rsidP="00D2191B">
      <w:pPr>
        <w:pStyle w:val="Modulenormal"/>
      </w:pPr>
      <w:r w:rsidRPr="00D2191B">
        <w:t xml:space="preserve">Goldin-Meadow, S. and Brentari, D. (2017) ‘Gesture, sign, and language: The coming of age of sign language and gesture studies’, </w:t>
      </w:r>
      <w:r w:rsidRPr="00D2191B">
        <w:rPr>
          <w:i/>
          <w:iCs/>
        </w:rPr>
        <w:t>Behavioral and Brain Sciences</w:t>
      </w:r>
      <w:r w:rsidRPr="00D2191B">
        <w:t xml:space="preserve">, 40. </w:t>
      </w:r>
    </w:p>
    <w:p w14:paraId="18353BB7" w14:textId="77777777" w:rsidR="006C245C" w:rsidRDefault="006C245C" w:rsidP="006C245C"/>
    <w:p w14:paraId="42656B68" w14:textId="501E34B7" w:rsidR="006C245C" w:rsidRPr="006C245C" w:rsidRDefault="006C245C" w:rsidP="006C245C">
      <w:pPr>
        <w:pStyle w:val="Modulenormal"/>
      </w:pPr>
      <w:r w:rsidRPr="006C245C">
        <w:t xml:space="preserve">Goldin-Meadow, S. (2018) ‘Taking a Hands-on Approach to Learning’, </w:t>
      </w:r>
      <w:r w:rsidRPr="006C245C">
        <w:rPr>
          <w:i/>
          <w:iCs/>
        </w:rPr>
        <w:t>Policy Insights from the Behavioral and Brain Sciences</w:t>
      </w:r>
      <w:r w:rsidRPr="006C245C">
        <w:t xml:space="preserve">, 5(2), pp. 163–170. </w:t>
      </w:r>
    </w:p>
    <w:p w14:paraId="0006E69B" w14:textId="77777777" w:rsidR="00BF48FD" w:rsidRDefault="00BF48FD" w:rsidP="00BF48FD"/>
    <w:p w14:paraId="609188C7" w14:textId="1182FEAD" w:rsidR="009723C8" w:rsidRDefault="00BF48FD" w:rsidP="009723C8">
      <w:pPr>
        <w:pStyle w:val="Modulenormal"/>
      </w:pPr>
      <w:r w:rsidRPr="00BF48FD">
        <w:t>Golinkoff, R.M.</w:t>
      </w:r>
      <w:r w:rsidR="00316677">
        <w:t xml:space="preserve">, Can D.D., </w:t>
      </w:r>
      <w:r w:rsidR="00316677" w:rsidRPr="00316677">
        <w:t>Soderstrom</w:t>
      </w:r>
      <w:r w:rsidR="00316677">
        <w:t xml:space="preserve">, M. and </w:t>
      </w:r>
      <w:r w:rsidR="00316677" w:rsidRPr="00316677">
        <w:t>Hirsh-Pasek</w:t>
      </w:r>
      <w:r w:rsidR="00316677">
        <w:t>, K.</w:t>
      </w:r>
      <w:r w:rsidRPr="00BF48FD">
        <w:t xml:space="preserve"> (2015) ‘(Baby) Talk to Me: The Social Context of Infant-Directed Speech and Its Effects on Early Language Acquisition’, Current Directions in Psychological Science, 24(5), pp. 339–344.</w:t>
      </w:r>
    </w:p>
    <w:p w14:paraId="0DF61499" w14:textId="77777777" w:rsidR="00B06FEE" w:rsidRDefault="00B06FEE" w:rsidP="00B06FEE"/>
    <w:p w14:paraId="4E5673D7" w14:textId="6BB496BB" w:rsidR="00B06FEE" w:rsidRDefault="00B06FEE" w:rsidP="00B06FEE">
      <w:pPr>
        <w:pStyle w:val="Modulenormal"/>
      </w:pPr>
      <w:r w:rsidRPr="00B06FEE">
        <w:lastRenderedPageBreak/>
        <w:t xml:space="preserve">Gullberg, M. (2006) ‘Some reasons for studying gesture and second language acquisition (Hommage à Adam Kendon)*’, </w:t>
      </w:r>
      <w:r w:rsidRPr="00B06FEE">
        <w:rPr>
          <w:i/>
          <w:iCs/>
        </w:rPr>
        <w:t>IRAL, International Review of Applied Linguistics in Language Teaching</w:t>
      </w:r>
      <w:r w:rsidRPr="00B06FEE">
        <w:t xml:space="preserve">, 44(2), pp. 103–124. </w:t>
      </w:r>
    </w:p>
    <w:p w14:paraId="05B8B507" w14:textId="77777777" w:rsidR="00390DE2" w:rsidRDefault="00390DE2" w:rsidP="00390DE2"/>
    <w:p w14:paraId="6272549F" w14:textId="692DD817" w:rsidR="00390DE2" w:rsidRPr="00390DE2" w:rsidRDefault="00390DE2" w:rsidP="00390DE2">
      <w:pPr>
        <w:pStyle w:val="Modulenormal"/>
      </w:pPr>
      <w:r>
        <w:t xml:space="preserve">Hoetjes, M. and van Maastricht, L. (2020) ‘Using Gesture to Facilitate L2 Phoneme Acquisition: The Importance of Gesture and Phoneme Complexity’, </w:t>
      </w:r>
      <w:r>
        <w:rPr>
          <w:i/>
          <w:iCs/>
        </w:rPr>
        <w:t>Frontiers in Psychology</w:t>
      </w:r>
      <w:r>
        <w:t>, 11, p. 575032.</w:t>
      </w:r>
    </w:p>
    <w:p w14:paraId="0A789185" w14:textId="77777777" w:rsidR="009723C8" w:rsidRDefault="009723C8" w:rsidP="003D2420"/>
    <w:p w14:paraId="7BA474B6" w14:textId="5BCD8901" w:rsidR="003D2420" w:rsidRDefault="003D2420" w:rsidP="003D2420">
      <w:pPr>
        <w:pStyle w:val="Modulenormal"/>
      </w:pPr>
      <w:r>
        <w:t xml:space="preserve">Iverson, J.M., </w:t>
      </w:r>
      <w:r w:rsidRPr="003D2420">
        <w:t>Capirci</w:t>
      </w:r>
      <w:r>
        <w:t xml:space="preserve">, O., </w:t>
      </w:r>
      <w:r w:rsidRPr="003D2420">
        <w:t>Longobardi</w:t>
      </w:r>
      <w:r>
        <w:t xml:space="preserve">, E. and </w:t>
      </w:r>
      <w:r w:rsidRPr="003D2420">
        <w:t>Cristina Caselli</w:t>
      </w:r>
      <w:r>
        <w:t>, M.</w:t>
      </w:r>
      <w:r w:rsidRPr="003D2420">
        <w:t xml:space="preserve"> </w:t>
      </w:r>
      <w:r>
        <w:t xml:space="preserve">(1999) ‘Gesturing in mother-child interactions’, </w:t>
      </w:r>
      <w:r>
        <w:rPr>
          <w:i/>
          <w:iCs/>
        </w:rPr>
        <w:t>Cognitive Development</w:t>
      </w:r>
      <w:r>
        <w:t xml:space="preserve">, 14(1), pp. 57–75. </w:t>
      </w:r>
    </w:p>
    <w:p w14:paraId="602953CF" w14:textId="77777777" w:rsidR="00A807E7" w:rsidRDefault="00A807E7" w:rsidP="00A807E7"/>
    <w:p w14:paraId="6F16FE5E" w14:textId="6D4A39DF" w:rsidR="00A807E7" w:rsidRPr="00A807E7" w:rsidRDefault="00A807E7" w:rsidP="00A807E7">
      <w:pPr>
        <w:pStyle w:val="Modulenormal"/>
      </w:pPr>
      <w:r w:rsidRPr="00E87B32">
        <w:t xml:space="preserve">Janzen Ulbricht, N. (2018) ‘An experiment on gesture and fluency in two German schools’, </w:t>
      </w:r>
      <w:r w:rsidRPr="00E87B32">
        <w:rPr>
          <w:i/>
          <w:iCs/>
        </w:rPr>
        <w:t>ELT Journal</w:t>
      </w:r>
      <w:r w:rsidRPr="00E87B32">
        <w:t>, 72(3), pp. 309–318.</w:t>
      </w:r>
    </w:p>
    <w:p w14:paraId="1C2C94C9" w14:textId="77777777" w:rsidR="00FE7205" w:rsidRDefault="00FE7205" w:rsidP="00FE7205"/>
    <w:p w14:paraId="49B0F136" w14:textId="1FFE54A8" w:rsidR="00FE7205" w:rsidRDefault="00FE7205" w:rsidP="00FE7205">
      <w:pPr>
        <w:pStyle w:val="Modulenormal"/>
      </w:pPr>
      <w:r>
        <w:t xml:space="preserve">Jarvis, E.D. (2019) ‘Evolution of vocal learning and spoken language’, </w:t>
      </w:r>
      <w:r>
        <w:rPr>
          <w:i/>
          <w:iCs/>
        </w:rPr>
        <w:t>Science</w:t>
      </w:r>
      <w:r>
        <w:t>, 366(6461), pp. 50–54.</w:t>
      </w:r>
    </w:p>
    <w:p w14:paraId="613D8504" w14:textId="77777777" w:rsidR="00AD12DA" w:rsidRDefault="00AD12DA" w:rsidP="00AD12DA">
      <w:pPr>
        <w:pStyle w:val="Modulenormal"/>
      </w:pPr>
    </w:p>
    <w:p w14:paraId="4F9C08AA" w14:textId="20A057FA" w:rsidR="00F02215" w:rsidRDefault="00AD12DA" w:rsidP="00AD12DA">
      <w:pPr>
        <w:pStyle w:val="Modulenormal"/>
      </w:pPr>
      <w:r w:rsidRPr="00AD12DA">
        <w:t>Karadöller, D.Z.</w:t>
      </w:r>
      <w:r>
        <w:t xml:space="preserve">, </w:t>
      </w:r>
      <w:r w:rsidRPr="00AD12DA">
        <w:t>Peeters</w:t>
      </w:r>
      <w:r>
        <w:t xml:space="preserve">, D., </w:t>
      </w:r>
      <w:r w:rsidRPr="00AD12DA">
        <w:t>Manhardt</w:t>
      </w:r>
      <w:r>
        <w:t xml:space="preserve">, F., </w:t>
      </w:r>
      <w:r w:rsidRPr="00AD12DA">
        <w:t>Özyürek</w:t>
      </w:r>
      <w:r>
        <w:t>, A. and Ortega, G.</w:t>
      </w:r>
      <w:r w:rsidRPr="00AD12DA">
        <w:t xml:space="preserve"> (2024) ‘Iconicity and Gesture Jointly Facilitate Learning of Second Language Signs at First Exposure in Hearing Nonsigners’, </w:t>
      </w:r>
      <w:r w:rsidRPr="00AD12DA">
        <w:rPr>
          <w:i/>
          <w:iCs/>
        </w:rPr>
        <w:t>Language Learning</w:t>
      </w:r>
      <w:r w:rsidRPr="00AD12DA">
        <w:t>, 74(4), pp. 781–813.</w:t>
      </w:r>
    </w:p>
    <w:p w14:paraId="627B3878" w14:textId="77777777" w:rsidR="00A201FA" w:rsidRDefault="00A201FA" w:rsidP="00A201FA">
      <w:pPr>
        <w:pStyle w:val="Modulenormal"/>
      </w:pPr>
    </w:p>
    <w:p w14:paraId="2C324C28" w14:textId="77777777" w:rsidR="00A201FA" w:rsidRPr="00390DE2" w:rsidRDefault="00A201FA" w:rsidP="00A201FA">
      <w:pPr>
        <w:pStyle w:val="Modulenormal"/>
      </w:pPr>
      <w:r w:rsidRPr="00390DE2">
        <w:t xml:space="preserve">Kelly, S.D., McDevitt, T. and Esch, M. (2009) ‘Brief training with co-speech gesture lends a hand to word learning in a foreign language’, </w:t>
      </w:r>
      <w:r w:rsidRPr="00390DE2">
        <w:rPr>
          <w:i/>
          <w:iCs/>
        </w:rPr>
        <w:t>Language and Cognitive Processes</w:t>
      </w:r>
      <w:r w:rsidRPr="00390DE2">
        <w:t xml:space="preserve">, 24(2), pp. 313–334. </w:t>
      </w:r>
    </w:p>
    <w:p w14:paraId="4CDA0193" w14:textId="77777777" w:rsidR="00A201FA" w:rsidRPr="00A201FA" w:rsidRDefault="00A201FA" w:rsidP="00A201FA"/>
    <w:p w14:paraId="3CB29F8C" w14:textId="5A10C9F7" w:rsidR="00615646" w:rsidRPr="00615646" w:rsidRDefault="00615646" w:rsidP="00ED3882">
      <w:pPr>
        <w:pStyle w:val="Modulenormal"/>
      </w:pPr>
      <w:r w:rsidRPr="00615646">
        <w:t xml:space="preserve">Kendon, A. (1997) ‘Gesture’, </w:t>
      </w:r>
      <w:r w:rsidRPr="00615646">
        <w:rPr>
          <w:i/>
          <w:iCs/>
        </w:rPr>
        <w:t>Annual Review of Anthropology</w:t>
      </w:r>
      <w:r w:rsidRPr="00615646">
        <w:t xml:space="preserve">, 26, pp. 109–128. </w:t>
      </w:r>
    </w:p>
    <w:p w14:paraId="41037C96" w14:textId="77777777" w:rsidR="00065FCB" w:rsidRDefault="00065FCB" w:rsidP="00065FCB"/>
    <w:p w14:paraId="590B3EE7" w14:textId="5890576E" w:rsidR="00065FCB" w:rsidRDefault="00065FCB" w:rsidP="00065FCB">
      <w:pPr>
        <w:pStyle w:val="Modulenormal"/>
      </w:pPr>
      <w:r>
        <w:t xml:space="preserve">Kilpatrick, C.E. (2020) ‘Movement, Gesture, and Singing: A Review of Literature’, </w:t>
      </w:r>
      <w:r>
        <w:rPr>
          <w:i/>
          <w:iCs/>
        </w:rPr>
        <w:t>Update: Applications of Research in Music Education</w:t>
      </w:r>
      <w:r>
        <w:t xml:space="preserve">, 38(3), pp. 29–37. </w:t>
      </w:r>
    </w:p>
    <w:p w14:paraId="30C57E02" w14:textId="77777777" w:rsidR="00D5259B" w:rsidRDefault="00D5259B" w:rsidP="00AF498E">
      <w:pPr>
        <w:pStyle w:val="Modulenormal"/>
      </w:pPr>
    </w:p>
    <w:p w14:paraId="1C7AC4B0" w14:textId="77777777" w:rsidR="00A201FA" w:rsidRDefault="00A201FA" w:rsidP="00A201FA">
      <w:pPr>
        <w:pStyle w:val="Modulenormal"/>
      </w:pPr>
      <w:r>
        <w:t xml:space="preserve">Kolb, A. and Kolb, D. (2018) ‘Eight important things to know about The Experiential Learning Cycle.’, </w:t>
      </w:r>
      <w:r>
        <w:rPr>
          <w:i/>
          <w:iCs/>
        </w:rPr>
        <w:t>Australian Educational Leader</w:t>
      </w:r>
      <w:r>
        <w:t>, 40(3), pp. 8–14.</w:t>
      </w:r>
    </w:p>
    <w:p w14:paraId="555C49E7" w14:textId="77777777" w:rsidR="00A201FA" w:rsidRPr="00A201FA" w:rsidRDefault="00A201FA" w:rsidP="00A201FA">
      <w:pPr>
        <w:pStyle w:val="Modulenormal"/>
      </w:pPr>
    </w:p>
    <w:p w14:paraId="740ED492" w14:textId="186F25A0" w:rsidR="00AF498E" w:rsidRPr="00AF498E" w:rsidRDefault="00AF498E" w:rsidP="00AF498E">
      <w:pPr>
        <w:pStyle w:val="Modulenormal"/>
      </w:pPr>
      <w:r w:rsidRPr="00AF498E">
        <w:t>Kultti, A. (2013) ‘Singing as language learning activity in multilingual toddler groups in preschool’, Early Child Development and Care, 183(12), pp. 1955–1969.</w:t>
      </w:r>
    </w:p>
    <w:p w14:paraId="6F538A2F" w14:textId="77777777" w:rsidR="005F4A6D" w:rsidRDefault="005F4A6D" w:rsidP="005F4A6D"/>
    <w:p w14:paraId="72648BFF" w14:textId="00FE69CA" w:rsidR="005F4A6D" w:rsidRPr="005F4A6D" w:rsidRDefault="005F4A6D" w:rsidP="005F4A6D">
      <w:pPr>
        <w:pStyle w:val="Modulenormal"/>
      </w:pPr>
      <w:r>
        <w:t xml:space="preserve">Li, P., Baills, F. and Prieto, P. (2020) ‘Observing and Producing Durational Hand Gestures Facilitates the Pronunciation of Novel Vowel-Length Contrasts’, </w:t>
      </w:r>
      <w:r>
        <w:rPr>
          <w:i/>
          <w:iCs/>
        </w:rPr>
        <w:t>Studies in Second Language Acquisition</w:t>
      </w:r>
      <w:r>
        <w:t xml:space="preserve">, 42(5), pp. 1015–1039. </w:t>
      </w:r>
    </w:p>
    <w:p w14:paraId="75C845C1" w14:textId="77777777" w:rsidR="00AB2E21" w:rsidRDefault="00AB2E21" w:rsidP="00AB2E21"/>
    <w:p w14:paraId="002699CC" w14:textId="7A2A7A0A" w:rsidR="00AB2E21" w:rsidRPr="00AB2E21" w:rsidRDefault="00AB2E21" w:rsidP="00AB2E21">
      <w:pPr>
        <w:pStyle w:val="Modulenormal"/>
      </w:pPr>
      <w:r w:rsidRPr="00AB2E21">
        <w:t xml:space="preserve">Liao, M.-Y. and Davidson, J.W. (2016) ‘The effects of gesture and movement training on the intonation of children’s singing in vocal warm-up sessions’, </w:t>
      </w:r>
      <w:r w:rsidRPr="00AB2E21">
        <w:rPr>
          <w:i/>
          <w:iCs/>
        </w:rPr>
        <w:t>International Journal of Music Education</w:t>
      </w:r>
      <w:r w:rsidRPr="00AB2E21">
        <w:t>, 34(1), pp. 4–18</w:t>
      </w:r>
      <w:r>
        <w:t>.</w:t>
      </w:r>
    </w:p>
    <w:p w14:paraId="42BDB412" w14:textId="77777777" w:rsidR="004C6D28" w:rsidRDefault="004C6D28" w:rsidP="004C6D28"/>
    <w:p w14:paraId="7E9C13B3" w14:textId="799BFF6D" w:rsidR="004C6D28" w:rsidRPr="004C6D28" w:rsidRDefault="004C6D28" w:rsidP="004C6D28">
      <w:pPr>
        <w:pStyle w:val="Modulenormal"/>
      </w:pPr>
      <w:r w:rsidRPr="004C6D28">
        <w:t xml:space="preserve">Martins, W. and </w:t>
      </w:r>
      <w:r w:rsidR="00856E87">
        <w:t xml:space="preserve">dos </w:t>
      </w:r>
      <w:r w:rsidR="001B4E79">
        <w:t xml:space="preserve">Santos </w:t>
      </w:r>
      <w:r w:rsidRPr="004C6D28">
        <w:t xml:space="preserve">Junior, C.L.G. (2016) ‘Choral Singing: Using Gestures as an Aid to Intonation and Tone Quality’, </w:t>
      </w:r>
      <w:r w:rsidRPr="004C6D28">
        <w:rPr>
          <w:i/>
          <w:iCs/>
        </w:rPr>
        <w:t>Opus</w:t>
      </w:r>
      <w:r w:rsidRPr="004C6D28">
        <w:t xml:space="preserve">, 22(2), pp. 283–302. </w:t>
      </w:r>
    </w:p>
    <w:p w14:paraId="599BBAD4" w14:textId="77777777" w:rsidR="00BF48FD" w:rsidRDefault="00BF48FD" w:rsidP="003D2420">
      <w:pPr>
        <w:pStyle w:val="Modulenormal"/>
      </w:pPr>
    </w:p>
    <w:p w14:paraId="59E878D7" w14:textId="649A3268" w:rsidR="00BF48FD" w:rsidRDefault="00BF48FD" w:rsidP="00BF48FD">
      <w:pPr>
        <w:pStyle w:val="Modulenormal"/>
      </w:pPr>
      <w:r>
        <w:t xml:space="preserve">Matychuk, P. (2005) ‘The role of child-directed speech in language acquisition: a case study’, </w:t>
      </w:r>
      <w:r>
        <w:rPr>
          <w:i/>
          <w:iCs/>
        </w:rPr>
        <w:t>Language Sciences</w:t>
      </w:r>
      <w:r>
        <w:t xml:space="preserve">, 27(3), pp. 301–379. </w:t>
      </w:r>
    </w:p>
    <w:p w14:paraId="6F03FEFC" w14:textId="77777777" w:rsidR="004B16AA" w:rsidRDefault="004B16AA" w:rsidP="004B16AA">
      <w:pPr>
        <w:pStyle w:val="Modulenormal"/>
      </w:pPr>
    </w:p>
    <w:p w14:paraId="223AF343" w14:textId="03EF6B4C" w:rsidR="004B16AA" w:rsidRPr="004B16AA" w:rsidRDefault="004B16AA" w:rsidP="004B16AA">
      <w:pPr>
        <w:pStyle w:val="Modulenormal"/>
      </w:pPr>
      <w:r>
        <w:t xml:space="preserve">McCafferty, S.G. (2006) ‘Gesture and the materialization of second language prosody’, </w:t>
      </w:r>
      <w:r>
        <w:rPr>
          <w:i/>
          <w:iCs/>
        </w:rPr>
        <w:t>IRAL, International Review of Applied Linguistics in Language Teaching</w:t>
      </w:r>
      <w:r>
        <w:t xml:space="preserve">, 44(2), pp. 197–209. </w:t>
      </w:r>
    </w:p>
    <w:p w14:paraId="661D087D" w14:textId="77777777" w:rsidR="00BF48FD" w:rsidRDefault="00BF48FD" w:rsidP="004B16AA">
      <w:pPr>
        <w:pStyle w:val="Modulenormal"/>
      </w:pPr>
    </w:p>
    <w:p w14:paraId="6E67F4C0" w14:textId="36FC11FF" w:rsidR="00390DE2" w:rsidRPr="00390DE2" w:rsidRDefault="000E6C87" w:rsidP="00390DE2">
      <w:pPr>
        <w:pStyle w:val="Modulenormal"/>
      </w:pPr>
      <w:r>
        <w:t xml:space="preserve">McNeill, D. (1985) ‘So you think gestures are nonverbal?’, </w:t>
      </w:r>
      <w:r>
        <w:rPr>
          <w:i/>
          <w:iCs/>
        </w:rPr>
        <w:t>Psychological Review</w:t>
      </w:r>
      <w:r>
        <w:t xml:space="preserve">, 92(3), pp. 350–371. </w:t>
      </w:r>
    </w:p>
    <w:p w14:paraId="295EFAC8" w14:textId="77777777" w:rsidR="001350F0" w:rsidRDefault="001350F0" w:rsidP="001350F0"/>
    <w:p w14:paraId="73749F86" w14:textId="056372A8" w:rsidR="001350F0" w:rsidRPr="001350F0" w:rsidRDefault="001350F0" w:rsidP="001350F0">
      <w:pPr>
        <w:pStyle w:val="Modulenormal"/>
      </w:pPr>
      <w:r>
        <w:t xml:space="preserve">Müller, C. (2018) ‘Gesture and Sign: Cataclysmic Break or Dynamic Relations?’, </w:t>
      </w:r>
      <w:r>
        <w:rPr>
          <w:i/>
          <w:iCs/>
        </w:rPr>
        <w:t>Frontiers in Psychology</w:t>
      </w:r>
      <w:r>
        <w:t xml:space="preserve">, 9. </w:t>
      </w:r>
    </w:p>
    <w:p w14:paraId="4593A6CE" w14:textId="77777777" w:rsidR="000E6C87" w:rsidRPr="000E6C87" w:rsidRDefault="000E6C87" w:rsidP="000E6C87"/>
    <w:p w14:paraId="73C9D744" w14:textId="05E3BAA5" w:rsidR="00D5259B" w:rsidRDefault="004C6D28" w:rsidP="006E63EB">
      <w:pPr>
        <w:pStyle w:val="Modulenormal"/>
      </w:pPr>
      <w:r>
        <w:t xml:space="preserve">Nafisi, J. (2013) ‘Gesture and body-movement as teaching and learning tools in the classical voice lesson: a survey into current practice’, </w:t>
      </w:r>
      <w:r>
        <w:rPr>
          <w:i/>
          <w:iCs/>
        </w:rPr>
        <w:t>British Journal of Music Education</w:t>
      </w:r>
      <w:r>
        <w:t xml:space="preserve">, 30(3), pp. 347–367. </w:t>
      </w:r>
    </w:p>
    <w:p w14:paraId="1EC13839" w14:textId="77777777" w:rsidR="00077BB6" w:rsidRDefault="00077BB6" w:rsidP="00077BB6"/>
    <w:p w14:paraId="2F84BE4C" w14:textId="7838D6BE" w:rsidR="00077BB6" w:rsidRDefault="00077BB6" w:rsidP="00077BB6">
      <w:pPr>
        <w:pStyle w:val="Modulenormal"/>
      </w:pPr>
      <w:r>
        <w:t xml:space="preserve">Nápoles, J., Silvey, B.A. and Montemayor, M. (2021) ‘The influences of facial expression and conducting gesture on college musicians’ perceptions of choral conductor and ensemble expressivity’, </w:t>
      </w:r>
      <w:r>
        <w:rPr>
          <w:i/>
          <w:iCs/>
        </w:rPr>
        <w:t>International Journal of Music Education</w:t>
      </w:r>
      <w:r>
        <w:t xml:space="preserve">, 39(2), pp. 260–271. </w:t>
      </w:r>
    </w:p>
    <w:p w14:paraId="6D391D0A" w14:textId="77777777" w:rsidR="005865F8" w:rsidRDefault="005865F8" w:rsidP="005865F8"/>
    <w:p w14:paraId="701A0358" w14:textId="33BF433E" w:rsidR="005865F8" w:rsidRDefault="005865F8" w:rsidP="005865F8">
      <w:pPr>
        <w:pStyle w:val="Modulenormal"/>
      </w:pPr>
      <w:r>
        <w:t>Newman, A.J.</w:t>
      </w:r>
      <w:r>
        <w:t xml:space="preserve">, </w:t>
      </w:r>
      <w:r w:rsidRPr="005865F8">
        <w:t>Supalla</w:t>
      </w:r>
      <w:r>
        <w:t xml:space="preserve">, T., </w:t>
      </w:r>
      <w:r w:rsidRPr="005865F8">
        <w:t>Fernandez</w:t>
      </w:r>
      <w:r>
        <w:t xml:space="preserve">, N., </w:t>
      </w:r>
      <w:r w:rsidRPr="005865F8">
        <w:t>Newport</w:t>
      </w:r>
      <w:r>
        <w:t xml:space="preserve">, E.L. and </w:t>
      </w:r>
      <w:r w:rsidRPr="005865F8">
        <w:t>Bavelier</w:t>
      </w:r>
      <w:r>
        <w:t>, D.</w:t>
      </w:r>
      <w:r>
        <w:t xml:space="preserve"> (2015) ‘Neural systems supporting linguistic structure, linguistic experience, and symbolic communication in sign language and gesture’, </w:t>
      </w:r>
      <w:r>
        <w:rPr>
          <w:i/>
          <w:iCs/>
        </w:rPr>
        <w:t>Proceedings of the National Academy of Sciences of the United States of America</w:t>
      </w:r>
      <w:r>
        <w:t>, 112(37), pp. 11684–11689.</w:t>
      </w:r>
    </w:p>
    <w:p w14:paraId="228F306E" w14:textId="77777777" w:rsidR="006C245C" w:rsidRDefault="006C245C" w:rsidP="006C245C"/>
    <w:p w14:paraId="732F561D" w14:textId="30B171F2" w:rsidR="006C245C" w:rsidRDefault="006C245C" w:rsidP="006C245C">
      <w:pPr>
        <w:pStyle w:val="Modulenormal"/>
      </w:pPr>
      <w:r w:rsidRPr="006C245C">
        <w:t>Novack, M.A</w:t>
      </w:r>
      <w:r>
        <w:t xml:space="preserve">., Congdon, E.L., </w:t>
      </w:r>
      <w:r w:rsidRPr="006C245C">
        <w:t>Hemani-Lopez</w:t>
      </w:r>
      <w:r>
        <w:t xml:space="preserve">, N. and </w:t>
      </w:r>
      <w:r w:rsidRPr="006E63EB">
        <w:t>Goldin-Meadow</w:t>
      </w:r>
      <w:r>
        <w:t xml:space="preserve">, S. </w:t>
      </w:r>
      <w:r w:rsidRPr="006C245C">
        <w:t xml:space="preserve">(2014) ‘From Action to Abstraction: Using the Hands to Learn Math’, </w:t>
      </w:r>
      <w:r w:rsidRPr="006C245C">
        <w:rPr>
          <w:i/>
          <w:iCs/>
        </w:rPr>
        <w:t>Psychological Science</w:t>
      </w:r>
      <w:r w:rsidRPr="006C245C">
        <w:t>, 25(4), pp. 903–910</w:t>
      </w:r>
      <w:r>
        <w:t>.</w:t>
      </w:r>
    </w:p>
    <w:p w14:paraId="748A7F57" w14:textId="77777777" w:rsidR="00DE048B" w:rsidRPr="004C6D28" w:rsidRDefault="00DE048B" w:rsidP="00DE048B">
      <w:pPr>
        <w:pStyle w:val="Modulenormal"/>
      </w:pPr>
    </w:p>
    <w:p w14:paraId="00464560" w14:textId="4C08698D" w:rsidR="003D2420" w:rsidRDefault="003D2420" w:rsidP="004B16AA">
      <w:pPr>
        <w:pStyle w:val="Modulenormal"/>
      </w:pPr>
      <w:r>
        <w:t xml:space="preserve">O’Neill, M., Bard, K.A., Linnell, M. and Fluck, M. (2005) ‘Maternal gestures with 20-month-old infants in two contexts’, </w:t>
      </w:r>
      <w:r>
        <w:rPr>
          <w:i/>
          <w:iCs/>
        </w:rPr>
        <w:t>Developmental Science</w:t>
      </w:r>
      <w:r>
        <w:t xml:space="preserve">, 8(4), pp. 352–359. </w:t>
      </w:r>
    </w:p>
    <w:p w14:paraId="39EB07CF" w14:textId="77777777" w:rsidR="00152A92" w:rsidRDefault="00152A92" w:rsidP="00152A92"/>
    <w:p w14:paraId="33A674FD" w14:textId="09039F34" w:rsidR="00152A92" w:rsidRPr="00152A92" w:rsidRDefault="00152A92" w:rsidP="00152A92">
      <w:pPr>
        <w:pStyle w:val="Modulenormal"/>
      </w:pPr>
      <w:r w:rsidRPr="00152A92">
        <w:t xml:space="preserve">Ortega, G., Özyürek, A. and Peeters, D. (2020) ‘Iconic gestures serve as manual cognates in hearing second language learners of a sign language: An ERP study.’, </w:t>
      </w:r>
      <w:r w:rsidRPr="00152A92">
        <w:rPr>
          <w:i/>
          <w:iCs/>
        </w:rPr>
        <w:t>Journal of Experimental Psychology: Learning, Memory, and Cognition</w:t>
      </w:r>
      <w:r w:rsidRPr="00152A92">
        <w:t>, 46(3), pp. 403–415.</w:t>
      </w:r>
    </w:p>
    <w:p w14:paraId="668F59D7" w14:textId="77777777" w:rsidR="00451319" w:rsidRDefault="00451319" w:rsidP="00214670">
      <w:pPr>
        <w:pStyle w:val="Modulenormal"/>
      </w:pPr>
    </w:p>
    <w:p w14:paraId="731AC13D" w14:textId="0A0E2489" w:rsidR="00451319" w:rsidRPr="00451319" w:rsidRDefault="00451319" w:rsidP="00451319">
      <w:pPr>
        <w:pStyle w:val="Modulenormal"/>
      </w:pPr>
      <w:r>
        <w:t xml:space="preserve">Salvato, G. (2022) ‘The pragmatics of L2 gestures in beginners’ classes of Italian.’, </w:t>
      </w:r>
      <w:r>
        <w:rPr>
          <w:i/>
          <w:iCs/>
        </w:rPr>
        <w:t>Instructed Second Language Acquisition</w:t>
      </w:r>
      <w:r>
        <w:t>, 6(1), pp. 81–108.</w:t>
      </w:r>
    </w:p>
    <w:p w14:paraId="5AE32E6E" w14:textId="77777777" w:rsidR="006A49A2" w:rsidRDefault="006A49A2" w:rsidP="00451319">
      <w:pPr>
        <w:pStyle w:val="Modulenormal"/>
      </w:pPr>
    </w:p>
    <w:p w14:paraId="3B19375B" w14:textId="6FDCDE83" w:rsidR="006A49A2" w:rsidRDefault="006A49A2" w:rsidP="006A49A2">
      <w:pPr>
        <w:pStyle w:val="Modulenormal"/>
      </w:pPr>
      <w:r w:rsidRPr="006A49A2">
        <w:t xml:space="preserve">Silva, A.B., Littlejohn, K.T., Liu, J.R., Moses, D.A. and Chang, E.F. (2024) ‘The speech neuroprosthesis’, Nature Reviews. Neuroscience, 25(7), pp. 473–492. </w:t>
      </w:r>
    </w:p>
    <w:p w14:paraId="75FBE086" w14:textId="77777777" w:rsidR="00A12D70" w:rsidRDefault="00A12D70" w:rsidP="00A12D70">
      <w:pPr>
        <w:pStyle w:val="Modulenormal"/>
      </w:pPr>
    </w:p>
    <w:p w14:paraId="179E24A5" w14:textId="09EC518A" w:rsidR="00A12D70" w:rsidRPr="00A12D70" w:rsidRDefault="00A12D70" w:rsidP="00A12D70">
      <w:pPr>
        <w:pStyle w:val="Modulenormal"/>
      </w:pPr>
      <w:r w:rsidRPr="00A12D70">
        <w:t xml:space="preserve">Snow, C.E. (1996) ‘Issues in the Study of Input: Finetuning, Universality, Individual and Developmental Differences, and Necessary Causes’, in </w:t>
      </w:r>
      <w:r w:rsidRPr="00A12D70">
        <w:rPr>
          <w:i/>
          <w:iCs/>
        </w:rPr>
        <w:t>The Handbook of Child Language</w:t>
      </w:r>
      <w:r w:rsidRPr="00A12D70">
        <w:t xml:space="preserve">. John Wiley &amp; Sons, Ltd, pp. 179–193. </w:t>
      </w:r>
    </w:p>
    <w:p w14:paraId="29A07061" w14:textId="77777777" w:rsidR="00D50798" w:rsidRDefault="00D50798" w:rsidP="00A12D70">
      <w:pPr>
        <w:pStyle w:val="Modulenormal"/>
      </w:pPr>
    </w:p>
    <w:p w14:paraId="19EC0275" w14:textId="3F0B06E0" w:rsidR="002A4A5B" w:rsidRDefault="002A4A5B" w:rsidP="002A4A5B">
      <w:pPr>
        <w:pStyle w:val="Modulenormal"/>
      </w:pPr>
      <w:r>
        <w:t xml:space="preserve">Stylianou, D.A., Lee, B., Ristroph, I., Knuth, E., Blanton, M., Stephens, A. and Gardiner, A. (2024) ‘Semiotic mediation of gestures in the teaching of early algebra: the case of the equal sign.’, </w:t>
      </w:r>
      <w:r>
        <w:rPr>
          <w:i/>
          <w:iCs/>
        </w:rPr>
        <w:t>Educational Studies in Mathematics</w:t>
      </w:r>
      <w:r>
        <w:t xml:space="preserve">, 116(2), pp. 257–279. </w:t>
      </w:r>
    </w:p>
    <w:p w14:paraId="2DC70C7A" w14:textId="77777777" w:rsidR="00612CC0" w:rsidRDefault="00612CC0" w:rsidP="00612CC0"/>
    <w:p w14:paraId="6A8D7F5A" w14:textId="1F22D4EA" w:rsidR="00612CC0" w:rsidRPr="00612CC0" w:rsidRDefault="00612CC0" w:rsidP="00A807E7">
      <w:pPr>
        <w:pStyle w:val="Modulenormal"/>
      </w:pPr>
      <w:r>
        <w:t xml:space="preserve">Sweet Adelines International (2024) </w:t>
      </w:r>
      <w:r w:rsidRPr="00612CC0">
        <w:rPr>
          <w:i/>
          <w:iCs/>
        </w:rPr>
        <w:t>Clever Girl, 2024 Quartet Finals</w:t>
      </w:r>
      <w:r>
        <w:t xml:space="preserve">. Available at: </w:t>
      </w:r>
      <w:hyperlink r:id="rId13" w:history="1">
        <w:r w:rsidRPr="00E96168">
          <w:rPr>
            <w:rStyle w:val="Hyperlink"/>
          </w:rPr>
          <w:t>https://www.youtube.com/watch?v=dwO5N</w:t>
        </w:r>
        <w:r w:rsidRPr="00E96168">
          <w:rPr>
            <w:rStyle w:val="Hyperlink"/>
          </w:rPr>
          <w:t>N</w:t>
        </w:r>
        <w:r w:rsidRPr="00E96168">
          <w:rPr>
            <w:rStyle w:val="Hyperlink"/>
          </w:rPr>
          <w:t>m-6Kk</w:t>
        </w:r>
      </w:hyperlink>
      <w:r>
        <w:t xml:space="preserve"> (Accessed: 27 December 2025).</w:t>
      </w:r>
    </w:p>
    <w:p w14:paraId="28A332F5" w14:textId="77777777" w:rsidR="006A49A2" w:rsidRDefault="006A49A2" w:rsidP="006A49A2"/>
    <w:p w14:paraId="74A783D3" w14:textId="77777777" w:rsidR="006A49A2" w:rsidRDefault="006A49A2" w:rsidP="006A49A2">
      <w:pPr>
        <w:pStyle w:val="Modulenormal"/>
      </w:pPr>
      <w:r>
        <w:t xml:space="preserve">Tang, C., Hamilton, L.S. and Chang, E.F. (2017) ‘Intonational speech prosody encoding in the human auditory cortex’, </w:t>
      </w:r>
      <w:r>
        <w:rPr>
          <w:i/>
          <w:iCs/>
        </w:rPr>
        <w:t>Science</w:t>
      </w:r>
      <w:r>
        <w:t>, 357(6353), pp. 797–801.</w:t>
      </w:r>
    </w:p>
    <w:p w14:paraId="1132A4FE" w14:textId="77777777" w:rsidR="00B46AF6" w:rsidRDefault="00B46AF6" w:rsidP="00B46AF6">
      <w:pPr>
        <w:pStyle w:val="Modulenormal"/>
      </w:pPr>
    </w:p>
    <w:p w14:paraId="0D94060E" w14:textId="4ABB3A02" w:rsidR="00112112" w:rsidRDefault="00112112" w:rsidP="00A81638">
      <w:pPr>
        <w:pStyle w:val="Modulenormal"/>
        <w:rPr>
          <w:shd w:val="clear" w:color="auto" w:fill="FFFFFF"/>
        </w:rPr>
      </w:pPr>
      <w:r>
        <w:t xml:space="preserve">Tenebrae Choir (2022) </w:t>
      </w:r>
      <w:r w:rsidR="00A81638" w:rsidRPr="00A81638">
        <w:rPr>
          <w:i/>
          <w:iCs/>
          <w:shd w:val="clear" w:color="auto" w:fill="FFFFFF"/>
        </w:rPr>
        <w:t>In The Bleak Midwinter - Holst - Tenebrae conducted by Nigel Shor</w:t>
      </w:r>
      <w:r w:rsidR="00A81638">
        <w:rPr>
          <w:i/>
          <w:iCs/>
          <w:shd w:val="clear" w:color="auto" w:fill="FFFFFF"/>
        </w:rPr>
        <w:t>t</w:t>
      </w:r>
      <w:r w:rsidR="00A81638" w:rsidRPr="00A81638">
        <w:rPr>
          <w:shd w:val="clear" w:color="auto" w:fill="FFFFFF"/>
        </w:rPr>
        <w:t xml:space="preserve"> </w:t>
      </w:r>
      <w:r w:rsidR="00A81638">
        <w:rPr>
          <w:shd w:val="clear" w:color="auto" w:fill="FFFFFF"/>
        </w:rPr>
        <w:t xml:space="preserve">Available at: </w:t>
      </w:r>
      <w:hyperlink r:id="rId14" w:history="1">
        <w:r w:rsidR="00A81638" w:rsidRPr="00E96168">
          <w:rPr>
            <w:rStyle w:val="Hyperlink"/>
            <w:shd w:val="clear" w:color="auto" w:fill="FFFFFF"/>
          </w:rPr>
          <w:t>https://www.youtube.com/watch?v=cBCYZ9jIJkI&amp;list=RDEM-m7l6Xp0mWP3WsqFVWjmW</w:t>
        </w:r>
        <w:r w:rsidR="00A81638" w:rsidRPr="00E96168">
          <w:rPr>
            <w:rStyle w:val="Hyperlink"/>
            <w:shd w:val="clear" w:color="auto" w:fill="FFFFFF"/>
          </w:rPr>
          <w:t>w</w:t>
        </w:r>
        <w:r w:rsidR="00A81638" w:rsidRPr="00E96168">
          <w:rPr>
            <w:rStyle w:val="Hyperlink"/>
            <w:shd w:val="clear" w:color="auto" w:fill="FFFFFF"/>
          </w:rPr>
          <w:t>&amp;index=5</w:t>
        </w:r>
      </w:hyperlink>
      <w:r w:rsidR="00A81638">
        <w:rPr>
          <w:shd w:val="clear" w:color="auto" w:fill="FFFFFF"/>
        </w:rPr>
        <w:t xml:space="preserve"> (Accessed: 27 December 2025).</w:t>
      </w:r>
    </w:p>
    <w:p w14:paraId="3FAB6ADA" w14:textId="77777777" w:rsidR="00A81638" w:rsidRPr="00612CC0" w:rsidRDefault="00A81638" w:rsidP="00612CC0">
      <w:pPr>
        <w:pStyle w:val="Modulenormal"/>
      </w:pPr>
    </w:p>
    <w:p w14:paraId="5D223675" w14:textId="35C476B8" w:rsidR="00A81638" w:rsidRDefault="00A81638" w:rsidP="00612CC0">
      <w:pPr>
        <w:pStyle w:val="Modulenormal"/>
      </w:pPr>
      <w:r w:rsidRPr="00612CC0">
        <w:t>The Halle (</w:t>
      </w:r>
      <w:r w:rsidR="00612CC0" w:rsidRPr="00612CC0">
        <w:t>2020</w:t>
      </w:r>
      <w:r w:rsidRPr="00612CC0">
        <w:t xml:space="preserve">) </w:t>
      </w:r>
      <w:r w:rsidRPr="00612CC0">
        <w:rPr>
          <w:i/>
          <w:iCs/>
        </w:rPr>
        <w:t>The Hallé - Hallé Choir: My love dwelt in a Northern land by Edward Elgar</w:t>
      </w:r>
      <w:r w:rsidRPr="00612CC0">
        <w:rPr>
          <w:i/>
          <w:iCs/>
        </w:rPr>
        <w:t>.</w:t>
      </w:r>
      <w:r w:rsidRPr="00612CC0">
        <w:t xml:space="preserve"> Available at: </w:t>
      </w:r>
      <w:hyperlink r:id="rId15" w:history="1">
        <w:r w:rsidR="00612CC0" w:rsidRPr="00E96168">
          <w:rPr>
            <w:rStyle w:val="Hyperlink"/>
          </w:rPr>
          <w:t>https://www.youtube.com/watch?v=GmkS_2AvCss&amp;list</w:t>
        </w:r>
        <w:r w:rsidR="00612CC0" w:rsidRPr="00E96168">
          <w:rPr>
            <w:rStyle w:val="Hyperlink"/>
          </w:rPr>
          <w:t>=</w:t>
        </w:r>
        <w:r w:rsidR="00612CC0" w:rsidRPr="00E96168">
          <w:rPr>
            <w:rStyle w:val="Hyperlink"/>
          </w:rPr>
          <w:t>RDGmkS_2AvCss&amp;start_radio=1</w:t>
        </w:r>
      </w:hyperlink>
      <w:r w:rsidR="00612CC0" w:rsidRPr="00612CC0">
        <w:t xml:space="preserve"> (Accessed: 27 December 2025).</w:t>
      </w:r>
    </w:p>
    <w:p w14:paraId="6254B7D6" w14:textId="77777777" w:rsidR="00A807E7" w:rsidRDefault="00A807E7" w:rsidP="00A807E7"/>
    <w:p w14:paraId="671D7437" w14:textId="77777777" w:rsidR="00A807E7" w:rsidRPr="00D809D6" w:rsidRDefault="00A807E7" w:rsidP="00A807E7">
      <w:pPr>
        <w:pStyle w:val="Modulenormal"/>
      </w:pPr>
      <w:r>
        <w:t xml:space="preserve">Voice Study Centre (2025) </w:t>
      </w:r>
      <w:r w:rsidRPr="00D809D6">
        <w:rPr>
          <w:i/>
          <w:iCs/>
        </w:rPr>
        <w:t xml:space="preserve">April 2025 - part 1 - Certificate </w:t>
      </w:r>
      <w:proofErr w:type="gramStart"/>
      <w:r w:rsidRPr="00D809D6">
        <w:rPr>
          <w:i/>
          <w:iCs/>
        </w:rPr>
        <w:t>In</w:t>
      </w:r>
      <w:proofErr w:type="gramEnd"/>
      <w:r w:rsidRPr="00D809D6">
        <w:rPr>
          <w:i/>
          <w:iCs/>
        </w:rPr>
        <w:t xml:space="preserve"> Applied Neuroscience And Voice with Voice Scientist Heidi Moss</w:t>
      </w:r>
      <w:r>
        <w:rPr>
          <w:i/>
          <w:iCs/>
        </w:rPr>
        <w:t>.</w:t>
      </w:r>
      <w:r>
        <w:t xml:space="preserve"> Available at </w:t>
      </w:r>
      <w:hyperlink r:id="rId16" w:history="1">
        <w:r w:rsidRPr="00D9376A">
          <w:rPr>
            <w:rStyle w:val="Hyperlink"/>
          </w:rPr>
          <w:t>https://voicestudycentre.instructure.com/</w:t>
        </w:r>
      </w:hyperlink>
      <w:r>
        <w:t xml:space="preserve"> (Accessed: Aug 2025)</w:t>
      </w:r>
    </w:p>
    <w:p w14:paraId="5F4DD3E7" w14:textId="77777777" w:rsidR="00A81638" w:rsidRPr="00A81638" w:rsidRDefault="00A81638" w:rsidP="00A81638"/>
    <w:p w14:paraId="4397471D" w14:textId="3D69F0D7" w:rsidR="00B46AF6" w:rsidRPr="00B46AF6" w:rsidRDefault="00B46AF6" w:rsidP="00B46AF6">
      <w:pPr>
        <w:pStyle w:val="Modulenormal"/>
      </w:pPr>
      <w:r>
        <w:lastRenderedPageBreak/>
        <w:t xml:space="preserve">Volterra, V., Iverson, J.M. and Castrataro, M. (2005) ‘The Development of Gesture in Hearing and Deaf Children’, in B. Schick, M. Marschark, and P.E. Spencer (eds) </w:t>
      </w:r>
      <w:r>
        <w:rPr>
          <w:i/>
          <w:iCs/>
        </w:rPr>
        <w:t>Advances in the Sign-Language Development of Deaf Children</w:t>
      </w:r>
      <w:r>
        <w:t xml:space="preserve">. Oxford University Press, p. 0. </w:t>
      </w:r>
    </w:p>
    <w:p w14:paraId="5363CDBF" w14:textId="77777777" w:rsidR="002A4A5B" w:rsidRPr="002A4A5B" w:rsidRDefault="002A4A5B" w:rsidP="002A4A5B"/>
    <w:p w14:paraId="6628F2F8" w14:textId="75764684" w:rsidR="006E63EB" w:rsidRDefault="006E63EB" w:rsidP="006E63EB">
      <w:pPr>
        <w:pStyle w:val="Modulenormal"/>
      </w:pPr>
      <w:r>
        <w:t xml:space="preserve">Wakefield, E., Novack, M.A., Congdon, E.L., Franconeri, S. and </w:t>
      </w:r>
      <w:r w:rsidRPr="006E63EB">
        <w:t>Goldin-Meadow</w:t>
      </w:r>
      <w:r>
        <w:t xml:space="preserve">, S. (2018) ‘Gesture helps learners learn, but not merely by guiding their visual attention’, </w:t>
      </w:r>
      <w:r>
        <w:rPr>
          <w:i/>
          <w:iCs/>
        </w:rPr>
        <w:t>Developmental Science</w:t>
      </w:r>
      <w:r>
        <w:t>, 21(6), p. e12664.</w:t>
      </w:r>
    </w:p>
    <w:p w14:paraId="1767086D" w14:textId="77777777" w:rsidR="004824D7" w:rsidRDefault="004824D7" w:rsidP="006A2546">
      <w:pPr>
        <w:pStyle w:val="Modulenormal"/>
      </w:pPr>
    </w:p>
    <w:p w14:paraId="5F75AF69" w14:textId="7A555876" w:rsidR="00411B39" w:rsidRPr="00411B39" w:rsidRDefault="004824D7" w:rsidP="00090066">
      <w:pPr>
        <w:pStyle w:val="Modulenormal"/>
      </w:pPr>
      <w:r>
        <w:t xml:space="preserve">Webster, J. and Watson, R.T. (2002) ‘Analyzing the Past to Prepare for the Future: Writing a Literature Review’, </w:t>
      </w:r>
      <w:r>
        <w:rPr>
          <w:i/>
          <w:iCs/>
        </w:rPr>
        <w:t>MIS Quarterly</w:t>
      </w:r>
      <w:r>
        <w:t>, 26(2), pp. xiii–xxiii.</w:t>
      </w:r>
    </w:p>
    <w:sectPr w:rsidR="00411B39" w:rsidRPr="00411B39">
      <w:footerReference w:type="even"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C6439F" w14:textId="77777777" w:rsidR="009C741C" w:rsidRDefault="009C741C" w:rsidP="005628CB">
      <w:r>
        <w:separator/>
      </w:r>
    </w:p>
  </w:endnote>
  <w:endnote w:type="continuationSeparator" w:id="0">
    <w:p w14:paraId="7AAA9E11" w14:textId="77777777" w:rsidR="009C741C" w:rsidRDefault="009C741C" w:rsidP="005628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82735914"/>
      <w:docPartObj>
        <w:docPartGallery w:val="Page Numbers (Bottom of Page)"/>
        <w:docPartUnique/>
      </w:docPartObj>
    </w:sdtPr>
    <w:sdtContent>
      <w:p w14:paraId="08866FC8" w14:textId="10C8B678" w:rsidR="005628CB" w:rsidRDefault="005628C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5A2904B" w14:textId="77777777" w:rsidR="005628CB" w:rsidRDefault="005628CB" w:rsidP="005628C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60555102"/>
      <w:docPartObj>
        <w:docPartGallery w:val="Page Numbers (Bottom of Page)"/>
        <w:docPartUnique/>
      </w:docPartObj>
    </w:sdtPr>
    <w:sdtContent>
      <w:p w14:paraId="2A7B1AFF" w14:textId="7C727C20" w:rsidR="005628CB" w:rsidRDefault="005628C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59C5BD1" w14:textId="77777777" w:rsidR="005628CB" w:rsidRDefault="005628CB" w:rsidP="005628C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EE0067" w14:textId="77777777" w:rsidR="009C741C" w:rsidRDefault="009C741C" w:rsidP="005628CB">
      <w:r>
        <w:separator/>
      </w:r>
    </w:p>
  </w:footnote>
  <w:footnote w:type="continuationSeparator" w:id="0">
    <w:p w14:paraId="7C0EDD4E" w14:textId="77777777" w:rsidR="009C741C" w:rsidRDefault="009C741C" w:rsidP="005628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70087"/>
    <w:multiLevelType w:val="multilevel"/>
    <w:tmpl w:val="059C9A0C"/>
    <w:lvl w:ilvl="0">
      <w:start w:val="1"/>
      <w:numFmt w:val="decimal"/>
      <w:lvlText w:val="%1."/>
      <w:lvlJc w:val="left"/>
      <w:pPr>
        <w:ind w:left="720" w:hanging="360"/>
      </w:pPr>
    </w:lvl>
    <w:lvl w:ilvl="1">
      <w:start w:val="3"/>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46C6165"/>
    <w:multiLevelType w:val="hybridMultilevel"/>
    <w:tmpl w:val="559CC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AD1DED"/>
    <w:multiLevelType w:val="hybridMultilevel"/>
    <w:tmpl w:val="824AB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B419A2"/>
    <w:multiLevelType w:val="hybridMultilevel"/>
    <w:tmpl w:val="27E86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3F4CDE"/>
    <w:multiLevelType w:val="hybridMultilevel"/>
    <w:tmpl w:val="44CE1E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FF2390C"/>
    <w:multiLevelType w:val="hybridMultilevel"/>
    <w:tmpl w:val="8C062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FD54A2"/>
    <w:multiLevelType w:val="hybridMultilevel"/>
    <w:tmpl w:val="BB82FE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9113CBB"/>
    <w:multiLevelType w:val="hybridMultilevel"/>
    <w:tmpl w:val="22CC4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FD606D"/>
    <w:multiLevelType w:val="multilevel"/>
    <w:tmpl w:val="15DE68B4"/>
    <w:lvl w:ilvl="0">
      <w:start w:val="1"/>
      <w:numFmt w:val="bullet"/>
      <w:lvlText w:val=""/>
      <w:lvlJc w:val="left"/>
      <w:pPr>
        <w:ind w:left="720" w:hanging="360"/>
      </w:pPr>
      <w:rPr>
        <w:rFonts w:ascii="Symbol" w:hAnsi="Symbol" w:hint="default"/>
      </w:rPr>
    </w:lvl>
    <w:lvl w:ilvl="1">
      <w:start w:val="3"/>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53C74B4"/>
    <w:multiLevelType w:val="hybridMultilevel"/>
    <w:tmpl w:val="AF6C5A3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370610BF"/>
    <w:multiLevelType w:val="hybridMultilevel"/>
    <w:tmpl w:val="CE169E4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CE672AB"/>
    <w:multiLevelType w:val="hybridMultilevel"/>
    <w:tmpl w:val="9490D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683F97"/>
    <w:multiLevelType w:val="multilevel"/>
    <w:tmpl w:val="059C9A0C"/>
    <w:lvl w:ilvl="0">
      <w:start w:val="1"/>
      <w:numFmt w:val="decimal"/>
      <w:lvlText w:val="%1."/>
      <w:lvlJc w:val="left"/>
      <w:pPr>
        <w:ind w:left="720" w:hanging="360"/>
      </w:pPr>
    </w:lvl>
    <w:lvl w:ilvl="1">
      <w:start w:val="3"/>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669648620">
    <w:abstractNumId w:val="7"/>
  </w:num>
  <w:num w:numId="2" w16cid:durableId="1405880327">
    <w:abstractNumId w:val="3"/>
  </w:num>
  <w:num w:numId="3" w16cid:durableId="623732957">
    <w:abstractNumId w:val="10"/>
  </w:num>
  <w:num w:numId="4" w16cid:durableId="1784567406">
    <w:abstractNumId w:val="1"/>
  </w:num>
  <w:num w:numId="5" w16cid:durableId="101846400">
    <w:abstractNumId w:val="5"/>
  </w:num>
  <w:num w:numId="6" w16cid:durableId="1915894861">
    <w:abstractNumId w:val="2"/>
  </w:num>
  <w:num w:numId="7" w16cid:durableId="1236359874">
    <w:abstractNumId w:val="4"/>
  </w:num>
  <w:num w:numId="8" w16cid:durableId="947666274">
    <w:abstractNumId w:val="6"/>
  </w:num>
  <w:num w:numId="9" w16cid:durableId="1524126080">
    <w:abstractNumId w:val="11"/>
  </w:num>
  <w:num w:numId="10" w16cid:durableId="1173909234">
    <w:abstractNumId w:val="12"/>
  </w:num>
  <w:num w:numId="11" w16cid:durableId="1815757035">
    <w:abstractNumId w:val="9"/>
  </w:num>
  <w:num w:numId="12" w16cid:durableId="2124183393">
    <w:abstractNumId w:val="8"/>
  </w:num>
  <w:num w:numId="13" w16cid:durableId="3017387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798"/>
    <w:rsid w:val="000173C9"/>
    <w:rsid w:val="0002272F"/>
    <w:rsid w:val="00054ADE"/>
    <w:rsid w:val="00065E3E"/>
    <w:rsid w:val="00065FCB"/>
    <w:rsid w:val="00067ADF"/>
    <w:rsid w:val="00077BB6"/>
    <w:rsid w:val="00090066"/>
    <w:rsid w:val="000A604D"/>
    <w:rsid w:val="000A6133"/>
    <w:rsid w:val="000B3301"/>
    <w:rsid w:val="000B38FC"/>
    <w:rsid w:val="000B395F"/>
    <w:rsid w:val="000E265C"/>
    <w:rsid w:val="000E4C76"/>
    <w:rsid w:val="000E6C87"/>
    <w:rsid w:val="00101A50"/>
    <w:rsid w:val="00105A5A"/>
    <w:rsid w:val="00112112"/>
    <w:rsid w:val="0012005F"/>
    <w:rsid w:val="001264F1"/>
    <w:rsid w:val="00134D4B"/>
    <w:rsid w:val="001350F0"/>
    <w:rsid w:val="00152A92"/>
    <w:rsid w:val="0016688C"/>
    <w:rsid w:val="0017169D"/>
    <w:rsid w:val="001718FE"/>
    <w:rsid w:val="0017620F"/>
    <w:rsid w:val="00187231"/>
    <w:rsid w:val="001A0051"/>
    <w:rsid w:val="001A0963"/>
    <w:rsid w:val="001B2A85"/>
    <w:rsid w:val="001B4E79"/>
    <w:rsid w:val="001D1710"/>
    <w:rsid w:val="001F74D3"/>
    <w:rsid w:val="00214670"/>
    <w:rsid w:val="0023597A"/>
    <w:rsid w:val="00250032"/>
    <w:rsid w:val="00251E99"/>
    <w:rsid w:val="0025788F"/>
    <w:rsid w:val="00263EB0"/>
    <w:rsid w:val="00285C75"/>
    <w:rsid w:val="002960D6"/>
    <w:rsid w:val="002A4A5B"/>
    <w:rsid w:val="002C5D4E"/>
    <w:rsid w:val="0031453B"/>
    <w:rsid w:val="00316677"/>
    <w:rsid w:val="00321944"/>
    <w:rsid w:val="00326B88"/>
    <w:rsid w:val="00331856"/>
    <w:rsid w:val="00332841"/>
    <w:rsid w:val="00343131"/>
    <w:rsid w:val="0035527B"/>
    <w:rsid w:val="00390DE2"/>
    <w:rsid w:val="00392BA9"/>
    <w:rsid w:val="003B197F"/>
    <w:rsid w:val="003B79BB"/>
    <w:rsid w:val="003D2420"/>
    <w:rsid w:val="003E1D61"/>
    <w:rsid w:val="003F6591"/>
    <w:rsid w:val="003F6B16"/>
    <w:rsid w:val="003F7E3D"/>
    <w:rsid w:val="003F7FC0"/>
    <w:rsid w:val="0040669A"/>
    <w:rsid w:val="00411B39"/>
    <w:rsid w:val="0042509A"/>
    <w:rsid w:val="00436275"/>
    <w:rsid w:val="00451319"/>
    <w:rsid w:val="0045219B"/>
    <w:rsid w:val="004600AF"/>
    <w:rsid w:val="00467DB8"/>
    <w:rsid w:val="00471B49"/>
    <w:rsid w:val="00474C6C"/>
    <w:rsid w:val="004824D7"/>
    <w:rsid w:val="004A6880"/>
    <w:rsid w:val="004B16AA"/>
    <w:rsid w:val="004C0916"/>
    <w:rsid w:val="004C6D28"/>
    <w:rsid w:val="004D7217"/>
    <w:rsid w:val="004E4705"/>
    <w:rsid w:val="00507F87"/>
    <w:rsid w:val="005150B3"/>
    <w:rsid w:val="0053264E"/>
    <w:rsid w:val="00536786"/>
    <w:rsid w:val="005506F2"/>
    <w:rsid w:val="0055268B"/>
    <w:rsid w:val="00553CE6"/>
    <w:rsid w:val="005554B0"/>
    <w:rsid w:val="005628CB"/>
    <w:rsid w:val="00571283"/>
    <w:rsid w:val="005865F8"/>
    <w:rsid w:val="005C188A"/>
    <w:rsid w:val="005E0A8D"/>
    <w:rsid w:val="005F4A6D"/>
    <w:rsid w:val="00612CC0"/>
    <w:rsid w:val="00614ECC"/>
    <w:rsid w:val="00615646"/>
    <w:rsid w:val="006368D4"/>
    <w:rsid w:val="006A2546"/>
    <w:rsid w:val="006A49A2"/>
    <w:rsid w:val="006B0331"/>
    <w:rsid w:val="006B40F3"/>
    <w:rsid w:val="006C245C"/>
    <w:rsid w:val="006C5B4C"/>
    <w:rsid w:val="006C6595"/>
    <w:rsid w:val="006E63EB"/>
    <w:rsid w:val="007276E6"/>
    <w:rsid w:val="007410DF"/>
    <w:rsid w:val="007437CF"/>
    <w:rsid w:val="00763571"/>
    <w:rsid w:val="00783173"/>
    <w:rsid w:val="007A43E3"/>
    <w:rsid w:val="007A75F2"/>
    <w:rsid w:val="007D3660"/>
    <w:rsid w:val="00800C50"/>
    <w:rsid w:val="008064E1"/>
    <w:rsid w:val="00826B06"/>
    <w:rsid w:val="00827490"/>
    <w:rsid w:val="008413BB"/>
    <w:rsid w:val="00856E87"/>
    <w:rsid w:val="008648C8"/>
    <w:rsid w:val="0086633C"/>
    <w:rsid w:val="008735BC"/>
    <w:rsid w:val="008736C1"/>
    <w:rsid w:val="008E4D5A"/>
    <w:rsid w:val="008F3F8E"/>
    <w:rsid w:val="00901605"/>
    <w:rsid w:val="009070E6"/>
    <w:rsid w:val="00947A24"/>
    <w:rsid w:val="00955925"/>
    <w:rsid w:val="009723C8"/>
    <w:rsid w:val="0098716B"/>
    <w:rsid w:val="00987171"/>
    <w:rsid w:val="009A2B40"/>
    <w:rsid w:val="009C741C"/>
    <w:rsid w:val="009E2244"/>
    <w:rsid w:val="009E2FEE"/>
    <w:rsid w:val="009E3114"/>
    <w:rsid w:val="009E368E"/>
    <w:rsid w:val="009F515C"/>
    <w:rsid w:val="00A070D4"/>
    <w:rsid w:val="00A12D70"/>
    <w:rsid w:val="00A201FA"/>
    <w:rsid w:val="00A232C6"/>
    <w:rsid w:val="00A4494D"/>
    <w:rsid w:val="00A57131"/>
    <w:rsid w:val="00A60F0E"/>
    <w:rsid w:val="00A63156"/>
    <w:rsid w:val="00A73387"/>
    <w:rsid w:val="00A807E7"/>
    <w:rsid w:val="00A81638"/>
    <w:rsid w:val="00A8668B"/>
    <w:rsid w:val="00AB2E21"/>
    <w:rsid w:val="00AD12DA"/>
    <w:rsid w:val="00AE6DBC"/>
    <w:rsid w:val="00AF498E"/>
    <w:rsid w:val="00B02BE3"/>
    <w:rsid w:val="00B06FEE"/>
    <w:rsid w:val="00B1309D"/>
    <w:rsid w:val="00B22F46"/>
    <w:rsid w:val="00B46AF6"/>
    <w:rsid w:val="00B62E45"/>
    <w:rsid w:val="00B65A12"/>
    <w:rsid w:val="00B852DD"/>
    <w:rsid w:val="00BC3B51"/>
    <w:rsid w:val="00BD4082"/>
    <w:rsid w:val="00BE053E"/>
    <w:rsid w:val="00BF4774"/>
    <w:rsid w:val="00BF48FD"/>
    <w:rsid w:val="00C0661A"/>
    <w:rsid w:val="00C068E6"/>
    <w:rsid w:val="00C23B60"/>
    <w:rsid w:val="00C25EC9"/>
    <w:rsid w:val="00C26E68"/>
    <w:rsid w:val="00C335A9"/>
    <w:rsid w:val="00C40616"/>
    <w:rsid w:val="00C42729"/>
    <w:rsid w:val="00C477CF"/>
    <w:rsid w:val="00C5545B"/>
    <w:rsid w:val="00C77D50"/>
    <w:rsid w:val="00C83188"/>
    <w:rsid w:val="00C836F0"/>
    <w:rsid w:val="00C906D1"/>
    <w:rsid w:val="00C97E21"/>
    <w:rsid w:val="00CD0B4B"/>
    <w:rsid w:val="00CD368B"/>
    <w:rsid w:val="00CD70C8"/>
    <w:rsid w:val="00CE60FA"/>
    <w:rsid w:val="00CF7A11"/>
    <w:rsid w:val="00D02660"/>
    <w:rsid w:val="00D0537E"/>
    <w:rsid w:val="00D15FE0"/>
    <w:rsid w:val="00D2191B"/>
    <w:rsid w:val="00D30CB5"/>
    <w:rsid w:val="00D46511"/>
    <w:rsid w:val="00D50798"/>
    <w:rsid w:val="00D5231E"/>
    <w:rsid w:val="00D5259B"/>
    <w:rsid w:val="00D776B5"/>
    <w:rsid w:val="00D809D6"/>
    <w:rsid w:val="00D83231"/>
    <w:rsid w:val="00D902AB"/>
    <w:rsid w:val="00DA465D"/>
    <w:rsid w:val="00DA7FFC"/>
    <w:rsid w:val="00DC1DD6"/>
    <w:rsid w:val="00DE048B"/>
    <w:rsid w:val="00DE0CF7"/>
    <w:rsid w:val="00DE3890"/>
    <w:rsid w:val="00E25530"/>
    <w:rsid w:val="00E27B18"/>
    <w:rsid w:val="00E505A8"/>
    <w:rsid w:val="00E51AC0"/>
    <w:rsid w:val="00E56570"/>
    <w:rsid w:val="00E6025C"/>
    <w:rsid w:val="00E65625"/>
    <w:rsid w:val="00E76B55"/>
    <w:rsid w:val="00E87B32"/>
    <w:rsid w:val="00E96168"/>
    <w:rsid w:val="00E970DE"/>
    <w:rsid w:val="00EB083A"/>
    <w:rsid w:val="00EC4BF0"/>
    <w:rsid w:val="00ED3882"/>
    <w:rsid w:val="00EE6579"/>
    <w:rsid w:val="00EF481F"/>
    <w:rsid w:val="00F01C8F"/>
    <w:rsid w:val="00F02215"/>
    <w:rsid w:val="00F337A3"/>
    <w:rsid w:val="00F43E25"/>
    <w:rsid w:val="00F50361"/>
    <w:rsid w:val="00F53080"/>
    <w:rsid w:val="00F73301"/>
    <w:rsid w:val="00FA6CA6"/>
    <w:rsid w:val="00FC2FCB"/>
    <w:rsid w:val="00FE2152"/>
    <w:rsid w:val="00FE47A5"/>
    <w:rsid w:val="00FE7205"/>
    <w:rsid w:val="00FF1282"/>
    <w:rsid w:val="00FF21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77B566F"/>
  <w15:chartTrackingRefBased/>
  <w15:docId w15:val="{B93E1A59-E3D8-2048-ABA5-9A777AF75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2D70"/>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D50798"/>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D50798"/>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D50798"/>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D507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07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079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079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079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079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odulenormal">
    <w:name w:val="Module normal"/>
    <w:basedOn w:val="Normal"/>
    <w:next w:val="Normal"/>
    <w:qFormat/>
    <w:rsid w:val="00B1309D"/>
    <w:pPr>
      <w:spacing w:line="360" w:lineRule="auto"/>
    </w:pPr>
    <w:rPr>
      <w:rFonts w:ascii="Arial" w:hAnsi="Arial" w:cs="Arial"/>
      <w:color w:val="000000"/>
      <w:sz w:val="22"/>
      <w:szCs w:val="22"/>
    </w:rPr>
  </w:style>
  <w:style w:type="character" w:customStyle="1" w:styleId="Heading1Char">
    <w:name w:val="Heading 1 Char"/>
    <w:basedOn w:val="DefaultParagraphFont"/>
    <w:link w:val="Heading1"/>
    <w:uiPriority w:val="9"/>
    <w:rsid w:val="00D507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507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507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07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07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07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07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07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0798"/>
    <w:rPr>
      <w:rFonts w:eastAsiaTheme="majorEastAsia" w:cstheme="majorBidi"/>
      <w:color w:val="272727" w:themeColor="text1" w:themeTint="D8"/>
    </w:rPr>
  </w:style>
  <w:style w:type="paragraph" w:styleId="Title">
    <w:name w:val="Title"/>
    <w:basedOn w:val="Normal"/>
    <w:next w:val="Normal"/>
    <w:link w:val="TitleChar"/>
    <w:uiPriority w:val="10"/>
    <w:qFormat/>
    <w:rsid w:val="00D50798"/>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D507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0798"/>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D507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0798"/>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D50798"/>
    <w:rPr>
      <w:i/>
      <w:iCs/>
      <w:color w:val="404040" w:themeColor="text1" w:themeTint="BF"/>
    </w:rPr>
  </w:style>
  <w:style w:type="paragraph" w:styleId="ListParagraph">
    <w:name w:val="List Paragraph"/>
    <w:basedOn w:val="Normal"/>
    <w:uiPriority w:val="34"/>
    <w:qFormat/>
    <w:rsid w:val="00D50798"/>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D50798"/>
    <w:rPr>
      <w:i/>
      <w:iCs/>
      <w:color w:val="0F4761" w:themeColor="accent1" w:themeShade="BF"/>
    </w:rPr>
  </w:style>
  <w:style w:type="paragraph" w:styleId="IntenseQuote">
    <w:name w:val="Intense Quote"/>
    <w:basedOn w:val="Normal"/>
    <w:next w:val="Normal"/>
    <w:link w:val="IntenseQuoteChar"/>
    <w:uiPriority w:val="30"/>
    <w:qFormat/>
    <w:rsid w:val="00D50798"/>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D50798"/>
    <w:rPr>
      <w:i/>
      <w:iCs/>
      <w:color w:val="0F4761" w:themeColor="accent1" w:themeShade="BF"/>
    </w:rPr>
  </w:style>
  <w:style w:type="character" w:styleId="IntenseReference">
    <w:name w:val="Intense Reference"/>
    <w:basedOn w:val="DefaultParagraphFont"/>
    <w:uiPriority w:val="32"/>
    <w:qFormat/>
    <w:rsid w:val="00D50798"/>
    <w:rPr>
      <w:b/>
      <w:bCs/>
      <w:smallCaps/>
      <w:color w:val="0F4761" w:themeColor="accent1" w:themeShade="BF"/>
      <w:spacing w:val="5"/>
    </w:rPr>
  </w:style>
  <w:style w:type="character" w:styleId="Hyperlink">
    <w:name w:val="Hyperlink"/>
    <w:basedOn w:val="DefaultParagraphFont"/>
    <w:uiPriority w:val="99"/>
    <w:unhideWhenUsed/>
    <w:rsid w:val="00BF48FD"/>
    <w:rPr>
      <w:color w:val="0000FF"/>
      <w:u w:val="single"/>
    </w:rPr>
  </w:style>
  <w:style w:type="paragraph" w:styleId="Footer">
    <w:name w:val="footer"/>
    <w:basedOn w:val="Normal"/>
    <w:link w:val="FooterChar"/>
    <w:uiPriority w:val="99"/>
    <w:unhideWhenUsed/>
    <w:rsid w:val="005628CB"/>
    <w:pPr>
      <w:tabs>
        <w:tab w:val="center" w:pos="4513"/>
        <w:tab w:val="right" w:pos="9026"/>
      </w:tabs>
    </w:pPr>
  </w:style>
  <w:style w:type="character" w:customStyle="1" w:styleId="FooterChar">
    <w:name w:val="Footer Char"/>
    <w:basedOn w:val="DefaultParagraphFont"/>
    <w:link w:val="Footer"/>
    <w:uiPriority w:val="99"/>
    <w:rsid w:val="005628CB"/>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5628CB"/>
  </w:style>
  <w:style w:type="paragraph" w:customStyle="1" w:styleId="p1">
    <w:name w:val="p1"/>
    <w:basedOn w:val="Normal"/>
    <w:rsid w:val="00411B39"/>
    <w:rPr>
      <w:rFonts w:ascii="Helvetica" w:hAnsi="Helvetica"/>
      <w:color w:val="000000"/>
      <w:sz w:val="15"/>
      <w:szCs w:val="15"/>
    </w:rPr>
  </w:style>
  <w:style w:type="paragraph" w:styleId="Caption">
    <w:name w:val="caption"/>
    <w:basedOn w:val="Normal"/>
    <w:next w:val="Normal"/>
    <w:uiPriority w:val="35"/>
    <w:unhideWhenUsed/>
    <w:qFormat/>
    <w:rsid w:val="00F73301"/>
    <w:pPr>
      <w:spacing w:after="200"/>
    </w:pPr>
    <w:rPr>
      <w:i/>
      <w:iCs/>
      <w:color w:val="0E2841" w:themeColor="text2"/>
      <w:sz w:val="18"/>
      <w:szCs w:val="18"/>
    </w:rPr>
  </w:style>
  <w:style w:type="character" w:styleId="Emphasis">
    <w:name w:val="Emphasis"/>
    <w:basedOn w:val="DefaultParagraphFont"/>
    <w:uiPriority w:val="20"/>
    <w:qFormat/>
    <w:rsid w:val="00D0537E"/>
    <w:rPr>
      <w:i/>
      <w:iCs/>
    </w:rPr>
  </w:style>
  <w:style w:type="character" w:styleId="UnresolvedMention">
    <w:name w:val="Unresolved Mention"/>
    <w:basedOn w:val="DefaultParagraphFont"/>
    <w:uiPriority w:val="99"/>
    <w:semiHidden/>
    <w:unhideWhenUsed/>
    <w:rsid w:val="00D809D6"/>
    <w:rPr>
      <w:color w:val="605E5C"/>
      <w:shd w:val="clear" w:color="auto" w:fill="E1DFDD"/>
    </w:rPr>
  </w:style>
  <w:style w:type="paragraph" w:styleId="TOCHeading">
    <w:name w:val="TOC Heading"/>
    <w:basedOn w:val="Heading1"/>
    <w:next w:val="Normal"/>
    <w:uiPriority w:val="39"/>
    <w:unhideWhenUsed/>
    <w:qFormat/>
    <w:rsid w:val="0040669A"/>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40669A"/>
    <w:pPr>
      <w:spacing w:before="120"/>
    </w:pPr>
    <w:rPr>
      <w:rFonts w:asciiTheme="minorHAnsi" w:hAnsiTheme="minorHAnsi"/>
      <w:b/>
      <w:bCs/>
      <w:i/>
      <w:iCs/>
    </w:rPr>
  </w:style>
  <w:style w:type="paragraph" w:styleId="TOC2">
    <w:name w:val="toc 2"/>
    <w:basedOn w:val="Normal"/>
    <w:next w:val="Normal"/>
    <w:autoRedefine/>
    <w:uiPriority w:val="39"/>
    <w:unhideWhenUsed/>
    <w:rsid w:val="0040669A"/>
    <w:pPr>
      <w:spacing w:before="120"/>
      <w:ind w:left="240"/>
    </w:pPr>
    <w:rPr>
      <w:rFonts w:asciiTheme="minorHAnsi" w:hAnsiTheme="minorHAnsi"/>
      <w:b/>
      <w:bCs/>
      <w:sz w:val="22"/>
      <w:szCs w:val="22"/>
    </w:rPr>
  </w:style>
  <w:style w:type="paragraph" w:styleId="TOC3">
    <w:name w:val="toc 3"/>
    <w:basedOn w:val="Normal"/>
    <w:next w:val="Normal"/>
    <w:autoRedefine/>
    <w:uiPriority w:val="39"/>
    <w:unhideWhenUsed/>
    <w:rsid w:val="0040669A"/>
    <w:pPr>
      <w:ind w:left="480"/>
    </w:pPr>
    <w:rPr>
      <w:rFonts w:asciiTheme="minorHAnsi" w:hAnsiTheme="minorHAnsi"/>
      <w:sz w:val="20"/>
      <w:szCs w:val="20"/>
    </w:rPr>
  </w:style>
  <w:style w:type="paragraph" w:styleId="TOC4">
    <w:name w:val="toc 4"/>
    <w:basedOn w:val="Normal"/>
    <w:next w:val="Normal"/>
    <w:autoRedefine/>
    <w:uiPriority w:val="39"/>
    <w:semiHidden/>
    <w:unhideWhenUsed/>
    <w:rsid w:val="0040669A"/>
    <w:pPr>
      <w:ind w:left="720"/>
    </w:pPr>
    <w:rPr>
      <w:rFonts w:asciiTheme="minorHAnsi" w:hAnsiTheme="minorHAnsi"/>
      <w:sz w:val="20"/>
      <w:szCs w:val="20"/>
    </w:rPr>
  </w:style>
  <w:style w:type="paragraph" w:styleId="TOC5">
    <w:name w:val="toc 5"/>
    <w:basedOn w:val="Normal"/>
    <w:next w:val="Normal"/>
    <w:autoRedefine/>
    <w:uiPriority w:val="39"/>
    <w:semiHidden/>
    <w:unhideWhenUsed/>
    <w:rsid w:val="0040669A"/>
    <w:pPr>
      <w:ind w:left="960"/>
    </w:pPr>
    <w:rPr>
      <w:rFonts w:asciiTheme="minorHAnsi" w:hAnsiTheme="minorHAnsi"/>
      <w:sz w:val="20"/>
      <w:szCs w:val="20"/>
    </w:rPr>
  </w:style>
  <w:style w:type="paragraph" w:styleId="TOC6">
    <w:name w:val="toc 6"/>
    <w:basedOn w:val="Normal"/>
    <w:next w:val="Normal"/>
    <w:autoRedefine/>
    <w:uiPriority w:val="39"/>
    <w:semiHidden/>
    <w:unhideWhenUsed/>
    <w:rsid w:val="0040669A"/>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40669A"/>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40669A"/>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40669A"/>
    <w:pPr>
      <w:ind w:left="1920"/>
    </w:pPr>
    <w:rPr>
      <w:rFonts w:asciiTheme="minorHAnsi" w:hAnsiTheme="minorHAnsi"/>
      <w:sz w:val="20"/>
      <w:szCs w:val="20"/>
    </w:rPr>
  </w:style>
  <w:style w:type="character" w:styleId="FollowedHyperlink">
    <w:name w:val="FollowedHyperlink"/>
    <w:basedOn w:val="DefaultParagraphFont"/>
    <w:uiPriority w:val="99"/>
    <w:semiHidden/>
    <w:unhideWhenUsed/>
    <w:rsid w:val="00E96168"/>
    <w:rPr>
      <w:color w:val="96607D" w:themeColor="followedHyperlink"/>
      <w:u w:val="single"/>
    </w:rPr>
  </w:style>
  <w:style w:type="paragraph" w:styleId="TableofFigures">
    <w:name w:val="table of figures"/>
    <w:basedOn w:val="Normal"/>
    <w:next w:val="Normal"/>
    <w:uiPriority w:val="99"/>
    <w:unhideWhenUsed/>
    <w:rsid w:val="003E1D61"/>
    <w:rPr>
      <w:rFonts w:asciiTheme="minorHAnsi" w:hAnsiTheme="minorHAnsi"/>
      <w:i/>
      <w:iCs/>
      <w:sz w:val="20"/>
      <w:szCs w:val="20"/>
    </w:rPr>
  </w:style>
  <w:style w:type="character" w:styleId="BookTitle">
    <w:name w:val="Book Title"/>
    <w:basedOn w:val="DefaultParagraphFont"/>
    <w:uiPriority w:val="33"/>
    <w:qFormat/>
    <w:rsid w:val="00332841"/>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youtube.com/watch?v=dwO5NNm-6Kk"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watch?v=7BH2CqE5mNQ"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voicestudycentre.instructure.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www.youtube.com/watch?v=GmkS_2AvCss&amp;list=RDGmkS_2AvCss&amp;start_radio=1"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sciencedirect-com.ezproxy.uwtsd.ac.uk/topics/neuroscience/transcranial-magnetic-stimulation" TargetMode="External"/><Relationship Id="rId14" Type="http://schemas.openxmlformats.org/officeDocument/2006/relationships/hyperlink" Target="https://www.youtube.com/watch?v=cBCYZ9jIJkI&amp;list=RDEM-m7l6Xp0mWP3WsqFVWjmWw&amp;index=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4A8A14-5BB6-484B-BC84-4A4FBD7AFD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8749</Words>
  <Characters>49870</Characters>
  <Application>Microsoft Office Word</Application>
  <DocSecurity>0</DocSecurity>
  <Lines>415</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McPhail (2333178)</dc:creator>
  <cp:keywords/>
  <dc:description/>
  <cp:lastModifiedBy>Sue McPhail (2333178)</cp:lastModifiedBy>
  <cp:revision>2</cp:revision>
  <dcterms:created xsi:type="dcterms:W3CDTF">2026-01-05T12:19:00Z</dcterms:created>
  <dcterms:modified xsi:type="dcterms:W3CDTF">2026-01-05T12:19:00Z</dcterms:modified>
</cp:coreProperties>
</file>