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3C345B30"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61C3C">
              <w:rPr>
                <w:rFonts w:ascii="Times New Roman" w:hAnsi="Times New Roman" w:cs="Times New Roman"/>
                <w:b/>
                <w:color w:val="auto"/>
                <w:sz w:val="48"/>
              </w:rPr>
              <w:t>Samantha Matenje</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EC05A53"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3031A1">
              <w:rPr>
                <w:rFonts w:ascii="Times New Roman" w:hAnsi="Times New Roman" w:cs="Times New Roman"/>
                <w:b/>
                <w:color w:val="auto"/>
                <w:sz w:val="48"/>
              </w:rPr>
              <w:t xml:space="preserve"> </w:t>
            </w:r>
            <w:r w:rsidR="003031A1">
              <w:rPr>
                <w:rFonts w:ascii="Times New Roman" w:hAnsi="Times New Roman" w:cs="Times New Roman"/>
                <w:b/>
                <w:color w:val="auto"/>
                <w:sz w:val="48"/>
              </w:rPr>
              <w:t>2119303@student.uwtsd.ac.uk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0D63A81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3031A1">
              <w:rPr>
                <w:rFonts w:ascii="Times New Roman" w:hAnsi="Times New Roman" w:cs="Times New Roman"/>
                <w:b/>
                <w:color w:val="auto"/>
                <w:sz w:val="48"/>
              </w:rPr>
              <w:t>2119303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4609BC42" w14:textId="77777777" w:rsidR="00E017AF" w:rsidRDefault="00E017AF" w:rsidP="00E017AF">
            <w:pPr>
              <w:spacing w:line="360" w:lineRule="auto"/>
              <w:jc w:val="both"/>
              <w:rPr>
                <w:sz w:val="24"/>
                <w:szCs w:val="24"/>
              </w:rPr>
            </w:pPr>
            <w:r>
              <w:rPr>
                <w:sz w:val="24"/>
                <w:szCs w:val="24"/>
              </w:rPr>
              <w:t xml:space="preserve">The following case study is based on an adult mental health duty assessment a mental health nurse (CPN) colleague and I, attended at the home of a 50-year-old female following a referral from her registered clinician highlighting concerns that may require care management. The female will be known as X for the purposes of confidentiality and compliance with the Data Protection Act (2018) as well as Social Care Wales Codes of Practice. X has been known to the Community Mental health team for many years. X is diagnosed with a severe and enduring mental health illness. Safeguarding is an essential part of my role as a Social Worker. My practice is guided by legislation, policy and procedures. I will explain the context of the case with a focus on assessment and safeguarding legislation as it applies in Wales, the UK as well as safeguarding in the EU. I aim to describe the conflict and dilemmas that arose for myself and my colleague due to the differing safeguarding thresholds of our different professions. I will use the Gibbs reflective model (1998) as a guide in this reflective assignment. The Gibbs model of reflection sets out six stages which lend themselves to ease of use and thus makes it an effective guide for the creation of a structured reflective account. It’s for this reason that I have elected to use this reflective model though there are others which are equally useful in this area of work for instance Kolb’s reflective cycle (1984) which </w:t>
            </w:r>
            <w:r>
              <w:rPr>
                <w:sz w:val="24"/>
                <w:szCs w:val="24"/>
              </w:rPr>
              <w:lastRenderedPageBreak/>
              <w:t>though similar has only 4 parts to it and therefore feels a tard too brief.  Sibson (2008), considers the Gibbs model of reflection a valuable tool that propels students to analyse their thoughts and emotions that enable their practice development with future cases.</w:t>
            </w:r>
          </w:p>
          <w:p w14:paraId="7E880EFB" w14:textId="77777777" w:rsidR="00E017AF" w:rsidRDefault="00E017AF" w:rsidP="00E017AF">
            <w:pPr>
              <w:spacing w:line="360" w:lineRule="auto"/>
              <w:jc w:val="both"/>
              <w:rPr>
                <w:sz w:val="24"/>
                <w:szCs w:val="24"/>
              </w:rPr>
            </w:pPr>
          </w:p>
          <w:p w14:paraId="44B3BFAD" w14:textId="77777777" w:rsidR="00E017AF" w:rsidRDefault="00E017AF" w:rsidP="00E017AF">
            <w:pPr>
              <w:spacing w:line="360" w:lineRule="auto"/>
              <w:jc w:val="both"/>
              <w:rPr>
                <w:sz w:val="24"/>
                <w:szCs w:val="24"/>
              </w:rPr>
            </w:pPr>
            <w:r>
              <w:rPr>
                <w:sz w:val="24"/>
                <w:szCs w:val="24"/>
              </w:rPr>
              <w:t>I ensured that prior to the visit, I read the risk assessment, case notes and referral to ensure that I had up to date knowledge of the service user’s situation. Having completed my background checks, I observed that it was documented from previous assessments and case notes that X was not a Welsh speaker though the offer of conducting the assessment in Welsh was offered. I felt that it was important to ask X in person to avoid an assumption, that she speaks English when she might have preferred to converse in Welsh. In Wales, Welsh Government (WG) strategy ‘More than Just Words’ the Active Offer’ (2012) makes it mandatory to ‘respect Welsh speakers’ right to communicate their care needs (</w:t>
            </w:r>
            <w:r w:rsidRPr="00EA1530">
              <w:rPr>
                <w:i/>
                <w:iCs/>
                <w:sz w:val="24"/>
                <w:szCs w:val="24"/>
              </w:rPr>
              <w:t>in Welsh if preferred</w:t>
            </w:r>
            <w:r>
              <w:rPr>
                <w:sz w:val="24"/>
                <w:szCs w:val="24"/>
              </w:rPr>
              <w:t xml:space="preserve">), in order that they receive the care needed. </w:t>
            </w:r>
          </w:p>
          <w:p w14:paraId="3ECD1981" w14:textId="77777777" w:rsidR="00E017AF" w:rsidRDefault="00E017AF" w:rsidP="00E017AF">
            <w:pPr>
              <w:spacing w:line="360" w:lineRule="auto"/>
              <w:jc w:val="both"/>
              <w:rPr>
                <w:sz w:val="24"/>
                <w:szCs w:val="24"/>
              </w:rPr>
            </w:pPr>
          </w:p>
          <w:p w14:paraId="5D58328B" w14:textId="77777777" w:rsidR="00E017AF" w:rsidRDefault="00E017AF" w:rsidP="00E017AF">
            <w:pPr>
              <w:spacing w:line="360" w:lineRule="auto"/>
              <w:jc w:val="both"/>
              <w:rPr>
                <w:sz w:val="24"/>
                <w:szCs w:val="24"/>
              </w:rPr>
            </w:pPr>
            <w:r>
              <w:rPr>
                <w:sz w:val="24"/>
                <w:szCs w:val="24"/>
              </w:rPr>
              <w:t xml:space="preserve">On arrival at X’s home, it was immediately clear that X was not expecting us at her home as she took a long time to answer the front door. On entering the property, I observed poor home conditions. X had lived in the 3-bedroom house for 15 years.  I was reminded of the ‘Home Conditions Assessment tool’ (2023), used to assess home conditions. Home conditions can affect emotional and physical health and safeguarding needs to be considered especially if the threshold are not met due to the poor state of the living conditions. Maslow’s Hierarchy of needs was adopted to explore basic needs such as food warmth and safety. Maslow (1970) argues that if basic needs are met the focus shifts towards higher level needs such as education, self-esteem, or self-actualisation.  Whilst assessment tools are useful in providing a common understanding of home conditions, it is ultimately the call of the professional visiting the property whether to invoke safeguarding protocols or bring in another intervention to address the state of the living conditions. Examples of dangerous home conditions that I have come across in practice include extreme hoarding as well as extremely unhygienic living conditions as well as a case where the was no hot running water within the property. In this case, X explained that she was waiting for care and repair service to re-tile her bathroom as the tiles were a trigger for her, due to historical sexual abuse she reported she experienced during her childhood. The type of tiles in her bathroom reportedly matched the ones that were </w:t>
            </w:r>
            <w:r>
              <w:rPr>
                <w:sz w:val="24"/>
                <w:szCs w:val="24"/>
              </w:rPr>
              <w:lastRenderedPageBreak/>
              <w:t>in the changing room of the swimming pool were X was abused</w:t>
            </w:r>
            <w:r w:rsidRPr="00BC19FD">
              <w:rPr>
                <w:color w:val="auto"/>
                <w:sz w:val="24"/>
                <w:szCs w:val="24"/>
              </w:rPr>
              <w:t xml:space="preserve">. </w:t>
            </w:r>
            <w:r w:rsidRPr="00BC19FD">
              <w:rPr>
                <w:color w:val="auto"/>
                <w:sz w:val="24"/>
                <w:szCs w:val="24"/>
                <w:shd w:val="clear" w:color="auto" w:fill="FFFFFF"/>
              </w:rPr>
              <w:t>In 2022/23, there were 32,961 child abuse offences recorded by the police in England and Wales (Statista 2023). While the waiting list for therapeutic intervention stands at six months to a year in England and Wales, with 55000 children waiting for therapy (Samuel 2024).</w:t>
            </w:r>
            <w:r w:rsidRPr="00BC19FD">
              <w:rPr>
                <w:color w:val="auto"/>
                <w:sz w:val="23"/>
                <w:szCs w:val="23"/>
                <w:shd w:val="clear" w:color="auto" w:fill="FFFFFF"/>
              </w:rPr>
              <w:t xml:space="preserve"> </w:t>
            </w:r>
            <w:r>
              <w:rPr>
                <w:sz w:val="24"/>
                <w:szCs w:val="24"/>
              </w:rPr>
              <w:t>Therapy was explored with X reporting she had seen Psychologists for Dialectical Behavioural Therapy (DBT) and Eye Movement Desensitisation Reprocessing (EMDR). DBT was developed to treat Personality Disorders and intense emotional dysregulation (BACP 2024). EMDR helps individuals process historical trauma and reprocess the events (Psychology today 2024). X informed my colleague and I that she was unable to complete the DBT and the EMDR due to the extreme trauma it was causing her. X continues to attend sessions with her psychiatrist for talking therapy.</w:t>
            </w:r>
          </w:p>
          <w:p w14:paraId="1B97DFAE" w14:textId="77777777" w:rsidR="00E017AF" w:rsidRDefault="00E017AF" w:rsidP="00E017AF">
            <w:pPr>
              <w:spacing w:line="360" w:lineRule="auto"/>
              <w:jc w:val="both"/>
              <w:rPr>
                <w:sz w:val="24"/>
                <w:szCs w:val="24"/>
              </w:rPr>
            </w:pPr>
          </w:p>
          <w:p w14:paraId="2C6CE03E" w14:textId="77777777" w:rsidR="00E017AF" w:rsidRDefault="00E017AF" w:rsidP="00E017AF">
            <w:pPr>
              <w:spacing w:line="360" w:lineRule="auto"/>
              <w:jc w:val="both"/>
              <w:rPr>
                <w:sz w:val="24"/>
                <w:szCs w:val="24"/>
              </w:rPr>
            </w:pPr>
            <w:r>
              <w:rPr>
                <w:sz w:val="24"/>
                <w:szCs w:val="24"/>
              </w:rPr>
              <w:t>X disclosed that her son is disabled and has learning disabilities and needs constant care he has a wheelchair although the wheelchair is broken, and her son also needs hoisting from his bed to the wet room and his wheelchair. I questioned how the family are managing her son’s personal care given that the bathroom (wet room) has not been finished. X said she will not allow workmen into her home until the tiles are changed. I repeated the question about her son’s personal care, X said my daughter manages the personal care as she is the personal assistant for her son, but X administers the medication. X explained that she receives direct payments to pay for a personal assistant. Direct payments are a way for Local Authorities in England and Wales to meet needs in line with the Social Services and Well Being Act (2016) and Social Work codes of practice as it gives choice and control to service users over the care they receive and the way they receive the care, thus promoting autonomy and independence (Social Care Wales 2022).</w:t>
            </w:r>
          </w:p>
          <w:p w14:paraId="67E36FAE" w14:textId="77777777" w:rsidR="00E017AF" w:rsidRDefault="00E017AF" w:rsidP="00E017AF">
            <w:pPr>
              <w:spacing w:line="360" w:lineRule="auto"/>
              <w:jc w:val="both"/>
              <w:rPr>
                <w:sz w:val="24"/>
                <w:szCs w:val="24"/>
              </w:rPr>
            </w:pPr>
          </w:p>
          <w:p w14:paraId="1B405927" w14:textId="77777777" w:rsidR="00E017AF" w:rsidRDefault="00E017AF" w:rsidP="00E017AF">
            <w:pPr>
              <w:spacing w:line="360" w:lineRule="auto"/>
              <w:jc w:val="both"/>
              <w:rPr>
                <w:sz w:val="24"/>
                <w:szCs w:val="24"/>
              </w:rPr>
            </w:pPr>
            <w:r>
              <w:rPr>
                <w:sz w:val="24"/>
                <w:szCs w:val="24"/>
              </w:rPr>
              <w:t xml:space="preserve">X was emotional throughout the assessment. X recognised what help she needed by way of a practical intervention. Psychological intervention was discussed to address historical sexual abuse, but this was declined on the basis that X did not wish to talk about her past. X informed us she was the main carer for her son who is physically disabled. X said she receives direct payments for her son and pays her daughter as her son’s personal assistant. </w:t>
            </w:r>
          </w:p>
          <w:p w14:paraId="0EA8F913" w14:textId="77777777" w:rsidR="00E017AF" w:rsidRDefault="00E017AF" w:rsidP="00E017AF">
            <w:pPr>
              <w:spacing w:line="360" w:lineRule="auto"/>
              <w:jc w:val="both"/>
              <w:rPr>
                <w:sz w:val="24"/>
                <w:szCs w:val="24"/>
              </w:rPr>
            </w:pPr>
          </w:p>
          <w:p w14:paraId="03680175" w14:textId="77777777" w:rsidR="00E017AF" w:rsidRDefault="00E017AF" w:rsidP="00E017AF">
            <w:pPr>
              <w:spacing w:line="360" w:lineRule="auto"/>
              <w:jc w:val="both"/>
              <w:rPr>
                <w:sz w:val="24"/>
                <w:szCs w:val="24"/>
              </w:rPr>
            </w:pPr>
            <w:r>
              <w:rPr>
                <w:sz w:val="24"/>
                <w:szCs w:val="24"/>
              </w:rPr>
              <w:lastRenderedPageBreak/>
              <w:t xml:space="preserve">Further into the assessment X was asked if she has any interests. X said she does not leave the house due to anxiety. Hearing that X does not leave the house raised my concerns about grocery shopping, medical appointments, and how she sees her psychiatrist. X explained that she does not see her psychiatrist and only has phone contact. I started questioning in my mind, how X gets her nails painted and her hair cut. I did not ask her directly as I felt this was a judgmental thought and more to the point that it had the potential to cause mistrust when further information was needed. I reframed the thought in my head and complimented X about the colour of her nails, X said yes, that’s my niece she always paints my nails. In my mind I was hoping X would say she leaves the house to get her nails done so this could be utilised to encourage her to try going out more often or attend social groups. At this point I was able to reflect in action about the aim of the assessment which was to garner information. I recognised that I needed to proceed with a ‘what matters conversation’ developed by (Emma Miller 2017) and adopted within the SSWBA (2016) for its inclusive approach.  X disclosed she used to drink wine three times a week, but now smokes cannabis and take cocaine at the weekends, adding “it is my only outlet”. My immediate thought was if X is the main carer, and she is misusing drugs how then can she adequately manage a crisis should there be one involving either herself or her disabled and dependent son? Additionally, this led to my concerns for the care and support she said she provides to her disabled son as the main carer. Being a disability aware practitioner with knowledge of the rights of disabled people and knowing also that in Wales this is a priority area for the government, so important in fact that following the publication of </w:t>
            </w:r>
            <w:r w:rsidRPr="00A66E3B">
              <w:rPr>
                <w:sz w:val="24"/>
                <w:szCs w:val="24"/>
              </w:rPr>
              <w:t>the ‘Locked Out: Liberating Disabled People’s Lives and Rights in Wales beyond COVID-19’ report</w:t>
            </w:r>
            <w:r>
              <w:rPr>
                <w:sz w:val="24"/>
                <w:szCs w:val="24"/>
              </w:rPr>
              <w:t xml:space="preserve"> by the Disability Equality Forum in</w:t>
            </w:r>
            <w:r w:rsidRPr="00A66E3B">
              <w:rPr>
                <w:sz w:val="24"/>
                <w:szCs w:val="24"/>
              </w:rPr>
              <w:t xml:space="preserve"> </w:t>
            </w:r>
            <w:r>
              <w:rPr>
                <w:sz w:val="24"/>
                <w:szCs w:val="24"/>
              </w:rPr>
              <w:t xml:space="preserve"> </w:t>
            </w:r>
            <w:r w:rsidRPr="00A66E3B">
              <w:rPr>
                <w:sz w:val="24"/>
                <w:szCs w:val="24"/>
              </w:rPr>
              <w:t>July 2021,</w:t>
            </w:r>
            <w:r>
              <w:rPr>
                <w:sz w:val="24"/>
                <w:szCs w:val="24"/>
              </w:rPr>
              <w:t xml:space="preserve"> </w:t>
            </w:r>
            <w:r w:rsidRPr="00A66E3B">
              <w:rPr>
                <w:sz w:val="24"/>
                <w:szCs w:val="24"/>
              </w:rPr>
              <w:t>highlight</w:t>
            </w:r>
            <w:r>
              <w:rPr>
                <w:sz w:val="24"/>
                <w:szCs w:val="24"/>
              </w:rPr>
              <w:t>ing the</w:t>
            </w:r>
            <w:r w:rsidRPr="00A66E3B">
              <w:rPr>
                <w:sz w:val="24"/>
                <w:szCs w:val="24"/>
              </w:rPr>
              <w:t xml:space="preserve"> inequalities experienced by disabled people in society, particularly during the coronavirus pandemic</w:t>
            </w:r>
            <w:r>
              <w:rPr>
                <w:sz w:val="24"/>
                <w:szCs w:val="24"/>
              </w:rPr>
              <w:t xml:space="preserve">, the Welsh Government </w:t>
            </w:r>
            <w:r w:rsidRPr="00A66E3B">
              <w:rPr>
                <w:sz w:val="24"/>
                <w:szCs w:val="24"/>
              </w:rPr>
              <w:t>establish</w:t>
            </w:r>
            <w:r>
              <w:rPr>
                <w:sz w:val="24"/>
                <w:szCs w:val="24"/>
              </w:rPr>
              <w:t>ed</w:t>
            </w:r>
            <w:r w:rsidRPr="00A66E3B">
              <w:rPr>
                <w:sz w:val="24"/>
                <w:szCs w:val="24"/>
              </w:rPr>
              <w:t xml:space="preserve"> the Disability Rights Taskforce.</w:t>
            </w:r>
            <w:r>
              <w:rPr>
                <w:sz w:val="24"/>
                <w:szCs w:val="24"/>
              </w:rPr>
              <w:t xml:space="preserve"> I was keen to prevent X’s son’s right to adequate care being breached I therefore attempted to tackle this through assessment by offering X a carer’s assessment, but this was declined. X was asked if her son’s personal assistant (PA) was at home, X said her daughter (PA) was in bed as she has her own mental health problems. Hearing this information raised my concerns further regarding the care and support of X’s son.  I was beginning to think about safeguarding procedures as per safeguarding training. However, I was guided by the assessment process exploring what matters, strengths and barriers to achieving the desired outcomes, as it was </w:t>
            </w:r>
            <w:r>
              <w:rPr>
                <w:sz w:val="24"/>
                <w:szCs w:val="24"/>
              </w:rPr>
              <w:lastRenderedPageBreak/>
              <w:t xml:space="preserve">too early to reach a decision about safeguarding concerns given the mental health concerns, mentioned in the referral. I had concluded that the family were all at risk in some way or vulnerable to potential exploitation. </w:t>
            </w:r>
          </w:p>
          <w:p w14:paraId="480C97C8" w14:textId="77777777" w:rsidR="00E017AF" w:rsidRDefault="00E017AF" w:rsidP="00E017AF">
            <w:pPr>
              <w:spacing w:line="360" w:lineRule="auto"/>
              <w:jc w:val="both"/>
              <w:rPr>
                <w:sz w:val="24"/>
                <w:szCs w:val="24"/>
              </w:rPr>
            </w:pPr>
          </w:p>
          <w:p w14:paraId="2627A8ED" w14:textId="77777777" w:rsidR="00E017AF" w:rsidRDefault="00E017AF" w:rsidP="00E017AF">
            <w:pPr>
              <w:spacing w:line="360" w:lineRule="auto"/>
              <w:jc w:val="both"/>
              <w:rPr>
                <w:sz w:val="24"/>
                <w:szCs w:val="24"/>
              </w:rPr>
            </w:pPr>
            <w:r>
              <w:rPr>
                <w:sz w:val="24"/>
                <w:szCs w:val="24"/>
              </w:rPr>
              <w:t xml:space="preserve">My safeguarding training taught me that where drug use is a concern there is potential risk of ‘cuckooing’.  Local authority policy and procedures state that safeguarding is everyone’s responsibility with all employees complete mandatory safeguarding training. In my role as a Social Worker, I must report any safeguarding concerns to reduce harm and neglect whether intentional or unintentional, while also preventing the potential for a serious case review. My immediate concerns were around possible financial abuse and neglect, given the cost of cocaine and cannabis I felt my analysis was just. In addition, X had disclosed her use of illicit drugs, which led me to believe that there was risk of potential neglect of her son. Social Workers must comply with the All Wales Safeguarding procedures (2019), Section 126 of the SSWBWA (2016) in addition to Human Rights Act (1998), Equality Act (2010) Future Generations (Wales) Act (2015) and the Data Protection Act (2018). </w:t>
            </w:r>
            <w:r w:rsidRPr="006C7434">
              <w:rPr>
                <w:sz w:val="24"/>
                <w:szCs w:val="24"/>
              </w:rPr>
              <w:t>The Human Right</w:t>
            </w:r>
            <w:r>
              <w:rPr>
                <w:sz w:val="24"/>
                <w:szCs w:val="24"/>
              </w:rPr>
              <w:t>s</w:t>
            </w:r>
            <w:r w:rsidRPr="006C7434">
              <w:rPr>
                <w:sz w:val="24"/>
                <w:szCs w:val="24"/>
              </w:rPr>
              <w:t xml:space="preserve"> Act </w:t>
            </w:r>
            <w:r>
              <w:rPr>
                <w:sz w:val="24"/>
                <w:szCs w:val="24"/>
              </w:rPr>
              <w:t>(</w:t>
            </w:r>
            <w:r w:rsidRPr="006C7434">
              <w:rPr>
                <w:sz w:val="24"/>
                <w:szCs w:val="24"/>
              </w:rPr>
              <w:t>1988</w:t>
            </w:r>
            <w:r>
              <w:rPr>
                <w:sz w:val="24"/>
                <w:szCs w:val="24"/>
              </w:rPr>
              <w:t>) bolstered the rights of vulnerable adults in recognising the higher relational support needed in safeguarding</w:t>
            </w:r>
            <w:r w:rsidRPr="006C7434">
              <w:rPr>
                <w:sz w:val="24"/>
                <w:szCs w:val="24"/>
              </w:rPr>
              <w:t xml:space="preserve">.  Article 8 of the Convention (The European Court of Human Rights, 2022) </w:t>
            </w:r>
            <w:r>
              <w:rPr>
                <w:sz w:val="24"/>
                <w:szCs w:val="24"/>
              </w:rPr>
              <w:t>offers protection of</w:t>
            </w:r>
            <w:r w:rsidRPr="006C7434">
              <w:rPr>
                <w:sz w:val="24"/>
                <w:szCs w:val="24"/>
              </w:rPr>
              <w:t xml:space="preserve"> </w:t>
            </w:r>
            <w:r>
              <w:rPr>
                <w:sz w:val="24"/>
                <w:szCs w:val="24"/>
              </w:rPr>
              <w:t xml:space="preserve">the </w:t>
            </w:r>
            <w:r w:rsidRPr="006C7434">
              <w:rPr>
                <w:sz w:val="24"/>
                <w:szCs w:val="24"/>
              </w:rPr>
              <w:t>right to respect private and family life</w:t>
            </w:r>
            <w:r>
              <w:rPr>
                <w:sz w:val="24"/>
                <w:szCs w:val="24"/>
              </w:rPr>
              <w:t>, but safeguarding overrides article 8</w:t>
            </w:r>
            <w:r w:rsidRPr="006C7434">
              <w:rPr>
                <w:sz w:val="24"/>
                <w:szCs w:val="24"/>
              </w:rPr>
              <w:t xml:space="preserve"> </w:t>
            </w:r>
            <w:r>
              <w:rPr>
                <w:sz w:val="24"/>
                <w:szCs w:val="24"/>
              </w:rPr>
              <w:t xml:space="preserve">where </w:t>
            </w:r>
            <w:r w:rsidRPr="006C7434">
              <w:rPr>
                <w:sz w:val="24"/>
                <w:szCs w:val="24"/>
              </w:rPr>
              <w:t>there are serious concerns with the saf</w:t>
            </w:r>
            <w:r>
              <w:rPr>
                <w:sz w:val="24"/>
                <w:szCs w:val="24"/>
              </w:rPr>
              <w:t xml:space="preserve">ety of the individual especially where an individual lacks capacity to make decisions about their safety. The safeguarding policies, legislation and procedures direct all partners to work together to carry out safeguarding functions. I needed to evaluate the risks by evaluating the degree of the harm. Scragg et al (2008) writes about what is constitutes significant harm by describing the types of sexual abuse, neglect, and exploitation. Scragg et al gives some examples as follows; ‘neglect can be the withholding of personal care, and food, limited knowledge of manual handling, with financial abuse it can be inappropriate use of funds, denial to the access of money. Perpetrators are often people in positions of trust such as family and where there is lack of mental capacity there is a duty to act’ (Scragg et al  2008).   </w:t>
            </w:r>
          </w:p>
          <w:p w14:paraId="5A885AB2" w14:textId="77777777" w:rsidR="00E017AF" w:rsidRDefault="00E017AF" w:rsidP="00E017AF">
            <w:pPr>
              <w:spacing w:line="360" w:lineRule="auto"/>
              <w:jc w:val="both"/>
              <w:rPr>
                <w:sz w:val="24"/>
                <w:szCs w:val="24"/>
              </w:rPr>
            </w:pPr>
          </w:p>
          <w:p w14:paraId="3C0C4D42" w14:textId="77777777" w:rsidR="00E017AF" w:rsidRDefault="00E017AF" w:rsidP="00E017AF">
            <w:pPr>
              <w:spacing w:line="360" w:lineRule="auto"/>
              <w:jc w:val="both"/>
              <w:rPr>
                <w:sz w:val="24"/>
                <w:szCs w:val="24"/>
              </w:rPr>
            </w:pPr>
          </w:p>
          <w:p w14:paraId="3EFCBAB6" w14:textId="77777777" w:rsidR="00E017AF" w:rsidRDefault="00E017AF" w:rsidP="00E017AF">
            <w:pPr>
              <w:spacing w:line="360" w:lineRule="auto"/>
              <w:jc w:val="both"/>
              <w:rPr>
                <w:sz w:val="24"/>
                <w:szCs w:val="24"/>
              </w:rPr>
            </w:pPr>
            <w:r>
              <w:rPr>
                <w:sz w:val="24"/>
                <w:szCs w:val="24"/>
              </w:rPr>
              <w:lastRenderedPageBreak/>
              <w:t xml:space="preserve">X disclosed that she has to hoist her son out of bed and into the bathroom. X mentioned that her son is transported daily to a day centre. X expressed her struggles with organising her home. I spoke with X about having an Occupational Therapist (OT) assessment with the view of engaging with OT to address domestic tasks and maybe a local area coordinator to explore community groups to increase social interaction and mitigate isolation. X agreed to the suggestion of OT but declined the Local Area Coordinator (LAC) referral. </w:t>
            </w:r>
          </w:p>
          <w:p w14:paraId="0093BAE0" w14:textId="77777777" w:rsidR="00E017AF" w:rsidRDefault="00E017AF" w:rsidP="00E017AF">
            <w:pPr>
              <w:spacing w:line="360" w:lineRule="auto"/>
              <w:jc w:val="both"/>
              <w:rPr>
                <w:sz w:val="24"/>
                <w:szCs w:val="24"/>
              </w:rPr>
            </w:pPr>
          </w:p>
          <w:p w14:paraId="3E74E649" w14:textId="77777777" w:rsidR="00E017AF" w:rsidRPr="009F395D" w:rsidRDefault="00E017AF" w:rsidP="00E017AF">
            <w:pPr>
              <w:spacing w:line="360" w:lineRule="auto"/>
              <w:jc w:val="both"/>
              <w:rPr>
                <w:color w:val="FF0000"/>
                <w:sz w:val="24"/>
                <w:szCs w:val="24"/>
                <w:u w:val="words"/>
              </w:rPr>
            </w:pPr>
            <w:r>
              <w:rPr>
                <w:sz w:val="24"/>
                <w:szCs w:val="24"/>
              </w:rPr>
              <w:t>Armed with knowledge, experience, training, and a lot of information decisions needed to be made that would stretch my emotional intelligence. Emotional intelligence is an essential aspect of a Social Worker’s role during times of distress for service users, enabling social workers to empathise and gain trust in complex matters, while also having self-awareness that aids refection in action giving the social worker better understanding of the needs that direct the intervention resulting in better outcomes (Kubala et al 2021).</w:t>
            </w:r>
            <w:r>
              <w:rPr>
                <w:color w:val="FF0000"/>
                <w:sz w:val="24"/>
                <w:szCs w:val="24"/>
              </w:rPr>
              <w:t xml:space="preserve"> </w:t>
            </w:r>
            <w:r w:rsidRPr="00E67E5F">
              <w:rPr>
                <w:color w:val="000000" w:themeColor="text1"/>
                <w:sz w:val="24"/>
                <w:szCs w:val="24"/>
              </w:rPr>
              <w:t xml:space="preserve">I and my colleague </w:t>
            </w:r>
            <w:r>
              <w:rPr>
                <w:color w:val="000000" w:themeColor="text1"/>
                <w:sz w:val="24"/>
                <w:szCs w:val="24"/>
              </w:rPr>
              <w:t>discussed the nature and degree of the abuse we needed to discuss with safeguarding team which would also require evidence. We evaluated the risk to X, her son and daughter. Given that X’s son lacked mental capacity I had a duty to report the concerns of neglect and possible financial abuse. I identified risk of the breakdown of trust, and further harm to X’s son regarding neglectful care, and stressed it was essential to mitigate risks. I was also mindful of the power dynamics that occur between the carer and cared for person as well as the power professionals hold as gateway keepers of services. Understanding the dichotomies of power enables professionals to apply anti-oppressive practice Maclean et al (2015). From the perspective of X as the main carer Fook’s theory would argue that X had power over her son’s care and finances. However, as a professional I had to be mindful of the power dynamics as power can move from one person to another Fook (2002), often resulting in oppressive practice. With power balance in mind, I was able to identify the son as the most disadvantaged person within the family, closely followed by X and her daughter due to their involvement with mental health services.</w:t>
            </w:r>
          </w:p>
          <w:p w14:paraId="25B3603B" w14:textId="77777777" w:rsidR="00E017AF" w:rsidRDefault="00E017AF" w:rsidP="00E017AF">
            <w:pPr>
              <w:spacing w:line="360" w:lineRule="auto"/>
              <w:jc w:val="both"/>
              <w:rPr>
                <w:sz w:val="24"/>
                <w:szCs w:val="24"/>
              </w:rPr>
            </w:pPr>
          </w:p>
          <w:p w14:paraId="6D7F70FA" w14:textId="77777777" w:rsidR="00E017AF" w:rsidRDefault="00E017AF" w:rsidP="00E017AF">
            <w:pPr>
              <w:spacing w:line="360" w:lineRule="auto"/>
              <w:jc w:val="both"/>
              <w:rPr>
                <w:sz w:val="24"/>
                <w:szCs w:val="24"/>
              </w:rPr>
            </w:pPr>
          </w:p>
          <w:p w14:paraId="4D1E13D7" w14:textId="77777777" w:rsidR="00E017AF" w:rsidRDefault="00E017AF" w:rsidP="00E017AF">
            <w:pPr>
              <w:spacing w:line="360" w:lineRule="auto"/>
              <w:jc w:val="both"/>
              <w:rPr>
                <w:sz w:val="24"/>
                <w:szCs w:val="24"/>
              </w:rPr>
            </w:pPr>
            <w:r>
              <w:rPr>
                <w:sz w:val="24"/>
                <w:szCs w:val="24"/>
              </w:rPr>
              <w:t xml:space="preserve">On case discussion with my colleague, I raised my concern about safeguarding issues related to her son’s care. I also raised concern regarding the direct payments and the cost of the </w:t>
            </w:r>
            <w:r>
              <w:rPr>
                <w:sz w:val="24"/>
                <w:szCs w:val="24"/>
              </w:rPr>
              <w:lastRenderedPageBreak/>
              <w:t>drugs X stated she was purchasing regularly. I informed my colleague of my suspicion about financial abuse and possible neglect.  My colleague did not think there was financial abuse stating X is a lone parent and we need to consider her mental health, in addition he appeared more concerned about protecting the service’s relationship with X. Although I was able to recognise the risk of the breaking down of the trust between X and the CMHT, I felt very strongly about safeguarding vulnerable adults given my Social Work training, legislation and the serious case reviews that led to the safeguarding policy and legislation we now comply with in our practice. My colleague did not agree that the care and support was a concern. However, on further discussion around safeguarding policy and legislation, and the possible harm of neglect my colleague recognised that due to me raising the concerns he wanted us to discuss this with safeguarding. I found my colleagues lack of insight regarding safeguarding concerning but recognised that other professions will have different thresholds as well as different outcomes from intervention. I also recognised that where possible we work with families to keep families together.</w:t>
            </w:r>
          </w:p>
          <w:p w14:paraId="15EC0409" w14:textId="77777777" w:rsidR="00E017AF" w:rsidRDefault="00E017AF" w:rsidP="00E017AF">
            <w:pPr>
              <w:spacing w:line="360" w:lineRule="auto"/>
              <w:jc w:val="both"/>
              <w:rPr>
                <w:sz w:val="24"/>
                <w:szCs w:val="24"/>
              </w:rPr>
            </w:pPr>
          </w:p>
          <w:p w14:paraId="1A639A73" w14:textId="77777777" w:rsidR="00E017AF" w:rsidRDefault="00E017AF" w:rsidP="00E017AF">
            <w:pPr>
              <w:spacing w:line="360" w:lineRule="auto"/>
              <w:jc w:val="both"/>
              <w:rPr>
                <w:sz w:val="24"/>
                <w:szCs w:val="24"/>
              </w:rPr>
            </w:pPr>
            <w:r>
              <w:rPr>
                <w:sz w:val="24"/>
                <w:szCs w:val="24"/>
              </w:rPr>
              <w:t xml:space="preserve"> On further exploration of case recordings, we were able to establish that X’s son has his own Social Worker in learning disability team (LDT). Contact was made with the LDT to inform the Social Worker of the concerns regarding possible safeguarding concerns in relation to care and support and possible financial abuse. The Social Worker made a referral to adult safeguarding, which led to a formal strategy meeting. </w:t>
            </w:r>
          </w:p>
          <w:p w14:paraId="7A28E4B2" w14:textId="77777777" w:rsidR="00E017AF" w:rsidRDefault="00E017AF" w:rsidP="00E017AF">
            <w:pPr>
              <w:spacing w:line="360" w:lineRule="auto"/>
              <w:jc w:val="both"/>
              <w:rPr>
                <w:sz w:val="24"/>
                <w:szCs w:val="24"/>
              </w:rPr>
            </w:pPr>
          </w:p>
          <w:p w14:paraId="0DDA8657" w14:textId="77777777" w:rsidR="00E017AF" w:rsidRDefault="00E017AF" w:rsidP="00E017AF">
            <w:pPr>
              <w:spacing w:line="360" w:lineRule="auto"/>
              <w:jc w:val="both"/>
              <w:rPr>
                <w:sz w:val="24"/>
                <w:szCs w:val="24"/>
              </w:rPr>
            </w:pPr>
            <w:r>
              <w:rPr>
                <w:sz w:val="24"/>
                <w:szCs w:val="24"/>
              </w:rPr>
              <w:t xml:space="preserve">The multi-disciplinary team (MDT) strategy meeting highlighted that X’s son was not being cared for adequately, with reports of him always being late to the day centre in a dishevelled state. The LD social worker informed me that X’s son was severely disabled, unable to convey his needs and deemed to lack capacity. Additionally, X’s son would often be without money for lunch. Discussions regarding direct payments were had regarding the personal assistant not carrying out the role she was getting paid to do. My additional concern was about the personal assistant’s ability to carry out manual handling tasks, querying if she had any experience or training prior to being hired as a PA.  It was confirmed that this had not been explored, the Occupational therapist (OT) working with X’s son also mentioned concerns about the PA not being trained to complete manual handling tasks safely. I queried personal </w:t>
            </w:r>
            <w:r>
              <w:rPr>
                <w:sz w:val="24"/>
                <w:szCs w:val="24"/>
              </w:rPr>
              <w:lastRenderedPageBreak/>
              <w:t>care and skin integrity. Staff at the day centre were asked about personal hygiene. Staff, report that X’s son’s personal hygiene was not always good and there were skin tissue concerns. Decisions needed to be made moving forward. On reflection I felt conflicted about the family given that all family members were vulnerable. I know that this case required sensitivity to avoid the risk of losing trust with X and her daughter. I had to put my feelings to one side and think about theory that would assist me to make the right decision. I applied Systems theory to analyse the family’s strengths, such as the son being involved with the LDT, OT and day centre thus, my focus came back to the needs of X. I felt it was essential to maintain the alliance between X and the CMHT to enable her to have control over what support she needed. X was asked if she would accept a referral to a drug and alcohol team, but this was declined as she did not want to give up what she viewed as ‘her outlet’. I tried to engage X in change talk by exploring the advantages and disadvantages of drug use, but X was dismissive of the conversation, X was fervent about her drug use being an outlet and if this stops, she would not be able to cope with daily life. I applied some motivational interviewing (MI) techniques developed by Miller et al (2013). MI is a person-centred approach that enables people with drug addiction to come to a place whereby they can no longer defend their reasoning for taking substances (Miller et al 2013) MI was utilised to garner the motivation for change by exploring change talk however X was clearly in the ambivalent stage. X was asked how the sexual abuse affects her. X disclosed that she has flashbacks, and the medication is not helping. X clearly needed more in-depth support. X was encouraged to try an alternative antidepressant and a support worker to visit her weekly while she waited for OT intervention. X agreed to the support worker visiting. We talked about her finances, X said she has a lot of debt with catalogues and utility companies. X was reassured that the support worker can assist her to address the debts.</w:t>
            </w:r>
          </w:p>
          <w:p w14:paraId="13606CE2" w14:textId="77777777" w:rsidR="00E017AF" w:rsidRDefault="00E017AF" w:rsidP="00E017AF">
            <w:pPr>
              <w:spacing w:line="360" w:lineRule="auto"/>
              <w:jc w:val="both"/>
              <w:rPr>
                <w:sz w:val="24"/>
                <w:szCs w:val="24"/>
              </w:rPr>
            </w:pPr>
            <w:r>
              <w:rPr>
                <w:sz w:val="24"/>
                <w:szCs w:val="24"/>
              </w:rPr>
              <w:t xml:space="preserve"> </w:t>
            </w:r>
          </w:p>
          <w:p w14:paraId="753DD332" w14:textId="77777777" w:rsidR="00E017AF" w:rsidRDefault="00E017AF" w:rsidP="00E017AF">
            <w:pPr>
              <w:spacing w:line="360" w:lineRule="auto"/>
              <w:jc w:val="both"/>
              <w:rPr>
                <w:sz w:val="24"/>
                <w:szCs w:val="24"/>
              </w:rPr>
            </w:pPr>
            <w:r>
              <w:rPr>
                <w:sz w:val="24"/>
                <w:szCs w:val="24"/>
              </w:rPr>
              <w:t xml:space="preserve">I recall a lecture at university about direct payments (DP). DP enables service users to have more choice over the care and support they need as well as how the service is delivered.  Although the DP offers choice and promotes empowerment, the lecturer highlighted concern  about a service user having a person to manage the direct payments and hiring of personal assistants. I specifically recall that family members were not able to claim direct payments due to the risk of financial abuse and neglect. Reflecting on my previous social work role, I </w:t>
            </w:r>
            <w:r>
              <w:rPr>
                <w:sz w:val="24"/>
                <w:szCs w:val="24"/>
              </w:rPr>
              <w:lastRenderedPageBreak/>
              <w:t>came across a family who had claimed direct payments. However, when the family referred their loved one to the adult assessment team for an increase of hours, I identified that the family were not completing the caring role to a suitable safe standard. The cared for person’s personal care neglected to the point that there was skin tissue damage. The Safeguarding team was contacted, and direct payments ceased.  During the duty assessment I thought of this case and felt perplexed that direct payments are still being paid to family members. In addition, it could be argued that if family members are going to care for loved ones should local authorities ask for Disclosure and barring service (DBS) checks, as well as offering manual handling training, medication training. Arguably, I am of the view if Local authorities require care agencies to have trained staff the same standard should apply to all carers.</w:t>
            </w:r>
          </w:p>
          <w:p w14:paraId="5FDC0EBD" w14:textId="77777777" w:rsidR="00E017AF" w:rsidRDefault="00E017AF" w:rsidP="00E017AF">
            <w:pPr>
              <w:spacing w:line="360" w:lineRule="auto"/>
              <w:jc w:val="both"/>
              <w:rPr>
                <w:sz w:val="24"/>
                <w:szCs w:val="24"/>
              </w:rPr>
            </w:pPr>
          </w:p>
          <w:p w14:paraId="182E3FF4" w14:textId="77777777" w:rsidR="00E017AF" w:rsidRDefault="00E017AF" w:rsidP="00E017AF">
            <w:pPr>
              <w:spacing w:line="360" w:lineRule="auto"/>
              <w:jc w:val="both"/>
              <w:rPr>
                <w:sz w:val="24"/>
                <w:szCs w:val="24"/>
              </w:rPr>
            </w:pPr>
            <w:r>
              <w:rPr>
                <w:sz w:val="24"/>
                <w:szCs w:val="24"/>
              </w:rPr>
              <w:t>Additionally, as mentioned the PA employed by X was not trained to carry out manual handling tasks. I contacted direct payments to explore if training had been offered to the family, I was informed that they do not offer training. My first thought was that the initial assessment for care and support had not explored what X and the PA would need to know about the caring role. I spoke with the Social Worker for the cared for person about training prior to the direct payments being explored. I was informed that the initial assessment did not require the carer to be trained to carry out the caring role. I reflected on my role within adult social care and recall that carers are asked if they want any training, therefore became very concerned for X and her daughter and the potential risk of unintentional harm to her son, due to the lack of training with manual handling. I also thought of liability of the council as an assumption had been made that the family could carry out the manual handling tasks safely.</w:t>
            </w:r>
          </w:p>
          <w:p w14:paraId="41583E92" w14:textId="77777777" w:rsidR="00E017AF" w:rsidRDefault="00E017AF" w:rsidP="00E017AF">
            <w:pPr>
              <w:spacing w:line="360" w:lineRule="auto"/>
              <w:jc w:val="both"/>
              <w:rPr>
                <w:sz w:val="24"/>
                <w:szCs w:val="24"/>
              </w:rPr>
            </w:pPr>
          </w:p>
          <w:p w14:paraId="71653317" w14:textId="77777777" w:rsidR="00E017AF" w:rsidRPr="00706BB5" w:rsidRDefault="00E017AF" w:rsidP="00E017AF">
            <w:pPr>
              <w:spacing w:line="360" w:lineRule="auto"/>
              <w:jc w:val="both"/>
              <w:rPr>
                <w:sz w:val="24"/>
                <w:szCs w:val="24"/>
              </w:rPr>
            </w:pPr>
            <w:r>
              <w:rPr>
                <w:sz w:val="24"/>
                <w:szCs w:val="24"/>
              </w:rPr>
              <w:t xml:space="preserve"> Following contact with direct payments team, another MDT was held. It was agreed that manual handling training was to be offered to the PA and anyone involved in X’s son’s care. The LD Social worker informed the MDT that he had spoken with X about her drug use adding that X denied saying she uses cannabis and cocaine. The LD social worker (SW) requested that the allocated care coordinator speak with X. The LD SW was advised that X would be referred to the Occupational therapy dept for care coordination given that X was struggling with anxiety and limited motivation to maintain an acceptable standard of home conditions. The outcome from the MDT meeting was to continue to monitor and review the care provided </w:t>
            </w:r>
            <w:r>
              <w:rPr>
                <w:sz w:val="24"/>
                <w:szCs w:val="24"/>
              </w:rPr>
              <w:lastRenderedPageBreak/>
              <w:t xml:space="preserve">by the PA and support the family to access support services to prevent carer fatigue and any further harm to X and her son. Additionally, OT was to carry out a home visit to see if the wet room can be used in its current state or if it needs re doing. OT will also assess home conditions with the housing officer with a view to completing repairs that are outstanding due to X not allowing access to her home when workmen called to carry out repairs. OT was also going to collect the wheelchair and take it for repair. The day centre was viewed as a protective factor as X’s son attends daily. The staff at the day centre would be asked to email reports to the LD SW about personal hygiene, financial matters, and the interaction of the PA when X’s son was being collected from the family home and transported to the day centre. An MDT was agreed for 3 months’ time to review the case. </w:t>
            </w:r>
          </w:p>
          <w:p w14:paraId="5265E135" w14:textId="77777777" w:rsidR="00E017AF" w:rsidRDefault="00E017AF" w:rsidP="00E017AF">
            <w:pPr>
              <w:spacing w:line="360" w:lineRule="auto"/>
              <w:jc w:val="both"/>
              <w:rPr>
                <w:sz w:val="24"/>
                <w:szCs w:val="24"/>
              </w:rPr>
            </w:pPr>
          </w:p>
          <w:p w14:paraId="297D7ECE" w14:textId="77777777" w:rsidR="00E017AF" w:rsidRDefault="00E017AF" w:rsidP="00E017AF">
            <w:pPr>
              <w:spacing w:line="360" w:lineRule="auto"/>
              <w:jc w:val="both"/>
              <w:rPr>
                <w:sz w:val="24"/>
                <w:szCs w:val="24"/>
              </w:rPr>
            </w:pPr>
            <w:r>
              <w:rPr>
                <w:sz w:val="24"/>
                <w:szCs w:val="24"/>
              </w:rPr>
              <w:t>3885 Words</w:t>
            </w:r>
          </w:p>
          <w:p w14:paraId="6AD9FA4A" w14:textId="77777777" w:rsidR="00D94B46" w:rsidRDefault="00D94B46"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867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031A1"/>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1C3C"/>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94B46"/>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17AF"/>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8673"/>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3644</Words>
  <Characters>20771</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24367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Samantha Matenje</cp:lastModifiedBy>
  <cp:revision>7</cp:revision>
  <cp:lastPrinted>2020-02-11T19:20:00Z</cp:lastPrinted>
  <dcterms:created xsi:type="dcterms:W3CDTF">2022-09-29T11:34:00Z</dcterms:created>
  <dcterms:modified xsi:type="dcterms:W3CDTF">2024-02-14T22:05:00Z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