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271"/>
        <w:gridCol w:w="7745"/>
      </w:tblGrid>
      <w:tr w:rsidR="00491E52" w:rsidRPr="009168E5" w14:paraId="23E87E26" w14:textId="77777777" w:rsidTr="00A3099D">
        <w:tc>
          <w:tcPr>
            <w:tcW w:w="1271" w:type="dxa"/>
          </w:tcPr>
          <w:p w14:paraId="45CB7291" w14:textId="00CC6221" w:rsidR="00491E52" w:rsidRPr="009168E5" w:rsidRDefault="00491E52">
            <w:pPr>
              <w:rPr>
                <w:rFonts w:ascii="Arial" w:hAnsi="Arial" w:cs="Arial"/>
                <w:sz w:val="24"/>
                <w:szCs w:val="24"/>
              </w:rPr>
            </w:pPr>
            <w:r w:rsidRPr="009168E5">
              <w:rPr>
                <w:rFonts w:ascii="Arial" w:hAnsi="Arial" w:cs="Arial"/>
                <w:sz w:val="28"/>
                <w:szCs w:val="28"/>
              </w:rPr>
              <w:t>Targed 1</w:t>
            </w:r>
          </w:p>
        </w:tc>
        <w:tc>
          <w:tcPr>
            <w:tcW w:w="7745" w:type="dxa"/>
          </w:tcPr>
          <w:p w14:paraId="28F6ECD5" w14:textId="17E6716B" w:rsidR="00491E52" w:rsidRPr="009168E5" w:rsidRDefault="00491E52">
            <w:pPr>
              <w:rPr>
                <w:rFonts w:ascii="Arial" w:hAnsi="Arial" w:cs="Arial"/>
                <w:b/>
                <w:bCs/>
                <w:sz w:val="28"/>
                <w:szCs w:val="28"/>
              </w:rPr>
            </w:pPr>
            <w:r w:rsidRPr="009168E5">
              <w:rPr>
                <w:rFonts w:ascii="Arial" w:hAnsi="Arial" w:cs="Arial"/>
                <w:color w:val="283041"/>
                <w:sz w:val="24"/>
                <w:szCs w:val="24"/>
                <w:shd w:val="clear" w:color="auto" w:fill="FFFFFF"/>
              </w:rPr>
              <w:t>Gwiria dy gyfeirnodi yn ofalus gan ddefnyddio canllaw Harvard y Brifysgol.</w:t>
            </w:r>
          </w:p>
        </w:tc>
      </w:tr>
      <w:tr w:rsidR="00491E52" w:rsidRPr="009168E5" w14:paraId="489AA961" w14:textId="77777777" w:rsidTr="00A3099D">
        <w:tc>
          <w:tcPr>
            <w:tcW w:w="1271" w:type="dxa"/>
          </w:tcPr>
          <w:p w14:paraId="293C3852" w14:textId="229E985D" w:rsidR="00491E52" w:rsidRPr="009168E5" w:rsidRDefault="00491E52">
            <w:pPr>
              <w:rPr>
                <w:rFonts w:ascii="Arial" w:hAnsi="Arial" w:cs="Arial"/>
                <w:sz w:val="28"/>
                <w:szCs w:val="28"/>
              </w:rPr>
            </w:pPr>
            <w:r w:rsidRPr="009168E5">
              <w:rPr>
                <w:rFonts w:ascii="Arial" w:hAnsi="Arial" w:cs="Arial"/>
                <w:sz w:val="28"/>
                <w:szCs w:val="28"/>
              </w:rPr>
              <w:t>Targed 2</w:t>
            </w:r>
          </w:p>
        </w:tc>
        <w:tc>
          <w:tcPr>
            <w:tcW w:w="7745" w:type="dxa"/>
          </w:tcPr>
          <w:p w14:paraId="06496454" w14:textId="3BDD4FCD" w:rsidR="00491E52" w:rsidRPr="009168E5" w:rsidRDefault="00491E52">
            <w:pPr>
              <w:rPr>
                <w:rFonts w:ascii="Arial" w:hAnsi="Arial" w:cs="Arial"/>
                <w:b/>
                <w:bCs/>
                <w:sz w:val="28"/>
                <w:szCs w:val="28"/>
              </w:rPr>
            </w:pPr>
            <w:r w:rsidRPr="009168E5">
              <w:rPr>
                <w:rFonts w:ascii="Arial" w:hAnsi="Arial" w:cs="Arial"/>
                <w:color w:val="283041"/>
                <w:sz w:val="24"/>
                <w:szCs w:val="24"/>
                <w:shd w:val="clear" w:color="auto" w:fill="FFFFFF"/>
              </w:rPr>
              <w:t>Mae angen i ti wneud cysylltiadau cadarnach rhwng damcaniaeth ac arfer, e.e. rwyt yn cyfeirio at y safonau proffesiynol ar y diwedd ond ddim yn egluro'n llawn.</w:t>
            </w:r>
          </w:p>
        </w:tc>
      </w:tr>
    </w:tbl>
    <w:p w14:paraId="5291756B" w14:textId="04BEA830" w:rsidR="00E35F28" w:rsidRPr="009168E5" w:rsidRDefault="00B333D2">
      <w:pPr>
        <w:rPr>
          <w:rFonts w:ascii="Arial" w:hAnsi="Arial" w:cs="Arial"/>
          <w:b/>
          <w:bCs/>
          <w:sz w:val="36"/>
          <w:szCs w:val="36"/>
          <w:u w:val="single"/>
        </w:rPr>
      </w:pPr>
      <w:r w:rsidRPr="009168E5">
        <w:rPr>
          <w:rFonts w:ascii="Arial" w:hAnsi="Arial" w:cs="Arial"/>
          <w:b/>
          <w:bCs/>
          <w:sz w:val="36"/>
          <w:szCs w:val="36"/>
          <w:u w:val="single"/>
        </w:rPr>
        <w:t>Ystyriwch y 3 egwyddor addysgegol a amlinellir uchod. Trafodwch yr egwyddorion hyn mewn perthynas ag arferion mewn addysg, gan ddangos dealltwriaeth gadarn, nodi cryfderau a meysydd i’w datblygu ar gyfer pob egwyddor.</w:t>
      </w:r>
    </w:p>
    <w:p w14:paraId="7764E513" w14:textId="30E29D43" w:rsidR="00B333D2" w:rsidRPr="009168E5" w:rsidRDefault="004D1194" w:rsidP="009168E5">
      <w:pPr>
        <w:spacing w:line="276" w:lineRule="auto"/>
        <w:rPr>
          <w:rFonts w:ascii="Arial" w:hAnsi="Arial" w:cs="Arial"/>
        </w:rPr>
      </w:pPr>
      <w:r w:rsidRPr="009168E5">
        <w:rPr>
          <w:rFonts w:ascii="Arial" w:hAnsi="Arial" w:cs="Arial"/>
        </w:rPr>
        <w:t>Mae addysg yn y Cyfnod Sylfaen yn hollbwysig, rhwng tri a saith oed yw’r plant. Gellir dadlau bod addysg iddynt yn gosod lefel o wybodaeth sylfaenol wrth iddyn nhw fynd ati yn eu bywydau. Angenrheidiol yw gosod sail o addysg i bob plentyn er mwyn iddynt allu mynd ati i lwyddo gyda’r wybodaeth a sgiliau cyffredinol. Pwysig yw sicrhau bod addysg yn gyfannol i blant mor ifanc, awgryma Barnes (2015) y dylai addysg ddysgu gwybodaeth drwy ddatrys problemau ac arbrofi, a thrwy hyn y cynhyrchwyd disgyblion sy’n derbyn profiadau personol wedi’i ehangu drwy addysg. Cyniga hyn bersbectif mwy rhydd dros addysg gan bwysleisio’r pwysigrwydd o baratoi unigolion am y byd go iawn y tu allan i’r ysgol, a thrwy addysg gyfannol y mae hyn yn bosib. Pwyslais arall sydd ar addysg cyfnod sylfaen yw’r anogaeth i blant ddysgu drwy chwarae ac i ddefnyddio’i dychymyg er mwyn sicrhau mwynhad wrth wneud y dysgu yn ddeniadol ac yn apelio i blant. Dyluniwyd y cwricwlwm newydd i Gymru yn 2015 gan yr athro Graham Donaldson fel ymateb i bryderon gan Lywodraeth Cymru dros danberfformiad plant Cymru yn y profion PISA. Cynhelir adolygiad ganddo drwy gyrraedd datganiad bod angen newid sylweddol ar addysg yng Nghymru. Dyluniwyd y pedwar diben ganddo fel rhan o’r cwricwlwm am ystod o resymau ond yn enwedig am egluro dyheadau clir ar gyfer plant a phobl ifanc er mwyn i athrawon ac addysgwyr gallu cyd-weithio gyda’i gilydd i ddilyn cenhadaeth gyffredin (Donaldson, 2015). Awgryma’r pedwar diben bod angen i addysg sicrhau bod yr un amcan mewn golwg i bob disgybl ac mae’n gosod canllaw clir i ddilyn wrth gynllunio tuag at addysgu.</w:t>
      </w:r>
    </w:p>
    <w:p w14:paraId="64093869" w14:textId="77777777" w:rsidR="004D1194" w:rsidRPr="009168E5" w:rsidRDefault="004D1194" w:rsidP="009168E5">
      <w:pPr>
        <w:spacing w:line="276" w:lineRule="auto"/>
        <w:rPr>
          <w:rFonts w:ascii="Arial" w:hAnsi="Arial" w:cs="Arial"/>
        </w:rPr>
      </w:pPr>
      <w:r w:rsidRPr="009168E5">
        <w:rPr>
          <w:rFonts w:ascii="Arial" w:hAnsi="Arial" w:cs="Arial"/>
        </w:rPr>
        <w:t>Mae addysgeg yn chwarae rhan flaenorol yng nghwricwlwm newydd Donaldson, sef y dull o addysgu, a’r cyfuniad o wybodaeth a sgiliau damcaniaethol gyda barn fanwl er mwyn hybu addysgu i blant mewn sawl cyd-destun gwahanol (Donaldson, 2015). Cyniga deuddeg egwyddor addysgegol gan Donaldson fel rhan o’i adolygiad o gwricwlwm a osodwyd gan Lywodraeth Cymru ymlaen llaw. Drwy ddilyn y deuddeg egwyddor addysgegol, anoga hyn addysg drawsgwricwlaidd wrth gynnwys meysydd fel llythrennedd, rhifedd, digidol a chorfforol law yn llaw er mwyn hybu’r datblygiad bellach. Drwy gynnwys sawl maes dysgu a phrofiad, mae’n fwy tebygol o wneud yr addysg yn ddiddorol i bawb ac nid un grŵp sbesiffig o ddisgyblion, bellach yn cefnogi addysg gyfannol drawsgwricwlaidd. Yn ogystal, cefnoga’r deuddeg egwyddor addysgegol ddatblygiad annibyniaeth a chydweithrediad mewn plant a phobl ifanc wrth ddatblygu yn gymdeithasol ac yn emosiynol (Impact Wales, 2022).</w:t>
      </w:r>
      <w:r w:rsidRPr="009168E5">
        <w:rPr>
          <w:rFonts w:ascii="Arial" w:hAnsi="Arial" w:cs="Arial"/>
        </w:rPr>
        <w:t xml:space="preserve"> </w:t>
      </w:r>
      <w:r w:rsidRPr="009168E5">
        <w:rPr>
          <w:rFonts w:ascii="Arial" w:hAnsi="Arial" w:cs="Arial"/>
        </w:rPr>
        <w:t xml:space="preserve">Trafodaf dri o’r deuddeg egwyddor addysgegol yn fanylach yn yr aseiniad yma, drwy geisio cysylltu’r perthnasedd gyda’r chwe maes dysgu a phrofiad a gyniga hefyd gan Donaldson. Drwy gymysgu’r chwe maes dysgu a phrofiad i blethu mewn un wers mae dilyn y deuddeg egwyddor addysgegol, ac yn cynnig dull creadigol i ddatblygu gwybodaeth, sgiliau a </w:t>
      </w:r>
      <w:r w:rsidRPr="009168E5">
        <w:rPr>
          <w:rFonts w:ascii="Arial" w:hAnsi="Arial" w:cs="Arial"/>
        </w:rPr>
        <w:lastRenderedPageBreak/>
        <w:t>dealltwriaeth pobl ifanc gan hefyd hybu nhw i gyrraedd eu llawn botensial. Adlewyrcha’r pwysigrwydd o addysg drawsgwricwlaidd gan Rowley a Cooper (2009) wrth iddynt hwy ddatgan bod addysg gyfannol yn adeiladu ar gryfderau, diddordebau a phrofiadau pob unigolyn ac yn gyffredinol yn annog disgyblion i wneud gwahaniaeth yn eu bywydau.</w:t>
      </w:r>
    </w:p>
    <w:p w14:paraId="01833F8F" w14:textId="76BD0905" w:rsidR="003F6375" w:rsidRPr="009168E5" w:rsidRDefault="004D1194" w:rsidP="009168E5">
      <w:pPr>
        <w:spacing w:line="276" w:lineRule="auto"/>
        <w:rPr>
          <w:rFonts w:ascii="Arial" w:hAnsi="Arial" w:cs="Arial"/>
        </w:rPr>
      </w:pPr>
      <w:r w:rsidRPr="009168E5">
        <w:rPr>
          <w:rFonts w:ascii="Arial" w:hAnsi="Arial" w:cs="Arial"/>
        </w:rPr>
        <w:t>Yr egwyddor addysgegol cyntaf y byddai’n trafod yw “Mae addysgu a dysgu da yn galw am ddefnyddio cymysgedd o ddulliau sy’n cynnwys addysgu uniongyrchol”. Prif ffocws yr egwyddor addysgegol hon yw’r pwyslais ar ddefnyddio ystod o wahanol ffyrdd o ddysgu. Nid oes amheuaeth bod dulliau gwahanol yn effeithiol i wahanol unigolion yn y dosbarth, yn amlwg mae rhai dulliau yn effeithiol i rai, ond eraill yn siwtio’n well i eraill. Mae pob unigolyn yn unigryw gyda diddordebau, nodweddion ac anghenion gwahanol, felly mae cyfrifoldeb ar athrawon ac addysgwyr addasu’r ddarpariaeth o’r addysg er mwyn cwrdd â gofynion pob unigolyn (Sian Wyn Siencyn, 2010).</w:t>
      </w:r>
      <w:r w:rsidRPr="009168E5">
        <w:rPr>
          <w:rFonts w:ascii="Arial" w:hAnsi="Arial" w:cs="Arial"/>
        </w:rPr>
        <w:t xml:space="preserve"> </w:t>
      </w:r>
      <w:r w:rsidR="005D55E8" w:rsidRPr="009168E5">
        <w:rPr>
          <w:rFonts w:ascii="Arial" w:hAnsi="Arial" w:cs="Arial"/>
        </w:rPr>
        <w:t>Wedi dweud hyn, rhaid cyfaddef taw tasg anodd iawn yw sicrhau addysg sy’n diddori pob disgybl wrth ystyried maint dosbarthiadau diweddar a’r nifer o ddisgyblion i ddarparu ar gyfer. Hollbwysig yw i athrawon ystyried sut mae magi ddiddordeb y disgyblion i mewn i’r addysg a chynnwys y wers er mwyn sicrhau mwynhad yn ystod y wers. Yn enwedig yn y Cyfnod Sylfaen, lle mae’r plant yn debygol o golli sylw os nad yw’r addysg yn ddigon diddorol a pherthnasol iddynt. Pwysleisia hyn y pwysigrwydd o ystyried diddordebau unigolion y dosbarth. Mi welais hyn mewn gweithrediad yn ystod fy wythnos arsylwi ar y PAP1, defnyddir cymeriadau ffuglennol o raglenni plant S4C o fewn gwersi mathemateg er mwyn magi ddiddordeb. Roedd gwaith adio gyda’r plant ond yn lle adio rhifau, cymeriadau oeddent.</w:t>
      </w:r>
      <w:r w:rsidR="005D55E8" w:rsidRPr="009168E5">
        <w:rPr>
          <w:rFonts w:ascii="Arial" w:hAnsi="Arial" w:cs="Arial"/>
        </w:rPr>
        <w:t xml:space="preserve"> </w:t>
      </w:r>
      <w:r w:rsidR="005D55E8" w:rsidRPr="009168E5">
        <w:rPr>
          <w:rFonts w:ascii="Arial" w:hAnsi="Arial" w:cs="Arial"/>
        </w:rPr>
        <w:t>Roedd hyn i weld yn hynod effeithiol wrth gynnal diddordeb y plant o fewn y dasg. Dull amlwg iawn o fewn strategaeth llawer o ysgolion yw’r dull scaffaldi a gynigwyd gan yr athronydd Vygotsky. Mae Vygotsky yn mynnu bod angen scaffaldi dros y parth dysgu procsimol sef y gwahaniaeth rhwng yr hyn y gall dysgwr ei wneud heb gymorth a'r hyn y gallent gyflawni gydag arweiniad neu gymorth (Mcleod, 2019). Drwy ddilyn ei theori, gall ysgolion hybu unigolion i ddod yn fwy annibynnol ar ôl derbyn y cymorth angenrheidiol sydd angen i ddysgu. Helpa hyn i baratoi disgyblion at y byd go iawn a phellhau eu haddysg a datblygiad.</w:t>
      </w:r>
    </w:p>
    <w:p w14:paraId="230FD23E" w14:textId="253E2D70" w:rsidR="00705759" w:rsidRPr="009168E5" w:rsidRDefault="005D55E8" w:rsidP="009168E5">
      <w:pPr>
        <w:spacing w:line="276" w:lineRule="auto"/>
        <w:rPr>
          <w:rFonts w:ascii="Arial" w:hAnsi="Arial" w:cs="Arial"/>
        </w:rPr>
      </w:pPr>
      <w:r w:rsidRPr="009168E5">
        <w:rPr>
          <w:rFonts w:ascii="Arial" w:hAnsi="Arial" w:cs="Arial"/>
        </w:rPr>
        <w:t>Ffordd arall o sicrhau cymysgedd o ddulliau addysgu yw cynnig safbwynt arall o sbardun i wers neu thema newydd. Diddorol oedd gweld, yn ystod fy nghyfnod ar yr wythnos arsylwi yn ystod PAP1 oedd clywed am eu trip i gastell lleol i gyd-fynd gyda’i thema o gestyll. Gwelais yr athrawes ddosbarth yn atgoffa’r dosbarth o’r trip a’n holi plant am beth a welsant ac i gyd fynd gyda’r gwersi tric a chlic i ddatblygu sgiliau llythrennedd a llafar y plant. Nid yn unig mewn gwersi tric a chlic ond hefyd wrth iddyn nhw adrodd stori Gelert. Cysylltwyd sawl elfen o’r stori i beth a ddysgwyd ar eu trip diweddar. Mae cynnig tripiau neu ddigwyddiadau allgyrsiol yn cynnig siawns i’r plant gael profi rhywbeth nad ydynt efallai wedi profi o’r blaen. Pwysig yw deall y berthynas rhwng tripiau addysgiadol a dysgu drwy brofiad, mae’n fath o addysg ddilys, uniongyrchol sy’n seiliedig ar y synhwyrau.</w:t>
      </w:r>
      <w:r w:rsidRPr="009168E5">
        <w:rPr>
          <w:rFonts w:ascii="Arial" w:hAnsi="Arial" w:cs="Arial"/>
        </w:rPr>
        <w:t xml:space="preserve"> </w:t>
      </w:r>
      <w:r w:rsidRPr="009168E5">
        <w:rPr>
          <w:rFonts w:ascii="Arial" w:hAnsi="Arial" w:cs="Arial"/>
        </w:rPr>
        <w:t>Maent yn cynnig cyfle i archwilio, cyffwrdd, gwrando ar, gwylio ar brofiadau neu bethau newydd. Mae’n hollbwysig i athrawon gydio ar brofiad, a’i drawsnewid i ddatblygu addysg plant (Behrendt a Franklin, 2014). Gall cyfraddau tlodi uchel fod yn rhwystr mawr i gynnig y cyfleoedd addysgiadol i bob plentyn. Mae mudiadau fel St Ffagan tu allan i Gaerdydd yn ceisio gwneud eu cyfleusterau yn agored i bawb gan gynnig taith ddigidol trwy eu safle ar lein am ddim ar gyfer yr ysgolion sydd yn cael trafferth ariannol i gynnig y profiad i bob disgybl. Wedi dweud hyn, rhaid i athrawon sicrhau eu bod yn cynnig maes chwarae gwastad i bob unigolyn, er mwyn cynnig addysg deg i bawb. Yn groes i hyn, gellir honni fod trip i gastell neu draeth i weld gan rhai yn wastraff o ddiwrnod addysgu os ydynt wedi derbyn y profiad o’r blaen.</w:t>
      </w:r>
      <w:r w:rsidRPr="009168E5">
        <w:rPr>
          <w:rFonts w:ascii="Arial" w:hAnsi="Arial" w:cs="Arial"/>
        </w:rPr>
        <w:t xml:space="preserve"> </w:t>
      </w:r>
      <w:r w:rsidRPr="009168E5">
        <w:rPr>
          <w:rFonts w:ascii="Arial" w:hAnsi="Arial" w:cs="Arial"/>
        </w:rPr>
        <w:t xml:space="preserve">Er hyn, yn fy marn i </w:t>
      </w:r>
      <w:r w:rsidRPr="009168E5">
        <w:rPr>
          <w:rFonts w:ascii="Arial" w:hAnsi="Arial" w:cs="Arial"/>
        </w:rPr>
        <w:lastRenderedPageBreak/>
        <w:t>mae’n bwysicach cynnig yr un cyfle i bawb, ac efallai i’r rhai sydd wedi derbyn y profiad ymlaen llaw, efallai ei bod yn dysgu rhywbeth newydd, atgoffa neu bellhau’r wybodaeth flaenorol hyd yn oed. Atgyfnertha gwaith Hite (2007) ar ddyletswydd addysg gyfannol i sicrhau cymunedau dysgu cynhwysol a theg. Pe bai sbardun allgyrsiol fel trip neu ymwelydd yn dod i siarad gyda’r disgyblion, galluoga hyn i blant ddenu casgliadau cyfoethocach yn yr ystafell ddosbarth. Gellir dadlau y bysai trip neu ymwelydd gynnig safbwynt amgen i blant y dosbarth a mentro cipio diddordeb yn y maes. Angenrheidiol yw sicrhau bod addysg yn y Cyfnod Sylfaen yn ddisgybl canolog a bod pob tasg yn arlwyo i ofynion ac anghenion pob disgybl. Mae addysg disgybl canolog yn gofyn am wahaniaethu rhwng cynnwys gwersi a gweithgareddau, fel bod anghenion pob disgybl neu grŵp yn cael ei gwrdd (Smeets a Mooij, 2001).</w:t>
      </w:r>
      <w:r w:rsidR="00445700" w:rsidRPr="009168E5">
        <w:rPr>
          <w:rFonts w:ascii="Arial" w:hAnsi="Arial" w:cs="Arial"/>
        </w:rPr>
        <w:t xml:space="preserve"> </w:t>
      </w:r>
    </w:p>
    <w:p w14:paraId="2812792D" w14:textId="3D6D7E6A" w:rsidR="003342FB" w:rsidRPr="009168E5" w:rsidRDefault="005D55E8" w:rsidP="009168E5">
      <w:pPr>
        <w:spacing w:line="276" w:lineRule="auto"/>
        <w:rPr>
          <w:rFonts w:ascii="Arial" w:hAnsi="Arial" w:cs="Arial"/>
        </w:rPr>
      </w:pPr>
      <w:r w:rsidRPr="009168E5">
        <w:rPr>
          <w:rFonts w:ascii="Arial" w:hAnsi="Arial" w:cs="Arial"/>
        </w:rPr>
        <w:t>Mae awydd plant a phobl ifanc i ddysgu yn deillio o’i diddordebau (Early Excellence Inspirational Learning, 2022). Amlinella hyn y pwysigrwydd i athrawon feddwl am sut i ddal sylw a chadw diddordeb y disgyblion ar dasgau yn y dosbarth. Mae’n awgrymu y dylai athrawon dod i adnabod y disgyblion yn ddyfnach a dod i adnabod eu diddordebau er mwyn cymryd mantais o’r wybodaeth er mwyn darparu addysg well. Er mwyn cysylltu’r egwyddor addysgegol hon a’r chwe Maes Dysgu a Phrofiad (MdaPh), gellir cynnig gwers ieithyddol i ysgrifennu llythyr at gymeriad ffuglennol o’i dewis er mwyn ymddiddori’r plant a chadw ymgysylltiad i’r dasg a sicrhau dysgu a datblygiad. Drwy wneud hyn, mae addysgu uniongyrchol yn cael ei osod, ond hefyd yn cynnig safbwynt arall o wers draddodiadol iaith er mwyn magi a chynnal diddordeb y plant dros y dasg.</w:t>
      </w:r>
      <w:r w:rsidRPr="009168E5">
        <w:rPr>
          <w:rFonts w:ascii="Arial" w:hAnsi="Arial" w:cs="Arial"/>
        </w:rPr>
        <w:t xml:space="preserve"> </w:t>
      </w:r>
      <w:r w:rsidRPr="009168E5">
        <w:rPr>
          <w:rFonts w:ascii="Arial" w:hAnsi="Arial" w:cs="Arial"/>
        </w:rPr>
        <w:t>Cysyllta hyn i FDaPh Ieithoedd, llythrennedd a chyfathrebu yn effeithiol, a digon hawdd yn sicrhau gwers drawsgwricwlaidd i fwrw mwy o feysydd dysgu a phrofiad. Enghraifft bysai cynnal elfen hanesyddol i’r dasg fel gofyn i’r plant ysgrifennu llythyr yn esbonio digwyddiad hanesyddol er mwyn targedu’r dyniaethau yn y chwe MdaPh.</w:t>
      </w:r>
    </w:p>
    <w:p w14:paraId="4D4B461F" w14:textId="77777777" w:rsidR="005D55E8" w:rsidRPr="009168E5" w:rsidRDefault="005D55E8" w:rsidP="009168E5">
      <w:pPr>
        <w:spacing w:line="276" w:lineRule="auto"/>
        <w:rPr>
          <w:rFonts w:ascii="Arial" w:hAnsi="Arial" w:cs="Arial"/>
        </w:rPr>
      </w:pPr>
      <w:r w:rsidRPr="009168E5">
        <w:rPr>
          <w:rFonts w:ascii="Arial" w:hAnsi="Arial" w:cs="Arial"/>
        </w:rPr>
        <w:t>Yr ail egwyddor addysgegol yr wyf am drafod yw “Mae addysgu a dysgu da yn golygu gosod tasgau a dewis adnoddau sy’n adeiladu ar wybodaeth a phrofiad blaenorol ac yn ennyn diddordeb”. Yn debyg i’r egwyddor gyntaf, mae blaenoriaeth ar brofiad personol y disgyblion yma, ac felly yn pwysleisio'r angen i gynnig yr un profiad i bob plentyn. Wrth i ni gynnig yr un lefel o wybodaeth a dealltwriaeth i bob unigolyn, mae gan bob plentyn cyfle teg i adeiladu ar y sail o wybodaeth hynny. Esbonia Coleman (2006) bod cefndir plant dros weithgareddau allgyrsiol yn bwysig a bod tlodi yn broblem fawr wrth agor y bwlch rhwng y tlawd a’r cyfoethog yn llydanach mewn sefyllfaoedd ysgol. Awgryma hyn y dylai athrawon ac ysgolion gwneud popeth y gallent i sicrhau cyfleoedd teg a chydraddoldeb o fewn yr ystafell ddosbarth ac wrth ystyried gweithgareddau allgyrsiol. Wrth gynnig yw un profiad i bob disgybl, y mae hi’n decach wrth asesu eu cynnydd a datblygiad yn addysgol.</w:t>
      </w:r>
      <w:r w:rsidRPr="009168E5">
        <w:rPr>
          <w:rFonts w:ascii="Arial" w:hAnsi="Arial" w:cs="Arial"/>
        </w:rPr>
        <w:t xml:space="preserve"> </w:t>
      </w:r>
      <w:r w:rsidRPr="009168E5">
        <w:rPr>
          <w:rFonts w:ascii="Arial" w:hAnsi="Arial" w:cs="Arial"/>
        </w:rPr>
        <w:t>Mae gwybodaeth flaenorol yn arf cryf i ddefnyddio wrth addysgu, ac mae’n bwysig atgoffa disgyblion yn aml o’r hyn a ddysgwyd. Er hyn, mae’n bosib na fydd rhai plant yn gallu gwneud cysylltiadau rhwng hwn a’r cynnwys newydd, ac felly’n llesteirio’r cynnydd a dysgu. Pwysleisia hyn y pwysigrwydd dros annog plant i gofio dysgu blaenorol cyn cyflwyno unrhyw wybodaeth neu ddysgu newydd (Tay, 2018). Mewn awyrgylch addysgiadol, bysai rhai plant yn cael mwy o drafferth i adalw gwybodaeth flaenorol, fel athrawon mae rôl arnynt i sicrhau eu bod yn defnyddio unrhyw ddull sy’n addas i anghenion sbesiffig y disgybl i gofio ac adalw gwybodaeth bwysig. Ffordd dda o osod sbardun effeithiol ar ddechrau thema newydd yw mynd ar drip addysgiadol neu wahodd ymwelydd neu siaradwr i ddod i’r dosbarth. Hollbwysig yw cynnig y sylfaen o wybodaeth hon i’r disgyblion ac adeiladu ar hynny drwy ystod o ddulliau gwahanol er mwyn sicrhau rhywbeth at ddant pob unigolyn.</w:t>
      </w:r>
      <w:r w:rsidRPr="009168E5">
        <w:rPr>
          <w:rFonts w:ascii="Arial" w:hAnsi="Arial" w:cs="Arial"/>
        </w:rPr>
        <w:t xml:space="preserve"> </w:t>
      </w:r>
    </w:p>
    <w:p w14:paraId="498B3C91" w14:textId="178B8D97" w:rsidR="003A2FE8" w:rsidRPr="009168E5" w:rsidRDefault="005D55E8" w:rsidP="009168E5">
      <w:pPr>
        <w:spacing w:line="276" w:lineRule="auto"/>
        <w:rPr>
          <w:rFonts w:ascii="Arial" w:hAnsi="Arial" w:cs="Arial"/>
        </w:rPr>
      </w:pPr>
      <w:r w:rsidRPr="009168E5">
        <w:rPr>
          <w:rFonts w:ascii="Arial" w:hAnsi="Arial" w:cs="Arial"/>
        </w:rPr>
        <w:lastRenderedPageBreak/>
        <w:t>Yn fy marn i, nid oes amheuaeth dros bwysigrwydd cyfleoedd cyfartal i blant a phobl ifanc. Er hyn, rhaid cyfaddef gall ardaloedd difreintiedig bod yn broblem wrth geisio sicrhau profiadau hafal. Gyda chyfraddau tlodi uchel dros y wlad, gall diffyg cymorth ariannol gan y rhieni llesteirio’r nifer o gyfleoedd sydd gan ddisgybl. Hollbwysig yw sicrhau nad yw athrawon yn gwneud tybiaethau dros brofiad blaenorol unigolion. Er enghraifft, wrth sôn am draeth a’r môr, nid oes modd tybio bod pob plentyn wedi bod i ymweld â thraeth yn eu bywydau, felly pwysig yw sicrhau bod pawb yn derbyn yr un profiad os ydych yn bwriadu’i defnyddio mewn gwers. Rhoddir cyfrifoldeb ar athrawon i gyfoethogi profiad plentyn a sicrhau tegwch. Fel y sonnir uchod, mae rhai mudiadau yn ceisio cynnig eu profiadau am ddim ar lein fel St Ffagan, a sicrhau bod y profiad a’r addysg yn hygyrch i bawb. Mae pwyslais mawr ar drawsnewid gwybodaeth drwy brofiadau blaenorol.</w:t>
      </w:r>
      <w:r w:rsidRPr="009168E5">
        <w:rPr>
          <w:rFonts w:ascii="Arial" w:hAnsi="Arial" w:cs="Arial"/>
        </w:rPr>
        <w:t xml:space="preserve"> </w:t>
      </w:r>
      <w:r w:rsidRPr="009168E5">
        <w:rPr>
          <w:rFonts w:ascii="Arial" w:hAnsi="Arial" w:cs="Arial"/>
        </w:rPr>
        <w:t>Deillir gwybodaeth o'r cyfuniad o gydio a thrawsnewid profiad, a dyma le ceir ddatblygiad helaeth ym mhlant a phobl ifanc (Science Education Resource Center, 2018). Awgryma Kolb (2015) y dylai’r broses o ddysgu cysylltu gyda phrofiadau bodau dynol go iawn, awgryma hefyd “Learning is driven by curiosity” Kolb (2015, tud.133). Pwysleisia hyn y pwysigrwydd dros fagi diddordeb y disgyblion dros y testun, a thrwy brofiad blaenorol y mae wir cipio sylw plant a phobl ifanc yn fy marn i.</w:t>
      </w:r>
      <w:r w:rsidR="00C559A2" w:rsidRPr="009168E5">
        <w:rPr>
          <w:rFonts w:ascii="Arial" w:hAnsi="Arial" w:cs="Arial"/>
        </w:rPr>
        <w:t xml:space="preserve"> </w:t>
      </w:r>
    </w:p>
    <w:p w14:paraId="1BC078D6" w14:textId="3DCD1E79" w:rsidR="00F70FB2" w:rsidRPr="009168E5" w:rsidRDefault="009168E5" w:rsidP="009168E5">
      <w:pPr>
        <w:spacing w:line="276" w:lineRule="auto"/>
        <w:rPr>
          <w:rFonts w:ascii="Arial" w:hAnsi="Arial" w:cs="Arial"/>
        </w:rPr>
      </w:pPr>
      <w:r w:rsidRPr="009168E5">
        <w:rPr>
          <w:rFonts w:ascii="Arial" w:hAnsi="Arial" w:cs="Arial"/>
        </w:rPr>
        <w:t>Gwelir un dull o gynnig sefyllfaoedd bywyd go iawn o fewn sawl ystafell ddosbarth drwy ardaloedd chwarae rôl. Mae’r ardaloedd yn rhoi’r cyfle i blant ymarfer eu dychymyg ac esgus eu bod mewn sefyllfaoedd bywyd go iawn. Yn ystod fy wythnos arsylwi ar y PAP1, arsylwais grŵp bach o blant o fewn yr ardal chwarae rôl a addurnwyd fel siop flodau. Cynia’r gweithgaredd y siawns i blant chwarae gyda’i chyfoedion wrth ymarfer ar eu sgiliau cymdeithasol, llythrennedd a rhifedd hyd yn oed yn y maes yma. Gwelais y plant yn cyfri arian wrth drafod pris y blodau wrth weithio ar eu sgiliau cyfrifo a rhifedd. Mae sawl posibilrwydd i gyfoethogi dysgu a datblygiad plant drwy’r defnydd o ardaloedd chwarae rôl yn fy marn i. Awgrymai bod chwarae rôl yn ffurf lai technolegol o efelychu sefyllfaoedd bywyd go iawn a bod pawb yn dueddol o chwarae rôl yn eu bywydau boed yn rhan o’i swydd neu addysg (Blatner, 2009).</w:t>
      </w:r>
      <w:r w:rsidRPr="009168E5">
        <w:rPr>
          <w:rFonts w:ascii="Arial" w:hAnsi="Arial" w:cs="Arial"/>
        </w:rPr>
        <w:t xml:space="preserve"> </w:t>
      </w:r>
      <w:r w:rsidRPr="009168E5">
        <w:rPr>
          <w:rFonts w:ascii="Arial" w:hAnsi="Arial" w:cs="Arial"/>
        </w:rPr>
        <w:t>Nid oes amheuaeth dros effeithiolrwydd chwarae rôl yn y dosbarth, a’i hyblygrwydd. Does dim rheolau i chwarae rôl gall blentyn ei addasu at eu diddordeb nhw ac yn datblygu’i sgiliau personol yn annibynnol. Ymhellach, pwysleisia hyn y pwysigrwydd dros amrywiaeth mewn ardaloedd y dosbarth, mae’n bwysig cynnig ystod o ardaloedd gan gynnig tasgau sy’n amrywio. Sicrha hyn bod y nifer o weithgareddau ar gael yn fwy tebygol o fod o ddiddordeb i ddisgyblion y dosbarth. Bellach, amlinella hyn y rôl sydd gan athrawon i ddod i nabod eu disgyblion yn dda ac adnabod diddordebau unigolion y dosbarth i gymryd mantais dros hyn i wella’u haddysg.</w:t>
      </w:r>
    </w:p>
    <w:p w14:paraId="1EED13E3" w14:textId="3DF5A88C" w:rsidR="001A03A2" w:rsidRPr="009168E5" w:rsidRDefault="009168E5" w:rsidP="009168E5">
      <w:pPr>
        <w:spacing w:line="276" w:lineRule="auto"/>
        <w:rPr>
          <w:rFonts w:ascii="Arial" w:hAnsi="Arial" w:cs="Arial"/>
        </w:rPr>
      </w:pPr>
      <w:r w:rsidRPr="009168E5">
        <w:rPr>
          <w:rFonts w:ascii="Arial" w:hAnsi="Arial" w:cs="Arial"/>
        </w:rPr>
        <w:t>Y drydedd egwyddor addysgegol i drafod yw “Mae addysgu a dysgu da yn ymestyn oddi mewn ac ar draws Meysydd dysgu a phrofiad”. Awgryma’r egwyddor addysgegol hon gan Donaldson bod angen i athrawon ystyried eu cynllunio’n ddyfnach fyth wrth geisio targedu MDaPh penodol a hyd yn oed ystyried sut i drawsnewid gwers i ddod yn drawsgwricwlaidd. Drwy gyfuno sawl MdaPh, y mae effeithioli dysgu, a datblygu sgiliau datrys problemau trosglwyddadwy i fywyd go iawn (Weinstein, 2018).  “Os gellir dod o hyd i gysylltiadau cryf oddi mewn a rhwng Meysydd Dysgu a Phrofiad, byddant yn debygol o wella a chryfhau’r dysgu” (Donaldson, 2015, tud 68). Cefnoga hyn holl bwysigrwydd sicrhau addysg sy’n cyrraedd pob maes, er mwyn sicrhau datblygiad mwy cyfannol. Un dechneg boblogaidd a welir mewn ysgolion i sicrhau addysg drawsgwricwlaidd yw’r defnydd o ysgolion goedwig a dysgu yn yr awyr agored.</w:t>
      </w:r>
      <w:r w:rsidR="00654CA0" w:rsidRPr="009168E5">
        <w:rPr>
          <w:rFonts w:ascii="Arial" w:hAnsi="Arial" w:cs="Arial"/>
        </w:rPr>
        <w:t xml:space="preserve"> </w:t>
      </w:r>
      <w:r w:rsidRPr="009168E5">
        <w:rPr>
          <w:rFonts w:ascii="Arial" w:hAnsi="Arial" w:cs="Arial"/>
        </w:rPr>
        <w:t xml:space="preserve">Treiddia unrhyw addysgu awyr agored y MdaPh iechyd a lles, cyniga’r cyfle i ddisgyblion mentro allan o’r awyrgylch addysgiadol arferol tu allan. Gellir </w:t>
      </w:r>
      <w:r w:rsidRPr="009168E5">
        <w:rPr>
          <w:rFonts w:ascii="Arial" w:hAnsi="Arial" w:cs="Arial"/>
        </w:rPr>
        <w:lastRenderedPageBreak/>
        <w:t>honni fod ysgolion coedwig yn cynnig cyfleoedd rheolaidd i blant a phobl ifanc, wrth ddatblygu hyder a hunan-barch trwy brofiadau addysgol mewn amgylcheddau sy’n groes i’u harfer, o bosib (O’Brien, 2009). Gellir honni bod diffyg chwarae ac addysg awyr agored yn llesteirio datblygiad cymdeithasol ac emosiynol plant i raddau helaeth, a bod amharodrwydd rhieni i ganiatáu eu plant i chwarae tu allan drwy ofn, yn rhwystr i’u haddysg (Maynard, 2007). Cefnoga hyn yr anogaeth dros addysg awyr agored bellach, erbyn hyn mae cyrsiau hyfforddiant a chyfleusterau mewn lle i addysgu athrawon ar fuddion ysgolion goedwig a sut i gymryd mantais o goetir lleol yn addysgol (Rees a Gealy, 2013).</w:t>
      </w:r>
    </w:p>
    <w:p w14:paraId="0B9802E5" w14:textId="3488D5BA" w:rsidR="00D75DBA" w:rsidRPr="009168E5" w:rsidRDefault="009168E5" w:rsidP="009168E5">
      <w:pPr>
        <w:spacing w:line="276" w:lineRule="auto"/>
        <w:rPr>
          <w:rFonts w:ascii="Arial" w:hAnsi="Arial" w:cs="Arial"/>
        </w:rPr>
      </w:pPr>
      <w:r w:rsidRPr="009168E5">
        <w:rPr>
          <w:rFonts w:ascii="Arial" w:hAnsi="Arial" w:cs="Arial"/>
        </w:rPr>
        <w:t>Credaf ei bod hi’n hollbwysig sicrhau cysylltiadau ystyrlon rhwng y pynciau mewn ffordd naturiol, gan fod hi’n haws ei drawsnewid i fywyd y tu allan i’r ysgol. Wrth ymdrin ȃ dull trawsgwricwlaidd o addysgu, mae’n caniatáu i’r athro ymdrin gyda sawl maes dysgu neu bwnc er mwyn sicrhau addysg gyfannol i’r disgyblion. Yn ogystal, gall athro gymryd mantais o hyn gan roi sylw cyfartal i bob MdaPh o fewn y cwricwlwm a gwneud yn siŵr nad ydynt yn rhoi gormod o bwyslais ar un maes dros y gweddill. Ar y llaw arall, mae’n hanfodol i athrawon beidio â rhoi gormod o bwysau ar sicrhau gwers drawsgwricwlaidd ar bob achlysur, weithiau bysai angen mwy o ffocws ar faes neu sgiliau penodol o fewn gwers. I gefnogi’r defnydd o ddysgu trawsgwricwlaidd, mae tystiolaeth newydd o ganologrwydd niwronyddoniaeth addysgol. Awgryma fod dulliau, ystyrlon ac emosiynol yn ganolog i ddatblygiad a dysgu plant a phobl ifanc (Barnes, 2015). Cryfha hyn y ddadl dros ymestyn addysg ar draws meysydd dysgu a phrofiad, a chynnig addysg drawsgwricwlaidd. Er mwyn cysylltu’r egwyddor addysgegol hon i’r meysydd dysgu a phrofiad, gellir cynnal gwers fathemateg a rhifedd mewn ardal coetir. Gellir gofyn i blant y dosbarth i fesur boncyff y coed, dail a changhennau. Yn ogystal, gellir ymestyn y dysgu i bwyso gwahanol eitemau y mae’r plant yn darganfod o fewn yr ardal o goetir. Mae’r syniad o wers hon yn un rhyddfrydol a’n cynnig rhyddid i’r plant gael ymarfer eu hannibyniaeth wrth ymgysylltu gyda’r bywyd natur a sgiliau pwyso a mesur hanfodol.</w:t>
      </w:r>
    </w:p>
    <w:p w14:paraId="25BA2F2C" w14:textId="3EFED40A" w:rsidR="00B01C32" w:rsidRDefault="009168E5" w:rsidP="009168E5">
      <w:pPr>
        <w:spacing w:line="276" w:lineRule="auto"/>
        <w:rPr>
          <w:rFonts w:ascii="Arial" w:hAnsi="Arial" w:cs="Arial"/>
        </w:rPr>
      </w:pPr>
      <w:r w:rsidRPr="009168E5">
        <w:rPr>
          <w:rFonts w:ascii="Arial" w:hAnsi="Arial" w:cs="Arial"/>
        </w:rPr>
        <w:t>I gloi, nid oes amheuaeth dros ddilysrwydd y deuddeg egwyddor addysgegol a ysgrifennwyd gan Donaldson. Cafodd y cwricwlwm ei ddylunio’n ofalus er mwyn i blant gallu trawsnewid yr hyn a ddysgwyd i'w bywydau tu allan i’r ysgol. Drwy edrych ar dystiolaeth, yn amlwg bod dysgu effeithiol yn galw am ystod o ddulliau er mwyn cynnwys pawb a rhoi cyfle hafal i bawb cael llwyddo. Ceir pwyslais mawr ar gydraddoldeb i blant a phobl ifanc o fewn ysgolion a gwelir hyn yn amlwg o fewn cwricwlwm newydd Cymru.</w:t>
      </w:r>
      <w:r w:rsidR="00775AD1" w:rsidRPr="009168E5">
        <w:rPr>
          <w:rFonts w:ascii="Arial" w:hAnsi="Arial" w:cs="Arial"/>
        </w:rPr>
        <w:t xml:space="preserve"> </w:t>
      </w:r>
      <w:r w:rsidRPr="009168E5">
        <w:rPr>
          <w:rFonts w:ascii="Arial" w:hAnsi="Arial" w:cs="Arial"/>
        </w:rPr>
        <w:t>Gwelir budd mawr o adeiladu ar brofiadau blaenorol yr unigolion a’r pwysigrwydd i gynnig y profiad i bawb gan efallai nad yr ydynt wedi cael y cyfle yn eu bywydau. Drwy ddilyn hyn, gellir cysylltu gyda’r Safonau SAC a sicrhau cyd-destunau bywyd go iawn, dilys. Mae hyn yn rhan naturiol o’r profiad dysgu, effeithiol yw hi wrth ehangu a chyfoethogi’r dysgu (Safonau SAC, 2023). Yn ogystal, amlwg iawn yw’r cysylltiad rhwng yr egwyddorion addysgegol a chynnig profiadau dysgu cyfunol. (Safonau SAC, 2023). Mae’r safon sbesiffig hwn yn cysylltu yn enwedig i’r egwyddor addysgegol cyntaf a drafodir gan Donaldson. Pwysleisio’r pwysigrwydd o ddefnyddio amrywiaeth o ddulliau creadigol er mwyn addysgu, o ganlyniad i ddilyn hyn yn creu gwersi ac addysg sydd am apelio i fwy yn y dosbarth.</w:t>
      </w:r>
    </w:p>
    <w:p w14:paraId="770C0619" w14:textId="77777777" w:rsidR="009168E5" w:rsidRDefault="009168E5" w:rsidP="009168E5">
      <w:pPr>
        <w:spacing w:line="276" w:lineRule="auto"/>
        <w:rPr>
          <w:rFonts w:ascii="Arial" w:hAnsi="Arial" w:cs="Arial"/>
        </w:rPr>
      </w:pPr>
    </w:p>
    <w:p w14:paraId="3D2CB4E0" w14:textId="77777777" w:rsidR="009168E5" w:rsidRDefault="009168E5" w:rsidP="009168E5">
      <w:pPr>
        <w:spacing w:line="276" w:lineRule="auto"/>
        <w:rPr>
          <w:rFonts w:ascii="Arial" w:hAnsi="Arial" w:cs="Arial"/>
        </w:rPr>
      </w:pPr>
    </w:p>
    <w:p w14:paraId="1CB87CFB" w14:textId="77777777" w:rsidR="009168E5" w:rsidRDefault="009168E5" w:rsidP="009168E5">
      <w:pPr>
        <w:spacing w:line="276" w:lineRule="auto"/>
        <w:rPr>
          <w:rFonts w:ascii="Arial" w:hAnsi="Arial" w:cs="Arial"/>
        </w:rPr>
      </w:pPr>
    </w:p>
    <w:p w14:paraId="39258BE5" w14:textId="14D8DD49" w:rsidR="009168E5" w:rsidRDefault="009168E5" w:rsidP="009168E5">
      <w:pPr>
        <w:spacing w:line="276" w:lineRule="auto"/>
        <w:rPr>
          <w:rFonts w:ascii="Arial" w:hAnsi="Arial" w:cs="Arial"/>
          <w:b/>
          <w:bCs/>
          <w:sz w:val="28"/>
          <w:szCs w:val="28"/>
        </w:rPr>
      </w:pPr>
      <w:r w:rsidRPr="009168E5">
        <w:rPr>
          <w:rFonts w:ascii="Arial" w:hAnsi="Arial" w:cs="Arial"/>
          <w:b/>
          <w:bCs/>
          <w:sz w:val="28"/>
          <w:szCs w:val="28"/>
        </w:rPr>
        <w:lastRenderedPageBreak/>
        <w:t>Rhestr cyfeirio</w:t>
      </w:r>
    </w:p>
    <w:p w14:paraId="665F7EA0" w14:textId="77A5E3ED" w:rsidR="009168E5" w:rsidRDefault="009168E5" w:rsidP="00E93E13">
      <w:pPr>
        <w:pStyle w:val="NormalWeb"/>
        <w:spacing w:before="0" w:beforeAutospacing="0" w:after="240" w:afterAutospacing="0" w:line="276" w:lineRule="auto"/>
        <w:rPr>
          <w:rFonts w:ascii="Arial" w:hAnsi="Arial" w:cs="Arial"/>
          <w:sz w:val="22"/>
          <w:szCs w:val="22"/>
        </w:rPr>
      </w:pPr>
      <w:r>
        <w:rPr>
          <w:rFonts w:ascii="Arial" w:hAnsi="Arial" w:cs="Arial"/>
          <w:sz w:val="22"/>
          <w:szCs w:val="22"/>
        </w:rPr>
        <w:t xml:space="preserve">Barnes, J. (2015). </w:t>
      </w:r>
      <w:r>
        <w:rPr>
          <w:rFonts w:ascii="Arial" w:hAnsi="Arial" w:cs="Arial"/>
          <w:i/>
          <w:iCs/>
          <w:sz w:val="22"/>
          <w:szCs w:val="22"/>
        </w:rPr>
        <w:t>Cross-curricular learning 3-14</w:t>
      </w:r>
      <w:r>
        <w:rPr>
          <w:rFonts w:ascii="Arial" w:hAnsi="Arial" w:cs="Arial"/>
          <w:sz w:val="22"/>
          <w:szCs w:val="22"/>
        </w:rPr>
        <w:t xml:space="preserve">. Los Angeles: Sage, </w:t>
      </w:r>
      <w:r>
        <w:rPr>
          <w:rFonts w:ascii="Arial" w:hAnsi="Arial" w:cs="Arial"/>
          <w:sz w:val="22"/>
          <w:szCs w:val="22"/>
        </w:rPr>
        <w:t>tud</w:t>
      </w:r>
      <w:r>
        <w:rPr>
          <w:rFonts w:ascii="Arial" w:hAnsi="Arial" w:cs="Arial"/>
          <w:sz w:val="22"/>
          <w:szCs w:val="22"/>
        </w:rPr>
        <w:t>.50–128.</w:t>
      </w:r>
    </w:p>
    <w:p w14:paraId="7889A9C5" w14:textId="2C63E151" w:rsidR="009168E5" w:rsidRDefault="009168E5" w:rsidP="00E93E13">
      <w:pPr>
        <w:pStyle w:val="NormalWeb"/>
        <w:spacing w:before="0" w:beforeAutospacing="0" w:after="240" w:afterAutospacing="0" w:line="276" w:lineRule="auto"/>
        <w:rPr>
          <w:rFonts w:ascii="Arial" w:hAnsi="Arial" w:cs="Arial"/>
          <w:sz w:val="22"/>
          <w:szCs w:val="22"/>
        </w:rPr>
      </w:pPr>
      <w:r>
        <w:rPr>
          <w:rFonts w:ascii="Arial" w:hAnsi="Arial" w:cs="Arial"/>
          <w:sz w:val="22"/>
          <w:szCs w:val="22"/>
        </w:rPr>
        <w:t xml:space="preserve">Behrendt, M. and Franklin, T. (2014). A Review of Research on School Field Trips and Their Value in Education. </w:t>
      </w:r>
      <w:r>
        <w:rPr>
          <w:rFonts w:ascii="Arial" w:hAnsi="Arial" w:cs="Arial"/>
          <w:i/>
          <w:iCs/>
          <w:sz w:val="22"/>
          <w:szCs w:val="22"/>
        </w:rPr>
        <w:t>International Journal of Environmental and Science Education</w:t>
      </w:r>
      <w:r>
        <w:rPr>
          <w:rFonts w:ascii="Arial" w:hAnsi="Arial" w:cs="Arial"/>
          <w:sz w:val="22"/>
          <w:szCs w:val="22"/>
        </w:rPr>
        <w:t xml:space="preserve">, 9(3), </w:t>
      </w:r>
      <w:r>
        <w:rPr>
          <w:rFonts w:ascii="Arial" w:hAnsi="Arial" w:cs="Arial"/>
          <w:sz w:val="22"/>
          <w:szCs w:val="22"/>
        </w:rPr>
        <w:t>tud</w:t>
      </w:r>
      <w:r>
        <w:rPr>
          <w:rFonts w:ascii="Arial" w:hAnsi="Arial" w:cs="Arial"/>
          <w:sz w:val="22"/>
          <w:szCs w:val="22"/>
        </w:rPr>
        <w:t>.235–245.</w:t>
      </w:r>
    </w:p>
    <w:p w14:paraId="5442EF1D" w14:textId="29B0933F" w:rsidR="009168E5" w:rsidRDefault="009168E5" w:rsidP="00E93E13">
      <w:pPr>
        <w:pStyle w:val="NormalWeb"/>
        <w:spacing w:before="0" w:beforeAutospacing="0" w:after="240" w:afterAutospacing="0" w:line="276" w:lineRule="auto"/>
        <w:rPr>
          <w:rFonts w:ascii="Arial" w:hAnsi="Arial" w:cs="Arial"/>
          <w:sz w:val="22"/>
          <w:szCs w:val="22"/>
        </w:rPr>
      </w:pPr>
      <w:r>
        <w:rPr>
          <w:rFonts w:ascii="Arial" w:hAnsi="Arial" w:cs="Arial"/>
          <w:sz w:val="22"/>
          <w:szCs w:val="22"/>
        </w:rPr>
        <w:t xml:space="preserve">Blatner, A. (2009). </w:t>
      </w:r>
      <w:r>
        <w:rPr>
          <w:rFonts w:ascii="Arial" w:hAnsi="Arial" w:cs="Arial"/>
          <w:i/>
          <w:iCs/>
          <w:sz w:val="22"/>
          <w:szCs w:val="22"/>
        </w:rPr>
        <w:t>Role Playing in Education</w:t>
      </w:r>
      <w:r>
        <w:rPr>
          <w:rFonts w:ascii="Arial" w:hAnsi="Arial" w:cs="Arial"/>
          <w:sz w:val="22"/>
          <w:szCs w:val="22"/>
        </w:rPr>
        <w:t>. Blatner.com. https://www.blatner.com/adam/pdntbk/rlplayedu.htm.</w:t>
      </w:r>
    </w:p>
    <w:p w14:paraId="26DC11D0" w14:textId="63DD1658" w:rsidR="009168E5" w:rsidRDefault="009168E5" w:rsidP="00E93E13">
      <w:pPr>
        <w:pStyle w:val="NormalWeb"/>
        <w:spacing w:before="0" w:beforeAutospacing="0" w:after="240" w:afterAutospacing="0" w:line="276" w:lineRule="auto"/>
        <w:rPr>
          <w:rFonts w:ascii="Arial" w:hAnsi="Arial" w:cs="Arial"/>
          <w:sz w:val="22"/>
          <w:szCs w:val="22"/>
        </w:rPr>
      </w:pPr>
      <w:r>
        <w:rPr>
          <w:rFonts w:ascii="Arial" w:hAnsi="Arial" w:cs="Arial"/>
          <w:sz w:val="22"/>
          <w:szCs w:val="22"/>
        </w:rPr>
        <w:t xml:space="preserve">Coleman, J.S. (2006). EQUALITY OF EDUCATIONAL OPPORTUNITY. </w:t>
      </w:r>
      <w:r>
        <w:rPr>
          <w:rFonts w:ascii="Arial" w:hAnsi="Arial" w:cs="Arial"/>
          <w:i/>
          <w:iCs/>
          <w:sz w:val="22"/>
          <w:szCs w:val="22"/>
        </w:rPr>
        <w:t>Equity &amp; Excellence in Education</w:t>
      </w:r>
      <w:r>
        <w:rPr>
          <w:rFonts w:ascii="Arial" w:hAnsi="Arial" w:cs="Arial"/>
          <w:sz w:val="22"/>
          <w:szCs w:val="22"/>
        </w:rPr>
        <w:t xml:space="preserve">, 6(5), </w:t>
      </w:r>
      <w:r w:rsidR="00104FA1">
        <w:rPr>
          <w:rFonts w:ascii="Arial" w:hAnsi="Arial" w:cs="Arial"/>
          <w:sz w:val="22"/>
          <w:szCs w:val="22"/>
        </w:rPr>
        <w:t>tud</w:t>
      </w:r>
      <w:r>
        <w:rPr>
          <w:rFonts w:ascii="Arial" w:hAnsi="Arial" w:cs="Arial"/>
          <w:sz w:val="22"/>
          <w:szCs w:val="22"/>
        </w:rPr>
        <w:t>.19–28.</w:t>
      </w:r>
    </w:p>
    <w:p w14:paraId="63A43014" w14:textId="5E840DCD" w:rsidR="009168E5" w:rsidRDefault="009168E5" w:rsidP="00E93E13">
      <w:pPr>
        <w:pStyle w:val="NormalWeb"/>
        <w:spacing w:before="0" w:beforeAutospacing="0" w:after="240" w:afterAutospacing="0" w:line="276" w:lineRule="auto"/>
        <w:rPr>
          <w:rFonts w:ascii="Arial" w:hAnsi="Arial" w:cs="Arial"/>
          <w:sz w:val="22"/>
          <w:szCs w:val="22"/>
        </w:rPr>
      </w:pPr>
      <w:r>
        <w:rPr>
          <w:rFonts w:ascii="Arial" w:hAnsi="Arial" w:cs="Arial"/>
          <w:sz w:val="22"/>
          <w:szCs w:val="22"/>
        </w:rPr>
        <w:t xml:space="preserve">Donaldson, G. (2015). </w:t>
      </w:r>
      <w:proofErr w:type="spellStart"/>
      <w:r>
        <w:rPr>
          <w:rFonts w:ascii="Arial" w:hAnsi="Arial" w:cs="Arial"/>
          <w:i/>
          <w:iCs/>
          <w:sz w:val="22"/>
          <w:szCs w:val="22"/>
        </w:rPr>
        <w:t>Dyfodol</w:t>
      </w:r>
      <w:proofErr w:type="spellEnd"/>
      <w:r>
        <w:rPr>
          <w:rFonts w:ascii="Arial" w:hAnsi="Arial" w:cs="Arial"/>
          <w:i/>
          <w:iCs/>
          <w:sz w:val="22"/>
          <w:szCs w:val="22"/>
        </w:rPr>
        <w:t xml:space="preserve"> </w:t>
      </w:r>
      <w:proofErr w:type="spellStart"/>
      <w:r>
        <w:rPr>
          <w:rFonts w:ascii="Arial" w:hAnsi="Arial" w:cs="Arial"/>
          <w:i/>
          <w:iCs/>
          <w:sz w:val="22"/>
          <w:szCs w:val="22"/>
        </w:rPr>
        <w:t>Llwyddiannus</w:t>
      </w:r>
      <w:proofErr w:type="spellEnd"/>
      <w:r>
        <w:rPr>
          <w:rFonts w:ascii="Arial" w:hAnsi="Arial" w:cs="Arial"/>
          <w:i/>
          <w:iCs/>
          <w:sz w:val="22"/>
          <w:szCs w:val="22"/>
        </w:rPr>
        <w:t xml:space="preserve"> </w:t>
      </w:r>
      <w:proofErr w:type="spellStart"/>
      <w:r>
        <w:rPr>
          <w:rFonts w:ascii="Arial" w:hAnsi="Arial" w:cs="Arial"/>
          <w:i/>
          <w:iCs/>
          <w:sz w:val="22"/>
          <w:szCs w:val="22"/>
        </w:rPr>
        <w:t>Adolygiad</w:t>
      </w:r>
      <w:proofErr w:type="spellEnd"/>
      <w:r>
        <w:rPr>
          <w:rFonts w:ascii="Arial" w:hAnsi="Arial" w:cs="Arial"/>
          <w:i/>
          <w:iCs/>
          <w:sz w:val="22"/>
          <w:szCs w:val="22"/>
        </w:rPr>
        <w:t xml:space="preserve"> </w:t>
      </w:r>
      <w:proofErr w:type="spellStart"/>
      <w:r>
        <w:rPr>
          <w:rFonts w:ascii="Arial" w:hAnsi="Arial" w:cs="Arial"/>
          <w:i/>
          <w:iCs/>
          <w:sz w:val="22"/>
          <w:szCs w:val="22"/>
        </w:rPr>
        <w:t>Annibynnol</w:t>
      </w:r>
      <w:proofErr w:type="spellEnd"/>
      <w:r>
        <w:rPr>
          <w:rFonts w:ascii="Arial" w:hAnsi="Arial" w:cs="Arial"/>
          <w:i/>
          <w:iCs/>
          <w:sz w:val="22"/>
          <w:szCs w:val="22"/>
        </w:rPr>
        <w:t xml:space="preserve"> </w:t>
      </w:r>
      <w:proofErr w:type="spellStart"/>
      <w:r>
        <w:rPr>
          <w:rFonts w:ascii="Arial" w:hAnsi="Arial" w:cs="Arial"/>
          <w:i/>
          <w:iCs/>
          <w:sz w:val="22"/>
          <w:szCs w:val="22"/>
        </w:rPr>
        <w:t>o’r</w:t>
      </w:r>
      <w:proofErr w:type="spellEnd"/>
      <w:r>
        <w:rPr>
          <w:rFonts w:ascii="Arial" w:hAnsi="Arial" w:cs="Arial"/>
          <w:i/>
          <w:iCs/>
          <w:sz w:val="22"/>
          <w:szCs w:val="22"/>
        </w:rPr>
        <w:t xml:space="preserve"> </w:t>
      </w:r>
      <w:proofErr w:type="spellStart"/>
      <w:r>
        <w:rPr>
          <w:rFonts w:ascii="Arial" w:hAnsi="Arial" w:cs="Arial"/>
          <w:i/>
          <w:iCs/>
          <w:sz w:val="22"/>
          <w:szCs w:val="22"/>
        </w:rPr>
        <w:t>Cwricwlwm</w:t>
      </w:r>
      <w:proofErr w:type="spellEnd"/>
      <w:r>
        <w:rPr>
          <w:rFonts w:ascii="Arial" w:hAnsi="Arial" w:cs="Arial"/>
          <w:i/>
          <w:iCs/>
          <w:sz w:val="22"/>
          <w:szCs w:val="22"/>
        </w:rPr>
        <w:t xml:space="preserve"> </w:t>
      </w:r>
      <w:proofErr w:type="spellStart"/>
      <w:r>
        <w:rPr>
          <w:rFonts w:ascii="Arial" w:hAnsi="Arial" w:cs="Arial"/>
          <w:i/>
          <w:iCs/>
          <w:sz w:val="22"/>
          <w:szCs w:val="22"/>
        </w:rPr>
        <w:t>a’r</w:t>
      </w:r>
      <w:proofErr w:type="spellEnd"/>
      <w:r>
        <w:rPr>
          <w:rFonts w:ascii="Arial" w:hAnsi="Arial" w:cs="Arial"/>
          <w:i/>
          <w:iCs/>
          <w:sz w:val="22"/>
          <w:szCs w:val="22"/>
        </w:rPr>
        <w:t xml:space="preserve"> </w:t>
      </w:r>
      <w:proofErr w:type="spellStart"/>
      <w:r>
        <w:rPr>
          <w:rFonts w:ascii="Arial" w:hAnsi="Arial" w:cs="Arial"/>
          <w:i/>
          <w:iCs/>
          <w:sz w:val="22"/>
          <w:szCs w:val="22"/>
        </w:rPr>
        <w:t>Trefniadau</w:t>
      </w:r>
      <w:proofErr w:type="spellEnd"/>
      <w:r>
        <w:rPr>
          <w:rFonts w:ascii="Arial" w:hAnsi="Arial" w:cs="Arial"/>
          <w:i/>
          <w:iCs/>
          <w:sz w:val="22"/>
          <w:szCs w:val="22"/>
        </w:rPr>
        <w:t xml:space="preserve"> </w:t>
      </w:r>
      <w:proofErr w:type="spellStart"/>
      <w:r>
        <w:rPr>
          <w:rFonts w:ascii="Arial" w:hAnsi="Arial" w:cs="Arial"/>
          <w:i/>
          <w:iCs/>
          <w:sz w:val="22"/>
          <w:szCs w:val="22"/>
        </w:rPr>
        <w:t>Asesu</w:t>
      </w:r>
      <w:proofErr w:type="spellEnd"/>
      <w:r>
        <w:rPr>
          <w:rFonts w:ascii="Arial" w:hAnsi="Arial" w:cs="Arial"/>
          <w:i/>
          <w:iCs/>
          <w:sz w:val="22"/>
          <w:szCs w:val="22"/>
        </w:rPr>
        <w:t xml:space="preserve"> </w:t>
      </w:r>
      <w:proofErr w:type="spellStart"/>
      <w:r>
        <w:rPr>
          <w:rFonts w:ascii="Arial" w:hAnsi="Arial" w:cs="Arial"/>
          <w:i/>
          <w:iCs/>
          <w:sz w:val="22"/>
          <w:szCs w:val="22"/>
        </w:rPr>
        <w:t>yng</w:t>
      </w:r>
      <w:proofErr w:type="spellEnd"/>
      <w:r>
        <w:rPr>
          <w:rFonts w:ascii="Arial" w:hAnsi="Arial" w:cs="Arial"/>
          <w:i/>
          <w:iCs/>
          <w:sz w:val="22"/>
          <w:szCs w:val="22"/>
        </w:rPr>
        <w:t xml:space="preserve"> </w:t>
      </w:r>
      <w:proofErr w:type="spellStart"/>
      <w:r>
        <w:rPr>
          <w:rFonts w:ascii="Arial" w:hAnsi="Arial" w:cs="Arial"/>
          <w:i/>
          <w:iCs/>
          <w:sz w:val="22"/>
          <w:szCs w:val="22"/>
        </w:rPr>
        <w:t>Nghymru</w:t>
      </w:r>
      <w:proofErr w:type="spellEnd"/>
      <w:r>
        <w:rPr>
          <w:rFonts w:ascii="Arial" w:hAnsi="Arial" w:cs="Arial"/>
          <w:i/>
          <w:iCs/>
          <w:sz w:val="22"/>
          <w:szCs w:val="22"/>
        </w:rPr>
        <w:t xml:space="preserve"> Chwefror 2015</w:t>
      </w:r>
      <w:r>
        <w:rPr>
          <w:rFonts w:ascii="Arial" w:hAnsi="Arial" w:cs="Arial"/>
          <w:sz w:val="22"/>
          <w:szCs w:val="22"/>
        </w:rPr>
        <w:t>. https://www.llyw.cymru/sites/default/files/publications/2018-03/dyfodol-llwyddiannus.pdf [</w:t>
      </w:r>
      <w:proofErr w:type="spellStart"/>
      <w:r w:rsidR="00104FA1">
        <w:rPr>
          <w:rFonts w:ascii="Arial" w:hAnsi="Arial" w:cs="Arial"/>
          <w:sz w:val="22"/>
          <w:szCs w:val="22"/>
        </w:rPr>
        <w:t>Dyddiad</w:t>
      </w:r>
      <w:proofErr w:type="spellEnd"/>
      <w:r w:rsidR="00104FA1">
        <w:rPr>
          <w:rFonts w:ascii="Arial" w:hAnsi="Arial" w:cs="Arial"/>
          <w:sz w:val="22"/>
          <w:szCs w:val="22"/>
        </w:rPr>
        <w:t xml:space="preserve"> </w:t>
      </w:r>
      <w:proofErr w:type="spellStart"/>
      <w:r w:rsidR="00104FA1">
        <w:rPr>
          <w:rFonts w:ascii="Arial" w:hAnsi="Arial" w:cs="Arial"/>
          <w:sz w:val="22"/>
          <w:szCs w:val="22"/>
        </w:rPr>
        <w:t>mynediad</w:t>
      </w:r>
      <w:proofErr w:type="spellEnd"/>
      <w:r>
        <w:rPr>
          <w:rFonts w:ascii="Arial" w:hAnsi="Arial" w:cs="Arial"/>
          <w:sz w:val="22"/>
          <w:szCs w:val="22"/>
        </w:rPr>
        <w:t xml:space="preserve"> 14 </w:t>
      </w:r>
      <w:proofErr w:type="spellStart"/>
      <w:r w:rsidR="00104FA1">
        <w:rPr>
          <w:rFonts w:ascii="Arial" w:hAnsi="Arial" w:cs="Arial"/>
          <w:sz w:val="22"/>
          <w:szCs w:val="22"/>
        </w:rPr>
        <w:t>Ebr</w:t>
      </w:r>
      <w:proofErr w:type="spellEnd"/>
      <w:r>
        <w:rPr>
          <w:rFonts w:ascii="Arial" w:hAnsi="Arial" w:cs="Arial"/>
          <w:sz w:val="22"/>
          <w:szCs w:val="22"/>
        </w:rPr>
        <w:t>. 2023].</w:t>
      </w:r>
    </w:p>
    <w:p w14:paraId="2CD54F1A" w14:textId="14D148B6" w:rsidR="009168E5" w:rsidRDefault="009168E5" w:rsidP="00E93E13">
      <w:pPr>
        <w:pStyle w:val="NormalWeb"/>
        <w:spacing w:before="0" w:beforeAutospacing="0" w:after="240" w:afterAutospacing="0" w:line="276" w:lineRule="auto"/>
        <w:rPr>
          <w:rFonts w:ascii="Arial" w:hAnsi="Arial" w:cs="Arial"/>
          <w:sz w:val="22"/>
          <w:szCs w:val="22"/>
        </w:rPr>
      </w:pPr>
      <w:r>
        <w:rPr>
          <w:rFonts w:ascii="Arial" w:hAnsi="Arial" w:cs="Arial"/>
          <w:sz w:val="22"/>
          <w:szCs w:val="22"/>
        </w:rPr>
        <w:t xml:space="preserve">Early Excellence Inspirational Learning (2022). </w:t>
      </w:r>
      <w:r>
        <w:rPr>
          <w:rFonts w:ascii="Arial" w:hAnsi="Arial" w:cs="Arial"/>
          <w:i/>
          <w:iCs/>
          <w:sz w:val="22"/>
          <w:szCs w:val="22"/>
        </w:rPr>
        <w:t xml:space="preserve">Building on Children’s Interests in the </w:t>
      </w:r>
      <w:proofErr w:type="spellStart"/>
      <w:r>
        <w:rPr>
          <w:rFonts w:ascii="Arial" w:hAnsi="Arial" w:cs="Arial"/>
          <w:i/>
          <w:iCs/>
          <w:sz w:val="22"/>
          <w:szCs w:val="22"/>
        </w:rPr>
        <w:t>EYFS</w:t>
      </w:r>
      <w:proofErr w:type="spellEnd"/>
      <w:r>
        <w:rPr>
          <w:rFonts w:ascii="Arial" w:hAnsi="Arial" w:cs="Arial"/>
          <w:sz w:val="22"/>
          <w:szCs w:val="22"/>
        </w:rPr>
        <w:t>. [online] Early Excellence. Available at: https://earlyexcellence.com/latest-news/press-articles/building-on-childrens-interests/?msclkid=9cd423d6b5bc11ecb5118f2fae03be98 [</w:t>
      </w:r>
      <w:proofErr w:type="spellStart"/>
      <w:r w:rsidR="00104FA1">
        <w:rPr>
          <w:rFonts w:ascii="Arial" w:hAnsi="Arial" w:cs="Arial"/>
          <w:sz w:val="22"/>
          <w:szCs w:val="22"/>
        </w:rPr>
        <w:t>Dyddiad</w:t>
      </w:r>
      <w:proofErr w:type="spellEnd"/>
      <w:r w:rsidR="00104FA1">
        <w:rPr>
          <w:rFonts w:ascii="Arial" w:hAnsi="Arial" w:cs="Arial"/>
          <w:sz w:val="22"/>
          <w:szCs w:val="22"/>
        </w:rPr>
        <w:t xml:space="preserve"> </w:t>
      </w:r>
      <w:proofErr w:type="spellStart"/>
      <w:r w:rsidR="00104FA1">
        <w:rPr>
          <w:rFonts w:ascii="Arial" w:hAnsi="Arial" w:cs="Arial"/>
          <w:sz w:val="22"/>
          <w:szCs w:val="22"/>
        </w:rPr>
        <w:t>mynediad</w:t>
      </w:r>
      <w:proofErr w:type="spellEnd"/>
      <w:r>
        <w:rPr>
          <w:rFonts w:ascii="Arial" w:hAnsi="Arial" w:cs="Arial"/>
          <w:sz w:val="22"/>
          <w:szCs w:val="22"/>
        </w:rPr>
        <w:t xml:space="preserve"> 15 </w:t>
      </w:r>
      <w:proofErr w:type="spellStart"/>
      <w:r w:rsidR="00104FA1">
        <w:rPr>
          <w:rFonts w:ascii="Arial" w:hAnsi="Arial" w:cs="Arial"/>
          <w:sz w:val="22"/>
          <w:szCs w:val="22"/>
        </w:rPr>
        <w:t>Ebr</w:t>
      </w:r>
      <w:proofErr w:type="spellEnd"/>
      <w:r>
        <w:rPr>
          <w:rFonts w:ascii="Arial" w:hAnsi="Arial" w:cs="Arial"/>
          <w:sz w:val="22"/>
          <w:szCs w:val="22"/>
        </w:rPr>
        <w:t>. 2023].</w:t>
      </w:r>
    </w:p>
    <w:p w14:paraId="0E485823" w14:textId="0143A33B" w:rsidR="009168E5" w:rsidRDefault="009168E5" w:rsidP="00E93E13">
      <w:pPr>
        <w:pStyle w:val="NormalWeb"/>
        <w:spacing w:before="0" w:beforeAutospacing="0" w:after="240" w:afterAutospacing="0" w:line="276" w:lineRule="auto"/>
        <w:rPr>
          <w:rFonts w:ascii="Arial" w:hAnsi="Arial" w:cs="Arial"/>
          <w:sz w:val="22"/>
          <w:szCs w:val="22"/>
        </w:rPr>
      </w:pPr>
      <w:r>
        <w:rPr>
          <w:rFonts w:ascii="Arial" w:hAnsi="Arial" w:cs="Arial"/>
          <w:sz w:val="22"/>
          <w:szCs w:val="22"/>
        </w:rPr>
        <w:t xml:space="preserve">Hite, R.R. (2007). Innovations in teacher education: A social constructivist approach. </w:t>
      </w:r>
      <w:r>
        <w:rPr>
          <w:rFonts w:ascii="Arial" w:hAnsi="Arial" w:cs="Arial"/>
          <w:i/>
          <w:iCs/>
          <w:sz w:val="22"/>
          <w:szCs w:val="22"/>
        </w:rPr>
        <w:t>Teaching and Teacher Education</w:t>
      </w:r>
      <w:r>
        <w:rPr>
          <w:rFonts w:ascii="Arial" w:hAnsi="Arial" w:cs="Arial"/>
          <w:sz w:val="22"/>
          <w:szCs w:val="22"/>
        </w:rPr>
        <w:t xml:space="preserve">, 23(5), </w:t>
      </w:r>
      <w:r w:rsidR="00104FA1">
        <w:rPr>
          <w:rFonts w:ascii="Arial" w:hAnsi="Arial" w:cs="Arial"/>
          <w:sz w:val="22"/>
          <w:szCs w:val="22"/>
        </w:rPr>
        <w:t>tud</w:t>
      </w:r>
      <w:r>
        <w:rPr>
          <w:rFonts w:ascii="Arial" w:hAnsi="Arial" w:cs="Arial"/>
          <w:sz w:val="22"/>
          <w:szCs w:val="22"/>
        </w:rPr>
        <w:t>.761–764.</w:t>
      </w:r>
    </w:p>
    <w:p w14:paraId="0869F954" w14:textId="0D33B53F" w:rsidR="009168E5" w:rsidRDefault="009168E5" w:rsidP="00E93E13">
      <w:pPr>
        <w:pStyle w:val="NormalWeb"/>
        <w:spacing w:before="0" w:beforeAutospacing="0" w:after="240" w:afterAutospacing="0" w:line="276" w:lineRule="auto"/>
        <w:rPr>
          <w:rFonts w:ascii="Arial" w:hAnsi="Arial" w:cs="Arial"/>
          <w:sz w:val="22"/>
          <w:szCs w:val="22"/>
        </w:rPr>
      </w:pPr>
      <w:r>
        <w:rPr>
          <w:rFonts w:ascii="Arial" w:hAnsi="Arial" w:cs="Arial"/>
          <w:sz w:val="22"/>
          <w:szCs w:val="22"/>
        </w:rPr>
        <w:t xml:space="preserve">Impact Wales (2022). </w:t>
      </w:r>
      <w:r>
        <w:rPr>
          <w:rFonts w:ascii="Arial" w:hAnsi="Arial" w:cs="Arial"/>
          <w:i/>
          <w:iCs/>
          <w:sz w:val="22"/>
          <w:szCs w:val="22"/>
        </w:rPr>
        <w:t>What are the 12 Pedagogical Principles &amp; How to use them</w:t>
      </w:r>
      <w:r>
        <w:rPr>
          <w:rFonts w:ascii="Arial" w:hAnsi="Arial" w:cs="Arial"/>
          <w:sz w:val="22"/>
          <w:szCs w:val="22"/>
        </w:rPr>
        <w:t>. Impact Wales.  https://www.impact.wales/news/12-pedagogical-principles/.</w:t>
      </w:r>
    </w:p>
    <w:p w14:paraId="648ED159" w14:textId="38AF0E53" w:rsidR="009168E5" w:rsidRDefault="009168E5" w:rsidP="00E93E13">
      <w:pPr>
        <w:pStyle w:val="NormalWeb"/>
        <w:spacing w:before="0" w:beforeAutospacing="0" w:after="240" w:afterAutospacing="0" w:line="276" w:lineRule="auto"/>
        <w:rPr>
          <w:rFonts w:ascii="Arial" w:hAnsi="Arial" w:cs="Arial"/>
          <w:sz w:val="22"/>
          <w:szCs w:val="22"/>
        </w:rPr>
      </w:pPr>
      <w:r>
        <w:rPr>
          <w:rFonts w:ascii="Arial" w:hAnsi="Arial" w:cs="Arial"/>
          <w:sz w:val="22"/>
          <w:szCs w:val="22"/>
        </w:rPr>
        <w:t xml:space="preserve">Kolb, D.A. (2015). </w:t>
      </w:r>
      <w:r>
        <w:rPr>
          <w:rFonts w:ascii="Arial" w:hAnsi="Arial" w:cs="Arial"/>
          <w:i/>
          <w:iCs/>
          <w:sz w:val="22"/>
          <w:szCs w:val="22"/>
        </w:rPr>
        <w:t>Experiential Learning: Experience as the Source of Learning and Development</w:t>
      </w:r>
      <w:r>
        <w:rPr>
          <w:rFonts w:ascii="Arial" w:hAnsi="Arial" w:cs="Arial"/>
          <w:sz w:val="22"/>
          <w:szCs w:val="22"/>
        </w:rPr>
        <w:t xml:space="preserve">. 2nd ed. Upper Saddle River, New Jersey: Pearson Education, Inc, </w:t>
      </w:r>
      <w:r w:rsidR="00104FA1">
        <w:rPr>
          <w:rFonts w:ascii="Arial" w:hAnsi="Arial" w:cs="Arial"/>
          <w:sz w:val="22"/>
          <w:szCs w:val="22"/>
        </w:rPr>
        <w:t>tud</w:t>
      </w:r>
      <w:r>
        <w:rPr>
          <w:rFonts w:ascii="Arial" w:hAnsi="Arial" w:cs="Arial"/>
          <w:sz w:val="22"/>
          <w:szCs w:val="22"/>
        </w:rPr>
        <w:t>.19–20.</w:t>
      </w:r>
    </w:p>
    <w:p w14:paraId="56022842" w14:textId="2713DDC6" w:rsidR="009168E5" w:rsidRDefault="009168E5" w:rsidP="00E93E13">
      <w:pPr>
        <w:pStyle w:val="NormalWeb"/>
        <w:spacing w:before="0" w:beforeAutospacing="0" w:after="240" w:afterAutospacing="0" w:line="276" w:lineRule="auto"/>
        <w:rPr>
          <w:rFonts w:ascii="Arial" w:hAnsi="Arial" w:cs="Arial"/>
          <w:sz w:val="22"/>
          <w:szCs w:val="22"/>
        </w:rPr>
      </w:pPr>
      <w:proofErr w:type="spellStart"/>
      <w:r>
        <w:rPr>
          <w:rFonts w:ascii="Arial" w:hAnsi="Arial" w:cs="Arial"/>
          <w:sz w:val="22"/>
          <w:szCs w:val="22"/>
        </w:rPr>
        <w:t>Llywodraeth</w:t>
      </w:r>
      <w:proofErr w:type="spellEnd"/>
      <w:r>
        <w:rPr>
          <w:rFonts w:ascii="Arial" w:hAnsi="Arial" w:cs="Arial"/>
          <w:sz w:val="22"/>
          <w:szCs w:val="22"/>
        </w:rPr>
        <w:t xml:space="preserve"> Cymru (2015). </w:t>
      </w:r>
      <w:proofErr w:type="spellStart"/>
      <w:r>
        <w:rPr>
          <w:rFonts w:ascii="Arial" w:hAnsi="Arial" w:cs="Arial"/>
          <w:i/>
          <w:iCs/>
          <w:sz w:val="22"/>
          <w:szCs w:val="22"/>
        </w:rPr>
        <w:t>Cwricwlwm</w:t>
      </w:r>
      <w:proofErr w:type="spellEnd"/>
      <w:r>
        <w:rPr>
          <w:rFonts w:ascii="Arial" w:hAnsi="Arial" w:cs="Arial"/>
          <w:i/>
          <w:iCs/>
          <w:sz w:val="22"/>
          <w:szCs w:val="22"/>
        </w:rPr>
        <w:t xml:space="preserve"> </w:t>
      </w:r>
      <w:proofErr w:type="spellStart"/>
      <w:r>
        <w:rPr>
          <w:rFonts w:ascii="Arial" w:hAnsi="Arial" w:cs="Arial"/>
          <w:i/>
          <w:iCs/>
          <w:sz w:val="22"/>
          <w:szCs w:val="22"/>
        </w:rPr>
        <w:t>i</w:t>
      </w:r>
      <w:proofErr w:type="spellEnd"/>
      <w:r>
        <w:rPr>
          <w:rFonts w:ascii="Arial" w:hAnsi="Arial" w:cs="Arial"/>
          <w:i/>
          <w:iCs/>
          <w:sz w:val="22"/>
          <w:szCs w:val="22"/>
        </w:rPr>
        <w:t xml:space="preserve"> </w:t>
      </w:r>
      <w:proofErr w:type="spellStart"/>
      <w:r>
        <w:rPr>
          <w:rFonts w:ascii="Arial" w:hAnsi="Arial" w:cs="Arial"/>
          <w:i/>
          <w:iCs/>
          <w:sz w:val="22"/>
          <w:szCs w:val="22"/>
        </w:rPr>
        <w:t>Gymru</w:t>
      </w:r>
      <w:proofErr w:type="spellEnd"/>
      <w:r>
        <w:rPr>
          <w:rFonts w:ascii="Arial" w:hAnsi="Arial" w:cs="Arial"/>
          <w:i/>
          <w:iCs/>
          <w:sz w:val="22"/>
          <w:szCs w:val="22"/>
        </w:rPr>
        <w:t xml:space="preserve"> - Hwb</w:t>
      </w:r>
      <w:r>
        <w:rPr>
          <w:rFonts w:ascii="Arial" w:hAnsi="Arial" w:cs="Arial"/>
          <w:sz w:val="22"/>
          <w:szCs w:val="22"/>
        </w:rPr>
        <w:t xml:space="preserve">. </w:t>
      </w:r>
      <w:proofErr w:type="spellStart"/>
      <w:proofErr w:type="gramStart"/>
      <w:r>
        <w:rPr>
          <w:rFonts w:ascii="Arial" w:hAnsi="Arial" w:cs="Arial"/>
          <w:sz w:val="22"/>
          <w:szCs w:val="22"/>
        </w:rPr>
        <w:t>hwb.gov.wales</w:t>
      </w:r>
      <w:proofErr w:type="spellEnd"/>
      <w:proofErr w:type="gramEnd"/>
      <w:r>
        <w:rPr>
          <w:rFonts w:ascii="Arial" w:hAnsi="Arial" w:cs="Arial"/>
          <w:sz w:val="22"/>
          <w:szCs w:val="22"/>
        </w:rPr>
        <w:t>.</w:t>
      </w:r>
      <w:r w:rsidR="00104FA1">
        <w:rPr>
          <w:rFonts w:ascii="Arial" w:hAnsi="Arial" w:cs="Arial"/>
          <w:sz w:val="22"/>
          <w:szCs w:val="22"/>
        </w:rPr>
        <w:t xml:space="preserve"> </w:t>
      </w:r>
      <w:r>
        <w:rPr>
          <w:rFonts w:ascii="Arial" w:hAnsi="Arial" w:cs="Arial"/>
          <w:sz w:val="22"/>
          <w:szCs w:val="22"/>
        </w:rPr>
        <w:t>https://hwb.gov.wales/cwricwlwm-i-gymru.</w:t>
      </w:r>
    </w:p>
    <w:p w14:paraId="2BCF5F84" w14:textId="20A6BA51" w:rsidR="009168E5" w:rsidRDefault="009168E5" w:rsidP="00E93E13">
      <w:pPr>
        <w:pStyle w:val="NormalWeb"/>
        <w:spacing w:before="0" w:beforeAutospacing="0" w:after="240" w:afterAutospacing="0" w:line="276" w:lineRule="auto"/>
        <w:rPr>
          <w:rFonts w:ascii="Arial" w:hAnsi="Arial" w:cs="Arial"/>
          <w:sz w:val="22"/>
          <w:szCs w:val="22"/>
        </w:rPr>
      </w:pPr>
      <w:r>
        <w:rPr>
          <w:rFonts w:ascii="Arial" w:hAnsi="Arial" w:cs="Arial"/>
          <w:sz w:val="22"/>
          <w:szCs w:val="22"/>
        </w:rPr>
        <w:t xml:space="preserve">Maynard, T. (2007). Forest Schools in Great Britain: An Initial Exploration. </w:t>
      </w:r>
      <w:r>
        <w:rPr>
          <w:rFonts w:ascii="Arial" w:hAnsi="Arial" w:cs="Arial"/>
          <w:i/>
          <w:iCs/>
          <w:sz w:val="22"/>
          <w:szCs w:val="22"/>
        </w:rPr>
        <w:t xml:space="preserve">Contemporary Issues in Early </w:t>
      </w:r>
      <w:proofErr w:type="gramStart"/>
      <w:r>
        <w:rPr>
          <w:rFonts w:ascii="Arial" w:hAnsi="Arial" w:cs="Arial"/>
          <w:i/>
          <w:iCs/>
          <w:sz w:val="22"/>
          <w:szCs w:val="22"/>
        </w:rPr>
        <w:t>Childhood</w:t>
      </w:r>
      <w:r>
        <w:rPr>
          <w:rFonts w:ascii="Arial" w:hAnsi="Arial" w:cs="Arial"/>
          <w:sz w:val="22"/>
          <w:szCs w:val="22"/>
        </w:rPr>
        <w:t>,  8</w:t>
      </w:r>
      <w:proofErr w:type="gramEnd"/>
      <w:r>
        <w:rPr>
          <w:rFonts w:ascii="Arial" w:hAnsi="Arial" w:cs="Arial"/>
          <w:sz w:val="22"/>
          <w:szCs w:val="22"/>
        </w:rPr>
        <w:t xml:space="preserve">(4), </w:t>
      </w:r>
      <w:r w:rsidR="00104FA1">
        <w:rPr>
          <w:rFonts w:ascii="Arial" w:hAnsi="Arial" w:cs="Arial"/>
          <w:sz w:val="22"/>
          <w:szCs w:val="22"/>
        </w:rPr>
        <w:t>tud</w:t>
      </w:r>
      <w:r>
        <w:rPr>
          <w:rFonts w:ascii="Arial" w:hAnsi="Arial" w:cs="Arial"/>
          <w:sz w:val="22"/>
          <w:szCs w:val="22"/>
        </w:rPr>
        <w:t xml:space="preserve">.320–331. </w:t>
      </w:r>
      <w:proofErr w:type="spellStart"/>
      <w:proofErr w:type="gramStart"/>
      <w:r>
        <w:rPr>
          <w:rFonts w:ascii="Arial" w:hAnsi="Arial" w:cs="Arial"/>
          <w:sz w:val="22"/>
          <w:szCs w:val="22"/>
        </w:rPr>
        <w:t>doi:https</w:t>
      </w:r>
      <w:proofErr w:type="spellEnd"/>
      <w:r>
        <w:rPr>
          <w:rFonts w:ascii="Arial" w:hAnsi="Arial" w:cs="Arial"/>
          <w:sz w:val="22"/>
          <w:szCs w:val="22"/>
        </w:rPr>
        <w:t>://doi.org/10.2304/ciec.2007.8.4.320</w:t>
      </w:r>
      <w:proofErr w:type="gramEnd"/>
      <w:r>
        <w:rPr>
          <w:rFonts w:ascii="Arial" w:hAnsi="Arial" w:cs="Arial"/>
          <w:sz w:val="22"/>
          <w:szCs w:val="22"/>
        </w:rPr>
        <w:t>.</w:t>
      </w:r>
    </w:p>
    <w:p w14:paraId="4D90283D" w14:textId="43A0D6C9" w:rsidR="009168E5" w:rsidRDefault="009168E5" w:rsidP="00E93E13">
      <w:pPr>
        <w:pStyle w:val="NormalWeb"/>
        <w:spacing w:before="0" w:beforeAutospacing="0" w:after="240" w:afterAutospacing="0" w:line="276" w:lineRule="auto"/>
        <w:rPr>
          <w:rFonts w:ascii="Arial" w:hAnsi="Arial" w:cs="Arial"/>
          <w:sz w:val="22"/>
          <w:szCs w:val="22"/>
        </w:rPr>
      </w:pPr>
      <w:proofErr w:type="spellStart"/>
      <w:r>
        <w:rPr>
          <w:rFonts w:ascii="Arial" w:hAnsi="Arial" w:cs="Arial"/>
          <w:sz w:val="22"/>
          <w:szCs w:val="22"/>
        </w:rPr>
        <w:t>Mcleod</w:t>
      </w:r>
      <w:proofErr w:type="spellEnd"/>
      <w:r>
        <w:rPr>
          <w:rFonts w:ascii="Arial" w:hAnsi="Arial" w:cs="Arial"/>
          <w:sz w:val="22"/>
          <w:szCs w:val="22"/>
        </w:rPr>
        <w:t xml:space="preserve">, S. (2019). </w:t>
      </w:r>
      <w:r>
        <w:rPr>
          <w:rFonts w:ascii="Arial" w:hAnsi="Arial" w:cs="Arial"/>
          <w:i/>
          <w:iCs/>
          <w:sz w:val="22"/>
          <w:szCs w:val="22"/>
        </w:rPr>
        <w:t>The zone of proximal development and scaffolding</w:t>
      </w:r>
      <w:r>
        <w:rPr>
          <w:rFonts w:ascii="Arial" w:hAnsi="Arial" w:cs="Arial"/>
          <w:sz w:val="22"/>
          <w:szCs w:val="22"/>
        </w:rPr>
        <w:t>. Simply Psychology. https://www.simplypsychology.org/Zone-of-Proximal-Development.html.</w:t>
      </w:r>
    </w:p>
    <w:p w14:paraId="2E648B78" w14:textId="10F9F2F0" w:rsidR="009168E5" w:rsidRDefault="009168E5" w:rsidP="00E93E13">
      <w:pPr>
        <w:pStyle w:val="NormalWeb"/>
        <w:spacing w:before="0" w:beforeAutospacing="0" w:after="240" w:afterAutospacing="0" w:line="276" w:lineRule="auto"/>
        <w:rPr>
          <w:rFonts w:ascii="Arial" w:hAnsi="Arial" w:cs="Arial"/>
          <w:sz w:val="22"/>
          <w:szCs w:val="22"/>
        </w:rPr>
      </w:pPr>
      <w:r>
        <w:rPr>
          <w:rFonts w:ascii="Arial" w:hAnsi="Arial" w:cs="Arial"/>
          <w:sz w:val="22"/>
          <w:szCs w:val="22"/>
        </w:rPr>
        <w:t xml:space="preserve">O’Brien, L. (2009). Learning outdoors: the Forest School approach. </w:t>
      </w:r>
      <w:r>
        <w:rPr>
          <w:rFonts w:ascii="Arial" w:hAnsi="Arial" w:cs="Arial"/>
          <w:i/>
          <w:iCs/>
          <w:sz w:val="22"/>
          <w:szCs w:val="22"/>
        </w:rPr>
        <w:t>Education 3-13</w:t>
      </w:r>
      <w:r>
        <w:rPr>
          <w:rFonts w:ascii="Arial" w:hAnsi="Arial" w:cs="Arial"/>
          <w:sz w:val="22"/>
          <w:szCs w:val="22"/>
        </w:rPr>
        <w:t xml:space="preserve">, 37(1), </w:t>
      </w:r>
      <w:r w:rsidR="00104FA1">
        <w:rPr>
          <w:rFonts w:ascii="Arial" w:hAnsi="Arial" w:cs="Arial"/>
          <w:sz w:val="22"/>
          <w:szCs w:val="22"/>
        </w:rPr>
        <w:t>tud</w:t>
      </w:r>
      <w:r>
        <w:rPr>
          <w:rFonts w:ascii="Arial" w:hAnsi="Arial" w:cs="Arial"/>
          <w:sz w:val="22"/>
          <w:szCs w:val="22"/>
        </w:rPr>
        <w:t>.45–60.</w:t>
      </w:r>
    </w:p>
    <w:p w14:paraId="6247563B" w14:textId="40E6A2CB" w:rsidR="009168E5" w:rsidRDefault="009168E5" w:rsidP="00E93E13">
      <w:pPr>
        <w:pStyle w:val="NormalWeb"/>
        <w:spacing w:before="0" w:beforeAutospacing="0" w:after="240" w:afterAutospacing="0" w:line="276" w:lineRule="auto"/>
        <w:rPr>
          <w:rFonts w:ascii="Arial" w:hAnsi="Arial" w:cs="Arial"/>
          <w:sz w:val="22"/>
          <w:szCs w:val="22"/>
        </w:rPr>
      </w:pPr>
      <w:r>
        <w:rPr>
          <w:rFonts w:ascii="Arial" w:hAnsi="Arial" w:cs="Arial"/>
          <w:sz w:val="22"/>
          <w:szCs w:val="22"/>
        </w:rPr>
        <w:t xml:space="preserve">Rees, A. and </w:t>
      </w:r>
      <w:proofErr w:type="spellStart"/>
      <w:r>
        <w:rPr>
          <w:rFonts w:ascii="Arial" w:hAnsi="Arial" w:cs="Arial"/>
          <w:sz w:val="22"/>
          <w:szCs w:val="22"/>
        </w:rPr>
        <w:t>Gealy</w:t>
      </w:r>
      <w:proofErr w:type="spellEnd"/>
      <w:r>
        <w:rPr>
          <w:rFonts w:ascii="Arial" w:hAnsi="Arial" w:cs="Arial"/>
          <w:sz w:val="22"/>
          <w:szCs w:val="22"/>
        </w:rPr>
        <w:t xml:space="preserve">, A.-M. (2013). </w:t>
      </w:r>
      <w:proofErr w:type="spellStart"/>
      <w:r>
        <w:rPr>
          <w:rFonts w:ascii="Arial" w:hAnsi="Arial" w:cs="Arial"/>
          <w:i/>
          <w:iCs/>
          <w:sz w:val="22"/>
          <w:szCs w:val="22"/>
        </w:rPr>
        <w:t>Chwarae</w:t>
      </w:r>
      <w:proofErr w:type="spellEnd"/>
      <w:r>
        <w:rPr>
          <w:rFonts w:ascii="Arial" w:hAnsi="Arial" w:cs="Arial"/>
          <w:i/>
          <w:iCs/>
          <w:sz w:val="22"/>
          <w:szCs w:val="22"/>
        </w:rPr>
        <w:t xml:space="preserve"> Allan, </w:t>
      </w:r>
      <w:proofErr w:type="spellStart"/>
      <w:r>
        <w:rPr>
          <w:rFonts w:ascii="Arial" w:hAnsi="Arial" w:cs="Arial"/>
          <w:i/>
          <w:iCs/>
          <w:sz w:val="22"/>
          <w:szCs w:val="22"/>
        </w:rPr>
        <w:t>Dysgu</w:t>
      </w:r>
      <w:proofErr w:type="spellEnd"/>
      <w:r>
        <w:rPr>
          <w:rFonts w:ascii="Arial" w:hAnsi="Arial" w:cs="Arial"/>
          <w:i/>
          <w:iCs/>
          <w:sz w:val="22"/>
          <w:szCs w:val="22"/>
        </w:rPr>
        <w:t xml:space="preserve"> Mas</w:t>
      </w:r>
      <w:r>
        <w:rPr>
          <w:rFonts w:ascii="Arial" w:hAnsi="Arial" w:cs="Arial"/>
          <w:sz w:val="22"/>
          <w:szCs w:val="22"/>
        </w:rPr>
        <w:t xml:space="preserve">. </w:t>
      </w:r>
      <w:proofErr w:type="spellStart"/>
      <w:r>
        <w:rPr>
          <w:rFonts w:ascii="Arial" w:hAnsi="Arial" w:cs="Arial"/>
          <w:sz w:val="22"/>
          <w:szCs w:val="22"/>
        </w:rPr>
        <w:t>Peniarth</w:t>
      </w:r>
      <w:proofErr w:type="spellEnd"/>
      <w:r>
        <w:rPr>
          <w:rFonts w:ascii="Arial" w:hAnsi="Arial" w:cs="Arial"/>
          <w:sz w:val="22"/>
          <w:szCs w:val="22"/>
        </w:rPr>
        <w:t xml:space="preserve">, </w:t>
      </w:r>
      <w:r w:rsidR="00104FA1">
        <w:rPr>
          <w:rFonts w:ascii="Arial" w:hAnsi="Arial" w:cs="Arial"/>
          <w:sz w:val="22"/>
          <w:szCs w:val="22"/>
        </w:rPr>
        <w:t>tud</w:t>
      </w:r>
      <w:r>
        <w:rPr>
          <w:rFonts w:ascii="Arial" w:hAnsi="Arial" w:cs="Arial"/>
          <w:sz w:val="22"/>
          <w:szCs w:val="22"/>
        </w:rPr>
        <w:t>.13.</w:t>
      </w:r>
    </w:p>
    <w:p w14:paraId="65C3F4E4" w14:textId="77777777" w:rsidR="009168E5" w:rsidRDefault="009168E5" w:rsidP="00E93E13">
      <w:pPr>
        <w:pStyle w:val="NormalWeb"/>
        <w:spacing w:before="0" w:beforeAutospacing="0" w:after="240" w:afterAutospacing="0" w:line="276" w:lineRule="auto"/>
        <w:rPr>
          <w:rFonts w:ascii="Arial" w:hAnsi="Arial" w:cs="Arial"/>
          <w:sz w:val="22"/>
          <w:szCs w:val="22"/>
        </w:rPr>
      </w:pPr>
      <w:r>
        <w:rPr>
          <w:rFonts w:ascii="Arial" w:hAnsi="Arial" w:cs="Arial"/>
          <w:sz w:val="22"/>
          <w:szCs w:val="22"/>
        </w:rPr>
        <w:t xml:space="preserve">Rowley, C. and Cooper, H. (2009). </w:t>
      </w:r>
      <w:r>
        <w:rPr>
          <w:rFonts w:ascii="Arial" w:hAnsi="Arial" w:cs="Arial"/>
          <w:i/>
          <w:iCs/>
          <w:sz w:val="22"/>
          <w:szCs w:val="22"/>
        </w:rPr>
        <w:t>Cross-curricular approaches to teaching and learning</w:t>
      </w:r>
      <w:r>
        <w:rPr>
          <w:rFonts w:ascii="Arial" w:hAnsi="Arial" w:cs="Arial"/>
          <w:sz w:val="22"/>
          <w:szCs w:val="22"/>
        </w:rPr>
        <w:t>. Los Angeles: Sage.</w:t>
      </w:r>
    </w:p>
    <w:p w14:paraId="2996B867" w14:textId="55F8FCC4" w:rsidR="009168E5" w:rsidRDefault="009168E5" w:rsidP="00E93E13">
      <w:pPr>
        <w:pStyle w:val="NormalWeb"/>
        <w:spacing w:before="0" w:beforeAutospacing="0" w:after="240" w:afterAutospacing="0" w:line="276" w:lineRule="auto"/>
        <w:rPr>
          <w:rFonts w:ascii="Arial" w:hAnsi="Arial" w:cs="Arial"/>
          <w:sz w:val="22"/>
          <w:szCs w:val="22"/>
        </w:rPr>
      </w:pPr>
      <w:proofErr w:type="spellStart"/>
      <w:r>
        <w:rPr>
          <w:rFonts w:ascii="Arial" w:hAnsi="Arial" w:cs="Arial"/>
          <w:sz w:val="22"/>
          <w:szCs w:val="22"/>
        </w:rPr>
        <w:lastRenderedPageBreak/>
        <w:t>Safonau</w:t>
      </w:r>
      <w:proofErr w:type="spellEnd"/>
      <w:r>
        <w:rPr>
          <w:rFonts w:ascii="Arial" w:hAnsi="Arial" w:cs="Arial"/>
          <w:sz w:val="22"/>
          <w:szCs w:val="22"/>
        </w:rPr>
        <w:t xml:space="preserve"> SAC (2023). </w:t>
      </w:r>
      <w:proofErr w:type="spellStart"/>
      <w:r>
        <w:rPr>
          <w:rFonts w:ascii="Arial" w:hAnsi="Arial" w:cs="Arial"/>
          <w:i/>
          <w:iCs/>
          <w:sz w:val="22"/>
          <w:szCs w:val="22"/>
        </w:rPr>
        <w:t>Safonau</w:t>
      </w:r>
      <w:proofErr w:type="spellEnd"/>
      <w:r>
        <w:rPr>
          <w:rFonts w:ascii="Arial" w:hAnsi="Arial" w:cs="Arial"/>
          <w:i/>
          <w:iCs/>
          <w:sz w:val="22"/>
          <w:szCs w:val="22"/>
        </w:rPr>
        <w:t xml:space="preserve"> </w:t>
      </w:r>
      <w:proofErr w:type="spellStart"/>
      <w:r>
        <w:rPr>
          <w:rFonts w:ascii="Arial" w:hAnsi="Arial" w:cs="Arial"/>
          <w:i/>
          <w:iCs/>
          <w:sz w:val="22"/>
          <w:szCs w:val="22"/>
        </w:rPr>
        <w:t>proffesiynol</w:t>
      </w:r>
      <w:proofErr w:type="spellEnd"/>
      <w:r>
        <w:rPr>
          <w:rFonts w:ascii="Arial" w:hAnsi="Arial" w:cs="Arial"/>
          <w:i/>
          <w:iCs/>
          <w:sz w:val="22"/>
          <w:szCs w:val="22"/>
        </w:rPr>
        <w:t xml:space="preserve"> - Hwb</w:t>
      </w:r>
      <w:r>
        <w:rPr>
          <w:rFonts w:ascii="Arial" w:hAnsi="Arial" w:cs="Arial"/>
          <w:sz w:val="22"/>
          <w:szCs w:val="22"/>
        </w:rPr>
        <w:t xml:space="preserve">. </w:t>
      </w:r>
      <w:proofErr w:type="spellStart"/>
      <w:proofErr w:type="gramStart"/>
      <w:r>
        <w:rPr>
          <w:rFonts w:ascii="Arial" w:hAnsi="Arial" w:cs="Arial"/>
          <w:sz w:val="22"/>
          <w:szCs w:val="22"/>
        </w:rPr>
        <w:t>hwb.gov.wales</w:t>
      </w:r>
      <w:proofErr w:type="spellEnd"/>
      <w:proofErr w:type="gramEnd"/>
      <w:r>
        <w:rPr>
          <w:rFonts w:ascii="Arial" w:hAnsi="Arial" w:cs="Arial"/>
          <w:sz w:val="22"/>
          <w:szCs w:val="22"/>
        </w:rPr>
        <w:t>. https://hwb.gov.wales/datblygiad-proffesiynol/safonau-proffesiynol.</w:t>
      </w:r>
    </w:p>
    <w:p w14:paraId="162D1EA3" w14:textId="4E6C0978" w:rsidR="009168E5" w:rsidRDefault="009168E5" w:rsidP="00E93E13">
      <w:pPr>
        <w:pStyle w:val="NormalWeb"/>
        <w:spacing w:before="0" w:beforeAutospacing="0" w:after="240" w:afterAutospacing="0" w:line="276" w:lineRule="auto"/>
        <w:rPr>
          <w:rFonts w:ascii="Arial" w:hAnsi="Arial" w:cs="Arial"/>
          <w:sz w:val="22"/>
          <w:szCs w:val="22"/>
        </w:rPr>
      </w:pPr>
      <w:r>
        <w:rPr>
          <w:rFonts w:ascii="Arial" w:hAnsi="Arial" w:cs="Arial"/>
          <w:sz w:val="22"/>
          <w:szCs w:val="22"/>
        </w:rPr>
        <w:t xml:space="preserve">Science Education Resource </w:t>
      </w:r>
      <w:proofErr w:type="spellStart"/>
      <w:r>
        <w:rPr>
          <w:rFonts w:ascii="Arial" w:hAnsi="Arial" w:cs="Arial"/>
          <w:sz w:val="22"/>
          <w:szCs w:val="22"/>
        </w:rPr>
        <w:t>Center</w:t>
      </w:r>
      <w:proofErr w:type="spellEnd"/>
      <w:r>
        <w:rPr>
          <w:rFonts w:ascii="Arial" w:hAnsi="Arial" w:cs="Arial"/>
          <w:sz w:val="22"/>
          <w:szCs w:val="22"/>
        </w:rPr>
        <w:t xml:space="preserve"> (2018). </w:t>
      </w:r>
      <w:r>
        <w:rPr>
          <w:rFonts w:ascii="Arial" w:hAnsi="Arial" w:cs="Arial"/>
          <w:i/>
          <w:iCs/>
          <w:sz w:val="22"/>
          <w:szCs w:val="22"/>
        </w:rPr>
        <w:t>What is experience-based learning?</w:t>
      </w:r>
      <w:r>
        <w:rPr>
          <w:rFonts w:ascii="Arial" w:hAnsi="Arial" w:cs="Arial"/>
          <w:sz w:val="22"/>
          <w:szCs w:val="22"/>
        </w:rPr>
        <w:t xml:space="preserve"> Experience-Based Environmental Projects. https://serc.carleton.edu/introgeo/enviroprojects/what.html.</w:t>
      </w:r>
    </w:p>
    <w:p w14:paraId="5BFD172C" w14:textId="79645C3A" w:rsidR="009168E5" w:rsidRDefault="009168E5" w:rsidP="00E93E13">
      <w:pPr>
        <w:pStyle w:val="NormalWeb"/>
        <w:spacing w:before="0" w:beforeAutospacing="0" w:after="240" w:afterAutospacing="0" w:line="276" w:lineRule="auto"/>
        <w:rPr>
          <w:rFonts w:ascii="Arial" w:hAnsi="Arial" w:cs="Arial"/>
          <w:sz w:val="22"/>
          <w:szCs w:val="22"/>
        </w:rPr>
      </w:pPr>
      <w:r>
        <w:rPr>
          <w:rFonts w:ascii="Arial" w:hAnsi="Arial" w:cs="Arial"/>
          <w:sz w:val="22"/>
          <w:szCs w:val="22"/>
        </w:rPr>
        <w:t xml:space="preserve">Sian Wyn </w:t>
      </w:r>
      <w:proofErr w:type="spellStart"/>
      <w:r>
        <w:rPr>
          <w:rFonts w:ascii="Arial" w:hAnsi="Arial" w:cs="Arial"/>
          <w:sz w:val="22"/>
          <w:szCs w:val="22"/>
        </w:rPr>
        <w:t>Siencyn</w:t>
      </w:r>
      <w:proofErr w:type="spellEnd"/>
      <w:r>
        <w:rPr>
          <w:rFonts w:ascii="Arial" w:hAnsi="Arial" w:cs="Arial"/>
          <w:sz w:val="22"/>
          <w:szCs w:val="22"/>
        </w:rPr>
        <w:t xml:space="preserve"> (2010). </w:t>
      </w:r>
      <w:r>
        <w:rPr>
          <w:rFonts w:ascii="Arial" w:hAnsi="Arial" w:cs="Arial"/>
          <w:i/>
          <w:iCs/>
          <w:sz w:val="22"/>
          <w:szCs w:val="22"/>
        </w:rPr>
        <w:t xml:space="preserve">Y </w:t>
      </w:r>
      <w:proofErr w:type="spellStart"/>
      <w:r>
        <w:rPr>
          <w:rFonts w:ascii="Arial" w:hAnsi="Arial" w:cs="Arial"/>
          <w:i/>
          <w:iCs/>
          <w:sz w:val="22"/>
          <w:szCs w:val="22"/>
        </w:rPr>
        <w:t>cyfnod</w:t>
      </w:r>
      <w:proofErr w:type="spellEnd"/>
      <w:r>
        <w:rPr>
          <w:rFonts w:ascii="Arial" w:hAnsi="Arial" w:cs="Arial"/>
          <w:i/>
          <w:iCs/>
          <w:sz w:val="22"/>
          <w:szCs w:val="22"/>
        </w:rPr>
        <w:t xml:space="preserve"> </w:t>
      </w:r>
      <w:proofErr w:type="spellStart"/>
      <w:r>
        <w:rPr>
          <w:rFonts w:ascii="Arial" w:hAnsi="Arial" w:cs="Arial"/>
          <w:i/>
          <w:iCs/>
          <w:sz w:val="22"/>
          <w:szCs w:val="22"/>
        </w:rPr>
        <w:t>sylfaen</w:t>
      </w:r>
      <w:proofErr w:type="spellEnd"/>
      <w:r>
        <w:rPr>
          <w:rFonts w:ascii="Arial" w:hAnsi="Arial" w:cs="Arial"/>
          <w:i/>
          <w:iCs/>
          <w:sz w:val="22"/>
          <w:szCs w:val="22"/>
        </w:rPr>
        <w:t xml:space="preserve"> 3-7 </w:t>
      </w:r>
      <w:proofErr w:type="spellStart"/>
      <w:proofErr w:type="gramStart"/>
      <w:r>
        <w:rPr>
          <w:rFonts w:ascii="Arial" w:hAnsi="Arial" w:cs="Arial"/>
          <w:i/>
          <w:iCs/>
          <w:sz w:val="22"/>
          <w:szCs w:val="22"/>
        </w:rPr>
        <w:t>oed</w:t>
      </w:r>
      <w:proofErr w:type="spellEnd"/>
      <w:r>
        <w:rPr>
          <w:rFonts w:ascii="Arial" w:hAnsi="Arial" w:cs="Arial"/>
          <w:i/>
          <w:iCs/>
          <w:sz w:val="22"/>
          <w:szCs w:val="22"/>
        </w:rPr>
        <w:t xml:space="preserve"> :</w:t>
      </w:r>
      <w:proofErr w:type="gramEnd"/>
      <w:r>
        <w:rPr>
          <w:rFonts w:ascii="Arial" w:hAnsi="Arial" w:cs="Arial"/>
          <w:i/>
          <w:iCs/>
          <w:sz w:val="22"/>
          <w:szCs w:val="22"/>
        </w:rPr>
        <w:t xml:space="preserve"> </w:t>
      </w:r>
      <w:proofErr w:type="spellStart"/>
      <w:r>
        <w:rPr>
          <w:rFonts w:ascii="Arial" w:hAnsi="Arial" w:cs="Arial"/>
          <w:i/>
          <w:iCs/>
          <w:sz w:val="22"/>
          <w:szCs w:val="22"/>
        </w:rPr>
        <w:t>athroniaeth</w:t>
      </w:r>
      <w:proofErr w:type="spellEnd"/>
      <w:r>
        <w:rPr>
          <w:rFonts w:ascii="Arial" w:hAnsi="Arial" w:cs="Arial"/>
          <w:i/>
          <w:iCs/>
          <w:sz w:val="22"/>
          <w:szCs w:val="22"/>
        </w:rPr>
        <w:t xml:space="preserve">, </w:t>
      </w:r>
      <w:proofErr w:type="spellStart"/>
      <w:r>
        <w:rPr>
          <w:rFonts w:ascii="Arial" w:hAnsi="Arial" w:cs="Arial"/>
          <w:i/>
          <w:iCs/>
          <w:sz w:val="22"/>
          <w:szCs w:val="22"/>
        </w:rPr>
        <w:t>ymchwil</w:t>
      </w:r>
      <w:proofErr w:type="spellEnd"/>
      <w:r>
        <w:rPr>
          <w:rFonts w:ascii="Arial" w:hAnsi="Arial" w:cs="Arial"/>
          <w:i/>
          <w:iCs/>
          <w:sz w:val="22"/>
          <w:szCs w:val="22"/>
        </w:rPr>
        <w:t xml:space="preserve"> ac </w:t>
      </w:r>
      <w:proofErr w:type="spellStart"/>
      <w:r>
        <w:rPr>
          <w:rFonts w:ascii="Arial" w:hAnsi="Arial" w:cs="Arial"/>
          <w:i/>
          <w:iCs/>
          <w:sz w:val="22"/>
          <w:szCs w:val="22"/>
        </w:rPr>
        <w:t>ymarfer</w:t>
      </w:r>
      <w:proofErr w:type="spellEnd"/>
      <w:r>
        <w:rPr>
          <w:rFonts w:ascii="Arial" w:hAnsi="Arial" w:cs="Arial"/>
          <w:sz w:val="22"/>
          <w:szCs w:val="22"/>
        </w:rPr>
        <w:t xml:space="preserve">. </w:t>
      </w:r>
      <w:proofErr w:type="spellStart"/>
      <w:r>
        <w:rPr>
          <w:rFonts w:ascii="Arial" w:hAnsi="Arial" w:cs="Arial"/>
          <w:sz w:val="22"/>
          <w:szCs w:val="22"/>
        </w:rPr>
        <w:t>Caerfyrddin</w:t>
      </w:r>
      <w:proofErr w:type="spellEnd"/>
      <w:r>
        <w:rPr>
          <w:rFonts w:ascii="Arial" w:hAnsi="Arial" w:cs="Arial"/>
          <w:sz w:val="22"/>
          <w:szCs w:val="22"/>
        </w:rPr>
        <w:t xml:space="preserve">: </w:t>
      </w:r>
      <w:proofErr w:type="spellStart"/>
      <w:r>
        <w:rPr>
          <w:rFonts w:ascii="Arial" w:hAnsi="Arial" w:cs="Arial"/>
          <w:sz w:val="22"/>
          <w:szCs w:val="22"/>
        </w:rPr>
        <w:t>Cyhoeddiadau</w:t>
      </w:r>
      <w:proofErr w:type="spellEnd"/>
      <w:r>
        <w:rPr>
          <w:rFonts w:ascii="Arial" w:hAnsi="Arial" w:cs="Arial"/>
          <w:sz w:val="22"/>
          <w:szCs w:val="22"/>
        </w:rPr>
        <w:t xml:space="preserve"> </w:t>
      </w:r>
      <w:proofErr w:type="spellStart"/>
      <w:r>
        <w:rPr>
          <w:rFonts w:ascii="Arial" w:hAnsi="Arial" w:cs="Arial"/>
          <w:sz w:val="22"/>
          <w:szCs w:val="22"/>
        </w:rPr>
        <w:t>Prifysgol</w:t>
      </w:r>
      <w:proofErr w:type="spellEnd"/>
      <w:r>
        <w:rPr>
          <w:rFonts w:ascii="Arial" w:hAnsi="Arial" w:cs="Arial"/>
          <w:sz w:val="22"/>
          <w:szCs w:val="22"/>
        </w:rPr>
        <w:t xml:space="preserve"> Cymru Y </w:t>
      </w:r>
      <w:proofErr w:type="spellStart"/>
      <w:r>
        <w:rPr>
          <w:rFonts w:ascii="Arial" w:hAnsi="Arial" w:cs="Arial"/>
          <w:sz w:val="22"/>
          <w:szCs w:val="22"/>
        </w:rPr>
        <w:t>Drindod</w:t>
      </w:r>
      <w:proofErr w:type="spellEnd"/>
      <w:r>
        <w:rPr>
          <w:rFonts w:ascii="Arial" w:hAnsi="Arial" w:cs="Arial"/>
          <w:sz w:val="22"/>
          <w:szCs w:val="22"/>
        </w:rPr>
        <w:t xml:space="preserve"> Dewi Sant, </w:t>
      </w:r>
      <w:r w:rsidR="00104FA1">
        <w:rPr>
          <w:rFonts w:ascii="Arial" w:hAnsi="Arial" w:cs="Arial"/>
          <w:sz w:val="22"/>
          <w:szCs w:val="22"/>
        </w:rPr>
        <w:t>tud</w:t>
      </w:r>
      <w:r>
        <w:rPr>
          <w:rFonts w:ascii="Arial" w:hAnsi="Arial" w:cs="Arial"/>
          <w:sz w:val="22"/>
          <w:szCs w:val="22"/>
        </w:rPr>
        <w:t>.191.</w:t>
      </w:r>
    </w:p>
    <w:p w14:paraId="176EE986" w14:textId="537C1BFD" w:rsidR="009168E5" w:rsidRDefault="009168E5" w:rsidP="00E93E13">
      <w:pPr>
        <w:pStyle w:val="NormalWeb"/>
        <w:spacing w:before="0" w:beforeAutospacing="0" w:after="240" w:afterAutospacing="0" w:line="276" w:lineRule="auto"/>
        <w:rPr>
          <w:rFonts w:ascii="Arial" w:hAnsi="Arial" w:cs="Arial"/>
          <w:sz w:val="22"/>
          <w:szCs w:val="22"/>
        </w:rPr>
      </w:pPr>
      <w:r>
        <w:rPr>
          <w:rFonts w:ascii="Arial" w:hAnsi="Arial" w:cs="Arial"/>
          <w:sz w:val="22"/>
          <w:szCs w:val="22"/>
        </w:rPr>
        <w:t xml:space="preserve">Smeets, E. and </w:t>
      </w:r>
      <w:proofErr w:type="spellStart"/>
      <w:r>
        <w:rPr>
          <w:rFonts w:ascii="Arial" w:hAnsi="Arial" w:cs="Arial"/>
          <w:sz w:val="22"/>
          <w:szCs w:val="22"/>
        </w:rPr>
        <w:t>Mooij</w:t>
      </w:r>
      <w:proofErr w:type="spellEnd"/>
      <w:r>
        <w:rPr>
          <w:rFonts w:ascii="Arial" w:hAnsi="Arial" w:cs="Arial"/>
          <w:sz w:val="22"/>
          <w:szCs w:val="22"/>
        </w:rPr>
        <w:t xml:space="preserve">, T. (2001). Pupil-centred learning, ICT, and teacher behaviour: observations in educational practice. </w:t>
      </w:r>
      <w:r>
        <w:rPr>
          <w:rFonts w:ascii="Arial" w:hAnsi="Arial" w:cs="Arial"/>
          <w:i/>
          <w:iCs/>
          <w:sz w:val="22"/>
          <w:szCs w:val="22"/>
        </w:rPr>
        <w:t>British Journal of Educational Technology</w:t>
      </w:r>
      <w:r>
        <w:rPr>
          <w:rFonts w:ascii="Arial" w:hAnsi="Arial" w:cs="Arial"/>
          <w:sz w:val="22"/>
          <w:szCs w:val="22"/>
        </w:rPr>
        <w:t xml:space="preserve">, 32(4), </w:t>
      </w:r>
      <w:r w:rsidR="00104FA1">
        <w:rPr>
          <w:rFonts w:ascii="Arial" w:hAnsi="Arial" w:cs="Arial"/>
          <w:sz w:val="22"/>
          <w:szCs w:val="22"/>
        </w:rPr>
        <w:t>tud</w:t>
      </w:r>
      <w:r>
        <w:rPr>
          <w:rFonts w:ascii="Arial" w:hAnsi="Arial" w:cs="Arial"/>
          <w:sz w:val="22"/>
          <w:szCs w:val="22"/>
        </w:rPr>
        <w:t>.403–417.</w:t>
      </w:r>
    </w:p>
    <w:p w14:paraId="15017ACC" w14:textId="7372D7B0" w:rsidR="009168E5" w:rsidRDefault="009168E5" w:rsidP="00E93E13">
      <w:pPr>
        <w:pStyle w:val="NormalWeb"/>
        <w:spacing w:before="0" w:beforeAutospacing="0" w:after="240" w:afterAutospacing="0" w:line="276" w:lineRule="auto"/>
        <w:rPr>
          <w:rFonts w:ascii="Arial" w:hAnsi="Arial" w:cs="Arial"/>
          <w:sz w:val="22"/>
          <w:szCs w:val="22"/>
        </w:rPr>
      </w:pPr>
      <w:r>
        <w:rPr>
          <w:rFonts w:ascii="Arial" w:hAnsi="Arial" w:cs="Arial"/>
          <w:sz w:val="22"/>
          <w:szCs w:val="22"/>
        </w:rPr>
        <w:t xml:space="preserve">Tay, C. (2018). </w:t>
      </w:r>
      <w:r>
        <w:rPr>
          <w:rFonts w:ascii="Arial" w:hAnsi="Arial" w:cs="Arial"/>
          <w:i/>
          <w:iCs/>
          <w:sz w:val="22"/>
          <w:szCs w:val="22"/>
        </w:rPr>
        <w:t>A good start: The pedagogical challenge of engaging prior knowledge for all pupils</w:t>
      </w:r>
      <w:r>
        <w:rPr>
          <w:rFonts w:ascii="Arial" w:hAnsi="Arial" w:cs="Arial"/>
          <w:sz w:val="22"/>
          <w:szCs w:val="22"/>
        </w:rPr>
        <w:t xml:space="preserve">. My </w:t>
      </w:r>
      <w:proofErr w:type="gramStart"/>
      <w:r>
        <w:rPr>
          <w:rFonts w:ascii="Arial" w:hAnsi="Arial" w:cs="Arial"/>
          <w:sz w:val="22"/>
          <w:szCs w:val="22"/>
        </w:rPr>
        <w:t>College</w:t>
      </w:r>
      <w:proofErr w:type="gramEnd"/>
      <w:r>
        <w:rPr>
          <w:rFonts w:ascii="Arial" w:hAnsi="Arial" w:cs="Arial"/>
          <w:sz w:val="22"/>
          <w:szCs w:val="22"/>
        </w:rPr>
        <w:t>. https://my.chartered.college/impact_article/a-good-start-the-pedagogical-challenge-of-engaging-prior-knowledge-for-all-pupils/?msclkid=45a287bdb5ac11ec8a4d59e29d13352c [</w:t>
      </w:r>
      <w:proofErr w:type="spellStart"/>
      <w:r w:rsidR="00104FA1">
        <w:rPr>
          <w:rFonts w:ascii="Arial" w:hAnsi="Arial" w:cs="Arial"/>
          <w:sz w:val="22"/>
          <w:szCs w:val="22"/>
        </w:rPr>
        <w:t>Dyddiad</w:t>
      </w:r>
      <w:proofErr w:type="spellEnd"/>
      <w:r w:rsidR="00104FA1">
        <w:rPr>
          <w:rFonts w:ascii="Arial" w:hAnsi="Arial" w:cs="Arial"/>
          <w:sz w:val="22"/>
          <w:szCs w:val="22"/>
        </w:rPr>
        <w:t xml:space="preserve"> </w:t>
      </w:r>
      <w:proofErr w:type="spellStart"/>
      <w:r w:rsidR="00104FA1">
        <w:rPr>
          <w:rFonts w:ascii="Arial" w:hAnsi="Arial" w:cs="Arial"/>
          <w:sz w:val="22"/>
          <w:szCs w:val="22"/>
        </w:rPr>
        <w:t>mynediad</w:t>
      </w:r>
      <w:proofErr w:type="spellEnd"/>
      <w:r>
        <w:rPr>
          <w:rFonts w:ascii="Arial" w:hAnsi="Arial" w:cs="Arial"/>
          <w:sz w:val="22"/>
          <w:szCs w:val="22"/>
        </w:rPr>
        <w:t xml:space="preserve"> 16 </w:t>
      </w:r>
      <w:proofErr w:type="spellStart"/>
      <w:r w:rsidR="00104FA1">
        <w:rPr>
          <w:rFonts w:ascii="Arial" w:hAnsi="Arial" w:cs="Arial"/>
          <w:sz w:val="22"/>
          <w:szCs w:val="22"/>
        </w:rPr>
        <w:t>Ebr</w:t>
      </w:r>
      <w:proofErr w:type="spellEnd"/>
      <w:r>
        <w:rPr>
          <w:rFonts w:ascii="Arial" w:hAnsi="Arial" w:cs="Arial"/>
          <w:sz w:val="22"/>
          <w:szCs w:val="22"/>
        </w:rPr>
        <w:t>. 2023].</w:t>
      </w:r>
    </w:p>
    <w:p w14:paraId="74D091AA" w14:textId="41754C3C" w:rsidR="009168E5" w:rsidRDefault="009168E5" w:rsidP="00E93E13">
      <w:pPr>
        <w:pStyle w:val="NormalWeb"/>
        <w:spacing w:before="0" w:beforeAutospacing="0" w:after="240" w:afterAutospacing="0" w:line="276" w:lineRule="auto"/>
        <w:rPr>
          <w:rFonts w:ascii="Arial" w:hAnsi="Arial" w:cs="Arial"/>
          <w:sz w:val="22"/>
          <w:szCs w:val="22"/>
        </w:rPr>
      </w:pPr>
      <w:r>
        <w:rPr>
          <w:rFonts w:ascii="Arial" w:hAnsi="Arial" w:cs="Arial"/>
          <w:sz w:val="22"/>
          <w:szCs w:val="22"/>
        </w:rPr>
        <w:t xml:space="preserve">Weinstein, A. (2018). </w:t>
      </w:r>
      <w:r>
        <w:rPr>
          <w:rFonts w:ascii="Arial" w:hAnsi="Arial" w:cs="Arial"/>
          <w:i/>
          <w:iCs/>
          <w:sz w:val="22"/>
          <w:szCs w:val="22"/>
        </w:rPr>
        <w:t>Benefits of cross-curricular education</w:t>
      </w:r>
      <w:r>
        <w:rPr>
          <w:rFonts w:ascii="Arial" w:hAnsi="Arial" w:cs="Arial"/>
          <w:sz w:val="22"/>
          <w:szCs w:val="22"/>
        </w:rPr>
        <w:t>. Letters to a Pre-Scientist. https://prescientist.org/benefits-of-cross-curricular-education/?msclkid=5cd0c6e5b67311eca60ec10410422899 [</w:t>
      </w:r>
      <w:proofErr w:type="spellStart"/>
      <w:r w:rsidR="00104FA1">
        <w:rPr>
          <w:rFonts w:ascii="Arial" w:hAnsi="Arial" w:cs="Arial"/>
          <w:sz w:val="22"/>
          <w:szCs w:val="22"/>
        </w:rPr>
        <w:t>Dyddiad</w:t>
      </w:r>
      <w:proofErr w:type="spellEnd"/>
      <w:r w:rsidR="00104FA1">
        <w:rPr>
          <w:rFonts w:ascii="Arial" w:hAnsi="Arial" w:cs="Arial"/>
          <w:sz w:val="22"/>
          <w:szCs w:val="22"/>
        </w:rPr>
        <w:t xml:space="preserve"> </w:t>
      </w:r>
      <w:proofErr w:type="spellStart"/>
      <w:r w:rsidR="00104FA1">
        <w:rPr>
          <w:rFonts w:ascii="Arial" w:hAnsi="Arial" w:cs="Arial"/>
          <w:sz w:val="22"/>
          <w:szCs w:val="22"/>
        </w:rPr>
        <w:t>mynediad</w:t>
      </w:r>
      <w:proofErr w:type="spellEnd"/>
      <w:r>
        <w:rPr>
          <w:rFonts w:ascii="Arial" w:hAnsi="Arial" w:cs="Arial"/>
          <w:sz w:val="22"/>
          <w:szCs w:val="22"/>
        </w:rPr>
        <w:t xml:space="preserve"> 16 </w:t>
      </w:r>
      <w:proofErr w:type="spellStart"/>
      <w:r w:rsidR="00104FA1">
        <w:rPr>
          <w:rFonts w:ascii="Arial" w:hAnsi="Arial" w:cs="Arial"/>
          <w:sz w:val="22"/>
          <w:szCs w:val="22"/>
        </w:rPr>
        <w:t>Ebr</w:t>
      </w:r>
      <w:proofErr w:type="spellEnd"/>
      <w:r>
        <w:rPr>
          <w:rFonts w:ascii="Arial" w:hAnsi="Arial" w:cs="Arial"/>
          <w:sz w:val="22"/>
          <w:szCs w:val="22"/>
        </w:rPr>
        <w:t>. 2023].</w:t>
      </w:r>
    </w:p>
    <w:p w14:paraId="5418C566" w14:textId="77777777" w:rsidR="009168E5" w:rsidRPr="009168E5" w:rsidRDefault="009168E5" w:rsidP="009168E5">
      <w:pPr>
        <w:spacing w:line="276" w:lineRule="auto"/>
        <w:rPr>
          <w:rFonts w:ascii="Arial" w:hAnsi="Arial" w:cs="Arial"/>
        </w:rPr>
      </w:pPr>
    </w:p>
    <w:p w14:paraId="620B719F" w14:textId="77777777" w:rsidR="00906893" w:rsidRDefault="00906893" w:rsidP="004126AB">
      <w:pPr>
        <w:rPr>
          <w:rFonts w:cstheme="minorHAnsi"/>
        </w:rPr>
      </w:pPr>
    </w:p>
    <w:p w14:paraId="5BF7D25F" w14:textId="77777777" w:rsidR="00225F35" w:rsidRPr="00491E52" w:rsidRDefault="00225F35" w:rsidP="004126AB">
      <w:pPr>
        <w:rPr>
          <w:rFonts w:cstheme="minorHAnsi"/>
        </w:rPr>
      </w:pPr>
    </w:p>
    <w:sectPr w:rsidR="00225F35" w:rsidRPr="00491E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3D2"/>
    <w:rsid w:val="00023338"/>
    <w:rsid w:val="00023F99"/>
    <w:rsid w:val="000572D8"/>
    <w:rsid w:val="00084E2B"/>
    <w:rsid w:val="00104FA1"/>
    <w:rsid w:val="001221FF"/>
    <w:rsid w:val="001417A8"/>
    <w:rsid w:val="00146434"/>
    <w:rsid w:val="001507B4"/>
    <w:rsid w:val="00170DA3"/>
    <w:rsid w:val="00185404"/>
    <w:rsid w:val="001A03A2"/>
    <w:rsid w:val="00225F35"/>
    <w:rsid w:val="00241ABE"/>
    <w:rsid w:val="00246FA1"/>
    <w:rsid w:val="002D2CB5"/>
    <w:rsid w:val="002E0A2A"/>
    <w:rsid w:val="003342FB"/>
    <w:rsid w:val="003A2FE8"/>
    <w:rsid w:val="003F6375"/>
    <w:rsid w:val="003F6E67"/>
    <w:rsid w:val="004002C8"/>
    <w:rsid w:val="004126AB"/>
    <w:rsid w:val="00445700"/>
    <w:rsid w:val="00450674"/>
    <w:rsid w:val="00476004"/>
    <w:rsid w:val="00491D7D"/>
    <w:rsid w:val="00491E52"/>
    <w:rsid w:val="004D1194"/>
    <w:rsid w:val="005C3710"/>
    <w:rsid w:val="005D55E8"/>
    <w:rsid w:val="005D7FC8"/>
    <w:rsid w:val="005F3AAA"/>
    <w:rsid w:val="00654CA0"/>
    <w:rsid w:val="00685680"/>
    <w:rsid w:val="00687A62"/>
    <w:rsid w:val="00697CA1"/>
    <w:rsid w:val="006F56F4"/>
    <w:rsid w:val="00705759"/>
    <w:rsid w:val="00775AD1"/>
    <w:rsid w:val="007A1ACD"/>
    <w:rsid w:val="007A1D93"/>
    <w:rsid w:val="007D6ED2"/>
    <w:rsid w:val="007F684C"/>
    <w:rsid w:val="008279A1"/>
    <w:rsid w:val="008B26E4"/>
    <w:rsid w:val="008C0C2A"/>
    <w:rsid w:val="008E1C1B"/>
    <w:rsid w:val="008F0650"/>
    <w:rsid w:val="00906893"/>
    <w:rsid w:val="00906F51"/>
    <w:rsid w:val="009168E5"/>
    <w:rsid w:val="00930EF4"/>
    <w:rsid w:val="00940D8C"/>
    <w:rsid w:val="00957928"/>
    <w:rsid w:val="009B27FE"/>
    <w:rsid w:val="00A046F8"/>
    <w:rsid w:val="00A3099D"/>
    <w:rsid w:val="00AB76B0"/>
    <w:rsid w:val="00B01C32"/>
    <w:rsid w:val="00B22E4F"/>
    <w:rsid w:val="00B333D2"/>
    <w:rsid w:val="00B93F0F"/>
    <w:rsid w:val="00C17EC7"/>
    <w:rsid w:val="00C559A2"/>
    <w:rsid w:val="00C91DBC"/>
    <w:rsid w:val="00C91EB2"/>
    <w:rsid w:val="00CC3EB4"/>
    <w:rsid w:val="00CD6D5D"/>
    <w:rsid w:val="00D75DBA"/>
    <w:rsid w:val="00D953F9"/>
    <w:rsid w:val="00DC539E"/>
    <w:rsid w:val="00DD47B2"/>
    <w:rsid w:val="00DE1C5F"/>
    <w:rsid w:val="00E23783"/>
    <w:rsid w:val="00E751E7"/>
    <w:rsid w:val="00E827DA"/>
    <w:rsid w:val="00E93E13"/>
    <w:rsid w:val="00EB143E"/>
    <w:rsid w:val="00EB506C"/>
    <w:rsid w:val="00ED0673"/>
    <w:rsid w:val="00EF0207"/>
    <w:rsid w:val="00F07AB3"/>
    <w:rsid w:val="00F1235F"/>
    <w:rsid w:val="00F25602"/>
    <w:rsid w:val="00F517F8"/>
    <w:rsid w:val="00F542D0"/>
    <w:rsid w:val="00F70FB2"/>
    <w:rsid w:val="00F81678"/>
    <w:rsid w:val="00F868AC"/>
    <w:rsid w:val="00F90A52"/>
    <w:rsid w:val="00FC6D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8C115"/>
  <w15:chartTrackingRefBased/>
  <w15:docId w15:val="{1DAF8124-D2C7-4498-9155-7797D26C38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91E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8F0650"/>
    <w:rPr>
      <w:color w:val="808080"/>
    </w:rPr>
  </w:style>
  <w:style w:type="paragraph" w:styleId="NormalWeb">
    <w:name w:val="Normal (Web)"/>
    <w:basedOn w:val="Normal"/>
    <w:uiPriority w:val="99"/>
    <w:semiHidden/>
    <w:unhideWhenUsed/>
    <w:rsid w:val="009168E5"/>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595463">
      <w:bodyDiv w:val="1"/>
      <w:marLeft w:val="0"/>
      <w:marRight w:val="0"/>
      <w:marTop w:val="0"/>
      <w:marBottom w:val="0"/>
      <w:divBdr>
        <w:top w:val="none" w:sz="0" w:space="0" w:color="auto"/>
        <w:left w:val="none" w:sz="0" w:space="0" w:color="auto"/>
        <w:bottom w:val="none" w:sz="0" w:space="0" w:color="auto"/>
        <w:right w:val="none" w:sz="0" w:space="0" w:color="auto"/>
      </w:divBdr>
    </w:div>
    <w:div w:id="755637432">
      <w:bodyDiv w:val="1"/>
      <w:marLeft w:val="0"/>
      <w:marRight w:val="0"/>
      <w:marTop w:val="0"/>
      <w:marBottom w:val="0"/>
      <w:divBdr>
        <w:top w:val="none" w:sz="0" w:space="0" w:color="auto"/>
        <w:left w:val="none" w:sz="0" w:space="0" w:color="auto"/>
        <w:bottom w:val="none" w:sz="0" w:space="0" w:color="auto"/>
        <w:right w:val="none" w:sz="0" w:space="0" w:color="auto"/>
      </w:divBdr>
    </w:div>
    <w:div w:id="1261639232">
      <w:bodyDiv w:val="1"/>
      <w:marLeft w:val="0"/>
      <w:marRight w:val="0"/>
      <w:marTop w:val="0"/>
      <w:marBottom w:val="0"/>
      <w:divBdr>
        <w:top w:val="none" w:sz="0" w:space="0" w:color="auto"/>
        <w:left w:val="none" w:sz="0" w:space="0" w:color="auto"/>
        <w:bottom w:val="none" w:sz="0" w:space="0" w:color="auto"/>
        <w:right w:val="none" w:sz="0" w:space="0" w:color="auto"/>
      </w:divBdr>
      <w:divsChild>
        <w:div w:id="1650018307">
          <w:marLeft w:val="0"/>
          <w:marRight w:val="0"/>
          <w:marTop w:val="0"/>
          <w:marBottom w:val="0"/>
          <w:divBdr>
            <w:top w:val="none" w:sz="0" w:space="0" w:color="auto"/>
            <w:left w:val="none" w:sz="0" w:space="0" w:color="auto"/>
            <w:bottom w:val="none" w:sz="0" w:space="0" w:color="auto"/>
            <w:right w:val="none" w:sz="0" w:space="0" w:color="auto"/>
          </w:divBdr>
        </w:div>
      </w:divsChild>
    </w:div>
    <w:div w:id="1346589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4413</TotalTime>
  <Pages>7</Pages>
  <Words>3341</Words>
  <Characters>19046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Osian</dc:creator>
  <cp:keywords/>
  <dc:description/>
  <cp:lastModifiedBy>Osian</cp:lastModifiedBy>
  <cp:revision>7</cp:revision>
  <dcterms:created xsi:type="dcterms:W3CDTF">2023-04-14T09:45:00Z</dcterms:created>
  <dcterms:modified xsi:type="dcterms:W3CDTF">2023-04-17T21:38:00Z</dcterms:modified>
</cp:coreProperties>
</file>