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FE0ECD" w14:textId="685AFF81" w:rsidR="009E75FC" w:rsidRDefault="009E75FC" w:rsidP="00ED6294">
      <w:pPr>
        <w:pStyle w:val="Heading1"/>
        <w:spacing w:before="0"/>
        <w:jc w:val="both"/>
        <w:rPr>
          <w:sz w:val="28"/>
          <w:szCs w:val="28"/>
        </w:rPr>
      </w:pPr>
      <w:r w:rsidRPr="00515B99">
        <w:rPr>
          <w:noProof/>
        </w:rPr>
        <w:drawing>
          <wp:anchor distT="0" distB="0" distL="114300" distR="114300" simplePos="0" relativeHeight="251680768" behindDoc="0" locked="0" layoutInCell="1" allowOverlap="1" wp14:anchorId="1FF36281" wp14:editId="2F30EFD6">
            <wp:simplePos x="0" y="0"/>
            <wp:positionH relativeFrom="margin">
              <wp:align>center</wp:align>
            </wp:positionH>
            <wp:positionV relativeFrom="paragraph">
              <wp:posOffset>533</wp:posOffset>
            </wp:positionV>
            <wp:extent cx="1706245" cy="589915"/>
            <wp:effectExtent l="0" t="0" r="8255" b="635"/>
            <wp:wrapThrough wrapText="bothSides">
              <wp:wrapPolygon edited="0">
                <wp:start x="0" y="0"/>
                <wp:lineTo x="0" y="19531"/>
                <wp:lineTo x="8441" y="20926"/>
                <wp:lineTo x="9888" y="20926"/>
                <wp:lineTo x="21463" y="19531"/>
                <wp:lineTo x="21463" y="1395"/>
                <wp:lineTo x="15434" y="0"/>
                <wp:lineTo x="0" y="0"/>
              </wp:wrapPolygon>
            </wp:wrapThrough>
            <wp:docPr id="12" name="Picture 1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06245" cy="5899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681AF1" w14:textId="49735399" w:rsidR="009E75FC" w:rsidRPr="00515B99" w:rsidRDefault="009E75FC" w:rsidP="009E75FC">
      <w:pPr>
        <w:spacing w:before="40" w:after="40" w:line="360" w:lineRule="auto"/>
      </w:pPr>
    </w:p>
    <w:p w14:paraId="388BCFD3" w14:textId="77777777" w:rsidR="009E75FC" w:rsidRPr="00515B99" w:rsidRDefault="009E75FC" w:rsidP="009E75FC">
      <w:pPr>
        <w:spacing w:before="40" w:after="40" w:line="360" w:lineRule="auto"/>
      </w:pPr>
    </w:p>
    <w:p w14:paraId="66B0A2CC" w14:textId="77777777" w:rsidR="009E75FC" w:rsidRPr="00515B99" w:rsidRDefault="009E75FC" w:rsidP="009E75FC">
      <w:pPr>
        <w:spacing w:before="200" w:after="60" w:line="360" w:lineRule="auto"/>
        <w:jc w:val="center"/>
      </w:pPr>
      <w:r w:rsidRPr="00515B99">
        <w:rPr>
          <w:b/>
          <w:bCs/>
          <w:color w:val="1F3864"/>
        </w:rPr>
        <w:t>UNIVERSITY OF WALES TRINITY SAINT DAVID</w:t>
      </w:r>
    </w:p>
    <w:p w14:paraId="21626173" w14:textId="77777777" w:rsidR="009E75FC" w:rsidRPr="00515B99" w:rsidRDefault="009E75FC" w:rsidP="009E75FC">
      <w:pPr>
        <w:jc w:val="center"/>
      </w:pPr>
      <w:r w:rsidRPr="00515B99">
        <w:rPr>
          <w:color w:val="555555"/>
        </w:rPr>
        <w:t>Birmingham</w:t>
      </w:r>
    </w:p>
    <w:p w14:paraId="56413D7C" w14:textId="77777777" w:rsidR="009E75FC" w:rsidRPr="00515B99" w:rsidRDefault="009E75FC" w:rsidP="009E75FC">
      <w:pPr>
        <w:pBdr>
          <w:bottom w:val="single" w:sz="8" w:space="0" w:color="C9A227"/>
        </w:pBdr>
      </w:pPr>
    </w:p>
    <w:p w14:paraId="1FE0AD8B" w14:textId="77777777" w:rsidR="009E75FC" w:rsidRPr="00515B99" w:rsidRDefault="009E75FC" w:rsidP="009E75FC">
      <w:pPr>
        <w:spacing w:before="40" w:after="40" w:line="360" w:lineRule="auto"/>
      </w:pPr>
    </w:p>
    <w:p w14:paraId="096E6BC4" w14:textId="77777777" w:rsidR="009E75FC" w:rsidRPr="00515B99" w:rsidRDefault="009E75FC" w:rsidP="009E75FC">
      <w:pPr>
        <w:spacing w:before="80" w:after="60" w:line="360" w:lineRule="auto"/>
        <w:jc w:val="center"/>
      </w:pPr>
      <w:r w:rsidRPr="00515B99">
        <w:rPr>
          <w:b/>
          <w:bCs/>
          <w:color w:val="1F3864"/>
        </w:rPr>
        <w:t>Master of Business Administration</w:t>
      </w:r>
    </w:p>
    <w:p w14:paraId="6C28EF81" w14:textId="23CE7B1F" w:rsidR="009E75FC" w:rsidRPr="00515B99" w:rsidRDefault="009E75FC" w:rsidP="009E75FC">
      <w:pPr>
        <w:spacing w:before="60" w:after="60" w:line="360" w:lineRule="auto"/>
        <w:jc w:val="center"/>
      </w:pPr>
      <w:r>
        <w:rPr>
          <w:color w:val="444444"/>
        </w:rPr>
        <w:t xml:space="preserve">Marketing </w:t>
      </w:r>
      <w:r w:rsidRPr="00515B99">
        <w:rPr>
          <w:color w:val="444444"/>
        </w:rPr>
        <w:t>Ma</w:t>
      </w:r>
      <w:r>
        <w:rPr>
          <w:color w:val="444444"/>
        </w:rPr>
        <w:t>nagement | Module Code: LCMB7024</w:t>
      </w:r>
    </w:p>
    <w:p w14:paraId="797915A1" w14:textId="77777777" w:rsidR="009E75FC" w:rsidRPr="00515B99" w:rsidRDefault="009E75FC" w:rsidP="009E75FC">
      <w:pPr>
        <w:spacing w:before="40" w:after="40" w:line="360" w:lineRule="auto"/>
      </w:pPr>
    </w:p>
    <w:p w14:paraId="353FC5BD" w14:textId="77777777" w:rsidR="009E75FC" w:rsidRPr="00515B99" w:rsidRDefault="009E75FC" w:rsidP="009E75FC">
      <w:pPr>
        <w:spacing w:before="200" w:after="100" w:line="360" w:lineRule="auto"/>
        <w:jc w:val="center"/>
      </w:pPr>
      <w:r w:rsidRPr="00515B99">
        <w:rPr>
          <w:b/>
          <w:bCs/>
          <w:color w:val="1F3864"/>
        </w:rPr>
        <w:t>Assessment Component 1: Individual Report</w:t>
      </w:r>
    </w:p>
    <w:p w14:paraId="6A91AE10" w14:textId="712BECEC" w:rsidR="009E75FC" w:rsidRPr="00515B99" w:rsidRDefault="009E75FC" w:rsidP="009E75FC">
      <w:pPr>
        <w:spacing w:before="100" w:after="60" w:line="360" w:lineRule="auto"/>
        <w:jc w:val="center"/>
      </w:pPr>
      <w:r>
        <w:rPr>
          <w:i/>
          <w:iCs/>
          <w:color w:val="2E5496"/>
        </w:rPr>
        <w:t>Marketing Environment Analysis</w:t>
      </w:r>
    </w:p>
    <w:p w14:paraId="71CF83CF" w14:textId="6881B36F" w:rsidR="009E75FC" w:rsidRPr="00515B99" w:rsidRDefault="009E75FC" w:rsidP="009E75FC">
      <w:pPr>
        <w:spacing w:before="60" w:after="360" w:line="360" w:lineRule="auto"/>
        <w:jc w:val="center"/>
      </w:pPr>
      <w:r>
        <w:rPr>
          <w:i/>
          <w:iCs/>
          <w:color w:val="888888"/>
        </w:rPr>
        <w:t xml:space="preserve">TATA Steel </w:t>
      </w:r>
      <w:r w:rsidRPr="00515B99">
        <w:rPr>
          <w:i/>
          <w:iCs/>
          <w:color w:val="888888"/>
        </w:rPr>
        <w:t>Case</w:t>
      </w:r>
      <w:r w:rsidRPr="00515B99">
        <w:rPr>
          <w:i/>
          <w:iCs/>
          <w:color w:val="888888"/>
        </w:rPr>
        <w:t xml:space="preserve"> Study</w:t>
      </w:r>
    </w:p>
    <w:p w14:paraId="4100A0E6" w14:textId="77777777" w:rsidR="009E75FC" w:rsidRPr="00515B99" w:rsidRDefault="009E75FC" w:rsidP="009E75FC">
      <w:pPr>
        <w:spacing w:before="40" w:after="40" w:line="360" w:lineRule="auto"/>
      </w:pPr>
    </w:p>
    <w:tbl>
      <w:tblPr>
        <w:tblpPr w:leftFromText="180" w:rightFromText="180" w:vertAnchor="text" w:horzAnchor="margin" w:tblpXSpec="center" w:tblpY="132"/>
        <w:tblW w:w="68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23"/>
        <w:gridCol w:w="4084"/>
      </w:tblGrid>
      <w:tr w:rsidR="009E75FC" w:rsidRPr="00515B99" w14:paraId="066EF7AC" w14:textId="77777777" w:rsidTr="00C96256">
        <w:trPr>
          <w:trHeight w:val="772"/>
        </w:trPr>
        <w:tc>
          <w:tcPr>
            <w:tcW w:w="2723" w:type="dxa"/>
            <w:tcBorders>
              <w:top w:val="single" w:sz="1" w:space="0" w:color="AAAAAA"/>
              <w:left w:val="single" w:sz="1" w:space="0" w:color="AAAAAA"/>
              <w:bottom w:val="single" w:sz="1" w:space="0" w:color="AAAAAA"/>
              <w:right w:val="single" w:sz="1" w:space="0" w:color="AAAAAA"/>
            </w:tcBorders>
            <w:shd w:val="clear" w:color="auto" w:fill="E8EEF7"/>
            <w:tcMar>
              <w:top w:w="80" w:type="dxa"/>
              <w:left w:w="120" w:type="dxa"/>
              <w:bottom w:w="80" w:type="dxa"/>
              <w:right w:w="120" w:type="dxa"/>
            </w:tcMar>
          </w:tcPr>
          <w:p w14:paraId="50296568" w14:textId="77777777" w:rsidR="009E75FC" w:rsidRPr="00515B99" w:rsidRDefault="009E75FC" w:rsidP="00C96256">
            <w:pPr>
              <w:spacing w:line="360" w:lineRule="auto"/>
            </w:pPr>
            <w:r w:rsidRPr="00515B99">
              <w:rPr>
                <w:b/>
                <w:bCs/>
              </w:rPr>
              <w:t>Student Name:</w:t>
            </w:r>
          </w:p>
        </w:tc>
        <w:tc>
          <w:tcPr>
            <w:tcW w:w="4084"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F24160E" w14:textId="77777777" w:rsidR="009E75FC" w:rsidRPr="00515B99" w:rsidRDefault="009E75FC" w:rsidP="00C96256">
            <w:pPr>
              <w:spacing w:line="360" w:lineRule="auto"/>
            </w:pPr>
            <w:r w:rsidRPr="00515B99">
              <w:t>Zarna Patel</w:t>
            </w:r>
          </w:p>
        </w:tc>
      </w:tr>
      <w:tr w:rsidR="009E75FC" w:rsidRPr="00515B99" w14:paraId="7ABC4A7A" w14:textId="77777777" w:rsidTr="00C96256">
        <w:trPr>
          <w:trHeight w:val="733"/>
        </w:trPr>
        <w:tc>
          <w:tcPr>
            <w:tcW w:w="2723" w:type="dxa"/>
            <w:tcBorders>
              <w:top w:val="single" w:sz="1" w:space="0" w:color="AAAAAA"/>
              <w:left w:val="single" w:sz="1" w:space="0" w:color="AAAAAA"/>
              <w:bottom w:val="single" w:sz="1" w:space="0" w:color="AAAAAA"/>
              <w:right w:val="single" w:sz="1" w:space="0" w:color="AAAAAA"/>
            </w:tcBorders>
            <w:shd w:val="clear" w:color="auto" w:fill="E8EEF7"/>
            <w:tcMar>
              <w:top w:w="80" w:type="dxa"/>
              <w:left w:w="120" w:type="dxa"/>
              <w:bottom w:w="80" w:type="dxa"/>
              <w:right w:w="120" w:type="dxa"/>
            </w:tcMar>
          </w:tcPr>
          <w:p w14:paraId="6A203A21" w14:textId="77777777" w:rsidR="009E75FC" w:rsidRPr="00515B99" w:rsidRDefault="009E75FC" w:rsidP="00C96256">
            <w:pPr>
              <w:spacing w:line="360" w:lineRule="auto"/>
            </w:pPr>
            <w:r w:rsidRPr="00515B99">
              <w:rPr>
                <w:b/>
                <w:bCs/>
              </w:rPr>
              <w:t>Student ID Number:</w:t>
            </w:r>
          </w:p>
        </w:tc>
        <w:tc>
          <w:tcPr>
            <w:tcW w:w="4084"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162EA1D" w14:textId="77777777" w:rsidR="009E75FC" w:rsidRPr="00515B99" w:rsidRDefault="009E75FC" w:rsidP="00C96256">
            <w:pPr>
              <w:spacing w:line="360" w:lineRule="auto"/>
            </w:pPr>
            <w:r w:rsidRPr="00515B99">
              <w:t>2536013</w:t>
            </w:r>
          </w:p>
        </w:tc>
      </w:tr>
      <w:tr w:rsidR="009E75FC" w:rsidRPr="00515B99" w14:paraId="196560F2" w14:textId="77777777" w:rsidTr="00C96256">
        <w:trPr>
          <w:trHeight w:val="772"/>
        </w:trPr>
        <w:tc>
          <w:tcPr>
            <w:tcW w:w="2723" w:type="dxa"/>
            <w:tcBorders>
              <w:top w:val="single" w:sz="1" w:space="0" w:color="AAAAAA"/>
              <w:left w:val="single" w:sz="1" w:space="0" w:color="AAAAAA"/>
              <w:bottom w:val="single" w:sz="1" w:space="0" w:color="AAAAAA"/>
              <w:right w:val="single" w:sz="1" w:space="0" w:color="AAAAAA"/>
            </w:tcBorders>
            <w:shd w:val="clear" w:color="auto" w:fill="E8EEF7"/>
            <w:tcMar>
              <w:top w:w="80" w:type="dxa"/>
              <w:left w:w="120" w:type="dxa"/>
              <w:bottom w:w="80" w:type="dxa"/>
              <w:right w:w="120" w:type="dxa"/>
            </w:tcMar>
          </w:tcPr>
          <w:p w14:paraId="2482128C" w14:textId="77777777" w:rsidR="009E75FC" w:rsidRPr="00515B99" w:rsidRDefault="009E75FC" w:rsidP="00C96256">
            <w:pPr>
              <w:spacing w:line="360" w:lineRule="auto"/>
            </w:pPr>
            <w:r w:rsidRPr="00515B99">
              <w:rPr>
                <w:b/>
                <w:bCs/>
              </w:rPr>
              <w:t>Programme:</w:t>
            </w:r>
          </w:p>
        </w:tc>
        <w:tc>
          <w:tcPr>
            <w:tcW w:w="4084"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D0E51D0" w14:textId="77777777" w:rsidR="009E75FC" w:rsidRPr="00515B99" w:rsidRDefault="009E75FC" w:rsidP="00C96256">
            <w:pPr>
              <w:spacing w:line="360" w:lineRule="auto"/>
            </w:pPr>
            <w:r w:rsidRPr="00515B99">
              <w:t>Master of Business Administration</w:t>
            </w:r>
          </w:p>
        </w:tc>
      </w:tr>
      <w:tr w:rsidR="009E75FC" w:rsidRPr="00515B99" w14:paraId="34F8F05E" w14:textId="77777777" w:rsidTr="00C96256">
        <w:trPr>
          <w:trHeight w:val="733"/>
        </w:trPr>
        <w:tc>
          <w:tcPr>
            <w:tcW w:w="2723" w:type="dxa"/>
            <w:tcBorders>
              <w:top w:val="single" w:sz="1" w:space="0" w:color="AAAAAA"/>
              <w:left w:val="single" w:sz="1" w:space="0" w:color="AAAAAA"/>
              <w:bottom w:val="single" w:sz="1" w:space="0" w:color="AAAAAA"/>
              <w:right w:val="single" w:sz="1" w:space="0" w:color="AAAAAA"/>
            </w:tcBorders>
            <w:shd w:val="clear" w:color="auto" w:fill="E8EEF7"/>
            <w:tcMar>
              <w:top w:w="80" w:type="dxa"/>
              <w:left w:w="120" w:type="dxa"/>
              <w:bottom w:w="80" w:type="dxa"/>
              <w:right w:w="120" w:type="dxa"/>
            </w:tcMar>
          </w:tcPr>
          <w:p w14:paraId="6144E939" w14:textId="77777777" w:rsidR="009E75FC" w:rsidRPr="00515B99" w:rsidRDefault="009E75FC" w:rsidP="00C96256">
            <w:pPr>
              <w:spacing w:line="360" w:lineRule="auto"/>
            </w:pPr>
            <w:r w:rsidRPr="00515B99">
              <w:rPr>
                <w:b/>
                <w:bCs/>
              </w:rPr>
              <w:t>Module:</w:t>
            </w:r>
          </w:p>
        </w:tc>
        <w:tc>
          <w:tcPr>
            <w:tcW w:w="4084"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BB40A39" w14:textId="07CB9D48" w:rsidR="009E75FC" w:rsidRPr="00515B99" w:rsidRDefault="009E75FC" w:rsidP="00C96256">
            <w:pPr>
              <w:spacing w:line="360" w:lineRule="auto"/>
            </w:pPr>
            <w:r>
              <w:t>Marketing</w:t>
            </w:r>
            <w:r w:rsidRPr="00515B99">
              <w:t xml:space="preserve"> Management</w:t>
            </w:r>
          </w:p>
        </w:tc>
      </w:tr>
      <w:tr w:rsidR="009E75FC" w:rsidRPr="00515B99" w14:paraId="114F0052" w14:textId="77777777" w:rsidTr="00C96256">
        <w:trPr>
          <w:trHeight w:val="772"/>
        </w:trPr>
        <w:tc>
          <w:tcPr>
            <w:tcW w:w="2723" w:type="dxa"/>
            <w:tcBorders>
              <w:top w:val="single" w:sz="1" w:space="0" w:color="AAAAAA"/>
              <w:left w:val="single" w:sz="1" w:space="0" w:color="AAAAAA"/>
              <w:bottom w:val="single" w:sz="1" w:space="0" w:color="AAAAAA"/>
              <w:right w:val="single" w:sz="1" w:space="0" w:color="AAAAAA"/>
            </w:tcBorders>
            <w:shd w:val="clear" w:color="auto" w:fill="E8EEF7"/>
            <w:tcMar>
              <w:top w:w="80" w:type="dxa"/>
              <w:left w:w="120" w:type="dxa"/>
              <w:bottom w:w="80" w:type="dxa"/>
              <w:right w:w="120" w:type="dxa"/>
            </w:tcMar>
          </w:tcPr>
          <w:p w14:paraId="4D2A20D0" w14:textId="77777777" w:rsidR="009E75FC" w:rsidRPr="00515B99" w:rsidRDefault="009E75FC" w:rsidP="00C96256">
            <w:pPr>
              <w:spacing w:line="360" w:lineRule="auto"/>
            </w:pPr>
            <w:r w:rsidRPr="00515B99">
              <w:rPr>
                <w:b/>
                <w:bCs/>
              </w:rPr>
              <w:t>Lecturer:</w:t>
            </w:r>
          </w:p>
        </w:tc>
        <w:tc>
          <w:tcPr>
            <w:tcW w:w="4084"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4399D28" w14:textId="15323676" w:rsidR="009E75FC" w:rsidRPr="00515B99" w:rsidRDefault="009E75FC" w:rsidP="00C96256">
            <w:pPr>
              <w:spacing w:line="360" w:lineRule="auto"/>
            </w:pPr>
            <w:proofErr w:type="spellStart"/>
            <w:r w:rsidRPr="009E75FC">
              <w:t>Taonga</w:t>
            </w:r>
            <w:proofErr w:type="spellEnd"/>
            <w:r w:rsidRPr="009E75FC">
              <w:t xml:space="preserve"> </w:t>
            </w:r>
            <w:proofErr w:type="spellStart"/>
            <w:r w:rsidRPr="009E75FC">
              <w:t>Kaonga</w:t>
            </w:r>
            <w:proofErr w:type="spellEnd"/>
            <w:r w:rsidRPr="009E75FC">
              <w:t xml:space="preserve"> </w:t>
            </w:r>
            <w:proofErr w:type="spellStart"/>
            <w:r w:rsidRPr="009E75FC">
              <w:t>Sobere-Snithers</w:t>
            </w:r>
            <w:proofErr w:type="spellEnd"/>
          </w:p>
        </w:tc>
      </w:tr>
      <w:tr w:rsidR="009E75FC" w:rsidRPr="00515B99" w14:paraId="54343E32" w14:textId="77777777" w:rsidTr="00C96256">
        <w:trPr>
          <w:trHeight w:val="733"/>
        </w:trPr>
        <w:tc>
          <w:tcPr>
            <w:tcW w:w="2723" w:type="dxa"/>
            <w:tcBorders>
              <w:top w:val="single" w:sz="1" w:space="0" w:color="AAAAAA"/>
              <w:left w:val="single" w:sz="1" w:space="0" w:color="AAAAAA"/>
              <w:bottom w:val="single" w:sz="1" w:space="0" w:color="AAAAAA"/>
              <w:right w:val="single" w:sz="1" w:space="0" w:color="AAAAAA"/>
            </w:tcBorders>
            <w:shd w:val="clear" w:color="auto" w:fill="E8EEF7"/>
            <w:tcMar>
              <w:top w:w="80" w:type="dxa"/>
              <w:left w:w="120" w:type="dxa"/>
              <w:bottom w:w="80" w:type="dxa"/>
              <w:right w:w="120" w:type="dxa"/>
            </w:tcMar>
          </w:tcPr>
          <w:p w14:paraId="1ECBF5C6" w14:textId="77777777" w:rsidR="009E75FC" w:rsidRPr="00515B99" w:rsidRDefault="009E75FC" w:rsidP="00C96256">
            <w:pPr>
              <w:spacing w:line="360" w:lineRule="auto"/>
            </w:pPr>
            <w:r w:rsidRPr="00515B99">
              <w:rPr>
                <w:b/>
                <w:bCs/>
              </w:rPr>
              <w:t>Word Count:</w:t>
            </w:r>
          </w:p>
        </w:tc>
        <w:tc>
          <w:tcPr>
            <w:tcW w:w="4084"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11A07850" w14:textId="094AEC98" w:rsidR="009E75FC" w:rsidRPr="00515B99" w:rsidRDefault="009E75FC" w:rsidP="00C96256">
            <w:pPr>
              <w:spacing w:line="360" w:lineRule="auto"/>
            </w:pPr>
            <w:r>
              <w:t>2717</w:t>
            </w:r>
            <w:r w:rsidRPr="00515B99">
              <w:t xml:space="preserve"> words</w:t>
            </w:r>
          </w:p>
        </w:tc>
      </w:tr>
      <w:tr w:rsidR="009E75FC" w:rsidRPr="00515B99" w14:paraId="4E793A63" w14:textId="77777777" w:rsidTr="00C96256">
        <w:trPr>
          <w:trHeight w:val="733"/>
        </w:trPr>
        <w:tc>
          <w:tcPr>
            <w:tcW w:w="2723" w:type="dxa"/>
            <w:tcBorders>
              <w:top w:val="single" w:sz="1" w:space="0" w:color="AAAAAA"/>
              <w:left w:val="single" w:sz="1" w:space="0" w:color="AAAAAA"/>
              <w:bottom w:val="single" w:sz="1" w:space="0" w:color="AAAAAA"/>
              <w:right w:val="single" w:sz="1" w:space="0" w:color="AAAAAA"/>
            </w:tcBorders>
            <w:shd w:val="clear" w:color="auto" w:fill="E8EEF7"/>
            <w:tcMar>
              <w:top w:w="80" w:type="dxa"/>
              <w:left w:w="120" w:type="dxa"/>
              <w:bottom w:w="80" w:type="dxa"/>
              <w:right w:w="120" w:type="dxa"/>
            </w:tcMar>
          </w:tcPr>
          <w:p w14:paraId="7342F9A6" w14:textId="2F4A57E7" w:rsidR="009E75FC" w:rsidRPr="00515B99" w:rsidRDefault="009E75FC" w:rsidP="00C96256">
            <w:pPr>
              <w:spacing w:line="360" w:lineRule="auto"/>
            </w:pPr>
            <w:r>
              <w:rPr>
                <w:b/>
                <w:bCs/>
              </w:rPr>
              <w:t>Submitted on</w:t>
            </w:r>
            <w:r w:rsidRPr="00515B99">
              <w:rPr>
                <w:b/>
                <w:bCs/>
              </w:rPr>
              <w:t>:</w:t>
            </w:r>
          </w:p>
        </w:tc>
        <w:tc>
          <w:tcPr>
            <w:tcW w:w="4084"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6B704E50" w14:textId="4923C3D3" w:rsidR="009E75FC" w:rsidRPr="00515B99" w:rsidRDefault="009E75FC" w:rsidP="00C96256">
            <w:pPr>
              <w:spacing w:line="360" w:lineRule="auto"/>
            </w:pPr>
            <w:r>
              <w:t>Thursday, 25</w:t>
            </w:r>
            <w:r w:rsidRPr="00515B99">
              <w:t>th June 2026</w:t>
            </w:r>
          </w:p>
        </w:tc>
      </w:tr>
    </w:tbl>
    <w:p w14:paraId="1BC1D463" w14:textId="77777777" w:rsidR="009E75FC" w:rsidRPr="00515B99" w:rsidRDefault="009E75FC" w:rsidP="009E75FC">
      <w:pPr>
        <w:spacing w:before="40" w:after="40" w:line="360" w:lineRule="auto"/>
      </w:pPr>
    </w:p>
    <w:p w14:paraId="78E6A810" w14:textId="736AE367" w:rsidR="009E75FC" w:rsidRPr="009E75FC" w:rsidRDefault="009E75FC" w:rsidP="009E75FC">
      <w:pPr>
        <w:spacing w:line="360" w:lineRule="auto"/>
      </w:pPr>
      <w:r>
        <w:rPr>
          <w:sz w:val="28"/>
          <w:szCs w:val="28"/>
        </w:rPr>
        <w:br w:type="page"/>
      </w:r>
      <w:bookmarkStart w:id="0" w:name="_GoBack"/>
      <w:bookmarkEnd w:id="0"/>
    </w:p>
    <w:p w14:paraId="71928A7A" w14:textId="2365D4B1" w:rsidR="000944B0" w:rsidRPr="005656EA" w:rsidRDefault="000944B0" w:rsidP="009E75FC">
      <w:pPr>
        <w:pStyle w:val="Heading1"/>
        <w:spacing w:before="0"/>
        <w:jc w:val="both"/>
        <w:rPr>
          <w:sz w:val="24"/>
          <w:szCs w:val="24"/>
        </w:rPr>
      </w:pPr>
      <w:r w:rsidRPr="005656EA">
        <w:rPr>
          <w:rFonts w:eastAsia="Times New Roman"/>
          <w:sz w:val="24"/>
          <w:szCs w:val="24"/>
        </w:rPr>
        <w:lastRenderedPageBreak/>
        <w:t>TABLE OF CONTENTS</w:t>
      </w:r>
    </w:p>
    <w:p w14:paraId="1DD7516D" w14:textId="77777777" w:rsidR="000944B0" w:rsidRPr="005656EA" w:rsidRDefault="000944B0" w:rsidP="000944B0">
      <w:pPr>
        <w:spacing w:before="320" w:after="80"/>
        <w:rPr>
          <w:rFonts w:ascii="Arial" w:hAnsi="Arial" w:cs="Arial"/>
          <w:sz w:val="24"/>
          <w:szCs w:val="24"/>
        </w:rPr>
      </w:pPr>
      <w:r w:rsidRPr="005656EA">
        <w:rPr>
          <w:rFonts w:ascii="Arial" w:eastAsia="Times New Roman" w:hAnsi="Arial" w:cs="Arial"/>
          <w:b/>
          <w:bCs/>
          <w:caps/>
          <w:color w:val="1F3864"/>
          <w:sz w:val="24"/>
          <w:szCs w:val="24"/>
        </w:rPr>
        <w:t>Preliminary Pages</w:t>
      </w:r>
    </w:p>
    <w:p w14:paraId="685B73AC" w14:textId="77777777"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sz w:val="24"/>
          <w:szCs w:val="24"/>
        </w:rPr>
        <w:t>Abbreviations</w:t>
      </w:r>
      <w:r w:rsidRPr="005656EA">
        <w:rPr>
          <w:rFonts w:ascii="Arial" w:eastAsia="Times New Roman" w:hAnsi="Arial" w:cs="Arial"/>
          <w:sz w:val="24"/>
          <w:szCs w:val="24"/>
        </w:rPr>
        <w:tab/>
        <w:t>3</w:t>
      </w:r>
    </w:p>
    <w:p w14:paraId="17718CB7" w14:textId="29115186"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sz w:val="24"/>
          <w:szCs w:val="24"/>
        </w:rPr>
        <w:t>Company and Organisation Names Mentioned</w:t>
      </w:r>
      <w:r w:rsidRPr="005656EA">
        <w:rPr>
          <w:rFonts w:ascii="Arial" w:eastAsia="Times New Roman" w:hAnsi="Arial" w:cs="Arial"/>
          <w:sz w:val="24"/>
          <w:szCs w:val="24"/>
        </w:rPr>
        <w:tab/>
      </w:r>
      <w:r w:rsidR="005656EA">
        <w:rPr>
          <w:rFonts w:ascii="Arial" w:eastAsia="Times New Roman" w:hAnsi="Arial" w:cs="Arial"/>
          <w:sz w:val="24"/>
          <w:szCs w:val="24"/>
        </w:rPr>
        <w:t>4</w:t>
      </w:r>
    </w:p>
    <w:p w14:paraId="7A300C4A" w14:textId="4E21A263"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sz w:val="24"/>
          <w:szCs w:val="24"/>
        </w:rPr>
        <w:t>Strategic Models Used</w:t>
      </w:r>
      <w:r w:rsidRPr="005656EA">
        <w:rPr>
          <w:rFonts w:ascii="Arial" w:eastAsia="Times New Roman" w:hAnsi="Arial" w:cs="Arial"/>
          <w:sz w:val="24"/>
          <w:szCs w:val="24"/>
        </w:rPr>
        <w:tab/>
      </w:r>
      <w:r w:rsidR="005656EA">
        <w:rPr>
          <w:rFonts w:ascii="Arial" w:eastAsia="Times New Roman" w:hAnsi="Arial" w:cs="Arial"/>
          <w:sz w:val="24"/>
          <w:szCs w:val="24"/>
        </w:rPr>
        <w:t>4</w:t>
      </w:r>
    </w:p>
    <w:p w14:paraId="20545B7C" w14:textId="77777777" w:rsidR="000944B0" w:rsidRPr="005656EA" w:rsidRDefault="000944B0" w:rsidP="000944B0">
      <w:pPr>
        <w:spacing w:after="80"/>
        <w:rPr>
          <w:rFonts w:ascii="Arial" w:hAnsi="Arial" w:cs="Arial"/>
          <w:sz w:val="24"/>
          <w:szCs w:val="24"/>
        </w:rPr>
      </w:pPr>
    </w:p>
    <w:p w14:paraId="5F466D66" w14:textId="77777777" w:rsidR="000944B0" w:rsidRPr="005656EA" w:rsidRDefault="000944B0" w:rsidP="000944B0">
      <w:pPr>
        <w:spacing w:before="320" w:after="80"/>
        <w:rPr>
          <w:rFonts w:ascii="Arial" w:hAnsi="Arial" w:cs="Arial"/>
          <w:sz w:val="24"/>
          <w:szCs w:val="24"/>
        </w:rPr>
      </w:pPr>
      <w:r w:rsidRPr="005656EA">
        <w:rPr>
          <w:rFonts w:ascii="Arial" w:eastAsia="Times New Roman" w:hAnsi="Arial" w:cs="Arial"/>
          <w:b/>
          <w:bCs/>
          <w:caps/>
          <w:color w:val="1F3864"/>
          <w:sz w:val="24"/>
          <w:szCs w:val="24"/>
        </w:rPr>
        <w:t>Task 1: Marketing Environment Analysis</w:t>
      </w:r>
    </w:p>
    <w:p w14:paraId="2BDFDB97" w14:textId="1BCBEEC9"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b/>
          <w:bCs/>
          <w:sz w:val="24"/>
          <w:szCs w:val="24"/>
        </w:rPr>
        <w:t>1.1 Overview of Tata Steel</w:t>
      </w:r>
      <w:r w:rsidRPr="005656EA">
        <w:rPr>
          <w:rFonts w:ascii="Arial" w:eastAsia="Times New Roman" w:hAnsi="Arial" w:cs="Arial"/>
          <w:b/>
          <w:bCs/>
          <w:sz w:val="24"/>
          <w:szCs w:val="24"/>
        </w:rPr>
        <w:tab/>
      </w:r>
      <w:r w:rsidR="005656EA">
        <w:rPr>
          <w:rFonts w:ascii="Arial" w:eastAsia="Times New Roman" w:hAnsi="Arial" w:cs="Arial"/>
          <w:b/>
          <w:bCs/>
          <w:sz w:val="24"/>
          <w:szCs w:val="24"/>
        </w:rPr>
        <w:t>5</w:t>
      </w:r>
    </w:p>
    <w:p w14:paraId="45F7FB29" w14:textId="4B03E6E9" w:rsidR="000944B0" w:rsidRPr="005656EA" w:rsidRDefault="000944B0" w:rsidP="000944B0">
      <w:pPr>
        <w:tabs>
          <w:tab w:val="right" w:leader="dot" w:pos="9026"/>
        </w:tabs>
        <w:spacing w:before="40" w:after="40"/>
        <w:ind w:left="360"/>
        <w:rPr>
          <w:rFonts w:ascii="Arial" w:hAnsi="Arial" w:cs="Arial"/>
          <w:sz w:val="24"/>
          <w:szCs w:val="24"/>
        </w:rPr>
      </w:pPr>
      <w:r w:rsidRPr="005656EA">
        <w:rPr>
          <w:rFonts w:ascii="Arial" w:eastAsia="Times New Roman" w:hAnsi="Arial" w:cs="Arial"/>
          <w:i/>
          <w:iCs/>
          <w:sz w:val="24"/>
          <w:szCs w:val="24"/>
        </w:rPr>
        <w:t>Figure 1: Green Steel Investment Breakdown by Funding Source</w:t>
      </w:r>
      <w:r w:rsidRPr="005656EA">
        <w:rPr>
          <w:rFonts w:ascii="Arial" w:eastAsia="Times New Roman" w:hAnsi="Arial" w:cs="Arial"/>
          <w:sz w:val="24"/>
          <w:szCs w:val="24"/>
        </w:rPr>
        <w:tab/>
      </w:r>
      <w:r w:rsidR="005656EA">
        <w:rPr>
          <w:rFonts w:ascii="Arial" w:eastAsia="Times New Roman" w:hAnsi="Arial" w:cs="Arial"/>
          <w:sz w:val="24"/>
          <w:szCs w:val="24"/>
        </w:rPr>
        <w:t>5</w:t>
      </w:r>
    </w:p>
    <w:p w14:paraId="556B1C6D" w14:textId="7169C7FF" w:rsidR="000944B0" w:rsidRPr="005656EA" w:rsidRDefault="000944B0" w:rsidP="000944B0">
      <w:pPr>
        <w:tabs>
          <w:tab w:val="right" w:leader="dot" w:pos="9026"/>
        </w:tabs>
        <w:spacing w:before="40" w:after="40"/>
        <w:ind w:left="360"/>
        <w:rPr>
          <w:rFonts w:ascii="Arial" w:hAnsi="Arial" w:cs="Arial"/>
          <w:sz w:val="24"/>
          <w:szCs w:val="24"/>
        </w:rPr>
      </w:pPr>
      <w:r w:rsidRPr="005656EA">
        <w:rPr>
          <w:rFonts w:ascii="Arial" w:eastAsia="Times New Roman" w:hAnsi="Arial" w:cs="Arial"/>
          <w:i/>
          <w:iCs/>
          <w:sz w:val="24"/>
          <w:szCs w:val="24"/>
        </w:rPr>
        <w:t>Figure 2: External Environmental Pressures Influencing Tata Steel's Low-Carbon Transition</w:t>
      </w:r>
      <w:r w:rsidRPr="005656EA">
        <w:rPr>
          <w:rFonts w:ascii="Arial" w:eastAsia="Times New Roman" w:hAnsi="Arial" w:cs="Arial"/>
          <w:sz w:val="24"/>
          <w:szCs w:val="24"/>
        </w:rPr>
        <w:tab/>
      </w:r>
      <w:r w:rsidR="005656EA">
        <w:rPr>
          <w:rFonts w:ascii="Arial" w:eastAsia="Times New Roman" w:hAnsi="Arial" w:cs="Arial"/>
          <w:sz w:val="24"/>
          <w:szCs w:val="24"/>
        </w:rPr>
        <w:t>5</w:t>
      </w:r>
    </w:p>
    <w:p w14:paraId="092E54D9" w14:textId="2FE71357"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b/>
          <w:bCs/>
          <w:sz w:val="24"/>
          <w:szCs w:val="24"/>
        </w:rPr>
        <w:t>1.2 The Natural Environment</w:t>
      </w:r>
      <w:r w:rsidRPr="005656EA">
        <w:rPr>
          <w:rFonts w:ascii="Arial" w:eastAsia="Times New Roman" w:hAnsi="Arial" w:cs="Arial"/>
          <w:b/>
          <w:bCs/>
          <w:sz w:val="24"/>
          <w:szCs w:val="24"/>
        </w:rPr>
        <w:tab/>
      </w:r>
      <w:r w:rsidR="005656EA">
        <w:rPr>
          <w:rFonts w:ascii="Arial" w:eastAsia="Times New Roman" w:hAnsi="Arial" w:cs="Arial"/>
          <w:b/>
          <w:bCs/>
          <w:sz w:val="24"/>
          <w:szCs w:val="24"/>
        </w:rPr>
        <w:t>6</w:t>
      </w:r>
    </w:p>
    <w:p w14:paraId="5179B4BD" w14:textId="2E6177F1" w:rsidR="000944B0" w:rsidRPr="005656EA" w:rsidRDefault="000944B0" w:rsidP="000944B0">
      <w:pPr>
        <w:tabs>
          <w:tab w:val="right" w:leader="dot" w:pos="9026"/>
        </w:tabs>
        <w:spacing w:before="40" w:after="40"/>
        <w:ind w:left="360"/>
        <w:rPr>
          <w:rFonts w:ascii="Arial" w:hAnsi="Arial" w:cs="Arial"/>
          <w:sz w:val="24"/>
          <w:szCs w:val="24"/>
        </w:rPr>
      </w:pPr>
      <w:r w:rsidRPr="005656EA">
        <w:rPr>
          <w:rFonts w:ascii="Arial" w:eastAsia="Times New Roman" w:hAnsi="Arial" w:cs="Arial"/>
          <w:i/>
          <w:iCs/>
          <w:sz w:val="24"/>
          <w:szCs w:val="24"/>
        </w:rPr>
        <w:t>Figure 3: Projected CO</w:t>
      </w:r>
      <w:r w:rsidRPr="005656EA">
        <w:rPr>
          <w:rFonts w:ascii="Cambria Math" w:eastAsia="Times New Roman" w:hAnsi="Cambria Math" w:cs="Cambria Math"/>
          <w:i/>
          <w:iCs/>
          <w:sz w:val="24"/>
          <w:szCs w:val="24"/>
        </w:rPr>
        <w:t>₂</w:t>
      </w:r>
      <w:r w:rsidRPr="005656EA">
        <w:rPr>
          <w:rFonts w:ascii="Arial" w:eastAsia="Times New Roman" w:hAnsi="Arial" w:cs="Arial"/>
          <w:i/>
          <w:iCs/>
          <w:sz w:val="24"/>
          <w:szCs w:val="24"/>
        </w:rPr>
        <w:t xml:space="preserve"> Emissions and Avoided Emissions at Port Talbot (2023–2030)</w:t>
      </w:r>
      <w:r w:rsidRPr="005656EA">
        <w:rPr>
          <w:rFonts w:ascii="Arial" w:eastAsia="Times New Roman" w:hAnsi="Arial" w:cs="Arial"/>
          <w:sz w:val="24"/>
          <w:szCs w:val="24"/>
        </w:rPr>
        <w:tab/>
      </w:r>
      <w:r w:rsidR="005656EA">
        <w:rPr>
          <w:rFonts w:ascii="Arial" w:eastAsia="Times New Roman" w:hAnsi="Arial" w:cs="Arial"/>
          <w:sz w:val="24"/>
          <w:szCs w:val="24"/>
        </w:rPr>
        <w:t>6</w:t>
      </w:r>
    </w:p>
    <w:p w14:paraId="4517A16F" w14:textId="68D9F908"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b/>
          <w:bCs/>
          <w:sz w:val="24"/>
          <w:szCs w:val="24"/>
        </w:rPr>
        <w:t>1.3 The Political and Legal Environment</w:t>
      </w:r>
      <w:r w:rsidRPr="005656EA">
        <w:rPr>
          <w:rFonts w:ascii="Arial" w:eastAsia="Times New Roman" w:hAnsi="Arial" w:cs="Arial"/>
          <w:b/>
          <w:bCs/>
          <w:sz w:val="24"/>
          <w:szCs w:val="24"/>
        </w:rPr>
        <w:tab/>
      </w:r>
      <w:r w:rsidR="005656EA">
        <w:rPr>
          <w:rFonts w:ascii="Arial" w:eastAsia="Times New Roman" w:hAnsi="Arial" w:cs="Arial"/>
          <w:b/>
          <w:bCs/>
          <w:sz w:val="24"/>
          <w:szCs w:val="24"/>
        </w:rPr>
        <w:t>8</w:t>
      </w:r>
    </w:p>
    <w:p w14:paraId="3698F2F2" w14:textId="10EA95AD" w:rsidR="000944B0" w:rsidRPr="005656EA" w:rsidRDefault="000944B0" w:rsidP="000944B0">
      <w:pPr>
        <w:tabs>
          <w:tab w:val="right" w:leader="dot" w:pos="9026"/>
        </w:tabs>
        <w:spacing w:before="40" w:after="40"/>
        <w:ind w:left="360"/>
        <w:rPr>
          <w:rFonts w:ascii="Arial" w:hAnsi="Arial" w:cs="Arial"/>
          <w:sz w:val="24"/>
          <w:szCs w:val="24"/>
        </w:rPr>
      </w:pPr>
      <w:r w:rsidRPr="005656EA">
        <w:rPr>
          <w:rFonts w:ascii="Arial" w:eastAsia="Times New Roman" w:hAnsi="Arial" w:cs="Arial"/>
          <w:i/>
          <w:iCs/>
          <w:sz w:val="24"/>
          <w:szCs w:val="24"/>
        </w:rPr>
        <w:t>Figure 4: EU CBAM – Simplified Illustration</w:t>
      </w:r>
      <w:r w:rsidRPr="005656EA">
        <w:rPr>
          <w:rFonts w:ascii="Arial" w:eastAsia="Times New Roman" w:hAnsi="Arial" w:cs="Arial"/>
          <w:sz w:val="24"/>
          <w:szCs w:val="24"/>
        </w:rPr>
        <w:tab/>
      </w:r>
      <w:r w:rsidR="005656EA">
        <w:rPr>
          <w:rFonts w:ascii="Arial" w:eastAsia="Times New Roman" w:hAnsi="Arial" w:cs="Arial"/>
          <w:sz w:val="24"/>
          <w:szCs w:val="24"/>
        </w:rPr>
        <w:t>8</w:t>
      </w:r>
    </w:p>
    <w:p w14:paraId="24ACFCAA" w14:textId="57F194BC" w:rsidR="000944B0" w:rsidRPr="005656EA" w:rsidRDefault="000944B0" w:rsidP="000944B0">
      <w:pPr>
        <w:tabs>
          <w:tab w:val="right" w:leader="dot" w:pos="9026"/>
        </w:tabs>
        <w:spacing w:before="40" w:after="40"/>
        <w:ind w:left="360"/>
        <w:rPr>
          <w:rFonts w:ascii="Arial" w:hAnsi="Arial" w:cs="Arial"/>
          <w:sz w:val="24"/>
          <w:szCs w:val="24"/>
        </w:rPr>
      </w:pPr>
      <w:r w:rsidRPr="005656EA">
        <w:rPr>
          <w:rFonts w:ascii="Arial" w:eastAsia="Times New Roman" w:hAnsi="Arial" w:cs="Arial"/>
          <w:i/>
          <w:iCs/>
          <w:sz w:val="24"/>
          <w:szCs w:val="24"/>
        </w:rPr>
        <w:t>Figure 5: EU CBAM – Key Steps</w:t>
      </w:r>
      <w:r w:rsidRPr="005656EA">
        <w:rPr>
          <w:rFonts w:ascii="Arial" w:eastAsia="Times New Roman" w:hAnsi="Arial" w:cs="Arial"/>
          <w:sz w:val="24"/>
          <w:szCs w:val="24"/>
        </w:rPr>
        <w:tab/>
      </w:r>
      <w:r w:rsidR="005656EA">
        <w:rPr>
          <w:rFonts w:ascii="Arial" w:eastAsia="Times New Roman" w:hAnsi="Arial" w:cs="Arial"/>
          <w:sz w:val="24"/>
          <w:szCs w:val="24"/>
        </w:rPr>
        <w:t>8</w:t>
      </w:r>
    </w:p>
    <w:p w14:paraId="1B65DBEE" w14:textId="77777777" w:rsidR="000944B0" w:rsidRPr="005656EA" w:rsidRDefault="000944B0" w:rsidP="000944B0">
      <w:pPr>
        <w:spacing w:after="80"/>
        <w:rPr>
          <w:rFonts w:ascii="Arial" w:hAnsi="Arial" w:cs="Arial"/>
          <w:sz w:val="24"/>
          <w:szCs w:val="24"/>
        </w:rPr>
      </w:pPr>
    </w:p>
    <w:p w14:paraId="2DB2E898" w14:textId="77777777" w:rsidR="000944B0" w:rsidRPr="005656EA" w:rsidRDefault="000944B0" w:rsidP="000944B0">
      <w:pPr>
        <w:spacing w:before="320" w:after="80"/>
        <w:rPr>
          <w:rFonts w:ascii="Arial" w:hAnsi="Arial" w:cs="Arial"/>
          <w:sz w:val="24"/>
          <w:szCs w:val="24"/>
        </w:rPr>
      </w:pPr>
      <w:r w:rsidRPr="005656EA">
        <w:rPr>
          <w:rFonts w:ascii="Arial" w:eastAsia="Times New Roman" w:hAnsi="Arial" w:cs="Arial"/>
          <w:b/>
          <w:bCs/>
          <w:caps/>
          <w:color w:val="1F3864"/>
          <w:sz w:val="24"/>
          <w:szCs w:val="24"/>
        </w:rPr>
        <w:t>Task 2: Strategic Growth and Competitive Positioning</w:t>
      </w:r>
    </w:p>
    <w:p w14:paraId="4391CC5C" w14:textId="664F4A09"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b/>
          <w:bCs/>
          <w:sz w:val="24"/>
          <w:szCs w:val="24"/>
        </w:rPr>
        <w:t>2.1 The Strategic Context</w:t>
      </w:r>
      <w:r w:rsidRPr="005656EA">
        <w:rPr>
          <w:rFonts w:ascii="Arial" w:eastAsia="Times New Roman" w:hAnsi="Arial" w:cs="Arial"/>
          <w:b/>
          <w:bCs/>
          <w:sz w:val="24"/>
          <w:szCs w:val="24"/>
        </w:rPr>
        <w:tab/>
      </w:r>
      <w:r w:rsidR="005656EA">
        <w:rPr>
          <w:rFonts w:ascii="Arial" w:eastAsia="Times New Roman" w:hAnsi="Arial" w:cs="Arial"/>
          <w:b/>
          <w:bCs/>
          <w:sz w:val="24"/>
          <w:szCs w:val="24"/>
        </w:rPr>
        <w:t>9</w:t>
      </w:r>
    </w:p>
    <w:p w14:paraId="4B59C7A7" w14:textId="6B86E565" w:rsidR="000944B0" w:rsidRPr="005656EA" w:rsidRDefault="000944B0" w:rsidP="000944B0">
      <w:pPr>
        <w:tabs>
          <w:tab w:val="right" w:leader="dot" w:pos="9026"/>
        </w:tabs>
        <w:spacing w:before="40" w:after="40"/>
        <w:ind w:left="360"/>
        <w:rPr>
          <w:rFonts w:ascii="Arial" w:hAnsi="Arial" w:cs="Arial"/>
          <w:sz w:val="24"/>
          <w:szCs w:val="24"/>
        </w:rPr>
      </w:pPr>
      <w:r w:rsidRPr="005656EA">
        <w:rPr>
          <w:rFonts w:ascii="Arial" w:eastAsia="Times New Roman" w:hAnsi="Arial" w:cs="Arial"/>
          <w:i/>
          <w:iCs/>
          <w:sz w:val="24"/>
          <w:szCs w:val="24"/>
        </w:rPr>
        <w:t>Figure 6: Comparative Analysis of Green Steel Decarbonisation Initiatives</w:t>
      </w:r>
      <w:r w:rsidRPr="005656EA">
        <w:rPr>
          <w:rFonts w:ascii="Arial" w:eastAsia="Times New Roman" w:hAnsi="Arial" w:cs="Arial"/>
          <w:sz w:val="24"/>
          <w:szCs w:val="24"/>
        </w:rPr>
        <w:tab/>
      </w:r>
      <w:r w:rsidR="005656EA">
        <w:rPr>
          <w:rFonts w:ascii="Arial" w:eastAsia="Times New Roman" w:hAnsi="Arial" w:cs="Arial"/>
          <w:sz w:val="24"/>
          <w:szCs w:val="24"/>
        </w:rPr>
        <w:t>10</w:t>
      </w:r>
    </w:p>
    <w:p w14:paraId="4E4D3087" w14:textId="7CA10F06"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b/>
          <w:bCs/>
          <w:sz w:val="24"/>
          <w:szCs w:val="24"/>
        </w:rPr>
        <w:t xml:space="preserve">2.2 </w:t>
      </w:r>
      <w:proofErr w:type="spellStart"/>
      <w:r w:rsidRPr="005656EA">
        <w:rPr>
          <w:rFonts w:ascii="Arial" w:eastAsia="Times New Roman" w:hAnsi="Arial" w:cs="Arial"/>
          <w:b/>
          <w:bCs/>
          <w:sz w:val="24"/>
          <w:szCs w:val="24"/>
        </w:rPr>
        <w:t>Ansoff</w:t>
      </w:r>
      <w:proofErr w:type="spellEnd"/>
      <w:r w:rsidRPr="005656EA">
        <w:rPr>
          <w:rFonts w:ascii="Arial" w:eastAsia="Times New Roman" w:hAnsi="Arial" w:cs="Arial"/>
          <w:b/>
          <w:bCs/>
          <w:sz w:val="24"/>
          <w:szCs w:val="24"/>
        </w:rPr>
        <w:t xml:space="preserve"> Matrix: The Case for Product Development</w:t>
      </w:r>
      <w:r w:rsidRPr="005656EA">
        <w:rPr>
          <w:rFonts w:ascii="Arial" w:eastAsia="Times New Roman" w:hAnsi="Arial" w:cs="Arial"/>
          <w:b/>
          <w:bCs/>
          <w:sz w:val="24"/>
          <w:szCs w:val="24"/>
        </w:rPr>
        <w:tab/>
      </w:r>
      <w:r w:rsidR="005656EA">
        <w:rPr>
          <w:rFonts w:ascii="Arial" w:eastAsia="Times New Roman" w:hAnsi="Arial" w:cs="Arial"/>
          <w:b/>
          <w:bCs/>
          <w:sz w:val="24"/>
          <w:szCs w:val="24"/>
        </w:rPr>
        <w:t>11</w:t>
      </w:r>
    </w:p>
    <w:p w14:paraId="024B833D" w14:textId="7197B01C"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b/>
          <w:bCs/>
          <w:sz w:val="24"/>
          <w:szCs w:val="24"/>
        </w:rPr>
        <w:t>2.3 Porter's Generic Strategies: Differentiation</w:t>
      </w:r>
      <w:r w:rsidRPr="005656EA">
        <w:rPr>
          <w:rFonts w:ascii="Arial" w:eastAsia="Times New Roman" w:hAnsi="Arial" w:cs="Arial"/>
          <w:b/>
          <w:bCs/>
          <w:sz w:val="24"/>
          <w:szCs w:val="24"/>
        </w:rPr>
        <w:tab/>
        <w:t>1</w:t>
      </w:r>
      <w:r w:rsidR="005656EA">
        <w:rPr>
          <w:rFonts w:ascii="Arial" w:eastAsia="Times New Roman" w:hAnsi="Arial" w:cs="Arial"/>
          <w:b/>
          <w:bCs/>
          <w:sz w:val="24"/>
          <w:szCs w:val="24"/>
        </w:rPr>
        <w:t>1</w:t>
      </w:r>
    </w:p>
    <w:p w14:paraId="25F6669F" w14:textId="7A933169"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b/>
          <w:bCs/>
          <w:sz w:val="24"/>
          <w:szCs w:val="24"/>
        </w:rPr>
        <w:t>2.4 Strategic Recommendations</w:t>
      </w:r>
      <w:r w:rsidRPr="005656EA">
        <w:rPr>
          <w:rFonts w:ascii="Arial" w:eastAsia="Times New Roman" w:hAnsi="Arial" w:cs="Arial"/>
          <w:b/>
          <w:bCs/>
          <w:sz w:val="24"/>
          <w:szCs w:val="24"/>
        </w:rPr>
        <w:tab/>
        <w:t>1</w:t>
      </w:r>
      <w:r w:rsidR="005656EA">
        <w:rPr>
          <w:rFonts w:ascii="Arial" w:eastAsia="Times New Roman" w:hAnsi="Arial" w:cs="Arial"/>
          <w:b/>
          <w:bCs/>
          <w:sz w:val="24"/>
          <w:szCs w:val="24"/>
        </w:rPr>
        <w:t>3</w:t>
      </w:r>
    </w:p>
    <w:p w14:paraId="78CBA2B9" w14:textId="77777777" w:rsidR="000944B0" w:rsidRPr="005656EA" w:rsidRDefault="000944B0" w:rsidP="000944B0">
      <w:pPr>
        <w:spacing w:after="80"/>
        <w:rPr>
          <w:rFonts w:ascii="Arial" w:hAnsi="Arial" w:cs="Arial"/>
          <w:sz w:val="24"/>
          <w:szCs w:val="24"/>
        </w:rPr>
      </w:pPr>
    </w:p>
    <w:p w14:paraId="372E968F" w14:textId="77777777" w:rsidR="000944B0" w:rsidRPr="005656EA" w:rsidRDefault="000944B0" w:rsidP="000944B0">
      <w:pPr>
        <w:spacing w:before="320" w:after="80"/>
        <w:rPr>
          <w:rFonts w:ascii="Arial" w:hAnsi="Arial" w:cs="Arial"/>
          <w:sz w:val="24"/>
          <w:szCs w:val="24"/>
        </w:rPr>
      </w:pPr>
      <w:r w:rsidRPr="005656EA">
        <w:rPr>
          <w:rFonts w:ascii="Arial" w:eastAsia="Times New Roman" w:hAnsi="Arial" w:cs="Arial"/>
          <w:b/>
          <w:bCs/>
          <w:caps/>
          <w:color w:val="1F3864"/>
          <w:sz w:val="24"/>
          <w:szCs w:val="24"/>
        </w:rPr>
        <w:t>Task 3: Critical Reflection on the Use of Artificial Intelligence</w:t>
      </w:r>
    </w:p>
    <w:p w14:paraId="1152AF76" w14:textId="2DEF2726"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b/>
          <w:bCs/>
          <w:sz w:val="24"/>
          <w:szCs w:val="24"/>
        </w:rPr>
        <w:t>3a Tool Disclosure</w:t>
      </w:r>
      <w:r w:rsidRPr="005656EA">
        <w:rPr>
          <w:rFonts w:ascii="Arial" w:eastAsia="Times New Roman" w:hAnsi="Arial" w:cs="Arial"/>
          <w:b/>
          <w:bCs/>
          <w:sz w:val="24"/>
          <w:szCs w:val="24"/>
        </w:rPr>
        <w:tab/>
        <w:t>1</w:t>
      </w:r>
      <w:r w:rsidR="005656EA">
        <w:rPr>
          <w:rFonts w:ascii="Arial" w:eastAsia="Times New Roman" w:hAnsi="Arial" w:cs="Arial"/>
          <w:b/>
          <w:bCs/>
          <w:sz w:val="24"/>
          <w:szCs w:val="24"/>
        </w:rPr>
        <w:t>3</w:t>
      </w:r>
    </w:p>
    <w:p w14:paraId="2C220E98" w14:textId="6AC42D3B"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b/>
          <w:bCs/>
          <w:sz w:val="24"/>
          <w:szCs w:val="24"/>
        </w:rPr>
        <w:t>3b Critical Evaluation of AI Output</w:t>
      </w:r>
      <w:r w:rsidRPr="005656EA">
        <w:rPr>
          <w:rFonts w:ascii="Arial" w:eastAsia="Times New Roman" w:hAnsi="Arial" w:cs="Arial"/>
          <w:b/>
          <w:bCs/>
          <w:sz w:val="24"/>
          <w:szCs w:val="24"/>
        </w:rPr>
        <w:tab/>
        <w:t>1</w:t>
      </w:r>
      <w:r w:rsidR="005656EA">
        <w:rPr>
          <w:rFonts w:ascii="Arial" w:eastAsia="Times New Roman" w:hAnsi="Arial" w:cs="Arial"/>
          <w:b/>
          <w:bCs/>
          <w:sz w:val="24"/>
          <w:szCs w:val="24"/>
        </w:rPr>
        <w:t>4</w:t>
      </w:r>
    </w:p>
    <w:p w14:paraId="3196B70F" w14:textId="6C38EF38"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b/>
          <w:bCs/>
          <w:sz w:val="24"/>
          <w:szCs w:val="24"/>
        </w:rPr>
        <w:t>3c Contribution Analysis</w:t>
      </w:r>
      <w:r w:rsidRPr="005656EA">
        <w:rPr>
          <w:rFonts w:ascii="Arial" w:eastAsia="Times New Roman" w:hAnsi="Arial" w:cs="Arial"/>
          <w:b/>
          <w:bCs/>
          <w:sz w:val="24"/>
          <w:szCs w:val="24"/>
        </w:rPr>
        <w:tab/>
        <w:t>1</w:t>
      </w:r>
      <w:r w:rsidR="005656EA">
        <w:rPr>
          <w:rFonts w:ascii="Arial" w:eastAsia="Times New Roman" w:hAnsi="Arial" w:cs="Arial"/>
          <w:b/>
          <w:bCs/>
          <w:sz w:val="24"/>
          <w:szCs w:val="24"/>
        </w:rPr>
        <w:t>4</w:t>
      </w:r>
    </w:p>
    <w:p w14:paraId="7DF98C1E" w14:textId="6D5C6758"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b/>
          <w:bCs/>
          <w:sz w:val="24"/>
          <w:szCs w:val="24"/>
        </w:rPr>
        <w:t>3d Ethical and Professional Reflection</w:t>
      </w:r>
      <w:r w:rsidRPr="005656EA">
        <w:rPr>
          <w:rFonts w:ascii="Arial" w:eastAsia="Times New Roman" w:hAnsi="Arial" w:cs="Arial"/>
          <w:b/>
          <w:bCs/>
          <w:sz w:val="24"/>
          <w:szCs w:val="24"/>
        </w:rPr>
        <w:tab/>
        <w:t>1</w:t>
      </w:r>
      <w:r w:rsidR="005656EA">
        <w:rPr>
          <w:rFonts w:ascii="Arial" w:eastAsia="Times New Roman" w:hAnsi="Arial" w:cs="Arial"/>
          <w:b/>
          <w:bCs/>
          <w:sz w:val="24"/>
          <w:szCs w:val="24"/>
        </w:rPr>
        <w:t>5</w:t>
      </w:r>
    </w:p>
    <w:p w14:paraId="69815AA6" w14:textId="77777777" w:rsidR="000944B0" w:rsidRPr="005656EA" w:rsidRDefault="000944B0" w:rsidP="000944B0">
      <w:pPr>
        <w:spacing w:after="80"/>
        <w:rPr>
          <w:rFonts w:ascii="Arial" w:hAnsi="Arial" w:cs="Arial"/>
          <w:sz w:val="24"/>
          <w:szCs w:val="24"/>
        </w:rPr>
      </w:pPr>
    </w:p>
    <w:p w14:paraId="227F86F8" w14:textId="77777777" w:rsidR="000944B0" w:rsidRPr="005656EA" w:rsidRDefault="000944B0" w:rsidP="000944B0">
      <w:pPr>
        <w:spacing w:before="320" w:after="80"/>
        <w:rPr>
          <w:rFonts w:ascii="Arial" w:hAnsi="Arial" w:cs="Arial"/>
          <w:sz w:val="24"/>
          <w:szCs w:val="24"/>
        </w:rPr>
      </w:pPr>
      <w:r w:rsidRPr="005656EA">
        <w:rPr>
          <w:rFonts w:ascii="Arial" w:eastAsia="Times New Roman" w:hAnsi="Arial" w:cs="Arial"/>
          <w:b/>
          <w:bCs/>
          <w:caps/>
          <w:color w:val="1F3864"/>
          <w:sz w:val="24"/>
          <w:szCs w:val="24"/>
        </w:rPr>
        <w:t>References &amp; Appendices</w:t>
      </w:r>
    </w:p>
    <w:p w14:paraId="1169AAD1" w14:textId="43FE67F0"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sz w:val="24"/>
          <w:szCs w:val="24"/>
        </w:rPr>
        <w:t>References</w:t>
      </w:r>
      <w:r w:rsidRPr="005656EA">
        <w:rPr>
          <w:rFonts w:ascii="Arial" w:eastAsia="Times New Roman" w:hAnsi="Arial" w:cs="Arial"/>
          <w:sz w:val="24"/>
          <w:szCs w:val="24"/>
        </w:rPr>
        <w:tab/>
        <w:t>1</w:t>
      </w:r>
      <w:r w:rsidR="005656EA">
        <w:rPr>
          <w:rFonts w:ascii="Arial" w:eastAsia="Times New Roman" w:hAnsi="Arial" w:cs="Arial"/>
          <w:sz w:val="24"/>
          <w:szCs w:val="24"/>
        </w:rPr>
        <w:t>5</w:t>
      </w:r>
    </w:p>
    <w:p w14:paraId="1DCADBC9" w14:textId="77777777"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sz w:val="24"/>
          <w:szCs w:val="24"/>
        </w:rPr>
        <w:t>Appendix I: Supplementary Online Resource</w:t>
      </w:r>
      <w:r w:rsidRPr="005656EA">
        <w:rPr>
          <w:rFonts w:ascii="Arial" w:eastAsia="Times New Roman" w:hAnsi="Arial" w:cs="Arial"/>
          <w:sz w:val="24"/>
          <w:szCs w:val="24"/>
        </w:rPr>
        <w:tab/>
        <w:t>17</w:t>
      </w:r>
    </w:p>
    <w:p w14:paraId="0A5E68EB" w14:textId="77777777" w:rsidR="000944B0" w:rsidRPr="005656EA" w:rsidRDefault="000944B0" w:rsidP="000944B0">
      <w:pPr>
        <w:tabs>
          <w:tab w:val="right" w:leader="dot" w:pos="9026"/>
        </w:tabs>
        <w:spacing w:before="40" w:after="40"/>
        <w:rPr>
          <w:rFonts w:ascii="Arial" w:hAnsi="Arial" w:cs="Arial"/>
          <w:sz w:val="24"/>
          <w:szCs w:val="24"/>
        </w:rPr>
      </w:pPr>
      <w:r w:rsidRPr="005656EA">
        <w:rPr>
          <w:rFonts w:ascii="Arial" w:eastAsia="Times New Roman" w:hAnsi="Arial" w:cs="Arial"/>
          <w:sz w:val="24"/>
          <w:szCs w:val="24"/>
        </w:rPr>
        <w:t>Appendix II: Evidence of AI-Generated Hallucinations</w:t>
      </w:r>
      <w:r w:rsidRPr="005656EA">
        <w:rPr>
          <w:rFonts w:ascii="Arial" w:eastAsia="Times New Roman" w:hAnsi="Arial" w:cs="Arial"/>
          <w:sz w:val="24"/>
          <w:szCs w:val="24"/>
        </w:rPr>
        <w:tab/>
        <w:t>17</w:t>
      </w:r>
    </w:p>
    <w:p w14:paraId="62EBAA01" w14:textId="4823CF84" w:rsidR="000944B0" w:rsidRPr="005656EA" w:rsidRDefault="000944B0" w:rsidP="000944B0">
      <w:pPr>
        <w:tabs>
          <w:tab w:val="right" w:leader="dot" w:pos="9026"/>
        </w:tabs>
        <w:spacing w:before="40" w:after="40"/>
        <w:ind w:left="360"/>
        <w:rPr>
          <w:rFonts w:ascii="Arial" w:hAnsi="Arial" w:cs="Arial"/>
          <w:sz w:val="20"/>
          <w:szCs w:val="20"/>
        </w:rPr>
      </w:pPr>
      <w:r w:rsidRPr="005656EA">
        <w:rPr>
          <w:rFonts w:ascii="Arial" w:eastAsia="Times New Roman" w:hAnsi="Arial" w:cs="Arial"/>
          <w:i/>
          <w:iCs/>
          <w:sz w:val="20"/>
          <w:szCs w:val="20"/>
        </w:rPr>
        <w:t>Figure 1 (App. II): Mock Screenshot – Incorrect CO</w:t>
      </w:r>
      <w:r w:rsidRPr="005656EA">
        <w:rPr>
          <w:rFonts w:ascii="Cambria Math" w:eastAsia="Times New Roman" w:hAnsi="Cambria Math" w:cs="Cambria Math"/>
          <w:i/>
          <w:iCs/>
          <w:sz w:val="20"/>
          <w:szCs w:val="20"/>
        </w:rPr>
        <w:t>₂</w:t>
      </w:r>
      <w:r w:rsidRPr="005656EA">
        <w:rPr>
          <w:rFonts w:ascii="Arial" w:eastAsia="Times New Roman" w:hAnsi="Arial" w:cs="Arial"/>
          <w:i/>
          <w:iCs/>
          <w:sz w:val="20"/>
          <w:szCs w:val="20"/>
        </w:rPr>
        <w:t xml:space="preserve"> Reduction Estimate</w:t>
      </w:r>
      <w:r w:rsidRPr="005656EA">
        <w:rPr>
          <w:rFonts w:ascii="Arial" w:eastAsia="Times New Roman" w:hAnsi="Arial" w:cs="Arial"/>
          <w:sz w:val="20"/>
          <w:szCs w:val="20"/>
        </w:rPr>
        <w:tab/>
        <w:t>1</w:t>
      </w:r>
      <w:r w:rsidR="005656EA">
        <w:rPr>
          <w:rFonts w:ascii="Arial" w:eastAsia="Times New Roman" w:hAnsi="Arial" w:cs="Arial"/>
          <w:sz w:val="20"/>
          <w:szCs w:val="20"/>
        </w:rPr>
        <w:t>8</w:t>
      </w:r>
    </w:p>
    <w:p w14:paraId="7E43F19D" w14:textId="5C605F27" w:rsidR="008761E2" w:rsidRPr="000944B0" w:rsidRDefault="000944B0" w:rsidP="000944B0">
      <w:pPr>
        <w:tabs>
          <w:tab w:val="right" w:leader="dot" w:pos="9026"/>
        </w:tabs>
        <w:spacing w:before="40" w:after="40"/>
        <w:ind w:left="360"/>
        <w:rPr>
          <w:rFonts w:ascii="Arial" w:hAnsi="Arial" w:cs="Arial"/>
          <w:sz w:val="24"/>
          <w:szCs w:val="24"/>
        </w:rPr>
      </w:pPr>
      <w:r w:rsidRPr="005656EA">
        <w:rPr>
          <w:rFonts w:ascii="Arial" w:eastAsia="Times New Roman" w:hAnsi="Arial" w:cs="Arial"/>
          <w:i/>
          <w:iCs/>
          <w:sz w:val="20"/>
          <w:szCs w:val="20"/>
        </w:rPr>
        <w:t>Figure 2 (App. II): Mock Screenshot – Incorrect CBAM Policy Status</w:t>
      </w:r>
      <w:r w:rsidRPr="005656EA">
        <w:rPr>
          <w:rFonts w:ascii="Arial" w:eastAsia="Times New Roman" w:hAnsi="Arial" w:cs="Arial"/>
          <w:sz w:val="20"/>
          <w:szCs w:val="20"/>
        </w:rPr>
        <w:tab/>
        <w:t>18</w:t>
      </w:r>
      <w:r w:rsidR="00ED6294" w:rsidRPr="000944B0">
        <w:rPr>
          <w:rFonts w:ascii="Arial" w:hAnsi="Arial" w:cs="Arial"/>
          <w:sz w:val="24"/>
          <w:szCs w:val="24"/>
        </w:rPr>
        <w:br w:type="page"/>
      </w:r>
    </w:p>
    <w:tbl>
      <w:tblPr>
        <w:tblpPr w:leftFromText="180" w:rightFromText="180" w:vertAnchor="page" w:horzAnchor="margin" w:tblpY="2126"/>
        <w:tblW w:w="938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69"/>
        <w:gridCol w:w="7717"/>
      </w:tblGrid>
      <w:tr w:rsidR="008761E2" w:rsidRPr="008761E2" w14:paraId="0598AF99" w14:textId="77777777" w:rsidTr="00325DE2">
        <w:trPr>
          <w:trHeight w:val="313"/>
          <w:tblHeader/>
          <w:tblCellSpacing w:w="15" w:type="dxa"/>
        </w:trPr>
        <w:tc>
          <w:tcPr>
            <w:tcW w:w="0" w:type="auto"/>
            <w:vAlign w:val="center"/>
            <w:hideMark/>
          </w:tcPr>
          <w:p w14:paraId="7A1F90F7" w14:textId="77777777" w:rsidR="008761E2" w:rsidRPr="008761E2" w:rsidRDefault="008761E2" w:rsidP="00325DE2">
            <w:pPr>
              <w:spacing w:after="0" w:line="240" w:lineRule="auto"/>
              <w:jc w:val="center"/>
              <w:rPr>
                <w:rFonts w:ascii="Arial" w:eastAsia="Times New Roman" w:hAnsi="Arial" w:cs="Arial"/>
                <w:b/>
                <w:bCs/>
                <w:sz w:val="24"/>
                <w:szCs w:val="24"/>
                <w:lang w:eastAsia="en-IN"/>
              </w:rPr>
            </w:pPr>
            <w:r w:rsidRPr="008761E2">
              <w:rPr>
                <w:rFonts w:ascii="Arial" w:eastAsia="Times New Roman" w:hAnsi="Arial" w:cs="Arial"/>
                <w:b/>
                <w:bCs/>
                <w:sz w:val="24"/>
                <w:szCs w:val="24"/>
                <w:lang w:eastAsia="en-IN"/>
              </w:rPr>
              <w:lastRenderedPageBreak/>
              <w:t>Short Form</w:t>
            </w:r>
          </w:p>
        </w:tc>
        <w:tc>
          <w:tcPr>
            <w:tcW w:w="0" w:type="auto"/>
            <w:vAlign w:val="center"/>
            <w:hideMark/>
          </w:tcPr>
          <w:p w14:paraId="28093DE8" w14:textId="77777777" w:rsidR="008761E2" w:rsidRPr="008761E2" w:rsidRDefault="008761E2" w:rsidP="00325DE2">
            <w:pPr>
              <w:spacing w:after="0" w:line="240" w:lineRule="auto"/>
              <w:jc w:val="center"/>
              <w:rPr>
                <w:rFonts w:ascii="Arial" w:eastAsia="Times New Roman" w:hAnsi="Arial" w:cs="Arial"/>
                <w:b/>
                <w:bCs/>
                <w:sz w:val="24"/>
                <w:szCs w:val="24"/>
                <w:lang w:eastAsia="en-IN"/>
              </w:rPr>
            </w:pPr>
            <w:r w:rsidRPr="008761E2">
              <w:rPr>
                <w:rFonts w:ascii="Arial" w:eastAsia="Times New Roman" w:hAnsi="Arial" w:cs="Arial"/>
                <w:b/>
                <w:bCs/>
                <w:sz w:val="24"/>
                <w:szCs w:val="24"/>
                <w:lang w:eastAsia="en-IN"/>
              </w:rPr>
              <w:t>Full Form</w:t>
            </w:r>
          </w:p>
        </w:tc>
      </w:tr>
      <w:tr w:rsidR="008761E2" w:rsidRPr="008761E2" w14:paraId="54ABF789" w14:textId="77777777" w:rsidTr="00325DE2">
        <w:trPr>
          <w:trHeight w:val="313"/>
          <w:tblCellSpacing w:w="15" w:type="dxa"/>
        </w:trPr>
        <w:tc>
          <w:tcPr>
            <w:tcW w:w="0" w:type="auto"/>
            <w:vAlign w:val="center"/>
            <w:hideMark/>
          </w:tcPr>
          <w:p w14:paraId="4D952A8B"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AI</w:t>
            </w:r>
          </w:p>
        </w:tc>
        <w:tc>
          <w:tcPr>
            <w:tcW w:w="0" w:type="auto"/>
            <w:vAlign w:val="center"/>
            <w:hideMark/>
          </w:tcPr>
          <w:p w14:paraId="6E8DE58B"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Artificial Intelligence</w:t>
            </w:r>
          </w:p>
        </w:tc>
      </w:tr>
      <w:tr w:rsidR="008761E2" w:rsidRPr="008761E2" w14:paraId="65BBCD8D" w14:textId="77777777" w:rsidTr="00325DE2">
        <w:trPr>
          <w:trHeight w:val="326"/>
          <w:tblCellSpacing w:w="15" w:type="dxa"/>
        </w:trPr>
        <w:tc>
          <w:tcPr>
            <w:tcW w:w="0" w:type="auto"/>
            <w:vAlign w:val="center"/>
            <w:hideMark/>
          </w:tcPr>
          <w:p w14:paraId="64442E4A"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CBAM</w:t>
            </w:r>
          </w:p>
        </w:tc>
        <w:tc>
          <w:tcPr>
            <w:tcW w:w="0" w:type="auto"/>
            <w:vAlign w:val="center"/>
            <w:hideMark/>
          </w:tcPr>
          <w:p w14:paraId="26B0BFD3"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Carbon Border Adjustment Mechanism</w:t>
            </w:r>
          </w:p>
        </w:tc>
      </w:tr>
      <w:tr w:rsidR="008761E2" w:rsidRPr="008761E2" w14:paraId="01BAAF6D" w14:textId="77777777" w:rsidTr="00325DE2">
        <w:trPr>
          <w:trHeight w:val="326"/>
          <w:tblCellSpacing w:w="15" w:type="dxa"/>
        </w:trPr>
        <w:tc>
          <w:tcPr>
            <w:tcW w:w="0" w:type="auto"/>
            <w:vAlign w:val="center"/>
            <w:hideMark/>
          </w:tcPr>
          <w:p w14:paraId="70C99A7F"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CO</w:t>
            </w:r>
            <w:r w:rsidRPr="008761E2">
              <w:rPr>
                <w:rFonts w:ascii="Cambria Math" w:eastAsia="Times New Roman" w:hAnsi="Cambria Math" w:cs="Cambria Math"/>
                <w:sz w:val="24"/>
                <w:szCs w:val="24"/>
                <w:lang w:eastAsia="en-IN"/>
              </w:rPr>
              <w:t>₂</w:t>
            </w:r>
          </w:p>
        </w:tc>
        <w:tc>
          <w:tcPr>
            <w:tcW w:w="0" w:type="auto"/>
            <w:vAlign w:val="center"/>
            <w:hideMark/>
          </w:tcPr>
          <w:p w14:paraId="0138F925"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Carbon Dioxide</w:t>
            </w:r>
          </w:p>
        </w:tc>
      </w:tr>
      <w:tr w:rsidR="008761E2" w:rsidRPr="008761E2" w14:paraId="45E9B035" w14:textId="77777777" w:rsidTr="00325DE2">
        <w:trPr>
          <w:trHeight w:val="313"/>
          <w:tblCellSpacing w:w="15" w:type="dxa"/>
        </w:trPr>
        <w:tc>
          <w:tcPr>
            <w:tcW w:w="0" w:type="auto"/>
            <w:vAlign w:val="center"/>
            <w:hideMark/>
          </w:tcPr>
          <w:p w14:paraId="71E897CD"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CSR</w:t>
            </w:r>
          </w:p>
        </w:tc>
        <w:tc>
          <w:tcPr>
            <w:tcW w:w="0" w:type="auto"/>
            <w:vAlign w:val="center"/>
            <w:hideMark/>
          </w:tcPr>
          <w:p w14:paraId="03148973"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Corporate Social Responsibility</w:t>
            </w:r>
          </w:p>
        </w:tc>
      </w:tr>
      <w:tr w:rsidR="008761E2" w:rsidRPr="008761E2" w14:paraId="377D1638" w14:textId="77777777" w:rsidTr="00325DE2">
        <w:trPr>
          <w:trHeight w:val="326"/>
          <w:tblCellSpacing w:w="15" w:type="dxa"/>
        </w:trPr>
        <w:tc>
          <w:tcPr>
            <w:tcW w:w="0" w:type="auto"/>
            <w:vAlign w:val="center"/>
            <w:hideMark/>
          </w:tcPr>
          <w:p w14:paraId="3119BA46"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EAF</w:t>
            </w:r>
          </w:p>
        </w:tc>
        <w:tc>
          <w:tcPr>
            <w:tcW w:w="0" w:type="auto"/>
            <w:vAlign w:val="center"/>
            <w:hideMark/>
          </w:tcPr>
          <w:p w14:paraId="430BD1D1"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Electric Arc Furnace</w:t>
            </w:r>
          </w:p>
        </w:tc>
      </w:tr>
      <w:tr w:rsidR="008761E2" w:rsidRPr="008761E2" w14:paraId="50613089" w14:textId="77777777" w:rsidTr="00325DE2">
        <w:trPr>
          <w:trHeight w:val="326"/>
          <w:tblCellSpacing w:w="15" w:type="dxa"/>
        </w:trPr>
        <w:tc>
          <w:tcPr>
            <w:tcW w:w="0" w:type="auto"/>
            <w:vAlign w:val="center"/>
            <w:hideMark/>
          </w:tcPr>
          <w:p w14:paraId="54CA2D45"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ESG</w:t>
            </w:r>
          </w:p>
        </w:tc>
        <w:tc>
          <w:tcPr>
            <w:tcW w:w="0" w:type="auto"/>
            <w:vAlign w:val="center"/>
            <w:hideMark/>
          </w:tcPr>
          <w:p w14:paraId="6B37A27B"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Environmental, Social and Governance</w:t>
            </w:r>
          </w:p>
        </w:tc>
      </w:tr>
      <w:tr w:rsidR="008761E2" w:rsidRPr="008761E2" w14:paraId="4CC901EA" w14:textId="77777777" w:rsidTr="00325DE2">
        <w:trPr>
          <w:trHeight w:val="313"/>
          <w:tblCellSpacing w:w="15" w:type="dxa"/>
        </w:trPr>
        <w:tc>
          <w:tcPr>
            <w:tcW w:w="0" w:type="auto"/>
            <w:vAlign w:val="center"/>
            <w:hideMark/>
          </w:tcPr>
          <w:p w14:paraId="3B8FC851"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EU</w:t>
            </w:r>
          </w:p>
        </w:tc>
        <w:tc>
          <w:tcPr>
            <w:tcW w:w="0" w:type="auto"/>
            <w:vAlign w:val="center"/>
            <w:hideMark/>
          </w:tcPr>
          <w:p w14:paraId="1604AF62"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European Union</w:t>
            </w:r>
          </w:p>
        </w:tc>
      </w:tr>
      <w:tr w:rsidR="008761E2" w:rsidRPr="008761E2" w14:paraId="21EF2A08" w14:textId="77777777" w:rsidTr="00325DE2">
        <w:trPr>
          <w:trHeight w:val="326"/>
          <w:tblCellSpacing w:w="15" w:type="dxa"/>
        </w:trPr>
        <w:tc>
          <w:tcPr>
            <w:tcW w:w="0" w:type="auto"/>
            <w:vAlign w:val="center"/>
            <w:hideMark/>
          </w:tcPr>
          <w:p w14:paraId="565B5A81"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GHG</w:t>
            </w:r>
          </w:p>
        </w:tc>
        <w:tc>
          <w:tcPr>
            <w:tcW w:w="0" w:type="auto"/>
            <w:vAlign w:val="center"/>
            <w:hideMark/>
          </w:tcPr>
          <w:p w14:paraId="09ABE14E"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Greenhouse Gas</w:t>
            </w:r>
          </w:p>
        </w:tc>
      </w:tr>
      <w:tr w:rsidR="008761E2" w:rsidRPr="008761E2" w14:paraId="3295E89B" w14:textId="77777777" w:rsidTr="00325DE2">
        <w:trPr>
          <w:trHeight w:val="326"/>
          <w:tblCellSpacing w:w="15" w:type="dxa"/>
        </w:trPr>
        <w:tc>
          <w:tcPr>
            <w:tcW w:w="0" w:type="auto"/>
            <w:vAlign w:val="center"/>
            <w:hideMark/>
          </w:tcPr>
          <w:p w14:paraId="6F2C2D53"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HYBRIT</w:t>
            </w:r>
          </w:p>
        </w:tc>
        <w:tc>
          <w:tcPr>
            <w:tcW w:w="0" w:type="auto"/>
            <w:vAlign w:val="center"/>
            <w:hideMark/>
          </w:tcPr>
          <w:p w14:paraId="0CD3C0BE"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Hydrogen Breakthrough Ironmaking Technology</w:t>
            </w:r>
          </w:p>
        </w:tc>
      </w:tr>
      <w:tr w:rsidR="008761E2" w:rsidRPr="008761E2" w14:paraId="35DE8F8F" w14:textId="77777777" w:rsidTr="00325DE2">
        <w:trPr>
          <w:trHeight w:val="313"/>
          <w:tblCellSpacing w:w="15" w:type="dxa"/>
        </w:trPr>
        <w:tc>
          <w:tcPr>
            <w:tcW w:w="0" w:type="auto"/>
            <w:vAlign w:val="center"/>
            <w:hideMark/>
          </w:tcPr>
          <w:p w14:paraId="3C0942E6"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IJmuiden</w:t>
            </w:r>
          </w:p>
        </w:tc>
        <w:tc>
          <w:tcPr>
            <w:tcW w:w="0" w:type="auto"/>
            <w:vAlign w:val="center"/>
            <w:hideMark/>
          </w:tcPr>
          <w:p w14:paraId="4A583B0F"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Tata Steel's steelmaking plant location in the Netherlands</w:t>
            </w:r>
          </w:p>
        </w:tc>
      </w:tr>
      <w:tr w:rsidR="008761E2" w:rsidRPr="008761E2" w14:paraId="4AE818B7" w14:textId="77777777" w:rsidTr="00325DE2">
        <w:trPr>
          <w:trHeight w:val="326"/>
          <w:tblCellSpacing w:w="15" w:type="dxa"/>
        </w:trPr>
        <w:tc>
          <w:tcPr>
            <w:tcW w:w="0" w:type="auto"/>
            <w:vAlign w:val="center"/>
            <w:hideMark/>
          </w:tcPr>
          <w:p w14:paraId="36362403"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LCA</w:t>
            </w:r>
          </w:p>
        </w:tc>
        <w:tc>
          <w:tcPr>
            <w:tcW w:w="0" w:type="auto"/>
            <w:vAlign w:val="center"/>
            <w:hideMark/>
          </w:tcPr>
          <w:p w14:paraId="5610505E"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Life Cycle Assessment</w:t>
            </w:r>
          </w:p>
        </w:tc>
      </w:tr>
      <w:tr w:rsidR="008761E2" w:rsidRPr="008761E2" w14:paraId="26994675" w14:textId="77777777" w:rsidTr="00325DE2">
        <w:trPr>
          <w:trHeight w:val="326"/>
          <w:tblCellSpacing w:w="15" w:type="dxa"/>
        </w:trPr>
        <w:tc>
          <w:tcPr>
            <w:tcW w:w="0" w:type="auto"/>
            <w:vAlign w:val="center"/>
            <w:hideMark/>
          </w:tcPr>
          <w:p w14:paraId="4508F3E8"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MBA</w:t>
            </w:r>
          </w:p>
        </w:tc>
        <w:tc>
          <w:tcPr>
            <w:tcW w:w="0" w:type="auto"/>
            <w:vAlign w:val="center"/>
            <w:hideMark/>
          </w:tcPr>
          <w:p w14:paraId="0381D371"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Master of Business Administration</w:t>
            </w:r>
          </w:p>
        </w:tc>
      </w:tr>
      <w:tr w:rsidR="008761E2" w:rsidRPr="008761E2" w14:paraId="3FA94AEC" w14:textId="77777777" w:rsidTr="00325DE2">
        <w:trPr>
          <w:trHeight w:val="313"/>
          <w:tblCellSpacing w:w="15" w:type="dxa"/>
        </w:trPr>
        <w:tc>
          <w:tcPr>
            <w:tcW w:w="0" w:type="auto"/>
            <w:vAlign w:val="center"/>
            <w:hideMark/>
          </w:tcPr>
          <w:p w14:paraId="6130B704"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UK</w:t>
            </w:r>
          </w:p>
        </w:tc>
        <w:tc>
          <w:tcPr>
            <w:tcW w:w="0" w:type="auto"/>
            <w:vAlign w:val="center"/>
            <w:hideMark/>
          </w:tcPr>
          <w:p w14:paraId="24E9FD5B"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United Kingdom</w:t>
            </w:r>
          </w:p>
        </w:tc>
      </w:tr>
      <w:tr w:rsidR="008761E2" w:rsidRPr="008761E2" w14:paraId="0D59201A" w14:textId="77777777" w:rsidTr="00325DE2">
        <w:trPr>
          <w:trHeight w:val="326"/>
          <w:tblCellSpacing w:w="15" w:type="dxa"/>
        </w:trPr>
        <w:tc>
          <w:tcPr>
            <w:tcW w:w="0" w:type="auto"/>
            <w:vAlign w:val="center"/>
            <w:hideMark/>
          </w:tcPr>
          <w:p w14:paraId="5CAC28C8"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US</w:t>
            </w:r>
          </w:p>
        </w:tc>
        <w:tc>
          <w:tcPr>
            <w:tcW w:w="0" w:type="auto"/>
            <w:vAlign w:val="center"/>
            <w:hideMark/>
          </w:tcPr>
          <w:p w14:paraId="53A573D2"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United States</w:t>
            </w:r>
          </w:p>
        </w:tc>
      </w:tr>
      <w:tr w:rsidR="008761E2" w:rsidRPr="008761E2" w14:paraId="2978A41B" w14:textId="77777777" w:rsidTr="00325DE2">
        <w:trPr>
          <w:trHeight w:val="326"/>
          <w:tblCellSpacing w:w="15" w:type="dxa"/>
        </w:trPr>
        <w:tc>
          <w:tcPr>
            <w:tcW w:w="0" w:type="auto"/>
            <w:vAlign w:val="center"/>
            <w:hideMark/>
          </w:tcPr>
          <w:p w14:paraId="2F312CA2"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WTO</w:t>
            </w:r>
          </w:p>
        </w:tc>
        <w:tc>
          <w:tcPr>
            <w:tcW w:w="0" w:type="auto"/>
            <w:vAlign w:val="center"/>
            <w:hideMark/>
          </w:tcPr>
          <w:p w14:paraId="0C8A1C9E"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World Trade Organization</w:t>
            </w:r>
          </w:p>
        </w:tc>
      </w:tr>
      <w:tr w:rsidR="008761E2" w:rsidRPr="008761E2" w14:paraId="6EA01AD5" w14:textId="77777777" w:rsidTr="00325DE2">
        <w:trPr>
          <w:trHeight w:val="313"/>
          <w:tblCellSpacing w:w="15" w:type="dxa"/>
        </w:trPr>
        <w:tc>
          <w:tcPr>
            <w:tcW w:w="0" w:type="auto"/>
            <w:vAlign w:val="center"/>
            <w:hideMark/>
          </w:tcPr>
          <w:p w14:paraId="143C56F5"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TCFD</w:t>
            </w:r>
          </w:p>
        </w:tc>
        <w:tc>
          <w:tcPr>
            <w:tcW w:w="0" w:type="auto"/>
            <w:vAlign w:val="center"/>
            <w:hideMark/>
          </w:tcPr>
          <w:p w14:paraId="69E0C2DA"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Task Force on Climate-related Financial Disclosures</w:t>
            </w:r>
          </w:p>
        </w:tc>
      </w:tr>
      <w:tr w:rsidR="008761E2" w:rsidRPr="008761E2" w14:paraId="669259DF" w14:textId="77777777" w:rsidTr="00325DE2">
        <w:trPr>
          <w:trHeight w:val="326"/>
          <w:tblCellSpacing w:w="15" w:type="dxa"/>
        </w:trPr>
        <w:tc>
          <w:tcPr>
            <w:tcW w:w="0" w:type="auto"/>
            <w:vAlign w:val="center"/>
            <w:hideMark/>
          </w:tcPr>
          <w:p w14:paraId="0F323DF7"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IISD</w:t>
            </w:r>
          </w:p>
        </w:tc>
        <w:tc>
          <w:tcPr>
            <w:tcW w:w="0" w:type="auto"/>
            <w:vAlign w:val="center"/>
            <w:hideMark/>
          </w:tcPr>
          <w:p w14:paraId="157FE574"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International Institute for Sustainable Development</w:t>
            </w:r>
          </w:p>
        </w:tc>
      </w:tr>
      <w:tr w:rsidR="008761E2" w:rsidRPr="008761E2" w14:paraId="0A0A90CD" w14:textId="77777777" w:rsidTr="00325DE2">
        <w:trPr>
          <w:trHeight w:val="326"/>
          <w:tblCellSpacing w:w="15" w:type="dxa"/>
        </w:trPr>
        <w:tc>
          <w:tcPr>
            <w:tcW w:w="0" w:type="auto"/>
            <w:vAlign w:val="center"/>
            <w:hideMark/>
          </w:tcPr>
          <w:p w14:paraId="178EABD6"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CGEP</w:t>
            </w:r>
          </w:p>
        </w:tc>
        <w:tc>
          <w:tcPr>
            <w:tcW w:w="0" w:type="auto"/>
            <w:vAlign w:val="center"/>
            <w:hideMark/>
          </w:tcPr>
          <w:p w14:paraId="5762F2D4" w14:textId="77777777" w:rsidR="008761E2" w:rsidRPr="008761E2" w:rsidRDefault="008761E2" w:rsidP="00325DE2">
            <w:pPr>
              <w:spacing w:after="0" w:line="240" w:lineRule="auto"/>
              <w:rPr>
                <w:rFonts w:ascii="Arial" w:eastAsia="Times New Roman" w:hAnsi="Arial" w:cs="Arial"/>
                <w:sz w:val="24"/>
                <w:szCs w:val="24"/>
                <w:lang w:eastAsia="en-IN"/>
              </w:rPr>
            </w:pPr>
            <w:proofErr w:type="spellStart"/>
            <w:r w:rsidRPr="008761E2">
              <w:rPr>
                <w:rFonts w:ascii="Arial" w:eastAsia="Times New Roman" w:hAnsi="Arial" w:cs="Arial"/>
                <w:sz w:val="24"/>
                <w:szCs w:val="24"/>
                <w:lang w:eastAsia="en-IN"/>
              </w:rPr>
              <w:t>Center</w:t>
            </w:r>
            <w:proofErr w:type="spellEnd"/>
            <w:r w:rsidRPr="008761E2">
              <w:rPr>
                <w:rFonts w:ascii="Arial" w:eastAsia="Times New Roman" w:hAnsi="Arial" w:cs="Arial"/>
                <w:sz w:val="24"/>
                <w:szCs w:val="24"/>
                <w:lang w:eastAsia="en-IN"/>
              </w:rPr>
              <w:t xml:space="preserve"> on Global Energy Policy</w:t>
            </w:r>
          </w:p>
        </w:tc>
      </w:tr>
      <w:tr w:rsidR="008761E2" w:rsidRPr="008761E2" w14:paraId="3167355F" w14:textId="77777777" w:rsidTr="00325DE2">
        <w:trPr>
          <w:trHeight w:val="313"/>
          <w:tblCellSpacing w:w="15" w:type="dxa"/>
        </w:trPr>
        <w:tc>
          <w:tcPr>
            <w:tcW w:w="0" w:type="auto"/>
            <w:vAlign w:val="center"/>
            <w:hideMark/>
          </w:tcPr>
          <w:p w14:paraId="5261BD85"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SSAB</w:t>
            </w:r>
          </w:p>
        </w:tc>
        <w:tc>
          <w:tcPr>
            <w:tcW w:w="0" w:type="auto"/>
            <w:vAlign w:val="center"/>
            <w:hideMark/>
          </w:tcPr>
          <w:p w14:paraId="0AB0883D" w14:textId="77777777" w:rsidR="008761E2" w:rsidRPr="008761E2" w:rsidRDefault="008761E2" w:rsidP="00325DE2">
            <w:pPr>
              <w:spacing w:after="0" w:line="240" w:lineRule="auto"/>
              <w:rPr>
                <w:rFonts w:ascii="Arial" w:eastAsia="Times New Roman" w:hAnsi="Arial" w:cs="Arial"/>
                <w:sz w:val="24"/>
                <w:szCs w:val="24"/>
                <w:lang w:eastAsia="en-IN"/>
              </w:rPr>
            </w:pPr>
            <w:proofErr w:type="spellStart"/>
            <w:r w:rsidRPr="008761E2">
              <w:rPr>
                <w:rFonts w:ascii="Arial" w:eastAsia="Times New Roman" w:hAnsi="Arial" w:cs="Arial"/>
                <w:sz w:val="24"/>
                <w:szCs w:val="24"/>
                <w:lang w:eastAsia="en-IN"/>
              </w:rPr>
              <w:t>Svenskt</w:t>
            </w:r>
            <w:proofErr w:type="spellEnd"/>
            <w:r w:rsidRPr="008761E2">
              <w:rPr>
                <w:rFonts w:ascii="Arial" w:eastAsia="Times New Roman" w:hAnsi="Arial" w:cs="Arial"/>
                <w:sz w:val="24"/>
                <w:szCs w:val="24"/>
                <w:lang w:eastAsia="en-IN"/>
              </w:rPr>
              <w:t xml:space="preserve"> </w:t>
            </w:r>
            <w:proofErr w:type="spellStart"/>
            <w:r w:rsidRPr="008761E2">
              <w:rPr>
                <w:rFonts w:ascii="Arial" w:eastAsia="Times New Roman" w:hAnsi="Arial" w:cs="Arial"/>
                <w:sz w:val="24"/>
                <w:szCs w:val="24"/>
                <w:lang w:eastAsia="en-IN"/>
              </w:rPr>
              <w:t>Stål</w:t>
            </w:r>
            <w:proofErr w:type="spellEnd"/>
            <w:r w:rsidRPr="008761E2">
              <w:rPr>
                <w:rFonts w:ascii="Arial" w:eastAsia="Times New Roman" w:hAnsi="Arial" w:cs="Arial"/>
                <w:sz w:val="24"/>
                <w:szCs w:val="24"/>
                <w:lang w:eastAsia="en-IN"/>
              </w:rPr>
              <w:t xml:space="preserve"> AB (Swedish Steel Company)</w:t>
            </w:r>
          </w:p>
        </w:tc>
      </w:tr>
      <w:tr w:rsidR="008761E2" w:rsidRPr="008761E2" w14:paraId="4A6AE601" w14:textId="77777777" w:rsidTr="00325DE2">
        <w:trPr>
          <w:trHeight w:val="326"/>
          <w:tblCellSpacing w:w="15" w:type="dxa"/>
        </w:trPr>
        <w:tc>
          <w:tcPr>
            <w:tcW w:w="0" w:type="auto"/>
            <w:vAlign w:val="center"/>
            <w:hideMark/>
          </w:tcPr>
          <w:p w14:paraId="5F77539A" w14:textId="77777777" w:rsidR="008761E2" w:rsidRPr="008761E2" w:rsidRDefault="008761E2" w:rsidP="00325DE2">
            <w:pPr>
              <w:spacing w:after="0" w:line="240" w:lineRule="auto"/>
              <w:rPr>
                <w:rFonts w:ascii="Arial" w:eastAsia="Times New Roman" w:hAnsi="Arial" w:cs="Arial"/>
                <w:sz w:val="24"/>
                <w:szCs w:val="24"/>
                <w:lang w:eastAsia="en-IN"/>
              </w:rPr>
            </w:pPr>
            <w:proofErr w:type="spellStart"/>
            <w:r w:rsidRPr="008761E2">
              <w:rPr>
                <w:rFonts w:ascii="Arial" w:eastAsia="Times New Roman" w:hAnsi="Arial" w:cs="Arial"/>
                <w:sz w:val="24"/>
                <w:szCs w:val="24"/>
                <w:lang w:eastAsia="en-IN"/>
              </w:rPr>
              <w:t>XCarb</w:t>
            </w:r>
            <w:proofErr w:type="spellEnd"/>
          </w:p>
        </w:tc>
        <w:tc>
          <w:tcPr>
            <w:tcW w:w="0" w:type="auto"/>
            <w:vAlign w:val="center"/>
            <w:hideMark/>
          </w:tcPr>
          <w:p w14:paraId="7FCF2FD4"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ArcelorMittal's low-carbon and recycled steel product brand</w:t>
            </w:r>
          </w:p>
        </w:tc>
      </w:tr>
      <w:tr w:rsidR="008761E2" w:rsidRPr="008761E2" w14:paraId="667743E5" w14:textId="77777777" w:rsidTr="00325DE2">
        <w:trPr>
          <w:trHeight w:val="640"/>
          <w:tblCellSpacing w:w="15" w:type="dxa"/>
        </w:trPr>
        <w:tc>
          <w:tcPr>
            <w:tcW w:w="0" w:type="auto"/>
            <w:vAlign w:val="center"/>
            <w:hideMark/>
          </w:tcPr>
          <w:p w14:paraId="0206964C"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GHG Emissions</w:t>
            </w:r>
          </w:p>
        </w:tc>
        <w:tc>
          <w:tcPr>
            <w:tcW w:w="0" w:type="auto"/>
            <w:vAlign w:val="center"/>
            <w:hideMark/>
          </w:tcPr>
          <w:p w14:paraId="51C0A498"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Greenhouse Gas Emissions</w:t>
            </w:r>
          </w:p>
        </w:tc>
      </w:tr>
      <w:tr w:rsidR="008761E2" w:rsidRPr="008761E2" w14:paraId="32C9017A" w14:textId="77777777" w:rsidTr="00325DE2">
        <w:trPr>
          <w:trHeight w:val="626"/>
          <w:tblCellSpacing w:w="15" w:type="dxa"/>
        </w:trPr>
        <w:tc>
          <w:tcPr>
            <w:tcW w:w="0" w:type="auto"/>
            <w:vAlign w:val="center"/>
            <w:hideMark/>
          </w:tcPr>
          <w:p w14:paraId="08748F85"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Net Zero</w:t>
            </w:r>
          </w:p>
        </w:tc>
        <w:tc>
          <w:tcPr>
            <w:tcW w:w="0" w:type="auto"/>
            <w:vAlign w:val="center"/>
            <w:hideMark/>
          </w:tcPr>
          <w:p w14:paraId="7AB2A74C"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Achieving a balance between greenhouse gases emitted and removed from the atmosphere</w:t>
            </w:r>
          </w:p>
        </w:tc>
      </w:tr>
      <w:tr w:rsidR="008761E2" w:rsidRPr="008761E2" w14:paraId="0053AB77" w14:textId="77777777" w:rsidTr="00325DE2">
        <w:trPr>
          <w:trHeight w:val="326"/>
          <w:tblCellSpacing w:w="15" w:type="dxa"/>
        </w:trPr>
        <w:tc>
          <w:tcPr>
            <w:tcW w:w="0" w:type="auto"/>
            <w:vAlign w:val="center"/>
            <w:hideMark/>
          </w:tcPr>
          <w:p w14:paraId="644A6A54"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EAF Project</w:t>
            </w:r>
          </w:p>
        </w:tc>
        <w:tc>
          <w:tcPr>
            <w:tcW w:w="0" w:type="auto"/>
            <w:vAlign w:val="center"/>
            <w:hideMark/>
          </w:tcPr>
          <w:p w14:paraId="15DDFD86"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Electric Arc Furnace Project</w:t>
            </w:r>
          </w:p>
        </w:tc>
      </w:tr>
      <w:tr w:rsidR="008761E2" w:rsidRPr="008761E2" w14:paraId="2387305C" w14:textId="77777777" w:rsidTr="00325DE2">
        <w:trPr>
          <w:trHeight w:val="326"/>
          <w:tblCellSpacing w:w="15" w:type="dxa"/>
        </w:trPr>
        <w:tc>
          <w:tcPr>
            <w:tcW w:w="0" w:type="auto"/>
            <w:vAlign w:val="center"/>
            <w:hideMark/>
          </w:tcPr>
          <w:p w14:paraId="24E5A709"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LCMB7024</w:t>
            </w:r>
          </w:p>
        </w:tc>
        <w:tc>
          <w:tcPr>
            <w:tcW w:w="0" w:type="auto"/>
            <w:vAlign w:val="center"/>
            <w:hideMark/>
          </w:tcPr>
          <w:p w14:paraId="1945BD98"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Marketing Management Module Code</w:t>
            </w:r>
          </w:p>
        </w:tc>
      </w:tr>
      <w:tr w:rsidR="008761E2" w:rsidRPr="008761E2" w14:paraId="0CCAF059" w14:textId="77777777" w:rsidTr="00325DE2">
        <w:trPr>
          <w:trHeight w:val="299"/>
          <w:tblCellSpacing w:w="15" w:type="dxa"/>
        </w:trPr>
        <w:tc>
          <w:tcPr>
            <w:tcW w:w="0" w:type="auto"/>
            <w:vAlign w:val="center"/>
            <w:hideMark/>
          </w:tcPr>
          <w:p w14:paraId="1456FF7C"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CO</w:t>
            </w:r>
            <w:r w:rsidRPr="008761E2">
              <w:rPr>
                <w:rFonts w:ascii="Cambria Math" w:eastAsia="Times New Roman" w:hAnsi="Cambria Math" w:cs="Cambria Math"/>
                <w:sz w:val="24"/>
                <w:szCs w:val="24"/>
                <w:lang w:eastAsia="en-IN"/>
              </w:rPr>
              <w:t>₂</w:t>
            </w:r>
            <w:r w:rsidRPr="008761E2">
              <w:rPr>
                <w:rFonts w:ascii="Arial" w:eastAsia="Times New Roman" w:hAnsi="Arial" w:cs="Arial"/>
                <w:sz w:val="24"/>
                <w:szCs w:val="24"/>
                <w:lang w:eastAsia="en-IN"/>
              </w:rPr>
              <w:t xml:space="preserve"> Reduction</w:t>
            </w:r>
          </w:p>
        </w:tc>
        <w:tc>
          <w:tcPr>
            <w:tcW w:w="0" w:type="auto"/>
            <w:vAlign w:val="center"/>
            <w:hideMark/>
          </w:tcPr>
          <w:p w14:paraId="6893E527" w14:textId="77777777" w:rsidR="008761E2" w:rsidRPr="008761E2" w:rsidRDefault="008761E2" w:rsidP="00325D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Reduction in Carbon Dioxide Emissions</w:t>
            </w:r>
          </w:p>
        </w:tc>
      </w:tr>
    </w:tbl>
    <w:p w14:paraId="6325FF66" w14:textId="77777777" w:rsidR="00325DE2" w:rsidRPr="00325DE2" w:rsidRDefault="00325DE2" w:rsidP="009F3192">
      <w:pPr>
        <w:pStyle w:val="Header"/>
        <w:rPr>
          <w:rFonts w:ascii="Arial" w:hAnsi="Arial" w:cs="Arial"/>
          <w:b/>
          <w:color w:val="1F4E79" w:themeColor="accent1" w:themeShade="80"/>
          <w:sz w:val="28"/>
          <w:szCs w:val="24"/>
        </w:rPr>
      </w:pPr>
      <w:r w:rsidRPr="00325DE2">
        <w:rPr>
          <w:rFonts w:ascii="Arial" w:hAnsi="Arial" w:cs="Arial"/>
          <w:b/>
          <w:color w:val="1F4E79" w:themeColor="accent1" w:themeShade="80"/>
          <w:sz w:val="28"/>
          <w:szCs w:val="24"/>
        </w:rPr>
        <w:t>Abbreviations</w:t>
      </w:r>
    </w:p>
    <w:p w14:paraId="4FE22EA4" w14:textId="77777777" w:rsidR="00325DE2" w:rsidRPr="00325DE2" w:rsidRDefault="00325DE2" w:rsidP="00325DE2">
      <w:pPr>
        <w:pStyle w:val="Header"/>
        <w:rPr>
          <w:rFonts w:ascii="Arial" w:hAnsi="Arial" w:cs="Arial"/>
          <w:color w:val="1F4E79" w:themeColor="accent1" w:themeShade="80"/>
          <w:sz w:val="28"/>
          <w:szCs w:val="24"/>
        </w:rPr>
      </w:pPr>
    </w:p>
    <w:p w14:paraId="32FA7FFF" w14:textId="77777777" w:rsidR="008761E2" w:rsidRDefault="008761E2">
      <w:pPr>
        <w:rPr>
          <w:sz w:val="28"/>
          <w:szCs w:val="28"/>
        </w:rPr>
      </w:pPr>
      <w:r>
        <w:rPr>
          <w:sz w:val="28"/>
          <w:szCs w:val="28"/>
        </w:rPr>
        <w:br w:type="page"/>
      </w:r>
    </w:p>
    <w:p w14:paraId="672A365C" w14:textId="68787526" w:rsidR="008761E2" w:rsidRPr="00325DE2" w:rsidRDefault="008761E2" w:rsidP="008761E2">
      <w:pPr>
        <w:rPr>
          <w:rFonts w:ascii="Arial" w:eastAsia="Arial" w:hAnsi="Arial" w:cs="Arial"/>
          <w:b/>
          <w:bCs/>
          <w:color w:val="1F3864"/>
          <w:sz w:val="24"/>
          <w:szCs w:val="28"/>
          <w:lang w:eastAsia="en-IN"/>
        </w:rPr>
      </w:pPr>
      <w:r w:rsidRPr="00325DE2">
        <w:rPr>
          <w:rFonts w:ascii="Arial" w:hAnsi="Arial" w:cs="Arial"/>
          <w:b/>
          <w:sz w:val="24"/>
          <w:szCs w:val="28"/>
        </w:rPr>
        <w:lastRenderedPageBreak/>
        <w:t>Company and Organization Names Mentioned</w:t>
      </w:r>
    </w:p>
    <w:tbl>
      <w:tblPr>
        <w:tblW w:w="895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25"/>
        <w:gridCol w:w="6530"/>
      </w:tblGrid>
      <w:tr w:rsidR="008761E2" w:rsidRPr="008761E2" w14:paraId="7765460D" w14:textId="77777777" w:rsidTr="008761E2">
        <w:trPr>
          <w:trHeight w:val="426"/>
          <w:tblHeader/>
          <w:tblCellSpacing w:w="15" w:type="dxa"/>
        </w:trPr>
        <w:tc>
          <w:tcPr>
            <w:tcW w:w="0" w:type="auto"/>
            <w:vAlign w:val="center"/>
            <w:hideMark/>
          </w:tcPr>
          <w:p w14:paraId="59745989" w14:textId="77777777" w:rsidR="008761E2" w:rsidRPr="008761E2" w:rsidRDefault="008761E2" w:rsidP="008761E2">
            <w:pPr>
              <w:spacing w:after="0" w:line="240" w:lineRule="auto"/>
              <w:jc w:val="center"/>
              <w:rPr>
                <w:rFonts w:ascii="Arial" w:eastAsia="Times New Roman" w:hAnsi="Arial" w:cs="Arial"/>
                <w:b/>
                <w:bCs/>
                <w:sz w:val="24"/>
                <w:szCs w:val="24"/>
                <w:lang w:eastAsia="en-IN"/>
              </w:rPr>
            </w:pPr>
            <w:r w:rsidRPr="008761E2">
              <w:rPr>
                <w:rFonts w:ascii="Arial" w:eastAsia="Times New Roman" w:hAnsi="Arial" w:cs="Arial"/>
                <w:b/>
                <w:bCs/>
                <w:sz w:val="24"/>
                <w:szCs w:val="24"/>
                <w:lang w:eastAsia="en-IN"/>
              </w:rPr>
              <w:t>Name</w:t>
            </w:r>
          </w:p>
        </w:tc>
        <w:tc>
          <w:tcPr>
            <w:tcW w:w="0" w:type="auto"/>
            <w:vAlign w:val="center"/>
            <w:hideMark/>
          </w:tcPr>
          <w:p w14:paraId="5F9BCF1C" w14:textId="77777777" w:rsidR="008761E2" w:rsidRPr="008761E2" w:rsidRDefault="008761E2" w:rsidP="008761E2">
            <w:pPr>
              <w:spacing w:after="0" w:line="240" w:lineRule="auto"/>
              <w:jc w:val="center"/>
              <w:rPr>
                <w:rFonts w:ascii="Arial" w:eastAsia="Times New Roman" w:hAnsi="Arial" w:cs="Arial"/>
                <w:b/>
                <w:bCs/>
                <w:sz w:val="24"/>
                <w:szCs w:val="24"/>
                <w:lang w:eastAsia="en-IN"/>
              </w:rPr>
            </w:pPr>
            <w:r w:rsidRPr="008761E2">
              <w:rPr>
                <w:rFonts w:ascii="Arial" w:eastAsia="Times New Roman" w:hAnsi="Arial" w:cs="Arial"/>
                <w:b/>
                <w:bCs/>
                <w:sz w:val="24"/>
                <w:szCs w:val="24"/>
                <w:lang w:eastAsia="en-IN"/>
              </w:rPr>
              <w:t>Full Form / Description</w:t>
            </w:r>
          </w:p>
        </w:tc>
      </w:tr>
      <w:tr w:rsidR="008761E2" w:rsidRPr="008761E2" w14:paraId="0DE041B9" w14:textId="77777777" w:rsidTr="008761E2">
        <w:trPr>
          <w:trHeight w:val="426"/>
          <w:tblCellSpacing w:w="15" w:type="dxa"/>
        </w:trPr>
        <w:tc>
          <w:tcPr>
            <w:tcW w:w="0" w:type="auto"/>
            <w:vAlign w:val="center"/>
            <w:hideMark/>
          </w:tcPr>
          <w:p w14:paraId="033D5B9C"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Tata Steel UK</w:t>
            </w:r>
          </w:p>
        </w:tc>
        <w:tc>
          <w:tcPr>
            <w:tcW w:w="0" w:type="auto"/>
            <w:vAlign w:val="center"/>
            <w:hideMark/>
          </w:tcPr>
          <w:p w14:paraId="63F01EF3"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Tata Steel's United Kingdom operations</w:t>
            </w:r>
          </w:p>
        </w:tc>
      </w:tr>
      <w:tr w:rsidR="008761E2" w:rsidRPr="008761E2" w14:paraId="28872A91" w14:textId="77777777" w:rsidTr="008761E2">
        <w:trPr>
          <w:trHeight w:val="444"/>
          <w:tblCellSpacing w:w="15" w:type="dxa"/>
        </w:trPr>
        <w:tc>
          <w:tcPr>
            <w:tcW w:w="0" w:type="auto"/>
            <w:vAlign w:val="center"/>
            <w:hideMark/>
          </w:tcPr>
          <w:p w14:paraId="6F4620D5"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Tata Steel Nederland</w:t>
            </w:r>
          </w:p>
        </w:tc>
        <w:tc>
          <w:tcPr>
            <w:tcW w:w="0" w:type="auto"/>
            <w:vAlign w:val="center"/>
            <w:hideMark/>
          </w:tcPr>
          <w:p w14:paraId="70668848"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Tata Steel's Netherlands operations</w:t>
            </w:r>
          </w:p>
        </w:tc>
      </w:tr>
      <w:tr w:rsidR="008761E2" w:rsidRPr="008761E2" w14:paraId="2942EC34" w14:textId="77777777" w:rsidTr="008761E2">
        <w:trPr>
          <w:trHeight w:val="444"/>
          <w:tblCellSpacing w:w="15" w:type="dxa"/>
        </w:trPr>
        <w:tc>
          <w:tcPr>
            <w:tcW w:w="0" w:type="auto"/>
            <w:vAlign w:val="center"/>
            <w:hideMark/>
          </w:tcPr>
          <w:p w14:paraId="6478D29E"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KPMG</w:t>
            </w:r>
          </w:p>
        </w:tc>
        <w:tc>
          <w:tcPr>
            <w:tcW w:w="0" w:type="auto"/>
            <w:vAlign w:val="center"/>
            <w:hideMark/>
          </w:tcPr>
          <w:p w14:paraId="0A34DE5B" w14:textId="77777777" w:rsidR="008761E2" w:rsidRPr="008761E2" w:rsidRDefault="008761E2" w:rsidP="008761E2">
            <w:pPr>
              <w:spacing w:after="0" w:line="240" w:lineRule="auto"/>
              <w:rPr>
                <w:rFonts w:ascii="Arial" w:eastAsia="Times New Roman" w:hAnsi="Arial" w:cs="Arial"/>
                <w:sz w:val="24"/>
                <w:szCs w:val="24"/>
                <w:lang w:eastAsia="en-IN"/>
              </w:rPr>
            </w:pPr>
            <w:proofErr w:type="spellStart"/>
            <w:r w:rsidRPr="008761E2">
              <w:rPr>
                <w:rFonts w:ascii="Arial" w:eastAsia="Times New Roman" w:hAnsi="Arial" w:cs="Arial"/>
                <w:sz w:val="24"/>
                <w:szCs w:val="24"/>
                <w:lang w:eastAsia="en-IN"/>
              </w:rPr>
              <w:t>Klynveld</w:t>
            </w:r>
            <w:proofErr w:type="spellEnd"/>
            <w:r w:rsidRPr="008761E2">
              <w:rPr>
                <w:rFonts w:ascii="Arial" w:eastAsia="Times New Roman" w:hAnsi="Arial" w:cs="Arial"/>
                <w:sz w:val="24"/>
                <w:szCs w:val="24"/>
                <w:lang w:eastAsia="en-IN"/>
              </w:rPr>
              <w:t xml:space="preserve"> Peat Marwick </w:t>
            </w:r>
            <w:proofErr w:type="spellStart"/>
            <w:r w:rsidRPr="008761E2">
              <w:rPr>
                <w:rFonts w:ascii="Arial" w:eastAsia="Times New Roman" w:hAnsi="Arial" w:cs="Arial"/>
                <w:sz w:val="24"/>
                <w:szCs w:val="24"/>
                <w:lang w:eastAsia="en-IN"/>
              </w:rPr>
              <w:t>Goerdeler</w:t>
            </w:r>
            <w:proofErr w:type="spellEnd"/>
          </w:p>
        </w:tc>
      </w:tr>
      <w:tr w:rsidR="008761E2" w:rsidRPr="008761E2" w14:paraId="3BB5E613" w14:textId="77777777" w:rsidTr="008761E2">
        <w:trPr>
          <w:trHeight w:val="426"/>
          <w:tblCellSpacing w:w="15" w:type="dxa"/>
        </w:trPr>
        <w:tc>
          <w:tcPr>
            <w:tcW w:w="0" w:type="auto"/>
            <w:vAlign w:val="center"/>
            <w:hideMark/>
          </w:tcPr>
          <w:p w14:paraId="076C41A3"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BIS Research</w:t>
            </w:r>
          </w:p>
        </w:tc>
        <w:tc>
          <w:tcPr>
            <w:tcW w:w="0" w:type="auto"/>
            <w:vAlign w:val="center"/>
            <w:hideMark/>
          </w:tcPr>
          <w:p w14:paraId="5F1ECD46"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Business Intelligence and Strategy Research</w:t>
            </w:r>
          </w:p>
        </w:tc>
      </w:tr>
      <w:tr w:rsidR="008761E2" w:rsidRPr="008761E2" w14:paraId="300E5FF4" w14:textId="77777777" w:rsidTr="008761E2">
        <w:trPr>
          <w:trHeight w:val="444"/>
          <w:tblCellSpacing w:w="15" w:type="dxa"/>
        </w:trPr>
        <w:tc>
          <w:tcPr>
            <w:tcW w:w="0" w:type="auto"/>
            <w:vAlign w:val="center"/>
            <w:hideMark/>
          </w:tcPr>
          <w:p w14:paraId="4C48331B" w14:textId="77777777" w:rsidR="008761E2" w:rsidRPr="008761E2" w:rsidRDefault="008761E2" w:rsidP="008761E2">
            <w:pPr>
              <w:spacing w:after="0" w:line="240" w:lineRule="auto"/>
              <w:rPr>
                <w:rFonts w:ascii="Arial" w:eastAsia="Times New Roman" w:hAnsi="Arial" w:cs="Arial"/>
                <w:sz w:val="24"/>
                <w:szCs w:val="24"/>
                <w:lang w:eastAsia="en-IN"/>
              </w:rPr>
            </w:pPr>
            <w:proofErr w:type="spellStart"/>
            <w:r w:rsidRPr="008761E2">
              <w:rPr>
                <w:rFonts w:ascii="Arial" w:eastAsia="Times New Roman" w:hAnsi="Arial" w:cs="Arial"/>
                <w:sz w:val="24"/>
                <w:szCs w:val="24"/>
                <w:lang w:eastAsia="en-IN"/>
              </w:rPr>
              <w:t>Euronews</w:t>
            </w:r>
            <w:proofErr w:type="spellEnd"/>
          </w:p>
        </w:tc>
        <w:tc>
          <w:tcPr>
            <w:tcW w:w="0" w:type="auto"/>
            <w:vAlign w:val="center"/>
            <w:hideMark/>
          </w:tcPr>
          <w:p w14:paraId="08DD623C"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European News Network</w:t>
            </w:r>
          </w:p>
        </w:tc>
      </w:tr>
      <w:tr w:rsidR="008761E2" w:rsidRPr="008761E2" w14:paraId="523BDBEE" w14:textId="77777777" w:rsidTr="008761E2">
        <w:trPr>
          <w:trHeight w:val="444"/>
          <w:tblCellSpacing w:w="15" w:type="dxa"/>
        </w:trPr>
        <w:tc>
          <w:tcPr>
            <w:tcW w:w="0" w:type="auto"/>
            <w:vAlign w:val="center"/>
            <w:hideMark/>
          </w:tcPr>
          <w:p w14:paraId="3283EA69" w14:textId="77777777" w:rsidR="008761E2" w:rsidRPr="008761E2" w:rsidRDefault="008761E2" w:rsidP="008761E2">
            <w:pPr>
              <w:spacing w:after="0" w:line="240" w:lineRule="auto"/>
              <w:rPr>
                <w:rFonts w:ascii="Arial" w:eastAsia="Times New Roman" w:hAnsi="Arial" w:cs="Arial"/>
                <w:sz w:val="24"/>
                <w:szCs w:val="24"/>
                <w:lang w:eastAsia="en-IN"/>
              </w:rPr>
            </w:pPr>
            <w:proofErr w:type="spellStart"/>
            <w:r w:rsidRPr="008761E2">
              <w:rPr>
                <w:rFonts w:ascii="Arial" w:eastAsia="Times New Roman" w:hAnsi="Arial" w:cs="Arial"/>
                <w:sz w:val="24"/>
                <w:szCs w:val="24"/>
                <w:lang w:eastAsia="en-IN"/>
              </w:rPr>
              <w:t>ResponsibleSteel</w:t>
            </w:r>
            <w:proofErr w:type="spellEnd"/>
          </w:p>
        </w:tc>
        <w:tc>
          <w:tcPr>
            <w:tcW w:w="0" w:type="auto"/>
            <w:vAlign w:val="center"/>
            <w:hideMark/>
          </w:tcPr>
          <w:p w14:paraId="09C47EA9"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Global steel industry sustainability certification organization</w:t>
            </w:r>
          </w:p>
        </w:tc>
      </w:tr>
      <w:tr w:rsidR="008761E2" w:rsidRPr="008761E2" w14:paraId="101E6CB7" w14:textId="77777777" w:rsidTr="008761E2">
        <w:trPr>
          <w:trHeight w:val="426"/>
          <w:tblCellSpacing w:w="15" w:type="dxa"/>
        </w:trPr>
        <w:tc>
          <w:tcPr>
            <w:tcW w:w="0" w:type="auto"/>
            <w:vAlign w:val="center"/>
            <w:hideMark/>
          </w:tcPr>
          <w:p w14:paraId="5D711EB0"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FSB</w:t>
            </w:r>
          </w:p>
        </w:tc>
        <w:tc>
          <w:tcPr>
            <w:tcW w:w="0" w:type="auto"/>
            <w:vAlign w:val="center"/>
            <w:hideMark/>
          </w:tcPr>
          <w:p w14:paraId="57B32EFC"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Financial Stability Board</w:t>
            </w:r>
          </w:p>
        </w:tc>
      </w:tr>
      <w:tr w:rsidR="008761E2" w:rsidRPr="008761E2" w14:paraId="11451926" w14:textId="77777777" w:rsidTr="008761E2">
        <w:trPr>
          <w:trHeight w:val="426"/>
          <w:tblCellSpacing w:w="15" w:type="dxa"/>
        </w:trPr>
        <w:tc>
          <w:tcPr>
            <w:tcW w:w="0" w:type="auto"/>
            <w:vAlign w:val="center"/>
            <w:hideMark/>
          </w:tcPr>
          <w:p w14:paraId="7A3D62EC"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 xml:space="preserve">GMK </w:t>
            </w:r>
            <w:proofErr w:type="spellStart"/>
            <w:r w:rsidRPr="008761E2">
              <w:rPr>
                <w:rFonts w:ascii="Arial" w:eastAsia="Times New Roman" w:hAnsi="Arial" w:cs="Arial"/>
                <w:sz w:val="24"/>
                <w:szCs w:val="24"/>
                <w:lang w:eastAsia="en-IN"/>
              </w:rPr>
              <w:t>Center</w:t>
            </w:r>
            <w:proofErr w:type="spellEnd"/>
          </w:p>
        </w:tc>
        <w:tc>
          <w:tcPr>
            <w:tcW w:w="0" w:type="auto"/>
            <w:vAlign w:val="center"/>
            <w:hideMark/>
          </w:tcPr>
          <w:p w14:paraId="2008EBA7"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 xml:space="preserve">Global Metal and Mining Industry Research </w:t>
            </w:r>
            <w:proofErr w:type="spellStart"/>
            <w:r w:rsidRPr="008761E2">
              <w:rPr>
                <w:rFonts w:ascii="Arial" w:eastAsia="Times New Roman" w:hAnsi="Arial" w:cs="Arial"/>
                <w:sz w:val="24"/>
                <w:szCs w:val="24"/>
                <w:lang w:eastAsia="en-IN"/>
              </w:rPr>
              <w:t>Center</w:t>
            </w:r>
            <w:proofErr w:type="spellEnd"/>
          </w:p>
        </w:tc>
      </w:tr>
    </w:tbl>
    <w:p w14:paraId="6B54DF86" w14:textId="072BC4CD" w:rsidR="008761E2" w:rsidRDefault="008761E2" w:rsidP="008761E2">
      <w:pPr>
        <w:rPr>
          <w:rFonts w:ascii="Arial" w:eastAsia="Arial" w:hAnsi="Arial" w:cs="Arial"/>
          <w:b/>
          <w:bCs/>
          <w:color w:val="1F3864"/>
          <w:sz w:val="28"/>
          <w:szCs w:val="28"/>
          <w:lang w:eastAsia="en-IN"/>
        </w:rPr>
      </w:pPr>
    </w:p>
    <w:p w14:paraId="03C4A8FA" w14:textId="70332F98" w:rsidR="008761E2" w:rsidRPr="00325DE2" w:rsidRDefault="008761E2" w:rsidP="008761E2">
      <w:pPr>
        <w:rPr>
          <w:rFonts w:ascii="Arial" w:eastAsia="Arial" w:hAnsi="Arial" w:cs="Arial"/>
          <w:b/>
          <w:bCs/>
          <w:sz w:val="24"/>
          <w:szCs w:val="28"/>
          <w:lang w:eastAsia="en-IN"/>
        </w:rPr>
      </w:pPr>
      <w:r w:rsidRPr="00325DE2">
        <w:rPr>
          <w:rFonts w:ascii="Arial" w:eastAsia="Arial" w:hAnsi="Arial" w:cs="Arial"/>
          <w:b/>
          <w:bCs/>
          <w:sz w:val="24"/>
          <w:szCs w:val="28"/>
          <w:lang w:eastAsia="en-IN"/>
        </w:rPr>
        <w:t>Strategic Models Used</w:t>
      </w:r>
    </w:p>
    <w:tbl>
      <w:tblPr>
        <w:tblW w:w="901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74"/>
        <w:gridCol w:w="5942"/>
      </w:tblGrid>
      <w:tr w:rsidR="008761E2" w:rsidRPr="008761E2" w14:paraId="1A8134D1" w14:textId="77777777" w:rsidTr="008761E2">
        <w:trPr>
          <w:trHeight w:val="390"/>
          <w:tblHeader/>
          <w:tblCellSpacing w:w="15" w:type="dxa"/>
        </w:trPr>
        <w:tc>
          <w:tcPr>
            <w:tcW w:w="0" w:type="auto"/>
            <w:vAlign w:val="center"/>
            <w:hideMark/>
          </w:tcPr>
          <w:p w14:paraId="5B2EAEAD" w14:textId="77777777" w:rsidR="008761E2" w:rsidRPr="008761E2" w:rsidRDefault="008761E2" w:rsidP="008761E2">
            <w:pPr>
              <w:spacing w:after="0" w:line="240" w:lineRule="auto"/>
              <w:jc w:val="center"/>
              <w:rPr>
                <w:rFonts w:ascii="Arial" w:eastAsia="Times New Roman" w:hAnsi="Arial" w:cs="Arial"/>
                <w:b/>
                <w:bCs/>
                <w:sz w:val="24"/>
                <w:szCs w:val="24"/>
                <w:lang w:eastAsia="en-IN"/>
              </w:rPr>
            </w:pPr>
            <w:r w:rsidRPr="008761E2">
              <w:rPr>
                <w:rFonts w:ascii="Arial" w:eastAsia="Times New Roman" w:hAnsi="Arial" w:cs="Arial"/>
                <w:b/>
                <w:bCs/>
                <w:sz w:val="24"/>
                <w:szCs w:val="24"/>
                <w:lang w:eastAsia="en-IN"/>
              </w:rPr>
              <w:t>Term</w:t>
            </w:r>
          </w:p>
        </w:tc>
        <w:tc>
          <w:tcPr>
            <w:tcW w:w="0" w:type="auto"/>
            <w:vAlign w:val="center"/>
            <w:hideMark/>
          </w:tcPr>
          <w:p w14:paraId="28F001C9" w14:textId="77777777" w:rsidR="008761E2" w:rsidRPr="008761E2" w:rsidRDefault="008761E2" w:rsidP="008761E2">
            <w:pPr>
              <w:spacing w:after="0" w:line="240" w:lineRule="auto"/>
              <w:jc w:val="center"/>
              <w:rPr>
                <w:rFonts w:ascii="Arial" w:eastAsia="Times New Roman" w:hAnsi="Arial" w:cs="Arial"/>
                <w:b/>
                <w:bCs/>
                <w:sz w:val="24"/>
                <w:szCs w:val="24"/>
                <w:lang w:eastAsia="en-IN"/>
              </w:rPr>
            </w:pPr>
            <w:r w:rsidRPr="008761E2">
              <w:rPr>
                <w:rFonts w:ascii="Arial" w:eastAsia="Times New Roman" w:hAnsi="Arial" w:cs="Arial"/>
                <w:b/>
                <w:bCs/>
                <w:sz w:val="24"/>
                <w:szCs w:val="24"/>
                <w:lang w:eastAsia="en-IN"/>
              </w:rPr>
              <w:t>Full Form / Meaning</w:t>
            </w:r>
          </w:p>
        </w:tc>
      </w:tr>
      <w:tr w:rsidR="008761E2" w:rsidRPr="008761E2" w14:paraId="4BA59F7A" w14:textId="77777777" w:rsidTr="008761E2">
        <w:trPr>
          <w:trHeight w:val="390"/>
          <w:tblCellSpacing w:w="15" w:type="dxa"/>
        </w:trPr>
        <w:tc>
          <w:tcPr>
            <w:tcW w:w="0" w:type="auto"/>
            <w:vAlign w:val="center"/>
            <w:hideMark/>
          </w:tcPr>
          <w:p w14:paraId="69D403A0" w14:textId="77777777" w:rsidR="008761E2" w:rsidRPr="008761E2" w:rsidRDefault="008761E2" w:rsidP="008761E2">
            <w:pPr>
              <w:spacing w:after="0" w:line="240" w:lineRule="auto"/>
              <w:rPr>
                <w:rFonts w:ascii="Arial" w:eastAsia="Times New Roman" w:hAnsi="Arial" w:cs="Arial"/>
                <w:sz w:val="24"/>
                <w:szCs w:val="24"/>
                <w:lang w:eastAsia="en-IN"/>
              </w:rPr>
            </w:pPr>
            <w:proofErr w:type="spellStart"/>
            <w:r w:rsidRPr="008761E2">
              <w:rPr>
                <w:rFonts w:ascii="Arial" w:eastAsia="Times New Roman" w:hAnsi="Arial" w:cs="Arial"/>
                <w:sz w:val="24"/>
                <w:szCs w:val="24"/>
                <w:lang w:eastAsia="en-IN"/>
              </w:rPr>
              <w:t>Ansoff</w:t>
            </w:r>
            <w:proofErr w:type="spellEnd"/>
            <w:r w:rsidRPr="008761E2">
              <w:rPr>
                <w:rFonts w:ascii="Arial" w:eastAsia="Times New Roman" w:hAnsi="Arial" w:cs="Arial"/>
                <w:sz w:val="24"/>
                <w:szCs w:val="24"/>
                <w:lang w:eastAsia="en-IN"/>
              </w:rPr>
              <w:t xml:space="preserve"> Matrix</w:t>
            </w:r>
          </w:p>
        </w:tc>
        <w:tc>
          <w:tcPr>
            <w:tcW w:w="0" w:type="auto"/>
            <w:vAlign w:val="center"/>
            <w:hideMark/>
          </w:tcPr>
          <w:p w14:paraId="059BF8D4"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 xml:space="preserve">Strategic growth framework developed by Igor </w:t>
            </w:r>
            <w:proofErr w:type="spellStart"/>
            <w:r w:rsidRPr="008761E2">
              <w:rPr>
                <w:rFonts w:ascii="Arial" w:eastAsia="Times New Roman" w:hAnsi="Arial" w:cs="Arial"/>
                <w:sz w:val="24"/>
                <w:szCs w:val="24"/>
                <w:lang w:eastAsia="en-IN"/>
              </w:rPr>
              <w:t>Ansoff</w:t>
            </w:r>
            <w:proofErr w:type="spellEnd"/>
          </w:p>
        </w:tc>
      </w:tr>
      <w:tr w:rsidR="008761E2" w:rsidRPr="008761E2" w14:paraId="3CC4269D" w14:textId="77777777" w:rsidTr="008761E2">
        <w:trPr>
          <w:trHeight w:val="407"/>
          <w:tblCellSpacing w:w="15" w:type="dxa"/>
        </w:trPr>
        <w:tc>
          <w:tcPr>
            <w:tcW w:w="0" w:type="auto"/>
            <w:vAlign w:val="center"/>
            <w:hideMark/>
          </w:tcPr>
          <w:p w14:paraId="2BE3E995"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Product Development</w:t>
            </w:r>
          </w:p>
        </w:tc>
        <w:tc>
          <w:tcPr>
            <w:tcW w:w="0" w:type="auto"/>
            <w:vAlign w:val="center"/>
            <w:hideMark/>
          </w:tcPr>
          <w:p w14:paraId="6184BFEF"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Existing market + New product strategy</w:t>
            </w:r>
          </w:p>
        </w:tc>
      </w:tr>
      <w:tr w:rsidR="008761E2" w:rsidRPr="008761E2" w14:paraId="3610A371" w14:textId="77777777" w:rsidTr="008761E2">
        <w:trPr>
          <w:trHeight w:val="407"/>
          <w:tblCellSpacing w:w="15" w:type="dxa"/>
        </w:trPr>
        <w:tc>
          <w:tcPr>
            <w:tcW w:w="0" w:type="auto"/>
            <w:vAlign w:val="center"/>
            <w:hideMark/>
          </w:tcPr>
          <w:p w14:paraId="4C0A395D"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Market Penetration</w:t>
            </w:r>
          </w:p>
        </w:tc>
        <w:tc>
          <w:tcPr>
            <w:tcW w:w="0" w:type="auto"/>
            <w:vAlign w:val="center"/>
            <w:hideMark/>
          </w:tcPr>
          <w:p w14:paraId="3F4786F1"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Existing market + Existing product strategy</w:t>
            </w:r>
          </w:p>
        </w:tc>
      </w:tr>
      <w:tr w:rsidR="008761E2" w:rsidRPr="008761E2" w14:paraId="11627149" w14:textId="77777777" w:rsidTr="008761E2">
        <w:trPr>
          <w:trHeight w:val="390"/>
          <w:tblCellSpacing w:w="15" w:type="dxa"/>
        </w:trPr>
        <w:tc>
          <w:tcPr>
            <w:tcW w:w="0" w:type="auto"/>
            <w:vAlign w:val="center"/>
            <w:hideMark/>
          </w:tcPr>
          <w:p w14:paraId="375B025D"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Market Development</w:t>
            </w:r>
          </w:p>
        </w:tc>
        <w:tc>
          <w:tcPr>
            <w:tcW w:w="0" w:type="auto"/>
            <w:vAlign w:val="center"/>
            <w:hideMark/>
          </w:tcPr>
          <w:p w14:paraId="39767B3C"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New market + Existing product strategy</w:t>
            </w:r>
          </w:p>
        </w:tc>
      </w:tr>
      <w:tr w:rsidR="008761E2" w:rsidRPr="008761E2" w14:paraId="16ACEB00" w14:textId="77777777" w:rsidTr="008761E2">
        <w:trPr>
          <w:trHeight w:val="407"/>
          <w:tblCellSpacing w:w="15" w:type="dxa"/>
        </w:trPr>
        <w:tc>
          <w:tcPr>
            <w:tcW w:w="0" w:type="auto"/>
            <w:vAlign w:val="center"/>
            <w:hideMark/>
          </w:tcPr>
          <w:p w14:paraId="08A0B1C0"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Diversification</w:t>
            </w:r>
          </w:p>
        </w:tc>
        <w:tc>
          <w:tcPr>
            <w:tcW w:w="0" w:type="auto"/>
            <w:vAlign w:val="center"/>
            <w:hideMark/>
          </w:tcPr>
          <w:p w14:paraId="17CFB705"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New market + New product strategy</w:t>
            </w:r>
          </w:p>
        </w:tc>
      </w:tr>
      <w:tr w:rsidR="008761E2" w:rsidRPr="008761E2" w14:paraId="3C6BB225" w14:textId="77777777" w:rsidTr="008761E2">
        <w:trPr>
          <w:trHeight w:val="390"/>
          <w:tblCellSpacing w:w="15" w:type="dxa"/>
        </w:trPr>
        <w:tc>
          <w:tcPr>
            <w:tcW w:w="0" w:type="auto"/>
            <w:vAlign w:val="center"/>
            <w:hideMark/>
          </w:tcPr>
          <w:p w14:paraId="02C00A9D"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Porter's Generic Strategies</w:t>
            </w:r>
          </w:p>
        </w:tc>
        <w:tc>
          <w:tcPr>
            <w:tcW w:w="0" w:type="auto"/>
            <w:vAlign w:val="center"/>
            <w:hideMark/>
          </w:tcPr>
          <w:p w14:paraId="1C63D193" w14:textId="77777777" w:rsidR="008761E2" w:rsidRPr="008761E2" w:rsidRDefault="008761E2" w:rsidP="008761E2">
            <w:pPr>
              <w:spacing w:after="0" w:line="240" w:lineRule="auto"/>
              <w:rPr>
                <w:rFonts w:ascii="Arial" w:eastAsia="Times New Roman" w:hAnsi="Arial" w:cs="Arial"/>
                <w:sz w:val="24"/>
                <w:szCs w:val="24"/>
                <w:lang w:eastAsia="en-IN"/>
              </w:rPr>
            </w:pPr>
            <w:r w:rsidRPr="008761E2">
              <w:rPr>
                <w:rFonts w:ascii="Arial" w:eastAsia="Times New Roman" w:hAnsi="Arial" w:cs="Arial"/>
                <w:sz w:val="24"/>
                <w:szCs w:val="24"/>
                <w:lang w:eastAsia="en-IN"/>
              </w:rPr>
              <w:t>Cost Leadership, Differentiation, and Focus</w:t>
            </w:r>
          </w:p>
        </w:tc>
      </w:tr>
    </w:tbl>
    <w:p w14:paraId="44329265" w14:textId="1ACDE07F" w:rsidR="008761E2" w:rsidRDefault="008761E2">
      <w:pPr>
        <w:rPr>
          <w:rFonts w:ascii="Arial" w:eastAsia="Arial" w:hAnsi="Arial" w:cs="Arial"/>
          <w:b/>
          <w:bCs/>
          <w:color w:val="1F3864"/>
          <w:sz w:val="28"/>
          <w:szCs w:val="28"/>
          <w:lang w:eastAsia="en-IN"/>
        </w:rPr>
      </w:pPr>
    </w:p>
    <w:p w14:paraId="2CB65EC4" w14:textId="3A20F718" w:rsidR="00ED6294" w:rsidRDefault="008761E2">
      <w:pPr>
        <w:rPr>
          <w:rFonts w:ascii="Arial" w:eastAsia="Arial" w:hAnsi="Arial" w:cs="Arial"/>
          <w:b/>
          <w:bCs/>
          <w:color w:val="1F3864"/>
          <w:sz w:val="28"/>
          <w:szCs w:val="28"/>
          <w:lang w:eastAsia="en-IN"/>
        </w:rPr>
      </w:pPr>
      <w:r>
        <w:rPr>
          <w:rFonts w:ascii="Arial" w:eastAsia="Arial" w:hAnsi="Arial" w:cs="Arial"/>
          <w:b/>
          <w:bCs/>
          <w:color w:val="1F3864"/>
          <w:sz w:val="28"/>
          <w:szCs w:val="28"/>
          <w:lang w:eastAsia="en-IN"/>
        </w:rPr>
        <w:br w:type="page"/>
      </w:r>
    </w:p>
    <w:p w14:paraId="7E486DC7" w14:textId="23C2ABC2" w:rsidR="00FA6AFF" w:rsidRPr="00ED6294" w:rsidRDefault="003A446E" w:rsidP="00ED6294">
      <w:pPr>
        <w:pStyle w:val="Heading1"/>
        <w:spacing w:before="0"/>
        <w:jc w:val="both"/>
        <w:rPr>
          <w:sz w:val="28"/>
          <w:szCs w:val="28"/>
        </w:rPr>
      </w:pPr>
      <w:r w:rsidRPr="00ED6294">
        <w:rPr>
          <w:sz w:val="28"/>
          <w:szCs w:val="28"/>
        </w:rPr>
        <w:lastRenderedPageBreak/>
        <w:t>Task 1: Marketing Environment Analysis</w:t>
      </w:r>
      <w:r w:rsidR="00FA6AFF" w:rsidRPr="00ED6294">
        <w:rPr>
          <w:sz w:val="28"/>
          <w:szCs w:val="28"/>
        </w:rPr>
        <w:t xml:space="preserve"> </w:t>
      </w:r>
    </w:p>
    <w:p w14:paraId="3BA85E75" w14:textId="16B170B1" w:rsidR="003A446E" w:rsidRPr="003A446E" w:rsidRDefault="003A446E" w:rsidP="003820FC">
      <w:pPr>
        <w:pStyle w:val="Heading2"/>
        <w:numPr>
          <w:ilvl w:val="1"/>
          <w:numId w:val="1"/>
        </w:numPr>
        <w:spacing w:after="240"/>
        <w:jc w:val="both"/>
        <w:rPr>
          <w:rFonts w:ascii="Arial" w:eastAsia="Arial" w:hAnsi="Arial" w:cs="Arial"/>
          <w:b/>
          <w:bCs/>
          <w:color w:val="2E5496"/>
        </w:rPr>
      </w:pPr>
      <w:r>
        <w:rPr>
          <w:rFonts w:ascii="Arial" w:eastAsia="Arial" w:hAnsi="Arial" w:cs="Arial"/>
          <w:b/>
          <w:bCs/>
          <w:color w:val="2E5496"/>
        </w:rPr>
        <w:t>Overview of Tata Steel</w:t>
      </w:r>
    </w:p>
    <w:p w14:paraId="3D9282BF" w14:textId="51F6535C" w:rsidR="00C436EC" w:rsidRDefault="000533B3" w:rsidP="0026722E">
      <w:pPr>
        <w:spacing w:line="360" w:lineRule="auto"/>
        <w:jc w:val="both"/>
        <w:rPr>
          <w:rStyle w:val="cursor-pointer"/>
          <w:rFonts w:ascii="Arial" w:hAnsi="Arial" w:cs="Arial"/>
          <w:noProof/>
          <w:sz w:val="24"/>
          <w:szCs w:val="24"/>
          <w:lang w:eastAsia="en-IN"/>
        </w:rPr>
      </w:pPr>
      <w:r w:rsidRPr="000533B3">
        <w:rPr>
          <w:rFonts w:ascii="Arial" w:hAnsi="Arial" w:cs="Arial"/>
          <w:noProof/>
          <w:sz w:val="24"/>
          <w:szCs w:val="24"/>
          <w:lang w:eastAsia="en-IN"/>
        </w:rPr>
        <w:t>Established in 1907, Tata Steel operates across India, the UK, and the Netherlands, supplying steel to industries such as automotive, construction, and engineering (Tata Steel, 2025). As the metals sector contributes significantly to global GHG emission</w:t>
      </w:r>
      <w:r>
        <w:rPr>
          <w:rFonts w:ascii="Arial" w:hAnsi="Arial" w:cs="Arial"/>
          <w:noProof/>
          <w:sz w:val="24"/>
          <w:szCs w:val="24"/>
          <w:lang w:eastAsia="en-IN"/>
        </w:rPr>
        <w:t>s (Kotler et al., 2024, pp. 115-</w:t>
      </w:r>
      <w:r w:rsidRPr="000533B3">
        <w:rPr>
          <w:rFonts w:ascii="Arial" w:hAnsi="Arial" w:cs="Arial"/>
          <w:noProof/>
          <w:sz w:val="24"/>
          <w:szCs w:val="24"/>
          <w:lang w:eastAsia="en-IN"/>
        </w:rPr>
        <w:t xml:space="preserve">117), Tata Steel has committed to net-zero carbon </w:t>
      </w:r>
      <w:r w:rsidR="0026722E">
        <w:rPr>
          <w:rFonts w:ascii="Arial" w:hAnsi="Arial" w:cs="Arial"/>
          <w:noProof/>
          <w:sz w:val="24"/>
          <w:szCs w:val="24"/>
          <w:lang w:eastAsia="en-IN"/>
        </w:rPr>
        <w:t>e</w:t>
      </w:r>
      <w:r w:rsidRPr="000533B3">
        <w:rPr>
          <w:rFonts w:ascii="Arial" w:hAnsi="Arial" w:cs="Arial"/>
          <w:noProof/>
          <w:sz w:val="24"/>
          <w:szCs w:val="24"/>
          <w:lang w:eastAsia="en-IN"/>
        </w:rPr>
        <w:t>missions and major green steel investments (Tata Steel UK, 2025). This report examines</w:t>
      </w:r>
      <w:r>
        <w:rPr>
          <w:rFonts w:ascii="Arial" w:hAnsi="Arial" w:cs="Arial"/>
          <w:noProof/>
          <w:sz w:val="24"/>
          <w:szCs w:val="24"/>
          <w:lang w:eastAsia="en-IN"/>
        </w:rPr>
        <w:t xml:space="preserve"> </w:t>
      </w:r>
      <w:r w:rsidRPr="003B4614">
        <w:rPr>
          <w:rStyle w:val="cursor-pointer"/>
          <w:rFonts w:ascii="Arial" w:hAnsi="Arial" w:cs="Arial"/>
          <w:sz w:val="24"/>
          <w:szCs w:val="24"/>
        </w:rPr>
        <w:t>two important Macro-environmental</w:t>
      </w:r>
      <w:r>
        <w:rPr>
          <w:rStyle w:val="cursor-pointer"/>
          <w:rFonts w:ascii="Arial" w:hAnsi="Arial" w:cs="Arial"/>
          <w:sz w:val="24"/>
          <w:szCs w:val="24"/>
        </w:rPr>
        <w:t xml:space="preserve"> influences,</w:t>
      </w:r>
      <w:r w:rsidRPr="000533B3">
        <w:rPr>
          <w:rFonts w:ascii="Arial" w:hAnsi="Arial" w:cs="Arial"/>
          <w:noProof/>
          <w:sz w:val="24"/>
          <w:szCs w:val="24"/>
          <w:lang w:eastAsia="en-IN"/>
        </w:rPr>
        <w:t xml:space="preserve"> the Natural and Political-Legal environments influencing its marketing activities.</w:t>
      </w:r>
      <w:r w:rsidR="00176E82" w:rsidRPr="003B4614">
        <w:rPr>
          <w:rFonts w:ascii="Arial" w:hAnsi="Arial" w:cs="Arial"/>
          <w:sz w:val="24"/>
          <w:szCs w:val="24"/>
        </w:rPr>
        <w:t xml:space="preserve"> </w:t>
      </w:r>
    </w:p>
    <w:p w14:paraId="23110676" w14:textId="459801FC" w:rsidR="00E50801" w:rsidRPr="003B4614" w:rsidRDefault="00E50801" w:rsidP="003B4614">
      <w:pPr>
        <w:spacing w:line="360" w:lineRule="auto"/>
        <w:jc w:val="both"/>
        <w:rPr>
          <w:rFonts w:ascii="Arial" w:eastAsia="Times New Roman" w:hAnsi="Arial" w:cs="Arial"/>
          <w:sz w:val="24"/>
          <w:szCs w:val="24"/>
          <w:lang w:eastAsia="en-IN"/>
        </w:rPr>
      </w:pPr>
      <w:r w:rsidRPr="00AC156D">
        <w:rPr>
          <w:rFonts w:ascii="Times New Roman" w:hAnsi="Times New Roman" w:cs="Times New Roman"/>
          <w:noProof/>
          <w:sz w:val="24"/>
          <w:szCs w:val="20"/>
          <w:lang w:eastAsia="en-IN"/>
        </w:rPr>
        <w:drawing>
          <wp:anchor distT="0" distB="0" distL="114300" distR="114300" simplePos="0" relativeHeight="251666432" behindDoc="0" locked="0" layoutInCell="1" allowOverlap="1" wp14:anchorId="091137D6" wp14:editId="6D90BC61">
            <wp:simplePos x="0" y="0"/>
            <wp:positionH relativeFrom="margin">
              <wp:posOffset>-434340</wp:posOffset>
            </wp:positionH>
            <wp:positionV relativeFrom="paragraph">
              <wp:posOffset>216535</wp:posOffset>
            </wp:positionV>
            <wp:extent cx="3006725" cy="2232660"/>
            <wp:effectExtent l="0" t="0" r="0" b="15240"/>
            <wp:wrapNone/>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Pr="00AC156D">
        <w:rPr>
          <w:rFonts w:ascii="Times New Roman" w:hAnsi="Times New Roman" w:cs="Times New Roman"/>
          <w:noProof/>
          <w:sz w:val="24"/>
          <w:szCs w:val="20"/>
          <w:lang w:eastAsia="en-IN"/>
        </w:rPr>
        <w:drawing>
          <wp:anchor distT="0" distB="0" distL="114300" distR="114300" simplePos="0" relativeHeight="251665408" behindDoc="0" locked="0" layoutInCell="1" allowOverlap="1" wp14:anchorId="33B64919" wp14:editId="2F8DF372">
            <wp:simplePos x="0" y="0"/>
            <wp:positionH relativeFrom="margin">
              <wp:posOffset>2414270</wp:posOffset>
            </wp:positionH>
            <wp:positionV relativeFrom="paragraph">
              <wp:posOffset>36830</wp:posOffset>
            </wp:positionV>
            <wp:extent cx="2263140" cy="2400300"/>
            <wp:effectExtent l="0" t="0" r="60960" b="0"/>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p>
    <w:p w14:paraId="6B757747" w14:textId="4192470B" w:rsidR="00DC35DA" w:rsidRDefault="00DC35DA" w:rsidP="003820FC">
      <w:pPr>
        <w:jc w:val="both"/>
        <w:rPr>
          <w:rFonts w:ascii="Times New Roman" w:eastAsia="Times New Roman" w:hAnsi="Times New Roman" w:cs="Times New Roman"/>
          <w:sz w:val="24"/>
          <w:szCs w:val="24"/>
          <w:lang w:eastAsia="en-IN"/>
        </w:rPr>
      </w:pPr>
    </w:p>
    <w:p w14:paraId="56612AC3" w14:textId="44EFB042" w:rsidR="00DC35DA" w:rsidRDefault="00C436EC" w:rsidP="003820FC">
      <w:pPr>
        <w:jc w:val="both"/>
        <w:rPr>
          <w:rFonts w:ascii="Times New Roman" w:hAnsi="Times New Roman" w:cs="Times New Roman"/>
          <w:sz w:val="24"/>
          <w:szCs w:val="20"/>
        </w:rPr>
      </w:pPr>
      <w:r w:rsidRPr="00AC156D">
        <w:rPr>
          <w:rFonts w:ascii="Times New Roman" w:hAnsi="Times New Roman" w:cs="Times New Roman"/>
          <w:noProof/>
          <w:sz w:val="24"/>
          <w:szCs w:val="20"/>
          <w:lang w:eastAsia="en-IN"/>
        </w:rPr>
        <mc:AlternateContent>
          <mc:Choice Requires="wps">
            <w:drawing>
              <wp:anchor distT="0" distB="0" distL="114300" distR="114300" simplePos="0" relativeHeight="251667456" behindDoc="0" locked="0" layoutInCell="1" allowOverlap="1" wp14:anchorId="7D3FEFCE" wp14:editId="54E98F02">
                <wp:simplePos x="0" y="0"/>
                <wp:positionH relativeFrom="column">
                  <wp:posOffset>4729562</wp:posOffset>
                </wp:positionH>
                <wp:positionV relativeFrom="paragraph">
                  <wp:posOffset>42771</wp:posOffset>
                </wp:positionV>
                <wp:extent cx="274320" cy="1089660"/>
                <wp:effectExtent l="0" t="38100" r="30480" b="53340"/>
                <wp:wrapNone/>
                <wp:docPr id="1" name="Right Arrow 1"/>
                <wp:cNvGraphicFramePr/>
                <a:graphic xmlns:a="http://schemas.openxmlformats.org/drawingml/2006/main">
                  <a:graphicData uri="http://schemas.microsoft.com/office/word/2010/wordprocessingShape">
                    <wps:wsp>
                      <wps:cNvSpPr/>
                      <wps:spPr>
                        <a:xfrm>
                          <a:off x="0" y="0"/>
                          <a:ext cx="274320" cy="1089660"/>
                        </a:xfrm>
                        <a:prstGeom prst="rightArrow">
                          <a:avLst/>
                        </a:prstGeom>
                        <a:solidFill>
                          <a:schemeClr val="tx1">
                            <a:lumMod val="65000"/>
                            <a:lumOff val="3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DCE8CF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 o:spid="_x0000_s1026" type="#_x0000_t13" style="position:absolute;margin-left:372.4pt;margin-top:3.35pt;width:21.6pt;height:85.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" adj="10800" fillcolor="#5a5a5a [2109]" strokecolor="black [3213]" strokeweight="1pt"/>
            </w:pict>
          </mc:Fallback>
        </mc:AlternateContent>
      </w:r>
    </w:p>
    <w:p w14:paraId="68B25AE5" w14:textId="5DB9D46A" w:rsidR="00DC35DA" w:rsidRDefault="00C436EC" w:rsidP="003820FC">
      <w:pPr>
        <w:jc w:val="both"/>
        <w:rPr>
          <w:rFonts w:ascii="Times New Roman" w:hAnsi="Times New Roman" w:cs="Times New Roman"/>
          <w:sz w:val="24"/>
          <w:szCs w:val="20"/>
        </w:rPr>
      </w:pPr>
      <w:r w:rsidRPr="00AC156D">
        <w:rPr>
          <w:rFonts w:ascii="Times New Roman" w:hAnsi="Times New Roman" w:cs="Times New Roman"/>
          <w:noProof/>
          <w:sz w:val="24"/>
          <w:szCs w:val="20"/>
          <w:lang w:eastAsia="en-IN"/>
        </w:rPr>
        <w:drawing>
          <wp:anchor distT="0" distB="0" distL="114300" distR="114300" simplePos="0" relativeHeight="251668480" behindDoc="0" locked="0" layoutInCell="1" allowOverlap="1" wp14:anchorId="57CC863E" wp14:editId="042F5114">
            <wp:simplePos x="0" y="0"/>
            <wp:positionH relativeFrom="column">
              <wp:posOffset>5142783</wp:posOffset>
            </wp:positionH>
            <wp:positionV relativeFrom="paragraph">
              <wp:posOffset>115590</wp:posOffset>
            </wp:positionV>
            <wp:extent cx="952500" cy="403860"/>
            <wp:effectExtent l="19050" t="38100" r="19050" b="53340"/>
            <wp:wrapNone/>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H relativeFrom="margin">
              <wp14:pctWidth>0</wp14:pctWidth>
            </wp14:sizeRelH>
            <wp14:sizeRelV relativeFrom="margin">
              <wp14:pctHeight>0</wp14:pctHeight>
            </wp14:sizeRelV>
          </wp:anchor>
        </w:drawing>
      </w:r>
    </w:p>
    <w:p w14:paraId="1D55FE27" w14:textId="4DEED04C" w:rsidR="00DC35DA" w:rsidRDefault="00DC35DA" w:rsidP="003820FC">
      <w:pPr>
        <w:jc w:val="both"/>
        <w:rPr>
          <w:rFonts w:ascii="Times New Roman" w:hAnsi="Times New Roman" w:cs="Times New Roman"/>
          <w:sz w:val="24"/>
          <w:szCs w:val="20"/>
        </w:rPr>
      </w:pPr>
    </w:p>
    <w:p w14:paraId="0703D46B" w14:textId="4AABAA60" w:rsidR="00DC35DA" w:rsidRPr="00C663D4" w:rsidRDefault="00DC35DA" w:rsidP="003820FC">
      <w:pPr>
        <w:jc w:val="both"/>
        <w:rPr>
          <w:rFonts w:ascii="Times New Roman" w:hAnsi="Times New Roman" w:cs="Times New Roman"/>
          <w:sz w:val="24"/>
          <w:szCs w:val="20"/>
        </w:rPr>
      </w:pPr>
    </w:p>
    <w:p w14:paraId="03C7E24D" w14:textId="5F5F1C93" w:rsidR="00DC35DA" w:rsidRDefault="00DC35DA" w:rsidP="003820FC">
      <w:pPr>
        <w:tabs>
          <w:tab w:val="left" w:pos="3033"/>
        </w:tabs>
        <w:jc w:val="both"/>
        <w:rPr>
          <w:rFonts w:ascii="Times New Roman" w:hAnsi="Times New Roman" w:cs="Times New Roman"/>
          <w:sz w:val="24"/>
          <w:szCs w:val="20"/>
        </w:rPr>
      </w:pPr>
    </w:p>
    <w:p w14:paraId="67126176" w14:textId="77777777" w:rsidR="00C436EC" w:rsidRDefault="00C436EC" w:rsidP="00C436EC">
      <w:pPr>
        <w:spacing w:after="100"/>
        <w:jc w:val="center"/>
        <w:rPr>
          <w:rFonts w:ascii="Arial" w:eastAsia="Arial" w:hAnsi="Arial" w:cs="Arial"/>
          <w:b/>
          <w:bCs/>
          <w:i/>
          <w:iCs/>
          <w:color w:val="808080" w:themeColor="background1" w:themeShade="80"/>
          <w:sz w:val="20"/>
          <w:szCs w:val="24"/>
        </w:rPr>
      </w:pPr>
    </w:p>
    <w:p w14:paraId="1EF4961A" w14:textId="77777777" w:rsidR="0026722E" w:rsidRDefault="0026722E" w:rsidP="00C436EC">
      <w:pPr>
        <w:spacing w:after="100"/>
        <w:jc w:val="center"/>
        <w:rPr>
          <w:rFonts w:ascii="Arial" w:eastAsia="Arial" w:hAnsi="Arial" w:cs="Arial"/>
          <w:b/>
          <w:bCs/>
          <w:i/>
          <w:iCs/>
          <w:color w:val="808080" w:themeColor="background1" w:themeShade="80"/>
          <w:sz w:val="20"/>
          <w:szCs w:val="24"/>
        </w:rPr>
      </w:pPr>
    </w:p>
    <w:p w14:paraId="312A43BF" w14:textId="5A830548" w:rsidR="0064501D" w:rsidRPr="00C436EC" w:rsidRDefault="00397EBF" w:rsidP="00C436EC">
      <w:pPr>
        <w:spacing w:after="100"/>
        <w:jc w:val="center"/>
        <w:rPr>
          <w:color w:val="808080" w:themeColor="background1" w:themeShade="80"/>
          <w:sz w:val="20"/>
          <w:szCs w:val="24"/>
        </w:rPr>
      </w:pPr>
      <w:r>
        <w:rPr>
          <w:rFonts w:ascii="Arial" w:eastAsia="Arial" w:hAnsi="Arial" w:cs="Arial"/>
          <w:b/>
          <w:bCs/>
          <w:i/>
          <w:iCs/>
          <w:color w:val="808080" w:themeColor="background1" w:themeShade="80"/>
          <w:sz w:val="20"/>
          <w:szCs w:val="24"/>
        </w:rPr>
        <w:t>Figure 1</w:t>
      </w:r>
      <w:r w:rsidR="0064501D" w:rsidRPr="00C436EC">
        <w:rPr>
          <w:rFonts w:ascii="Arial" w:eastAsia="Arial" w:hAnsi="Arial" w:cs="Arial"/>
          <w:b/>
          <w:bCs/>
          <w:i/>
          <w:iCs/>
          <w:color w:val="808080" w:themeColor="background1" w:themeShade="80"/>
          <w:sz w:val="20"/>
          <w:szCs w:val="24"/>
        </w:rPr>
        <w:t>: External Environmental Pressures Influencing Tata Steel’s Low-Carbon Transition</w:t>
      </w:r>
    </w:p>
    <w:p w14:paraId="0765101F" w14:textId="5352C277" w:rsidR="008C232E" w:rsidRPr="00C436EC" w:rsidRDefault="0064501D" w:rsidP="00C436EC">
      <w:pPr>
        <w:spacing w:after="100"/>
        <w:jc w:val="center"/>
        <w:rPr>
          <w:rFonts w:ascii="Arial" w:eastAsia="Arial" w:hAnsi="Arial" w:cs="Arial"/>
          <w:i/>
          <w:iCs/>
          <w:color w:val="808080" w:themeColor="background1" w:themeShade="80"/>
          <w:sz w:val="20"/>
          <w:szCs w:val="24"/>
        </w:rPr>
      </w:pPr>
      <w:r w:rsidRPr="00C436EC">
        <w:rPr>
          <w:rFonts w:ascii="Arial" w:eastAsia="Arial" w:hAnsi="Arial" w:cs="Arial"/>
          <w:i/>
          <w:iCs/>
          <w:color w:val="808080" w:themeColor="background1" w:themeShade="80"/>
          <w:sz w:val="20"/>
          <w:szCs w:val="24"/>
        </w:rPr>
        <w:t xml:space="preserve">Source: Patel, Z. (2026) Original diagram created by the author to illustrate the macro-environmental </w:t>
      </w:r>
      <w:r w:rsidR="00C436EC" w:rsidRPr="00C436EC">
        <w:rPr>
          <w:rFonts w:ascii="Arial" w:eastAsia="Arial" w:hAnsi="Arial" w:cs="Arial"/>
          <w:i/>
          <w:iCs/>
          <w:color w:val="808080" w:themeColor="background1" w:themeShade="80"/>
          <w:sz w:val="20"/>
          <w:szCs w:val="24"/>
        </w:rPr>
        <w:t>factors</w:t>
      </w:r>
      <w:r w:rsidRPr="00C436EC">
        <w:rPr>
          <w:rFonts w:ascii="Arial" w:eastAsia="Arial" w:hAnsi="Arial" w:cs="Arial"/>
          <w:i/>
          <w:iCs/>
          <w:color w:val="808080" w:themeColor="background1" w:themeShade="80"/>
          <w:sz w:val="20"/>
          <w:szCs w:val="24"/>
        </w:rPr>
        <w:t xml:space="preserve"> influencing Tata Steel’s </w:t>
      </w:r>
      <w:r w:rsidR="000944B0">
        <w:rPr>
          <w:rFonts w:ascii="Arial" w:eastAsia="Arial" w:hAnsi="Arial" w:cs="Arial"/>
          <w:i/>
          <w:iCs/>
          <w:color w:val="808080" w:themeColor="background1" w:themeShade="80"/>
          <w:sz w:val="20"/>
          <w:szCs w:val="24"/>
        </w:rPr>
        <w:t>low-carbon transition strategy.</w:t>
      </w:r>
    </w:p>
    <w:p w14:paraId="029811EE" w14:textId="77777777" w:rsidR="0026722E" w:rsidRDefault="0026722E" w:rsidP="008C232E">
      <w:pPr>
        <w:spacing w:after="100"/>
        <w:jc w:val="both"/>
        <w:rPr>
          <w:rFonts w:ascii="Arial" w:eastAsia="Arial" w:hAnsi="Arial" w:cs="Arial"/>
          <w:i/>
          <w:iCs/>
          <w:color w:val="444444"/>
          <w:sz w:val="20"/>
          <w:szCs w:val="20"/>
        </w:rPr>
      </w:pPr>
    </w:p>
    <w:p w14:paraId="21E26BD3" w14:textId="2A1EEE01" w:rsidR="008C232E" w:rsidRPr="008C232E" w:rsidRDefault="001F7524" w:rsidP="008C232E">
      <w:pPr>
        <w:pStyle w:val="ListParagraph"/>
        <w:numPr>
          <w:ilvl w:val="1"/>
          <w:numId w:val="1"/>
        </w:numPr>
        <w:spacing w:after="100"/>
        <w:jc w:val="both"/>
        <w:rPr>
          <w:rFonts w:ascii="Arial" w:eastAsia="Arial" w:hAnsi="Arial" w:cs="Arial"/>
          <w:b/>
          <w:bCs/>
          <w:color w:val="2E5496"/>
          <w:sz w:val="24"/>
          <w:szCs w:val="24"/>
        </w:rPr>
      </w:pPr>
      <w:r w:rsidRPr="008C232E">
        <w:rPr>
          <w:rFonts w:ascii="Arial" w:eastAsia="Arial" w:hAnsi="Arial" w:cs="Arial"/>
          <w:b/>
          <w:bCs/>
          <w:color w:val="2E5496"/>
          <w:sz w:val="24"/>
          <w:szCs w:val="24"/>
        </w:rPr>
        <w:t>The Natural Environment</w:t>
      </w:r>
    </w:p>
    <w:p w14:paraId="51189BDB" w14:textId="77777777" w:rsidR="008C232E" w:rsidRPr="008C232E" w:rsidRDefault="007B2545" w:rsidP="000944B0">
      <w:pPr>
        <w:spacing w:before="240" w:after="0" w:line="360" w:lineRule="auto"/>
        <w:jc w:val="both"/>
        <w:rPr>
          <w:rFonts w:ascii="Arial" w:hAnsi="Arial" w:cs="Arial"/>
          <w:sz w:val="24"/>
          <w:szCs w:val="24"/>
        </w:rPr>
      </w:pPr>
      <w:r w:rsidRPr="008C232E">
        <w:rPr>
          <w:rFonts w:ascii="Arial" w:hAnsi="Arial" w:cs="Arial"/>
          <w:sz w:val="24"/>
          <w:szCs w:val="24"/>
        </w:rPr>
        <w:t>The natural environment involves ecological and physical factors, such as climate conditions, nat</w:t>
      </w:r>
      <w:r w:rsidR="00426159" w:rsidRPr="008C232E">
        <w:rPr>
          <w:rFonts w:ascii="Arial" w:hAnsi="Arial" w:cs="Arial"/>
          <w:sz w:val="24"/>
          <w:szCs w:val="24"/>
        </w:rPr>
        <w:t xml:space="preserve">ural resources, and pollution </w:t>
      </w:r>
      <w:r w:rsidRPr="008C232E">
        <w:rPr>
          <w:rFonts w:ascii="Arial" w:hAnsi="Arial" w:cs="Arial"/>
          <w:sz w:val="24"/>
          <w:szCs w:val="24"/>
        </w:rPr>
        <w:t>(Kotler et al., 2024)</w:t>
      </w:r>
      <w:r w:rsidR="00426159" w:rsidRPr="008C232E">
        <w:rPr>
          <w:rFonts w:ascii="Arial" w:hAnsi="Arial" w:cs="Arial"/>
          <w:sz w:val="24"/>
          <w:szCs w:val="24"/>
        </w:rPr>
        <w:t>.</w:t>
      </w:r>
      <w:r w:rsidRPr="008C232E">
        <w:rPr>
          <w:rFonts w:ascii="Arial" w:hAnsi="Arial" w:cs="Arial"/>
          <w:sz w:val="24"/>
          <w:szCs w:val="24"/>
        </w:rPr>
        <w:t xml:space="preserve"> </w:t>
      </w:r>
      <w:r w:rsidR="00277905" w:rsidRPr="008C232E">
        <w:rPr>
          <w:rFonts w:ascii="Arial" w:hAnsi="Arial" w:cs="Arial"/>
          <w:sz w:val="24"/>
          <w:szCs w:val="24"/>
        </w:rPr>
        <w:t>Tata Steel, a major player in the steel manufacturing sector, significantly depends on natural factors affecting its production costs, customer demands, regulatory compliance, and long-term sustainability.</w:t>
      </w:r>
    </w:p>
    <w:p w14:paraId="0FCF0AAD" w14:textId="156B1054" w:rsidR="008C232E" w:rsidRDefault="00277905" w:rsidP="000944B0">
      <w:pPr>
        <w:spacing w:before="240" w:after="0" w:line="360" w:lineRule="auto"/>
        <w:jc w:val="both"/>
        <w:rPr>
          <w:rFonts w:ascii="Arial" w:hAnsi="Arial" w:cs="Arial"/>
          <w:sz w:val="24"/>
          <w:szCs w:val="24"/>
        </w:rPr>
      </w:pPr>
      <w:r w:rsidRPr="008C232E">
        <w:rPr>
          <w:rFonts w:ascii="Arial" w:hAnsi="Arial" w:cs="Arial"/>
          <w:sz w:val="24"/>
          <w:szCs w:val="24"/>
        </w:rPr>
        <w:t>Steel production significantly contributes to global carbon emissions, representing 7-9% of anthropogenic CO</w:t>
      </w:r>
      <w:r w:rsidRPr="008C232E">
        <w:rPr>
          <w:rFonts w:ascii="Cambria Math" w:hAnsi="Cambria Math" w:cs="Cambria Math"/>
          <w:sz w:val="24"/>
          <w:szCs w:val="24"/>
        </w:rPr>
        <w:t>₂</w:t>
      </w:r>
      <w:r w:rsidRPr="008C232E">
        <w:rPr>
          <w:rFonts w:ascii="Arial" w:hAnsi="Arial" w:cs="Arial"/>
          <w:sz w:val="24"/>
          <w:szCs w:val="24"/>
        </w:rPr>
        <w:t xml:space="preserve"> emissions. In response to increasing pressure from investors and regulators, Tata Steel is focusing on its environmental impact. The company is partnering with t</w:t>
      </w:r>
      <w:r w:rsidR="00FB5182">
        <w:rPr>
          <w:rFonts w:ascii="Arial" w:hAnsi="Arial" w:cs="Arial"/>
          <w:sz w:val="24"/>
          <w:szCs w:val="24"/>
        </w:rPr>
        <w:t xml:space="preserve">he UK government to develop an </w:t>
      </w:r>
      <w:r w:rsidR="00FB5182" w:rsidRPr="00FB5182">
        <w:rPr>
          <w:rFonts w:ascii="Arial" w:hAnsi="Arial" w:cs="Arial"/>
          <w:b/>
          <w:sz w:val="24"/>
          <w:szCs w:val="24"/>
        </w:rPr>
        <w:t>Electric Arc F</w:t>
      </w:r>
      <w:r w:rsidRPr="00FB5182">
        <w:rPr>
          <w:rFonts w:ascii="Arial" w:hAnsi="Arial" w:cs="Arial"/>
          <w:b/>
          <w:sz w:val="24"/>
          <w:szCs w:val="24"/>
        </w:rPr>
        <w:t>urnace</w:t>
      </w:r>
      <w:r w:rsidRPr="008C232E">
        <w:rPr>
          <w:rFonts w:ascii="Arial" w:hAnsi="Arial" w:cs="Arial"/>
          <w:sz w:val="24"/>
          <w:szCs w:val="24"/>
        </w:rPr>
        <w:t xml:space="preserve"> </w:t>
      </w:r>
      <w:r w:rsidRPr="00FB5182">
        <w:rPr>
          <w:rFonts w:ascii="Arial" w:hAnsi="Arial" w:cs="Arial"/>
          <w:b/>
          <w:sz w:val="24"/>
          <w:szCs w:val="24"/>
        </w:rPr>
        <w:lastRenderedPageBreak/>
        <w:t>(EAF)</w:t>
      </w:r>
      <w:r w:rsidRPr="008C232E">
        <w:rPr>
          <w:rFonts w:ascii="Arial" w:hAnsi="Arial" w:cs="Arial"/>
          <w:sz w:val="24"/>
          <w:szCs w:val="24"/>
        </w:rPr>
        <w:t xml:space="preserve"> facility, with an investment of £1.25 billion. Construction will commence in July 2025, aiming for completion in 2027, and is expected to achieve a remarkable 90% reduction in emissions, contributing to a 1.5%</w:t>
      </w:r>
      <w:r w:rsidR="000944B0">
        <w:rPr>
          <w:rFonts w:ascii="Arial" w:hAnsi="Arial" w:cs="Arial"/>
          <w:sz w:val="24"/>
          <w:szCs w:val="24"/>
        </w:rPr>
        <w:t xml:space="preserve"> decrease in total UK emissions </w:t>
      </w:r>
      <w:r w:rsidR="000944B0" w:rsidRPr="000944B0">
        <w:rPr>
          <w:rFonts w:ascii="Arial" w:hAnsi="Arial" w:cs="Arial"/>
          <w:sz w:val="24"/>
          <w:szCs w:val="24"/>
        </w:rPr>
        <w:t>(Tata Steel UK, 2025; Lux Metal Group, 2025)</w:t>
      </w:r>
      <w:r w:rsidR="000944B0">
        <w:rPr>
          <w:rFonts w:ascii="Arial" w:hAnsi="Arial" w:cs="Arial"/>
          <w:sz w:val="24"/>
          <w:szCs w:val="24"/>
        </w:rPr>
        <w:t>.</w:t>
      </w:r>
    </w:p>
    <w:p w14:paraId="11FF754E" w14:textId="2BC68B88" w:rsidR="00C436EC" w:rsidRDefault="002C35A6" w:rsidP="00C436EC">
      <w:pPr>
        <w:spacing w:after="0" w:line="360" w:lineRule="auto"/>
        <w:jc w:val="center"/>
        <w:rPr>
          <w:rFonts w:ascii="Arial" w:hAnsi="Arial" w:cs="Arial"/>
          <w:b/>
          <w:color w:val="808080" w:themeColor="background1" w:themeShade="80"/>
          <w:sz w:val="20"/>
        </w:rPr>
      </w:pPr>
      <w:r>
        <w:rPr>
          <w:rFonts w:ascii="Arial" w:hAnsi="Arial" w:cs="Arial"/>
          <w:noProof/>
          <w:sz w:val="24"/>
          <w:szCs w:val="24"/>
          <w:lang w:eastAsia="en-IN"/>
        </w:rPr>
        <w:drawing>
          <wp:anchor distT="0" distB="0" distL="114300" distR="114300" simplePos="0" relativeHeight="251674624" behindDoc="1" locked="0" layoutInCell="1" allowOverlap="1" wp14:anchorId="1B84E502" wp14:editId="7FAFA48E">
            <wp:simplePos x="0" y="0"/>
            <wp:positionH relativeFrom="margin">
              <wp:align>center</wp:align>
            </wp:positionH>
            <wp:positionV relativeFrom="paragraph">
              <wp:posOffset>105569</wp:posOffset>
            </wp:positionV>
            <wp:extent cx="5957570" cy="2066290"/>
            <wp:effectExtent l="0" t="0" r="5080" b="0"/>
            <wp:wrapTight wrapText="bothSides">
              <wp:wrapPolygon edited="0">
                <wp:start x="553" y="0"/>
                <wp:lineTo x="553" y="1195"/>
                <wp:lineTo x="1312" y="3585"/>
                <wp:lineTo x="1589" y="3585"/>
                <wp:lineTo x="414" y="5178"/>
                <wp:lineTo x="0" y="5974"/>
                <wp:lineTo x="0" y="13940"/>
                <wp:lineTo x="622" y="16329"/>
                <wp:lineTo x="829" y="18918"/>
                <wp:lineTo x="967" y="19516"/>
                <wp:lineTo x="1658" y="19516"/>
                <wp:lineTo x="1450" y="20312"/>
                <wp:lineTo x="1381" y="21308"/>
                <wp:lineTo x="21549" y="21308"/>
                <wp:lineTo x="21480" y="597"/>
                <wp:lineTo x="20651" y="398"/>
                <wp:lineTo x="1658" y="0"/>
                <wp:lineTo x="553"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png"/>
                    <pic:cNvPicPr/>
                  </pic:nvPicPr>
                  <pic:blipFill>
                    <a:blip r:embed="rId25">
                      <a:extLst>
                        <a:ext uri="{28A0092B-C50C-407E-A947-70E740481C1C}">
                          <a14:useLocalDpi xmlns:a14="http://schemas.microsoft.com/office/drawing/2010/main" val="0"/>
                        </a:ext>
                      </a:extLst>
                    </a:blip>
                    <a:stretch>
                      <a:fillRect/>
                    </a:stretch>
                  </pic:blipFill>
                  <pic:spPr>
                    <a:xfrm>
                      <a:off x="0" y="0"/>
                      <a:ext cx="5957570" cy="2066290"/>
                    </a:xfrm>
                    <a:prstGeom prst="rect">
                      <a:avLst/>
                    </a:prstGeom>
                  </pic:spPr>
                </pic:pic>
              </a:graphicData>
            </a:graphic>
            <wp14:sizeRelH relativeFrom="page">
              <wp14:pctWidth>0</wp14:pctWidth>
            </wp14:sizeRelH>
            <wp14:sizeRelV relativeFrom="page">
              <wp14:pctHeight>0</wp14:pctHeight>
            </wp14:sizeRelV>
          </wp:anchor>
        </w:drawing>
      </w:r>
    </w:p>
    <w:p w14:paraId="319A2930" w14:textId="343336B5" w:rsidR="00C436EC" w:rsidRPr="0026722E" w:rsidRDefault="00C436EC" w:rsidP="0026722E">
      <w:pPr>
        <w:spacing w:after="0" w:line="360" w:lineRule="auto"/>
        <w:jc w:val="center"/>
        <w:rPr>
          <w:rFonts w:ascii="Arial" w:hAnsi="Arial" w:cs="Arial"/>
          <w:i/>
          <w:color w:val="808080" w:themeColor="background1" w:themeShade="80"/>
          <w:szCs w:val="24"/>
        </w:rPr>
      </w:pPr>
      <w:r w:rsidRPr="009B3D93">
        <w:rPr>
          <w:rFonts w:ascii="Arial" w:hAnsi="Arial" w:cs="Arial"/>
          <w:b/>
          <w:i/>
          <w:color w:val="808080" w:themeColor="background1" w:themeShade="80"/>
          <w:sz w:val="20"/>
        </w:rPr>
        <w:t>Figu</w:t>
      </w:r>
      <w:r w:rsidR="00397EBF">
        <w:rPr>
          <w:rFonts w:ascii="Arial" w:hAnsi="Arial" w:cs="Arial"/>
          <w:b/>
          <w:i/>
          <w:color w:val="808080" w:themeColor="background1" w:themeShade="80"/>
          <w:sz w:val="20"/>
        </w:rPr>
        <w:t>re 2</w:t>
      </w:r>
      <w:r w:rsidRPr="009B3D93">
        <w:rPr>
          <w:rFonts w:ascii="Arial" w:hAnsi="Arial" w:cs="Arial"/>
          <w:b/>
          <w:i/>
          <w:color w:val="808080" w:themeColor="background1" w:themeShade="80"/>
          <w:sz w:val="20"/>
        </w:rPr>
        <w:t>: Projected CO</w:t>
      </w:r>
      <w:r w:rsidRPr="009B3D93">
        <w:rPr>
          <w:rFonts w:ascii="Cambria Math" w:hAnsi="Cambria Math" w:cs="Cambria Math"/>
          <w:b/>
          <w:i/>
          <w:color w:val="808080" w:themeColor="background1" w:themeShade="80"/>
          <w:sz w:val="20"/>
        </w:rPr>
        <w:t>₂</w:t>
      </w:r>
      <w:r w:rsidRPr="009B3D93">
        <w:rPr>
          <w:rFonts w:ascii="Arial" w:hAnsi="Arial" w:cs="Arial"/>
          <w:b/>
          <w:i/>
          <w:color w:val="808080" w:themeColor="background1" w:themeShade="80"/>
          <w:sz w:val="20"/>
        </w:rPr>
        <w:t xml:space="preserve"> emissions and avoided emissions at Tata Steel Port Talbot following EAF transition</w:t>
      </w:r>
      <w:r w:rsidR="00E50801">
        <w:rPr>
          <w:rFonts w:ascii="Arial" w:hAnsi="Arial" w:cs="Arial"/>
          <w:b/>
          <w:i/>
          <w:color w:val="808080" w:themeColor="background1" w:themeShade="80"/>
          <w:sz w:val="20"/>
        </w:rPr>
        <w:t>, 2023-2030 (million tonnes/</w:t>
      </w:r>
      <w:r w:rsidRPr="009B3D93">
        <w:rPr>
          <w:rFonts w:ascii="Arial" w:hAnsi="Arial" w:cs="Arial"/>
          <w:b/>
          <w:i/>
          <w:color w:val="808080" w:themeColor="background1" w:themeShade="80"/>
          <w:sz w:val="20"/>
        </w:rPr>
        <w:t xml:space="preserve">year). </w:t>
      </w:r>
      <w:r w:rsidRPr="009B3D93">
        <w:rPr>
          <w:rFonts w:ascii="Arial" w:hAnsi="Arial" w:cs="Arial"/>
          <w:i/>
          <w:color w:val="808080" w:themeColor="background1" w:themeShade="80"/>
          <w:sz w:val="20"/>
        </w:rPr>
        <w:t>Source: Author's own chart compiled from Tata Steel UK (2025) Green steel future; Eastern Eye (2026) Tata Steel says UK low-carbon steel project may face six to eight-month delay; Business Standard (2026) UK low-emission project facing delay over power access issues: Tata Steel; World Construction Network (2025) Tata Steel UK initiates new green EAF facility construction in Port Talbot.</w:t>
      </w:r>
    </w:p>
    <w:p w14:paraId="251DDDAD" w14:textId="0D7D2202" w:rsidR="008C232E" w:rsidRPr="008C232E" w:rsidRDefault="00277905" w:rsidP="000944B0">
      <w:pPr>
        <w:spacing w:before="240" w:after="0" w:line="360" w:lineRule="auto"/>
        <w:jc w:val="both"/>
        <w:rPr>
          <w:rFonts w:ascii="Arial" w:hAnsi="Arial" w:cs="Arial"/>
          <w:sz w:val="24"/>
          <w:szCs w:val="24"/>
        </w:rPr>
      </w:pPr>
      <w:r w:rsidRPr="008C232E">
        <w:rPr>
          <w:rFonts w:ascii="Arial" w:hAnsi="Arial" w:cs="Arial"/>
          <w:sz w:val="24"/>
          <w:szCs w:val="24"/>
        </w:rPr>
        <w:t xml:space="preserve">Tata Steel's IJmuiden plant in the Netherlands is also committed to sustainable practices through its </w:t>
      </w:r>
      <w:proofErr w:type="spellStart"/>
      <w:r w:rsidRPr="008C232E">
        <w:rPr>
          <w:rFonts w:ascii="Arial" w:hAnsi="Arial" w:cs="Arial"/>
          <w:sz w:val="24"/>
          <w:szCs w:val="24"/>
        </w:rPr>
        <w:t>Groen</w:t>
      </w:r>
      <w:proofErr w:type="spellEnd"/>
      <w:r w:rsidRPr="008C232E">
        <w:rPr>
          <w:rFonts w:ascii="Arial" w:hAnsi="Arial" w:cs="Arial"/>
          <w:sz w:val="24"/>
          <w:szCs w:val="24"/>
        </w:rPr>
        <w:t xml:space="preserve"> </w:t>
      </w:r>
      <w:proofErr w:type="spellStart"/>
      <w:r w:rsidRPr="008C232E">
        <w:rPr>
          <w:rFonts w:ascii="Arial" w:hAnsi="Arial" w:cs="Arial"/>
          <w:sz w:val="24"/>
          <w:szCs w:val="24"/>
        </w:rPr>
        <w:t>Staal</w:t>
      </w:r>
      <w:proofErr w:type="spellEnd"/>
      <w:r w:rsidRPr="008C232E">
        <w:rPr>
          <w:rFonts w:ascii="Arial" w:hAnsi="Arial" w:cs="Arial"/>
          <w:sz w:val="24"/>
          <w:szCs w:val="24"/>
        </w:rPr>
        <w:t xml:space="preserve"> initiative, which aims to cut CO</w:t>
      </w:r>
      <w:r w:rsidRPr="008C232E">
        <w:rPr>
          <w:rFonts w:ascii="Cambria Math" w:hAnsi="Cambria Math" w:cs="Cambria Math"/>
          <w:sz w:val="24"/>
          <w:szCs w:val="24"/>
        </w:rPr>
        <w:t>₂</w:t>
      </w:r>
      <w:r w:rsidRPr="008C232E">
        <w:rPr>
          <w:rFonts w:ascii="Arial" w:hAnsi="Arial" w:cs="Arial"/>
          <w:sz w:val="24"/>
          <w:szCs w:val="24"/>
        </w:rPr>
        <w:t xml:space="preserve"> emissions by 5 million tonnes annually by 2030. However, plans to increase production capacity by 54% utilizing carbon-intensive methods have raised concerns regarding the company</w:t>
      </w:r>
      <w:r w:rsidR="000944B0">
        <w:rPr>
          <w:rFonts w:ascii="Arial" w:hAnsi="Arial" w:cs="Arial"/>
          <w:sz w:val="24"/>
          <w:szCs w:val="24"/>
        </w:rPr>
        <w:t xml:space="preserve">'s dedication to sustainability </w:t>
      </w:r>
      <w:r w:rsidR="000944B0" w:rsidRPr="000944B0">
        <w:rPr>
          <w:rFonts w:ascii="Arial" w:hAnsi="Arial" w:cs="Arial"/>
          <w:sz w:val="24"/>
          <w:szCs w:val="24"/>
        </w:rPr>
        <w:t>(Tata Steel Nederland, 2025).</w:t>
      </w:r>
    </w:p>
    <w:p w14:paraId="69905C07" w14:textId="42815412" w:rsidR="008C232E" w:rsidRPr="008C232E" w:rsidRDefault="00277905" w:rsidP="000944B0">
      <w:pPr>
        <w:spacing w:before="240" w:after="0" w:line="360" w:lineRule="auto"/>
        <w:jc w:val="both"/>
        <w:rPr>
          <w:rFonts w:ascii="Arial" w:hAnsi="Arial" w:cs="Arial"/>
          <w:sz w:val="24"/>
          <w:szCs w:val="24"/>
        </w:rPr>
      </w:pPr>
      <w:r w:rsidRPr="008C232E">
        <w:rPr>
          <w:rFonts w:ascii="Arial" w:hAnsi="Arial" w:cs="Arial"/>
          <w:sz w:val="24"/>
          <w:szCs w:val="24"/>
        </w:rPr>
        <w:t xml:space="preserve">As demand for sustainable products grows, Tata Steel is exploring new opportunities that align with eco-friendly goals, recognizing the willingness of businesses pursuing net-zero emissions to invest more in green partnerships. Additionally, the European Union's forthcoming </w:t>
      </w:r>
      <w:r w:rsidRPr="00FB5182">
        <w:rPr>
          <w:rFonts w:ascii="Arial" w:hAnsi="Arial" w:cs="Arial"/>
          <w:b/>
          <w:sz w:val="24"/>
          <w:szCs w:val="24"/>
        </w:rPr>
        <w:t>Carbon Border Adjustment Mechanism (CBAM)</w:t>
      </w:r>
      <w:r w:rsidRPr="008C232E">
        <w:rPr>
          <w:rFonts w:ascii="Arial" w:hAnsi="Arial" w:cs="Arial"/>
          <w:sz w:val="24"/>
          <w:szCs w:val="24"/>
        </w:rPr>
        <w:t>, which will take effect in January 2026, is expected to impose carbon pricing on steel imports from countries with less stringent environmental regulations. This could significantly impact Tata Steel’s competi</w:t>
      </w:r>
      <w:r w:rsidR="000944B0">
        <w:rPr>
          <w:rFonts w:ascii="Arial" w:hAnsi="Arial" w:cs="Arial"/>
          <w:sz w:val="24"/>
          <w:szCs w:val="24"/>
        </w:rPr>
        <w:t xml:space="preserve">tiveness in the European market </w:t>
      </w:r>
      <w:r w:rsidR="000944B0" w:rsidRPr="000944B0">
        <w:rPr>
          <w:rFonts w:ascii="Arial" w:hAnsi="Arial" w:cs="Arial"/>
          <w:sz w:val="24"/>
          <w:szCs w:val="24"/>
        </w:rPr>
        <w:t>(European Commission, 2025).</w:t>
      </w:r>
    </w:p>
    <w:p w14:paraId="531506A0" w14:textId="4CE9973B" w:rsidR="008C232E" w:rsidRPr="008C232E" w:rsidRDefault="007B2545" w:rsidP="00504F3E">
      <w:pPr>
        <w:spacing w:line="360" w:lineRule="auto"/>
        <w:jc w:val="both"/>
        <w:rPr>
          <w:rFonts w:ascii="Arial" w:hAnsi="Arial" w:cs="Arial"/>
          <w:sz w:val="24"/>
          <w:szCs w:val="24"/>
        </w:rPr>
      </w:pPr>
      <w:r w:rsidRPr="008C232E">
        <w:rPr>
          <w:rFonts w:ascii="Arial" w:hAnsi="Arial" w:cs="Arial"/>
          <w:sz w:val="24"/>
          <w:szCs w:val="24"/>
        </w:rPr>
        <w:lastRenderedPageBreak/>
        <w:t xml:space="preserve">The Carbon Border Adjustment Mechanism (CBAM) has both positive and negative impacts for Tata Steel. Indian plants have higher export cost because of high carbon production as compared to European Electric Arc Furnace (EAF) plants which have lower carbon emissions and would not be subject to CBAM fee, which could provide them a price advantage over their competitors' imports. The case of the Port Talbot EAF project offers a good example of a government policy that is designed to keep the country's steel manufacturing industry and ensure it meets its net zero emissions target by 2050. </w:t>
      </w:r>
      <w:r w:rsidR="000944B0" w:rsidRPr="000944B0">
        <w:rPr>
          <w:rFonts w:ascii="Arial" w:hAnsi="Arial" w:cs="Arial"/>
          <w:sz w:val="24"/>
          <w:szCs w:val="24"/>
        </w:rPr>
        <w:t>(Lux Metal Group, 2025; Tata Steel UK, 2025).</w:t>
      </w:r>
    </w:p>
    <w:p w14:paraId="482B4746" w14:textId="39F2A7FB" w:rsidR="00745415" w:rsidRPr="008C232E" w:rsidRDefault="00277905" w:rsidP="00504F3E">
      <w:pPr>
        <w:spacing w:line="360" w:lineRule="auto"/>
        <w:jc w:val="both"/>
        <w:rPr>
          <w:rFonts w:ascii="Arial" w:hAnsi="Arial" w:cs="Arial"/>
        </w:rPr>
      </w:pPr>
      <w:r w:rsidRPr="008C232E">
        <w:rPr>
          <w:rFonts w:ascii="Arial" w:hAnsi="Arial" w:cs="Arial"/>
          <w:sz w:val="24"/>
          <w:szCs w:val="24"/>
        </w:rPr>
        <w:t>Some preliminary measures are underway in India, such as the Carbon Credit Trading Scheme and the official definition of "green steel" (Tata Steel, 2025), designed to incentivize businesses to adopt green production methods. Tata Steel has been actively collaborating with the Indian Ministry of Steel in this regard.</w:t>
      </w:r>
    </w:p>
    <w:p w14:paraId="4E1E3C55" w14:textId="40CA573F" w:rsidR="001F7524" w:rsidRPr="003B4614" w:rsidRDefault="001F7524" w:rsidP="00935B11">
      <w:pPr>
        <w:pStyle w:val="Heading2"/>
        <w:spacing w:before="0" w:after="160" w:line="360" w:lineRule="auto"/>
        <w:jc w:val="both"/>
        <w:rPr>
          <w:rFonts w:ascii="Arial" w:hAnsi="Arial" w:cs="Arial"/>
          <w:sz w:val="24"/>
          <w:szCs w:val="24"/>
        </w:rPr>
      </w:pPr>
      <w:r w:rsidRPr="003B4614">
        <w:rPr>
          <w:rFonts w:ascii="Arial" w:eastAsia="Arial" w:hAnsi="Arial" w:cs="Arial"/>
          <w:b/>
          <w:bCs/>
          <w:color w:val="2E5496"/>
          <w:sz w:val="24"/>
          <w:szCs w:val="24"/>
        </w:rPr>
        <w:t>1.3 The Political and Legal Environment</w:t>
      </w:r>
    </w:p>
    <w:p w14:paraId="62383C62" w14:textId="0BA1476C" w:rsidR="00637E9A" w:rsidRPr="003B4614" w:rsidRDefault="008C232E" w:rsidP="0080408F">
      <w:pPr>
        <w:spacing w:after="0" w:line="360" w:lineRule="auto"/>
        <w:jc w:val="both"/>
        <w:rPr>
          <w:rFonts w:ascii="Arial" w:hAnsi="Arial" w:cs="Arial"/>
          <w:sz w:val="24"/>
          <w:szCs w:val="24"/>
        </w:rPr>
      </w:pPr>
      <w:r w:rsidRPr="003B4614">
        <w:rPr>
          <w:rFonts w:ascii="Arial" w:hAnsi="Arial" w:cs="Arial"/>
          <w:noProof/>
          <w:sz w:val="24"/>
          <w:szCs w:val="24"/>
          <w:lang w:eastAsia="en-IN"/>
        </w:rPr>
        <w:drawing>
          <wp:anchor distT="0" distB="0" distL="114300" distR="114300" simplePos="0" relativeHeight="251663360" behindDoc="0" locked="0" layoutInCell="1" allowOverlap="1" wp14:anchorId="357AC242" wp14:editId="6F628E8C">
            <wp:simplePos x="0" y="0"/>
            <wp:positionH relativeFrom="margin">
              <wp:align>left</wp:align>
            </wp:positionH>
            <wp:positionV relativeFrom="paragraph">
              <wp:posOffset>701040</wp:posOffset>
            </wp:positionV>
            <wp:extent cx="5783580" cy="2710815"/>
            <wp:effectExtent l="0" t="0" r="762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83580" cy="2710815"/>
                    </a:xfrm>
                    <a:prstGeom prst="rect">
                      <a:avLst/>
                    </a:prstGeom>
                  </pic:spPr>
                </pic:pic>
              </a:graphicData>
            </a:graphic>
            <wp14:sizeRelH relativeFrom="margin">
              <wp14:pctWidth>0</wp14:pctWidth>
            </wp14:sizeRelH>
            <wp14:sizeRelV relativeFrom="margin">
              <wp14:pctHeight>0</wp14:pctHeight>
            </wp14:sizeRelV>
          </wp:anchor>
        </w:drawing>
      </w:r>
      <w:r w:rsidR="00637E9A" w:rsidRPr="003B4614">
        <w:rPr>
          <w:rStyle w:val="cursor-pointer"/>
          <w:rFonts w:ascii="Arial" w:hAnsi="Arial" w:cs="Arial"/>
          <w:sz w:val="24"/>
          <w:szCs w:val="24"/>
        </w:rPr>
        <w:t>As mentioned by Kotler et al. (2024), the political/legal aspect is comprised of the set of laws, government policies, regulations, and other factors which outline how businesses should conduct themselves legally.</w:t>
      </w:r>
      <w:r w:rsidR="00637E9A" w:rsidRPr="003B4614">
        <w:rPr>
          <w:rFonts w:ascii="Arial" w:hAnsi="Arial" w:cs="Arial"/>
          <w:sz w:val="24"/>
          <w:szCs w:val="24"/>
        </w:rPr>
        <w:t xml:space="preserve"> </w:t>
      </w:r>
    </w:p>
    <w:p w14:paraId="4C5B88DA" w14:textId="60D67BA8" w:rsidR="00637E9A" w:rsidRPr="009B3D93" w:rsidRDefault="00397EBF" w:rsidP="00C436EC">
      <w:pPr>
        <w:spacing w:after="110"/>
        <w:jc w:val="center"/>
        <w:rPr>
          <w:b/>
          <w:color w:val="808080" w:themeColor="background1" w:themeShade="80"/>
          <w:sz w:val="20"/>
          <w:szCs w:val="20"/>
        </w:rPr>
      </w:pPr>
      <w:r>
        <w:rPr>
          <w:rFonts w:ascii="Arial" w:eastAsia="Arial" w:hAnsi="Arial" w:cs="Arial"/>
          <w:b/>
          <w:i/>
          <w:iCs/>
          <w:color w:val="808080" w:themeColor="background1" w:themeShade="80"/>
          <w:sz w:val="20"/>
          <w:szCs w:val="20"/>
        </w:rPr>
        <w:t>Figure 3</w:t>
      </w:r>
      <w:r w:rsidR="00637E9A" w:rsidRPr="009B3D93">
        <w:rPr>
          <w:rFonts w:ascii="Arial" w:eastAsia="Arial" w:hAnsi="Arial" w:cs="Arial"/>
          <w:b/>
          <w:i/>
          <w:iCs/>
          <w:color w:val="808080" w:themeColor="background1" w:themeShade="80"/>
          <w:sz w:val="20"/>
          <w:szCs w:val="20"/>
        </w:rPr>
        <w:t>: EU Carbon Border Adjustment Mechanism: Simplified Illustration</w:t>
      </w:r>
    </w:p>
    <w:p w14:paraId="36CBDCCB" w14:textId="657DF695" w:rsidR="008C232E" w:rsidRPr="009B3D93" w:rsidRDefault="00637E9A" w:rsidP="00C436EC">
      <w:pPr>
        <w:jc w:val="center"/>
        <w:rPr>
          <w:rStyle w:val="cursor-pointer"/>
          <w:rFonts w:ascii="Geist Fallback" w:hAnsi="Geist Fallback"/>
          <w:color w:val="808080" w:themeColor="background1" w:themeShade="80"/>
          <w:sz w:val="20"/>
          <w:szCs w:val="20"/>
        </w:rPr>
      </w:pPr>
      <w:r w:rsidRPr="009B3D93">
        <w:rPr>
          <w:rFonts w:ascii="Arial" w:eastAsia="Arial" w:hAnsi="Arial" w:cs="Arial"/>
          <w:i/>
          <w:iCs/>
          <w:color w:val="808080" w:themeColor="background1" w:themeShade="80"/>
          <w:sz w:val="20"/>
          <w:szCs w:val="20"/>
        </w:rPr>
        <w:t>Source: Adapted from the Conference Board (2023) EU Carbon Border Adjustment Mechanism Simplified Illustration.</w:t>
      </w:r>
    </w:p>
    <w:p w14:paraId="25CD41AC" w14:textId="3E8F4D8C" w:rsidR="00C436EC" w:rsidRDefault="00277905" w:rsidP="00935B11">
      <w:pPr>
        <w:spacing w:after="0" w:line="360" w:lineRule="auto"/>
        <w:jc w:val="both"/>
        <w:rPr>
          <w:rStyle w:val="cursor-pointer"/>
          <w:rFonts w:ascii="Arial" w:hAnsi="Arial" w:cs="Arial"/>
          <w:sz w:val="24"/>
          <w:szCs w:val="24"/>
        </w:rPr>
      </w:pPr>
      <w:r w:rsidRPr="00277905">
        <w:rPr>
          <w:rStyle w:val="cursor-pointer"/>
          <w:rFonts w:ascii="Arial" w:hAnsi="Arial" w:cs="Arial"/>
          <w:sz w:val="24"/>
          <w:szCs w:val="24"/>
        </w:rPr>
        <w:t xml:space="preserve">Tata Steel is influenced by new carbon regulations, particularly the EU's Carbon Border Adjustment Mechanism (CBAM), effective January 2026, which increases export costs for the company due to higher emissions from its Indian plants. European Electric Arc Furnace (EAF) plants benefit from lower emissions, allowing for potential </w:t>
      </w:r>
      <w:r w:rsidRPr="00277905">
        <w:rPr>
          <w:rStyle w:val="cursor-pointer"/>
          <w:rFonts w:ascii="Arial" w:hAnsi="Arial" w:cs="Arial"/>
          <w:sz w:val="24"/>
          <w:szCs w:val="24"/>
        </w:rPr>
        <w:lastRenderedPageBreak/>
        <w:t>premium pricing. The UK government backs projects like the Port Talbot EAF to retain steel manufacturing and aim for net zero by 2050. In India, regulatory improvements such as the Carbon Credit Trading Scheme motivate Tata Steel to adopt greener</w:t>
      </w:r>
    </w:p>
    <w:p w14:paraId="2D8C77C0" w14:textId="734C869C" w:rsidR="009B64A0" w:rsidRPr="008C232E" w:rsidRDefault="000944B0" w:rsidP="00C436EC">
      <w:pPr>
        <w:spacing w:after="0" w:line="360" w:lineRule="auto"/>
        <w:jc w:val="both"/>
        <w:rPr>
          <w:rFonts w:ascii="Arial" w:hAnsi="Arial" w:cs="Arial"/>
          <w:sz w:val="24"/>
          <w:szCs w:val="24"/>
        </w:rPr>
      </w:pPr>
      <w:r>
        <w:rPr>
          <w:noProof/>
          <w:lang w:eastAsia="en-IN"/>
        </w:rPr>
        <w:drawing>
          <wp:anchor distT="0" distB="0" distL="114300" distR="114300" simplePos="0" relativeHeight="251675648" behindDoc="1" locked="0" layoutInCell="1" allowOverlap="1" wp14:anchorId="798FA99C" wp14:editId="633C788D">
            <wp:simplePos x="0" y="0"/>
            <wp:positionH relativeFrom="margin">
              <wp:align>left</wp:align>
            </wp:positionH>
            <wp:positionV relativeFrom="paragraph">
              <wp:posOffset>196215</wp:posOffset>
            </wp:positionV>
            <wp:extent cx="5730240" cy="2499360"/>
            <wp:effectExtent l="0" t="0" r="3810" b="0"/>
            <wp:wrapTight wrapText="bothSides">
              <wp:wrapPolygon edited="0">
                <wp:start x="0" y="0"/>
                <wp:lineTo x="0" y="21402"/>
                <wp:lineTo x="21543" y="21402"/>
                <wp:lineTo x="2154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b="15463"/>
                    <a:stretch/>
                  </pic:blipFill>
                  <pic:spPr bwMode="auto">
                    <a:xfrm>
                      <a:off x="0" y="0"/>
                      <a:ext cx="5730240" cy="2499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5B11" w:rsidRPr="00277905">
        <w:rPr>
          <w:rStyle w:val="cursor-pointer"/>
          <w:rFonts w:ascii="Arial" w:hAnsi="Arial" w:cs="Arial"/>
          <w:sz w:val="24"/>
          <w:szCs w:val="24"/>
        </w:rPr>
        <w:t>Production</w:t>
      </w:r>
      <w:r w:rsidR="00277905" w:rsidRPr="00277905">
        <w:rPr>
          <w:rStyle w:val="cursor-pointer"/>
          <w:rFonts w:ascii="Arial" w:hAnsi="Arial" w:cs="Arial"/>
          <w:sz w:val="24"/>
          <w:szCs w:val="24"/>
        </w:rPr>
        <w:t xml:space="preserve"> methods in partnership with the Ministry of Steel.</w:t>
      </w:r>
    </w:p>
    <w:p w14:paraId="4E7B9AEF" w14:textId="7E67120B" w:rsidR="0044464B" w:rsidRPr="009B3D93" w:rsidRDefault="00397EBF" w:rsidP="00C436EC">
      <w:pPr>
        <w:spacing w:after="120"/>
        <w:jc w:val="center"/>
        <w:rPr>
          <w:b/>
          <w:color w:val="808080" w:themeColor="background1" w:themeShade="80"/>
          <w:sz w:val="20"/>
        </w:rPr>
      </w:pPr>
      <w:r>
        <w:rPr>
          <w:rFonts w:ascii="Arial" w:eastAsia="Arial" w:hAnsi="Arial" w:cs="Arial"/>
          <w:b/>
          <w:i/>
          <w:iCs/>
          <w:color w:val="808080" w:themeColor="background1" w:themeShade="80"/>
          <w:sz w:val="20"/>
        </w:rPr>
        <w:t>Figure 4</w:t>
      </w:r>
      <w:r w:rsidR="0044464B" w:rsidRPr="009B3D93">
        <w:rPr>
          <w:rFonts w:ascii="Arial" w:eastAsia="Arial" w:hAnsi="Arial" w:cs="Arial"/>
          <w:b/>
          <w:i/>
          <w:iCs/>
          <w:color w:val="808080" w:themeColor="background1" w:themeShade="80"/>
          <w:sz w:val="20"/>
        </w:rPr>
        <w:t>: The EU Carbon Border Adjustment Mechanism (CBAM): Key Steps</w:t>
      </w:r>
    </w:p>
    <w:p w14:paraId="2B94A824" w14:textId="6A02E58E" w:rsidR="00C436EC" w:rsidRPr="009B3D93" w:rsidRDefault="0044464B" w:rsidP="00C436EC">
      <w:pPr>
        <w:spacing w:after="400"/>
        <w:jc w:val="center"/>
        <w:rPr>
          <w:rFonts w:ascii="Arial" w:eastAsia="Arial" w:hAnsi="Arial" w:cs="Arial"/>
          <w:i/>
          <w:iCs/>
          <w:color w:val="808080" w:themeColor="background1" w:themeShade="80"/>
          <w:sz w:val="20"/>
        </w:rPr>
      </w:pPr>
      <w:r w:rsidRPr="009B3D93">
        <w:rPr>
          <w:rFonts w:ascii="Arial" w:eastAsia="Arial" w:hAnsi="Arial" w:cs="Arial"/>
          <w:i/>
          <w:iCs/>
          <w:color w:val="808080" w:themeColor="background1" w:themeShade="80"/>
          <w:sz w:val="20"/>
        </w:rPr>
        <w:t>Source: Adapted from Circularise (2023) ‘The EU Carbon Border Adjustment Mechanism (CBAM)</w:t>
      </w:r>
      <w:r w:rsidR="00C436EC" w:rsidRPr="009B3D93">
        <w:rPr>
          <w:rFonts w:ascii="Arial" w:eastAsia="Arial" w:hAnsi="Arial" w:cs="Arial"/>
          <w:i/>
          <w:iCs/>
          <w:color w:val="808080" w:themeColor="background1" w:themeShade="80"/>
          <w:sz w:val="20"/>
        </w:rPr>
        <w:t>.</w:t>
      </w:r>
    </w:p>
    <w:p w14:paraId="1F3E55D9" w14:textId="01032B6C" w:rsidR="00426159" w:rsidRDefault="00637E9A" w:rsidP="000944B0">
      <w:pPr>
        <w:spacing w:before="240" w:after="0" w:line="360" w:lineRule="auto"/>
        <w:jc w:val="both"/>
        <w:rPr>
          <w:rStyle w:val="cursor-pointer"/>
          <w:rFonts w:ascii="Arial" w:hAnsi="Arial" w:cs="Arial"/>
          <w:sz w:val="24"/>
          <w:szCs w:val="24"/>
        </w:rPr>
      </w:pPr>
      <w:r w:rsidRPr="003B4614">
        <w:rPr>
          <w:rStyle w:val="cursor-pointer"/>
          <w:rFonts w:ascii="Arial" w:hAnsi="Arial" w:cs="Arial"/>
          <w:sz w:val="24"/>
          <w:szCs w:val="24"/>
        </w:rPr>
        <w:t>However, there are some uncertainties in the CBAM political landscape, too.</w:t>
      </w:r>
      <w:r w:rsidRPr="003B4614">
        <w:rPr>
          <w:rFonts w:ascii="Arial" w:hAnsi="Arial" w:cs="Arial"/>
          <w:sz w:val="24"/>
          <w:szCs w:val="24"/>
        </w:rPr>
        <w:t xml:space="preserve"> </w:t>
      </w:r>
      <w:r w:rsidRPr="003B4614">
        <w:rPr>
          <w:rStyle w:val="cursor-pointer"/>
          <w:rFonts w:ascii="Arial" w:hAnsi="Arial" w:cs="Arial"/>
          <w:sz w:val="24"/>
          <w:szCs w:val="24"/>
        </w:rPr>
        <w:t xml:space="preserve">During an official trip to the European capital of Brussels in October 2025, US Energy Secretary Chris Wright, formally put pressure on EU to withdraw </w:t>
      </w:r>
      <w:r w:rsidR="00325DE2">
        <w:rPr>
          <w:rStyle w:val="cursor-pointer"/>
          <w:rFonts w:ascii="Arial" w:hAnsi="Arial" w:cs="Arial"/>
          <w:sz w:val="24"/>
          <w:szCs w:val="24"/>
        </w:rPr>
        <w:t xml:space="preserve">the </w:t>
      </w:r>
      <w:r w:rsidRPr="003B4614">
        <w:rPr>
          <w:rStyle w:val="cursor-pointer"/>
          <w:rFonts w:ascii="Arial" w:hAnsi="Arial" w:cs="Arial"/>
          <w:sz w:val="24"/>
          <w:szCs w:val="24"/>
        </w:rPr>
        <w:t>CBAM, saying it would lead to “severe transatlantic trade barriers” (</w:t>
      </w:r>
      <w:proofErr w:type="spellStart"/>
      <w:r w:rsidRPr="003B4614">
        <w:rPr>
          <w:rStyle w:val="cursor-pointer"/>
          <w:rFonts w:ascii="Arial" w:hAnsi="Arial" w:cs="Arial"/>
          <w:sz w:val="24"/>
          <w:szCs w:val="24"/>
        </w:rPr>
        <w:t>Euronews</w:t>
      </w:r>
      <w:proofErr w:type="spellEnd"/>
      <w:r w:rsidRPr="003B4614">
        <w:rPr>
          <w:rStyle w:val="cursor-pointer"/>
          <w:rFonts w:ascii="Arial" w:hAnsi="Arial" w:cs="Arial"/>
          <w:sz w:val="24"/>
          <w:szCs w:val="24"/>
        </w:rPr>
        <w:t>, 2026).</w:t>
      </w:r>
      <w:r w:rsidRPr="003B4614">
        <w:rPr>
          <w:rFonts w:ascii="Arial" w:hAnsi="Arial" w:cs="Arial"/>
          <w:sz w:val="24"/>
          <w:szCs w:val="24"/>
        </w:rPr>
        <w:t xml:space="preserve"> </w:t>
      </w:r>
      <w:r w:rsidRPr="003B4614">
        <w:rPr>
          <w:rStyle w:val="cursor-pointer"/>
          <w:rFonts w:ascii="Arial" w:hAnsi="Arial" w:cs="Arial"/>
          <w:sz w:val="24"/>
          <w:szCs w:val="24"/>
        </w:rPr>
        <w:t>The pressure was part of a number of trade measures imposed on the EU by the US during the Trump administration, which have already imposed 25% tariffs on all EU steel imports as of February 2025 (KPMG, 2025).</w:t>
      </w:r>
    </w:p>
    <w:p w14:paraId="41F12BD4" w14:textId="5C2B4186" w:rsidR="000944B0" w:rsidRPr="000944B0" w:rsidRDefault="00637E9A" w:rsidP="000944B0">
      <w:pPr>
        <w:tabs>
          <w:tab w:val="left" w:pos="3033"/>
        </w:tabs>
        <w:spacing w:before="240" w:after="0" w:line="360" w:lineRule="auto"/>
        <w:jc w:val="both"/>
        <w:rPr>
          <w:rFonts w:ascii="Arial" w:eastAsia="Arial" w:hAnsi="Arial" w:cs="Arial"/>
          <w:b/>
          <w:bCs/>
          <w:color w:val="1F3864"/>
          <w:sz w:val="30"/>
          <w:szCs w:val="30"/>
        </w:rPr>
      </w:pPr>
      <w:r w:rsidRPr="003B4614">
        <w:rPr>
          <w:rStyle w:val="cursor-pointer"/>
          <w:rFonts w:ascii="Arial" w:hAnsi="Arial" w:cs="Arial"/>
          <w:sz w:val="24"/>
          <w:szCs w:val="24"/>
        </w:rPr>
        <w:t xml:space="preserve">Despite Sandbag (2025) </w:t>
      </w:r>
      <w:r w:rsidR="000944B0">
        <w:rPr>
          <w:rStyle w:val="cursor-pointer"/>
          <w:rFonts w:ascii="Arial" w:hAnsi="Arial" w:cs="Arial"/>
          <w:sz w:val="24"/>
          <w:szCs w:val="24"/>
        </w:rPr>
        <w:t>estimating the EU's financial impact on US exporters as “negligible,” at €17 million in 2027, the EU has offered CBAM “flexibilities” and exemptions as part of a framework trade agreement</w:t>
      </w:r>
      <w:r w:rsidRPr="003B4614">
        <w:rPr>
          <w:rStyle w:val="cursor-pointer"/>
          <w:rFonts w:ascii="Arial" w:hAnsi="Arial" w:cs="Arial"/>
          <w:sz w:val="24"/>
          <w:szCs w:val="24"/>
        </w:rPr>
        <w:t xml:space="preserve"> to appease this diplomatic pressure.</w:t>
      </w:r>
      <w:r w:rsidRPr="003B4614">
        <w:rPr>
          <w:rFonts w:ascii="Arial" w:hAnsi="Arial" w:cs="Arial"/>
          <w:sz w:val="24"/>
          <w:szCs w:val="24"/>
        </w:rPr>
        <w:t xml:space="preserve"> </w:t>
      </w:r>
      <w:r w:rsidRPr="003B4614">
        <w:rPr>
          <w:rStyle w:val="cursor-pointer"/>
          <w:rFonts w:ascii="Arial" w:hAnsi="Arial" w:cs="Arial"/>
          <w:sz w:val="24"/>
          <w:szCs w:val="24"/>
        </w:rPr>
        <w:t xml:space="preserve">It is a crucial strategic issue for Tata Steel: If CBAM gets weakened because of geopolitical pressures, the price premium that the </w:t>
      </w:r>
      <w:r w:rsidR="00325DE2">
        <w:rPr>
          <w:rStyle w:val="cursor-pointer"/>
          <w:rFonts w:ascii="Arial" w:hAnsi="Arial" w:cs="Arial"/>
          <w:sz w:val="24"/>
          <w:szCs w:val="24"/>
        </w:rPr>
        <w:t>low-carbon</w:t>
      </w:r>
      <w:r w:rsidRPr="003B4614">
        <w:rPr>
          <w:rStyle w:val="cursor-pointer"/>
          <w:rFonts w:ascii="Arial" w:hAnsi="Arial" w:cs="Arial"/>
          <w:sz w:val="24"/>
          <w:szCs w:val="24"/>
        </w:rPr>
        <w:t xml:space="preserve"> EAF production line can provide to </w:t>
      </w:r>
      <w:r w:rsidR="008C232E">
        <w:rPr>
          <w:rStyle w:val="cursor-pointer"/>
          <w:rFonts w:ascii="Arial" w:hAnsi="Arial" w:cs="Arial"/>
          <w:sz w:val="24"/>
          <w:szCs w:val="24"/>
        </w:rPr>
        <w:t>the high-carbon</w:t>
      </w:r>
      <w:r w:rsidRPr="003B4614">
        <w:rPr>
          <w:rStyle w:val="cursor-pointer"/>
          <w:rFonts w:ascii="Arial" w:hAnsi="Arial" w:cs="Arial"/>
          <w:sz w:val="24"/>
          <w:szCs w:val="24"/>
        </w:rPr>
        <w:t xml:space="preserve"> production line may be lost before the investments pay off.</w:t>
      </w:r>
      <w:r w:rsidRPr="003B4614">
        <w:rPr>
          <w:rFonts w:ascii="Arial" w:hAnsi="Arial" w:cs="Arial"/>
          <w:sz w:val="24"/>
          <w:szCs w:val="24"/>
        </w:rPr>
        <w:t xml:space="preserve"> </w:t>
      </w:r>
      <w:r w:rsidRPr="003B4614">
        <w:rPr>
          <w:rStyle w:val="cursor-pointer"/>
          <w:rFonts w:ascii="Arial" w:hAnsi="Arial" w:cs="Arial"/>
          <w:sz w:val="24"/>
          <w:szCs w:val="24"/>
        </w:rPr>
        <w:t>Furthermore, countries that have positions in opp</w:t>
      </w:r>
      <w:r w:rsidR="003B4614">
        <w:rPr>
          <w:rStyle w:val="cursor-pointer"/>
          <w:rFonts w:ascii="Arial" w:hAnsi="Arial" w:cs="Arial"/>
          <w:sz w:val="24"/>
          <w:szCs w:val="24"/>
        </w:rPr>
        <w:t>osition,</w:t>
      </w:r>
      <w:r w:rsidRPr="003B4614">
        <w:rPr>
          <w:rStyle w:val="cursor-pointer"/>
          <w:rFonts w:ascii="Arial" w:hAnsi="Arial" w:cs="Arial"/>
          <w:sz w:val="24"/>
          <w:szCs w:val="24"/>
        </w:rPr>
        <w:t xml:space="preserve"> legally and politica</w:t>
      </w:r>
      <w:r w:rsidR="003B4614">
        <w:rPr>
          <w:rStyle w:val="cursor-pointer"/>
          <w:rFonts w:ascii="Arial" w:hAnsi="Arial" w:cs="Arial"/>
          <w:sz w:val="24"/>
          <w:szCs w:val="24"/>
        </w:rPr>
        <w:t xml:space="preserve">lly difficult CBAM at the WTO, </w:t>
      </w:r>
      <w:r w:rsidRPr="003B4614">
        <w:rPr>
          <w:rStyle w:val="cursor-pointer"/>
          <w:rFonts w:ascii="Arial" w:hAnsi="Arial" w:cs="Arial"/>
          <w:sz w:val="24"/>
          <w:szCs w:val="24"/>
        </w:rPr>
        <w:t xml:space="preserve">are also moving forward with their own national carbon pricing frameworks (e.g., India, China and South Africa) (GMK </w:t>
      </w:r>
      <w:proofErr w:type="spellStart"/>
      <w:r w:rsidRPr="003B4614">
        <w:rPr>
          <w:rStyle w:val="cursor-pointer"/>
          <w:rFonts w:ascii="Arial" w:hAnsi="Arial" w:cs="Arial"/>
          <w:sz w:val="24"/>
          <w:szCs w:val="24"/>
        </w:rPr>
        <w:t>Center</w:t>
      </w:r>
      <w:proofErr w:type="spellEnd"/>
      <w:r w:rsidRPr="003B4614">
        <w:rPr>
          <w:rStyle w:val="cursor-pointer"/>
          <w:rFonts w:ascii="Arial" w:hAnsi="Arial" w:cs="Arial"/>
          <w:sz w:val="24"/>
          <w:szCs w:val="24"/>
        </w:rPr>
        <w:t>, 2025).</w:t>
      </w:r>
      <w:r w:rsidRPr="003B4614">
        <w:rPr>
          <w:rFonts w:ascii="Arial" w:hAnsi="Arial" w:cs="Arial"/>
          <w:sz w:val="24"/>
          <w:szCs w:val="24"/>
        </w:rPr>
        <w:t xml:space="preserve"> </w:t>
      </w:r>
      <w:r w:rsidRPr="003B4614">
        <w:rPr>
          <w:rStyle w:val="cursor-pointer"/>
          <w:rFonts w:ascii="Arial" w:hAnsi="Arial" w:cs="Arial"/>
          <w:sz w:val="24"/>
          <w:szCs w:val="24"/>
        </w:rPr>
        <w:t xml:space="preserve">This regulatory fragmentation has created a very unpredictable planning environment for </w:t>
      </w:r>
      <w:r w:rsidRPr="003B4614">
        <w:rPr>
          <w:rStyle w:val="cursor-pointer"/>
          <w:rFonts w:ascii="Arial" w:hAnsi="Arial" w:cs="Arial"/>
          <w:sz w:val="24"/>
          <w:szCs w:val="24"/>
        </w:rPr>
        <w:lastRenderedPageBreak/>
        <w:t xml:space="preserve">Tata Steel, whose investment choices will be made over the next 10 years for a project that will require a substantial capital expense, whilst the global carbon trade system is not finalized and the project is yet to encounter </w:t>
      </w:r>
      <w:r w:rsidR="000944B0">
        <w:rPr>
          <w:rStyle w:val="cursor-pointer"/>
          <w:rFonts w:ascii="Arial" w:hAnsi="Arial" w:cs="Arial"/>
          <w:sz w:val="24"/>
          <w:szCs w:val="24"/>
        </w:rPr>
        <w:t>several</w:t>
      </w:r>
      <w:r w:rsidRPr="003B4614">
        <w:rPr>
          <w:rStyle w:val="cursor-pointer"/>
          <w:rFonts w:ascii="Arial" w:hAnsi="Arial" w:cs="Arial"/>
          <w:sz w:val="24"/>
          <w:szCs w:val="24"/>
        </w:rPr>
        <w:t xml:space="preserve"> challenges.</w:t>
      </w:r>
    </w:p>
    <w:p w14:paraId="2F0C1BC0" w14:textId="638998E0" w:rsidR="00586914" w:rsidRPr="00980E1F" w:rsidRDefault="00586914" w:rsidP="000944B0">
      <w:pPr>
        <w:tabs>
          <w:tab w:val="left" w:pos="3033"/>
        </w:tabs>
        <w:spacing w:before="240" w:line="360" w:lineRule="auto"/>
        <w:jc w:val="both"/>
        <w:rPr>
          <w:rFonts w:ascii="Arial" w:hAnsi="Arial" w:cs="Arial"/>
          <w:sz w:val="24"/>
          <w:szCs w:val="24"/>
        </w:rPr>
      </w:pPr>
      <w:r w:rsidRPr="00ED6294">
        <w:rPr>
          <w:rFonts w:ascii="Arial" w:eastAsia="Arial" w:hAnsi="Arial" w:cs="Arial"/>
          <w:b/>
          <w:bCs/>
          <w:color w:val="1F3864"/>
          <w:sz w:val="28"/>
          <w:szCs w:val="28"/>
        </w:rPr>
        <w:t>Task 2: Strategic Growth and Competitive Positioning</w:t>
      </w:r>
    </w:p>
    <w:p w14:paraId="7E91570F" w14:textId="102C92EC" w:rsidR="00586914" w:rsidRPr="00C92CBE" w:rsidRDefault="00586914" w:rsidP="003820FC">
      <w:pPr>
        <w:pStyle w:val="Heading2"/>
        <w:spacing w:line="360" w:lineRule="auto"/>
        <w:jc w:val="both"/>
        <w:rPr>
          <w:rFonts w:ascii="Arial" w:hAnsi="Arial" w:cs="Arial"/>
          <w:sz w:val="24"/>
          <w:szCs w:val="24"/>
        </w:rPr>
      </w:pPr>
      <w:r w:rsidRPr="00C92CBE">
        <w:rPr>
          <w:rFonts w:ascii="Arial" w:eastAsia="Arial" w:hAnsi="Arial" w:cs="Arial"/>
          <w:b/>
          <w:bCs/>
          <w:color w:val="2E5496"/>
          <w:sz w:val="24"/>
          <w:szCs w:val="24"/>
        </w:rPr>
        <w:t xml:space="preserve">2.1 The Strategic </w:t>
      </w:r>
      <w:r w:rsidR="009B3D93">
        <w:rPr>
          <w:rFonts w:ascii="Arial" w:eastAsia="Arial" w:hAnsi="Arial" w:cs="Arial"/>
          <w:b/>
          <w:bCs/>
          <w:color w:val="2E5496"/>
          <w:sz w:val="24"/>
          <w:szCs w:val="24"/>
        </w:rPr>
        <w:t>Context leading</w:t>
      </w:r>
      <w:r w:rsidR="009B3D93" w:rsidRPr="009B3D93">
        <w:rPr>
          <w:rFonts w:ascii="Arial" w:eastAsia="Arial" w:hAnsi="Arial" w:cs="Arial"/>
          <w:b/>
          <w:bCs/>
          <w:color w:val="2E5496"/>
          <w:sz w:val="24"/>
          <w:szCs w:val="24"/>
        </w:rPr>
        <w:t xml:space="preserve"> players such as ArcelorMittal, SSAB,</w:t>
      </w:r>
    </w:p>
    <w:p w14:paraId="5E7AF4B2" w14:textId="2405D1A4" w:rsidR="009B3D93" w:rsidRDefault="003B4614" w:rsidP="00397EBF">
      <w:pPr>
        <w:spacing w:after="0" w:line="360" w:lineRule="auto"/>
        <w:jc w:val="both"/>
        <w:rPr>
          <w:rFonts w:ascii="Arial" w:hAnsi="Arial" w:cs="Arial"/>
          <w:sz w:val="24"/>
          <w:szCs w:val="24"/>
        </w:rPr>
      </w:pPr>
      <w:r w:rsidRPr="00C92CBE">
        <w:rPr>
          <w:rStyle w:val="cursor-pointer"/>
          <w:rFonts w:ascii="Arial" w:hAnsi="Arial" w:cs="Arial"/>
          <w:sz w:val="24"/>
          <w:szCs w:val="24"/>
        </w:rPr>
        <w:t>The international steel industry is facing dramatic changes because of the inability of the blast furnace technology to compete economically with environmental considerations, carbon tax</w:t>
      </w:r>
      <w:r w:rsidR="008C232E">
        <w:rPr>
          <w:rStyle w:val="cursor-pointer"/>
          <w:rFonts w:ascii="Arial" w:hAnsi="Arial" w:cs="Arial"/>
          <w:sz w:val="24"/>
          <w:szCs w:val="24"/>
        </w:rPr>
        <w:t>,</w:t>
      </w:r>
      <w:r w:rsidRPr="00C92CBE">
        <w:rPr>
          <w:rStyle w:val="cursor-pointer"/>
          <w:rFonts w:ascii="Arial" w:hAnsi="Arial" w:cs="Arial"/>
          <w:sz w:val="24"/>
          <w:szCs w:val="24"/>
        </w:rPr>
        <w:t xml:space="preserve"> and regulations.</w:t>
      </w:r>
      <w:r w:rsidRPr="00C92CBE">
        <w:rPr>
          <w:rFonts w:ascii="Arial" w:hAnsi="Arial" w:cs="Arial"/>
          <w:sz w:val="24"/>
          <w:szCs w:val="24"/>
        </w:rPr>
        <w:t xml:space="preserve"> </w:t>
      </w:r>
      <w:r w:rsidRPr="00C92CBE">
        <w:rPr>
          <w:rStyle w:val="cursor-pointer"/>
          <w:rFonts w:ascii="Arial" w:hAnsi="Arial" w:cs="Arial"/>
          <w:sz w:val="24"/>
          <w:szCs w:val="24"/>
        </w:rPr>
        <w:t>More expensive emission technologies are making their way in and competition is growing, and leading players such as ArcelorMittal, SSAB</w:t>
      </w:r>
      <w:r w:rsidR="00FB5182">
        <w:rPr>
          <w:rStyle w:val="cursor-pointer"/>
          <w:rFonts w:ascii="Arial" w:hAnsi="Arial" w:cs="Arial"/>
          <w:sz w:val="24"/>
          <w:szCs w:val="24"/>
        </w:rPr>
        <w:t>,</w:t>
      </w:r>
      <w:r w:rsidRPr="00C92CBE">
        <w:rPr>
          <w:rStyle w:val="cursor-pointer"/>
          <w:rFonts w:ascii="Arial" w:hAnsi="Arial" w:cs="Arial"/>
          <w:sz w:val="24"/>
          <w:szCs w:val="24"/>
        </w:rPr>
        <w:t xml:space="preserve"> and </w:t>
      </w:r>
      <w:proofErr w:type="spellStart"/>
      <w:r w:rsidRPr="00C92CBE">
        <w:rPr>
          <w:rStyle w:val="cursor-pointer"/>
          <w:rFonts w:ascii="Arial" w:hAnsi="Arial" w:cs="Arial"/>
          <w:sz w:val="24"/>
          <w:szCs w:val="24"/>
        </w:rPr>
        <w:t>Thyssenkrupp</w:t>
      </w:r>
      <w:proofErr w:type="spellEnd"/>
      <w:r w:rsidRPr="00C92CBE">
        <w:rPr>
          <w:rStyle w:val="cursor-pointer"/>
          <w:rFonts w:ascii="Arial" w:hAnsi="Arial" w:cs="Arial"/>
          <w:sz w:val="24"/>
          <w:szCs w:val="24"/>
        </w:rPr>
        <w:t xml:space="preserve"> are turning to sustainab</w:t>
      </w:r>
      <w:r w:rsidR="00C436EC">
        <w:rPr>
          <w:rStyle w:val="cursor-pointer"/>
          <w:rFonts w:ascii="Arial" w:hAnsi="Arial" w:cs="Arial"/>
          <w:sz w:val="24"/>
          <w:szCs w:val="24"/>
        </w:rPr>
        <w:t xml:space="preserve">le </w:t>
      </w:r>
      <w:r w:rsidR="009B3D93">
        <w:rPr>
          <w:rStyle w:val="cursor-pointer"/>
          <w:rFonts w:ascii="Arial" w:hAnsi="Arial" w:cs="Arial"/>
          <w:sz w:val="24"/>
          <w:szCs w:val="24"/>
        </w:rPr>
        <w:t>emission-production technologies</w:t>
      </w:r>
      <w:r w:rsidRPr="00C92CBE">
        <w:rPr>
          <w:rStyle w:val="cursor-pointer"/>
          <w:rFonts w:ascii="Arial" w:hAnsi="Arial" w:cs="Arial"/>
          <w:sz w:val="24"/>
          <w:szCs w:val="24"/>
        </w:rPr>
        <w:t>.</w:t>
      </w:r>
      <w:r w:rsidRPr="00C92CBE">
        <w:rPr>
          <w:rFonts w:ascii="Arial" w:hAnsi="Arial" w:cs="Arial"/>
          <w:sz w:val="24"/>
          <w:szCs w:val="24"/>
        </w:rPr>
        <w:t xml:space="preserve"> </w:t>
      </w:r>
    </w:p>
    <w:p w14:paraId="5816999E" w14:textId="77777777" w:rsidR="00504F3E" w:rsidRDefault="00504F3E" w:rsidP="00397EBF">
      <w:pPr>
        <w:spacing w:after="0" w:line="360" w:lineRule="auto"/>
        <w:jc w:val="both"/>
        <w:rPr>
          <w:rFonts w:ascii="Arial" w:hAnsi="Arial" w:cs="Arial"/>
          <w:b/>
          <w:i/>
          <w:color w:val="808080" w:themeColor="background1" w:themeShade="80"/>
          <w:sz w:val="20"/>
        </w:rPr>
      </w:pPr>
    </w:p>
    <w:p w14:paraId="76A47676" w14:textId="3BDAE882" w:rsidR="00504F3E" w:rsidRPr="00397EBF" w:rsidRDefault="00504F3E" w:rsidP="00504F3E">
      <w:pPr>
        <w:spacing w:after="0" w:line="360" w:lineRule="auto"/>
        <w:jc w:val="center"/>
        <w:rPr>
          <w:rFonts w:ascii="Arial" w:hAnsi="Arial" w:cs="Arial"/>
          <w:sz w:val="24"/>
          <w:szCs w:val="24"/>
        </w:rPr>
      </w:pPr>
      <w:r w:rsidRPr="009B3D93">
        <w:rPr>
          <w:rFonts w:ascii="Arial" w:hAnsi="Arial" w:cs="Arial"/>
          <w:b/>
          <w:i/>
          <w:color w:val="808080" w:themeColor="background1" w:themeShade="80"/>
          <w:sz w:val="20"/>
        </w:rPr>
        <w:t>Comparative analysis of green steel decarbonisation initiatives</w:t>
      </w:r>
      <w:r w:rsidRPr="009B3D93">
        <w:rPr>
          <w:rFonts w:ascii="Arial" w:hAnsi="Arial" w:cs="Arial"/>
          <w:noProof/>
          <w:color w:val="808080" w:themeColor="background1" w:themeShade="80"/>
          <w:sz w:val="24"/>
          <w:szCs w:val="24"/>
          <w:lang w:eastAsia="en-IN"/>
        </w:rPr>
        <w:drawing>
          <wp:anchor distT="0" distB="0" distL="114300" distR="114300" simplePos="0" relativeHeight="251676672" behindDoc="0" locked="0" layoutInCell="1" allowOverlap="1" wp14:anchorId="2FEC8341" wp14:editId="447AF377">
            <wp:simplePos x="0" y="0"/>
            <wp:positionH relativeFrom="margin">
              <wp:align>center</wp:align>
            </wp:positionH>
            <wp:positionV relativeFrom="paragraph">
              <wp:posOffset>513892</wp:posOffset>
            </wp:positionV>
            <wp:extent cx="6230529" cy="5139185"/>
            <wp:effectExtent l="0" t="0" r="0" b="4445"/>
            <wp:wrapThrough wrapText="bothSides">
              <wp:wrapPolygon edited="0">
                <wp:start x="0" y="0"/>
                <wp:lineTo x="0" y="21539"/>
                <wp:lineTo x="21532" y="21539"/>
                <wp:lineTo x="21532"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6230529" cy="5139185"/>
                    </a:xfrm>
                    <a:prstGeom prst="rect">
                      <a:avLst/>
                    </a:prstGeom>
                  </pic:spPr>
                </pic:pic>
              </a:graphicData>
            </a:graphic>
          </wp:anchor>
        </w:drawing>
      </w:r>
    </w:p>
    <w:p w14:paraId="4E8C38F4" w14:textId="714CEF6D" w:rsidR="009B3D93" w:rsidRPr="00397EBF" w:rsidRDefault="002C35A6" w:rsidP="00397EBF">
      <w:pPr>
        <w:spacing w:after="0" w:line="360" w:lineRule="auto"/>
        <w:jc w:val="center"/>
        <w:rPr>
          <w:rFonts w:ascii="Arial" w:hAnsi="Arial" w:cs="Arial"/>
          <w:i/>
          <w:color w:val="808080" w:themeColor="background1" w:themeShade="80"/>
          <w:sz w:val="20"/>
        </w:rPr>
      </w:pPr>
      <w:r>
        <w:rPr>
          <w:rFonts w:ascii="Arial" w:hAnsi="Arial" w:cs="Arial"/>
          <w:b/>
          <w:i/>
          <w:color w:val="808080" w:themeColor="background1" w:themeShade="80"/>
          <w:sz w:val="20"/>
        </w:rPr>
        <w:lastRenderedPageBreak/>
        <w:t>Figure 5</w:t>
      </w:r>
      <w:r w:rsidR="009B3D93" w:rsidRPr="009B3D93">
        <w:rPr>
          <w:rFonts w:ascii="Arial" w:hAnsi="Arial" w:cs="Arial"/>
          <w:b/>
          <w:i/>
          <w:color w:val="808080" w:themeColor="background1" w:themeShade="80"/>
          <w:sz w:val="20"/>
        </w:rPr>
        <w:t>: Comparative analysis of green steel decarbonisation initiatives: investment, annual CO</w:t>
      </w:r>
      <w:r w:rsidR="009B3D93" w:rsidRPr="009B3D93">
        <w:rPr>
          <w:rFonts w:ascii="Cambria Math" w:hAnsi="Cambria Math" w:cs="Cambria Math"/>
          <w:b/>
          <w:i/>
          <w:color w:val="808080" w:themeColor="background1" w:themeShade="80"/>
          <w:sz w:val="20"/>
        </w:rPr>
        <w:t>₂</w:t>
      </w:r>
      <w:r w:rsidR="009B3D93" w:rsidRPr="009B3D93">
        <w:rPr>
          <w:rFonts w:ascii="Arial" w:hAnsi="Arial" w:cs="Arial"/>
          <w:b/>
          <w:i/>
          <w:color w:val="808080" w:themeColor="background1" w:themeShade="80"/>
          <w:sz w:val="20"/>
        </w:rPr>
        <w:t xml:space="preserve"> avoided, and net-zero targets across Tata Steel, SSAB, ArcelorMittal, and </w:t>
      </w:r>
      <w:proofErr w:type="spellStart"/>
      <w:r w:rsidR="009B3D93" w:rsidRPr="009B3D93">
        <w:rPr>
          <w:rFonts w:ascii="Arial" w:hAnsi="Arial" w:cs="Arial"/>
          <w:b/>
          <w:i/>
          <w:color w:val="808080" w:themeColor="background1" w:themeShade="80"/>
          <w:sz w:val="20"/>
        </w:rPr>
        <w:t>Thyssenkrupp</w:t>
      </w:r>
      <w:proofErr w:type="spellEnd"/>
      <w:r w:rsidR="009B3D93" w:rsidRPr="009B3D93">
        <w:rPr>
          <w:rFonts w:ascii="Arial" w:hAnsi="Arial" w:cs="Arial"/>
          <w:b/>
          <w:i/>
          <w:color w:val="808080" w:themeColor="background1" w:themeShade="80"/>
          <w:sz w:val="20"/>
        </w:rPr>
        <w:t xml:space="preserve">. </w:t>
      </w:r>
      <w:r w:rsidR="009B3D93" w:rsidRPr="009B3D93">
        <w:rPr>
          <w:rFonts w:ascii="Arial" w:hAnsi="Arial" w:cs="Arial"/>
          <w:i/>
          <w:color w:val="808080" w:themeColor="background1" w:themeShade="80"/>
          <w:sz w:val="20"/>
        </w:rPr>
        <w:t xml:space="preserve">Source: Author's own chart compiled from ArcelorMittal (2025) Climate action reports; </w:t>
      </w:r>
      <w:proofErr w:type="spellStart"/>
      <w:r w:rsidR="009B3D93" w:rsidRPr="009B3D93">
        <w:rPr>
          <w:rFonts w:ascii="Arial" w:hAnsi="Arial" w:cs="Arial"/>
          <w:i/>
          <w:color w:val="808080" w:themeColor="background1" w:themeShade="80"/>
          <w:sz w:val="20"/>
        </w:rPr>
        <w:t>SteelWatch</w:t>
      </w:r>
      <w:proofErr w:type="spellEnd"/>
      <w:r w:rsidR="009B3D93" w:rsidRPr="009B3D93">
        <w:rPr>
          <w:rFonts w:ascii="Arial" w:hAnsi="Arial" w:cs="Arial"/>
          <w:i/>
          <w:color w:val="808080" w:themeColor="background1" w:themeShade="80"/>
          <w:sz w:val="20"/>
        </w:rPr>
        <w:t xml:space="preserve"> (2025) Backtracking on climate action; </w:t>
      </w:r>
      <w:proofErr w:type="spellStart"/>
      <w:r w:rsidR="009B3D93" w:rsidRPr="009B3D93">
        <w:rPr>
          <w:rFonts w:ascii="Arial" w:hAnsi="Arial" w:cs="Arial"/>
          <w:i/>
          <w:color w:val="808080" w:themeColor="background1" w:themeShade="80"/>
          <w:sz w:val="20"/>
        </w:rPr>
        <w:t>Vattenfall</w:t>
      </w:r>
      <w:proofErr w:type="spellEnd"/>
      <w:r w:rsidR="009B3D93" w:rsidRPr="009B3D93">
        <w:rPr>
          <w:rFonts w:ascii="Arial" w:hAnsi="Arial" w:cs="Arial"/>
          <w:i/>
          <w:color w:val="808080" w:themeColor="background1" w:themeShade="80"/>
          <w:sz w:val="20"/>
        </w:rPr>
        <w:t xml:space="preserve"> (2025) HYBRIT-</w:t>
      </w:r>
      <w:proofErr w:type="spellStart"/>
      <w:r w:rsidR="009B3D93" w:rsidRPr="009B3D93">
        <w:rPr>
          <w:rFonts w:ascii="Arial" w:hAnsi="Arial" w:cs="Arial"/>
          <w:i/>
          <w:color w:val="808080" w:themeColor="background1" w:themeShade="80"/>
          <w:sz w:val="20"/>
        </w:rPr>
        <w:t>Vattenfall</w:t>
      </w:r>
      <w:proofErr w:type="spellEnd"/>
      <w:r w:rsidR="009B3D93" w:rsidRPr="009B3D93">
        <w:rPr>
          <w:rFonts w:ascii="Arial" w:hAnsi="Arial" w:cs="Arial"/>
          <w:i/>
          <w:color w:val="808080" w:themeColor="background1" w:themeShade="80"/>
          <w:sz w:val="20"/>
        </w:rPr>
        <w:t xml:space="preserve"> partnership with LKAB and SSAB; </w:t>
      </w:r>
      <w:proofErr w:type="spellStart"/>
      <w:r w:rsidR="009B3D93" w:rsidRPr="009B3D93">
        <w:rPr>
          <w:rFonts w:ascii="Arial" w:hAnsi="Arial" w:cs="Arial"/>
          <w:i/>
          <w:color w:val="808080" w:themeColor="background1" w:themeShade="80"/>
          <w:sz w:val="20"/>
        </w:rPr>
        <w:t>thyssenkrupp</w:t>
      </w:r>
      <w:proofErr w:type="spellEnd"/>
      <w:r w:rsidR="009B3D93" w:rsidRPr="009B3D93">
        <w:rPr>
          <w:rFonts w:ascii="Arial" w:hAnsi="Arial" w:cs="Arial"/>
          <w:i/>
          <w:color w:val="808080" w:themeColor="background1" w:themeShade="80"/>
          <w:sz w:val="20"/>
        </w:rPr>
        <w:t xml:space="preserve"> Steel Europe (2023) EU Commission approves funding for tkH2Steel; Tata Steel UK (2025) Green steel future.</w:t>
      </w:r>
    </w:p>
    <w:p w14:paraId="542AD8FA" w14:textId="2254CDDA" w:rsidR="003B4614" w:rsidRPr="00397EBF" w:rsidRDefault="003B4614" w:rsidP="00397EBF">
      <w:pPr>
        <w:spacing w:before="240" w:after="0" w:line="360" w:lineRule="auto"/>
        <w:jc w:val="both"/>
        <w:rPr>
          <w:rFonts w:ascii="Arial" w:hAnsi="Arial" w:cs="Arial"/>
          <w:sz w:val="24"/>
          <w:szCs w:val="24"/>
        </w:rPr>
      </w:pPr>
      <w:r w:rsidRPr="00C92CBE">
        <w:rPr>
          <w:rStyle w:val="cursor-pointer"/>
          <w:rFonts w:ascii="Arial" w:hAnsi="Arial" w:cs="Arial"/>
          <w:sz w:val="24"/>
          <w:szCs w:val="24"/>
        </w:rPr>
        <w:t xml:space="preserve">The innovative projects of SSAB's HYBRIT program that aims at using hydrogen for making steel instead of coke, and the </w:t>
      </w:r>
      <w:proofErr w:type="spellStart"/>
      <w:r w:rsidRPr="00C92CBE">
        <w:rPr>
          <w:rStyle w:val="cursor-pointer"/>
          <w:rFonts w:ascii="Arial" w:hAnsi="Arial" w:cs="Arial"/>
          <w:sz w:val="24"/>
          <w:szCs w:val="24"/>
        </w:rPr>
        <w:t>XCarb</w:t>
      </w:r>
      <w:proofErr w:type="spellEnd"/>
      <w:r w:rsidRPr="00C92CBE">
        <w:rPr>
          <w:rStyle w:val="cursor-pointer"/>
          <w:rFonts w:ascii="Arial" w:hAnsi="Arial" w:cs="Arial"/>
          <w:sz w:val="24"/>
          <w:szCs w:val="24"/>
        </w:rPr>
        <w:t xml:space="preserve"> brand portfolio of ArcelorMittal, which produces recycled steel, along with renewables-produced steel products, are currently hitting the market (Construction Digital, 2026).</w:t>
      </w:r>
      <w:r w:rsidRPr="00C92CBE">
        <w:rPr>
          <w:rFonts w:ascii="Arial" w:hAnsi="Arial" w:cs="Arial"/>
          <w:sz w:val="24"/>
          <w:szCs w:val="24"/>
        </w:rPr>
        <w:t xml:space="preserve"> </w:t>
      </w:r>
      <w:r w:rsidRPr="00C92CBE">
        <w:rPr>
          <w:rStyle w:val="cursor-pointer"/>
          <w:rFonts w:ascii="Arial" w:hAnsi="Arial" w:cs="Arial"/>
          <w:sz w:val="24"/>
          <w:szCs w:val="24"/>
        </w:rPr>
        <w:t>There has been a change in CSR, and it is becoming competitive.</w:t>
      </w:r>
      <w:r w:rsidRPr="00C92CBE">
        <w:rPr>
          <w:rFonts w:ascii="Arial" w:hAnsi="Arial" w:cs="Arial"/>
          <w:sz w:val="24"/>
          <w:szCs w:val="24"/>
        </w:rPr>
        <w:t xml:space="preserve"> </w:t>
      </w:r>
      <w:r w:rsidRPr="00C92CBE">
        <w:rPr>
          <w:rStyle w:val="cursor-pointer"/>
          <w:rFonts w:ascii="Arial" w:hAnsi="Arial" w:cs="Arial"/>
          <w:sz w:val="24"/>
          <w:szCs w:val="24"/>
        </w:rPr>
        <w:t>Tata Steel is committed to re-aligning its growth strategy with sustainable growth.</w:t>
      </w:r>
    </w:p>
    <w:p w14:paraId="1C44FCE2" w14:textId="77777777" w:rsidR="00586914" w:rsidRPr="00C92CBE" w:rsidRDefault="00586914" w:rsidP="00397EBF">
      <w:pPr>
        <w:tabs>
          <w:tab w:val="left" w:pos="3033"/>
        </w:tabs>
        <w:spacing w:before="240"/>
        <w:jc w:val="both"/>
        <w:rPr>
          <w:rFonts w:ascii="Arial" w:eastAsia="Arial" w:hAnsi="Arial" w:cs="Arial"/>
          <w:b/>
          <w:bCs/>
          <w:color w:val="2E5496"/>
          <w:sz w:val="24"/>
          <w:szCs w:val="24"/>
        </w:rPr>
      </w:pPr>
      <w:r w:rsidRPr="00C92CBE">
        <w:rPr>
          <w:rFonts w:ascii="Arial" w:eastAsia="Arial" w:hAnsi="Arial" w:cs="Arial"/>
          <w:b/>
          <w:bCs/>
          <w:color w:val="2E5496"/>
          <w:sz w:val="24"/>
          <w:szCs w:val="24"/>
        </w:rPr>
        <w:t xml:space="preserve">2.2 </w:t>
      </w:r>
      <w:proofErr w:type="spellStart"/>
      <w:r w:rsidRPr="00C92CBE">
        <w:rPr>
          <w:rFonts w:ascii="Arial" w:eastAsia="Arial" w:hAnsi="Arial" w:cs="Arial"/>
          <w:b/>
          <w:bCs/>
          <w:color w:val="2E5496"/>
          <w:sz w:val="24"/>
          <w:szCs w:val="24"/>
        </w:rPr>
        <w:t>Ansoff</w:t>
      </w:r>
      <w:proofErr w:type="spellEnd"/>
      <w:r w:rsidRPr="00C92CBE">
        <w:rPr>
          <w:rFonts w:ascii="Arial" w:eastAsia="Arial" w:hAnsi="Arial" w:cs="Arial"/>
          <w:b/>
          <w:bCs/>
          <w:color w:val="2E5496"/>
          <w:sz w:val="24"/>
          <w:szCs w:val="24"/>
        </w:rPr>
        <w:t xml:space="preserve"> Matrix: The Case for Product Development</w:t>
      </w:r>
    </w:p>
    <w:p w14:paraId="1A9DC8F6" w14:textId="6695914E" w:rsidR="003B4614" w:rsidRPr="00C92CBE" w:rsidRDefault="003B4614" w:rsidP="00397EBF">
      <w:pPr>
        <w:spacing w:before="240" w:line="360" w:lineRule="auto"/>
        <w:jc w:val="both"/>
        <w:rPr>
          <w:rFonts w:ascii="Arial" w:hAnsi="Arial" w:cs="Arial"/>
          <w:sz w:val="24"/>
          <w:szCs w:val="24"/>
        </w:rPr>
      </w:pPr>
      <w:r w:rsidRPr="00C92CBE">
        <w:rPr>
          <w:rStyle w:val="cursor-pointer"/>
          <w:rFonts w:ascii="Arial" w:hAnsi="Arial" w:cs="Arial"/>
          <w:sz w:val="24"/>
          <w:szCs w:val="24"/>
        </w:rPr>
        <w:t xml:space="preserve">The </w:t>
      </w:r>
      <w:proofErr w:type="spellStart"/>
      <w:r w:rsidRPr="00C92CBE">
        <w:rPr>
          <w:rStyle w:val="cursor-pointer"/>
          <w:rFonts w:ascii="Arial" w:hAnsi="Arial" w:cs="Arial"/>
          <w:sz w:val="24"/>
          <w:szCs w:val="24"/>
        </w:rPr>
        <w:t>Ansoff</w:t>
      </w:r>
      <w:proofErr w:type="spellEnd"/>
      <w:r w:rsidRPr="00C92CBE">
        <w:rPr>
          <w:rStyle w:val="cursor-pointer"/>
          <w:rFonts w:ascii="Arial" w:hAnsi="Arial" w:cs="Arial"/>
          <w:sz w:val="24"/>
          <w:szCs w:val="24"/>
        </w:rPr>
        <w:t xml:space="preserve"> matrix, created by Igor </w:t>
      </w:r>
      <w:proofErr w:type="spellStart"/>
      <w:r w:rsidRPr="00C92CBE">
        <w:rPr>
          <w:rStyle w:val="cursor-pointer"/>
          <w:rFonts w:ascii="Arial" w:hAnsi="Arial" w:cs="Arial"/>
          <w:sz w:val="24"/>
          <w:szCs w:val="24"/>
        </w:rPr>
        <w:t>Ansoff</w:t>
      </w:r>
      <w:proofErr w:type="spellEnd"/>
      <w:r w:rsidRPr="00C92CBE">
        <w:rPr>
          <w:rStyle w:val="cursor-pointer"/>
          <w:rFonts w:ascii="Arial" w:hAnsi="Arial" w:cs="Arial"/>
          <w:sz w:val="24"/>
          <w:szCs w:val="24"/>
        </w:rPr>
        <w:t xml:space="preserve"> in 1957, has four growth strategies, which are: Market Penetration, Market Development, Product Development, and Diversification.</w:t>
      </w:r>
      <w:r w:rsidRPr="00C92CBE">
        <w:rPr>
          <w:rFonts w:ascii="Arial" w:hAnsi="Arial" w:cs="Arial"/>
          <w:sz w:val="24"/>
          <w:szCs w:val="24"/>
        </w:rPr>
        <w:t xml:space="preserve"> </w:t>
      </w:r>
      <w:r w:rsidRPr="00C92CBE">
        <w:rPr>
          <w:rStyle w:val="cursor-pointer"/>
          <w:rFonts w:ascii="Arial" w:hAnsi="Arial" w:cs="Arial"/>
          <w:sz w:val="24"/>
          <w:szCs w:val="24"/>
        </w:rPr>
        <w:t>Market penetration is to increase the sales of the current products to the existing customers, while market development is about seeking out new markets for the existing products.</w:t>
      </w:r>
      <w:r w:rsidRPr="00C92CBE">
        <w:rPr>
          <w:rFonts w:ascii="Arial" w:hAnsi="Arial" w:cs="Arial"/>
          <w:sz w:val="24"/>
          <w:szCs w:val="24"/>
        </w:rPr>
        <w:t xml:space="preserve"> (</w:t>
      </w:r>
      <w:r w:rsidR="00563B39" w:rsidRPr="00C92CBE">
        <w:rPr>
          <w:rFonts w:ascii="Arial" w:hAnsi="Arial" w:cs="Arial"/>
          <w:sz w:val="24"/>
          <w:szCs w:val="24"/>
          <w:lang w:val="en-GB"/>
        </w:rPr>
        <w:t>Hooley et al., 2020</w:t>
      </w:r>
      <w:r w:rsidRPr="00C92CBE">
        <w:rPr>
          <w:rFonts w:ascii="Arial" w:hAnsi="Arial" w:cs="Arial"/>
          <w:sz w:val="24"/>
          <w:szCs w:val="24"/>
        </w:rPr>
        <w:t xml:space="preserve">) </w:t>
      </w:r>
    </w:p>
    <w:p w14:paraId="654476E5" w14:textId="62CE0158" w:rsidR="00FC1B94" w:rsidRPr="00FC1B94" w:rsidRDefault="003B4614" w:rsidP="00FC1B94">
      <w:pPr>
        <w:spacing w:after="0" w:line="360" w:lineRule="auto"/>
        <w:jc w:val="both"/>
        <w:rPr>
          <w:rFonts w:ascii="Arial" w:hAnsi="Arial" w:cs="Arial"/>
          <w:sz w:val="24"/>
          <w:szCs w:val="24"/>
        </w:rPr>
      </w:pPr>
      <w:r w:rsidRPr="00FB5182">
        <w:rPr>
          <w:rStyle w:val="cursor-pointer"/>
          <w:rFonts w:ascii="Arial" w:hAnsi="Arial" w:cs="Arial"/>
          <w:b/>
          <w:sz w:val="24"/>
          <w:szCs w:val="24"/>
        </w:rPr>
        <w:t xml:space="preserve">Tata Steel is recommended to use </w:t>
      </w:r>
      <w:r w:rsidR="00FB5182" w:rsidRPr="00FB5182">
        <w:rPr>
          <w:rStyle w:val="cursor-pointer"/>
          <w:rFonts w:ascii="Arial" w:hAnsi="Arial" w:cs="Arial"/>
          <w:b/>
          <w:sz w:val="24"/>
          <w:szCs w:val="24"/>
        </w:rPr>
        <w:t xml:space="preserve">the </w:t>
      </w:r>
      <w:r w:rsidRPr="00FB5182">
        <w:rPr>
          <w:rStyle w:val="cursor-pointer"/>
          <w:rFonts w:ascii="Arial" w:hAnsi="Arial" w:cs="Arial"/>
          <w:b/>
          <w:sz w:val="24"/>
          <w:szCs w:val="24"/>
        </w:rPr>
        <w:t>Product Development approach</w:t>
      </w:r>
      <w:r w:rsidRPr="00C92CBE">
        <w:rPr>
          <w:rStyle w:val="cursor-pointer"/>
          <w:rFonts w:ascii="Arial" w:hAnsi="Arial" w:cs="Arial"/>
          <w:sz w:val="24"/>
          <w:szCs w:val="24"/>
        </w:rPr>
        <w:t xml:space="preserve"> in relation to its existing customers in the automotive, construction, engineering</w:t>
      </w:r>
      <w:r w:rsidR="00E50801">
        <w:rPr>
          <w:rStyle w:val="cursor-pointer"/>
          <w:rFonts w:ascii="Arial" w:hAnsi="Arial" w:cs="Arial"/>
          <w:sz w:val="24"/>
          <w:szCs w:val="24"/>
        </w:rPr>
        <w:t>,</w:t>
      </w:r>
      <w:r w:rsidRPr="00C92CBE">
        <w:rPr>
          <w:rStyle w:val="cursor-pointer"/>
          <w:rFonts w:ascii="Arial" w:hAnsi="Arial" w:cs="Arial"/>
          <w:sz w:val="24"/>
          <w:szCs w:val="24"/>
        </w:rPr>
        <w:t xml:space="preserve"> and packaging sectors.</w:t>
      </w:r>
      <w:r w:rsidRPr="00C92CBE">
        <w:rPr>
          <w:rFonts w:ascii="Arial" w:hAnsi="Arial" w:cs="Arial"/>
          <w:sz w:val="24"/>
          <w:szCs w:val="24"/>
        </w:rPr>
        <w:t xml:space="preserve"> </w:t>
      </w:r>
      <w:r w:rsidRPr="00C92CBE">
        <w:rPr>
          <w:rStyle w:val="cursor-pointer"/>
          <w:rFonts w:ascii="Arial" w:hAnsi="Arial" w:cs="Arial"/>
          <w:sz w:val="24"/>
          <w:szCs w:val="24"/>
        </w:rPr>
        <w:t xml:space="preserve">The company knows its </w:t>
      </w:r>
      <w:r w:rsidR="00E50801">
        <w:rPr>
          <w:rStyle w:val="cursor-pointer"/>
          <w:rFonts w:ascii="Arial" w:hAnsi="Arial" w:cs="Arial"/>
          <w:sz w:val="24"/>
          <w:szCs w:val="24"/>
        </w:rPr>
        <w:t>customers</w:t>
      </w:r>
      <w:r w:rsidRPr="00C92CBE">
        <w:rPr>
          <w:rStyle w:val="cursor-pointer"/>
          <w:rFonts w:ascii="Arial" w:hAnsi="Arial" w:cs="Arial"/>
          <w:sz w:val="24"/>
          <w:szCs w:val="24"/>
        </w:rPr>
        <w:t xml:space="preserve"> well and has a good distr</w:t>
      </w:r>
      <w:r w:rsidR="000944B0">
        <w:rPr>
          <w:rStyle w:val="cursor-pointer"/>
          <w:rFonts w:ascii="Arial" w:hAnsi="Arial" w:cs="Arial"/>
          <w:sz w:val="24"/>
          <w:szCs w:val="24"/>
        </w:rPr>
        <w:t>ibution network</w:t>
      </w:r>
      <w:r w:rsidR="00E50801">
        <w:rPr>
          <w:rStyle w:val="cursor-pointer"/>
          <w:rFonts w:ascii="Arial" w:hAnsi="Arial" w:cs="Arial"/>
          <w:sz w:val="24"/>
          <w:szCs w:val="24"/>
        </w:rPr>
        <w:t>,</w:t>
      </w:r>
      <w:r w:rsidR="000944B0">
        <w:rPr>
          <w:rStyle w:val="cursor-pointer"/>
          <w:rFonts w:ascii="Arial" w:hAnsi="Arial" w:cs="Arial"/>
          <w:sz w:val="24"/>
          <w:szCs w:val="24"/>
        </w:rPr>
        <w:t xml:space="preserve"> but </w:t>
      </w:r>
      <w:r w:rsidR="00E50801">
        <w:rPr>
          <w:rStyle w:val="cursor-pointer"/>
          <w:rFonts w:ascii="Arial" w:hAnsi="Arial" w:cs="Arial"/>
          <w:sz w:val="24"/>
          <w:szCs w:val="24"/>
        </w:rPr>
        <w:t>it</w:t>
      </w:r>
      <w:r w:rsidR="000944B0">
        <w:rPr>
          <w:rStyle w:val="cursor-pointer"/>
          <w:rFonts w:ascii="Arial" w:hAnsi="Arial" w:cs="Arial"/>
          <w:sz w:val="24"/>
          <w:szCs w:val="24"/>
        </w:rPr>
        <w:t xml:space="preserve"> must</w:t>
      </w:r>
      <w:r w:rsidRPr="00C92CBE">
        <w:rPr>
          <w:rStyle w:val="cursor-pointer"/>
          <w:rFonts w:ascii="Arial" w:hAnsi="Arial" w:cs="Arial"/>
          <w:sz w:val="24"/>
          <w:szCs w:val="24"/>
        </w:rPr>
        <w:t xml:space="preserve"> adjust to changing product specifications demanded by </w:t>
      </w:r>
      <w:r w:rsidR="00E50801">
        <w:rPr>
          <w:rStyle w:val="cursor-pointer"/>
          <w:rFonts w:ascii="Arial" w:hAnsi="Arial" w:cs="Arial"/>
          <w:sz w:val="24"/>
          <w:szCs w:val="24"/>
        </w:rPr>
        <w:t>its</w:t>
      </w:r>
      <w:r w:rsidRPr="00C92CBE">
        <w:rPr>
          <w:rStyle w:val="cursor-pointer"/>
          <w:rFonts w:ascii="Arial" w:hAnsi="Arial" w:cs="Arial"/>
          <w:sz w:val="24"/>
          <w:szCs w:val="24"/>
        </w:rPr>
        <w:t xml:space="preserve"> customers.</w:t>
      </w:r>
      <w:r w:rsidRPr="00C92CBE">
        <w:rPr>
          <w:rFonts w:ascii="Arial" w:hAnsi="Arial" w:cs="Arial"/>
          <w:sz w:val="24"/>
          <w:szCs w:val="24"/>
        </w:rPr>
        <w:t xml:space="preserve"> </w:t>
      </w:r>
      <w:r w:rsidRPr="00C92CBE">
        <w:rPr>
          <w:rStyle w:val="cursor-pointer"/>
          <w:rFonts w:ascii="Arial" w:hAnsi="Arial" w:cs="Arial"/>
          <w:sz w:val="24"/>
          <w:szCs w:val="24"/>
        </w:rPr>
        <w:t>These customers are motivated by emission reduction goals and green purchasing policies and are looking for somethi</w:t>
      </w:r>
      <w:r w:rsidR="00563B39" w:rsidRPr="00C92CBE">
        <w:rPr>
          <w:rStyle w:val="cursor-pointer"/>
          <w:rFonts w:ascii="Arial" w:hAnsi="Arial" w:cs="Arial"/>
          <w:sz w:val="24"/>
          <w:szCs w:val="24"/>
        </w:rPr>
        <w:t xml:space="preserve">ng more </w:t>
      </w:r>
      <w:r w:rsidR="00745415" w:rsidRPr="00C92CBE">
        <w:rPr>
          <w:rStyle w:val="cursor-pointer"/>
          <w:rFonts w:ascii="Arial" w:hAnsi="Arial" w:cs="Arial"/>
          <w:sz w:val="24"/>
          <w:szCs w:val="24"/>
        </w:rPr>
        <w:t>than</w:t>
      </w:r>
      <w:r w:rsidR="00563B39" w:rsidRPr="00C92CBE">
        <w:rPr>
          <w:rStyle w:val="cursor-pointer"/>
          <w:rFonts w:ascii="Arial" w:hAnsi="Arial" w:cs="Arial"/>
          <w:sz w:val="24"/>
          <w:szCs w:val="24"/>
        </w:rPr>
        <w:t xml:space="preserve"> traditional steel </w:t>
      </w:r>
      <w:r w:rsidRPr="00C92CBE">
        <w:rPr>
          <w:rStyle w:val="cursor-pointer"/>
          <w:rFonts w:ascii="Arial" w:hAnsi="Arial" w:cs="Arial"/>
          <w:sz w:val="24"/>
          <w:szCs w:val="24"/>
        </w:rPr>
        <w:t>products that can</w:t>
      </w:r>
      <w:r w:rsidR="00397EBF">
        <w:rPr>
          <w:rStyle w:val="cursor-pointer"/>
          <w:rFonts w:ascii="Arial" w:hAnsi="Arial" w:cs="Arial"/>
          <w:sz w:val="24"/>
          <w:szCs w:val="24"/>
        </w:rPr>
        <w:t xml:space="preserve"> </w:t>
      </w:r>
      <w:r w:rsidRPr="00C92CBE">
        <w:rPr>
          <w:rStyle w:val="cursor-pointer"/>
          <w:rFonts w:ascii="Arial" w:hAnsi="Arial" w:cs="Arial"/>
          <w:sz w:val="24"/>
          <w:szCs w:val="24"/>
        </w:rPr>
        <w:t>provide credible evidence for their reduced carbon footprint that can be supported with reliable lifecycle assessment (Tata Steel, 2025).</w:t>
      </w:r>
    </w:p>
    <w:p w14:paraId="0E921446" w14:textId="77777777" w:rsidR="00FC1B94" w:rsidRDefault="00FC1B94" w:rsidP="001E4B8E">
      <w:pPr>
        <w:spacing w:line="360" w:lineRule="auto"/>
        <w:jc w:val="center"/>
        <w:rPr>
          <w:rFonts w:ascii="Arial" w:hAnsi="Arial" w:cs="Arial"/>
          <w:b/>
          <w:i/>
          <w:color w:val="808080" w:themeColor="background1" w:themeShade="80"/>
          <w:sz w:val="20"/>
          <w:szCs w:val="24"/>
        </w:rPr>
      </w:pPr>
    </w:p>
    <w:p w14:paraId="1520762F" w14:textId="77777777" w:rsidR="00FC1B94" w:rsidRDefault="00FC1B94" w:rsidP="001E4B8E">
      <w:pPr>
        <w:spacing w:line="360" w:lineRule="auto"/>
        <w:jc w:val="center"/>
        <w:rPr>
          <w:rFonts w:ascii="Arial" w:hAnsi="Arial" w:cs="Arial"/>
          <w:b/>
          <w:i/>
          <w:color w:val="808080" w:themeColor="background1" w:themeShade="80"/>
          <w:sz w:val="20"/>
          <w:szCs w:val="24"/>
        </w:rPr>
      </w:pPr>
    </w:p>
    <w:p w14:paraId="196297C2" w14:textId="77777777" w:rsidR="00FC1B94" w:rsidRDefault="00FC1B94" w:rsidP="001E4B8E">
      <w:pPr>
        <w:spacing w:line="360" w:lineRule="auto"/>
        <w:jc w:val="center"/>
        <w:rPr>
          <w:rFonts w:ascii="Arial" w:hAnsi="Arial" w:cs="Arial"/>
          <w:b/>
          <w:i/>
          <w:color w:val="808080" w:themeColor="background1" w:themeShade="80"/>
          <w:sz w:val="20"/>
          <w:szCs w:val="24"/>
        </w:rPr>
      </w:pPr>
    </w:p>
    <w:p w14:paraId="7664A72B" w14:textId="77777777" w:rsidR="00FC1B94" w:rsidRDefault="00FC1B94" w:rsidP="001E4B8E">
      <w:pPr>
        <w:spacing w:line="360" w:lineRule="auto"/>
        <w:jc w:val="center"/>
        <w:rPr>
          <w:rFonts w:ascii="Arial" w:hAnsi="Arial" w:cs="Arial"/>
          <w:b/>
          <w:i/>
          <w:color w:val="808080" w:themeColor="background1" w:themeShade="80"/>
          <w:sz w:val="20"/>
          <w:szCs w:val="24"/>
        </w:rPr>
      </w:pPr>
    </w:p>
    <w:p w14:paraId="308B6574" w14:textId="72405904" w:rsidR="00FC1B94" w:rsidRDefault="00FC1B94" w:rsidP="001E4B8E">
      <w:pPr>
        <w:spacing w:line="360" w:lineRule="auto"/>
        <w:jc w:val="center"/>
        <w:rPr>
          <w:rFonts w:ascii="Arial" w:hAnsi="Arial" w:cs="Arial"/>
          <w:b/>
          <w:i/>
          <w:color w:val="808080" w:themeColor="background1" w:themeShade="80"/>
          <w:sz w:val="20"/>
          <w:szCs w:val="24"/>
        </w:rPr>
      </w:pPr>
      <w:r w:rsidRPr="003B4614">
        <w:rPr>
          <w:rFonts w:ascii="Arial" w:hAnsi="Arial" w:cs="Arial"/>
          <w:noProof/>
          <w:sz w:val="24"/>
          <w:szCs w:val="24"/>
          <w:lang w:eastAsia="en-IN"/>
        </w:rPr>
        <w:lastRenderedPageBreak/>
        <w:drawing>
          <wp:anchor distT="0" distB="0" distL="114300" distR="114300" simplePos="0" relativeHeight="251678720" behindDoc="1" locked="0" layoutInCell="1" allowOverlap="1" wp14:anchorId="0DB5062C" wp14:editId="753FC29F">
            <wp:simplePos x="0" y="0"/>
            <wp:positionH relativeFrom="margin">
              <wp:align>center</wp:align>
            </wp:positionH>
            <wp:positionV relativeFrom="paragraph">
              <wp:posOffset>546</wp:posOffset>
            </wp:positionV>
            <wp:extent cx="6144260" cy="2042160"/>
            <wp:effectExtent l="0" t="0" r="8890" b="0"/>
            <wp:wrapThrough wrapText="bothSides">
              <wp:wrapPolygon edited="0">
                <wp:start x="603" y="0"/>
                <wp:lineTo x="536" y="5440"/>
                <wp:lineTo x="1072" y="6851"/>
                <wp:lineTo x="1741" y="6851"/>
                <wp:lineTo x="268" y="8060"/>
                <wp:lineTo x="0" y="8463"/>
                <wp:lineTo x="0" y="10881"/>
                <wp:lineTo x="402" y="13299"/>
                <wp:lineTo x="536" y="19142"/>
                <wp:lineTo x="2210" y="19746"/>
                <wp:lineTo x="5358" y="19746"/>
                <wp:lineTo x="5291" y="20955"/>
                <wp:lineTo x="7568" y="21358"/>
                <wp:lineTo x="18350" y="21358"/>
                <wp:lineTo x="18551" y="19948"/>
                <wp:lineTo x="21564" y="19746"/>
                <wp:lineTo x="21564" y="604"/>
                <wp:lineTo x="16408" y="0"/>
                <wp:lineTo x="603"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erial view of the British Steel Tata Steel factory plant in Stock ..."/>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6144260" cy="2042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01D12E" w14:textId="24447B71" w:rsidR="00397EBF" w:rsidRPr="00397EBF" w:rsidRDefault="002C35A6" w:rsidP="001E4B8E">
      <w:pPr>
        <w:spacing w:line="360" w:lineRule="auto"/>
        <w:jc w:val="center"/>
        <w:rPr>
          <w:rFonts w:ascii="Arial" w:hAnsi="Arial" w:cs="Arial"/>
          <w:i/>
          <w:color w:val="808080" w:themeColor="background1" w:themeShade="80"/>
          <w:sz w:val="20"/>
          <w:szCs w:val="24"/>
        </w:rPr>
      </w:pPr>
      <w:r>
        <w:rPr>
          <w:rFonts w:ascii="Arial" w:hAnsi="Arial" w:cs="Arial"/>
          <w:b/>
          <w:i/>
          <w:color w:val="808080" w:themeColor="background1" w:themeShade="80"/>
          <w:sz w:val="20"/>
          <w:szCs w:val="24"/>
        </w:rPr>
        <w:t>Figure 6</w:t>
      </w:r>
      <w:r w:rsidR="00397EBF" w:rsidRPr="00C436EC">
        <w:rPr>
          <w:rFonts w:ascii="Arial" w:hAnsi="Arial" w:cs="Arial"/>
          <w:b/>
          <w:i/>
          <w:color w:val="808080" w:themeColor="background1" w:themeShade="80"/>
          <w:sz w:val="20"/>
          <w:szCs w:val="24"/>
        </w:rPr>
        <w:t>: Tata Steel green steel investment breakdown by funding source (£ billion), 2023-2027.</w:t>
      </w:r>
      <w:r w:rsidR="00397EBF" w:rsidRPr="00C436EC">
        <w:rPr>
          <w:rFonts w:ascii="Arial" w:hAnsi="Arial" w:cs="Arial"/>
          <w:i/>
          <w:color w:val="808080" w:themeColor="background1" w:themeShade="80"/>
          <w:sz w:val="20"/>
          <w:szCs w:val="24"/>
        </w:rPr>
        <w:t xml:space="preserve"> Source: Author's own chart compiled from Tata Steel UK (2025) Green steel future; Lux Metal Group (2025) Tata Steel's bold green future; Tata Steel (2025)</w:t>
      </w:r>
    </w:p>
    <w:p w14:paraId="73C804C9" w14:textId="4B9279EF" w:rsidR="00FB5182" w:rsidRPr="00FB5182" w:rsidRDefault="00563B39" w:rsidP="00397EBF">
      <w:pPr>
        <w:tabs>
          <w:tab w:val="left" w:pos="3033"/>
        </w:tabs>
        <w:spacing w:line="360" w:lineRule="auto"/>
        <w:jc w:val="both"/>
        <w:rPr>
          <w:rFonts w:ascii="Arial" w:hAnsi="Arial" w:cs="Arial"/>
          <w:sz w:val="24"/>
        </w:rPr>
      </w:pPr>
      <w:r w:rsidRPr="00C92CBE">
        <w:rPr>
          <w:rStyle w:val="cursor-pointer"/>
          <w:rFonts w:ascii="Arial" w:hAnsi="Arial" w:cs="Arial"/>
          <w:sz w:val="24"/>
          <w:szCs w:val="24"/>
        </w:rPr>
        <w:t>In many wa</w:t>
      </w:r>
      <w:r w:rsidR="000944B0">
        <w:rPr>
          <w:rStyle w:val="cursor-pointer"/>
          <w:rFonts w:ascii="Arial" w:hAnsi="Arial" w:cs="Arial"/>
          <w:sz w:val="24"/>
          <w:szCs w:val="24"/>
        </w:rPr>
        <w:t xml:space="preserve">ys, Tata Steel's approach has various </w:t>
      </w:r>
      <w:r w:rsidRPr="00C92CBE">
        <w:rPr>
          <w:rStyle w:val="cursor-pointer"/>
          <w:rFonts w:ascii="Arial" w:hAnsi="Arial" w:cs="Arial"/>
          <w:sz w:val="24"/>
          <w:szCs w:val="24"/>
        </w:rPr>
        <w:t>advantages</w:t>
      </w:r>
      <w:r w:rsidR="008C232E">
        <w:rPr>
          <w:rStyle w:val="cursor-pointer"/>
          <w:rFonts w:ascii="Arial" w:hAnsi="Arial" w:cs="Arial"/>
          <w:sz w:val="24"/>
          <w:szCs w:val="24"/>
        </w:rPr>
        <w:t>,</w:t>
      </w:r>
      <w:r w:rsidRPr="00C92CBE">
        <w:rPr>
          <w:rStyle w:val="cursor-pointer"/>
          <w:rFonts w:ascii="Arial" w:hAnsi="Arial" w:cs="Arial"/>
          <w:sz w:val="24"/>
          <w:szCs w:val="24"/>
        </w:rPr>
        <w:t xml:space="preserve"> including the ability to leverage partnerships to mitigate the risks involved in entering the market, and its ability to manufacture premium, </w:t>
      </w:r>
      <w:r w:rsidR="000944B0">
        <w:rPr>
          <w:rStyle w:val="cursor-pointer"/>
          <w:rFonts w:ascii="Arial" w:hAnsi="Arial" w:cs="Arial"/>
          <w:sz w:val="24"/>
          <w:szCs w:val="24"/>
        </w:rPr>
        <w:t>low-carbon</w:t>
      </w:r>
      <w:r w:rsidRPr="00C92CBE">
        <w:rPr>
          <w:rStyle w:val="cursor-pointer"/>
          <w:rFonts w:ascii="Arial" w:hAnsi="Arial" w:cs="Arial"/>
          <w:sz w:val="24"/>
          <w:szCs w:val="24"/>
        </w:rPr>
        <w:t xml:space="preserve"> steel, which is appealing to ESG investors.</w:t>
      </w:r>
      <w:r w:rsidRPr="00C92CBE">
        <w:rPr>
          <w:rFonts w:ascii="Arial" w:hAnsi="Arial" w:cs="Arial"/>
          <w:sz w:val="24"/>
          <w:szCs w:val="24"/>
        </w:rPr>
        <w:t xml:space="preserve"> </w:t>
      </w:r>
      <w:r w:rsidRPr="00C92CBE">
        <w:rPr>
          <w:rStyle w:val="cursor-pointer"/>
          <w:rFonts w:ascii="Arial" w:hAnsi="Arial" w:cs="Arial"/>
          <w:sz w:val="24"/>
          <w:szCs w:val="24"/>
        </w:rPr>
        <w:t xml:space="preserve">However, it is under significant financial threat, especially for a £2.5 billion investment </w:t>
      </w:r>
      <w:r w:rsidR="00935B11" w:rsidRPr="00935B11">
        <w:rPr>
          <w:rStyle w:val="cursor-pointer"/>
          <w:rFonts w:ascii="Arial" w:hAnsi="Arial" w:cs="Arial"/>
          <w:b/>
          <w:sz w:val="24"/>
          <w:szCs w:val="24"/>
        </w:rPr>
        <w:t xml:space="preserve">(as mentioned in Figure 6) </w:t>
      </w:r>
      <w:r w:rsidRPr="00C92CBE">
        <w:rPr>
          <w:rStyle w:val="cursor-pointer"/>
          <w:rFonts w:ascii="Arial" w:hAnsi="Arial" w:cs="Arial"/>
          <w:sz w:val="24"/>
          <w:szCs w:val="24"/>
        </w:rPr>
        <w:t>in green steel production in the UK and Netherlands</w:t>
      </w:r>
      <w:r w:rsidR="000944B0">
        <w:rPr>
          <w:rStyle w:val="cursor-pointer"/>
          <w:rFonts w:ascii="Arial" w:hAnsi="Arial" w:cs="Arial"/>
          <w:sz w:val="24"/>
          <w:szCs w:val="24"/>
        </w:rPr>
        <w:t>,</w:t>
      </w:r>
      <w:r w:rsidRPr="00C92CBE">
        <w:rPr>
          <w:rStyle w:val="cursor-pointer"/>
          <w:rFonts w:ascii="Arial" w:hAnsi="Arial" w:cs="Arial"/>
          <w:sz w:val="24"/>
          <w:szCs w:val="24"/>
        </w:rPr>
        <w:t xml:space="preserve"> which is expected to generate little immediate financial return.</w:t>
      </w:r>
      <w:r w:rsidRPr="00C92CBE">
        <w:rPr>
          <w:rFonts w:ascii="Arial" w:hAnsi="Arial" w:cs="Arial"/>
          <w:sz w:val="24"/>
          <w:szCs w:val="24"/>
        </w:rPr>
        <w:t xml:space="preserve"> </w:t>
      </w:r>
      <w:r w:rsidRPr="00C92CBE">
        <w:rPr>
          <w:rStyle w:val="cursor-pointer"/>
          <w:rFonts w:ascii="Arial" w:hAnsi="Arial" w:cs="Arial"/>
          <w:sz w:val="24"/>
          <w:szCs w:val="24"/>
        </w:rPr>
        <w:t>Moreover, it is difficult to evaluate how</w:t>
      </w:r>
      <w:r w:rsidR="000944B0">
        <w:rPr>
          <w:rStyle w:val="cursor-pointer"/>
          <w:rFonts w:ascii="Arial" w:hAnsi="Arial" w:cs="Arial"/>
          <w:sz w:val="24"/>
          <w:szCs w:val="24"/>
        </w:rPr>
        <w:t xml:space="preserve"> willing the customers in all</w:t>
      </w:r>
      <w:r w:rsidRPr="00C92CBE">
        <w:rPr>
          <w:rStyle w:val="cursor-pointer"/>
          <w:rFonts w:ascii="Arial" w:hAnsi="Arial" w:cs="Arial"/>
          <w:sz w:val="24"/>
          <w:szCs w:val="24"/>
        </w:rPr>
        <w:t xml:space="preserve"> the markets are to pay for less </w:t>
      </w:r>
      <w:r w:rsidR="00FB5182">
        <w:rPr>
          <w:rStyle w:val="cursor-pointer"/>
          <w:rFonts w:ascii="Arial" w:hAnsi="Arial" w:cs="Arial"/>
          <w:sz w:val="24"/>
          <w:szCs w:val="24"/>
        </w:rPr>
        <w:t>carbon-intensive</w:t>
      </w:r>
      <w:r w:rsidRPr="00C92CBE">
        <w:rPr>
          <w:rStyle w:val="cursor-pointer"/>
          <w:rFonts w:ascii="Arial" w:hAnsi="Arial" w:cs="Arial"/>
          <w:sz w:val="24"/>
          <w:szCs w:val="24"/>
        </w:rPr>
        <w:t xml:space="preserve"> products (Carbon Tracker Initiative, 2025).</w:t>
      </w:r>
      <w:r w:rsidRPr="00C92CBE">
        <w:rPr>
          <w:rFonts w:ascii="Arial" w:hAnsi="Arial" w:cs="Arial"/>
          <w:sz w:val="24"/>
          <w:szCs w:val="24"/>
        </w:rPr>
        <w:t xml:space="preserve"> </w:t>
      </w:r>
      <w:r w:rsidR="00FB5182" w:rsidRPr="00FB5182">
        <w:rPr>
          <w:rFonts w:ascii="Arial" w:hAnsi="Arial" w:cs="Arial"/>
          <w:sz w:val="24"/>
        </w:rPr>
        <w:t>Given that customers in less regulated markets show little inclination to absorb higher costs for greener products, Tata Steel’s reliance on hydrogen</w:t>
      </w:r>
      <w:r w:rsidR="00FB5182" w:rsidRPr="00FB5182">
        <w:rPr>
          <w:rFonts w:ascii="Arial" w:hAnsi="Arial" w:cs="Arial"/>
          <w:sz w:val="24"/>
        </w:rPr>
        <w:noBreakHyphen/>
        <w:t>based steelmaking introduces additional strategic risk, as the technology is not yet technologically or economically viable at scale.</w:t>
      </w:r>
    </w:p>
    <w:p w14:paraId="08057F34" w14:textId="5B6C80A3" w:rsidR="00745415" w:rsidRDefault="00586914" w:rsidP="00FC1B94">
      <w:pPr>
        <w:tabs>
          <w:tab w:val="left" w:pos="3033"/>
        </w:tabs>
        <w:spacing w:before="240" w:line="360" w:lineRule="auto"/>
        <w:jc w:val="both"/>
        <w:rPr>
          <w:rFonts w:ascii="Arial" w:eastAsia="Arial" w:hAnsi="Arial" w:cs="Arial"/>
          <w:b/>
          <w:bCs/>
          <w:color w:val="2E5496"/>
          <w:sz w:val="26"/>
          <w:szCs w:val="26"/>
        </w:rPr>
      </w:pPr>
      <w:r>
        <w:rPr>
          <w:rFonts w:ascii="Arial" w:eastAsia="Arial" w:hAnsi="Arial" w:cs="Arial"/>
          <w:b/>
          <w:bCs/>
          <w:color w:val="2E5496"/>
          <w:sz w:val="26"/>
          <w:szCs w:val="26"/>
        </w:rPr>
        <w:t>2.3 Porter's Generic Strategies: Differentiation</w:t>
      </w:r>
    </w:p>
    <w:p w14:paraId="69EC0ECD" w14:textId="0A98627D" w:rsidR="00745415" w:rsidRDefault="00563B39" w:rsidP="00397EBF">
      <w:pPr>
        <w:tabs>
          <w:tab w:val="left" w:pos="3033"/>
        </w:tabs>
        <w:spacing w:line="360" w:lineRule="auto"/>
        <w:jc w:val="both"/>
        <w:rPr>
          <w:rFonts w:ascii="Arial" w:hAnsi="Arial" w:cs="Arial"/>
          <w:sz w:val="24"/>
          <w:szCs w:val="24"/>
        </w:rPr>
      </w:pPr>
      <w:r w:rsidRPr="00563B39">
        <w:rPr>
          <w:rFonts w:ascii="Arial" w:hAnsi="Arial" w:cs="Arial"/>
          <w:sz w:val="24"/>
          <w:szCs w:val="24"/>
        </w:rPr>
        <w:t xml:space="preserve">According to Porter's (1980) generic strategies framework, </w:t>
      </w:r>
      <w:r w:rsidR="00FB5182" w:rsidRPr="00FB5182">
        <w:rPr>
          <w:rFonts w:ascii="Arial" w:hAnsi="Arial" w:cs="Arial"/>
          <w:b/>
          <w:sz w:val="24"/>
          <w:szCs w:val="24"/>
        </w:rPr>
        <w:t>three competitive positions</w:t>
      </w:r>
      <w:r w:rsidR="00FB5182">
        <w:rPr>
          <w:rFonts w:ascii="Arial" w:hAnsi="Arial" w:cs="Arial"/>
          <w:sz w:val="24"/>
          <w:szCs w:val="24"/>
        </w:rPr>
        <w:t xml:space="preserve"> can</w:t>
      </w:r>
      <w:r w:rsidRPr="00563B39">
        <w:rPr>
          <w:rFonts w:ascii="Arial" w:hAnsi="Arial" w:cs="Arial"/>
          <w:sz w:val="24"/>
          <w:szCs w:val="24"/>
        </w:rPr>
        <w:t xml:space="preserve"> be taken by a firm in an industry: </w:t>
      </w:r>
      <w:r w:rsidRPr="0028273B">
        <w:rPr>
          <w:rFonts w:ascii="Arial" w:hAnsi="Arial" w:cs="Arial"/>
          <w:b/>
          <w:sz w:val="24"/>
          <w:szCs w:val="24"/>
        </w:rPr>
        <w:t>cost leadership</w:t>
      </w:r>
      <w:r w:rsidRPr="00563B39">
        <w:rPr>
          <w:rFonts w:ascii="Arial" w:hAnsi="Arial" w:cs="Arial"/>
          <w:sz w:val="24"/>
          <w:szCs w:val="24"/>
        </w:rPr>
        <w:t xml:space="preserve">, where by the firm has the lowest cost position relative to the competitor; </w:t>
      </w:r>
      <w:r w:rsidRPr="0028273B">
        <w:rPr>
          <w:rFonts w:ascii="Arial" w:hAnsi="Arial" w:cs="Arial"/>
          <w:b/>
          <w:sz w:val="24"/>
          <w:szCs w:val="24"/>
        </w:rPr>
        <w:t>differentiation</w:t>
      </w:r>
      <w:r w:rsidRPr="00563B39">
        <w:rPr>
          <w:rFonts w:ascii="Arial" w:hAnsi="Arial" w:cs="Arial"/>
          <w:sz w:val="24"/>
          <w:szCs w:val="24"/>
        </w:rPr>
        <w:t xml:space="preserve">, where by the firm differentiates on attributes valued by the buyer; and </w:t>
      </w:r>
      <w:r w:rsidRPr="0028273B">
        <w:rPr>
          <w:rFonts w:ascii="Arial" w:hAnsi="Arial" w:cs="Arial"/>
          <w:b/>
          <w:sz w:val="24"/>
          <w:szCs w:val="24"/>
        </w:rPr>
        <w:t>focus</w:t>
      </w:r>
      <w:r w:rsidRPr="00563B39">
        <w:rPr>
          <w:rFonts w:ascii="Arial" w:hAnsi="Arial" w:cs="Arial"/>
          <w:sz w:val="24"/>
          <w:szCs w:val="24"/>
        </w:rPr>
        <w:t>, where by the firm is targeting a specific niche within the industry through either the previous two strategies.</w:t>
      </w:r>
    </w:p>
    <w:p w14:paraId="3F4F012A" w14:textId="07456049" w:rsidR="00745415" w:rsidRDefault="00563B39" w:rsidP="00CD0328">
      <w:pPr>
        <w:tabs>
          <w:tab w:val="left" w:pos="3033"/>
        </w:tabs>
        <w:spacing w:before="240" w:line="360" w:lineRule="auto"/>
        <w:jc w:val="both"/>
        <w:rPr>
          <w:rFonts w:ascii="Arial" w:hAnsi="Arial" w:cs="Arial"/>
          <w:sz w:val="24"/>
          <w:szCs w:val="24"/>
        </w:rPr>
      </w:pPr>
      <w:r w:rsidRPr="00FB5182">
        <w:rPr>
          <w:rFonts w:ascii="Arial" w:hAnsi="Arial" w:cs="Arial"/>
          <w:sz w:val="24"/>
          <w:szCs w:val="24"/>
        </w:rPr>
        <w:t>A Differentiation strategy</w:t>
      </w:r>
      <w:r w:rsidRPr="00563B39">
        <w:rPr>
          <w:rFonts w:ascii="Arial" w:hAnsi="Arial" w:cs="Arial"/>
          <w:sz w:val="24"/>
          <w:szCs w:val="24"/>
        </w:rPr>
        <w:t xml:space="preserve"> is the competitive strategy used by Tata Steel. There is no structural possibility to achieve cost leadership because there are large-scale Chinese producers with much lower labour and energy costs than those in the UK and the Netherlands. Trying to aggressively cut costs while investing heavily in the </w:t>
      </w:r>
      <w:r w:rsidRPr="00563B39">
        <w:rPr>
          <w:rFonts w:ascii="Arial" w:hAnsi="Arial" w:cs="Arial"/>
          <w:sz w:val="24"/>
          <w:szCs w:val="24"/>
        </w:rPr>
        <w:lastRenderedPageBreak/>
        <w:t>environment would put an undue financial strain on Tata Steel and would not benefit the environment or the company.</w:t>
      </w:r>
    </w:p>
    <w:p w14:paraId="56ADE1BC" w14:textId="31014B51" w:rsidR="003107B9" w:rsidRPr="00745415" w:rsidRDefault="00563B39" w:rsidP="00CD0328">
      <w:pPr>
        <w:tabs>
          <w:tab w:val="left" w:pos="3033"/>
        </w:tabs>
        <w:spacing w:before="240" w:after="0" w:line="360" w:lineRule="auto"/>
        <w:jc w:val="both"/>
      </w:pPr>
      <w:r w:rsidRPr="00563B39">
        <w:rPr>
          <w:rFonts w:ascii="Arial" w:hAnsi="Arial" w:cs="Arial"/>
          <w:sz w:val="24"/>
          <w:szCs w:val="24"/>
        </w:rPr>
        <w:t xml:space="preserve">The </w:t>
      </w:r>
      <w:proofErr w:type="spellStart"/>
      <w:r w:rsidRPr="00563B39">
        <w:rPr>
          <w:rFonts w:ascii="Arial" w:hAnsi="Arial" w:cs="Arial"/>
          <w:sz w:val="24"/>
          <w:szCs w:val="24"/>
        </w:rPr>
        <w:t>Zeremis</w:t>
      </w:r>
      <w:proofErr w:type="spellEnd"/>
      <w:r w:rsidRPr="00563B39">
        <w:rPr>
          <w:rFonts w:ascii="Arial" w:hAnsi="Arial" w:cs="Arial"/>
          <w:sz w:val="24"/>
          <w:szCs w:val="24"/>
        </w:rPr>
        <w:t xml:space="preserve"> product range is the main differentiation tool of Tata Steel. Tata Steel's commercial product also includes verified </w:t>
      </w:r>
      <w:r w:rsidR="00FB5182" w:rsidRPr="00FB5182">
        <w:rPr>
          <w:rFonts w:ascii="Arial" w:hAnsi="Arial" w:cs="Arial"/>
          <w:sz w:val="24"/>
          <w:szCs w:val="24"/>
        </w:rPr>
        <w:t>Life Cycle Assessment</w:t>
      </w:r>
      <w:r w:rsidR="00FB5182">
        <w:rPr>
          <w:rFonts w:ascii="Arial" w:hAnsi="Arial" w:cs="Arial"/>
          <w:sz w:val="24"/>
          <w:szCs w:val="24"/>
        </w:rPr>
        <w:t xml:space="preserve"> (</w:t>
      </w:r>
      <w:r w:rsidRPr="00563B39">
        <w:rPr>
          <w:rFonts w:ascii="Arial" w:hAnsi="Arial" w:cs="Arial"/>
          <w:sz w:val="24"/>
          <w:szCs w:val="24"/>
        </w:rPr>
        <w:t>LCA</w:t>
      </w:r>
      <w:r w:rsidR="00FB5182">
        <w:rPr>
          <w:rFonts w:ascii="Arial" w:hAnsi="Arial" w:cs="Arial"/>
          <w:sz w:val="24"/>
          <w:szCs w:val="24"/>
        </w:rPr>
        <w:t>)</w:t>
      </w:r>
      <w:r w:rsidRPr="00563B39">
        <w:rPr>
          <w:rFonts w:ascii="Arial" w:hAnsi="Arial" w:cs="Arial"/>
          <w:sz w:val="24"/>
          <w:szCs w:val="24"/>
        </w:rPr>
        <w:t xml:space="preserve"> information and recognised sustainability certifications, allowing purchasing organisations to validate their procurement activities with internal governance and external stakeholders. Most importantly, the expected 90% reduction in CO</w:t>
      </w:r>
      <w:r w:rsidRPr="00563B39">
        <w:rPr>
          <w:rFonts w:ascii="Cambria Math" w:hAnsi="Cambria Math" w:cs="Cambria Math"/>
          <w:sz w:val="24"/>
          <w:szCs w:val="24"/>
        </w:rPr>
        <w:t>₂</w:t>
      </w:r>
      <w:r w:rsidRPr="00563B39">
        <w:rPr>
          <w:rFonts w:ascii="Arial" w:hAnsi="Arial" w:cs="Arial"/>
          <w:sz w:val="24"/>
          <w:szCs w:val="24"/>
        </w:rPr>
        <w:t xml:space="preserve"> emissions after the commissioning of the Port Talbot EAF facility is not a gimmick but a fact that will be meas</w:t>
      </w:r>
      <w:r w:rsidR="000541B3">
        <w:rPr>
          <w:rFonts w:ascii="Arial" w:hAnsi="Arial" w:cs="Arial"/>
          <w:sz w:val="24"/>
          <w:szCs w:val="24"/>
        </w:rPr>
        <w:t>ured and independently verified</w:t>
      </w:r>
      <w:r w:rsidRPr="00563B39">
        <w:rPr>
          <w:rFonts w:ascii="Arial" w:hAnsi="Arial" w:cs="Arial"/>
          <w:sz w:val="24"/>
          <w:szCs w:val="24"/>
        </w:rPr>
        <w:t xml:space="preserve">. But in industries like automotive and construction, environmental considerations of supply chains are now being considered by regulators and investors, and low-carbon steel has become a mandatory procurement criterion </w:t>
      </w:r>
      <w:r w:rsidR="000541B3" w:rsidRPr="000541B3">
        <w:rPr>
          <w:rFonts w:ascii="Arial" w:hAnsi="Arial" w:cs="Arial"/>
          <w:sz w:val="24"/>
          <w:szCs w:val="24"/>
        </w:rPr>
        <w:t>(Tata Steel UK, 2025)</w:t>
      </w:r>
      <w:r w:rsidRPr="00563B39">
        <w:rPr>
          <w:rFonts w:ascii="Arial" w:hAnsi="Arial" w:cs="Arial"/>
          <w:sz w:val="24"/>
          <w:szCs w:val="24"/>
        </w:rPr>
        <w:t>.</w:t>
      </w:r>
    </w:p>
    <w:p w14:paraId="588C6657" w14:textId="687801D3" w:rsidR="00563B39" w:rsidRPr="00563B39" w:rsidRDefault="00563B39" w:rsidP="00CD0328">
      <w:pPr>
        <w:spacing w:before="240" w:line="360" w:lineRule="auto"/>
        <w:jc w:val="both"/>
        <w:rPr>
          <w:rFonts w:ascii="Arial" w:hAnsi="Arial" w:cs="Arial"/>
          <w:sz w:val="24"/>
          <w:szCs w:val="24"/>
        </w:rPr>
      </w:pPr>
      <w:r w:rsidRPr="00563B39">
        <w:rPr>
          <w:rStyle w:val="cursor-pointer"/>
          <w:rFonts w:ascii="Arial" w:hAnsi="Arial" w:cs="Arial"/>
          <w:sz w:val="24"/>
          <w:szCs w:val="24"/>
        </w:rPr>
        <w:t>Tata Steel's dedication to transparency and institutional accountability strengthens its differentiation position.</w:t>
      </w:r>
      <w:r w:rsidRPr="00563B39">
        <w:rPr>
          <w:rFonts w:ascii="Arial" w:hAnsi="Arial" w:cs="Arial"/>
          <w:sz w:val="24"/>
          <w:szCs w:val="24"/>
        </w:rPr>
        <w:t xml:space="preserve"> </w:t>
      </w:r>
      <w:r w:rsidRPr="00563B39">
        <w:rPr>
          <w:rStyle w:val="cursor-pointer"/>
          <w:rFonts w:ascii="Arial" w:hAnsi="Arial" w:cs="Arial"/>
          <w:sz w:val="24"/>
          <w:szCs w:val="24"/>
        </w:rPr>
        <w:t>The adoption of the framework (Financial Stability Board, 2017), the creation of India's first Carbon Bank (Tata Steel, 2024)</w:t>
      </w:r>
      <w:r w:rsidR="00FB5182">
        <w:rPr>
          <w:rStyle w:val="cursor-pointer"/>
          <w:rFonts w:ascii="Arial" w:hAnsi="Arial" w:cs="Arial"/>
          <w:sz w:val="24"/>
          <w:szCs w:val="24"/>
        </w:rPr>
        <w:t>,</w:t>
      </w:r>
      <w:r w:rsidRPr="00563B39">
        <w:rPr>
          <w:rStyle w:val="cursor-pointer"/>
          <w:rFonts w:ascii="Arial" w:hAnsi="Arial" w:cs="Arial"/>
          <w:sz w:val="24"/>
          <w:szCs w:val="24"/>
        </w:rPr>
        <w:t xml:space="preserve"> and the active quest for </w:t>
      </w:r>
      <w:proofErr w:type="spellStart"/>
      <w:r w:rsidRPr="00563B39">
        <w:rPr>
          <w:rStyle w:val="cursor-pointer"/>
          <w:rFonts w:ascii="Arial" w:hAnsi="Arial" w:cs="Arial"/>
          <w:sz w:val="24"/>
          <w:szCs w:val="24"/>
        </w:rPr>
        <w:t>ResponsibleSteel</w:t>
      </w:r>
      <w:proofErr w:type="spellEnd"/>
      <w:r w:rsidRPr="00563B39">
        <w:rPr>
          <w:rStyle w:val="cursor-pointer"/>
          <w:rFonts w:ascii="Arial" w:hAnsi="Arial" w:cs="Arial"/>
          <w:sz w:val="24"/>
          <w:szCs w:val="24"/>
        </w:rPr>
        <w:t xml:space="preserve"> certification (</w:t>
      </w:r>
      <w:proofErr w:type="spellStart"/>
      <w:r w:rsidRPr="00563B39">
        <w:rPr>
          <w:rStyle w:val="cursor-pointer"/>
          <w:rFonts w:ascii="Arial" w:hAnsi="Arial" w:cs="Arial"/>
          <w:sz w:val="24"/>
          <w:szCs w:val="24"/>
        </w:rPr>
        <w:t>ResponsibleSteel</w:t>
      </w:r>
      <w:proofErr w:type="spellEnd"/>
      <w:r w:rsidRPr="00563B39">
        <w:rPr>
          <w:rStyle w:val="cursor-pointer"/>
          <w:rFonts w:ascii="Arial" w:hAnsi="Arial" w:cs="Arial"/>
          <w:sz w:val="24"/>
          <w:szCs w:val="24"/>
        </w:rPr>
        <w:t xml:space="preserve">, 2023) all indicate an organisation </w:t>
      </w:r>
      <w:r w:rsidR="00FB5182">
        <w:rPr>
          <w:rStyle w:val="cursor-pointer"/>
          <w:rFonts w:ascii="Arial" w:hAnsi="Arial" w:cs="Arial"/>
          <w:sz w:val="24"/>
          <w:szCs w:val="24"/>
        </w:rPr>
        <w:t>that</w:t>
      </w:r>
      <w:r w:rsidRPr="00563B39">
        <w:rPr>
          <w:rStyle w:val="cursor-pointer"/>
          <w:rFonts w:ascii="Arial" w:hAnsi="Arial" w:cs="Arial"/>
          <w:sz w:val="24"/>
          <w:szCs w:val="24"/>
        </w:rPr>
        <w:t xml:space="preserve"> embraces external verification of its sustainability commitments, which is important to environmentally aware purchasers and investors with an interest in ESG.</w:t>
      </w:r>
      <w:r w:rsidRPr="00563B39">
        <w:rPr>
          <w:rFonts w:ascii="Arial" w:hAnsi="Arial" w:cs="Arial"/>
          <w:sz w:val="24"/>
          <w:szCs w:val="24"/>
        </w:rPr>
        <w:t xml:space="preserve"> </w:t>
      </w:r>
      <w:r w:rsidRPr="00563B39">
        <w:rPr>
          <w:rStyle w:val="cursor-pointer"/>
          <w:rFonts w:ascii="Arial" w:hAnsi="Arial" w:cs="Arial"/>
          <w:sz w:val="24"/>
          <w:szCs w:val="24"/>
        </w:rPr>
        <w:t>However, there are some drawbacks to the differentiation strategy.</w:t>
      </w:r>
      <w:r w:rsidRPr="00563B39">
        <w:rPr>
          <w:rFonts w:ascii="Arial" w:hAnsi="Arial" w:cs="Arial"/>
          <w:sz w:val="24"/>
          <w:szCs w:val="24"/>
        </w:rPr>
        <w:t xml:space="preserve"> </w:t>
      </w:r>
      <w:r w:rsidRPr="00563B39">
        <w:rPr>
          <w:rStyle w:val="cursor-pointer"/>
          <w:rFonts w:ascii="Arial" w:hAnsi="Arial" w:cs="Arial"/>
          <w:sz w:val="24"/>
          <w:szCs w:val="24"/>
        </w:rPr>
        <w:t xml:space="preserve">The cost premium for </w:t>
      </w:r>
      <w:r w:rsidR="00FB5182">
        <w:rPr>
          <w:rStyle w:val="cursor-pointer"/>
          <w:rFonts w:ascii="Arial" w:hAnsi="Arial" w:cs="Arial"/>
          <w:sz w:val="24"/>
          <w:szCs w:val="24"/>
        </w:rPr>
        <w:t>low-carbon</w:t>
      </w:r>
      <w:r w:rsidRPr="00563B39">
        <w:rPr>
          <w:rStyle w:val="cursor-pointer"/>
          <w:rFonts w:ascii="Arial" w:hAnsi="Arial" w:cs="Arial"/>
          <w:sz w:val="24"/>
          <w:szCs w:val="24"/>
        </w:rPr>
        <w:t xml:space="preserve"> production can limit demand in those markets where environmental regulation is light</w:t>
      </w:r>
      <w:r w:rsidR="00FB5182">
        <w:rPr>
          <w:rStyle w:val="cursor-pointer"/>
          <w:rFonts w:ascii="Arial" w:hAnsi="Arial" w:cs="Arial"/>
          <w:sz w:val="24"/>
          <w:szCs w:val="24"/>
        </w:rPr>
        <w:t>,</w:t>
      </w:r>
      <w:r w:rsidRPr="00563B39">
        <w:rPr>
          <w:rStyle w:val="cursor-pointer"/>
          <w:rFonts w:ascii="Arial" w:hAnsi="Arial" w:cs="Arial"/>
          <w:sz w:val="24"/>
          <w:szCs w:val="24"/>
        </w:rPr>
        <w:t xml:space="preserve"> and customers are not responsible </w:t>
      </w:r>
      <w:r w:rsidR="00FB5182">
        <w:rPr>
          <w:rStyle w:val="cursor-pointer"/>
          <w:rFonts w:ascii="Arial" w:hAnsi="Arial" w:cs="Arial"/>
          <w:sz w:val="24"/>
          <w:szCs w:val="24"/>
        </w:rPr>
        <w:t>for buying</w:t>
      </w:r>
      <w:r w:rsidRPr="00563B39">
        <w:rPr>
          <w:rStyle w:val="cursor-pointer"/>
          <w:rFonts w:ascii="Arial" w:hAnsi="Arial" w:cs="Arial"/>
          <w:sz w:val="24"/>
          <w:szCs w:val="24"/>
        </w:rPr>
        <w:t xml:space="preserve"> responsibly.</w:t>
      </w:r>
      <w:r w:rsidRPr="00563B39">
        <w:rPr>
          <w:rFonts w:ascii="Arial" w:hAnsi="Arial" w:cs="Arial"/>
          <w:sz w:val="24"/>
          <w:szCs w:val="24"/>
        </w:rPr>
        <w:t xml:space="preserve"> </w:t>
      </w:r>
    </w:p>
    <w:p w14:paraId="1BE94707" w14:textId="57B22666" w:rsidR="00C92CBE" w:rsidRPr="00AE7ECD" w:rsidRDefault="00563B39" w:rsidP="00AE7ECD">
      <w:pPr>
        <w:spacing w:line="360" w:lineRule="auto"/>
        <w:jc w:val="both"/>
        <w:rPr>
          <w:rFonts w:ascii="Arial" w:hAnsi="Arial" w:cs="Arial"/>
          <w:sz w:val="24"/>
          <w:szCs w:val="24"/>
        </w:rPr>
      </w:pPr>
      <w:r w:rsidRPr="00563B39">
        <w:rPr>
          <w:rStyle w:val="cursor-pointer"/>
          <w:rFonts w:ascii="Arial" w:hAnsi="Arial" w:cs="Arial"/>
          <w:sz w:val="24"/>
          <w:szCs w:val="24"/>
        </w:rPr>
        <w:t>Moreover, with competitors like ArcelorMittal and SSAB</w:t>
      </w:r>
      <w:r w:rsidR="00FB5182">
        <w:rPr>
          <w:rStyle w:val="cursor-pointer"/>
          <w:rFonts w:ascii="Arial" w:hAnsi="Arial" w:cs="Arial"/>
          <w:sz w:val="24"/>
          <w:szCs w:val="24"/>
        </w:rPr>
        <w:t xml:space="preserve"> (</w:t>
      </w:r>
      <w:proofErr w:type="spellStart"/>
      <w:r w:rsidR="00FB5182">
        <w:rPr>
          <w:rStyle w:val="Emphasis"/>
          <w:rFonts w:ascii="Helvetica" w:hAnsi="Helvetica"/>
          <w:color w:val="000000"/>
          <w:shd w:val="clear" w:color="auto" w:fill="FFFFFF"/>
        </w:rPr>
        <w:t>Svenskt</w:t>
      </w:r>
      <w:proofErr w:type="spellEnd"/>
      <w:r w:rsidR="00FB5182">
        <w:rPr>
          <w:rStyle w:val="Emphasis"/>
          <w:rFonts w:ascii="Helvetica" w:hAnsi="Helvetica"/>
          <w:color w:val="000000"/>
          <w:shd w:val="clear" w:color="auto" w:fill="FFFFFF"/>
        </w:rPr>
        <w:t xml:space="preserve"> </w:t>
      </w:r>
      <w:proofErr w:type="spellStart"/>
      <w:r w:rsidR="00FB5182">
        <w:rPr>
          <w:rStyle w:val="Emphasis"/>
          <w:rFonts w:ascii="Helvetica" w:hAnsi="Helvetica"/>
          <w:color w:val="000000"/>
          <w:shd w:val="clear" w:color="auto" w:fill="FFFFFF"/>
        </w:rPr>
        <w:t>Stål</w:t>
      </w:r>
      <w:proofErr w:type="spellEnd"/>
      <w:r w:rsidR="00FB5182">
        <w:rPr>
          <w:rStyle w:val="Emphasis"/>
          <w:rFonts w:ascii="Helvetica" w:hAnsi="Helvetica"/>
          <w:color w:val="000000"/>
          <w:shd w:val="clear" w:color="auto" w:fill="FFFFFF"/>
        </w:rPr>
        <w:t xml:space="preserve"> AB)</w:t>
      </w:r>
      <w:r w:rsidRPr="00563B39">
        <w:rPr>
          <w:rStyle w:val="cursor-pointer"/>
          <w:rFonts w:ascii="Arial" w:hAnsi="Arial" w:cs="Arial"/>
          <w:sz w:val="24"/>
          <w:szCs w:val="24"/>
        </w:rPr>
        <w:t xml:space="preserve"> upping their own green steel initiatives, the uniqueness of Tata Steel's differentiated position will gradually diminish, thereby exerting more pressure to continually enhance sustainability credentials.</w:t>
      </w:r>
      <w:r w:rsidRPr="00563B39">
        <w:rPr>
          <w:rFonts w:ascii="Arial" w:hAnsi="Arial" w:cs="Arial"/>
          <w:sz w:val="24"/>
          <w:szCs w:val="24"/>
        </w:rPr>
        <w:t xml:space="preserve"> </w:t>
      </w:r>
      <w:r w:rsidRPr="00563B39">
        <w:rPr>
          <w:rStyle w:val="cursor-pointer"/>
          <w:rFonts w:ascii="Arial" w:hAnsi="Arial" w:cs="Arial"/>
          <w:sz w:val="24"/>
          <w:szCs w:val="24"/>
        </w:rPr>
        <w:t>The transition from the old to the new is also an operational challenge as Tata Steel must rely on other production facilities to meet customer requirements in the UK while the site is being rebuilt.</w:t>
      </w:r>
    </w:p>
    <w:p w14:paraId="582B21A4" w14:textId="77777777" w:rsidR="00F0183D" w:rsidRDefault="00F0183D" w:rsidP="00FC1B94">
      <w:pPr>
        <w:pStyle w:val="Heading2"/>
        <w:spacing w:after="240" w:line="360" w:lineRule="auto"/>
        <w:jc w:val="both"/>
      </w:pPr>
      <w:r>
        <w:rPr>
          <w:rFonts w:ascii="Arial" w:eastAsia="Arial" w:hAnsi="Arial" w:cs="Arial"/>
          <w:b/>
          <w:bCs/>
          <w:color w:val="2E5496"/>
        </w:rPr>
        <w:t>2.4 Strategic Recommendations</w:t>
      </w:r>
    </w:p>
    <w:p w14:paraId="3AB3BCF0" w14:textId="77777777" w:rsidR="00ED6294" w:rsidRPr="00ED6294" w:rsidRDefault="00ED6294" w:rsidP="00DB7BFE">
      <w:pPr>
        <w:pStyle w:val="Heading1"/>
        <w:spacing w:before="0" w:after="0" w:line="360" w:lineRule="auto"/>
        <w:jc w:val="both"/>
        <w:rPr>
          <w:rFonts w:eastAsiaTheme="minorHAnsi"/>
          <w:b w:val="0"/>
          <w:bCs w:val="0"/>
          <w:color w:val="auto"/>
          <w:sz w:val="24"/>
          <w:szCs w:val="20"/>
          <w:lang w:eastAsia="en-US"/>
        </w:rPr>
      </w:pPr>
      <w:r w:rsidRPr="00AF11F0">
        <w:rPr>
          <w:rFonts w:eastAsiaTheme="minorHAnsi"/>
          <w:bCs w:val="0"/>
          <w:color w:val="auto"/>
          <w:sz w:val="24"/>
          <w:szCs w:val="20"/>
          <w:lang w:eastAsia="en-US"/>
        </w:rPr>
        <w:t>Four specific strategic</w:t>
      </w:r>
      <w:r w:rsidRPr="00ED6294">
        <w:rPr>
          <w:rFonts w:eastAsiaTheme="minorHAnsi"/>
          <w:b w:val="0"/>
          <w:bCs w:val="0"/>
          <w:color w:val="auto"/>
          <w:sz w:val="24"/>
          <w:szCs w:val="20"/>
          <w:lang w:eastAsia="en-US"/>
        </w:rPr>
        <w:t xml:space="preserve"> priorities are needed to pave the way for Tata Steel to lead the way to green steel.</w:t>
      </w:r>
    </w:p>
    <w:p w14:paraId="1C642772" w14:textId="77777777" w:rsidR="00ED6294" w:rsidRPr="00ED6294" w:rsidRDefault="00ED6294" w:rsidP="00FC1B94">
      <w:pPr>
        <w:pStyle w:val="Heading1"/>
        <w:spacing w:before="0" w:line="360" w:lineRule="auto"/>
        <w:jc w:val="both"/>
        <w:rPr>
          <w:rFonts w:eastAsiaTheme="minorHAnsi"/>
          <w:b w:val="0"/>
          <w:bCs w:val="0"/>
          <w:color w:val="auto"/>
          <w:sz w:val="24"/>
          <w:szCs w:val="20"/>
          <w:lang w:eastAsia="en-US"/>
        </w:rPr>
      </w:pPr>
      <w:r w:rsidRPr="00AF11F0">
        <w:rPr>
          <w:rFonts w:eastAsiaTheme="minorHAnsi"/>
          <w:bCs w:val="0"/>
          <w:color w:val="auto"/>
          <w:sz w:val="24"/>
          <w:szCs w:val="20"/>
          <w:lang w:eastAsia="en-US"/>
        </w:rPr>
        <w:lastRenderedPageBreak/>
        <w:t>The first step</w:t>
      </w:r>
      <w:r w:rsidRPr="00ED6294">
        <w:rPr>
          <w:rFonts w:eastAsiaTheme="minorHAnsi"/>
          <w:b w:val="0"/>
          <w:bCs w:val="0"/>
          <w:color w:val="auto"/>
          <w:sz w:val="24"/>
          <w:szCs w:val="20"/>
          <w:lang w:eastAsia="en-US"/>
        </w:rPr>
        <w:t xml:space="preserve"> is for the company to develop long-term offtake contracts with auto manufacturers that are up to 2030-2035 for their decarbonisation plans. If Tata Steel could enjoy recurring revenues from selling the </w:t>
      </w:r>
      <w:proofErr w:type="spellStart"/>
      <w:r w:rsidRPr="00ED6294">
        <w:rPr>
          <w:rFonts w:eastAsiaTheme="minorHAnsi"/>
          <w:b w:val="0"/>
          <w:bCs w:val="0"/>
          <w:color w:val="auto"/>
          <w:sz w:val="24"/>
          <w:szCs w:val="20"/>
          <w:lang w:eastAsia="en-US"/>
        </w:rPr>
        <w:t>Zeremis</w:t>
      </w:r>
      <w:proofErr w:type="spellEnd"/>
      <w:r w:rsidRPr="00ED6294">
        <w:rPr>
          <w:rFonts w:eastAsiaTheme="minorHAnsi"/>
          <w:b w:val="0"/>
          <w:bCs w:val="0"/>
          <w:color w:val="auto"/>
          <w:sz w:val="24"/>
          <w:szCs w:val="20"/>
          <w:lang w:eastAsia="en-US"/>
        </w:rPr>
        <w:t xml:space="preserve"> brand, it would warrant further investment in EAFs and help safeguard the company's customer base, while still enabling it to beat the competition from other green steel producers.</w:t>
      </w:r>
    </w:p>
    <w:p w14:paraId="4949F53D" w14:textId="5CC9D34D" w:rsidR="00ED6294" w:rsidRPr="00ED6294" w:rsidRDefault="00ED6294" w:rsidP="00FC1B94">
      <w:pPr>
        <w:pStyle w:val="Heading1"/>
        <w:spacing w:before="0" w:line="360" w:lineRule="auto"/>
        <w:jc w:val="both"/>
        <w:rPr>
          <w:rFonts w:eastAsiaTheme="minorHAnsi"/>
          <w:b w:val="0"/>
          <w:bCs w:val="0"/>
          <w:color w:val="auto"/>
          <w:sz w:val="24"/>
          <w:szCs w:val="20"/>
          <w:lang w:eastAsia="en-US"/>
        </w:rPr>
      </w:pPr>
      <w:r w:rsidRPr="00AF11F0">
        <w:rPr>
          <w:rFonts w:eastAsiaTheme="minorHAnsi"/>
          <w:bCs w:val="0"/>
          <w:color w:val="auto"/>
          <w:sz w:val="24"/>
          <w:szCs w:val="20"/>
          <w:lang w:eastAsia="en-US"/>
        </w:rPr>
        <w:t>Secondly,</w:t>
      </w:r>
      <w:r w:rsidRPr="00ED6294">
        <w:rPr>
          <w:rFonts w:eastAsiaTheme="minorHAnsi"/>
          <w:b w:val="0"/>
          <w:bCs w:val="0"/>
          <w:color w:val="auto"/>
          <w:sz w:val="24"/>
          <w:szCs w:val="20"/>
          <w:lang w:eastAsia="en-US"/>
        </w:rPr>
        <w:t xml:space="preserve"> it is critical to achieve full lifecycle carbon disclosure for all steel produced in India by 2030, to which Tata Steel has already pledged (Tata Steel, 2025). The premium </w:t>
      </w:r>
      <w:r w:rsidR="00AF11F0">
        <w:rPr>
          <w:rFonts w:eastAsiaTheme="minorHAnsi"/>
          <w:b w:val="0"/>
          <w:bCs w:val="0"/>
          <w:color w:val="auto"/>
          <w:sz w:val="24"/>
          <w:szCs w:val="20"/>
          <w:lang w:eastAsia="en-US"/>
        </w:rPr>
        <w:t xml:space="preserve">price in </w:t>
      </w:r>
      <w:r w:rsidR="00FB5182">
        <w:rPr>
          <w:rFonts w:eastAsiaTheme="minorHAnsi"/>
          <w:b w:val="0"/>
          <w:bCs w:val="0"/>
          <w:color w:val="auto"/>
          <w:sz w:val="24"/>
          <w:szCs w:val="20"/>
          <w:lang w:eastAsia="en-US"/>
        </w:rPr>
        <w:t>low-carbon</w:t>
      </w:r>
      <w:r w:rsidR="00AF11F0">
        <w:rPr>
          <w:rFonts w:eastAsiaTheme="minorHAnsi"/>
          <w:b w:val="0"/>
          <w:bCs w:val="0"/>
          <w:color w:val="auto"/>
          <w:sz w:val="24"/>
          <w:szCs w:val="20"/>
          <w:lang w:eastAsia="en-US"/>
        </w:rPr>
        <w:t xml:space="preserve"> markets can</w:t>
      </w:r>
      <w:r w:rsidRPr="00ED6294">
        <w:rPr>
          <w:rFonts w:eastAsiaTheme="minorHAnsi"/>
          <w:b w:val="0"/>
          <w:bCs w:val="0"/>
          <w:color w:val="auto"/>
          <w:sz w:val="24"/>
          <w:szCs w:val="20"/>
          <w:lang w:eastAsia="en-US"/>
        </w:rPr>
        <w:t>not be achieved with environmental statements alone, but with independently verified, quantitative carbon life cycle emissions data. Otherwise, the differentiation strategy described in section 2.3 would have the least important commercial basis.</w:t>
      </w:r>
    </w:p>
    <w:p w14:paraId="3552012C" w14:textId="77777777" w:rsidR="00ED6294" w:rsidRPr="00ED6294" w:rsidRDefault="00ED6294" w:rsidP="00FC1B94">
      <w:pPr>
        <w:pStyle w:val="Heading1"/>
        <w:spacing w:before="0" w:line="360" w:lineRule="auto"/>
        <w:jc w:val="both"/>
        <w:rPr>
          <w:rFonts w:eastAsiaTheme="minorHAnsi"/>
          <w:b w:val="0"/>
          <w:bCs w:val="0"/>
          <w:color w:val="auto"/>
          <w:sz w:val="24"/>
          <w:szCs w:val="20"/>
          <w:lang w:eastAsia="en-US"/>
        </w:rPr>
      </w:pPr>
      <w:r w:rsidRPr="00AF11F0">
        <w:rPr>
          <w:rFonts w:eastAsiaTheme="minorHAnsi"/>
          <w:bCs w:val="0"/>
          <w:color w:val="auto"/>
          <w:sz w:val="24"/>
          <w:szCs w:val="20"/>
          <w:lang w:eastAsia="en-US"/>
        </w:rPr>
        <w:t>Thirdly</w:t>
      </w:r>
      <w:r w:rsidRPr="00ED6294">
        <w:rPr>
          <w:rFonts w:eastAsiaTheme="minorHAnsi"/>
          <w:b w:val="0"/>
          <w:bCs w:val="0"/>
          <w:color w:val="auto"/>
          <w:sz w:val="24"/>
          <w:szCs w:val="20"/>
          <w:lang w:eastAsia="en-US"/>
        </w:rPr>
        <w:t>, Tata Steel has to strategically develop its network of scrap steel sourcing in India. The initiative has two objectives: firstly, it reduces the company's operational inefficiencies by creating circular material flows, and secondly, it boosts their sustainable sourcing story, directly contributing to their attractiveness to ESG-minded buyers and investors.</w:t>
      </w:r>
    </w:p>
    <w:p w14:paraId="2CA3B9D2" w14:textId="1D10187B" w:rsidR="00ED6294" w:rsidRDefault="00ED6294" w:rsidP="00DB7BFE">
      <w:pPr>
        <w:pStyle w:val="Heading1"/>
        <w:spacing w:before="0" w:after="0" w:line="360" w:lineRule="auto"/>
        <w:jc w:val="both"/>
      </w:pPr>
      <w:r w:rsidRPr="00AF11F0">
        <w:rPr>
          <w:rFonts w:eastAsiaTheme="minorHAnsi"/>
          <w:bCs w:val="0"/>
          <w:color w:val="auto"/>
          <w:sz w:val="24"/>
          <w:szCs w:val="20"/>
          <w:lang w:eastAsia="en-US"/>
        </w:rPr>
        <w:t>Lastly</w:t>
      </w:r>
      <w:r w:rsidRPr="00ED6294">
        <w:rPr>
          <w:rFonts w:eastAsiaTheme="minorHAnsi"/>
          <w:b w:val="0"/>
          <w:bCs w:val="0"/>
          <w:color w:val="auto"/>
          <w:sz w:val="24"/>
          <w:szCs w:val="20"/>
          <w:lang w:eastAsia="en-US"/>
        </w:rPr>
        <w:t xml:space="preserve">, </w:t>
      </w:r>
      <w:r w:rsidR="001A590C" w:rsidRPr="001A590C">
        <w:rPr>
          <w:rFonts w:eastAsiaTheme="minorHAnsi"/>
          <w:b w:val="0"/>
          <w:bCs w:val="0"/>
          <w:color w:val="auto"/>
          <w:sz w:val="24"/>
          <w:szCs w:val="20"/>
          <w:lang w:eastAsia="en-US"/>
        </w:rPr>
        <w:t>a clearly defined and convincing decarbonisation plan for its Indian operations is essential if Tata Steel is to resolve the contradictions embedded in its global sustainability brand and maintain stakeholder confidence.</w:t>
      </w:r>
    </w:p>
    <w:p w14:paraId="471B3FD5" w14:textId="7A7D1BE2" w:rsidR="006F4D6D" w:rsidRPr="00ED6294" w:rsidRDefault="006F4D6D" w:rsidP="0028273B">
      <w:pPr>
        <w:pStyle w:val="Heading1"/>
        <w:spacing w:line="360" w:lineRule="auto"/>
        <w:jc w:val="both"/>
        <w:rPr>
          <w:rFonts w:eastAsiaTheme="minorHAnsi"/>
          <w:b w:val="0"/>
          <w:bCs w:val="0"/>
          <w:color w:val="auto"/>
          <w:sz w:val="28"/>
          <w:szCs w:val="20"/>
          <w:lang w:eastAsia="en-US"/>
        </w:rPr>
      </w:pPr>
      <w:r w:rsidRPr="00ED6294">
        <w:rPr>
          <w:sz w:val="28"/>
          <w:szCs w:val="24"/>
        </w:rPr>
        <w:t>Task 3: Critical Reflection on the Use of Artificial Intelligence</w:t>
      </w:r>
    </w:p>
    <w:p w14:paraId="5D548F14" w14:textId="3EAE1497" w:rsidR="006F4D6D" w:rsidRPr="0080408F" w:rsidRDefault="006F4D6D" w:rsidP="0028273B">
      <w:pPr>
        <w:pStyle w:val="Heading2"/>
        <w:spacing w:before="0" w:after="180" w:line="360" w:lineRule="auto"/>
        <w:jc w:val="both"/>
        <w:rPr>
          <w:rFonts w:ascii="Arial" w:hAnsi="Arial" w:cs="Arial"/>
          <w:sz w:val="24"/>
          <w:szCs w:val="24"/>
        </w:rPr>
      </w:pPr>
      <w:r w:rsidRPr="0080408F">
        <w:rPr>
          <w:rFonts w:ascii="Arial" w:eastAsia="Arial" w:hAnsi="Arial" w:cs="Arial"/>
          <w:b/>
          <w:bCs/>
          <w:color w:val="2E5496"/>
          <w:sz w:val="24"/>
          <w:szCs w:val="24"/>
        </w:rPr>
        <w:t>3a. Tool Disclosure</w:t>
      </w:r>
    </w:p>
    <w:p w14:paraId="62A8DFB1" w14:textId="3E1AC68C" w:rsidR="00CD0328" w:rsidRPr="00CD0328" w:rsidRDefault="001A590C" w:rsidP="0080408F">
      <w:pPr>
        <w:spacing w:after="0" w:line="360" w:lineRule="auto"/>
        <w:jc w:val="both"/>
        <w:rPr>
          <w:rFonts w:ascii="Arial" w:hAnsi="Arial" w:cs="Arial"/>
          <w:sz w:val="24"/>
          <w:szCs w:val="24"/>
        </w:rPr>
      </w:pPr>
      <w:r w:rsidRPr="001A590C">
        <w:rPr>
          <w:rStyle w:val="cursor-pointer"/>
          <w:rFonts w:ascii="Arial" w:hAnsi="Arial" w:cs="Arial"/>
          <w:sz w:val="24"/>
          <w:szCs w:val="24"/>
        </w:rPr>
        <w:t>AI tools were used selectively and in full compliance with the module’s AI</w:t>
      </w:r>
      <w:r w:rsidRPr="001A590C">
        <w:rPr>
          <w:rStyle w:val="cursor-pointer"/>
          <w:rFonts w:ascii="Cambria Math" w:hAnsi="Cambria Math" w:cs="Cambria Math"/>
          <w:sz w:val="24"/>
          <w:szCs w:val="24"/>
        </w:rPr>
        <w:t>‑</w:t>
      </w:r>
      <w:r w:rsidRPr="001A590C">
        <w:rPr>
          <w:rStyle w:val="cursor-pointer"/>
          <w:rFonts w:ascii="Arial" w:hAnsi="Arial" w:cs="Arial"/>
          <w:sz w:val="24"/>
          <w:szCs w:val="24"/>
        </w:rPr>
        <w:t>use policy, which permits AI for research, proofreading, and creative tasks, but prohibits AI</w:t>
      </w:r>
      <w:r w:rsidRPr="001A590C">
        <w:rPr>
          <w:rStyle w:val="cursor-pointer"/>
          <w:rFonts w:ascii="Cambria Math" w:hAnsi="Cambria Math" w:cs="Cambria Math"/>
          <w:sz w:val="24"/>
          <w:szCs w:val="24"/>
        </w:rPr>
        <w:t>‑</w:t>
      </w:r>
      <w:r w:rsidRPr="001A590C">
        <w:rPr>
          <w:rStyle w:val="cursor-pointer"/>
          <w:rFonts w:ascii="Arial" w:hAnsi="Arial" w:cs="Arial"/>
          <w:sz w:val="24"/>
          <w:szCs w:val="24"/>
        </w:rPr>
        <w:t>assisted writing or structuring of assessed work.</w:t>
      </w:r>
      <w:r w:rsidR="002B43F9">
        <w:rPr>
          <w:rStyle w:val="cursor-pointer"/>
          <w:rFonts w:ascii="Arial" w:hAnsi="Arial" w:cs="Arial"/>
          <w:sz w:val="24"/>
          <w:szCs w:val="24"/>
        </w:rPr>
        <w:t xml:space="preserve"> The primary tool employed was</w:t>
      </w:r>
      <w:r w:rsidRPr="001A590C">
        <w:rPr>
          <w:rStyle w:val="cursor-pointer"/>
          <w:rFonts w:ascii="Arial" w:hAnsi="Arial" w:cs="Arial"/>
          <w:sz w:val="24"/>
          <w:szCs w:val="24"/>
        </w:rPr>
        <w:t xml:space="preserve"> institutional library</w:t>
      </w:r>
      <w:r w:rsidRPr="001A590C">
        <w:rPr>
          <w:rStyle w:val="cursor-pointer"/>
          <w:rFonts w:ascii="Cambria Math" w:hAnsi="Cambria Math" w:cs="Cambria Math"/>
          <w:sz w:val="24"/>
          <w:szCs w:val="24"/>
        </w:rPr>
        <w:t>‑</w:t>
      </w:r>
      <w:r w:rsidR="000541B3">
        <w:rPr>
          <w:rStyle w:val="cursor-pointer"/>
          <w:rFonts w:ascii="Arial" w:hAnsi="Arial" w:cs="Arial"/>
          <w:sz w:val="24"/>
          <w:szCs w:val="24"/>
        </w:rPr>
        <w:t>integrated AI search functions (</w:t>
      </w:r>
      <w:r w:rsidR="000541B3" w:rsidRPr="000541B3">
        <w:rPr>
          <w:rStyle w:val="cursor-pointer"/>
          <w:rFonts w:ascii="Arial" w:hAnsi="Arial" w:cs="Arial"/>
          <w:sz w:val="24"/>
          <w:szCs w:val="24"/>
        </w:rPr>
        <w:t>Primo Research Assistant</w:t>
      </w:r>
      <w:r w:rsidR="000541B3">
        <w:rPr>
          <w:rStyle w:val="cursor-pointer"/>
          <w:rFonts w:ascii="Arial" w:hAnsi="Arial" w:cs="Arial"/>
          <w:sz w:val="24"/>
          <w:szCs w:val="24"/>
        </w:rPr>
        <w:t xml:space="preserve">), Microsoft </w:t>
      </w:r>
      <w:proofErr w:type="spellStart"/>
      <w:r w:rsidR="000541B3">
        <w:rPr>
          <w:rStyle w:val="cursor-pointer"/>
          <w:rFonts w:ascii="Arial" w:hAnsi="Arial" w:cs="Arial"/>
          <w:sz w:val="24"/>
          <w:szCs w:val="24"/>
        </w:rPr>
        <w:t>Copilot</w:t>
      </w:r>
      <w:proofErr w:type="spellEnd"/>
      <w:r w:rsidR="000541B3">
        <w:rPr>
          <w:rStyle w:val="cursor-pointer"/>
          <w:rFonts w:ascii="Arial" w:hAnsi="Arial" w:cs="Arial"/>
          <w:sz w:val="24"/>
          <w:szCs w:val="24"/>
        </w:rPr>
        <w:t xml:space="preserve">, and </w:t>
      </w:r>
      <w:proofErr w:type="spellStart"/>
      <w:r w:rsidR="000541B3">
        <w:rPr>
          <w:rStyle w:val="cursor-pointer"/>
          <w:rFonts w:ascii="Arial" w:hAnsi="Arial" w:cs="Arial"/>
          <w:sz w:val="24"/>
          <w:szCs w:val="24"/>
        </w:rPr>
        <w:t>ChatGPT</w:t>
      </w:r>
      <w:proofErr w:type="spellEnd"/>
      <w:r w:rsidR="000541B3">
        <w:rPr>
          <w:rStyle w:val="cursor-pointer"/>
          <w:rFonts w:ascii="Arial" w:hAnsi="Arial" w:cs="Arial"/>
          <w:sz w:val="24"/>
          <w:szCs w:val="24"/>
        </w:rPr>
        <w:t xml:space="preserve">. </w:t>
      </w:r>
      <w:r w:rsidRPr="001A590C">
        <w:rPr>
          <w:rStyle w:val="cursor-pointer"/>
          <w:rFonts w:ascii="Arial" w:hAnsi="Arial" w:cs="Arial"/>
          <w:sz w:val="24"/>
          <w:szCs w:val="24"/>
        </w:rPr>
        <w:t>These tools supported the identification of relevant academic literature, policy documents, and corporate reports relating to Tata Steel’s operations and decarbonisation strategy. AI was also used for proofreading to check grammar, clarity, and consistency in my independently w</w:t>
      </w:r>
      <w:r w:rsidR="00E50801">
        <w:rPr>
          <w:rStyle w:val="cursor-pointer"/>
          <w:rFonts w:ascii="Arial" w:hAnsi="Arial" w:cs="Arial"/>
          <w:sz w:val="24"/>
          <w:szCs w:val="24"/>
        </w:rPr>
        <w:t>ritten text. At no stage was AI used</w:t>
      </w:r>
      <w:r w:rsidRPr="001A590C">
        <w:rPr>
          <w:rStyle w:val="cursor-pointer"/>
          <w:rFonts w:ascii="Arial" w:hAnsi="Arial" w:cs="Arial"/>
          <w:sz w:val="24"/>
          <w:szCs w:val="24"/>
        </w:rPr>
        <w:t xml:space="preserve"> to generate written content, construct arguments, or organise the </w:t>
      </w:r>
      <w:r w:rsidR="00626ED8">
        <w:rPr>
          <w:rStyle w:val="cursor-pointer"/>
          <w:rFonts w:ascii="Arial" w:hAnsi="Arial" w:cs="Arial"/>
          <w:sz w:val="24"/>
          <w:szCs w:val="24"/>
        </w:rPr>
        <w:t xml:space="preserve">report's </w:t>
      </w:r>
      <w:r w:rsidR="00626ED8">
        <w:rPr>
          <w:rStyle w:val="cursor-pointer"/>
          <w:rFonts w:ascii="Arial" w:hAnsi="Arial" w:cs="Arial"/>
          <w:sz w:val="24"/>
          <w:szCs w:val="24"/>
        </w:rPr>
        <w:lastRenderedPageBreak/>
        <w:t>structure</w:t>
      </w:r>
      <w:r w:rsidRPr="001A590C">
        <w:rPr>
          <w:rStyle w:val="cursor-pointer"/>
          <w:rFonts w:ascii="Arial" w:hAnsi="Arial" w:cs="Arial"/>
          <w:sz w:val="24"/>
          <w:szCs w:val="24"/>
        </w:rPr>
        <w:t>. All analytical reasoning, strategic evaluation, and argument development were undertaken independently.</w:t>
      </w:r>
    </w:p>
    <w:p w14:paraId="2E069B81" w14:textId="63AB31F1" w:rsidR="0080408F" w:rsidRDefault="006F4D6D" w:rsidP="000541B3">
      <w:pPr>
        <w:spacing w:before="240" w:after="0" w:line="360" w:lineRule="auto"/>
        <w:jc w:val="both"/>
        <w:rPr>
          <w:rFonts w:ascii="Arial" w:eastAsia="Arial" w:hAnsi="Arial" w:cs="Arial"/>
          <w:b/>
          <w:bCs/>
          <w:color w:val="2E5496"/>
          <w:sz w:val="24"/>
          <w:szCs w:val="24"/>
        </w:rPr>
      </w:pPr>
      <w:r w:rsidRPr="0080408F">
        <w:rPr>
          <w:rFonts w:ascii="Arial" w:eastAsia="Arial" w:hAnsi="Arial" w:cs="Arial"/>
          <w:b/>
          <w:bCs/>
          <w:color w:val="2E5496"/>
          <w:sz w:val="24"/>
          <w:szCs w:val="24"/>
        </w:rPr>
        <w:t>3b. Critical Evaluation of AI Output</w:t>
      </w:r>
    </w:p>
    <w:p w14:paraId="293474F9" w14:textId="77777777" w:rsidR="00E50801" w:rsidRPr="00E50801" w:rsidRDefault="00E50801" w:rsidP="00E50801">
      <w:pPr>
        <w:spacing w:before="240" w:line="360" w:lineRule="auto"/>
        <w:jc w:val="both"/>
        <w:rPr>
          <w:rFonts w:ascii="Arial" w:eastAsia="Times New Roman" w:hAnsi="Arial" w:cs="Arial"/>
          <w:sz w:val="24"/>
          <w:szCs w:val="24"/>
          <w:lang w:eastAsia="en-IN"/>
        </w:rPr>
      </w:pPr>
      <w:r w:rsidRPr="00E50801">
        <w:rPr>
          <w:rFonts w:ascii="Arial" w:eastAsia="Times New Roman" w:hAnsi="Arial" w:cs="Arial"/>
          <w:sz w:val="24"/>
          <w:szCs w:val="24"/>
          <w:lang w:eastAsia="en-IN"/>
        </w:rPr>
        <w:t>A rigorous verification process was applied to all AI-generated research outputs to ensure accuracy and reliability, with AI-suggested information cross-checked against at least one authoritative primary or secondary source before inclusion. Primary sources included Tata Steel's Integrated Annual Report 2024-25, official European Commission documentation, and industry publications. This process proved essential, as two notable hallucinations were identified: an outdated CO</w:t>
      </w:r>
      <w:r w:rsidRPr="00E50801">
        <w:rPr>
          <w:rFonts w:ascii="Cambria Math" w:eastAsia="Times New Roman" w:hAnsi="Cambria Math" w:cs="Cambria Math"/>
          <w:sz w:val="24"/>
          <w:szCs w:val="24"/>
          <w:lang w:eastAsia="en-IN"/>
        </w:rPr>
        <w:t>₂</w:t>
      </w:r>
      <w:r w:rsidRPr="00E50801">
        <w:rPr>
          <w:rFonts w:ascii="Arial" w:eastAsia="Times New Roman" w:hAnsi="Arial" w:cs="Arial"/>
          <w:sz w:val="24"/>
          <w:szCs w:val="24"/>
          <w:lang w:eastAsia="en-IN"/>
        </w:rPr>
        <w:t xml:space="preserve"> reduction estimate for the Port Talbot EAF transition, and an incorrect claim that the CBAM extension to downstream steel products had already been implemented, when it remains a proposal under consideration. Both errors, documented in Appendix II (Figures 1-2), were corrected through cross-verification with primary sources, reinforcing the critical need for scrutiny of AI-generated material and ensuring methodological rigour and factual accuracy throughout the report.</w:t>
      </w:r>
    </w:p>
    <w:p w14:paraId="47FE308D" w14:textId="77777777" w:rsidR="00E50801" w:rsidRDefault="006F4D6D" w:rsidP="00E50801">
      <w:pPr>
        <w:spacing w:before="240" w:line="360" w:lineRule="auto"/>
        <w:jc w:val="both"/>
        <w:rPr>
          <w:rFonts w:ascii="Arial" w:eastAsia="Arial" w:hAnsi="Arial" w:cs="Arial"/>
          <w:b/>
          <w:bCs/>
          <w:color w:val="2E5496"/>
          <w:sz w:val="24"/>
          <w:szCs w:val="24"/>
        </w:rPr>
      </w:pPr>
      <w:r w:rsidRPr="0080408F">
        <w:rPr>
          <w:rFonts w:ascii="Arial" w:eastAsia="Arial" w:hAnsi="Arial" w:cs="Arial"/>
          <w:b/>
          <w:bCs/>
          <w:color w:val="2E5496"/>
          <w:sz w:val="24"/>
          <w:szCs w:val="24"/>
        </w:rPr>
        <w:t>3c. Contribution Analysis</w:t>
      </w:r>
      <w:bookmarkStart w:id="1" w:name="_AI_contributed_primarily"/>
      <w:bookmarkEnd w:id="1"/>
    </w:p>
    <w:p w14:paraId="2CCFFEB2" w14:textId="2AF5FE13" w:rsidR="00E50801" w:rsidRPr="00E50801" w:rsidRDefault="00E50801" w:rsidP="00E50801">
      <w:pPr>
        <w:spacing w:before="240" w:line="360" w:lineRule="auto"/>
        <w:jc w:val="both"/>
        <w:rPr>
          <w:rFonts w:ascii="Arial" w:eastAsia="Arial" w:hAnsi="Arial" w:cs="Arial"/>
          <w:b/>
          <w:bCs/>
          <w:color w:val="2E5496"/>
          <w:sz w:val="24"/>
          <w:szCs w:val="24"/>
        </w:rPr>
      </w:pPr>
      <w:r w:rsidRPr="00E50801">
        <w:rPr>
          <w:rFonts w:ascii="Arial" w:eastAsia="Times New Roman" w:hAnsi="Arial" w:cs="Arial"/>
          <w:sz w:val="24"/>
          <w:szCs w:val="24"/>
          <w:lang w:eastAsia="en-IN"/>
        </w:rPr>
        <w:t xml:space="preserve">AI contributed primarily by increasing research efficiency through rapid scanning and summarisation of corporate and policy documents, allowing more time for higher-order analytical tasks. However, </w:t>
      </w:r>
      <w:r>
        <w:rPr>
          <w:rFonts w:ascii="Arial" w:eastAsia="Times New Roman" w:hAnsi="Arial" w:cs="Arial"/>
          <w:sz w:val="24"/>
          <w:szCs w:val="24"/>
          <w:lang w:eastAsia="en-IN"/>
        </w:rPr>
        <w:t xml:space="preserve">all substantive academic work, </w:t>
      </w:r>
      <w:r w:rsidRPr="00E50801">
        <w:rPr>
          <w:rFonts w:ascii="Arial" w:eastAsia="Times New Roman" w:hAnsi="Arial" w:cs="Arial"/>
          <w:sz w:val="24"/>
          <w:szCs w:val="24"/>
          <w:lang w:eastAsia="en-IN"/>
        </w:rPr>
        <w:t xml:space="preserve">including the selection of environmental factors, interpretation of Tata Steel's strategic position, and justification for the </w:t>
      </w:r>
      <w:proofErr w:type="spellStart"/>
      <w:r w:rsidRPr="00E50801">
        <w:rPr>
          <w:rFonts w:ascii="Arial" w:eastAsia="Times New Roman" w:hAnsi="Arial" w:cs="Arial"/>
          <w:sz w:val="24"/>
          <w:szCs w:val="24"/>
          <w:lang w:eastAsia="en-IN"/>
        </w:rPr>
        <w:t>Ansoff</w:t>
      </w:r>
      <w:proofErr w:type="spellEnd"/>
      <w:r w:rsidRPr="00E50801">
        <w:rPr>
          <w:rFonts w:ascii="Arial" w:eastAsia="Times New Roman" w:hAnsi="Arial" w:cs="Arial"/>
          <w:sz w:val="24"/>
          <w:szCs w:val="24"/>
          <w:lang w:eastAsia="en-IN"/>
        </w:rPr>
        <w:t xml:space="preserve"> Matrix recommendation</w:t>
      </w:r>
      <w:r>
        <w:rPr>
          <w:rFonts w:ascii="Arial" w:eastAsia="Times New Roman" w:hAnsi="Arial" w:cs="Arial"/>
          <w:sz w:val="24"/>
          <w:szCs w:val="24"/>
          <w:lang w:eastAsia="en-IN"/>
        </w:rPr>
        <w:t>,</w:t>
      </w:r>
      <w:r w:rsidRPr="00E50801">
        <w:rPr>
          <w:rFonts w:ascii="Arial" w:eastAsia="Times New Roman" w:hAnsi="Arial" w:cs="Arial"/>
          <w:sz w:val="24"/>
          <w:szCs w:val="24"/>
          <w:lang w:eastAsia="en-IN"/>
        </w:rPr>
        <w:t xml:space="preserve"> was conducted independently. AI was not used to interpret data, evaluate strategic options, or form conclusions. The structure, analytical framework, and critical arguments were entirely my own, ensuring AI's role remained supportive rather than generative, in compliance with the module's requirements.</w:t>
      </w:r>
    </w:p>
    <w:p w14:paraId="4C408E82" w14:textId="426ABECB" w:rsidR="009924D6" w:rsidRPr="0080408F" w:rsidRDefault="009924D6" w:rsidP="00E50801">
      <w:pPr>
        <w:pStyle w:val="Heading2"/>
        <w:spacing w:before="0" w:after="160" w:line="360" w:lineRule="auto"/>
        <w:jc w:val="both"/>
        <w:rPr>
          <w:rFonts w:ascii="Arial" w:hAnsi="Arial" w:cs="Arial"/>
          <w:sz w:val="24"/>
          <w:szCs w:val="24"/>
        </w:rPr>
      </w:pPr>
      <w:r w:rsidRPr="0080408F">
        <w:rPr>
          <w:rFonts w:ascii="Arial" w:eastAsia="Arial" w:hAnsi="Arial" w:cs="Arial"/>
          <w:b/>
          <w:bCs/>
          <w:color w:val="2E5496"/>
          <w:sz w:val="24"/>
          <w:szCs w:val="24"/>
        </w:rPr>
        <w:t>3d. Ethical and Professional Reflection</w:t>
      </w:r>
    </w:p>
    <w:p w14:paraId="24CF827C" w14:textId="6F7B8FD4" w:rsidR="00E50801" w:rsidRDefault="00E50801" w:rsidP="00E50801">
      <w:pPr>
        <w:pStyle w:val="Heading1"/>
        <w:spacing w:before="0" w:after="0" w:line="360" w:lineRule="auto"/>
        <w:jc w:val="both"/>
        <w:rPr>
          <w:rStyle w:val="cursor-pointer"/>
          <w:rFonts w:eastAsiaTheme="minorHAnsi"/>
          <w:b w:val="0"/>
          <w:bCs w:val="0"/>
          <w:color w:val="auto"/>
          <w:sz w:val="24"/>
          <w:szCs w:val="24"/>
          <w:lang w:eastAsia="en-US"/>
        </w:rPr>
      </w:pPr>
      <w:r w:rsidRPr="00E50801">
        <w:rPr>
          <w:rStyle w:val="cursor-pointer"/>
          <w:rFonts w:eastAsiaTheme="minorHAnsi"/>
          <w:b w:val="0"/>
          <w:bCs w:val="0"/>
          <w:color w:val="auto"/>
          <w:sz w:val="24"/>
          <w:szCs w:val="24"/>
          <w:lang w:eastAsia="en-US"/>
        </w:rPr>
        <w:t xml:space="preserve">The use of AI in academic and professional contexts raises important ethical considerations. Academic integrity demands that AI be used transparently and within permitted boundaries, as AI-assisted writing or structuring would undermine the authenticity of student work and compromise assessment fairness. Over-reliance on </w:t>
      </w:r>
      <w:r w:rsidRPr="00E50801">
        <w:rPr>
          <w:rStyle w:val="cursor-pointer"/>
          <w:rFonts w:eastAsiaTheme="minorHAnsi"/>
          <w:b w:val="0"/>
          <w:bCs w:val="0"/>
          <w:color w:val="auto"/>
          <w:sz w:val="24"/>
          <w:szCs w:val="24"/>
          <w:lang w:eastAsia="en-US"/>
        </w:rPr>
        <w:lastRenderedPageBreak/>
        <w:t>AI-generated information risks the uncritical acceptance of inaccuracies, which carries serious implications in professional marketing analysis where decisions depend on precise data. Additionally, unequal access to advanced AI tools may create disparities in academic performance. The module's policy appropriately balances innovation with integrity by permitting AI for research and proofreading while keeping critical thinking, originality, and analytical ca</w:t>
      </w:r>
      <w:r>
        <w:rPr>
          <w:rStyle w:val="cursor-pointer"/>
          <w:rFonts w:eastAsiaTheme="minorHAnsi"/>
          <w:b w:val="0"/>
          <w:bCs w:val="0"/>
          <w:color w:val="auto"/>
          <w:sz w:val="24"/>
          <w:szCs w:val="24"/>
          <w:lang w:eastAsia="en-US"/>
        </w:rPr>
        <w:t>pability central to assessment,</w:t>
      </w:r>
      <w:r w:rsidRPr="00E50801">
        <w:rPr>
          <w:rStyle w:val="cursor-pointer"/>
          <w:rFonts w:eastAsiaTheme="minorHAnsi"/>
          <w:b w:val="0"/>
          <w:bCs w:val="0"/>
          <w:color w:val="auto"/>
          <w:sz w:val="24"/>
          <w:szCs w:val="24"/>
          <w:lang w:eastAsia="en-US"/>
        </w:rPr>
        <w:t xml:space="preserve"> reflecting emerging professional expectations around transparency and responsible digital practice.</w:t>
      </w:r>
    </w:p>
    <w:p w14:paraId="3DE8D94E" w14:textId="47CD8B84" w:rsidR="00F0183D" w:rsidRDefault="00F0183D" w:rsidP="00E50801">
      <w:pPr>
        <w:pStyle w:val="Heading1"/>
        <w:spacing w:line="360" w:lineRule="auto"/>
        <w:jc w:val="both"/>
      </w:pPr>
      <w:r>
        <w:t>References</w:t>
      </w:r>
    </w:p>
    <w:p w14:paraId="16A9488B" w14:textId="6B0F8F8B" w:rsidR="00B5011E" w:rsidRPr="00B5011E" w:rsidRDefault="00B5011E" w:rsidP="00B5011E">
      <w:pPr>
        <w:tabs>
          <w:tab w:val="left" w:pos="3033"/>
        </w:tabs>
        <w:spacing w:after="0" w:line="360" w:lineRule="auto"/>
        <w:jc w:val="both"/>
        <w:rPr>
          <w:rFonts w:ascii="Arial" w:hAnsi="Arial" w:cs="Arial"/>
          <w:sz w:val="24"/>
          <w:szCs w:val="20"/>
        </w:rPr>
      </w:pPr>
      <w:proofErr w:type="spellStart"/>
      <w:r w:rsidRPr="00B5011E">
        <w:rPr>
          <w:rFonts w:ascii="Arial" w:hAnsi="Arial" w:cs="Arial"/>
          <w:b/>
          <w:sz w:val="24"/>
          <w:szCs w:val="20"/>
        </w:rPr>
        <w:t>Ansoff</w:t>
      </w:r>
      <w:proofErr w:type="spellEnd"/>
      <w:r w:rsidRPr="00B5011E">
        <w:rPr>
          <w:rFonts w:ascii="Arial" w:hAnsi="Arial" w:cs="Arial"/>
          <w:b/>
          <w:sz w:val="24"/>
          <w:szCs w:val="20"/>
        </w:rPr>
        <w:t>, H.I. (1957)</w:t>
      </w:r>
      <w:r w:rsidRPr="00B5011E">
        <w:rPr>
          <w:rFonts w:ascii="Arial" w:hAnsi="Arial" w:cs="Arial"/>
          <w:sz w:val="24"/>
          <w:szCs w:val="20"/>
        </w:rPr>
        <w:t xml:space="preserve"> ‘Strategies for diversification’, Harvard Busin</w:t>
      </w:r>
      <w:r>
        <w:rPr>
          <w:rFonts w:ascii="Arial" w:hAnsi="Arial" w:cs="Arial"/>
          <w:sz w:val="24"/>
          <w:szCs w:val="20"/>
        </w:rPr>
        <w:t>ess Review, 35(5), pp. 113-124.</w:t>
      </w:r>
    </w:p>
    <w:p w14:paraId="706153C3" w14:textId="13E4E658"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BIS Research (2026)</w:t>
      </w:r>
      <w:r w:rsidRPr="00B5011E">
        <w:rPr>
          <w:rFonts w:ascii="Arial" w:hAnsi="Arial" w:cs="Arial"/>
          <w:sz w:val="24"/>
          <w:szCs w:val="20"/>
        </w:rPr>
        <w:t xml:space="preserve"> Sustainable (recycled and green) steel marke</w:t>
      </w:r>
      <w:r>
        <w:rPr>
          <w:rFonts w:ascii="Arial" w:hAnsi="Arial" w:cs="Arial"/>
          <w:sz w:val="24"/>
          <w:szCs w:val="20"/>
        </w:rPr>
        <w:t>t – analysis and forecast, 2024-</w:t>
      </w:r>
      <w:r w:rsidRPr="00B5011E">
        <w:rPr>
          <w:rFonts w:ascii="Arial" w:hAnsi="Arial" w:cs="Arial"/>
          <w:sz w:val="24"/>
          <w:szCs w:val="20"/>
        </w:rPr>
        <w:t>2034. Available at: https://bisresearch.com/industry-report/sustainable-steel-market</w:t>
      </w:r>
      <w:r>
        <w:rPr>
          <w:rFonts w:ascii="Arial" w:hAnsi="Arial" w:cs="Arial"/>
          <w:sz w:val="24"/>
          <w:szCs w:val="20"/>
        </w:rPr>
        <w:t>.html (Accessed: June 2026).</w:t>
      </w:r>
    </w:p>
    <w:p w14:paraId="3D5F07DA" w14:textId="2D391DE8"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Carbon Tracker Initiative (2025)</w:t>
      </w:r>
      <w:r w:rsidRPr="00B5011E">
        <w:rPr>
          <w:rFonts w:ascii="Arial" w:hAnsi="Arial" w:cs="Arial"/>
          <w:sz w:val="24"/>
          <w:szCs w:val="20"/>
        </w:rPr>
        <w:t xml:space="preserve"> Measuring transition: Tata Steel. Available at: https://carbontracker.org/reports/measuring-transition-tat</w:t>
      </w:r>
      <w:r>
        <w:rPr>
          <w:rFonts w:ascii="Arial" w:hAnsi="Arial" w:cs="Arial"/>
          <w:sz w:val="24"/>
          <w:szCs w:val="20"/>
        </w:rPr>
        <w:t>a-steel/ (Accessed: June 2026).</w:t>
      </w:r>
    </w:p>
    <w:p w14:paraId="4DDD9247" w14:textId="5C579ED4"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 xml:space="preserve">Columbia University </w:t>
      </w:r>
      <w:proofErr w:type="spellStart"/>
      <w:r w:rsidRPr="00B5011E">
        <w:rPr>
          <w:rFonts w:ascii="Arial" w:hAnsi="Arial" w:cs="Arial"/>
          <w:b/>
          <w:sz w:val="24"/>
          <w:szCs w:val="20"/>
        </w:rPr>
        <w:t>Center</w:t>
      </w:r>
      <w:proofErr w:type="spellEnd"/>
      <w:r w:rsidRPr="00B5011E">
        <w:rPr>
          <w:rFonts w:ascii="Arial" w:hAnsi="Arial" w:cs="Arial"/>
          <w:b/>
          <w:sz w:val="24"/>
          <w:szCs w:val="20"/>
        </w:rPr>
        <w:t xml:space="preserve"> on Global Energy Policy (CGEP) (2025)</w:t>
      </w:r>
      <w:r w:rsidRPr="00B5011E">
        <w:rPr>
          <w:rFonts w:ascii="Arial" w:hAnsi="Arial" w:cs="Arial"/>
          <w:sz w:val="24"/>
          <w:szCs w:val="20"/>
        </w:rPr>
        <w:t xml:space="preserve"> US–EU trade agreement: No sea change for CBAM, yet. Available at: https://www.energypolicy.columbia.edu/us-eu-trade-agreement-no-sea-change-for-c</w:t>
      </w:r>
      <w:r>
        <w:rPr>
          <w:rFonts w:ascii="Arial" w:hAnsi="Arial" w:cs="Arial"/>
          <w:sz w:val="24"/>
          <w:szCs w:val="20"/>
        </w:rPr>
        <w:t>bam-yet/ (Accessed: June 2026).</w:t>
      </w:r>
    </w:p>
    <w:p w14:paraId="13C9A85E" w14:textId="2EA3D314"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Construction Digital (2026)</w:t>
      </w:r>
      <w:r w:rsidRPr="00B5011E">
        <w:rPr>
          <w:rFonts w:ascii="Arial" w:hAnsi="Arial" w:cs="Arial"/>
          <w:sz w:val="24"/>
          <w:szCs w:val="20"/>
        </w:rPr>
        <w:t xml:space="preserve"> ‘Top 10 green steel manufacturers’, Construction Digital, 11 March. Available at: https://constructiondigital.com/top10/top-10-green-steel-manuf</w:t>
      </w:r>
      <w:r>
        <w:rPr>
          <w:rFonts w:ascii="Arial" w:hAnsi="Arial" w:cs="Arial"/>
          <w:sz w:val="24"/>
          <w:szCs w:val="20"/>
        </w:rPr>
        <w:t>acturers (Accessed: June 2026).</w:t>
      </w:r>
    </w:p>
    <w:p w14:paraId="317CE881" w14:textId="43CD32E4" w:rsidR="00B5011E" w:rsidRPr="00B5011E" w:rsidRDefault="00B5011E" w:rsidP="00B5011E">
      <w:pPr>
        <w:tabs>
          <w:tab w:val="left" w:pos="3033"/>
        </w:tabs>
        <w:spacing w:after="0" w:line="360" w:lineRule="auto"/>
        <w:jc w:val="both"/>
        <w:rPr>
          <w:rFonts w:ascii="Arial" w:hAnsi="Arial" w:cs="Arial"/>
          <w:sz w:val="24"/>
          <w:szCs w:val="20"/>
        </w:rPr>
      </w:pPr>
      <w:proofErr w:type="spellStart"/>
      <w:r w:rsidRPr="00B5011E">
        <w:rPr>
          <w:rFonts w:ascii="Arial" w:hAnsi="Arial" w:cs="Arial"/>
          <w:b/>
          <w:sz w:val="24"/>
          <w:szCs w:val="20"/>
        </w:rPr>
        <w:t>Euronews</w:t>
      </w:r>
      <w:proofErr w:type="spellEnd"/>
      <w:r w:rsidRPr="00B5011E">
        <w:rPr>
          <w:rFonts w:ascii="Arial" w:hAnsi="Arial" w:cs="Arial"/>
          <w:b/>
          <w:sz w:val="24"/>
          <w:szCs w:val="20"/>
        </w:rPr>
        <w:t xml:space="preserve"> (2026)</w:t>
      </w:r>
      <w:r w:rsidRPr="00B5011E">
        <w:rPr>
          <w:rFonts w:ascii="Arial" w:hAnsi="Arial" w:cs="Arial"/>
          <w:sz w:val="24"/>
          <w:szCs w:val="20"/>
        </w:rPr>
        <w:t xml:space="preserve"> ‘EU’s carbon border tax on heavy industry goods goes into effect’, </w:t>
      </w:r>
      <w:proofErr w:type="spellStart"/>
      <w:r w:rsidRPr="00B5011E">
        <w:rPr>
          <w:rFonts w:ascii="Arial" w:hAnsi="Arial" w:cs="Arial"/>
          <w:sz w:val="24"/>
          <w:szCs w:val="20"/>
        </w:rPr>
        <w:t>Euronews</w:t>
      </w:r>
      <w:proofErr w:type="spellEnd"/>
      <w:r w:rsidRPr="00B5011E">
        <w:rPr>
          <w:rFonts w:ascii="Arial" w:hAnsi="Arial" w:cs="Arial"/>
          <w:sz w:val="24"/>
          <w:szCs w:val="20"/>
        </w:rPr>
        <w:t>, 1 January. Available at: https://www.euronews.com/my-europe/2026/01/01/eus-carbon-border-tax-on-heavy-industry-goods-goes-into-effect-risking-trade-es</w:t>
      </w:r>
      <w:r>
        <w:rPr>
          <w:rFonts w:ascii="Arial" w:hAnsi="Arial" w:cs="Arial"/>
          <w:sz w:val="24"/>
          <w:szCs w:val="20"/>
        </w:rPr>
        <w:t>calation (Accessed: June 2026).</w:t>
      </w:r>
    </w:p>
    <w:p w14:paraId="63E1CD46" w14:textId="7FE17062"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European Commission (2025)</w:t>
      </w:r>
      <w:r w:rsidRPr="00B5011E">
        <w:rPr>
          <w:rFonts w:ascii="Arial" w:hAnsi="Arial" w:cs="Arial"/>
          <w:sz w:val="24"/>
          <w:szCs w:val="20"/>
        </w:rPr>
        <w:t xml:space="preserve"> Carbon border adjustment mechanism. Available at: https://taxation-customs.ec.europa.eu/carbon-border-adjustment-mech</w:t>
      </w:r>
      <w:r>
        <w:rPr>
          <w:rFonts w:ascii="Arial" w:hAnsi="Arial" w:cs="Arial"/>
          <w:sz w:val="24"/>
          <w:szCs w:val="20"/>
        </w:rPr>
        <w:t>anism_en (Accessed: June 2026).</w:t>
      </w:r>
    </w:p>
    <w:p w14:paraId="7D807456" w14:textId="6AFBC19F" w:rsidR="00B5011E" w:rsidRPr="00B5011E" w:rsidRDefault="00B5011E" w:rsidP="00A97F67">
      <w:pPr>
        <w:tabs>
          <w:tab w:val="left" w:pos="3033"/>
        </w:tabs>
        <w:spacing w:after="0" w:line="360" w:lineRule="auto"/>
        <w:jc w:val="both"/>
        <w:rPr>
          <w:rFonts w:ascii="Arial" w:hAnsi="Arial" w:cs="Arial"/>
          <w:sz w:val="24"/>
          <w:szCs w:val="20"/>
        </w:rPr>
      </w:pPr>
      <w:r w:rsidRPr="00B5011E">
        <w:rPr>
          <w:rFonts w:ascii="Arial" w:hAnsi="Arial" w:cs="Arial"/>
          <w:b/>
          <w:sz w:val="24"/>
          <w:szCs w:val="20"/>
        </w:rPr>
        <w:t>Financial Stability Board (2017)</w:t>
      </w:r>
      <w:r w:rsidRPr="00B5011E">
        <w:rPr>
          <w:rFonts w:ascii="Arial" w:hAnsi="Arial" w:cs="Arial"/>
          <w:sz w:val="24"/>
          <w:szCs w:val="20"/>
        </w:rPr>
        <w:t xml:space="preserve"> Recommendations of the Task Force on Climate-related Finan</w:t>
      </w:r>
      <w:r>
        <w:rPr>
          <w:rFonts w:ascii="Arial" w:hAnsi="Arial" w:cs="Arial"/>
          <w:sz w:val="24"/>
          <w:szCs w:val="20"/>
        </w:rPr>
        <w:t xml:space="preserve">cial Disclosures. Available at: </w:t>
      </w:r>
      <w:r w:rsidRPr="00B5011E">
        <w:rPr>
          <w:rFonts w:ascii="Arial" w:hAnsi="Arial" w:cs="Arial"/>
          <w:sz w:val="24"/>
          <w:szCs w:val="20"/>
        </w:rPr>
        <w:lastRenderedPageBreak/>
        <w:t>https://www.fsb.org/2017/06/recommendations-of-the-task-force-on-climate-related-financial-disclo</w:t>
      </w:r>
      <w:r>
        <w:rPr>
          <w:rFonts w:ascii="Arial" w:hAnsi="Arial" w:cs="Arial"/>
          <w:sz w:val="24"/>
          <w:szCs w:val="20"/>
        </w:rPr>
        <w:t>sures-2/ (Accessed: June 2026).</w:t>
      </w:r>
    </w:p>
    <w:p w14:paraId="38A4DBEB" w14:textId="050EDF50"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 xml:space="preserve">GMK </w:t>
      </w:r>
      <w:proofErr w:type="spellStart"/>
      <w:r w:rsidRPr="00B5011E">
        <w:rPr>
          <w:rFonts w:ascii="Arial" w:hAnsi="Arial" w:cs="Arial"/>
          <w:b/>
          <w:sz w:val="24"/>
          <w:szCs w:val="20"/>
        </w:rPr>
        <w:t>Center</w:t>
      </w:r>
      <w:proofErr w:type="spellEnd"/>
      <w:r w:rsidRPr="00B5011E">
        <w:rPr>
          <w:rFonts w:ascii="Arial" w:hAnsi="Arial" w:cs="Arial"/>
          <w:b/>
          <w:sz w:val="24"/>
          <w:szCs w:val="20"/>
        </w:rPr>
        <w:t xml:space="preserve"> (2025)</w:t>
      </w:r>
      <w:r w:rsidRPr="00B5011E">
        <w:rPr>
          <w:rFonts w:ascii="Arial" w:hAnsi="Arial" w:cs="Arial"/>
          <w:sz w:val="24"/>
          <w:szCs w:val="20"/>
        </w:rPr>
        <w:t xml:space="preserve"> How the US CBAM will affect the steel industries of different countries. Available at: https://gmk.center/en/posts/how-the-us-cbam-will-affect-the-steel-industries-of-different-co</w:t>
      </w:r>
      <w:r>
        <w:rPr>
          <w:rFonts w:ascii="Arial" w:hAnsi="Arial" w:cs="Arial"/>
          <w:sz w:val="24"/>
          <w:szCs w:val="20"/>
        </w:rPr>
        <w:t>untries/ (Accessed: June 2026).</w:t>
      </w:r>
    </w:p>
    <w:p w14:paraId="306CBD98" w14:textId="73DC8C08"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International Institute for Sustainable Development (IISD) (2026)</w:t>
      </w:r>
      <w:r w:rsidRPr="00B5011E">
        <w:rPr>
          <w:rFonts w:ascii="Arial" w:hAnsi="Arial" w:cs="Arial"/>
          <w:sz w:val="24"/>
          <w:szCs w:val="20"/>
        </w:rPr>
        <w:t xml:space="preserve"> ‘EU carbon border adjustment mechanism is set to get bigger’, IISD, 27 January. Available at: https://www.iisd.org/articles/explainer/eu-carbon-border-adjustment-mechanism-bigger-trade-impl</w:t>
      </w:r>
      <w:r>
        <w:rPr>
          <w:rFonts w:ascii="Arial" w:hAnsi="Arial" w:cs="Arial"/>
          <w:sz w:val="24"/>
          <w:szCs w:val="20"/>
        </w:rPr>
        <w:t>ications (Accessed: June 2026).</w:t>
      </w:r>
    </w:p>
    <w:p w14:paraId="0FF85CD3" w14:textId="48E46745"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KPMG (2025)</w:t>
      </w:r>
      <w:r w:rsidRPr="00B5011E">
        <w:rPr>
          <w:rFonts w:ascii="Arial" w:hAnsi="Arial" w:cs="Arial"/>
          <w:sz w:val="24"/>
          <w:szCs w:val="20"/>
        </w:rPr>
        <w:t xml:space="preserve"> Commercial war: here we are again. Available at: https://kpmg.com/av/fr/avocats/eclairages/2025/03/commercial-war-here-we-are-ag</w:t>
      </w:r>
      <w:r>
        <w:rPr>
          <w:rFonts w:ascii="Arial" w:hAnsi="Arial" w:cs="Arial"/>
          <w:sz w:val="24"/>
          <w:szCs w:val="20"/>
        </w:rPr>
        <w:t>ain.html (Accessed: June 2026).</w:t>
      </w:r>
    </w:p>
    <w:p w14:paraId="1885E6B0" w14:textId="15FF7D45"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Kotler, P., Armstrong, G., Harris, L.C. and He, H. (2024)</w:t>
      </w:r>
      <w:r w:rsidRPr="00B5011E">
        <w:rPr>
          <w:rFonts w:ascii="Arial" w:hAnsi="Arial" w:cs="Arial"/>
          <w:sz w:val="24"/>
          <w:szCs w:val="20"/>
        </w:rPr>
        <w:t xml:space="preserve"> Principles of market</w:t>
      </w:r>
      <w:r>
        <w:rPr>
          <w:rFonts w:ascii="Arial" w:hAnsi="Arial" w:cs="Arial"/>
          <w:sz w:val="24"/>
          <w:szCs w:val="20"/>
        </w:rPr>
        <w:t xml:space="preserve">ing. 19th </w:t>
      </w:r>
      <w:proofErr w:type="spellStart"/>
      <w:r>
        <w:rPr>
          <w:rFonts w:ascii="Arial" w:hAnsi="Arial" w:cs="Arial"/>
          <w:sz w:val="24"/>
          <w:szCs w:val="20"/>
        </w:rPr>
        <w:t>edn</w:t>
      </w:r>
      <w:proofErr w:type="spellEnd"/>
      <w:r>
        <w:rPr>
          <w:rFonts w:ascii="Arial" w:hAnsi="Arial" w:cs="Arial"/>
          <w:sz w:val="24"/>
          <w:szCs w:val="20"/>
        </w:rPr>
        <w:t>. Harlow: Pearson.</w:t>
      </w:r>
    </w:p>
    <w:p w14:paraId="7E09EEE8" w14:textId="06F260C2" w:rsid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Lux Metal Group (2025)</w:t>
      </w:r>
      <w:r w:rsidRPr="00B5011E">
        <w:rPr>
          <w:rFonts w:ascii="Arial" w:hAnsi="Arial" w:cs="Arial"/>
          <w:sz w:val="24"/>
          <w:szCs w:val="20"/>
        </w:rPr>
        <w:t xml:space="preserve"> ‘Tata Steel’s bold green future: Launch UK low</w:t>
      </w:r>
      <w:r w:rsidRPr="00B5011E">
        <w:rPr>
          <w:rFonts w:ascii="Cambria Math" w:hAnsi="Cambria Math" w:cs="Cambria Math"/>
          <w:sz w:val="24"/>
          <w:szCs w:val="20"/>
        </w:rPr>
        <w:t>‑</w:t>
      </w:r>
      <w:r w:rsidRPr="00B5011E">
        <w:rPr>
          <w:rFonts w:ascii="Arial" w:hAnsi="Arial" w:cs="Arial"/>
          <w:sz w:val="24"/>
          <w:szCs w:val="20"/>
        </w:rPr>
        <w:t>carbon steel project in July 2025’, Lux Metal Group, 15 June. Available at: https://luxmetalgroup.com/tata-steels-bold-gree</w:t>
      </w:r>
      <w:r>
        <w:rPr>
          <w:rFonts w:ascii="Arial" w:hAnsi="Arial" w:cs="Arial"/>
          <w:sz w:val="24"/>
          <w:szCs w:val="20"/>
        </w:rPr>
        <w:t>n-future (Accessed: June 2026).</w:t>
      </w:r>
    </w:p>
    <w:p w14:paraId="5DAD3C32" w14:textId="1C8D2AEB" w:rsidR="00FA529B" w:rsidRPr="00B5011E" w:rsidRDefault="00FA529B" w:rsidP="00B5011E">
      <w:pPr>
        <w:tabs>
          <w:tab w:val="left" w:pos="3033"/>
        </w:tabs>
        <w:spacing w:after="0" w:line="360" w:lineRule="auto"/>
        <w:jc w:val="both"/>
        <w:rPr>
          <w:rFonts w:ascii="Arial" w:hAnsi="Arial" w:cs="Arial"/>
          <w:sz w:val="24"/>
          <w:szCs w:val="20"/>
        </w:rPr>
      </w:pPr>
      <w:proofErr w:type="spellStart"/>
      <w:r w:rsidRPr="00FA529B">
        <w:rPr>
          <w:rFonts w:ascii="Arial" w:hAnsi="Arial" w:cs="Arial"/>
          <w:b/>
          <w:sz w:val="24"/>
          <w:szCs w:val="20"/>
        </w:rPr>
        <w:t>OpenAI</w:t>
      </w:r>
      <w:proofErr w:type="spellEnd"/>
      <w:r w:rsidRPr="00FA529B">
        <w:rPr>
          <w:rFonts w:ascii="Arial" w:hAnsi="Arial" w:cs="Arial"/>
          <w:b/>
          <w:sz w:val="24"/>
          <w:szCs w:val="20"/>
        </w:rPr>
        <w:t xml:space="preserve"> (2026) </w:t>
      </w:r>
      <w:proofErr w:type="spellStart"/>
      <w:r w:rsidRPr="00FA529B">
        <w:rPr>
          <w:rFonts w:ascii="Arial" w:hAnsi="Arial" w:cs="Arial"/>
          <w:b/>
          <w:sz w:val="24"/>
          <w:szCs w:val="20"/>
        </w:rPr>
        <w:t>ChatGPT</w:t>
      </w:r>
      <w:proofErr w:type="spellEnd"/>
      <w:r w:rsidRPr="00FA529B">
        <w:rPr>
          <w:rFonts w:ascii="Arial" w:hAnsi="Arial" w:cs="Arial"/>
          <w:sz w:val="24"/>
          <w:szCs w:val="20"/>
        </w:rPr>
        <w:t xml:space="preserve"> response on brand identity, brand image, brand promise, brand knowledge and brand equity. Genera</w:t>
      </w:r>
      <w:r>
        <w:rPr>
          <w:rFonts w:ascii="Arial" w:hAnsi="Arial" w:cs="Arial"/>
          <w:sz w:val="24"/>
          <w:szCs w:val="20"/>
        </w:rPr>
        <w:t xml:space="preserve">ted using </w:t>
      </w:r>
      <w:proofErr w:type="spellStart"/>
      <w:r>
        <w:rPr>
          <w:rFonts w:ascii="Arial" w:hAnsi="Arial" w:cs="Arial"/>
          <w:sz w:val="24"/>
          <w:szCs w:val="20"/>
        </w:rPr>
        <w:t>ChatGPT</w:t>
      </w:r>
      <w:proofErr w:type="spellEnd"/>
      <w:r>
        <w:rPr>
          <w:rFonts w:ascii="Arial" w:hAnsi="Arial" w:cs="Arial"/>
          <w:sz w:val="24"/>
          <w:szCs w:val="20"/>
        </w:rPr>
        <w:t xml:space="preserve"> (GPT-5.5), </w:t>
      </w:r>
      <w:r w:rsidRPr="00FA529B">
        <w:rPr>
          <w:rFonts w:ascii="Arial" w:hAnsi="Arial" w:cs="Arial"/>
          <w:sz w:val="24"/>
          <w:szCs w:val="20"/>
        </w:rPr>
        <w:t>June 2026. Available at: htt</w:t>
      </w:r>
      <w:r>
        <w:rPr>
          <w:rFonts w:ascii="Arial" w:hAnsi="Arial" w:cs="Arial"/>
          <w:sz w:val="24"/>
          <w:szCs w:val="20"/>
        </w:rPr>
        <w:t xml:space="preserve">ps://chatgpt.com/ (Accessed: </w:t>
      </w:r>
      <w:r w:rsidRPr="00FA529B">
        <w:rPr>
          <w:rFonts w:ascii="Arial" w:hAnsi="Arial" w:cs="Arial"/>
          <w:sz w:val="24"/>
          <w:szCs w:val="20"/>
        </w:rPr>
        <w:t>June 2026).</w:t>
      </w:r>
    </w:p>
    <w:p w14:paraId="6C53388D" w14:textId="2FEC28C8"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Patel, Z. (2026)</w:t>
      </w:r>
      <w:r w:rsidRPr="00B5011E">
        <w:rPr>
          <w:rFonts w:ascii="Arial" w:hAnsi="Arial" w:cs="Arial"/>
          <w:sz w:val="24"/>
          <w:szCs w:val="20"/>
        </w:rPr>
        <w:t xml:space="preserve"> Tata Steel Strategic Growth Analysis. Available at: https://sites.google.com/view/tata-strategic-growth-by-za</w:t>
      </w:r>
      <w:r>
        <w:rPr>
          <w:rFonts w:ascii="Arial" w:hAnsi="Arial" w:cs="Arial"/>
          <w:sz w:val="24"/>
          <w:szCs w:val="20"/>
        </w:rPr>
        <w:t>rna/home (Accessed: June 2026).</w:t>
      </w:r>
    </w:p>
    <w:p w14:paraId="4B325246" w14:textId="25C517B5"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Porter, M.E. (1980)</w:t>
      </w:r>
      <w:r w:rsidRPr="00B5011E">
        <w:rPr>
          <w:rFonts w:ascii="Arial" w:hAnsi="Arial" w:cs="Arial"/>
          <w:sz w:val="24"/>
          <w:szCs w:val="20"/>
        </w:rPr>
        <w:t xml:space="preserve"> Competitive strategy: Techniques for analysing industries and com</w:t>
      </w:r>
      <w:r>
        <w:rPr>
          <w:rFonts w:ascii="Arial" w:hAnsi="Arial" w:cs="Arial"/>
          <w:sz w:val="24"/>
          <w:szCs w:val="20"/>
        </w:rPr>
        <w:t>petitors. New York: Free Press.</w:t>
      </w:r>
    </w:p>
    <w:p w14:paraId="4B70A43E" w14:textId="399B656D" w:rsidR="00B5011E" w:rsidRPr="00B5011E" w:rsidRDefault="00B5011E" w:rsidP="00B5011E">
      <w:pPr>
        <w:tabs>
          <w:tab w:val="left" w:pos="3033"/>
        </w:tabs>
        <w:spacing w:after="0" w:line="360" w:lineRule="auto"/>
        <w:jc w:val="both"/>
        <w:rPr>
          <w:rFonts w:ascii="Arial" w:hAnsi="Arial" w:cs="Arial"/>
          <w:sz w:val="24"/>
          <w:szCs w:val="20"/>
        </w:rPr>
      </w:pPr>
      <w:proofErr w:type="spellStart"/>
      <w:r w:rsidRPr="00B5011E">
        <w:rPr>
          <w:rFonts w:ascii="Arial" w:hAnsi="Arial" w:cs="Arial"/>
          <w:b/>
          <w:sz w:val="24"/>
          <w:szCs w:val="20"/>
        </w:rPr>
        <w:t>ResponsibleSteel</w:t>
      </w:r>
      <w:proofErr w:type="spellEnd"/>
      <w:r w:rsidRPr="00B5011E">
        <w:rPr>
          <w:rFonts w:ascii="Arial" w:hAnsi="Arial" w:cs="Arial"/>
          <w:b/>
          <w:sz w:val="24"/>
          <w:szCs w:val="20"/>
        </w:rPr>
        <w:t xml:space="preserve"> (2023)</w:t>
      </w:r>
      <w:r w:rsidRPr="00B5011E">
        <w:rPr>
          <w:rFonts w:ascii="Arial" w:hAnsi="Arial" w:cs="Arial"/>
          <w:sz w:val="24"/>
          <w:szCs w:val="20"/>
        </w:rPr>
        <w:t xml:space="preserve"> </w:t>
      </w:r>
      <w:proofErr w:type="spellStart"/>
      <w:r w:rsidRPr="00B5011E">
        <w:rPr>
          <w:rFonts w:ascii="Arial" w:hAnsi="Arial" w:cs="Arial"/>
          <w:sz w:val="24"/>
          <w:szCs w:val="20"/>
        </w:rPr>
        <w:t>ResponsibleSteel</w:t>
      </w:r>
      <w:proofErr w:type="spellEnd"/>
      <w:r w:rsidRPr="00B5011E">
        <w:rPr>
          <w:rFonts w:ascii="Arial" w:hAnsi="Arial" w:cs="Arial"/>
          <w:sz w:val="24"/>
          <w:szCs w:val="20"/>
        </w:rPr>
        <w:t xml:space="preserve"> international production standard. Available at: https://www.responsiblesteel.org/s</w:t>
      </w:r>
      <w:r>
        <w:rPr>
          <w:rFonts w:ascii="Arial" w:hAnsi="Arial" w:cs="Arial"/>
          <w:sz w:val="24"/>
          <w:szCs w:val="20"/>
        </w:rPr>
        <w:t>tandards (Accessed: June 2026).</w:t>
      </w:r>
    </w:p>
    <w:p w14:paraId="7CF6EE76" w14:textId="19B7F530"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Sandbag (2025)</w:t>
      </w:r>
      <w:r w:rsidRPr="00B5011E">
        <w:rPr>
          <w:rFonts w:ascii="Arial" w:hAnsi="Arial" w:cs="Arial"/>
          <w:sz w:val="24"/>
          <w:szCs w:val="20"/>
        </w:rPr>
        <w:t xml:space="preserve"> CBAM impact on US trade. Available at: https://sandbag.be/2025/09/24/cbam-us-trade-impact/ (A</w:t>
      </w:r>
      <w:r>
        <w:rPr>
          <w:rFonts w:ascii="Arial" w:hAnsi="Arial" w:cs="Arial"/>
          <w:sz w:val="24"/>
          <w:szCs w:val="20"/>
        </w:rPr>
        <w:t>ccessed: June 2026).</w:t>
      </w:r>
    </w:p>
    <w:p w14:paraId="7FF41ECC" w14:textId="358BA5E6"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Tata Group (2022)</w:t>
      </w:r>
      <w:r w:rsidRPr="00B5011E">
        <w:rPr>
          <w:rFonts w:ascii="Arial" w:hAnsi="Arial" w:cs="Arial"/>
          <w:sz w:val="24"/>
          <w:szCs w:val="20"/>
        </w:rPr>
        <w:t xml:space="preserve"> ‘Forging sustainable steel’, Tata Group Newsroom. Available at: https://www.tata.com/newsroom/business/tata-steel-sustainable-a</w:t>
      </w:r>
      <w:r>
        <w:rPr>
          <w:rFonts w:ascii="Arial" w:hAnsi="Arial" w:cs="Arial"/>
          <w:sz w:val="24"/>
          <w:szCs w:val="20"/>
        </w:rPr>
        <w:t>alingana (Accessed: June 2026).</w:t>
      </w:r>
    </w:p>
    <w:p w14:paraId="0586FA16" w14:textId="3F8E70F3"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lastRenderedPageBreak/>
        <w:t>Tata Steel (2024)</w:t>
      </w:r>
      <w:r w:rsidRPr="00B5011E">
        <w:rPr>
          <w:rFonts w:ascii="Arial" w:hAnsi="Arial" w:cs="Arial"/>
          <w:sz w:val="24"/>
          <w:szCs w:val="20"/>
        </w:rPr>
        <w:t xml:space="preserve"> ‘Tata Steel launches India’s first Carbon Bank’, Tata Steel Newsroom. Available at: https://www.tatasteel.com/newsroom/in-the-news/2024/tata-steel-launches-indias-first-carb</w:t>
      </w:r>
      <w:r>
        <w:rPr>
          <w:rFonts w:ascii="Arial" w:hAnsi="Arial" w:cs="Arial"/>
          <w:sz w:val="24"/>
          <w:szCs w:val="20"/>
        </w:rPr>
        <w:t>on-bank/ (Accessed: June 2026).</w:t>
      </w:r>
    </w:p>
    <w:p w14:paraId="51B3ED04" w14:textId="712881A0"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Tata Steel (2025) integrated report and annual accounts 2024-25</w:t>
      </w:r>
      <w:r w:rsidRPr="00B5011E">
        <w:rPr>
          <w:rFonts w:ascii="Arial" w:hAnsi="Arial" w:cs="Arial"/>
          <w:sz w:val="24"/>
          <w:szCs w:val="20"/>
        </w:rPr>
        <w:t>: Climate change report. Available at: https://www.tatasteel.com/investors/integrated-report-2024-25/climate-change-rep</w:t>
      </w:r>
      <w:r>
        <w:rPr>
          <w:rFonts w:ascii="Arial" w:hAnsi="Arial" w:cs="Arial"/>
          <w:sz w:val="24"/>
          <w:szCs w:val="20"/>
        </w:rPr>
        <w:t>ort.html (Accessed: June 2026).</w:t>
      </w:r>
    </w:p>
    <w:p w14:paraId="4089A58B" w14:textId="014C5E75" w:rsidR="00B5011E" w:rsidRPr="00B5011E" w:rsidRDefault="00B5011E" w:rsidP="00B5011E">
      <w:pPr>
        <w:tabs>
          <w:tab w:val="left" w:pos="3033"/>
        </w:tabs>
        <w:spacing w:after="0" w:line="360" w:lineRule="auto"/>
        <w:jc w:val="both"/>
        <w:rPr>
          <w:rFonts w:ascii="Arial" w:hAnsi="Arial" w:cs="Arial"/>
          <w:sz w:val="24"/>
          <w:szCs w:val="20"/>
        </w:rPr>
      </w:pPr>
      <w:r w:rsidRPr="00B5011E">
        <w:rPr>
          <w:rFonts w:ascii="Arial" w:hAnsi="Arial" w:cs="Arial"/>
          <w:b/>
          <w:sz w:val="24"/>
          <w:szCs w:val="20"/>
        </w:rPr>
        <w:t>Tata Steel Nederland (2025)</w:t>
      </w:r>
      <w:r w:rsidRPr="00B5011E">
        <w:rPr>
          <w:rFonts w:ascii="Arial" w:hAnsi="Arial" w:cs="Arial"/>
          <w:sz w:val="24"/>
          <w:szCs w:val="20"/>
        </w:rPr>
        <w:t xml:space="preserve"> Green steel transformation at Tata Steel Netherlands. Available at: https://www.nyenrode.nl/en/news/n/green-steel-transf</w:t>
      </w:r>
      <w:r>
        <w:rPr>
          <w:rFonts w:ascii="Arial" w:hAnsi="Arial" w:cs="Arial"/>
          <w:sz w:val="24"/>
          <w:szCs w:val="20"/>
        </w:rPr>
        <w:t>ormation (Accessed: June 2026).</w:t>
      </w:r>
    </w:p>
    <w:p w14:paraId="196E92DB" w14:textId="57BFD776" w:rsidR="00EB4C02" w:rsidRPr="000541B3" w:rsidRDefault="00B5011E" w:rsidP="00B5011E">
      <w:pPr>
        <w:tabs>
          <w:tab w:val="left" w:pos="3033"/>
        </w:tabs>
        <w:spacing w:after="0" w:line="360" w:lineRule="auto"/>
        <w:jc w:val="both"/>
        <w:rPr>
          <w:rStyle w:val="Strong"/>
          <w:rFonts w:ascii="Arial" w:hAnsi="Arial" w:cs="Arial"/>
          <w:b w:val="0"/>
          <w:bCs w:val="0"/>
          <w:sz w:val="24"/>
          <w:szCs w:val="20"/>
        </w:rPr>
      </w:pPr>
      <w:r w:rsidRPr="00B5011E">
        <w:rPr>
          <w:rFonts w:ascii="Arial" w:hAnsi="Arial" w:cs="Arial"/>
          <w:b/>
          <w:sz w:val="24"/>
          <w:szCs w:val="20"/>
        </w:rPr>
        <w:t>Tata Steel UK (2025) Green steel future</w:t>
      </w:r>
      <w:r w:rsidRPr="00B5011E">
        <w:rPr>
          <w:rFonts w:ascii="Arial" w:hAnsi="Arial" w:cs="Arial"/>
          <w:sz w:val="24"/>
          <w:szCs w:val="20"/>
        </w:rPr>
        <w:t>. Available at: https://www.tatasteeluk.com/green-steel-future (Accessed: June 2026).</w:t>
      </w:r>
    </w:p>
    <w:p w14:paraId="6379D7BC" w14:textId="54563956" w:rsidR="002B43F9" w:rsidRPr="002B43F9" w:rsidRDefault="002B43F9" w:rsidP="000541B3">
      <w:pPr>
        <w:pStyle w:val="Heading1"/>
        <w:spacing w:after="0"/>
        <w:jc w:val="both"/>
        <w:rPr>
          <w:rStyle w:val="Strong"/>
          <w:b/>
          <w:bCs/>
        </w:rPr>
      </w:pPr>
      <w:bookmarkStart w:id="2" w:name="_Appendix"/>
      <w:bookmarkEnd w:id="2"/>
      <w:r>
        <w:t>Appendix</w:t>
      </w:r>
    </w:p>
    <w:p w14:paraId="344377FA" w14:textId="40F81DEA" w:rsidR="003820FC" w:rsidRPr="003820FC" w:rsidRDefault="002B43F9" w:rsidP="000541B3">
      <w:pPr>
        <w:pStyle w:val="font-claude-response-body"/>
        <w:spacing w:before="340" w:beforeAutospacing="0" w:after="0" w:afterAutospacing="0" w:line="360" w:lineRule="auto"/>
        <w:jc w:val="both"/>
        <w:rPr>
          <w:rFonts w:ascii="Arial" w:hAnsi="Arial" w:cs="Arial"/>
        </w:rPr>
      </w:pPr>
      <w:r>
        <w:rPr>
          <w:rStyle w:val="Strong"/>
          <w:rFonts w:ascii="Arial" w:eastAsia="Arial" w:hAnsi="Arial" w:cs="Arial"/>
        </w:rPr>
        <w:t>APPENDIX I</w:t>
      </w:r>
      <w:r w:rsidR="003820FC" w:rsidRPr="003820FC">
        <w:rPr>
          <w:rStyle w:val="Strong"/>
          <w:rFonts w:ascii="Arial" w:eastAsia="Arial" w:hAnsi="Arial" w:cs="Arial"/>
        </w:rPr>
        <w:t>: Supplementary Online Resource</w:t>
      </w:r>
    </w:p>
    <w:p w14:paraId="1B5E8A17" w14:textId="3C47B8B8" w:rsidR="003820FC" w:rsidRPr="003820FC" w:rsidRDefault="003820FC" w:rsidP="00EB4C02">
      <w:pPr>
        <w:pStyle w:val="font-claude-response-body"/>
        <w:spacing w:before="0" w:beforeAutospacing="0" w:after="0" w:afterAutospacing="0" w:line="360" w:lineRule="auto"/>
        <w:jc w:val="both"/>
        <w:rPr>
          <w:rFonts w:ascii="Arial" w:hAnsi="Arial" w:cs="Arial"/>
        </w:rPr>
      </w:pPr>
      <w:r w:rsidRPr="003820FC">
        <w:rPr>
          <w:rStyle w:val="Strong"/>
          <w:rFonts w:ascii="Arial" w:eastAsia="Arial" w:hAnsi="Arial" w:cs="Arial"/>
        </w:rPr>
        <w:t>Title:</w:t>
      </w:r>
      <w:r w:rsidRPr="003820FC">
        <w:rPr>
          <w:rFonts w:ascii="Arial" w:hAnsi="Arial" w:cs="Arial"/>
        </w:rPr>
        <w:t xml:space="preserve"> Tata Steel Strategic Growth </w:t>
      </w:r>
      <w:r>
        <w:rPr>
          <w:rFonts w:ascii="Arial" w:hAnsi="Arial" w:cs="Arial"/>
        </w:rPr>
        <w:t>Analysis:</w:t>
      </w:r>
      <w:r w:rsidRPr="003820FC">
        <w:rPr>
          <w:rFonts w:ascii="Arial" w:hAnsi="Arial" w:cs="Arial"/>
        </w:rPr>
        <w:t xml:space="preserve"> Visual Overview</w:t>
      </w:r>
    </w:p>
    <w:p w14:paraId="14E446C9" w14:textId="05381804" w:rsidR="003820FC" w:rsidRPr="003820FC" w:rsidRDefault="003820FC" w:rsidP="00EB4C02">
      <w:pPr>
        <w:pStyle w:val="font-claude-response-body"/>
        <w:spacing w:before="0" w:beforeAutospacing="0" w:after="0" w:afterAutospacing="0" w:line="360" w:lineRule="auto"/>
        <w:jc w:val="both"/>
        <w:rPr>
          <w:rFonts w:ascii="Arial" w:hAnsi="Arial" w:cs="Arial"/>
        </w:rPr>
      </w:pPr>
      <w:r w:rsidRPr="003820FC">
        <w:rPr>
          <w:rStyle w:val="Strong"/>
          <w:rFonts w:ascii="Arial" w:eastAsia="Arial" w:hAnsi="Arial" w:cs="Arial"/>
        </w:rPr>
        <w:t>Author:</w:t>
      </w:r>
      <w:r w:rsidRPr="003820FC">
        <w:rPr>
          <w:rFonts w:ascii="Arial" w:hAnsi="Arial" w:cs="Arial"/>
        </w:rPr>
        <w:t xml:space="preserve"> Zarna Patel (Student, LCMB7024 Marketing Management, University of Wales Trinity Saint David)</w:t>
      </w:r>
    </w:p>
    <w:p w14:paraId="0A769161" w14:textId="1A8A340D" w:rsidR="00FC1B94" w:rsidRDefault="003820FC" w:rsidP="00EB4C02">
      <w:pPr>
        <w:pStyle w:val="font-claude-response-body"/>
        <w:spacing w:before="0" w:beforeAutospacing="0" w:after="0" w:afterAutospacing="0" w:line="360" w:lineRule="auto"/>
        <w:jc w:val="both"/>
        <w:rPr>
          <w:rFonts w:ascii="Arial" w:hAnsi="Arial" w:cs="Arial"/>
        </w:rPr>
      </w:pPr>
      <w:r w:rsidRPr="003820FC">
        <w:rPr>
          <w:rStyle w:val="Strong"/>
          <w:rFonts w:ascii="Arial" w:eastAsia="Arial" w:hAnsi="Arial" w:cs="Arial"/>
        </w:rPr>
        <w:t>Purpose:</w:t>
      </w:r>
      <w:r w:rsidRPr="003820FC">
        <w:rPr>
          <w:rFonts w:ascii="Arial" w:hAnsi="Arial" w:cs="Arial"/>
        </w:rPr>
        <w:t xml:space="preserve"> This online resource was created by the author </w:t>
      </w:r>
      <w:r w:rsidR="00FC1B94" w:rsidRPr="00FC1B94">
        <w:rPr>
          <w:rFonts w:ascii="Arial" w:hAnsi="Arial" w:cs="Arial"/>
        </w:rPr>
        <w:t xml:space="preserve">to give readers a clearer, more accessible visual overview of the strategic growth frameworks used in this report. By presenting the </w:t>
      </w:r>
      <w:proofErr w:type="spellStart"/>
      <w:r w:rsidR="00FC1B94" w:rsidRPr="00FC1B94">
        <w:rPr>
          <w:rFonts w:ascii="Arial" w:hAnsi="Arial" w:cs="Arial"/>
        </w:rPr>
        <w:t>Ansoff</w:t>
      </w:r>
      <w:proofErr w:type="spellEnd"/>
      <w:r w:rsidR="00FC1B94" w:rsidRPr="00FC1B94">
        <w:rPr>
          <w:rFonts w:ascii="Arial" w:hAnsi="Arial" w:cs="Arial"/>
        </w:rPr>
        <w:t xml:space="preserve"> Matrix, Porter’s Generic Strategies, and the macro</w:t>
      </w:r>
      <w:r w:rsidR="00FC1B94" w:rsidRPr="00FC1B94">
        <w:rPr>
          <w:rFonts w:ascii="Cambria Math" w:hAnsi="Cambria Math" w:cs="Cambria Math"/>
        </w:rPr>
        <w:t>‑</w:t>
      </w:r>
      <w:r w:rsidR="00FC1B94" w:rsidRPr="00FC1B94">
        <w:rPr>
          <w:rFonts w:ascii="Arial" w:hAnsi="Arial" w:cs="Arial"/>
        </w:rPr>
        <w:t>environmental analysis of T</w:t>
      </w:r>
      <w:r w:rsidR="00856C65">
        <w:rPr>
          <w:rFonts w:ascii="Arial" w:hAnsi="Arial" w:cs="Arial"/>
        </w:rPr>
        <w:t xml:space="preserve">ata Steel in a visual format, </w:t>
      </w:r>
      <w:r w:rsidR="00856C65" w:rsidRPr="003820FC">
        <w:rPr>
          <w:rFonts w:ascii="Arial" w:hAnsi="Arial" w:cs="Arial"/>
        </w:rPr>
        <w:t>author</w:t>
      </w:r>
      <w:r w:rsidR="00856C65">
        <w:rPr>
          <w:rFonts w:ascii="Arial" w:hAnsi="Arial" w:cs="Arial"/>
        </w:rPr>
        <w:t>´s</w:t>
      </w:r>
      <w:r w:rsidR="00FC1B94" w:rsidRPr="00FC1B94">
        <w:rPr>
          <w:rFonts w:ascii="Arial" w:hAnsi="Arial" w:cs="Arial"/>
        </w:rPr>
        <w:t xml:space="preserve"> aim is to make the analytical insights from Tasks 1 and 2 easier to follow and more intuitive for the reader or viewer.</w:t>
      </w:r>
    </w:p>
    <w:p w14:paraId="7F2A69A4" w14:textId="01B3EEE3" w:rsidR="003820FC" w:rsidRPr="003820FC" w:rsidRDefault="003820FC" w:rsidP="00EB4C02">
      <w:pPr>
        <w:pStyle w:val="font-claude-response-body"/>
        <w:spacing w:before="0" w:beforeAutospacing="0" w:after="0" w:afterAutospacing="0" w:line="360" w:lineRule="auto"/>
        <w:jc w:val="both"/>
        <w:rPr>
          <w:rFonts w:ascii="Arial" w:hAnsi="Arial" w:cs="Arial"/>
        </w:rPr>
      </w:pPr>
      <w:r w:rsidRPr="003820FC">
        <w:rPr>
          <w:rStyle w:val="Strong"/>
          <w:rFonts w:ascii="Arial" w:eastAsia="Arial" w:hAnsi="Arial" w:cs="Arial"/>
        </w:rPr>
        <w:t>Access:</w:t>
      </w:r>
      <w:r>
        <w:rPr>
          <w:rFonts w:ascii="Arial" w:hAnsi="Arial" w:cs="Arial"/>
        </w:rPr>
        <w:t xml:space="preserve"> </w:t>
      </w:r>
      <w:r w:rsidRPr="003820FC">
        <w:rPr>
          <w:rFonts w:ascii="Arial" w:hAnsi="Arial" w:cs="Arial"/>
        </w:rPr>
        <w:t xml:space="preserve">Available at: </w:t>
      </w:r>
      <w:hyperlink r:id="rId30" w:history="1">
        <w:r w:rsidRPr="003820FC">
          <w:rPr>
            <w:rStyle w:val="Hyperlink"/>
            <w:rFonts w:ascii="Arial" w:eastAsiaTheme="majorEastAsia" w:hAnsi="Arial" w:cs="Arial"/>
          </w:rPr>
          <w:t>https://sites.google.com/view/tata-strategic-growth-by-zarna/home</w:t>
        </w:r>
      </w:hyperlink>
      <w:r w:rsidRPr="003820FC">
        <w:rPr>
          <w:rFonts w:ascii="Arial" w:hAnsi="Arial" w:cs="Arial"/>
        </w:rPr>
        <w:t xml:space="preserve"> (Accessed: June 2026).</w:t>
      </w:r>
    </w:p>
    <w:p w14:paraId="1923A7ED" w14:textId="43618279" w:rsidR="003820FC" w:rsidRPr="003820FC" w:rsidRDefault="003820FC" w:rsidP="00EB4C02">
      <w:pPr>
        <w:pStyle w:val="font-claude-response-body"/>
        <w:spacing w:before="0" w:beforeAutospacing="0" w:after="0" w:afterAutospacing="0" w:line="360" w:lineRule="auto"/>
        <w:jc w:val="both"/>
        <w:rPr>
          <w:rFonts w:ascii="Arial" w:hAnsi="Arial" w:cs="Arial"/>
        </w:rPr>
      </w:pPr>
      <w:r w:rsidRPr="003820FC">
        <w:rPr>
          <w:rStyle w:val="Strong"/>
          <w:rFonts w:ascii="Arial" w:eastAsia="Arial" w:hAnsi="Arial" w:cs="Arial"/>
        </w:rPr>
        <w:t>Note:</w:t>
      </w:r>
      <w:r w:rsidRPr="003820FC">
        <w:rPr>
          <w:rFonts w:ascii="Arial" w:hAnsi="Arial" w:cs="Arial"/>
        </w:rPr>
        <w:t xml:space="preserve"> This resource is an original creation by the author and does not form part of the assessed word count.</w:t>
      </w:r>
    </w:p>
    <w:p w14:paraId="5AB1B14D" w14:textId="5195AB5B" w:rsidR="0064501D" w:rsidRDefault="0064501D" w:rsidP="003820FC">
      <w:pPr>
        <w:tabs>
          <w:tab w:val="left" w:pos="3033"/>
        </w:tabs>
        <w:spacing w:after="0" w:line="276" w:lineRule="auto"/>
        <w:jc w:val="both"/>
        <w:rPr>
          <w:rFonts w:ascii="Arial" w:hAnsi="Arial" w:cs="Arial"/>
          <w:b/>
          <w:sz w:val="28"/>
          <w:szCs w:val="20"/>
        </w:rPr>
      </w:pPr>
    </w:p>
    <w:p w14:paraId="0E6BDAB7" w14:textId="23894070" w:rsidR="00EB4C02" w:rsidRPr="002B43F9" w:rsidRDefault="002B43F9" w:rsidP="00EB4C02">
      <w:pPr>
        <w:tabs>
          <w:tab w:val="left" w:pos="3033"/>
        </w:tabs>
        <w:spacing w:line="360" w:lineRule="auto"/>
        <w:jc w:val="both"/>
        <w:rPr>
          <w:rFonts w:ascii="Arial" w:hAnsi="Arial" w:cs="Arial"/>
          <w:sz w:val="24"/>
          <w:szCs w:val="24"/>
        </w:rPr>
      </w:pPr>
      <w:r w:rsidRPr="002B43F9">
        <w:rPr>
          <w:rStyle w:val="Strong"/>
          <w:rFonts w:ascii="Arial" w:eastAsia="Arial" w:hAnsi="Arial" w:cs="Arial"/>
          <w:bCs w:val="0"/>
          <w:sz w:val="24"/>
          <w:szCs w:val="24"/>
        </w:rPr>
        <w:t>APPENDIX II</w:t>
      </w:r>
      <w:r w:rsidR="00EB4C02" w:rsidRPr="002B43F9">
        <w:rPr>
          <w:rStyle w:val="Strong"/>
          <w:rFonts w:ascii="Arial" w:hAnsi="Arial" w:cs="Arial"/>
          <w:bCs w:val="0"/>
          <w:sz w:val="24"/>
          <w:szCs w:val="24"/>
        </w:rPr>
        <w:t>:</w:t>
      </w:r>
      <w:r w:rsidR="00EB4C02" w:rsidRPr="002B43F9">
        <w:rPr>
          <w:rStyle w:val="Strong"/>
          <w:rFonts w:ascii="Arial" w:hAnsi="Arial" w:cs="Arial"/>
          <w:b w:val="0"/>
          <w:bCs w:val="0"/>
          <w:sz w:val="24"/>
          <w:szCs w:val="24"/>
        </w:rPr>
        <w:t xml:space="preserve"> Evidence of AI</w:t>
      </w:r>
      <w:r w:rsidR="00EB4C02" w:rsidRPr="002B43F9">
        <w:rPr>
          <w:rStyle w:val="Strong"/>
          <w:rFonts w:ascii="Cambria Math" w:hAnsi="Cambria Math" w:cs="Cambria Math"/>
          <w:b w:val="0"/>
          <w:bCs w:val="0"/>
          <w:sz w:val="24"/>
          <w:szCs w:val="24"/>
        </w:rPr>
        <w:t>‑</w:t>
      </w:r>
      <w:r w:rsidR="00EB4C02" w:rsidRPr="002B43F9">
        <w:rPr>
          <w:rStyle w:val="Strong"/>
          <w:rFonts w:ascii="Arial" w:hAnsi="Arial" w:cs="Arial"/>
          <w:b w:val="0"/>
          <w:bCs w:val="0"/>
          <w:sz w:val="24"/>
          <w:szCs w:val="24"/>
        </w:rPr>
        <w:t>Generated Hallucinations</w:t>
      </w:r>
    </w:p>
    <w:p w14:paraId="58F8153C" w14:textId="77777777" w:rsidR="00234656" w:rsidRDefault="00EB4C02" w:rsidP="002B43F9">
      <w:pPr>
        <w:tabs>
          <w:tab w:val="left" w:pos="3033"/>
        </w:tabs>
        <w:spacing w:after="0" w:line="360" w:lineRule="auto"/>
        <w:jc w:val="both"/>
        <w:rPr>
          <w:rFonts w:ascii="Arial" w:hAnsi="Arial" w:cs="Arial"/>
          <w:sz w:val="24"/>
          <w:szCs w:val="24"/>
        </w:rPr>
      </w:pPr>
      <w:r w:rsidRPr="00EB4C02">
        <w:rPr>
          <w:rFonts w:ascii="Arial" w:hAnsi="Arial" w:cs="Arial"/>
          <w:sz w:val="24"/>
          <w:szCs w:val="24"/>
        </w:rPr>
        <w:t>This appendix provides documented examples of inaccuracies (“hallucinations”) produced by the AI tool during the research stage. These examples were identified through cross</w:t>
      </w:r>
      <w:r w:rsidRPr="00EB4C02">
        <w:rPr>
          <w:rFonts w:ascii="Cambria Math" w:hAnsi="Cambria Math" w:cs="Cambria Math"/>
          <w:sz w:val="24"/>
          <w:szCs w:val="24"/>
        </w:rPr>
        <w:t>‑</w:t>
      </w:r>
      <w:r w:rsidRPr="00EB4C02">
        <w:rPr>
          <w:rFonts w:ascii="Arial" w:hAnsi="Arial" w:cs="Arial"/>
          <w:sz w:val="24"/>
          <w:szCs w:val="24"/>
        </w:rPr>
        <w:t>verification with primary sources, including Tata Steel’</w:t>
      </w:r>
      <w:r>
        <w:rPr>
          <w:rFonts w:ascii="Arial" w:hAnsi="Arial" w:cs="Arial"/>
          <w:sz w:val="24"/>
          <w:szCs w:val="24"/>
        </w:rPr>
        <w:t>s Integrated Annual Report 2024-</w:t>
      </w:r>
      <w:r w:rsidRPr="00EB4C02">
        <w:rPr>
          <w:rFonts w:ascii="Arial" w:hAnsi="Arial" w:cs="Arial"/>
          <w:sz w:val="24"/>
          <w:szCs w:val="24"/>
        </w:rPr>
        <w:t xml:space="preserve">25 and official European Commission documentation. The figures </w:t>
      </w:r>
      <w:r w:rsidRPr="00EB4C02">
        <w:rPr>
          <w:rFonts w:ascii="Arial" w:hAnsi="Arial" w:cs="Arial"/>
          <w:sz w:val="24"/>
          <w:szCs w:val="24"/>
        </w:rPr>
        <w:lastRenderedPageBreak/>
        <w:t>below replicate the AI outputs in a screenshot</w:t>
      </w:r>
      <w:r w:rsidRPr="00EB4C02">
        <w:rPr>
          <w:rFonts w:ascii="Cambria Math" w:hAnsi="Cambria Math" w:cs="Cambria Math"/>
          <w:sz w:val="24"/>
          <w:szCs w:val="24"/>
        </w:rPr>
        <w:t>‑</w:t>
      </w:r>
      <w:r w:rsidRPr="00EB4C02">
        <w:rPr>
          <w:rFonts w:ascii="Arial" w:hAnsi="Arial" w:cs="Arial"/>
          <w:sz w:val="24"/>
          <w:szCs w:val="24"/>
        </w:rPr>
        <w:t>style format to demonstrate the nature of the errors encountered.</w:t>
      </w:r>
    </w:p>
    <w:p w14:paraId="4B23719A" w14:textId="40537D95" w:rsidR="00EB4C02" w:rsidRPr="002B43F9" w:rsidRDefault="00EB4C02" w:rsidP="002B43F9">
      <w:pPr>
        <w:tabs>
          <w:tab w:val="left" w:pos="3033"/>
        </w:tabs>
        <w:spacing w:after="0" w:line="360" w:lineRule="auto"/>
        <w:jc w:val="both"/>
        <w:rPr>
          <w:rFonts w:ascii="Arial" w:hAnsi="Arial" w:cs="Arial"/>
          <w:sz w:val="24"/>
          <w:szCs w:val="24"/>
        </w:rPr>
      </w:pPr>
      <w:r w:rsidRPr="00EB4C02">
        <w:rPr>
          <w:rFonts w:ascii="Arial" w:hAnsi="Arial" w:cs="Arial"/>
          <w:noProof/>
          <w:sz w:val="24"/>
          <w:szCs w:val="24"/>
          <w:lang w:eastAsia="en-IN"/>
        </w:rPr>
        <w:drawing>
          <wp:anchor distT="0" distB="0" distL="114300" distR="114300" simplePos="0" relativeHeight="251669504" behindDoc="0" locked="0" layoutInCell="1" allowOverlap="1" wp14:anchorId="1CB61DE7" wp14:editId="038BFFB9">
            <wp:simplePos x="0" y="0"/>
            <wp:positionH relativeFrom="margin">
              <wp:align>left</wp:align>
            </wp:positionH>
            <wp:positionV relativeFrom="paragraph">
              <wp:posOffset>600075</wp:posOffset>
            </wp:positionV>
            <wp:extent cx="5731510" cy="2442210"/>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731510" cy="2442210"/>
                    </a:xfrm>
                    <a:prstGeom prst="rect">
                      <a:avLst/>
                    </a:prstGeom>
                  </pic:spPr>
                </pic:pic>
              </a:graphicData>
            </a:graphic>
          </wp:anchor>
        </w:drawing>
      </w:r>
      <w:r w:rsidRPr="00EB4C02">
        <w:rPr>
          <w:rFonts w:ascii="Arial" w:hAnsi="Arial" w:cs="Arial"/>
          <w:b/>
          <w:sz w:val="24"/>
        </w:rPr>
        <w:t>Figure 1. Mock Screenshot of AI Hallucination: Incorrect CO</w:t>
      </w:r>
      <w:r w:rsidRPr="00EB4C02">
        <w:rPr>
          <w:rFonts w:ascii="Cambria Math" w:hAnsi="Cambria Math" w:cs="Cambria Math"/>
          <w:b/>
          <w:sz w:val="24"/>
        </w:rPr>
        <w:t>₂</w:t>
      </w:r>
      <w:r w:rsidRPr="00EB4C02">
        <w:rPr>
          <w:rFonts w:ascii="Arial" w:hAnsi="Arial" w:cs="Arial"/>
          <w:b/>
          <w:sz w:val="24"/>
        </w:rPr>
        <w:t xml:space="preserve"> Reduction Estimate</w:t>
      </w:r>
    </w:p>
    <w:p w14:paraId="39914ECE" w14:textId="6273A140" w:rsidR="00EB4C02" w:rsidRDefault="00EB4C02" w:rsidP="00EB4C02">
      <w:pPr>
        <w:tabs>
          <w:tab w:val="left" w:pos="3033"/>
        </w:tabs>
        <w:spacing w:after="0" w:line="360" w:lineRule="auto"/>
        <w:jc w:val="both"/>
        <w:rPr>
          <w:rFonts w:ascii="Arial" w:hAnsi="Arial" w:cs="Arial"/>
          <w:sz w:val="24"/>
          <w:szCs w:val="24"/>
        </w:rPr>
      </w:pPr>
    </w:p>
    <w:p w14:paraId="72022970" w14:textId="049A57A8" w:rsidR="00EB4C02" w:rsidRPr="00EB4C02" w:rsidRDefault="00EB4C02" w:rsidP="00EB4C02">
      <w:pPr>
        <w:tabs>
          <w:tab w:val="left" w:pos="3033"/>
        </w:tabs>
        <w:spacing w:after="0" w:line="360" w:lineRule="auto"/>
        <w:jc w:val="both"/>
        <w:rPr>
          <w:rFonts w:ascii="Arial" w:hAnsi="Arial" w:cs="Arial"/>
          <w:b/>
          <w:sz w:val="24"/>
          <w:szCs w:val="24"/>
        </w:rPr>
      </w:pPr>
      <w:r w:rsidRPr="00EB4C02">
        <w:rPr>
          <w:rFonts w:ascii="Arial" w:hAnsi="Arial" w:cs="Arial"/>
          <w:b/>
          <w:sz w:val="24"/>
          <w:szCs w:val="24"/>
        </w:rPr>
        <w:t xml:space="preserve">Explanation:  </w:t>
      </w:r>
    </w:p>
    <w:p w14:paraId="30AFEAED" w14:textId="57FCA51F" w:rsidR="00EB4C02" w:rsidRDefault="00EB4C02" w:rsidP="00EB4C02">
      <w:pPr>
        <w:tabs>
          <w:tab w:val="left" w:pos="3033"/>
        </w:tabs>
        <w:spacing w:after="0" w:line="360" w:lineRule="auto"/>
        <w:jc w:val="both"/>
        <w:rPr>
          <w:rFonts w:ascii="Arial" w:hAnsi="Arial" w:cs="Arial"/>
          <w:sz w:val="24"/>
          <w:szCs w:val="24"/>
        </w:rPr>
      </w:pPr>
      <w:r w:rsidRPr="00EB4C02">
        <w:rPr>
          <w:rFonts w:ascii="Arial" w:hAnsi="Arial" w:cs="Arial"/>
          <w:sz w:val="24"/>
          <w:szCs w:val="24"/>
        </w:rPr>
        <w:t>This AI</w:t>
      </w:r>
      <w:r w:rsidRPr="00EB4C02">
        <w:rPr>
          <w:rFonts w:ascii="Cambria Math" w:hAnsi="Cambria Math" w:cs="Cambria Math"/>
          <w:sz w:val="24"/>
          <w:szCs w:val="24"/>
        </w:rPr>
        <w:t>‑</w:t>
      </w:r>
      <w:r w:rsidRPr="00EB4C02">
        <w:rPr>
          <w:rFonts w:ascii="Arial" w:hAnsi="Arial" w:cs="Arial"/>
          <w:sz w:val="24"/>
          <w:szCs w:val="24"/>
        </w:rPr>
        <w:t>generated figure was inaccurate. The “4.5 million tonnes” estimate does not match the emissions reduction values reported in Tata Steel’s Integrated Annual Report 2024–25. This demonstrates how AI tools may provide outdated or generalised industry figures rather than company</w:t>
      </w:r>
      <w:r w:rsidRPr="00EB4C02">
        <w:rPr>
          <w:rFonts w:ascii="Cambria Math" w:hAnsi="Cambria Math" w:cs="Cambria Math"/>
          <w:sz w:val="24"/>
          <w:szCs w:val="24"/>
        </w:rPr>
        <w:t>‑</w:t>
      </w:r>
      <w:r w:rsidRPr="00EB4C02">
        <w:rPr>
          <w:rFonts w:ascii="Arial" w:hAnsi="Arial" w:cs="Arial"/>
          <w:sz w:val="24"/>
          <w:szCs w:val="24"/>
        </w:rPr>
        <w:t>specific data, reinforcing the need for verification.</w:t>
      </w:r>
    </w:p>
    <w:p w14:paraId="610BE89A" w14:textId="6D17B0B2" w:rsidR="00EB4C02" w:rsidRDefault="00EB4C02" w:rsidP="00EB4C02">
      <w:pPr>
        <w:tabs>
          <w:tab w:val="left" w:pos="3033"/>
        </w:tabs>
        <w:spacing w:before="240" w:after="0" w:line="360" w:lineRule="auto"/>
        <w:jc w:val="both"/>
        <w:rPr>
          <w:rFonts w:ascii="Arial" w:hAnsi="Arial" w:cs="Arial"/>
          <w:b/>
          <w:sz w:val="24"/>
          <w:szCs w:val="24"/>
        </w:rPr>
      </w:pPr>
      <w:r w:rsidRPr="00EB4C02">
        <w:rPr>
          <w:rFonts w:ascii="Arial" w:hAnsi="Arial" w:cs="Arial"/>
          <w:b/>
          <w:noProof/>
          <w:sz w:val="24"/>
          <w:szCs w:val="24"/>
          <w:lang w:eastAsia="en-IN"/>
        </w:rPr>
        <w:drawing>
          <wp:anchor distT="0" distB="0" distL="114300" distR="114300" simplePos="0" relativeHeight="251670528" behindDoc="0" locked="0" layoutInCell="1" allowOverlap="1" wp14:anchorId="3442490A" wp14:editId="7D1D6E26">
            <wp:simplePos x="0" y="0"/>
            <wp:positionH relativeFrom="margin">
              <wp:align>left</wp:align>
            </wp:positionH>
            <wp:positionV relativeFrom="paragraph">
              <wp:posOffset>481330</wp:posOffset>
            </wp:positionV>
            <wp:extent cx="5731510" cy="2179955"/>
            <wp:effectExtent l="0" t="0" r="2540" b="0"/>
            <wp:wrapThrough wrapText="bothSides">
              <wp:wrapPolygon edited="0">
                <wp:start x="0" y="0"/>
                <wp:lineTo x="0" y="21329"/>
                <wp:lineTo x="21538" y="21329"/>
                <wp:lineTo x="21538"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2179955"/>
                    </a:xfrm>
                    <a:prstGeom prst="rect">
                      <a:avLst/>
                    </a:prstGeom>
                  </pic:spPr>
                </pic:pic>
              </a:graphicData>
            </a:graphic>
          </wp:anchor>
        </w:drawing>
      </w:r>
      <w:r w:rsidRPr="00EB4C02">
        <w:rPr>
          <w:rFonts w:ascii="Arial" w:hAnsi="Arial" w:cs="Arial"/>
          <w:b/>
          <w:sz w:val="24"/>
          <w:szCs w:val="24"/>
        </w:rPr>
        <w:t>Figure 2. Mock S</w:t>
      </w:r>
      <w:r>
        <w:rPr>
          <w:rFonts w:ascii="Arial" w:hAnsi="Arial" w:cs="Arial"/>
          <w:b/>
          <w:sz w:val="24"/>
          <w:szCs w:val="24"/>
        </w:rPr>
        <w:t xml:space="preserve">creenshot of AI Hallucination: </w:t>
      </w:r>
      <w:r w:rsidRPr="00EB4C02">
        <w:rPr>
          <w:rFonts w:ascii="Arial" w:hAnsi="Arial" w:cs="Arial"/>
          <w:b/>
          <w:sz w:val="24"/>
          <w:szCs w:val="24"/>
        </w:rPr>
        <w:t>Incorrect CBAM Policy Status</w:t>
      </w:r>
    </w:p>
    <w:p w14:paraId="7A8F748A" w14:textId="77777777" w:rsidR="00EB4C02" w:rsidRPr="00EB4C02" w:rsidRDefault="00EB4C02" w:rsidP="00EB4C02">
      <w:pPr>
        <w:tabs>
          <w:tab w:val="left" w:pos="3033"/>
        </w:tabs>
        <w:spacing w:after="0" w:line="360" w:lineRule="auto"/>
        <w:jc w:val="both"/>
        <w:rPr>
          <w:rFonts w:ascii="Arial" w:hAnsi="Arial" w:cs="Arial"/>
          <w:b/>
          <w:sz w:val="24"/>
          <w:szCs w:val="24"/>
        </w:rPr>
      </w:pPr>
      <w:r w:rsidRPr="00EB4C02">
        <w:rPr>
          <w:rFonts w:ascii="Arial" w:hAnsi="Arial" w:cs="Arial"/>
          <w:b/>
          <w:sz w:val="24"/>
          <w:szCs w:val="24"/>
        </w:rPr>
        <w:t xml:space="preserve">Explanation:  </w:t>
      </w:r>
    </w:p>
    <w:p w14:paraId="30726F33" w14:textId="5CB6450C" w:rsidR="00EB4C02" w:rsidRDefault="00EB4C02" w:rsidP="00EB4C02">
      <w:pPr>
        <w:tabs>
          <w:tab w:val="left" w:pos="3033"/>
        </w:tabs>
        <w:spacing w:after="0" w:line="360" w:lineRule="auto"/>
        <w:jc w:val="both"/>
        <w:rPr>
          <w:rFonts w:ascii="Arial" w:hAnsi="Arial" w:cs="Arial"/>
          <w:sz w:val="24"/>
          <w:szCs w:val="24"/>
        </w:rPr>
      </w:pPr>
      <w:r w:rsidRPr="00EB4C02">
        <w:rPr>
          <w:rFonts w:ascii="Arial" w:hAnsi="Arial" w:cs="Arial"/>
          <w:sz w:val="24"/>
          <w:szCs w:val="24"/>
        </w:rPr>
        <w:t xml:space="preserve">This output incorrectly stated that the extension of CBAM to downstream steel products “has already been implemented.” According to the European Commission, </w:t>
      </w:r>
      <w:r w:rsidRPr="00EB4C02">
        <w:rPr>
          <w:rFonts w:ascii="Arial" w:hAnsi="Arial" w:cs="Arial"/>
          <w:sz w:val="24"/>
          <w:szCs w:val="24"/>
        </w:rPr>
        <w:lastRenderedPageBreak/>
        <w:t>this extension remains a proposal, not an enacted policy. This example highlights how AI tools may present speculative or proposed po</w:t>
      </w:r>
      <w:r>
        <w:rPr>
          <w:rFonts w:ascii="Arial" w:hAnsi="Arial" w:cs="Arial"/>
          <w:sz w:val="24"/>
          <w:szCs w:val="24"/>
        </w:rPr>
        <w:t>licy changes as confirmed facts.</w:t>
      </w:r>
    </w:p>
    <w:p w14:paraId="4F2893B8" w14:textId="77777777" w:rsidR="00EB4C02" w:rsidRPr="00EB4C02" w:rsidRDefault="00EB4C02" w:rsidP="00EB4C02">
      <w:pPr>
        <w:tabs>
          <w:tab w:val="left" w:pos="3033"/>
        </w:tabs>
        <w:spacing w:before="240" w:after="0" w:line="360" w:lineRule="auto"/>
        <w:jc w:val="both"/>
        <w:rPr>
          <w:rFonts w:ascii="Arial" w:hAnsi="Arial" w:cs="Arial"/>
          <w:b/>
          <w:sz w:val="24"/>
          <w:szCs w:val="24"/>
        </w:rPr>
      </w:pPr>
      <w:r w:rsidRPr="00EB4C02">
        <w:rPr>
          <w:rFonts w:ascii="Arial" w:hAnsi="Arial" w:cs="Arial"/>
          <w:b/>
          <w:sz w:val="24"/>
          <w:szCs w:val="24"/>
        </w:rPr>
        <w:t>Summary of Verification Approach</w:t>
      </w:r>
    </w:p>
    <w:p w14:paraId="6EC50274" w14:textId="62B7E8D0" w:rsidR="00EB4C02" w:rsidRPr="00EB4C02" w:rsidRDefault="00EB4C02" w:rsidP="00EB4C02">
      <w:pPr>
        <w:tabs>
          <w:tab w:val="left" w:pos="3033"/>
        </w:tabs>
        <w:spacing w:after="0" w:line="360" w:lineRule="auto"/>
        <w:jc w:val="both"/>
        <w:rPr>
          <w:rFonts w:ascii="Arial" w:hAnsi="Arial" w:cs="Arial"/>
          <w:sz w:val="24"/>
          <w:szCs w:val="24"/>
        </w:rPr>
      </w:pPr>
      <w:r w:rsidRPr="00EB4C02">
        <w:rPr>
          <w:rFonts w:ascii="Arial" w:hAnsi="Arial" w:cs="Arial"/>
          <w:sz w:val="24"/>
          <w:szCs w:val="24"/>
        </w:rPr>
        <w:t>Both hallucinations shown in Figures 1 and 2 were identified through a structured verification process. All AI</w:t>
      </w:r>
      <w:r w:rsidRPr="00EB4C02">
        <w:rPr>
          <w:rFonts w:ascii="Cambria Math" w:hAnsi="Cambria Math" w:cs="Cambria Math"/>
          <w:sz w:val="24"/>
          <w:szCs w:val="24"/>
        </w:rPr>
        <w:t>‑</w:t>
      </w:r>
      <w:r w:rsidRPr="00EB4C02">
        <w:rPr>
          <w:rFonts w:ascii="Arial" w:hAnsi="Arial" w:cs="Arial"/>
          <w:sz w:val="24"/>
          <w:szCs w:val="24"/>
        </w:rPr>
        <w:t>generated claims were cross</w:t>
      </w:r>
      <w:r w:rsidRPr="00EB4C02">
        <w:rPr>
          <w:rFonts w:ascii="Cambria Math" w:hAnsi="Cambria Math" w:cs="Cambria Math"/>
          <w:sz w:val="24"/>
          <w:szCs w:val="24"/>
        </w:rPr>
        <w:t>‑</w:t>
      </w:r>
      <w:r w:rsidRPr="00EB4C02">
        <w:rPr>
          <w:rFonts w:ascii="Arial" w:hAnsi="Arial" w:cs="Arial"/>
          <w:sz w:val="24"/>
          <w:szCs w:val="24"/>
        </w:rPr>
        <w:t>checked against at least one authoritative source before being used in the report. This ensured that only accurate, up</w:t>
      </w:r>
      <w:r w:rsidRPr="00EB4C02">
        <w:rPr>
          <w:rFonts w:ascii="Cambria Math" w:hAnsi="Cambria Math" w:cs="Cambria Math"/>
          <w:sz w:val="24"/>
          <w:szCs w:val="24"/>
        </w:rPr>
        <w:t>‑</w:t>
      </w:r>
      <w:r w:rsidRPr="00EB4C02">
        <w:rPr>
          <w:rFonts w:ascii="Arial" w:hAnsi="Arial" w:cs="Arial"/>
          <w:sz w:val="24"/>
          <w:szCs w:val="24"/>
        </w:rPr>
        <w:t>to</w:t>
      </w:r>
      <w:r w:rsidRPr="00EB4C02">
        <w:rPr>
          <w:rFonts w:ascii="Cambria Math" w:hAnsi="Cambria Math" w:cs="Cambria Math"/>
          <w:sz w:val="24"/>
          <w:szCs w:val="24"/>
        </w:rPr>
        <w:t>‑</w:t>
      </w:r>
      <w:r w:rsidRPr="00EB4C02">
        <w:rPr>
          <w:rFonts w:ascii="Arial" w:hAnsi="Arial" w:cs="Arial"/>
          <w:sz w:val="24"/>
          <w:szCs w:val="24"/>
        </w:rPr>
        <w:t>date information informed the analysis and prevented the incorporation of misleading or incorrect data.</w:t>
      </w:r>
    </w:p>
    <w:sectPr w:rsidR="00EB4C02" w:rsidRPr="00EB4C02" w:rsidSect="00325DE2">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FD50A2" w14:textId="77777777" w:rsidR="00627678" w:rsidRDefault="00627678" w:rsidP="00325DE2">
      <w:pPr>
        <w:spacing w:after="0" w:line="240" w:lineRule="auto"/>
      </w:pPr>
      <w:r>
        <w:separator/>
      </w:r>
    </w:p>
  </w:endnote>
  <w:endnote w:type="continuationSeparator" w:id="0">
    <w:p w14:paraId="425A7C69" w14:textId="77777777" w:rsidR="00627678" w:rsidRDefault="00627678" w:rsidP="00325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eist Fallback">
    <w:altName w:val="Times New Roman"/>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7428869"/>
      <w:docPartObj>
        <w:docPartGallery w:val="Page Numbers (Bottom of Page)"/>
        <w:docPartUnique/>
      </w:docPartObj>
    </w:sdtPr>
    <w:sdtEndPr>
      <w:rPr>
        <w:noProof/>
      </w:rPr>
    </w:sdtEndPr>
    <w:sdtContent>
      <w:p w14:paraId="5A5798CE" w14:textId="798D8C0F" w:rsidR="005656EA" w:rsidRDefault="005656EA">
        <w:pPr>
          <w:pStyle w:val="Footer"/>
          <w:jc w:val="right"/>
        </w:pPr>
        <w:r>
          <w:fldChar w:fldCharType="begin"/>
        </w:r>
        <w:r>
          <w:instrText xml:space="preserve"> PAGE   \* MERGEFORMAT </w:instrText>
        </w:r>
        <w:r>
          <w:fldChar w:fldCharType="separate"/>
        </w:r>
        <w:r w:rsidR="009E75FC">
          <w:rPr>
            <w:noProof/>
          </w:rPr>
          <w:t>19</w:t>
        </w:r>
        <w:r>
          <w:rPr>
            <w:noProof/>
          </w:rPr>
          <w:fldChar w:fldCharType="end"/>
        </w:r>
      </w:p>
    </w:sdtContent>
  </w:sdt>
  <w:p w14:paraId="2AAF0F6E" w14:textId="77777777" w:rsidR="005656EA" w:rsidRDefault="005656E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CE45DB" w14:textId="77777777" w:rsidR="00627678" w:rsidRDefault="00627678" w:rsidP="00325DE2">
      <w:pPr>
        <w:spacing w:after="0" w:line="240" w:lineRule="auto"/>
      </w:pPr>
      <w:r>
        <w:separator/>
      </w:r>
    </w:p>
  </w:footnote>
  <w:footnote w:type="continuationSeparator" w:id="0">
    <w:p w14:paraId="0DB5C0DB" w14:textId="77777777" w:rsidR="00627678" w:rsidRDefault="00627678" w:rsidP="00325D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3FF4260"/>
    <w:multiLevelType w:val="multilevel"/>
    <w:tmpl w:val="2A86A752"/>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7DAB4E74"/>
    <w:multiLevelType w:val="hybridMultilevel"/>
    <w:tmpl w:val="02105F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5ECA"/>
    <w:rsid w:val="00031A8B"/>
    <w:rsid w:val="00034320"/>
    <w:rsid w:val="000457E9"/>
    <w:rsid w:val="000533B3"/>
    <w:rsid w:val="000541B3"/>
    <w:rsid w:val="000944B0"/>
    <w:rsid w:val="00132A20"/>
    <w:rsid w:val="00176E82"/>
    <w:rsid w:val="001827FF"/>
    <w:rsid w:val="00192BEA"/>
    <w:rsid w:val="001A590C"/>
    <w:rsid w:val="001D6CF6"/>
    <w:rsid w:val="001E4B8E"/>
    <w:rsid w:val="001F7524"/>
    <w:rsid w:val="00205E66"/>
    <w:rsid w:val="00234656"/>
    <w:rsid w:val="0026722E"/>
    <w:rsid w:val="00277905"/>
    <w:rsid w:val="0028273B"/>
    <w:rsid w:val="002B43F9"/>
    <w:rsid w:val="002B4E0F"/>
    <w:rsid w:val="002C35A6"/>
    <w:rsid w:val="002C6FEF"/>
    <w:rsid w:val="002D4DE4"/>
    <w:rsid w:val="003107B9"/>
    <w:rsid w:val="00325DE2"/>
    <w:rsid w:val="003510A3"/>
    <w:rsid w:val="003820FC"/>
    <w:rsid w:val="00397EBF"/>
    <w:rsid w:val="003A446E"/>
    <w:rsid w:val="003B4614"/>
    <w:rsid w:val="00426159"/>
    <w:rsid w:val="004409A6"/>
    <w:rsid w:val="0044464B"/>
    <w:rsid w:val="0046039F"/>
    <w:rsid w:val="00464074"/>
    <w:rsid w:val="00496B3E"/>
    <w:rsid w:val="00497A09"/>
    <w:rsid w:val="004C506B"/>
    <w:rsid w:val="0050136E"/>
    <w:rsid w:val="00504F3E"/>
    <w:rsid w:val="0052401C"/>
    <w:rsid w:val="0056250C"/>
    <w:rsid w:val="00562794"/>
    <w:rsid w:val="00563B39"/>
    <w:rsid w:val="005656EA"/>
    <w:rsid w:val="0058542D"/>
    <w:rsid w:val="00586914"/>
    <w:rsid w:val="005B189C"/>
    <w:rsid w:val="00626ED8"/>
    <w:rsid w:val="00627678"/>
    <w:rsid w:val="00637E9A"/>
    <w:rsid w:val="0064501D"/>
    <w:rsid w:val="0064677C"/>
    <w:rsid w:val="00653156"/>
    <w:rsid w:val="006F4D6D"/>
    <w:rsid w:val="006F6E71"/>
    <w:rsid w:val="00732291"/>
    <w:rsid w:val="00733AD2"/>
    <w:rsid w:val="00745415"/>
    <w:rsid w:val="007B2545"/>
    <w:rsid w:val="007C445B"/>
    <w:rsid w:val="0080408F"/>
    <w:rsid w:val="00822EAB"/>
    <w:rsid w:val="00856C65"/>
    <w:rsid w:val="008761E2"/>
    <w:rsid w:val="008A7BD5"/>
    <w:rsid w:val="008B6EE6"/>
    <w:rsid w:val="008C232E"/>
    <w:rsid w:val="008C4E9C"/>
    <w:rsid w:val="00914CEB"/>
    <w:rsid w:val="00926F3D"/>
    <w:rsid w:val="00935B11"/>
    <w:rsid w:val="00946152"/>
    <w:rsid w:val="00980E1F"/>
    <w:rsid w:val="009862A9"/>
    <w:rsid w:val="009924D6"/>
    <w:rsid w:val="009B0313"/>
    <w:rsid w:val="009B3D93"/>
    <w:rsid w:val="009B64A0"/>
    <w:rsid w:val="009E75FC"/>
    <w:rsid w:val="009F3192"/>
    <w:rsid w:val="00A40ECC"/>
    <w:rsid w:val="00A55755"/>
    <w:rsid w:val="00A97F67"/>
    <w:rsid w:val="00AC156D"/>
    <w:rsid w:val="00AE7ECD"/>
    <w:rsid w:val="00AF11F0"/>
    <w:rsid w:val="00B05ECA"/>
    <w:rsid w:val="00B5011E"/>
    <w:rsid w:val="00B50FBE"/>
    <w:rsid w:val="00BA6516"/>
    <w:rsid w:val="00C436EC"/>
    <w:rsid w:val="00C605D0"/>
    <w:rsid w:val="00C663D4"/>
    <w:rsid w:val="00C92CBE"/>
    <w:rsid w:val="00CD0328"/>
    <w:rsid w:val="00D21AF7"/>
    <w:rsid w:val="00D320FF"/>
    <w:rsid w:val="00DB08D1"/>
    <w:rsid w:val="00DB7BFE"/>
    <w:rsid w:val="00DC35DA"/>
    <w:rsid w:val="00E36590"/>
    <w:rsid w:val="00E50801"/>
    <w:rsid w:val="00E51A3C"/>
    <w:rsid w:val="00E909FA"/>
    <w:rsid w:val="00EB4C02"/>
    <w:rsid w:val="00ED6294"/>
    <w:rsid w:val="00EF3F87"/>
    <w:rsid w:val="00EF6309"/>
    <w:rsid w:val="00F0183D"/>
    <w:rsid w:val="00F95627"/>
    <w:rsid w:val="00FA529B"/>
    <w:rsid w:val="00FA6AFF"/>
    <w:rsid w:val="00FB5182"/>
    <w:rsid w:val="00FC1B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44952"/>
  <w15:chartTrackingRefBased/>
  <w15:docId w15:val="{6209726A-6CA2-4CBA-A915-F18AD978E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link w:val="Heading1Char"/>
    <w:rsid w:val="003A446E"/>
    <w:pPr>
      <w:spacing w:before="340" w:after="180" w:line="240" w:lineRule="auto"/>
      <w:outlineLvl w:val="0"/>
    </w:pPr>
    <w:rPr>
      <w:rFonts w:ascii="Arial" w:eastAsia="Arial" w:hAnsi="Arial" w:cs="Arial"/>
      <w:b/>
      <w:bCs/>
      <w:color w:val="1F3864"/>
      <w:sz w:val="30"/>
      <w:szCs w:val="30"/>
      <w:lang w:eastAsia="en-IN"/>
    </w:rPr>
  </w:style>
  <w:style w:type="paragraph" w:styleId="Heading2">
    <w:name w:val="heading 2"/>
    <w:basedOn w:val="Normal"/>
    <w:next w:val="Normal"/>
    <w:link w:val="Heading2Char"/>
    <w:uiPriority w:val="9"/>
    <w:unhideWhenUsed/>
    <w:qFormat/>
    <w:rsid w:val="003A446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hitespace-normal">
    <w:name w:val="whitespace-normal"/>
    <w:basedOn w:val="DefaultParagraphFont"/>
    <w:rsid w:val="002C6FEF"/>
  </w:style>
  <w:style w:type="character" w:customStyle="1" w:styleId="Heading1Char">
    <w:name w:val="Heading 1 Char"/>
    <w:basedOn w:val="DefaultParagraphFont"/>
    <w:link w:val="Heading1"/>
    <w:rsid w:val="003A446E"/>
    <w:rPr>
      <w:rFonts w:ascii="Arial" w:eastAsia="Arial" w:hAnsi="Arial" w:cs="Arial"/>
      <w:b/>
      <w:bCs/>
      <w:color w:val="1F3864"/>
      <w:sz w:val="30"/>
      <w:szCs w:val="30"/>
      <w:lang w:eastAsia="en-IN"/>
    </w:rPr>
  </w:style>
  <w:style w:type="character" w:customStyle="1" w:styleId="Heading2Char">
    <w:name w:val="Heading 2 Char"/>
    <w:basedOn w:val="DefaultParagraphFont"/>
    <w:link w:val="Heading2"/>
    <w:uiPriority w:val="9"/>
    <w:rsid w:val="003A446E"/>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FA6AFF"/>
    <w:rPr>
      <w:color w:val="0563C1" w:themeColor="hyperlink"/>
      <w:u w:val="single"/>
    </w:rPr>
  </w:style>
  <w:style w:type="character" w:styleId="CommentReference">
    <w:name w:val="annotation reference"/>
    <w:basedOn w:val="DefaultParagraphFont"/>
    <w:uiPriority w:val="99"/>
    <w:semiHidden/>
    <w:unhideWhenUsed/>
    <w:rsid w:val="004C506B"/>
    <w:rPr>
      <w:sz w:val="16"/>
      <w:szCs w:val="16"/>
    </w:rPr>
  </w:style>
  <w:style w:type="paragraph" w:styleId="CommentText">
    <w:name w:val="annotation text"/>
    <w:basedOn w:val="Normal"/>
    <w:link w:val="CommentTextChar"/>
    <w:uiPriority w:val="99"/>
    <w:semiHidden/>
    <w:unhideWhenUsed/>
    <w:rsid w:val="004C506B"/>
    <w:pPr>
      <w:spacing w:line="240" w:lineRule="auto"/>
    </w:pPr>
    <w:rPr>
      <w:sz w:val="20"/>
      <w:szCs w:val="20"/>
    </w:rPr>
  </w:style>
  <w:style w:type="character" w:customStyle="1" w:styleId="CommentTextChar">
    <w:name w:val="Comment Text Char"/>
    <w:basedOn w:val="DefaultParagraphFont"/>
    <w:link w:val="CommentText"/>
    <w:uiPriority w:val="99"/>
    <w:semiHidden/>
    <w:rsid w:val="004C506B"/>
    <w:rPr>
      <w:sz w:val="20"/>
      <w:szCs w:val="20"/>
    </w:rPr>
  </w:style>
  <w:style w:type="paragraph" w:styleId="CommentSubject">
    <w:name w:val="annotation subject"/>
    <w:basedOn w:val="CommentText"/>
    <w:next w:val="CommentText"/>
    <w:link w:val="CommentSubjectChar"/>
    <w:uiPriority w:val="99"/>
    <w:semiHidden/>
    <w:unhideWhenUsed/>
    <w:rsid w:val="004C506B"/>
    <w:rPr>
      <w:b/>
      <w:bCs/>
    </w:rPr>
  </w:style>
  <w:style w:type="character" w:customStyle="1" w:styleId="CommentSubjectChar">
    <w:name w:val="Comment Subject Char"/>
    <w:basedOn w:val="CommentTextChar"/>
    <w:link w:val="CommentSubject"/>
    <w:uiPriority w:val="99"/>
    <w:semiHidden/>
    <w:rsid w:val="004C506B"/>
    <w:rPr>
      <w:b/>
      <w:bCs/>
      <w:sz w:val="20"/>
      <w:szCs w:val="20"/>
    </w:rPr>
  </w:style>
  <w:style w:type="paragraph" w:styleId="BalloonText">
    <w:name w:val="Balloon Text"/>
    <w:basedOn w:val="Normal"/>
    <w:link w:val="BalloonTextChar"/>
    <w:uiPriority w:val="99"/>
    <w:semiHidden/>
    <w:unhideWhenUsed/>
    <w:rsid w:val="004C50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506B"/>
    <w:rPr>
      <w:rFonts w:ascii="Segoe UI" w:hAnsi="Segoe UI" w:cs="Segoe UI"/>
      <w:sz w:val="18"/>
      <w:szCs w:val="18"/>
    </w:rPr>
  </w:style>
  <w:style w:type="character" w:styleId="FollowedHyperlink">
    <w:name w:val="FollowedHyperlink"/>
    <w:basedOn w:val="DefaultParagraphFont"/>
    <w:uiPriority w:val="99"/>
    <w:semiHidden/>
    <w:unhideWhenUsed/>
    <w:rsid w:val="00D21AF7"/>
    <w:rPr>
      <w:color w:val="954F72" w:themeColor="followedHyperlink"/>
      <w:u w:val="single"/>
    </w:rPr>
  </w:style>
  <w:style w:type="paragraph" w:customStyle="1" w:styleId="font-claude-response-body">
    <w:name w:val="font-claude-response-body"/>
    <w:basedOn w:val="Normal"/>
    <w:rsid w:val="003820F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3820FC"/>
    <w:rPr>
      <w:b/>
      <w:bCs/>
    </w:rPr>
  </w:style>
  <w:style w:type="character" w:customStyle="1" w:styleId="cursor-pointer">
    <w:name w:val="cursor-pointer"/>
    <w:basedOn w:val="DefaultParagraphFont"/>
    <w:rsid w:val="00733AD2"/>
  </w:style>
  <w:style w:type="paragraph" w:styleId="ListParagraph">
    <w:name w:val="List Paragraph"/>
    <w:basedOn w:val="Normal"/>
    <w:uiPriority w:val="34"/>
    <w:qFormat/>
    <w:rsid w:val="008C232E"/>
    <w:pPr>
      <w:ind w:left="720"/>
      <w:contextualSpacing/>
    </w:pPr>
  </w:style>
  <w:style w:type="character" w:styleId="Emphasis">
    <w:name w:val="Emphasis"/>
    <w:basedOn w:val="DefaultParagraphFont"/>
    <w:uiPriority w:val="20"/>
    <w:qFormat/>
    <w:rsid w:val="00FB5182"/>
    <w:rPr>
      <w:i/>
      <w:iCs/>
    </w:rPr>
  </w:style>
  <w:style w:type="paragraph" w:styleId="Header">
    <w:name w:val="header"/>
    <w:basedOn w:val="Normal"/>
    <w:link w:val="HeaderChar"/>
    <w:uiPriority w:val="99"/>
    <w:unhideWhenUsed/>
    <w:rsid w:val="00325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DE2"/>
  </w:style>
  <w:style w:type="paragraph" w:styleId="Footer">
    <w:name w:val="footer"/>
    <w:basedOn w:val="Normal"/>
    <w:link w:val="FooterChar"/>
    <w:uiPriority w:val="99"/>
    <w:unhideWhenUsed/>
    <w:rsid w:val="00325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71718">
      <w:bodyDiv w:val="1"/>
      <w:marLeft w:val="0"/>
      <w:marRight w:val="0"/>
      <w:marTop w:val="0"/>
      <w:marBottom w:val="0"/>
      <w:divBdr>
        <w:top w:val="none" w:sz="0" w:space="0" w:color="auto"/>
        <w:left w:val="none" w:sz="0" w:space="0" w:color="auto"/>
        <w:bottom w:val="none" w:sz="0" w:space="0" w:color="auto"/>
        <w:right w:val="none" w:sz="0" w:space="0" w:color="auto"/>
      </w:divBdr>
    </w:div>
    <w:div w:id="32852147">
      <w:bodyDiv w:val="1"/>
      <w:marLeft w:val="0"/>
      <w:marRight w:val="0"/>
      <w:marTop w:val="0"/>
      <w:marBottom w:val="0"/>
      <w:divBdr>
        <w:top w:val="none" w:sz="0" w:space="0" w:color="auto"/>
        <w:left w:val="none" w:sz="0" w:space="0" w:color="auto"/>
        <w:bottom w:val="none" w:sz="0" w:space="0" w:color="auto"/>
        <w:right w:val="none" w:sz="0" w:space="0" w:color="auto"/>
      </w:divBdr>
    </w:div>
    <w:div w:id="56247726">
      <w:bodyDiv w:val="1"/>
      <w:marLeft w:val="0"/>
      <w:marRight w:val="0"/>
      <w:marTop w:val="0"/>
      <w:marBottom w:val="0"/>
      <w:divBdr>
        <w:top w:val="none" w:sz="0" w:space="0" w:color="auto"/>
        <w:left w:val="none" w:sz="0" w:space="0" w:color="auto"/>
        <w:bottom w:val="none" w:sz="0" w:space="0" w:color="auto"/>
        <w:right w:val="none" w:sz="0" w:space="0" w:color="auto"/>
      </w:divBdr>
      <w:divsChild>
        <w:div w:id="87577095">
          <w:marLeft w:val="0"/>
          <w:marRight w:val="0"/>
          <w:marTop w:val="0"/>
          <w:marBottom w:val="0"/>
          <w:divBdr>
            <w:top w:val="none" w:sz="0" w:space="0" w:color="auto"/>
            <w:left w:val="none" w:sz="0" w:space="0" w:color="auto"/>
            <w:bottom w:val="none" w:sz="0" w:space="0" w:color="auto"/>
            <w:right w:val="none" w:sz="0" w:space="0" w:color="auto"/>
          </w:divBdr>
          <w:divsChild>
            <w:div w:id="243297153">
              <w:marLeft w:val="0"/>
              <w:marRight w:val="0"/>
              <w:marTop w:val="0"/>
              <w:marBottom w:val="0"/>
              <w:divBdr>
                <w:top w:val="none" w:sz="0" w:space="0" w:color="auto"/>
                <w:left w:val="none" w:sz="0" w:space="0" w:color="auto"/>
                <w:bottom w:val="none" w:sz="0" w:space="0" w:color="auto"/>
                <w:right w:val="none" w:sz="0" w:space="0" w:color="auto"/>
              </w:divBdr>
            </w:div>
            <w:div w:id="295647600">
              <w:marLeft w:val="0"/>
              <w:marRight w:val="0"/>
              <w:marTop w:val="0"/>
              <w:marBottom w:val="0"/>
              <w:divBdr>
                <w:top w:val="none" w:sz="0" w:space="0" w:color="auto"/>
                <w:left w:val="none" w:sz="0" w:space="0" w:color="auto"/>
                <w:bottom w:val="none" w:sz="0" w:space="0" w:color="auto"/>
                <w:right w:val="none" w:sz="0" w:space="0" w:color="auto"/>
              </w:divBdr>
            </w:div>
            <w:div w:id="169549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65929">
      <w:bodyDiv w:val="1"/>
      <w:marLeft w:val="0"/>
      <w:marRight w:val="0"/>
      <w:marTop w:val="0"/>
      <w:marBottom w:val="0"/>
      <w:divBdr>
        <w:top w:val="none" w:sz="0" w:space="0" w:color="auto"/>
        <w:left w:val="none" w:sz="0" w:space="0" w:color="auto"/>
        <w:bottom w:val="none" w:sz="0" w:space="0" w:color="auto"/>
        <w:right w:val="none" w:sz="0" w:space="0" w:color="auto"/>
      </w:divBdr>
    </w:div>
    <w:div w:id="84233470">
      <w:bodyDiv w:val="1"/>
      <w:marLeft w:val="0"/>
      <w:marRight w:val="0"/>
      <w:marTop w:val="0"/>
      <w:marBottom w:val="0"/>
      <w:divBdr>
        <w:top w:val="none" w:sz="0" w:space="0" w:color="auto"/>
        <w:left w:val="none" w:sz="0" w:space="0" w:color="auto"/>
        <w:bottom w:val="none" w:sz="0" w:space="0" w:color="auto"/>
        <w:right w:val="none" w:sz="0" w:space="0" w:color="auto"/>
      </w:divBdr>
    </w:div>
    <w:div w:id="103042663">
      <w:bodyDiv w:val="1"/>
      <w:marLeft w:val="0"/>
      <w:marRight w:val="0"/>
      <w:marTop w:val="0"/>
      <w:marBottom w:val="0"/>
      <w:divBdr>
        <w:top w:val="none" w:sz="0" w:space="0" w:color="auto"/>
        <w:left w:val="none" w:sz="0" w:space="0" w:color="auto"/>
        <w:bottom w:val="none" w:sz="0" w:space="0" w:color="auto"/>
        <w:right w:val="none" w:sz="0" w:space="0" w:color="auto"/>
      </w:divBdr>
    </w:div>
    <w:div w:id="224681264">
      <w:bodyDiv w:val="1"/>
      <w:marLeft w:val="0"/>
      <w:marRight w:val="0"/>
      <w:marTop w:val="0"/>
      <w:marBottom w:val="0"/>
      <w:divBdr>
        <w:top w:val="none" w:sz="0" w:space="0" w:color="auto"/>
        <w:left w:val="none" w:sz="0" w:space="0" w:color="auto"/>
        <w:bottom w:val="none" w:sz="0" w:space="0" w:color="auto"/>
        <w:right w:val="none" w:sz="0" w:space="0" w:color="auto"/>
      </w:divBdr>
    </w:div>
    <w:div w:id="296301220">
      <w:bodyDiv w:val="1"/>
      <w:marLeft w:val="0"/>
      <w:marRight w:val="0"/>
      <w:marTop w:val="0"/>
      <w:marBottom w:val="0"/>
      <w:divBdr>
        <w:top w:val="none" w:sz="0" w:space="0" w:color="auto"/>
        <w:left w:val="none" w:sz="0" w:space="0" w:color="auto"/>
        <w:bottom w:val="none" w:sz="0" w:space="0" w:color="auto"/>
        <w:right w:val="none" w:sz="0" w:space="0" w:color="auto"/>
      </w:divBdr>
    </w:div>
    <w:div w:id="325480622">
      <w:bodyDiv w:val="1"/>
      <w:marLeft w:val="0"/>
      <w:marRight w:val="0"/>
      <w:marTop w:val="0"/>
      <w:marBottom w:val="0"/>
      <w:divBdr>
        <w:top w:val="none" w:sz="0" w:space="0" w:color="auto"/>
        <w:left w:val="none" w:sz="0" w:space="0" w:color="auto"/>
        <w:bottom w:val="none" w:sz="0" w:space="0" w:color="auto"/>
        <w:right w:val="none" w:sz="0" w:space="0" w:color="auto"/>
      </w:divBdr>
    </w:div>
    <w:div w:id="439957043">
      <w:bodyDiv w:val="1"/>
      <w:marLeft w:val="0"/>
      <w:marRight w:val="0"/>
      <w:marTop w:val="0"/>
      <w:marBottom w:val="0"/>
      <w:divBdr>
        <w:top w:val="none" w:sz="0" w:space="0" w:color="auto"/>
        <w:left w:val="none" w:sz="0" w:space="0" w:color="auto"/>
        <w:bottom w:val="none" w:sz="0" w:space="0" w:color="auto"/>
        <w:right w:val="none" w:sz="0" w:space="0" w:color="auto"/>
      </w:divBdr>
    </w:div>
    <w:div w:id="493648485">
      <w:bodyDiv w:val="1"/>
      <w:marLeft w:val="0"/>
      <w:marRight w:val="0"/>
      <w:marTop w:val="0"/>
      <w:marBottom w:val="0"/>
      <w:divBdr>
        <w:top w:val="none" w:sz="0" w:space="0" w:color="auto"/>
        <w:left w:val="none" w:sz="0" w:space="0" w:color="auto"/>
        <w:bottom w:val="none" w:sz="0" w:space="0" w:color="auto"/>
        <w:right w:val="none" w:sz="0" w:space="0" w:color="auto"/>
      </w:divBdr>
    </w:div>
    <w:div w:id="522936290">
      <w:bodyDiv w:val="1"/>
      <w:marLeft w:val="0"/>
      <w:marRight w:val="0"/>
      <w:marTop w:val="0"/>
      <w:marBottom w:val="0"/>
      <w:divBdr>
        <w:top w:val="none" w:sz="0" w:space="0" w:color="auto"/>
        <w:left w:val="none" w:sz="0" w:space="0" w:color="auto"/>
        <w:bottom w:val="none" w:sz="0" w:space="0" w:color="auto"/>
        <w:right w:val="none" w:sz="0" w:space="0" w:color="auto"/>
      </w:divBdr>
    </w:div>
    <w:div w:id="565265769">
      <w:bodyDiv w:val="1"/>
      <w:marLeft w:val="0"/>
      <w:marRight w:val="0"/>
      <w:marTop w:val="0"/>
      <w:marBottom w:val="0"/>
      <w:divBdr>
        <w:top w:val="none" w:sz="0" w:space="0" w:color="auto"/>
        <w:left w:val="none" w:sz="0" w:space="0" w:color="auto"/>
        <w:bottom w:val="none" w:sz="0" w:space="0" w:color="auto"/>
        <w:right w:val="none" w:sz="0" w:space="0" w:color="auto"/>
      </w:divBdr>
    </w:div>
    <w:div w:id="597182283">
      <w:bodyDiv w:val="1"/>
      <w:marLeft w:val="0"/>
      <w:marRight w:val="0"/>
      <w:marTop w:val="0"/>
      <w:marBottom w:val="0"/>
      <w:divBdr>
        <w:top w:val="none" w:sz="0" w:space="0" w:color="auto"/>
        <w:left w:val="none" w:sz="0" w:space="0" w:color="auto"/>
        <w:bottom w:val="none" w:sz="0" w:space="0" w:color="auto"/>
        <w:right w:val="none" w:sz="0" w:space="0" w:color="auto"/>
      </w:divBdr>
    </w:div>
    <w:div w:id="630599930">
      <w:bodyDiv w:val="1"/>
      <w:marLeft w:val="0"/>
      <w:marRight w:val="0"/>
      <w:marTop w:val="0"/>
      <w:marBottom w:val="0"/>
      <w:divBdr>
        <w:top w:val="none" w:sz="0" w:space="0" w:color="auto"/>
        <w:left w:val="none" w:sz="0" w:space="0" w:color="auto"/>
        <w:bottom w:val="none" w:sz="0" w:space="0" w:color="auto"/>
        <w:right w:val="none" w:sz="0" w:space="0" w:color="auto"/>
      </w:divBdr>
    </w:div>
    <w:div w:id="657735080">
      <w:bodyDiv w:val="1"/>
      <w:marLeft w:val="0"/>
      <w:marRight w:val="0"/>
      <w:marTop w:val="0"/>
      <w:marBottom w:val="0"/>
      <w:divBdr>
        <w:top w:val="none" w:sz="0" w:space="0" w:color="auto"/>
        <w:left w:val="none" w:sz="0" w:space="0" w:color="auto"/>
        <w:bottom w:val="none" w:sz="0" w:space="0" w:color="auto"/>
        <w:right w:val="none" w:sz="0" w:space="0" w:color="auto"/>
      </w:divBdr>
    </w:div>
    <w:div w:id="731856836">
      <w:bodyDiv w:val="1"/>
      <w:marLeft w:val="0"/>
      <w:marRight w:val="0"/>
      <w:marTop w:val="0"/>
      <w:marBottom w:val="0"/>
      <w:divBdr>
        <w:top w:val="none" w:sz="0" w:space="0" w:color="auto"/>
        <w:left w:val="none" w:sz="0" w:space="0" w:color="auto"/>
        <w:bottom w:val="none" w:sz="0" w:space="0" w:color="auto"/>
        <w:right w:val="none" w:sz="0" w:space="0" w:color="auto"/>
      </w:divBdr>
    </w:div>
    <w:div w:id="733167752">
      <w:bodyDiv w:val="1"/>
      <w:marLeft w:val="0"/>
      <w:marRight w:val="0"/>
      <w:marTop w:val="0"/>
      <w:marBottom w:val="0"/>
      <w:divBdr>
        <w:top w:val="none" w:sz="0" w:space="0" w:color="auto"/>
        <w:left w:val="none" w:sz="0" w:space="0" w:color="auto"/>
        <w:bottom w:val="none" w:sz="0" w:space="0" w:color="auto"/>
        <w:right w:val="none" w:sz="0" w:space="0" w:color="auto"/>
      </w:divBdr>
    </w:div>
    <w:div w:id="827987836">
      <w:bodyDiv w:val="1"/>
      <w:marLeft w:val="0"/>
      <w:marRight w:val="0"/>
      <w:marTop w:val="0"/>
      <w:marBottom w:val="0"/>
      <w:divBdr>
        <w:top w:val="none" w:sz="0" w:space="0" w:color="auto"/>
        <w:left w:val="none" w:sz="0" w:space="0" w:color="auto"/>
        <w:bottom w:val="none" w:sz="0" w:space="0" w:color="auto"/>
        <w:right w:val="none" w:sz="0" w:space="0" w:color="auto"/>
      </w:divBdr>
    </w:div>
    <w:div w:id="894314562">
      <w:bodyDiv w:val="1"/>
      <w:marLeft w:val="0"/>
      <w:marRight w:val="0"/>
      <w:marTop w:val="0"/>
      <w:marBottom w:val="0"/>
      <w:divBdr>
        <w:top w:val="none" w:sz="0" w:space="0" w:color="auto"/>
        <w:left w:val="none" w:sz="0" w:space="0" w:color="auto"/>
        <w:bottom w:val="none" w:sz="0" w:space="0" w:color="auto"/>
        <w:right w:val="none" w:sz="0" w:space="0" w:color="auto"/>
      </w:divBdr>
    </w:div>
    <w:div w:id="1021736760">
      <w:bodyDiv w:val="1"/>
      <w:marLeft w:val="0"/>
      <w:marRight w:val="0"/>
      <w:marTop w:val="0"/>
      <w:marBottom w:val="0"/>
      <w:divBdr>
        <w:top w:val="none" w:sz="0" w:space="0" w:color="auto"/>
        <w:left w:val="none" w:sz="0" w:space="0" w:color="auto"/>
        <w:bottom w:val="none" w:sz="0" w:space="0" w:color="auto"/>
        <w:right w:val="none" w:sz="0" w:space="0" w:color="auto"/>
      </w:divBdr>
    </w:div>
    <w:div w:id="1053164030">
      <w:bodyDiv w:val="1"/>
      <w:marLeft w:val="0"/>
      <w:marRight w:val="0"/>
      <w:marTop w:val="0"/>
      <w:marBottom w:val="0"/>
      <w:divBdr>
        <w:top w:val="none" w:sz="0" w:space="0" w:color="auto"/>
        <w:left w:val="none" w:sz="0" w:space="0" w:color="auto"/>
        <w:bottom w:val="none" w:sz="0" w:space="0" w:color="auto"/>
        <w:right w:val="none" w:sz="0" w:space="0" w:color="auto"/>
      </w:divBdr>
    </w:div>
    <w:div w:id="1068302862">
      <w:bodyDiv w:val="1"/>
      <w:marLeft w:val="0"/>
      <w:marRight w:val="0"/>
      <w:marTop w:val="0"/>
      <w:marBottom w:val="0"/>
      <w:divBdr>
        <w:top w:val="none" w:sz="0" w:space="0" w:color="auto"/>
        <w:left w:val="none" w:sz="0" w:space="0" w:color="auto"/>
        <w:bottom w:val="none" w:sz="0" w:space="0" w:color="auto"/>
        <w:right w:val="none" w:sz="0" w:space="0" w:color="auto"/>
      </w:divBdr>
    </w:div>
    <w:div w:id="1101299082">
      <w:bodyDiv w:val="1"/>
      <w:marLeft w:val="0"/>
      <w:marRight w:val="0"/>
      <w:marTop w:val="0"/>
      <w:marBottom w:val="0"/>
      <w:divBdr>
        <w:top w:val="none" w:sz="0" w:space="0" w:color="auto"/>
        <w:left w:val="none" w:sz="0" w:space="0" w:color="auto"/>
        <w:bottom w:val="none" w:sz="0" w:space="0" w:color="auto"/>
        <w:right w:val="none" w:sz="0" w:space="0" w:color="auto"/>
      </w:divBdr>
    </w:div>
    <w:div w:id="1113473326">
      <w:bodyDiv w:val="1"/>
      <w:marLeft w:val="0"/>
      <w:marRight w:val="0"/>
      <w:marTop w:val="0"/>
      <w:marBottom w:val="0"/>
      <w:divBdr>
        <w:top w:val="none" w:sz="0" w:space="0" w:color="auto"/>
        <w:left w:val="none" w:sz="0" w:space="0" w:color="auto"/>
        <w:bottom w:val="none" w:sz="0" w:space="0" w:color="auto"/>
        <w:right w:val="none" w:sz="0" w:space="0" w:color="auto"/>
      </w:divBdr>
      <w:divsChild>
        <w:div w:id="717823530">
          <w:marLeft w:val="0"/>
          <w:marRight w:val="0"/>
          <w:marTop w:val="0"/>
          <w:marBottom w:val="0"/>
          <w:divBdr>
            <w:top w:val="none" w:sz="0" w:space="0" w:color="auto"/>
            <w:left w:val="none" w:sz="0" w:space="0" w:color="auto"/>
            <w:bottom w:val="none" w:sz="0" w:space="0" w:color="auto"/>
            <w:right w:val="none" w:sz="0" w:space="0" w:color="auto"/>
          </w:divBdr>
          <w:divsChild>
            <w:div w:id="132336373">
              <w:marLeft w:val="0"/>
              <w:marRight w:val="0"/>
              <w:marTop w:val="0"/>
              <w:marBottom w:val="0"/>
              <w:divBdr>
                <w:top w:val="none" w:sz="0" w:space="0" w:color="auto"/>
                <w:left w:val="none" w:sz="0" w:space="0" w:color="auto"/>
                <w:bottom w:val="none" w:sz="0" w:space="0" w:color="auto"/>
                <w:right w:val="none" w:sz="0" w:space="0" w:color="auto"/>
              </w:divBdr>
            </w:div>
            <w:div w:id="1173256869">
              <w:marLeft w:val="0"/>
              <w:marRight w:val="0"/>
              <w:marTop w:val="0"/>
              <w:marBottom w:val="0"/>
              <w:divBdr>
                <w:top w:val="none" w:sz="0" w:space="0" w:color="auto"/>
                <w:left w:val="none" w:sz="0" w:space="0" w:color="auto"/>
                <w:bottom w:val="none" w:sz="0" w:space="0" w:color="auto"/>
                <w:right w:val="none" w:sz="0" w:space="0" w:color="auto"/>
              </w:divBdr>
            </w:div>
            <w:div w:id="124985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364712">
      <w:bodyDiv w:val="1"/>
      <w:marLeft w:val="0"/>
      <w:marRight w:val="0"/>
      <w:marTop w:val="0"/>
      <w:marBottom w:val="0"/>
      <w:divBdr>
        <w:top w:val="none" w:sz="0" w:space="0" w:color="auto"/>
        <w:left w:val="none" w:sz="0" w:space="0" w:color="auto"/>
        <w:bottom w:val="none" w:sz="0" w:space="0" w:color="auto"/>
        <w:right w:val="none" w:sz="0" w:space="0" w:color="auto"/>
      </w:divBdr>
      <w:divsChild>
        <w:div w:id="730932187">
          <w:blockQuote w:val="1"/>
          <w:marLeft w:val="720"/>
          <w:marRight w:val="720"/>
          <w:marTop w:val="100"/>
          <w:marBottom w:val="100"/>
          <w:divBdr>
            <w:top w:val="none" w:sz="0" w:space="0" w:color="auto"/>
            <w:left w:val="none" w:sz="0" w:space="0" w:color="auto"/>
            <w:bottom w:val="none" w:sz="0" w:space="0" w:color="auto"/>
            <w:right w:val="none" w:sz="0" w:space="0" w:color="auto"/>
          </w:divBdr>
        </w:div>
        <w:div w:id="662855710">
          <w:blockQuote w:val="1"/>
          <w:marLeft w:val="720"/>
          <w:marRight w:val="720"/>
          <w:marTop w:val="100"/>
          <w:marBottom w:val="100"/>
          <w:divBdr>
            <w:top w:val="none" w:sz="0" w:space="0" w:color="auto"/>
            <w:left w:val="none" w:sz="0" w:space="0" w:color="auto"/>
            <w:bottom w:val="none" w:sz="0" w:space="0" w:color="auto"/>
            <w:right w:val="none" w:sz="0" w:space="0" w:color="auto"/>
          </w:divBdr>
        </w:div>
        <w:div w:id="1921716651">
          <w:blockQuote w:val="1"/>
          <w:marLeft w:val="720"/>
          <w:marRight w:val="720"/>
          <w:marTop w:val="100"/>
          <w:marBottom w:val="100"/>
          <w:divBdr>
            <w:top w:val="none" w:sz="0" w:space="0" w:color="auto"/>
            <w:left w:val="none" w:sz="0" w:space="0" w:color="auto"/>
            <w:bottom w:val="none" w:sz="0" w:space="0" w:color="auto"/>
            <w:right w:val="none" w:sz="0" w:space="0" w:color="auto"/>
          </w:divBdr>
        </w:div>
        <w:div w:id="13937726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2621115">
      <w:bodyDiv w:val="1"/>
      <w:marLeft w:val="0"/>
      <w:marRight w:val="0"/>
      <w:marTop w:val="0"/>
      <w:marBottom w:val="0"/>
      <w:divBdr>
        <w:top w:val="none" w:sz="0" w:space="0" w:color="auto"/>
        <w:left w:val="none" w:sz="0" w:space="0" w:color="auto"/>
        <w:bottom w:val="none" w:sz="0" w:space="0" w:color="auto"/>
        <w:right w:val="none" w:sz="0" w:space="0" w:color="auto"/>
      </w:divBdr>
    </w:div>
    <w:div w:id="1213233222">
      <w:bodyDiv w:val="1"/>
      <w:marLeft w:val="0"/>
      <w:marRight w:val="0"/>
      <w:marTop w:val="0"/>
      <w:marBottom w:val="0"/>
      <w:divBdr>
        <w:top w:val="none" w:sz="0" w:space="0" w:color="auto"/>
        <w:left w:val="none" w:sz="0" w:space="0" w:color="auto"/>
        <w:bottom w:val="none" w:sz="0" w:space="0" w:color="auto"/>
        <w:right w:val="none" w:sz="0" w:space="0" w:color="auto"/>
      </w:divBdr>
    </w:div>
    <w:div w:id="1222517662">
      <w:bodyDiv w:val="1"/>
      <w:marLeft w:val="0"/>
      <w:marRight w:val="0"/>
      <w:marTop w:val="0"/>
      <w:marBottom w:val="0"/>
      <w:divBdr>
        <w:top w:val="none" w:sz="0" w:space="0" w:color="auto"/>
        <w:left w:val="none" w:sz="0" w:space="0" w:color="auto"/>
        <w:bottom w:val="none" w:sz="0" w:space="0" w:color="auto"/>
        <w:right w:val="none" w:sz="0" w:space="0" w:color="auto"/>
      </w:divBdr>
    </w:div>
    <w:div w:id="1227183712">
      <w:bodyDiv w:val="1"/>
      <w:marLeft w:val="0"/>
      <w:marRight w:val="0"/>
      <w:marTop w:val="0"/>
      <w:marBottom w:val="0"/>
      <w:divBdr>
        <w:top w:val="none" w:sz="0" w:space="0" w:color="auto"/>
        <w:left w:val="none" w:sz="0" w:space="0" w:color="auto"/>
        <w:bottom w:val="none" w:sz="0" w:space="0" w:color="auto"/>
        <w:right w:val="none" w:sz="0" w:space="0" w:color="auto"/>
      </w:divBdr>
    </w:div>
    <w:div w:id="1258825251">
      <w:bodyDiv w:val="1"/>
      <w:marLeft w:val="0"/>
      <w:marRight w:val="0"/>
      <w:marTop w:val="0"/>
      <w:marBottom w:val="0"/>
      <w:divBdr>
        <w:top w:val="none" w:sz="0" w:space="0" w:color="auto"/>
        <w:left w:val="none" w:sz="0" w:space="0" w:color="auto"/>
        <w:bottom w:val="none" w:sz="0" w:space="0" w:color="auto"/>
        <w:right w:val="none" w:sz="0" w:space="0" w:color="auto"/>
      </w:divBdr>
    </w:div>
    <w:div w:id="1277444965">
      <w:bodyDiv w:val="1"/>
      <w:marLeft w:val="0"/>
      <w:marRight w:val="0"/>
      <w:marTop w:val="0"/>
      <w:marBottom w:val="0"/>
      <w:divBdr>
        <w:top w:val="none" w:sz="0" w:space="0" w:color="auto"/>
        <w:left w:val="none" w:sz="0" w:space="0" w:color="auto"/>
        <w:bottom w:val="none" w:sz="0" w:space="0" w:color="auto"/>
        <w:right w:val="none" w:sz="0" w:space="0" w:color="auto"/>
      </w:divBdr>
    </w:div>
    <w:div w:id="1290865072">
      <w:bodyDiv w:val="1"/>
      <w:marLeft w:val="0"/>
      <w:marRight w:val="0"/>
      <w:marTop w:val="0"/>
      <w:marBottom w:val="0"/>
      <w:divBdr>
        <w:top w:val="none" w:sz="0" w:space="0" w:color="auto"/>
        <w:left w:val="none" w:sz="0" w:space="0" w:color="auto"/>
        <w:bottom w:val="none" w:sz="0" w:space="0" w:color="auto"/>
        <w:right w:val="none" w:sz="0" w:space="0" w:color="auto"/>
      </w:divBdr>
    </w:div>
    <w:div w:id="1321155467">
      <w:bodyDiv w:val="1"/>
      <w:marLeft w:val="0"/>
      <w:marRight w:val="0"/>
      <w:marTop w:val="0"/>
      <w:marBottom w:val="0"/>
      <w:divBdr>
        <w:top w:val="none" w:sz="0" w:space="0" w:color="auto"/>
        <w:left w:val="none" w:sz="0" w:space="0" w:color="auto"/>
        <w:bottom w:val="none" w:sz="0" w:space="0" w:color="auto"/>
        <w:right w:val="none" w:sz="0" w:space="0" w:color="auto"/>
      </w:divBdr>
    </w:div>
    <w:div w:id="1321159082">
      <w:bodyDiv w:val="1"/>
      <w:marLeft w:val="0"/>
      <w:marRight w:val="0"/>
      <w:marTop w:val="0"/>
      <w:marBottom w:val="0"/>
      <w:divBdr>
        <w:top w:val="none" w:sz="0" w:space="0" w:color="auto"/>
        <w:left w:val="none" w:sz="0" w:space="0" w:color="auto"/>
        <w:bottom w:val="none" w:sz="0" w:space="0" w:color="auto"/>
        <w:right w:val="none" w:sz="0" w:space="0" w:color="auto"/>
      </w:divBdr>
    </w:div>
    <w:div w:id="1332102202">
      <w:bodyDiv w:val="1"/>
      <w:marLeft w:val="0"/>
      <w:marRight w:val="0"/>
      <w:marTop w:val="0"/>
      <w:marBottom w:val="0"/>
      <w:divBdr>
        <w:top w:val="none" w:sz="0" w:space="0" w:color="auto"/>
        <w:left w:val="none" w:sz="0" w:space="0" w:color="auto"/>
        <w:bottom w:val="none" w:sz="0" w:space="0" w:color="auto"/>
        <w:right w:val="none" w:sz="0" w:space="0" w:color="auto"/>
      </w:divBdr>
    </w:div>
    <w:div w:id="1332834865">
      <w:bodyDiv w:val="1"/>
      <w:marLeft w:val="0"/>
      <w:marRight w:val="0"/>
      <w:marTop w:val="0"/>
      <w:marBottom w:val="0"/>
      <w:divBdr>
        <w:top w:val="none" w:sz="0" w:space="0" w:color="auto"/>
        <w:left w:val="none" w:sz="0" w:space="0" w:color="auto"/>
        <w:bottom w:val="none" w:sz="0" w:space="0" w:color="auto"/>
        <w:right w:val="none" w:sz="0" w:space="0" w:color="auto"/>
      </w:divBdr>
    </w:div>
    <w:div w:id="1381588047">
      <w:bodyDiv w:val="1"/>
      <w:marLeft w:val="0"/>
      <w:marRight w:val="0"/>
      <w:marTop w:val="0"/>
      <w:marBottom w:val="0"/>
      <w:divBdr>
        <w:top w:val="none" w:sz="0" w:space="0" w:color="auto"/>
        <w:left w:val="none" w:sz="0" w:space="0" w:color="auto"/>
        <w:bottom w:val="none" w:sz="0" w:space="0" w:color="auto"/>
        <w:right w:val="none" w:sz="0" w:space="0" w:color="auto"/>
      </w:divBdr>
    </w:div>
    <w:div w:id="1411468710">
      <w:bodyDiv w:val="1"/>
      <w:marLeft w:val="0"/>
      <w:marRight w:val="0"/>
      <w:marTop w:val="0"/>
      <w:marBottom w:val="0"/>
      <w:divBdr>
        <w:top w:val="none" w:sz="0" w:space="0" w:color="auto"/>
        <w:left w:val="none" w:sz="0" w:space="0" w:color="auto"/>
        <w:bottom w:val="none" w:sz="0" w:space="0" w:color="auto"/>
        <w:right w:val="none" w:sz="0" w:space="0" w:color="auto"/>
      </w:divBdr>
    </w:div>
    <w:div w:id="1424691180">
      <w:bodyDiv w:val="1"/>
      <w:marLeft w:val="0"/>
      <w:marRight w:val="0"/>
      <w:marTop w:val="0"/>
      <w:marBottom w:val="0"/>
      <w:divBdr>
        <w:top w:val="none" w:sz="0" w:space="0" w:color="auto"/>
        <w:left w:val="none" w:sz="0" w:space="0" w:color="auto"/>
        <w:bottom w:val="none" w:sz="0" w:space="0" w:color="auto"/>
        <w:right w:val="none" w:sz="0" w:space="0" w:color="auto"/>
      </w:divBdr>
    </w:div>
    <w:div w:id="1427648797">
      <w:bodyDiv w:val="1"/>
      <w:marLeft w:val="0"/>
      <w:marRight w:val="0"/>
      <w:marTop w:val="0"/>
      <w:marBottom w:val="0"/>
      <w:divBdr>
        <w:top w:val="none" w:sz="0" w:space="0" w:color="auto"/>
        <w:left w:val="none" w:sz="0" w:space="0" w:color="auto"/>
        <w:bottom w:val="none" w:sz="0" w:space="0" w:color="auto"/>
        <w:right w:val="none" w:sz="0" w:space="0" w:color="auto"/>
      </w:divBdr>
    </w:div>
    <w:div w:id="1450395738">
      <w:bodyDiv w:val="1"/>
      <w:marLeft w:val="0"/>
      <w:marRight w:val="0"/>
      <w:marTop w:val="0"/>
      <w:marBottom w:val="0"/>
      <w:divBdr>
        <w:top w:val="none" w:sz="0" w:space="0" w:color="auto"/>
        <w:left w:val="none" w:sz="0" w:space="0" w:color="auto"/>
        <w:bottom w:val="none" w:sz="0" w:space="0" w:color="auto"/>
        <w:right w:val="none" w:sz="0" w:space="0" w:color="auto"/>
      </w:divBdr>
    </w:div>
    <w:div w:id="1477182876">
      <w:bodyDiv w:val="1"/>
      <w:marLeft w:val="0"/>
      <w:marRight w:val="0"/>
      <w:marTop w:val="0"/>
      <w:marBottom w:val="0"/>
      <w:divBdr>
        <w:top w:val="none" w:sz="0" w:space="0" w:color="auto"/>
        <w:left w:val="none" w:sz="0" w:space="0" w:color="auto"/>
        <w:bottom w:val="none" w:sz="0" w:space="0" w:color="auto"/>
        <w:right w:val="none" w:sz="0" w:space="0" w:color="auto"/>
      </w:divBdr>
    </w:div>
    <w:div w:id="1500845254">
      <w:bodyDiv w:val="1"/>
      <w:marLeft w:val="0"/>
      <w:marRight w:val="0"/>
      <w:marTop w:val="0"/>
      <w:marBottom w:val="0"/>
      <w:divBdr>
        <w:top w:val="none" w:sz="0" w:space="0" w:color="auto"/>
        <w:left w:val="none" w:sz="0" w:space="0" w:color="auto"/>
        <w:bottom w:val="none" w:sz="0" w:space="0" w:color="auto"/>
        <w:right w:val="none" w:sz="0" w:space="0" w:color="auto"/>
      </w:divBdr>
    </w:div>
    <w:div w:id="1523087200">
      <w:bodyDiv w:val="1"/>
      <w:marLeft w:val="0"/>
      <w:marRight w:val="0"/>
      <w:marTop w:val="0"/>
      <w:marBottom w:val="0"/>
      <w:divBdr>
        <w:top w:val="none" w:sz="0" w:space="0" w:color="auto"/>
        <w:left w:val="none" w:sz="0" w:space="0" w:color="auto"/>
        <w:bottom w:val="none" w:sz="0" w:space="0" w:color="auto"/>
        <w:right w:val="none" w:sz="0" w:space="0" w:color="auto"/>
      </w:divBdr>
    </w:div>
    <w:div w:id="1538808247">
      <w:bodyDiv w:val="1"/>
      <w:marLeft w:val="0"/>
      <w:marRight w:val="0"/>
      <w:marTop w:val="0"/>
      <w:marBottom w:val="0"/>
      <w:divBdr>
        <w:top w:val="none" w:sz="0" w:space="0" w:color="auto"/>
        <w:left w:val="none" w:sz="0" w:space="0" w:color="auto"/>
        <w:bottom w:val="none" w:sz="0" w:space="0" w:color="auto"/>
        <w:right w:val="none" w:sz="0" w:space="0" w:color="auto"/>
      </w:divBdr>
    </w:div>
    <w:div w:id="1663849930">
      <w:bodyDiv w:val="1"/>
      <w:marLeft w:val="0"/>
      <w:marRight w:val="0"/>
      <w:marTop w:val="0"/>
      <w:marBottom w:val="0"/>
      <w:divBdr>
        <w:top w:val="none" w:sz="0" w:space="0" w:color="auto"/>
        <w:left w:val="none" w:sz="0" w:space="0" w:color="auto"/>
        <w:bottom w:val="none" w:sz="0" w:space="0" w:color="auto"/>
        <w:right w:val="none" w:sz="0" w:space="0" w:color="auto"/>
      </w:divBdr>
    </w:div>
    <w:div w:id="1674994652">
      <w:bodyDiv w:val="1"/>
      <w:marLeft w:val="0"/>
      <w:marRight w:val="0"/>
      <w:marTop w:val="0"/>
      <w:marBottom w:val="0"/>
      <w:divBdr>
        <w:top w:val="none" w:sz="0" w:space="0" w:color="auto"/>
        <w:left w:val="none" w:sz="0" w:space="0" w:color="auto"/>
        <w:bottom w:val="none" w:sz="0" w:space="0" w:color="auto"/>
        <w:right w:val="none" w:sz="0" w:space="0" w:color="auto"/>
      </w:divBdr>
    </w:div>
    <w:div w:id="1735352146">
      <w:bodyDiv w:val="1"/>
      <w:marLeft w:val="0"/>
      <w:marRight w:val="0"/>
      <w:marTop w:val="0"/>
      <w:marBottom w:val="0"/>
      <w:divBdr>
        <w:top w:val="none" w:sz="0" w:space="0" w:color="auto"/>
        <w:left w:val="none" w:sz="0" w:space="0" w:color="auto"/>
        <w:bottom w:val="none" w:sz="0" w:space="0" w:color="auto"/>
        <w:right w:val="none" w:sz="0" w:space="0" w:color="auto"/>
      </w:divBdr>
    </w:div>
    <w:div w:id="1800612407">
      <w:bodyDiv w:val="1"/>
      <w:marLeft w:val="0"/>
      <w:marRight w:val="0"/>
      <w:marTop w:val="0"/>
      <w:marBottom w:val="0"/>
      <w:divBdr>
        <w:top w:val="none" w:sz="0" w:space="0" w:color="auto"/>
        <w:left w:val="none" w:sz="0" w:space="0" w:color="auto"/>
        <w:bottom w:val="none" w:sz="0" w:space="0" w:color="auto"/>
        <w:right w:val="none" w:sz="0" w:space="0" w:color="auto"/>
      </w:divBdr>
    </w:div>
    <w:div w:id="1822891726">
      <w:bodyDiv w:val="1"/>
      <w:marLeft w:val="0"/>
      <w:marRight w:val="0"/>
      <w:marTop w:val="0"/>
      <w:marBottom w:val="0"/>
      <w:divBdr>
        <w:top w:val="none" w:sz="0" w:space="0" w:color="auto"/>
        <w:left w:val="none" w:sz="0" w:space="0" w:color="auto"/>
        <w:bottom w:val="none" w:sz="0" w:space="0" w:color="auto"/>
        <w:right w:val="none" w:sz="0" w:space="0" w:color="auto"/>
      </w:divBdr>
    </w:div>
    <w:div w:id="1823153518">
      <w:bodyDiv w:val="1"/>
      <w:marLeft w:val="0"/>
      <w:marRight w:val="0"/>
      <w:marTop w:val="0"/>
      <w:marBottom w:val="0"/>
      <w:divBdr>
        <w:top w:val="none" w:sz="0" w:space="0" w:color="auto"/>
        <w:left w:val="none" w:sz="0" w:space="0" w:color="auto"/>
        <w:bottom w:val="none" w:sz="0" w:space="0" w:color="auto"/>
        <w:right w:val="none" w:sz="0" w:space="0" w:color="auto"/>
      </w:divBdr>
    </w:div>
    <w:div w:id="1853834256">
      <w:bodyDiv w:val="1"/>
      <w:marLeft w:val="0"/>
      <w:marRight w:val="0"/>
      <w:marTop w:val="0"/>
      <w:marBottom w:val="0"/>
      <w:divBdr>
        <w:top w:val="none" w:sz="0" w:space="0" w:color="auto"/>
        <w:left w:val="none" w:sz="0" w:space="0" w:color="auto"/>
        <w:bottom w:val="none" w:sz="0" w:space="0" w:color="auto"/>
        <w:right w:val="none" w:sz="0" w:space="0" w:color="auto"/>
      </w:divBdr>
    </w:div>
    <w:div w:id="1856918991">
      <w:bodyDiv w:val="1"/>
      <w:marLeft w:val="0"/>
      <w:marRight w:val="0"/>
      <w:marTop w:val="0"/>
      <w:marBottom w:val="0"/>
      <w:divBdr>
        <w:top w:val="none" w:sz="0" w:space="0" w:color="auto"/>
        <w:left w:val="none" w:sz="0" w:space="0" w:color="auto"/>
        <w:bottom w:val="none" w:sz="0" w:space="0" w:color="auto"/>
        <w:right w:val="none" w:sz="0" w:space="0" w:color="auto"/>
      </w:divBdr>
    </w:div>
    <w:div w:id="1859270738">
      <w:bodyDiv w:val="1"/>
      <w:marLeft w:val="0"/>
      <w:marRight w:val="0"/>
      <w:marTop w:val="0"/>
      <w:marBottom w:val="0"/>
      <w:divBdr>
        <w:top w:val="none" w:sz="0" w:space="0" w:color="auto"/>
        <w:left w:val="none" w:sz="0" w:space="0" w:color="auto"/>
        <w:bottom w:val="none" w:sz="0" w:space="0" w:color="auto"/>
        <w:right w:val="none" w:sz="0" w:space="0" w:color="auto"/>
      </w:divBdr>
    </w:div>
    <w:div w:id="1865900379">
      <w:bodyDiv w:val="1"/>
      <w:marLeft w:val="0"/>
      <w:marRight w:val="0"/>
      <w:marTop w:val="0"/>
      <w:marBottom w:val="0"/>
      <w:divBdr>
        <w:top w:val="none" w:sz="0" w:space="0" w:color="auto"/>
        <w:left w:val="none" w:sz="0" w:space="0" w:color="auto"/>
        <w:bottom w:val="none" w:sz="0" w:space="0" w:color="auto"/>
        <w:right w:val="none" w:sz="0" w:space="0" w:color="auto"/>
      </w:divBdr>
    </w:div>
    <w:div w:id="1875461514">
      <w:bodyDiv w:val="1"/>
      <w:marLeft w:val="0"/>
      <w:marRight w:val="0"/>
      <w:marTop w:val="0"/>
      <w:marBottom w:val="0"/>
      <w:divBdr>
        <w:top w:val="none" w:sz="0" w:space="0" w:color="auto"/>
        <w:left w:val="none" w:sz="0" w:space="0" w:color="auto"/>
        <w:bottom w:val="none" w:sz="0" w:space="0" w:color="auto"/>
        <w:right w:val="none" w:sz="0" w:space="0" w:color="auto"/>
      </w:divBdr>
    </w:div>
    <w:div w:id="1963875027">
      <w:bodyDiv w:val="1"/>
      <w:marLeft w:val="0"/>
      <w:marRight w:val="0"/>
      <w:marTop w:val="0"/>
      <w:marBottom w:val="0"/>
      <w:divBdr>
        <w:top w:val="none" w:sz="0" w:space="0" w:color="auto"/>
        <w:left w:val="none" w:sz="0" w:space="0" w:color="auto"/>
        <w:bottom w:val="none" w:sz="0" w:space="0" w:color="auto"/>
        <w:right w:val="none" w:sz="0" w:space="0" w:color="auto"/>
      </w:divBdr>
    </w:div>
    <w:div w:id="1969192840">
      <w:bodyDiv w:val="1"/>
      <w:marLeft w:val="0"/>
      <w:marRight w:val="0"/>
      <w:marTop w:val="0"/>
      <w:marBottom w:val="0"/>
      <w:divBdr>
        <w:top w:val="none" w:sz="0" w:space="0" w:color="auto"/>
        <w:left w:val="none" w:sz="0" w:space="0" w:color="auto"/>
        <w:bottom w:val="none" w:sz="0" w:space="0" w:color="auto"/>
        <w:right w:val="none" w:sz="0" w:space="0" w:color="auto"/>
      </w:divBdr>
    </w:div>
    <w:div w:id="1970277543">
      <w:bodyDiv w:val="1"/>
      <w:marLeft w:val="0"/>
      <w:marRight w:val="0"/>
      <w:marTop w:val="0"/>
      <w:marBottom w:val="0"/>
      <w:divBdr>
        <w:top w:val="none" w:sz="0" w:space="0" w:color="auto"/>
        <w:left w:val="none" w:sz="0" w:space="0" w:color="auto"/>
        <w:bottom w:val="none" w:sz="0" w:space="0" w:color="auto"/>
        <w:right w:val="none" w:sz="0" w:space="0" w:color="auto"/>
      </w:divBdr>
    </w:div>
    <w:div w:id="2002734871">
      <w:bodyDiv w:val="1"/>
      <w:marLeft w:val="0"/>
      <w:marRight w:val="0"/>
      <w:marTop w:val="0"/>
      <w:marBottom w:val="0"/>
      <w:divBdr>
        <w:top w:val="none" w:sz="0" w:space="0" w:color="auto"/>
        <w:left w:val="none" w:sz="0" w:space="0" w:color="auto"/>
        <w:bottom w:val="none" w:sz="0" w:space="0" w:color="auto"/>
        <w:right w:val="none" w:sz="0" w:space="0" w:color="auto"/>
      </w:divBdr>
    </w:div>
    <w:div w:id="2043357952">
      <w:bodyDiv w:val="1"/>
      <w:marLeft w:val="0"/>
      <w:marRight w:val="0"/>
      <w:marTop w:val="0"/>
      <w:marBottom w:val="0"/>
      <w:divBdr>
        <w:top w:val="none" w:sz="0" w:space="0" w:color="auto"/>
        <w:left w:val="none" w:sz="0" w:space="0" w:color="auto"/>
        <w:bottom w:val="none" w:sz="0" w:space="0" w:color="auto"/>
        <w:right w:val="none" w:sz="0" w:space="0" w:color="auto"/>
      </w:divBdr>
    </w:div>
    <w:div w:id="2084374251">
      <w:bodyDiv w:val="1"/>
      <w:marLeft w:val="0"/>
      <w:marRight w:val="0"/>
      <w:marTop w:val="0"/>
      <w:marBottom w:val="0"/>
      <w:divBdr>
        <w:top w:val="none" w:sz="0" w:space="0" w:color="auto"/>
        <w:left w:val="none" w:sz="0" w:space="0" w:color="auto"/>
        <w:bottom w:val="none" w:sz="0" w:space="0" w:color="auto"/>
        <w:right w:val="none" w:sz="0" w:space="0" w:color="auto"/>
      </w:divBdr>
    </w:div>
    <w:div w:id="2098868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diagramLayout" Target="diagrams/layout3.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2.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image" Target="media/image5.png"/><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image" Target="media/image4.png"/><Relationship Id="rId30" Type="http://schemas.openxmlformats.org/officeDocument/2006/relationships/hyperlink" Target="https://sites.google.com/view/tata-strategic-growth-by-zarna/home" TargetMode="External"/><Relationship Id="rId35" Type="http://schemas.openxmlformats.org/officeDocument/2006/relationships/theme" Target="theme/theme1.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6AC4BA-5162-4483-8E3D-9BA27BA7610E}" type="doc">
      <dgm:prSet loTypeId="urn:microsoft.com/office/officeart/2005/8/layout/hierarchy2" loCatId="hierarchy" qsTypeId="urn:microsoft.com/office/officeart/2005/8/quickstyle/simple1" qsCatId="simple" csTypeId="urn:microsoft.com/office/officeart/2005/8/colors/accent0_3" csCatId="mainScheme" phldr="1"/>
      <dgm:spPr/>
      <dgm:t>
        <a:bodyPr/>
        <a:lstStyle/>
        <a:p>
          <a:endParaRPr lang="en-IN"/>
        </a:p>
      </dgm:t>
    </dgm:pt>
    <dgm:pt modelId="{9D3A0631-F1D7-4217-B7B8-7695A12C49B9}">
      <dgm:prSet phldrT="[Text]"/>
      <dgm:spPr>
        <a:xfrm>
          <a:off x="2366" y="1388454"/>
          <a:ext cx="846980" cy="423490"/>
        </a:xfrm>
      </dgm:spPr>
      <dgm:t>
        <a:bodyPr/>
        <a:lstStyle/>
        <a:p>
          <a:r>
            <a:rPr lang="">
              <a:latin typeface="Calibri" panose="020F0502020204030204"/>
              <a:ea typeface="+mn-ea"/>
              <a:cs typeface="+mn-cs"/>
            </a:rPr>
            <a:t>External Marketing Environment</a:t>
          </a:r>
          <a:endParaRPr lang="en-IN">
            <a:latin typeface="Calibri" panose="020F0502020204030204"/>
            <a:ea typeface="+mn-ea"/>
            <a:cs typeface="+mn-cs"/>
          </a:endParaRPr>
        </a:p>
      </dgm:t>
    </dgm:pt>
    <dgm:pt modelId="{8069859D-F961-4C7C-968E-865E1C6B1CD1}" type="parTrans" cxnId="{A9DEAD93-BFDA-4DFD-94B1-356AD07A29A2}">
      <dgm:prSet/>
      <dgm:spPr/>
      <dgm:t>
        <a:bodyPr/>
        <a:lstStyle/>
        <a:p>
          <a:endParaRPr lang="en-IN"/>
        </a:p>
      </dgm:t>
    </dgm:pt>
    <dgm:pt modelId="{3E5ED18D-6074-44A8-8C42-6C021921CADA}" type="sibTrans" cxnId="{A9DEAD93-BFDA-4DFD-94B1-356AD07A29A2}">
      <dgm:prSet/>
      <dgm:spPr/>
      <dgm:t>
        <a:bodyPr/>
        <a:lstStyle/>
        <a:p>
          <a:endParaRPr lang="en-IN"/>
        </a:p>
      </dgm:t>
    </dgm:pt>
    <dgm:pt modelId="{05581793-2CBF-4206-9F02-DE4BEB72886B}">
      <dgm:prSet phldrT="[Text]"/>
      <dgm:spPr>
        <a:xfrm>
          <a:off x="1188139" y="657933"/>
          <a:ext cx="846980" cy="423490"/>
        </a:xfrm>
      </dgm:spPr>
      <dgm:t>
        <a:bodyPr/>
        <a:lstStyle/>
        <a:p>
          <a:r>
            <a:rPr lang="">
              <a:latin typeface="Calibri" panose="020F0502020204030204"/>
              <a:ea typeface="+mn-ea"/>
              <a:cs typeface="+mn-cs"/>
            </a:rPr>
            <a:t>Natural Environment</a:t>
          </a:r>
          <a:endParaRPr lang="en-IN">
            <a:latin typeface="Calibri" panose="020F0502020204030204"/>
            <a:ea typeface="+mn-ea"/>
            <a:cs typeface="+mn-cs"/>
          </a:endParaRPr>
        </a:p>
      </dgm:t>
    </dgm:pt>
    <dgm:pt modelId="{9F72C0DA-B0F3-4643-BF82-A8479B73421C}" type="parTrans" cxnId="{4D561501-D2C8-4D34-B920-A8D79D7D88B2}">
      <dgm:prSet/>
      <dgm:spPr>
        <a:xfrm rot="17692822">
          <a:off x="616114" y="1223030"/>
          <a:ext cx="805258" cy="23818"/>
        </a:xfrm>
      </dgm:spPr>
      <dgm:t>
        <a:bodyPr/>
        <a:lstStyle/>
        <a:p>
          <a:endParaRPr lang="en-IN">
            <a:solidFill>
              <a:sysClr val="windowText" lastClr="000000">
                <a:hueOff val="0"/>
                <a:satOff val="0"/>
                <a:lumOff val="0"/>
                <a:alphaOff val="0"/>
              </a:sysClr>
            </a:solidFill>
            <a:latin typeface="Calibri" panose="020F0502020204030204"/>
            <a:ea typeface="+mn-ea"/>
            <a:cs typeface="+mn-cs"/>
          </a:endParaRPr>
        </a:p>
      </dgm:t>
    </dgm:pt>
    <dgm:pt modelId="{677F3EE2-F6E0-4D52-9429-32EEABE1747B}" type="sibTrans" cxnId="{4D561501-D2C8-4D34-B920-A8D79D7D88B2}">
      <dgm:prSet/>
      <dgm:spPr/>
      <dgm:t>
        <a:bodyPr/>
        <a:lstStyle/>
        <a:p>
          <a:endParaRPr lang="en-IN"/>
        </a:p>
      </dgm:t>
    </dgm:pt>
    <dgm:pt modelId="{1C8D18A8-F9AB-42EE-9C03-3ED77E70B5EF}">
      <dgm:prSet phldrT="[Text]"/>
      <dgm:spPr>
        <a:xfrm>
          <a:off x="2373912" y="170919"/>
          <a:ext cx="846980" cy="423490"/>
        </a:xfrm>
      </dgm:spPr>
      <dgm:t>
        <a:bodyPr/>
        <a:lstStyle/>
        <a:p>
          <a:r>
            <a:rPr lang="">
              <a:latin typeface="Calibri" panose="020F0502020204030204"/>
              <a:ea typeface="+mn-ea"/>
              <a:cs typeface="+mn-cs"/>
            </a:rPr>
            <a:t>Climate Change</a:t>
          </a:r>
          <a:endParaRPr lang="en-IN">
            <a:latin typeface="Calibri" panose="020F0502020204030204"/>
            <a:ea typeface="+mn-ea"/>
            <a:cs typeface="+mn-cs"/>
          </a:endParaRPr>
        </a:p>
      </dgm:t>
    </dgm:pt>
    <dgm:pt modelId="{E3BBF788-A09F-4DD3-8874-9D28C83D8603}" type="parTrans" cxnId="{7B3EC472-4C39-4AB5-B329-839D2D293A0D}">
      <dgm:prSet/>
      <dgm:spPr>
        <a:xfrm rot="18289469">
          <a:off x="1907884" y="614262"/>
          <a:ext cx="593264" cy="23818"/>
        </a:xfrm>
      </dgm:spPr>
      <dgm:t>
        <a:bodyPr/>
        <a:lstStyle/>
        <a:p>
          <a:endParaRPr lang="en-IN">
            <a:solidFill>
              <a:sysClr val="windowText" lastClr="000000">
                <a:hueOff val="0"/>
                <a:satOff val="0"/>
                <a:lumOff val="0"/>
                <a:alphaOff val="0"/>
              </a:sysClr>
            </a:solidFill>
            <a:latin typeface="Calibri" panose="020F0502020204030204"/>
            <a:ea typeface="+mn-ea"/>
            <a:cs typeface="+mn-cs"/>
          </a:endParaRPr>
        </a:p>
      </dgm:t>
    </dgm:pt>
    <dgm:pt modelId="{E8A2D0A9-2C80-4A34-B29F-B5448D063A3D}" type="sibTrans" cxnId="{7B3EC472-4C39-4AB5-B329-839D2D293A0D}">
      <dgm:prSet/>
      <dgm:spPr/>
      <dgm:t>
        <a:bodyPr/>
        <a:lstStyle/>
        <a:p>
          <a:endParaRPr lang="en-IN"/>
        </a:p>
      </dgm:t>
    </dgm:pt>
    <dgm:pt modelId="{0A9310DC-D5DF-4431-A5B6-F29C41AE314E}">
      <dgm:prSet phldrT="[Text]"/>
      <dgm:spPr>
        <a:xfrm>
          <a:off x="2373912" y="657933"/>
          <a:ext cx="846980" cy="423490"/>
        </a:xfrm>
      </dgm:spPr>
      <dgm:t>
        <a:bodyPr/>
        <a:lstStyle/>
        <a:p>
          <a:r>
            <a:rPr lang="">
              <a:latin typeface="Calibri" panose="020F0502020204030204"/>
              <a:ea typeface="+mn-ea"/>
              <a:cs typeface="+mn-cs"/>
            </a:rPr>
            <a:t>Carbon Emissions</a:t>
          </a:r>
          <a:endParaRPr lang="en-IN">
            <a:latin typeface="Calibri" panose="020F0502020204030204"/>
            <a:ea typeface="+mn-ea"/>
            <a:cs typeface="+mn-cs"/>
          </a:endParaRPr>
        </a:p>
      </dgm:t>
    </dgm:pt>
    <dgm:pt modelId="{F9370CEE-DA11-49DE-B675-0BDAD8A1BE82}" type="parTrans" cxnId="{C4FE650E-4B30-4D80-B14C-437DBDB6E0D7}">
      <dgm:prSet/>
      <dgm:spPr>
        <a:xfrm>
          <a:off x="2035120" y="857769"/>
          <a:ext cx="338792" cy="23818"/>
        </a:xfrm>
      </dgm:spPr>
      <dgm:t>
        <a:bodyPr/>
        <a:lstStyle/>
        <a:p>
          <a:endParaRPr lang="en-IN">
            <a:solidFill>
              <a:sysClr val="windowText" lastClr="000000">
                <a:hueOff val="0"/>
                <a:satOff val="0"/>
                <a:lumOff val="0"/>
                <a:alphaOff val="0"/>
              </a:sysClr>
            </a:solidFill>
            <a:latin typeface="Calibri" panose="020F0502020204030204"/>
            <a:ea typeface="+mn-ea"/>
            <a:cs typeface="+mn-cs"/>
          </a:endParaRPr>
        </a:p>
      </dgm:t>
    </dgm:pt>
    <dgm:pt modelId="{88907AEA-7018-465A-80A8-739DC1E7D688}" type="sibTrans" cxnId="{C4FE650E-4B30-4D80-B14C-437DBDB6E0D7}">
      <dgm:prSet/>
      <dgm:spPr/>
      <dgm:t>
        <a:bodyPr/>
        <a:lstStyle/>
        <a:p>
          <a:endParaRPr lang="en-IN"/>
        </a:p>
      </dgm:t>
    </dgm:pt>
    <dgm:pt modelId="{49339155-259A-46AF-87E0-9461F4268D0E}">
      <dgm:prSet phldrT="[Text]"/>
      <dgm:spPr>
        <a:xfrm>
          <a:off x="1188139" y="2118975"/>
          <a:ext cx="846980" cy="423490"/>
        </a:xfrm>
      </dgm:spPr>
      <dgm:t>
        <a:bodyPr/>
        <a:lstStyle/>
        <a:p>
          <a:r>
            <a:rPr lang="">
              <a:latin typeface="Calibri" panose="020F0502020204030204"/>
              <a:ea typeface="+mn-ea"/>
              <a:cs typeface="+mn-cs"/>
            </a:rPr>
            <a:t>Political/Legal Environment</a:t>
          </a:r>
          <a:endParaRPr lang="en-IN">
            <a:latin typeface="Calibri" panose="020F0502020204030204"/>
            <a:ea typeface="+mn-ea"/>
            <a:cs typeface="+mn-cs"/>
          </a:endParaRPr>
        </a:p>
      </dgm:t>
    </dgm:pt>
    <dgm:pt modelId="{A5350A45-5586-4459-99F4-2C0852083274}" type="parTrans" cxnId="{1A8856A1-3EEE-4C5E-A0E1-8CB28359852B}">
      <dgm:prSet/>
      <dgm:spPr>
        <a:xfrm rot="3907178">
          <a:off x="616114" y="1953551"/>
          <a:ext cx="805258" cy="23818"/>
        </a:xfrm>
      </dgm:spPr>
      <dgm:t>
        <a:bodyPr/>
        <a:lstStyle/>
        <a:p>
          <a:endParaRPr lang="en-IN">
            <a:solidFill>
              <a:sysClr val="windowText" lastClr="000000">
                <a:hueOff val="0"/>
                <a:satOff val="0"/>
                <a:lumOff val="0"/>
                <a:alphaOff val="0"/>
              </a:sysClr>
            </a:solidFill>
            <a:latin typeface="Calibri" panose="020F0502020204030204"/>
            <a:ea typeface="+mn-ea"/>
            <a:cs typeface="+mn-cs"/>
          </a:endParaRPr>
        </a:p>
      </dgm:t>
    </dgm:pt>
    <dgm:pt modelId="{9978DAE9-3446-4F4A-A107-48EDA968A8FB}" type="sibTrans" cxnId="{1A8856A1-3EEE-4C5E-A0E1-8CB28359852B}">
      <dgm:prSet/>
      <dgm:spPr/>
      <dgm:t>
        <a:bodyPr/>
        <a:lstStyle/>
        <a:p>
          <a:endParaRPr lang="en-IN"/>
        </a:p>
      </dgm:t>
    </dgm:pt>
    <dgm:pt modelId="{1E9BC0F6-3B69-4EC7-AC96-87AC89DAF826}">
      <dgm:prSet phldrT="[Text]"/>
      <dgm:spPr>
        <a:xfrm>
          <a:off x="2373912" y="1631961"/>
          <a:ext cx="846980" cy="423490"/>
        </a:xfrm>
      </dgm:spPr>
      <dgm:t>
        <a:bodyPr/>
        <a:lstStyle/>
        <a:p>
          <a:r>
            <a:rPr lang="">
              <a:latin typeface="Calibri" panose="020F0502020204030204"/>
              <a:ea typeface="+mn-ea"/>
              <a:cs typeface="+mn-cs"/>
            </a:rPr>
            <a:t>CBAM Policy regulations</a:t>
          </a:r>
          <a:endParaRPr lang="en-IN">
            <a:latin typeface="Calibri" panose="020F0502020204030204"/>
            <a:ea typeface="+mn-ea"/>
            <a:cs typeface="+mn-cs"/>
          </a:endParaRPr>
        </a:p>
      </dgm:t>
    </dgm:pt>
    <dgm:pt modelId="{95045534-F088-4C52-97D8-713E8B8747EC}" type="parTrans" cxnId="{7769E0C2-29C0-4FD4-931A-85C8E57A8919}">
      <dgm:prSet/>
      <dgm:spPr>
        <a:xfrm rot="18289469">
          <a:off x="1907884" y="2075304"/>
          <a:ext cx="593264" cy="23818"/>
        </a:xfrm>
      </dgm:spPr>
      <dgm:t>
        <a:bodyPr/>
        <a:lstStyle/>
        <a:p>
          <a:endParaRPr lang="en-IN">
            <a:solidFill>
              <a:sysClr val="windowText" lastClr="000000">
                <a:hueOff val="0"/>
                <a:satOff val="0"/>
                <a:lumOff val="0"/>
                <a:alphaOff val="0"/>
              </a:sysClr>
            </a:solidFill>
            <a:latin typeface="Calibri" panose="020F0502020204030204"/>
            <a:ea typeface="+mn-ea"/>
            <a:cs typeface="+mn-cs"/>
          </a:endParaRPr>
        </a:p>
      </dgm:t>
    </dgm:pt>
    <dgm:pt modelId="{197E05AE-C3B1-427F-9E20-A0AC18108505}" type="sibTrans" cxnId="{7769E0C2-29C0-4FD4-931A-85C8E57A8919}">
      <dgm:prSet/>
      <dgm:spPr/>
      <dgm:t>
        <a:bodyPr/>
        <a:lstStyle/>
        <a:p>
          <a:endParaRPr lang="en-IN"/>
        </a:p>
      </dgm:t>
    </dgm:pt>
    <dgm:pt modelId="{4F429FBC-D305-467C-A426-774D45DCAE29}">
      <dgm:prSet/>
      <dgm:spPr>
        <a:xfrm>
          <a:off x="2373912" y="1144947"/>
          <a:ext cx="846980" cy="423490"/>
        </a:xfrm>
      </dgm:spPr>
      <dgm:t>
        <a:bodyPr/>
        <a:lstStyle/>
        <a:p>
          <a:r>
            <a:rPr lang="">
              <a:latin typeface="Calibri" panose="020F0502020204030204"/>
              <a:ea typeface="+mn-ea"/>
              <a:cs typeface="+mn-cs"/>
            </a:rPr>
            <a:t>Stakeholder Pressure</a:t>
          </a:r>
          <a:endParaRPr lang="en-IN">
            <a:latin typeface="Calibri" panose="020F0502020204030204"/>
            <a:ea typeface="+mn-ea"/>
            <a:cs typeface="+mn-cs"/>
          </a:endParaRPr>
        </a:p>
      </dgm:t>
    </dgm:pt>
    <dgm:pt modelId="{B516E5ED-415B-48EF-8610-39312C8740D2}" type="parTrans" cxnId="{F2B03EE9-6F69-4860-BAC0-66E6D6B32FDC}">
      <dgm:prSet/>
      <dgm:spPr>
        <a:xfrm rot="3310531">
          <a:off x="1907884" y="1101276"/>
          <a:ext cx="593264" cy="23818"/>
        </a:xfrm>
      </dgm:spPr>
      <dgm:t>
        <a:bodyPr/>
        <a:lstStyle/>
        <a:p>
          <a:endParaRPr lang="en-IN">
            <a:solidFill>
              <a:sysClr val="windowText" lastClr="000000">
                <a:hueOff val="0"/>
                <a:satOff val="0"/>
                <a:lumOff val="0"/>
                <a:alphaOff val="0"/>
              </a:sysClr>
            </a:solidFill>
            <a:latin typeface="Calibri" panose="020F0502020204030204"/>
            <a:ea typeface="+mn-ea"/>
            <a:cs typeface="+mn-cs"/>
          </a:endParaRPr>
        </a:p>
      </dgm:t>
    </dgm:pt>
    <dgm:pt modelId="{E0A02871-E972-4115-BC23-9A4B304946ED}" type="sibTrans" cxnId="{F2B03EE9-6F69-4860-BAC0-66E6D6B32FDC}">
      <dgm:prSet/>
      <dgm:spPr/>
      <dgm:t>
        <a:bodyPr/>
        <a:lstStyle/>
        <a:p>
          <a:endParaRPr lang="en-IN"/>
        </a:p>
      </dgm:t>
    </dgm:pt>
    <dgm:pt modelId="{B855F1D0-0C64-41EA-9E2D-D54308D1ADCC}">
      <dgm:prSet/>
      <dgm:spPr>
        <a:xfrm>
          <a:off x="2373912" y="2118975"/>
          <a:ext cx="846980" cy="423490"/>
        </a:xfrm>
      </dgm:spPr>
      <dgm:t>
        <a:bodyPr/>
        <a:lstStyle/>
        <a:p>
          <a:r>
            <a:rPr lang="">
              <a:latin typeface="Calibri" panose="020F0502020204030204"/>
              <a:ea typeface="+mn-ea"/>
              <a:cs typeface="+mn-cs"/>
            </a:rPr>
            <a:t>UK Net-Zero Policy</a:t>
          </a:r>
          <a:endParaRPr lang="en-IN">
            <a:latin typeface="Calibri" panose="020F0502020204030204"/>
            <a:ea typeface="+mn-ea"/>
            <a:cs typeface="+mn-cs"/>
          </a:endParaRPr>
        </a:p>
      </dgm:t>
    </dgm:pt>
    <dgm:pt modelId="{DF143F31-6E66-49B7-BF66-F5522E33F04B}" type="parTrans" cxnId="{625F7E06-DE8F-442D-96C3-93AD3ACEF173}">
      <dgm:prSet/>
      <dgm:spPr>
        <a:xfrm>
          <a:off x="2035120" y="2318811"/>
          <a:ext cx="338792" cy="23818"/>
        </a:xfrm>
      </dgm:spPr>
      <dgm:t>
        <a:bodyPr/>
        <a:lstStyle/>
        <a:p>
          <a:endParaRPr lang="en-IN">
            <a:solidFill>
              <a:sysClr val="windowText" lastClr="000000">
                <a:hueOff val="0"/>
                <a:satOff val="0"/>
                <a:lumOff val="0"/>
                <a:alphaOff val="0"/>
              </a:sysClr>
            </a:solidFill>
            <a:latin typeface="Calibri" panose="020F0502020204030204"/>
            <a:ea typeface="+mn-ea"/>
            <a:cs typeface="+mn-cs"/>
          </a:endParaRPr>
        </a:p>
      </dgm:t>
    </dgm:pt>
    <dgm:pt modelId="{1B2F2661-79B4-4E33-8D0A-C754C8F7B27D}" type="sibTrans" cxnId="{625F7E06-DE8F-442D-96C3-93AD3ACEF173}">
      <dgm:prSet/>
      <dgm:spPr/>
      <dgm:t>
        <a:bodyPr/>
        <a:lstStyle/>
        <a:p>
          <a:endParaRPr lang="en-IN"/>
        </a:p>
      </dgm:t>
    </dgm:pt>
    <dgm:pt modelId="{1316260C-C075-4580-B213-6142AE586056}">
      <dgm:prSet/>
      <dgm:spPr>
        <a:xfrm>
          <a:off x="2373912" y="2605989"/>
          <a:ext cx="846980" cy="423490"/>
        </a:xfrm>
      </dgm:spPr>
      <dgm:t>
        <a:bodyPr/>
        <a:lstStyle/>
        <a:p>
          <a:r>
            <a:rPr lang="">
              <a:latin typeface="Calibri" panose="020F0502020204030204"/>
              <a:ea typeface="+mn-ea"/>
              <a:cs typeface="+mn-cs"/>
            </a:rPr>
            <a:t>Indian Carbon regulations</a:t>
          </a:r>
          <a:endParaRPr lang="en-IN">
            <a:latin typeface="Calibri" panose="020F0502020204030204"/>
            <a:ea typeface="+mn-ea"/>
            <a:cs typeface="+mn-cs"/>
          </a:endParaRPr>
        </a:p>
      </dgm:t>
    </dgm:pt>
    <dgm:pt modelId="{46B5A2AF-FE8F-4A4B-BEFD-5039D48781D3}" type="parTrans" cxnId="{B664D3CA-247B-4E54-8DCB-1D9701E39489}">
      <dgm:prSet/>
      <dgm:spPr>
        <a:xfrm rot="3310531">
          <a:off x="1907884" y="2562318"/>
          <a:ext cx="593264" cy="23818"/>
        </a:xfrm>
      </dgm:spPr>
      <dgm:t>
        <a:bodyPr/>
        <a:lstStyle/>
        <a:p>
          <a:endParaRPr lang="en-IN">
            <a:solidFill>
              <a:sysClr val="windowText" lastClr="000000">
                <a:hueOff val="0"/>
                <a:satOff val="0"/>
                <a:lumOff val="0"/>
                <a:alphaOff val="0"/>
              </a:sysClr>
            </a:solidFill>
            <a:latin typeface="Calibri" panose="020F0502020204030204"/>
            <a:ea typeface="+mn-ea"/>
            <a:cs typeface="+mn-cs"/>
          </a:endParaRPr>
        </a:p>
      </dgm:t>
    </dgm:pt>
    <dgm:pt modelId="{241DD604-23DF-4AF6-B01A-30D0C58E9A73}" type="sibTrans" cxnId="{B664D3CA-247B-4E54-8DCB-1D9701E39489}">
      <dgm:prSet/>
      <dgm:spPr/>
      <dgm:t>
        <a:bodyPr/>
        <a:lstStyle/>
        <a:p>
          <a:endParaRPr lang="en-IN"/>
        </a:p>
      </dgm:t>
    </dgm:pt>
    <dgm:pt modelId="{D0A310F8-2CF2-409E-9833-9B64D97CCE66}" type="pres">
      <dgm:prSet presAssocID="{C96AC4BA-5162-4483-8E3D-9BA27BA7610E}" presName="diagram" presStyleCnt="0">
        <dgm:presLayoutVars>
          <dgm:chPref val="1"/>
          <dgm:dir/>
          <dgm:animOne val="branch"/>
          <dgm:animLvl val="lvl"/>
          <dgm:resizeHandles val="exact"/>
        </dgm:presLayoutVars>
      </dgm:prSet>
      <dgm:spPr/>
      <dgm:t>
        <a:bodyPr/>
        <a:lstStyle/>
        <a:p>
          <a:endParaRPr lang="en-IN"/>
        </a:p>
      </dgm:t>
    </dgm:pt>
    <dgm:pt modelId="{8EE96D32-AF8C-4744-B387-41347F251D70}" type="pres">
      <dgm:prSet presAssocID="{9D3A0631-F1D7-4217-B7B8-7695A12C49B9}" presName="root1" presStyleCnt="0"/>
      <dgm:spPr/>
      <dgm:t>
        <a:bodyPr/>
        <a:lstStyle/>
        <a:p>
          <a:endParaRPr lang="en-IN"/>
        </a:p>
      </dgm:t>
    </dgm:pt>
    <dgm:pt modelId="{D6829CF3-BA0F-4506-826E-8E5098050B02}" type="pres">
      <dgm:prSet presAssocID="{9D3A0631-F1D7-4217-B7B8-7695A12C49B9}" presName="LevelOneTextNode" presStyleLbl="node0" presStyleIdx="0" presStyleCnt="1">
        <dgm:presLayoutVars>
          <dgm:chPref val="3"/>
        </dgm:presLayoutVars>
      </dgm:prSet>
      <dgm:spPr>
        <a:prstGeom prst="roundRect">
          <a:avLst>
            <a:gd name="adj" fmla="val 10000"/>
          </a:avLst>
        </a:prstGeom>
      </dgm:spPr>
      <dgm:t>
        <a:bodyPr/>
        <a:lstStyle/>
        <a:p>
          <a:endParaRPr lang="en-IN"/>
        </a:p>
      </dgm:t>
    </dgm:pt>
    <dgm:pt modelId="{8CFCC6F4-CABE-495C-964A-003574697F86}" type="pres">
      <dgm:prSet presAssocID="{9D3A0631-F1D7-4217-B7B8-7695A12C49B9}" presName="level2hierChild" presStyleCnt="0"/>
      <dgm:spPr/>
      <dgm:t>
        <a:bodyPr/>
        <a:lstStyle/>
        <a:p>
          <a:endParaRPr lang="en-IN"/>
        </a:p>
      </dgm:t>
    </dgm:pt>
    <dgm:pt modelId="{F8560773-3475-43A9-B1CF-7B4EA99108AA}" type="pres">
      <dgm:prSet presAssocID="{9F72C0DA-B0F3-4643-BF82-A8479B73421C}" presName="conn2-1" presStyleLbl="parChTrans1D2" presStyleIdx="0" presStyleCnt="2"/>
      <dgm:spPr>
        <a:custGeom>
          <a:avLst/>
          <a:gdLst/>
          <a:ahLst/>
          <a:cxnLst/>
          <a:rect l="0" t="0" r="0" b="0"/>
          <a:pathLst>
            <a:path>
              <a:moveTo>
                <a:pt x="0" y="11909"/>
              </a:moveTo>
              <a:lnTo>
                <a:pt x="805258" y="11909"/>
              </a:lnTo>
            </a:path>
          </a:pathLst>
        </a:custGeom>
      </dgm:spPr>
      <dgm:t>
        <a:bodyPr/>
        <a:lstStyle/>
        <a:p>
          <a:endParaRPr lang="en-IN"/>
        </a:p>
      </dgm:t>
    </dgm:pt>
    <dgm:pt modelId="{10647E35-19CA-4ACC-9313-2FA98F6A3009}" type="pres">
      <dgm:prSet presAssocID="{9F72C0DA-B0F3-4643-BF82-A8479B73421C}" presName="connTx" presStyleLbl="parChTrans1D2" presStyleIdx="0" presStyleCnt="2"/>
      <dgm:spPr/>
      <dgm:t>
        <a:bodyPr/>
        <a:lstStyle/>
        <a:p>
          <a:endParaRPr lang="en-IN"/>
        </a:p>
      </dgm:t>
    </dgm:pt>
    <dgm:pt modelId="{D375B8F0-815A-4238-AD8B-EA69AD8AD528}" type="pres">
      <dgm:prSet presAssocID="{05581793-2CBF-4206-9F02-DE4BEB72886B}" presName="root2" presStyleCnt="0"/>
      <dgm:spPr/>
      <dgm:t>
        <a:bodyPr/>
        <a:lstStyle/>
        <a:p>
          <a:endParaRPr lang="en-IN"/>
        </a:p>
      </dgm:t>
    </dgm:pt>
    <dgm:pt modelId="{FCA0D47D-A1EB-4907-BDB8-3B9EFD0E1AFA}" type="pres">
      <dgm:prSet presAssocID="{05581793-2CBF-4206-9F02-DE4BEB72886B}" presName="LevelTwoTextNode" presStyleLbl="node2" presStyleIdx="0" presStyleCnt="2">
        <dgm:presLayoutVars>
          <dgm:chPref val="3"/>
        </dgm:presLayoutVars>
      </dgm:prSet>
      <dgm:spPr>
        <a:prstGeom prst="roundRect">
          <a:avLst>
            <a:gd name="adj" fmla="val 10000"/>
          </a:avLst>
        </a:prstGeom>
      </dgm:spPr>
      <dgm:t>
        <a:bodyPr/>
        <a:lstStyle/>
        <a:p>
          <a:endParaRPr lang="en-IN"/>
        </a:p>
      </dgm:t>
    </dgm:pt>
    <dgm:pt modelId="{2DCC5ADA-14F8-418C-9EDE-CD7DFE30019C}" type="pres">
      <dgm:prSet presAssocID="{05581793-2CBF-4206-9F02-DE4BEB72886B}" presName="level3hierChild" presStyleCnt="0"/>
      <dgm:spPr/>
      <dgm:t>
        <a:bodyPr/>
        <a:lstStyle/>
        <a:p>
          <a:endParaRPr lang="en-IN"/>
        </a:p>
      </dgm:t>
    </dgm:pt>
    <dgm:pt modelId="{8D613D43-BEC4-40D5-85F6-3FC45E449673}" type="pres">
      <dgm:prSet presAssocID="{E3BBF788-A09F-4DD3-8874-9D28C83D8603}" presName="conn2-1" presStyleLbl="parChTrans1D3" presStyleIdx="0" presStyleCnt="6"/>
      <dgm:spPr>
        <a:custGeom>
          <a:avLst/>
          <a:gdLst/>
          <a:ahLst/>
          <a:cxnLst/>
          <a:rect l="0" t="0" r="0" b="0"/>
          <a:pathLst>
            <a:path>
              <a:moveTo>
                <a:pt x="0" y="11909"/>
              </a:moveTo>
              <a:lnTo>
                <a:pt x="593264" y="11909"/>
              </a:lnTo>
            </a:path>
          </a:pathLst>
        </a:custGeom>
      </dgm:spPr>
      <dgm:t>
        <a:bodyPr/>
        <a:lstStyle/>
        <a:p>
          <a:endParaRPr lang="en-IN"/>
        </a:p>
      </dgm:t>
    </dgm:pt>
    <dgm:pt modelId="{F7D7D2B2-35BA-4D30-A595-972E9448CA83}" type="pres">
      <dgm:prSet presAssocID="{E3BBF788-A09F-4DD3-8874-9D28C83D8603}" presName="connTx" presStyleLbl="parChTrans1D3" presStyleIdx="0" presStyleCnt="6"/>
      <dgm:spPr/>
      <dgm:t>
        <a:bodyPr/>
        <a:lstStyle/>
        <a:p>
          <a:endParaRPr lang="en-IN"/>
        </a:p>
      </dgm:t>
    </dgm:pt>
    <dgm:pt modelId="{E3F4890E-88E4-47D0-8127-196EED26AF18}" type="pres">
      <dgm:prSet presAssocID="{1C8D18A8-F9AB-42EE-9C03-3ED77E70B5EF}" presName="root2" presStyleCnt="0"/>
      <dgm:spPr/>
      <dgm:t>
        <a:bodyPr/>
        <a:lstStyle/>
        <a:p>
          <a:endParaRPr lang="en-IN"/>
        </a:p>
      </dgm:t>
    </dgm:pt>
    <dgm:pt modelId="{07B77B96-AC97-4F53-B708-186CB647C4DA}" type="pres">
      <dgm:prSet presAssocID="{1C8D18A8-F9AB-42EE-9C03-3ED77E70B5EF}" presName="LevelTwoTextNode" presStyleLbl="node3" presStyleIdx="0" presStyleCnt="6">
        <dgm:presLayoutVars>
          <dgm:chPref val="3"/>
        </dgm:presLayoutVars>
      </dgm:prSet>
      <dgm:spPr>
        <a:prstGeom prst="roundRect">
          <a:avLst>
            <a:gd name="adj" fmla="val 10000"/>
          </a:avLst>
        </a:prstGeom>
      </dgm:spPr>
      <dgm:t>
        <a:bodyPr/>
        <a:lstStyle/>
        <a:p>
          <a:endParaRPr lang="en-IN"/>
        </a:p>
      </dgm:t>
    </dgm:pt>
    <dgm:pt modelId="{873E9314-9F0F-4F5A-81C9-79EB36AD1E27}" type="pres">
      <dgm:prSet presAssocID="{1C8D18A8-F9AB-42EE-9C03-3ED77E70B5EF}" presName="level3hierChild" presStyleCnt="0"/>
      <dgm:spPr/>
      <dgm:t>
        <a:bodyPr/>
        <a:lstStyle/>
        <a:p>
          <a:endParaRPr lang="en-IN"/>
        </a:p>
      </dgm:t>
    </dgm:pt>
    <dgm:pt modelId="{657BD109-70D6-47D0-9F36-6BBC5292361F}" type="pres">
      <dgm:prSet presAssocID="{F9370CEE-DA11-49DE-B675-0BDAD8A1BE82}" presName="conn2-1" presStyleLbl="parChTrans1D3" presStyleIdx="1" presStyleCnt="6"/>
      <dgm:spPr>
        <a:custGeom>
          <a:avLst/>
          <a:gdLst/>
          <a:ahLst/>
          <a:cxnLst/>
          <a:rect l="0" t="0" r="0" b="0"/>
          <a:pathLst>
            <a:path>
              <a:moveTo>
                <a:pt x="0" y="11909"/>
              </a:moveTo>
              <a:lnTo>
                <a:pt x="338792" y="11909"/>
              </a:lnTo>
            </a:path>
          </a:pathLst>
        </a:custGeom>
      </dgm:spPr>
      <dgm:t>
        <a:bodyPr/>
        <a:lstStyle/>
        <a:p>
          <a:endParaRPr lang="en-IN"/>
        </a:p>
      </dgm:t>
    </dgm:pt>
    <dgm:pt modelId="{B72C47A5-8561-41AF-A9DE-9BF2BCCCDA69}" type="pres">
      <dgm:prSet presAssocID="{F9370CEE-DA11-49DE-B675-0BDAD8A1BE82}" presName="connTx" presStyleLbl="parChTrans1D3" presStyleIdx="1" presStyleCnt="6"/>
      <dgm:spPr/>
      <dgm:t>
        <a:bodyPr/>
        <a:lstStyle/>
        <a:p>
          <a:endParaRPr lang="en-IN"/>
        </a:p>
      </dgm:t>
    </dgm:pt>
    <dgm:pt modelId="{B37A87EE-3462-481F-A299-37760DC1B747}" type="pres">
      <dgm:prSet presAssocID="{0A9310DC-D5DF-4431-A5B6-F29C41AE314E}" presName="root2" presStyleCnt="0"/>
      <dgm:spPr/>
      <dgm:t>
        <a:bodyPr/>
        <a:lstStyle/>
        <a:p>
          <a:endParaRPr lang="en-IN"/>
        </a:p>
      </dgm:t>
    </dgm:pt>
    <dgm:pt modelId="{70C03BE8-7B0C-4224-9287-BF6F2A9AE515}" type="pres">
      <dgm:prSet presAssocID="{0A9310DC-D5DF-4431-A5B6-F29C41AE314E}" presName="LevelTwoTextNode" presStyleLbl="node3" presStyleIdx="1" presStyleCnt="6">
        <dgm:presLayoutVars>
          <dgm:chPref val="3"/>
        </dgm:presLayoutVars>
      </dgm:prSet>
      <dgm:spPr>
        <a:prstGeom prst="roundRect">
          <a:avLst>
            <a:gd name="adj" fmla="val 10000"/>
          </a:avLst>
        </a:prstGeom>
      </dgm:spPr>
      <dgm:t>
        <a:bodyPr/>
        <a:lstStyle/>
        <a:p>
          <a:endParaRPr lang="en-IN"/>
        </a:p>
      </dgm:t>
    </dgm:pt>
    <dgm:pt modelId="{37E66F2D-6C83-41A3-8D65-91FB2F093DEA}" type="pres">
      <dgm:prSet presAssocID="{0A9310DC-D5DF-4431-A5B6-F29C41AE314E}" presName="level3hierChild" presStyleCnt="0"/>
      <dgm:spPr/>
      <dgm:t>
        <a:bodyPr/>
        <a:lstStyle/>
        <a:p>
          <a:endParaRPr lang="en-IN"/>
        </a:p>
      </dgm:t>
    </dgm:pt>
    <dgm:pt modelId="{E45C244F-607E-4F3B-AFBA-4B82E1ECFBD6}" type="pres">
      <dgm:prSet presAssocID="{B516E5ED-415B-48EF-8610-39312C8740D2}" presName="conn2-1" presStyleLbl="parChTrans1D3" presStyleIdx="2" presStyleCnt="6"/>
      <dgm:spPr>
        <a:custGeom>
          <a:avLst/>
          <a:gdLst/>
          <a:ahLst/>
          <a:cxnLst/>
          <a:rect l="0" t="0" r="0" b="0"/>
          <a:pathLst>
            <a:path>
              <a:moveTo>
                <a:pt x="0" y="11909"/>
              </a:moveTo>
              <a:lnTo>
                <a:pt x="593264" y="11909"/>
              </a:lnTo>
            </a:path>
          </a:pathLst>
        </a:custGeom>
      </dgm:spPr>
      <dgm:t>
        <a:bodyPr/>
        <a:lstStyle/>
        <a:p>
          <a:endParaRPr lang="en-IN"/>
        </a:p>
      </dgm:t>
    </dgm:pt>
    <dgm:pt modelId="{E0D3B689-7F57-4999-8211-8AF0394904AF}" type="pres">
      <dgm:prSet presAssocID="{B516E5ED-415B-48EF-8610-39312C8740D2}" presName="connTx" presStyleLbl="parChTrans1D3" presStyleIdx="2" presStyleCnt="6"/>
      <dgm:spPr/>
      <dgm:t>
        <a:bodyPr/>
        <a:lstStyle/>
        <a:p>
          <a:endParaRPr lang="en-IN"/>
        </a:p>
      </dgm:t>
    </dgm:pt>
    <dgm:pt modelId="{2ADB3F2B-1722-456F-903A-91F0DB130A5C}" type="pres">
      <dgm:prSet presAssocID="{4F429FBC-D305-467C-A426-774D45DCAE29}" presName="root2" presStyleCnt="0"/>
      <dgm:spPr/>
      <dgm:t>
        <a:bodyPr/>
        <a:lstStyle/>
        <a:p>
          <a:endParaRPr lang="en-IN"/>
        </a:p>
      </dgm:t>
    </dgm:pt>
    <dgm:pt modelId="{FE7D1ECD-3807-4487-A307-EBE96FE83C0F}" type="pres">
      <dgm:prSet presAssocID="{4F429FBC-D305-467C-A426-774D45DCAE29}" presName="LevelTwoTextNode" presStyleLbl="node3" presStyleIdx="2" presStyleCnt="6">
        <dgm:presLayoutVars>
          <dgm:chPref val="3"/>
        </dgm:presLayoutVars>
      </dgm:prSet>
      <dgm:spPr>
        <a:prstGeom prst="roundRect">
          <a:avLst>
            <a:gd name="adj" fmla="val 10000"/>
          </a:avLst>
        </a:prstGeom>
      </dgm:spPr>
      <dgm:t>
        <a:bodyPr/>
        <a:lstStyle/>
        <a:p>
          <a:endParaRPr lang="en-IN"/>
        </a:p>
      </dgm:t>
    </dgm:pt>
    <dgm:pt modelId="{4F5B7318-421B-457C-BA24-8E49CD1D5B7E}" type="pres">
      <dgm:prSet presAssocID="{4F429FBC-D305-467C-A426-774D45DCAE29}" presName="level3hierChild" presStyleCnt="0"/>
      <dgm:spPr/>
      <dgm:t>
        <a:bodyPr/>
        <a:lstStyle/>
        <a:p>
          <a:endParaRPr lang="en-IN"/>
        </a:p>
      </dgm:t>
    </dgm:pt>
    <dgm:pt modelId="{BE808562-C259-4574-AE6B-F0EE5A3944DD}" type="pres">
      <dgm:prSet presAssocID="{A5350A45-5586-4459-99F4-2C0852083274}" presName="conn2-1" presStyleLbl="parChTrans1D2" presStyleIdx="1" presStyleCnt="2"/>
      <dgm:spPr>
        <a:custGeom>
          <a:avLst/>
          <a:gdLst/>
          <a:ahLst/>
          <a:cxnLst/>
          <a:rect l="0" t="0" r="0" b="0"/>
          <a:pathLst>
            <a:path>
              <a:moveTo>
                <a:pt x="0" y="11909"/>
              </a:moveTo>
              <a:lnTo>
                <a:pt x="805258" y="11909"/>
              </a:lnTo>
            </a:path>
          </a:pathLst>
        </a:custGeom>
      </dgm:spPr>
      <dgm:t>
        <a:bodyPr/>
        <a:lstStyle/>
        <a:p>
          <a:endParaRPr lang="en-IN"/>
        </a:p>
      </dgm:t>
    </dgm:pt>
    <dgm:pt modelId="{F6E457B0-2BF0-41AE-AD32-4CD3F46C632F}" type="pres">
      <dgm:prSet presAssocID="{A5350A45-5586-4459-99F4-2C0852083274}" presName="connTx" presStyleLbl="parChTrans1D2" presStyleIdx="1" presStyleCnt="2"/>
      <dgm:spPr/>
      <dgm:t>
        <a:bodyPr/>
        <a:lstStyle/>
        <a:p>
          <a:endParaRPr lang="en-IN"/>
        </a:p>
      </dgm:t>
    </dgm:pt>
    <dgm:pt modelId="{59506679-FB78-4D4C-A3D6-E9BC307E683D}" type="pres">
      <dgm:prSet presAssocID="{49339155-259A-46AF-87E0-9461F4268D0E}" presName="root2" presStyleCnt="0"/>
      <dgm:spPr/>
      <dgm:t>
        <a:bodyPr/>
        <a:lstStyle/>
        <a:p>
          <a:endParaRPr lang="en-IN"/>
        </a:p>
      </dgm:t>
    </dgm:pt>
    <dgm:pt modelId="{0B054985-5EF8-4940-B03F-15DCFD85FE97}" type="pres">
      <dgm:prSet presAssocID="{49339155-259A-46AF-87E0-9461F4268D0E}" presName="LevelTwoTextNode" presStyleLbl="node2" presStyleIdx="1" presStyleCnt="2">
        <dgm:presLayoutVars>
          <dgm:chPref val="3"/>
        </dgm:presLayoutVars>
      </dgm:prSet>
      <dgm:spPr>
        <a:prstGeom prst="roundRect">
          <a:avLst>
            <a:gd name="adj" fmla="val 10000"/>
          </a:avLst>
        </a:prstGeom>
      </dgm:spPr>
      <dgm:t>
        <a:bodyPr/>
        <a:lstStyle/>
        <a:p>
          <a:endParaRPr lang="en-IN"/>
        </a:p>
      </dgm:t>
    </dgm:pt>
    <dgm:pt modelId="{725E0E45-D5DC-4A00-A7D0-BCD96AD4969E}" type="pres">
      <dgm:prSet presAssocID="{49339155-259A-46AF-87E0-9461F4268D0E}" presName="level3hierChild" presStyleCnt="0"/>
      <dgm:spPr/>
      <dgm:t>
        <a:bodyPr/>
        <a:lstStyle/>
        <a:p>
          <a:endParaRPr lang="en-IN"/>
        </a:p>
      </dgm:t>
    </dgm:pt>
    <dgm:pt modelId="{626D6281-A026-4CBE-BC63-2BCB00187566}" type="pres">
      <dgm:prSet presAssocID="{95045534-F088-4C52-97D8-713E8B8747EC}" presName="conn2-1" presStyleLbl="parChTrans1D3" presStyleIdx="3" presStyleCnt="6"/>
      <dgm:spPr>
        <a:custGeom>
          <a:avLst/>
          <a:gdLst/>
          <a:ahLst/>
          <a:cxnLst/>
          <a:rect l="0" t="0" r="0" b="0"/>
          <a:pathLst>
            <a:path>
              <a:moveTo>
                <a:pt x="0" y="11909"/>
              </a:moveTo>
              <a:lnTo>
                <a:pt x="593264" y="11909"/>
              </a:lnTo>
            </a:path>
          </a:pathLst>
        </a:custGeom>
      </dgm:spPr>
      <dgm:t>
        <a:bodyPr/>
        <a:lstStyle/>
        <a:p>
          <a:endParaRPr lang="en-IN"/>
        </a:p>
      </dgm:t>
    </dgm:pt>
    <dgm:pt modelId="{AD75B95D-C87F-4053-99CA-B7516ACE52DA}" type="pres">
      <dgm:prSet presAssocID="{95045534-F088-4C52-97D8-713E8B8747EC}" presName="connTx" presStyleLbl="parChTrans1D3" presStyleIdx="3" presStyleCnt="6"/>
      <dgm:spPr/>
      <dgm:t>
        <a:bodyPr/>
        <a:lstStyle/>
        <a:p>
          <a:endParaRPr lang="en-IN"/>
        </a:p>
      </dgm:t>
    </dgm:pt>
    <dgm:pt modelId="{E74730B6-2706-461A-A6EB-D37AF430D548}" type="pres">
      <dgm:prSet presAssocID="{1E9BC0F6-3B69-4EC7-AC96-87AC89DAF826}" presName="root2" presStyleCnt="0"/>
      <dgm:spPr/>
      <dgm:t>
        <a:bodyPr/>
        <a:lstStyle/>
        <a:p>
          <a:endParaRPr lang="en-IN"/>
        </a:p>
      </dgm:t>
    </dgm:pt>
    <dgm:pt modelId="{0388AD74-3049-4E4E-B84A-CA778E9A5D44}" type="pres">
      <dgm:prSet presAssocID="{1E9BC0F6-3B69-4EC7-AC96-87AC89DAF826}" presName="LevelTwoTextNode" presStyleLbl="node3" presStyleIdx="3" presStyleCnt="6">
        <dgm:presLayoutVars>
          <dgm:chPref val="3"/>
        </dgm:presLayoutVars>
      </dgm:prSet>
      <dgm:spPr>
        <a:prstGeom prst="roundRect">
          <a:avLst>
            <a:gd name="adj" fmla="val 10000"/>
          </a:avLst>
        </a:prstGeom>
      </dgm:spPr>
      <dgm:t>
        <a:bodyPr/>
        <a:lstStyle/>
        <a:p>
          <a:endParaRPr lang="en-IN"/>
        </a:p>
      </dgm:t>
    </dgm:pt>
    <dgm:pt modelId="{1D155092-72EE-4795-851B-75D28303B7F3}" type="pres">
      <dgm:prSet presAssocID="{1E9BC0F6-3B69-4EC7-AC96-87AC89DAF826}" presName="level3hierChild" presStyleCnt="0"/>
      <dgm:spPr/>
      <dgm:t>
        <a:bodyPr/>
        <a:lstStyle/>
        <a:p>
          <a:endParaRPr lang="en-IN"/>
        </a:p>
      </dgm:t>
    </dgm:pt>
    <dgm:pt modelId="{1B094D5B-A018-4233-A76A-B44894FE39A5}" type="pres">
      <dgm:prSet presAssocID="{DF143F31-6E66-49B7-BF66-F5522E33F04B}" presName="conn2-1" presStyleLbl="parChTrans1D3" presStyleIdx="4" presStyleCnt="6"/>
      <dgm:spPr>
        <a:custGeom>
          <a:avLst/>
          <a:gdLst/>
          <a:ahLst/>
          <a:cxnLst/>
          <a:rect l="0" t="0" r="0" b="0"/>
          <a:pathLst>
            <a:path>
              <a:moveTo>
                <a:pt x="0" y="11909"/>
              </a:moveTo>
              <a:lnTo>
                <a:pt x="338792" y="11909"/>
              </a:lnTo>
            </a:path>
          </a:pathLst>
        </a:custGeom>
      </dgm:spPr>
      <dgm:t>
        <a:bodyPr/>
        <a:lstStyle/>
        <a:p>
          <a:endParaRPr lang="en-IN"/>
        </a:p>
      </dgm:t>
    </dgm:pt>
    <dgm:pt modelId="{3B64F330-BDC9-4BA0-8EE9-2B9E068831AE}" type="pres">
      <dgm:prSet presAssocID="{DF143F31-6E66-49B7-BF66-F5522E33F04B}" presName="connTx" presStyleLbl="parChTrans1D3" presStyleIdx="4" presStyleCnt="6"/>
      <dgm:spPr/>
      <dgm:t>
        <a:bodyPr/>
        <a:lstStyle/>
        <a:p>
          <a:endParaRPr lang="en-IN"/>
        </a:p>
      </dgm:t>
    </dgm:pt>
    <dgm:pt modelId="{5535EAEE-E908-4107-9886-CFD05928E276}" type="pres">
      <dgm:prSet presAssocID="{B855F1D0-0C64-41EA-9E2D-D54308D1ADCC}" presName="root2" presStyleCnt="0"/>
      <dgm:spPr/>
      <dgm:t>
        <a:bodyPr/>
        <a:lstStyle/>
        <a:p>
          <a:endParaRPr lang="en-IN"/>
        </a:p>
      </dgm:t>
    </dgm:pt>
    <dgm:pt modelId="{9314F52D-E648-44F9-B8AD-85AF1520A703}" type="pres">
      <dgm:prSet presAssocID="{B855F1D0-0C64-41EA-9E2D-D54308D1ADCC}" presName="LevelTwoTextNode" presStyleLbl="node3" presStyleIdx="4" presStyleCnt="6">
        <dgm:presLayoutVars>
          <dgm:chPref val="3"/>
        </dgm:presLayoutVars>
      </dgm:prSet>
      <dgm:spPr>
        <a:prstGeom prst="roundRect">
          <a:avLst>
            <a:gd name="adj" fmla="val 10000"/>
          </a:avLst>
        </a:prstGeom>
      </dgm:spPr>
      <dgm:t>
        <a:bodyPr/>
        <a:lstStyle/>
        <a:p>
          <a:endParaRPr lang="en-IN"/>
        </a:p>
      </dgm:t>
    </dgm:pt>
    <dgm:pt modelId="{4924EA30-388D-4EBB-A9BA-226C526FDD25}" type="pres">
      <dgm:prSet presAssocID="{B855F1D0-0C64-41EA-9E2D-D54308D1ADCC}" presName="level3hierChild" presStyleCnt="0"/>
      <dgm:spPr/>
      <dgm:t>
        <a:bodyPr/>
        <a:lstStyle/>
        <a:p>
          <a:endParaRPr lang="en-IN"/>
        </a:p>
      </dgm:t>
    </dgm:pt>
    <dgm:pt modelId="{94989B68-5E2E-44E8-B749-CB007D54744C}" type="pres">
      <dgm:prSet presAssocID="{46B5A2AF-FE8F-4A4B-BEFD-5039D48781D3}" presName="conn2-1" presStyleLbl="parChTrans1D3" presStyleIdx="5" presStyleCnt="6"/>
      <dgm:spPr>
        <a:custGeom>
          <a:avLst/>
          <a:gdLst/>
          <a:ahLst/>
          <a:cxnLst/>
          <a:rect l="0" t="0" r="0" b="0"/>
          <a:pathLst>
            <a:path>
              <a:moveTo>
                <a:pt x="0" y="11909"/>
              </a:moveTo>
              <a:lnTo>
                <a:pt x="593264" y="11909"/>
              </a:lnTo>
            </a:path>
          </a:pathLst>
        </a:custGeom>
      </dgm:spPr>
      <dgm:t>
        <a:bodyPr/>
        <a:lstStyle/>
        <a:p>
          <a:endParaRPr lang="en-IN"/>
        </a:p>
      </dgm:t>
    </dgm:pt>
    <dgm:pt modelId="{5C74E338-2CD5-4F98-BCC3-C8E47448C824}" type="pres">
      <dgm:prSet presAssocID="{46B5A2AF-FE8F-4A4B-BEFD-5039D48781D3}" presName="connTx" presStyleLbl="parChTrans1D3" presStyleIdx="5" presStyleCnt="6"/>
      <dgm:spPr/>
      <dgm:t>
        <a:bodyPr/>
        <a:lstStyle/>
        <a:p>
          <a:endParaRPr lang="en-IN"/>
        </a:p>
      </dgm:t>
    </dgm:pt>
    <dgm:pt modelId="{6C3D909C-E652-49A7-AEF8-C0F7B0881A41}" type="pres">
      <dgm:prSet presAssocID="{1316260C-C075-4580-B213-6142AE586056}" presName="root2" presStyleCnt="0"/>
      <dgm:spPr/>
      <dgm:t>
        <a:bodyPr/>
        <a:lstStyle/>
        <a:p>
          <a:endParaRPr lang="en-IN"/>
        </a:p>
      </dgm:t>
    </dgm:pt>
    <dgm:pt modelId="{EEB868B2-B60A-418B-8355-460F016BADFB}" type="pres">
      <dgm:prSet presAssocID="{1316260C-C075-4580-B213-6142AE586056}" presName="LevelTwoTextNode" presStyleLbl="node3" presStyleIdx="5" presStyleCnt="6">
        <dgm:presLayoutVars>
          <dgm:chPref val="3"/>
        </dgm:presLayoutVars>
      </dgm:prSet>
      <dgm:spPr>
        <a:prstGeom prst="roundRect">
          <a:avLst>
            <a:gd name="adj" fmla="val 10000"/>
          </a:avLst>
        </a:prstGeom>
      </dgm:spPr>
      <dgm:t>
        <a:bodyPr/>
        <a:lstStyle/>
        <a:p>
          <a:endParaRPr lang="en-IN"/>
        </a:p>
      </dgm:t>
    </dgm:pt>
    <dgm:pt modelId="{7B5F73BD-1FBB-4288-9DA8-C6A80E97C06A}" type="pres">
      <dgm:prSet presAssocID="{1316260C-C075-4580-B213-6142AE586056}" presName="level3hierChild" presStyleCnt="0"/>
      <dgm:spPr/>
      <dgm:t>
        <a:bodyPr/>
        <a:lstStyle/>
        <a:p>
          <a:endParaRPr lang="en-IN"/>
        </a:p>
      </dgm:t>
    </dgm:pt>
  </dgm:ptLst>
  <dgm:cxnLst>
    <dgm:cxn modelId="{7495A1B6-B252-4D08-8338-7D5EC91DAF8F}" type="presOf" srcId="{46B5A2AF-FE8F-4A4B-BEFD-5039D48781D3}" destId="{94989B68-5E2E-44E8-B749-CB007D54744C}" srcOrd="0" destOrd="0" presId="urn:microsoft.com/office/officeart/2005/8/layout/hierarchy2"/>
    <dgm:cxn modelId="{06C494EC-DF5E-4412-A136-BE398F826FC9}" type="presOf" srcId="{DF143F31-6E66-49B7-BF66-F5522E33F04B}" destId="{1B094D5B-A018-4233-A76A-B44894FE39A5}" srcOrd="0" destOrd="0" presId="urn:microsoft.com/office/officeart/2005/8/layout/hierarchy2"/>
    <dgm:cxn modelId="{1A8856A1-3EEE-4C5E-A0E1-8CB28359852B}" srcId="{9D3A0631-F1D7-4217-B7B8-7695A12C49B9}" destId="{49339155-259A-46AF-87E0-9461F4268D0E}" srcOrd="1" destOrd="0" parTransId="{A5350A45-5586-4459-99F4-2C0852083274}" sibTransId="{9978DAE9-3446-4F4A-A107-48EDA968A8FB}"/>
    <dgm:cxn modelId="{E6E611E0-B633-4FF4-BD7E-87E5460A742B}" type="presOf" srcId="{C96AC4BA-5162-4483-8E3D-9BA27BA7610E}" destId="{D0A310F8-2CF2-409E-9833-9B64D97CCE66}" srcOrd="0" destOrd="0" presId="urn:microsoft.com/office/officeart/2005/8/layout/hierarchy2"/>
    <dgm:cxn modelId="{B664D3CA-247B-4E54-8DCB-1D9701E39489}" srcId="{49339155-259A-46AF-87E0-9461F4268D0E}" destId="{1316260C-C075-4580-B213-6142AE586056}" srcOrd="2" destOrd="0" parTransId="{46B5A2AF-FE8F-4A4B-BEFD-5039D48781D3}" sibTransId="{241DD604-23DF-4AF6-B01A-30D0C58E9A73}"/>
    <dgm:cxn modelId="{4F93BBC4-A23F-4BC3-95DB-4B095E0BA082}" type="presOf" srcId="{E3BBF788-A09F-4DD3-8874-9D28C83D8603}" destId="{F7D7D2B2-35BA-4D30-A595-972E9448CA83}" srcOrd="1" destOrd="0" presId="urn:microsoft.com/office/officeart/2005/8/layout/hierarchy2"/>
    <dgm:cxn modelId="{0AF9AB65-4D2D-457D-8DAC-08081AF1702A}" type="presOf" srcId="{B516E5ED-415B-48EF-8610-39312C8740D2}" destId="{E0D3B689-7F57-4999-8211-8AF0394904AF}" srcOrd="1" destOrd="0" presId="urn:microsoft.com/office/officeart/2005/8/layout/hierarchy2"/>
    <dgm:cxn modelId="{74C7FF50-CF57-4949-8C01-1BF98B8CA3E2}" type="presOf" srcId="{F9370CEE-DA11-49DE-B675-0BDAD8A1BE82}" destId="{B72C47A5-8561-41AF-A9DE-9BF2BCCCDA69}" srcOrd="1" destOrd="0" presId="urn:microsoft.com/office/officeart/2005/8/layout/hierarchy2"/>
    <dgm:cxn modelId="{924C7740-D90C-4A64-8664-B68106B424CA}" type="presOf" srcId="{9F72C0DA-B0F3-4643-BF82-A8479B73421C}" destId="{10647E35-19CA-4ACC-9313-2FA98F6A3009}" srcOrd="1" destOrd="0" presId="urn:microsoft.com/office/officeart/2005/8/layout/hierarchy2"/>
    <dgm:cxn modelId="{D239F507-536F-4FD4-BC51-8D42EC4221B5}" type="presOf" srcId="{1E9BC0F6-3B69-4EC7-AC96-87AC89DAF826}" destId="{0388AD74-3049-4E4E-B84A-CA778E9A5D44}" srcOrd="0" destOrd="0" presId="urn:microsoft.com/office/officeart/2005/8/layout/hierarchy2"/>
    <dgm:cxn modelId="{639424A5-D21F-4C5E-91AB-6EEBE94F7E98}" type="presOf" srcId="{A5350A45-5586-4459-99F4-2C0852083274}" destId="{F6E457B0-2BF0-41AE-AD32-4CD3F46C632F}" srcOrd="1" destOrd="0" presId="urn:microsoft.com/office/officeart/2005/8/layout/hierarchy2"/>
    <dgm:cxn modelId="{A3F57237-8456-4937-916B-5048DF454A41}" type="presOf" srcId="{9F72C0DA-B0F3-4643-BF82-A8479B73421C}" destId="{F8560773-3475-43A9-B1CF-7B4EA99108AA}" srcOrd="0" destOrd="0" presId="urn:microsoft.com/office/officeart/2005/8/layout/hierarchy2"/>
    <dgm:cxn modelId="{038F82AE-648F-4577-ABC8-386ACBD390C9}" type="presOf" srcId="{1316260C-C075-4580-B213-6142AE586056}" destId="{EEB868B2-B60A-418B-8355-460F016BADFB}" srcOrd="0" destOrd="0" presId="urn:microsoft.com/office/officeart/2005/8/layout/hierarchy2"/>
    <dgm:cxn modelId="{755CB034-155C-4370-8E3A-DEC592FB8BFC}" type="presOf" srcId="{05581793-2CBF-4206-9F02-DE4BEB72886B}" destId="{FCA0D47D-A1EB-4907-BDB8-3B9EFD0E1AFA}" srcOrd="0" destOrd="0" presId="urn:microsoft.com/office/officeart/2005/8/layout/hierarchy2"/>
    <dgm:cxn modelId="{1ABBF548-1FAB-4FE1-9F74-29455251C972}" type="presOf" srcId="{E3BBF788-A09F-4DD3-8874-9D28C83D8603}" destId="{8D613D43-BEC4-40D5-85F6-3FC45E449673}" srcOrd="0" destOrd="0" presId="urn:microsoft.com/office/officeart/2005/8/layout/hierarchy2"/>
    <dgm:cxn modelId="{F2B03EE9-6F69-4860-BAC0-66E6D6B32FDC}" srcId="{05581793-2CBF-4206-9F02-DE4BEB72886B}" destId="{4F429FBC-D305-467C-A426-774D45DCAE29}" srcOrd="2" destOrd="0" parTransId="{B516E5ED-415B-48EF-8610-39312C8740D2}" sibTransId="{E0A02871-E972-4115-BC23-9A4B304946ED}"/>
    <dgm:cxn modelId="{1DD0115F-A69D-4460-BBC0-8309D163D61C}" type="presOf" srcId="{1C8D18A8-F9AB-42EE-9C03-3ED77E70B5EF}" destId="{07B77B96-AC97-4F53-B708-186CB647C4DA}" srcOrd="0" destOrd="0" presId="urn:microsoft.com/office/officeart/2005/8/layout/hierarchy2"/>
    <dgm:cxn modelId="{CF4414A6-F410-44CD-ABFD-33DEA08EE444}" type="presOf" srcId="{DF143F31-6E66-49B7-BF66-F5522E33F04B}" destId="{3B64F330-BDC9-4BA0-8EE9-2B9E068831AE}" srcOrd="1" destOrd="0" presId="urn:microsoft.com/office/officeart/2005/8/layout/hierarchy2"/>
    <dgm:cxn modelId="{E6CC7422-B4C9-4E07-8F31-87F6C10981B9}" type="presOf" srcId="{0A9310DC-D5DF-4431-A5B6-F29C41AE314E}" destId="{70C03BE8-7B0C-4224-9287-BF6F2A9AE515}" srcOrd="0" destOrd="0" presId="urn:microsoft.com/office/officeart/2005/8/layout/hierarchy2"/>
    <dgm:cxn modelId="{A9DEAD93-BFDA-4DFD-94B1-356AD07A29A2}" srcId="{C96AC4BA-5162-4483-8E3D-9BA27BA7610E}" destId="{9D3A0631-F1D7-4217-B7B8-7695A12C49B9}" srcOrd="0" destOrd="0" parTransId="{8069859D-F961-4C7C-968E-865E1C6B1CD1}" sibTransId="{3E5ED18D-6074-44A8-8C42-6C021921CADA}"/>
    <dgm:cxn modelId="{59A33647-1F76-4EB5-874E-4AD149BDCE5A}" type="presOf" srcId="{4F429FBC-D305-467C-A426-774D45DCAE29}" destId="{FE7D1ECD-3807-4487-A307-EBE96FE83C0F}" srcOrd="0" destOrd="0" presId="urn:microsoft.com/office/officeart/2005/8/layout/hierarchy2"/>
    <dgm:cxn modelId="{7769E0C2-29C0-4FD4-931A-85C8E57A8919}" srcId="{49339155-259A-46AF-87E0-9461F4268D0E}" destId="{1E9BC0F6-3B69-4EC7-AC96-87AC89DAF826}" srcOrd="0" destOrd="0" parTransId="{95045534-F088-4C52-97D8-713E8B8747EC}" sibTransId="{197E05AE-C3B1-427F-9E20-A0AC18108505}"/>
    <dgm:cxn modelId="{4D561501-D2C8-4D34-B920-A8D79D7D88B2}" srcId="{9D3A0631-F1D7-4217-B7B8-7695A12C49B9}" destId="{05581793-2CBF-4206-9F02-DE4BEB72886B}" srcOrd="0" destOrd="0" parTransId="{9F72C0DA-B0F3-4643-BF82-A8479B73421C}" sibTransId="{677F3EE2-F6E0-4D52-9429-32EEABE1747B}"/>
    <dgm:cxn modelId="{7B3EC472-4C39-4AB5-B329-839D2D293A0D}" srcId="{05581793-2CBF-4206-9F02-DE4BEB72886B}" destId="{1C8D18A8-F9AB-42EE-9C03-3ED77E70B5EF}" srcOrd="0" destOrd="0" parTransId="{E3BBF788-A09F-4DD3-8874-9D28C83D8603}" sibTransId="{E8A2D0A9-2C80-4A34-B29F-B5448D063A3D}"/>
    <dgm:cxn modelId="{3A417B6D-A8D4-4FAA-8130-E99A181A24D9}" type="presOf" srcId="{A5350A45-5586-4459-99F4-2C0852083274}" destId="{BE808562-C259-4574-AE6B-F0EE5A3944DD}" srcOrd="0" destOrd="0" presId="urn:microsoft.com/office/officeart/2005/8/layout/hierarchy2"/>
    <dgm:cxn modelId="{4BC5CCE0-F930-48C2-BBE0-043C80FB28F1}" type="presOf" srcId="{B516E5ED-415B-48EF-8610-39312C8740D2}" destId="{E45C244F-607E-4F3B-AFBA-4B82E1ECFBD6}" srcOrd="0" destOrd="0" presId="urn:microsoft.com/office/officeart/2005/8/layout/hierarchy2"/>
    <dgm:cxn modelId="{4FCF6BB2-D570-41A4-871F-78639B472F2F}" type="presOf" srcId="{B855F1D0-0C64-41EA-9E2D-D54308D1ADCC}" destId="{9314F52D-E648-44F9-B8AD-85AF1520A703}" srcOrd="0" destOrd="0" presId="urn:microsoft.com/office/officeart/2005/8/layout/hierarchy2"/>
    <dgm:cxn modelId="{64F9B901-236A-40A4-B9F5-6B8FCAE0DD72}" type="presOf" srcId="{F9370CEE-DA11-49DE-B675-0BDAD8A1BE82}" destId="{657BD109-70D6-47D0-9F36-6BBC5292361F}" srcOrd="0" destOrd="0" presId="urn:microsoft.com/office/officeart/2005/8/layout/hierarchy2"/>
    <dgm:cxn modelId="{C4FE650E-4B30-4D80-B14C-437DBDB6E0D7}" srcId="{05581793-2CBF-4206-9F02-DE4BEB72886B}" destId="{0A9310DC-D5DF-4431-A5B6-F29C41AE314E}" srcOrd="1" destOrd="0" parTransId="{F9370CEE-DA11-49DE-B675-0BDAD8A1BE82}" sibTransId="{88907AEA-7018-465A-80A8-739DC1E7D688}"/>
    <dgm:cxn modelId="{98DDF912-385B-45EA-BEB7-7F762E9F2AF7}" type="presOf" srcId="{95045534-F088-4C52-97D8-713E8B8747EC}" destId="{626D6281-A026-4CBE-BC63-2BCB00187566}" srcOrd="0" destOrd="0" presId="urn:microsoft.com/office/officeart/2005/8/layout/hierarchy2"/>
    <dgm:cxn modelId="{9488A6C1-4155-40A9-8B4B-27F7EA4D09A8}" type="presOf" srcId="{95045534-F088-4C52-97D8-713E8B8747EC}" destId="{AD75B95D-C87F-4053-99CA-B7516ACE52DA}" srcOrd="1" destOrd="0" presId="urn:microsoft.com/office/officeart/2005/8/layout/hierarchy2"/>
    <dgm:cxn modelId="{BB0AFF0B-B208-4320-A2BB-F13E4CCB0789}" type="presOf" srcId="{46B5A2AF-FE8F-4A4B-BEFD-5039D48781D3}" destId="{5C74E338-2CD5-4F98-BCC3-C8E47448C824}" srcOrd="1" destOrd="0" presId="urn:microsoft.com/office/officeart/2005/8/layout/hierarchy2"/>
    <dgm:cxn modelId="{625F7E06-DE8F-442D-96C3-93AD3ACEF173}" srcId="{49339155-259A-46AF-87E0-9461F4268D0E}" destId="{B855F1D0-0C64-41EA-9E2D-D54308D1ADCC}" srcOrd="1" destOrd="0" parTransId="{DF143F31-6E66-49B7-BF66-F5522E33F04B}" sibTransId="{1B2F2661-79B4-4E33-8D0A-C754C8F7B27D}"/>
    <dgm:cxn modelId="{BD43C815-82C6-4EB3-B19D-2FC6F307150A}" type="presOf" srcId="{49339155-259A-46AF-87E0-9461F4268D0E}" destId="{0B054985-5EF8-4940-B03F-15DCFD85FE97}" srcOrd="0" destOrd="0" presId="urn:microsoft.com/office/officeart/2005/8/layout/hierarchy2"/>
    <dgm:cxn modelId="{87C02117-A78F-4E34-83BB-A83F3AB03499}" type="presOf" srcId="{9D3A0631-F1D7-4217-B7B8-7695A12C49B9}" destId="{D6829CF3-BA0F-4506-826E-8E5098050B02}" srcOrd="0" destOrd="0" presId="urn:microsoft.com/office/officeart/2005/8/layout/hierarchy2"/>
    <dgm:cxn modelId="{9914A216-7A76-43F1-AFFD-C24B011FA9BD}" type="presParOf" srcId="{D0A310F8-2CF2-409E-9833-9B64D97CCE66}" destId="{8EE96D32-AF8C-4744-B387-41347F251D70}" srcOrd="0" destOrd="0" presId="urn:microsoft.com/office/officeart/2005/8/layout/hierarchy2"/>
    <dgm:cxn modelId="{866F59FC-FD53-45F5-9273-658AFDB589E0}" type="presParOf" srcId="{8EE96D32-AF8C-4744-B387-41347F251D70}" destId="{D6829CF3-BA0F-4506-826E-8E5098050B02}" srcOrd="0" destOrd="0" presId="urn:microsoft.com/office/officeart/2005/8/layout/hierarchy2"/>
    <dgm:cxn modelId="{B3C7C826-BEF6-40BC-A9B6-2247367644CB}" type="presParOf" srcId="{8EE96D32-AF8C-4744-B387-41347F251D70}" destId="{8CFCC6F4-CABE-495C-964A-003574697F86}" srcOrd="1" destOrd="0" presId="urn:microsoft.com/office/officeart/2005/8/layout/hierarchy2"/>
    <dgm:cxn modelId="{AAAC6842-85BE-472B-AA9D-94F484B98DBC}" type="presParOf" srcId="{8CFCC6F4-CABE-495C-964A-003574697F86}" destId="{F8560773-3475-43A9-B1CF-7B4EA99108AA}" srcOrd="0" destOrd="0" presId="urn:microsoft.com/office/officeart/2005/8/layout/hierarchy2"/>
    <dgm:cxn modelId="{85235EDF-CE70-40DF-8CE9-27794435EDCE}" type="presParOf" srcId="{F8560773-3475-43A9-B1CF-7B4EA99108AA}" destId="{10647E35-19CA-4ACC-9313-2FA98F6A3009}" srcOrd="0" destOrd="0" presId="urn:microsoft.com/office/officeart/2005/8/layout/hierarchy2"/>
    <dgm:cxn modelId="{85F2E12D-8B91-4E2C-9D40-F8277C3030FE}" type="presParOf" srcId="{8CFCC6F4-CABE-495C-964A-003574697F86}" destId="{D375B8F0-815A-4238-AD8B-EA69AD8AD528}" srcOrd="1" destOrd="0" presId="urn:microsoft.com/office/officeart/2005/8/layout/hierarchy2"/>
    <dgm:cxn modelId="{1AF2D7C9-1181-4A9A-83C0-A1485348A894}" type="presParOf" srcId="{D375B8F0-815A-4238-AD8B-EA69AD8AD528}" destId="{FCA0D47D-A1EB-4907-BDB8-3B9EFD0E1AFA}" srcOrd="0" destOrd="0" presId="urn:microsoft.com/office/officeart/2005/8/layout/hierarchy2"/>
    <dgm:cxn modelId="{881FE792-92AF-48FA-B667-FB0979CB4A3F}" type="presParOf" srcId="{D375B8F0-815A-4238-AD8B-EA69AD8AD528}" destId="{2DCC5ADA-14F8-418C-9EDE-CD7DFE30019C}" srcOrd="1" destOrd="0" presId="urn:microsoft.com/office/officeart/2005/8/layout/hierarchy2"/>
    <dgm:cxn modelId="{19A5FD14-537F-4922-9381-D9DEBC6796A6}" type="presParOf" srcId="{2DCC5ADA-14F8-418C-9EDE-CD7DFE30019C}" destId="{8D613D43-BEC4-40D5-85F6-3FC45E449673}" srcOrd="0" destOrd="0" presId="urn:microsoft.com/office/officeart/2005/8/layout/hierarchy2"/>
    <dgm:cxn modelId="{B6FED8B7-A7EF-479A-8CAD-5ECA67C70D4C}" type="presParOf" srcId="{8D613D43-BEC4-40D5-85F6-3FC45E449673}" destId="{F7D7D2B2-35BA-4D30-A595-972E9448CA83}" srcOrd="0" destOrd="0" presId="urn:microsoft.com/office/officeart/2005/8/layout/hierarchy2"/>
    <dgm:cxn modelId="{9C98876D-982D-4D50-ACEF-CBB4C78D8176}" type="presParOf" srcId="{2DCC5ADA-14F8-418C-9EDE-CD7DFE30019C}" destId="{E3F4890E-88E4-47D0-8127-196EED26AF18}" srcOrd="1" destOrd="0" presId="urn:microsoft.com/office/officeart/2005/8/layout/hierarchy2"/>
    <dgm:cxn modelId="{82317521-95E3-4687-BFE7-7CB425127ADB}" type="presParOf" srcId="{E3F4890E-88E4-47D0-8127-196EED26AF18}" destId="{07B77B96-AC97-4F53-B708-186CB647C4DA}" srcOrd="0" destOrd="0" presId="urn:microsoft.com/office/officeart/2005/8/layout/hierarchy2"/>
    <dgm:cxn modelId="{86BA3EDC-4E16-4529-8FDE-7559C6F93358}" type="presParOf" srcId="{E3F4890E-88E4-47D0-8127-196EED26AF18}" destId="{873E9314-9F0F-4F5A-81C9-79EB36AD1E27}" srcOrd="1" destOrd="0" presId="urn:microsoft.com/office/officeart/2005/8/layout/hierarchy2"/>
    <dgm:cxn modelId="{F7E5BD11-83A9-4CB7-B45B-3D3C755352C4}" type="presParOf" srcId="{2DCC5ADA-14F8-418C-9EDE-CD7DFE30019C}" destId="{657BD109-70D6-47D0-9F36-6BBC5292361F}" srcOrd="2" destOrd="0" presId="urn:microsoft.com/office/officeart/2005/8/layout/hierarchy2"/>
    <dgm:cxn modelId="{2460380E-70D5-4706-8F9C-FF3D49286503}" type="presParOf" srcId="{657BD109-70D6-47D0-9F36-6BBC5292361F}" destId="{B72C47A5-8561-41AF-A9DE-9BF2BCCCDA69}" srcOrd="0" destOrd="0" presId="urn:microsoft.com/office/officeart/2005/8/layout/hierarchy2"/>
    <dgm:cxn modelId="{B62E1F65-1B7C-4F0D-A52A-173B8CA5D0CA}" type="presParOf" srcId="{2DCC5ADA-14F8-418C-9EDE-CD7DFE30019C}" destId="{B37A87EE-3462-481F-A299-37760DC1B747}" srcOrd="3" destOrd="0" presId="urn:microsoft.com/office/officeart/2005/8/layout/hierarchy2"/>
    <dgm:cxn modelId="{9C3E554E-4C8C-4733-B2C7-A9BCC95C7E7B}" type="presParOf" srcId="{B37A87EE-3462-481F-A299-37760DC1B747}" destId="{70C03BE8-7B0C-4224-9287-BF6F2A9AE515}" srcOrd="0" destOrd="0" presId="urn:microsoft.com/office/officeart/2005/8/layout/hierarchy2"/>
    <dgm:cxn modelId="{8F4228A6-F296-4837-A989-F88166A498BA}" type="presParOf" srcId="{B37A87EE-3462-481F-A299-37760DC1B747}" destId="{37E66F2D-6C83-41A3-8D65-91FB2F093DEA}" srcOrd="1" destOrd="0" presId="urn:microsoft.com/office/officeart/2005/8/layout/hierarchy2"/>
    <dgm:cxn modelId="{33B85E6B-1590-4FE0-977F-493AF0B8B6CF}" type="presParOf" srcId="{2DCC5ADA-14F8-418C-9EDE-CD7DFE30019C}" destId="{E45C244F-607E-4F3B-AFBA-4B82E1ECFBD6}" srcOrd="4" destOrd="0" presId="urn:microsoft.com/office/officeart/2005/8/layout/hierarchy2"/>
    <dgm:cxn modelId="{ED6A1295-5DC5-4764-B58E-DE71C636FBF5}" type="presParOf" srcId="{E45C244F-607E-4F3B-AFBA-4B82E1ECFBD6}" destId="{E0D3B689-7F57-4999-8211-8AF0394904AF}" srcOrd="0" destOrd="0" presId="urn:microsoft.com/office/officeart/2005/8/layout/hierarchy2"/>
    <dgm:cxn modelId="{BDB54158-A30A-4841-9A76-B3BCEE85ADFB}" type="presParOf" srcId="{2DCC5ADA-14F8-418C-9EDE-CD7DFE30019C}" destId="{2ADB3F2B-1722-456F-903A-91F0DB130A5C}" srcOrd="5" destOrd="0" presId="urn:microsoft.com/office/officeart/2005/8/layout/hierarchy2"/>
    <dgm:cxn modelId="{E1FA4E5C-B830-4405-8036-34BD942C2A46}" type="presParOf" srcId="{2ADB3F2B-1722-456F-903A-91F0DB130A5C}" destId="{FE7D1ECD-3807-4487-A307-EBE96FE83C0F}" srcOrd="0" destOrd="0" presId="urn:microsoft.com/office/officeart/2005/8/layout/hierarchy2"/>
    <dgm:cxn modelId="{00FC79BE-FF1B-474C-8B1F-13A703A1A2C7}" type="presParOf" srcId="{2ADB3F2B-1722-456F-903A-91F0DB130A5C}" destId="{4F5B7318-421B-457C-BA24-8E49CD1D5B7E}" srcOrd="1" destOrd="0" presId="urn:microsoft.com/office/officeart/2005/8/layout/hierarchy2"/>
    <dgm:cxn modelId="{1F2CF0F1-6B4E-40A9-8D66-323FC2042159}" type="presParOf" srcId="{8CFCC6F4-CABE-495C-964A-003574697F86}" destId="{BE808562-C259-4574-AE6B-F0EE5A3944DD}" srcOrd="2" destOrd="0" presId="urn:microsoft.com/office/officeart/2005/8/layout/hierarchy2"/>
    <dgm:cxn modelId="{45315768-AFE5-45E9-BDA5-5FD52BD65569}" type="presParOf" srcId="{BE808562-C259-4574-AE6B-F0EE5A3944DD}" destId="{F6E457B0-2BF0-41AE-AD32-4CD3F46C632F}" srcOrd="0" destOrd="0" presId="urn:microsoft.com/office/officeart/2005/8/layout/hierarchy2"/>
    <dgm:cxn modelId="{2378CBB5-AC83-41D5-9D4C-4DFF4A213EFB}" type="presParOf" srcId="{8CFCC6F4-CABE-495C-964A-003574697F86}" destId="{59506679-FB78-4D4C-A3D6-E9BC307E683D}" srcOrd="3" destOrd="0" presId="urn:microsoft.com/office/officeart/2005/8/layout/hierarchy2"/>
    <dgm:cxn modelId="{34E0B64D-A8E2-4137-BEE1-3DBDD63307C4}" type="presParOf" srcId="{59506679-FB78-4D4C-A3D6-E9BC307E683D}" destId="{0B054985-5EF8-4940-B03F-15DCFD85FE97}" srcOrd="0" destOrd="0" presId="urn:microsoft.com/office/officeart/2005/8/layout/hierarchy2"/>
    <dgm:cxn modelId="{DCA9690E-E6EE-496E-8B5D-FBFB400EAE61}" type="presParOf" srcId="{59506679-FB78-4D4C-A3D6-E9BC307E683D}" destId="{725E0E45-D5DC-4A00-A7D0-BCD96AD4969E}" srcOrd="1" destOrd="0" presId="urn:microsoft.com/office/officeart/2005/8/layout/hierarchy2"/>
    <dgm:cxn modelId="{C8974E13-8789-437B-B486-81BC9E1CCFEC}" type="presParOf" srcId="{725E0E45-D5DC-4A00-A7D0-BCD96AD4969E}" destId="{626D6281-A026-4CBE-BC63-2BCB00187566}" srcOrd="0" destOrd="0" presId="urn:microsoft.com/office/officeart/2005/8/layout/hierarchy2"/>
    <dgm:cxn modelId="{6F1B5430-62C9-46A6-893F-88FDCA83F175}" type="presParOf" srcId="{626D6281-A026-4CBE-BC63-2BCB00187566}" destId="{AD75B95D-C87F-4053-99CA-B7516ACE52DA}" srcOrd="0" destOrd="0" presId="urn:microsoft.com/office/officeart/2005/8/layout/hierarchy2"/>
    <dgm:cxn modelId="{B680DD03-100D-41CA-8DCF-16439D525A01}" type="presParOf" srcId="{725E0E45-D5DC-4A00-A7D0-BCD96AD4969E}" destId="{E74730B6-2706-461A-A6EB-D37AF430D548}" srcOrd="1" destOrd="0" presId="urn:microsoft.com/office/officeart/2005/8/layout/hierarchy2"/>
    <dgm:cxn modelId="{9FE10131-6BCB-4312-BDE4-3F9704DB973C}" type="presParOf" srcId="{E74730B6-2706-461A-A6EB-D37AF430D548}" destId="{0388AD74-3049-4E4E-B84A-CA778E9A5D44}" srcOrd="0" destOrd="0" presId="urn:microsoft.com/office/officeart/2005/8/layout/hierarchy2"/>
    <dgm:cxn modelId="{C5AB9C1C-66C5-4593-902C-28A70E78B95A}" type="presParOf" srcId="{E74730B6-2706-461A-A6EB-D37AF430D548}" destId="{1D155092-72EE-4795-851B-75D28303B7F3}" srcOrd="1" destOrd="0" presId="urn:microsoft.com/office/officeart/2005/8/layout/hierarchy2"/>
    <dgm:cxn modelId="{1D673633-E615-4F60-AD13-5075EAFE88E1}" type="presParOf" srcId="{725E0E45-D5DC-4A00-A7D0-BCD96AD4969E}" destId="{1B094D5B-A018-4233-A76A-B44894FE39A5}" srcOrd="2" destOrd="0" presId="urn:microsoft.com/office/officeart/2005/8/layout/hierarchy2"/>
    <dgm:cxn modelId="{B9B35395-2869-457F-B0C3-01193B4786CE}" type="presParOf" srcId="{1B094D5B-A018-4233-A76A-B44894FE39A5}" destId="{3B64F330-BDC9-4BA0-8EE9-2B9E068831AE}" srcOrd="0" destOrd="0" presId="urn:microsoft.com/office/officeart/2005/8/layout/hierarchy2"/>
    <dgm:cxn modelId="{3102F4D4-4353-44D5-8AEA-622A1D99503F}" type="presParOf" srcId="{725E0E45-D5DC-4A00-A7D0-BCD96AD4969E}" destId="{5535EAEE-E908-4107-9886-CFD05928E276}" srcOrd="3" destOrd="0" presId="urn:microsoft.com/office/officeart/2005/8/layout/hierarchy2"/>
    <dgm:cxn modelId="{711752A4-E5F2-4BF4-9D9D-4A10E6539D54}" type="presParOf" srcId="{5535EAEE-E908-4107-9886-CFD05928E276}" destId="{9314F52D-E648-44F9-B8AD-85AF1520A703}" srcOrd="0" destOrd="0" presId="urn:microsoft.com/office/officeart/2005/8/layout/hierarchy2"/>
    <dgm:cxn modelId="{D25B4A07-98D8-4E07-8D1D-A0ED44DA0663}" type="presParOf" srcId="{5535EAEE-E908-4107-9886-CFD05928E276}" destId="{4924EA30-388D-4EBB-A9BA-226C526FDD25}" srcOrd="1" destOrd="0" presId="urn:microsoft.com/office/officeart/2005/8/layout/hierarchy2"/>
    <dgm:cxn modelId="{96C76129-F7FC-4A85-B1D0-2A630DBF09B4}" type="presParOf" srcId="{725E0E45-D5DC-4A00-A7D0-BCD96AD4969E}" destId="{94989B68-5E2E-44E8-B749-CB007D54744C}" srcOrd="4" destOrd="0" presId="urn:microsoft.com/office/officeart/2005/8/layout/hierarchy2"/>
    <dgm:cxn modelId="{5972BAD8-19F9-4BC9-A467-F58FA9444488}" type="presParOf" srcId="{94989B68-5E2E-44E8-B749-CB007D54744C}" destId="{5C74E338-2CD5-4F98-BCC3-C8E47448C824}" srcOrd="0" destOrd="0" presId="urn:microsoft.com/office/officeart/2005/8/layout/hierarchy2"/>
    <dgm:cxn modelId="{B5293E41-14C7-4641-BBAD-42295C51534C}" type="presParOf" srcId="{725E0E45-D5DC-4A00-A7D0-BCD96AD4969E}" destId="{6C3D909C-E652-49A7-AEF8-C0F7B0881A41}" srcOrd="5" destOrd="0" presId="urn:microsoft.com/office/officeart/2005/8/layout/hierarchy2"/>
    <dgm:cxn modelId="{7490E548-51C6-4AB7-ADCF-E1710CBE21F9}" type="presParOf" srcId="{6C3D909C-E652-49A7-AEF8-C0F7B0881A41}" destId="{EEB868B2-B60A-418B-8355-460F016BADFB}" srcOrd="0" destOrd="0" presId="urn:microsoft.com/office/officeart/2005/8/layout/hierarchy2"/>
    <dgm:cxn modelId="{39E65DC2-C50D-4D87-BDD8-8C04D318BAD9}" type="presParOf" srcId="{6C3D909C-E652-49A7-AEF8-C0F7B0881A41}" destId="{7B5F73BD-1FBB-4288-9DA8-C6A80E97C06A}" srcOrd="1" destOrd="0" presId="urn:microsoft.com/office/officeart/2005/8/layout/hierarchy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96AC4BA-5162-4483-8E3D-9BA27BA7610E}" type="doc">
      <dgm:prSet loTypeId="urn:microsoft.com/office/officeart/2005/8/layout/hierarchy2" loCatId="hierarchy" qsTypeId="urn:microsoft.com/office/officeart/2005/8/quickstyle/simple1" qsCatId="simple" csTypeId="urn:microsoft.com/office/officeart/2005/8/colors/accent0_3" csCatId="mainScheme" phldr="1"/>
      <dgm:spPr/>
      <dgm:t>
        <a:bodyPr/>
        <a:lstStyle/>
        <a:p>
          <a:endParaRPr lang="en-IN"/>
        </a:p>
      </dgm:t>
    </dgm:pt>
    <dgm:pt modelId="{9D3A0631-F1D7-4217-B7B8-7695A12C49B9}">
      <dgm:prSet phldrT="[Text]"/>
      <dgm:spPr/>
      <dgm:t>
        <a:bodyPr/>
        <a:lstStyle/>
        <a:p>
          <a:r>
            <a:rPr lang=""/>
            <a:t>TATA</a:t>
          </a:r>
          <a:r>
            <a:rPr lang="" baseline="0"/>
            <a:t> Steel´s Strategic responses</a:t>
          </a:r>
          <a:endParaRPr lang="en-IN"/>
        </a:p>
      </dgm:t>
    </dgm:pt>
    <dgm:pt modelId="{8069859D-F961-4C7C-968E-865E1C6B1CD1}" type="parTrans" cxnId="{A9DEAD93-BFDA-4DFD-94B1-356AD07A29A2}">
      <dgm:prSet/>
      <dgm:spPr/>
      <dgm:t>
        <a:bodyPr/>
        <a:lstStyle/>
        <a:p>
          <a:endParaRPr lang="en-IN"/>
        </a:p>
      </dgm:t>
    </dgm:pt>
    <dgm:pt modelId="{3E5ED18D-6074-44A8-8C42-6C021921CADA}" type="sibTrans" cxnId="{A9DEAD93-BFDA-4DFD-94B1-356AD07A29A2}">
      <dgm:prSet/>
      <dgm:spPr/>
      <dgm:t>
        <a:bodyPr/>
        <a:lstStyle/>
        <a:p>
          <a:endParaRPr lang="en-IN"/>
        </a:p>
      </dgm:t>
    </dgm:pt>
    <dgm:pt modelId="{05581793-2CBF-4206-9F02-DE4BEB72886B}">
      <dgm:prSet phldrT="[Text]"/>
      <dgm:spPr/>
      <dgm:t>
        <a:bodyPr/>
        <a:lstStyle/>
        <a:p>
          <a:r>
            <a:rPr lang=""/>
            <a:t>EAF Investment Hydrogen Tech</a:t>
          </a:r>
          <a:endParaRPr lang="en-IN"/>
        </a:p>
      </dgm:t>
    </dgm:pt>
    <dgm:pt modelId="{9F72C0DA-B0F3-4643-BF82-A8479B73421C}" type="parTrans" cxnId="{4D561501-D2C8-4D34-B920-A8D79D7D88B2}">
      <dgm:prSet/>
      <dgm:spPr/>
      <dgm:t>
        <a:bodyPr/>
        <a:lstStyle/>
        <a:p>
          <a:endParaRPr lang="en-IN"/>
        </a:p>
      </dgm:t>
    </dgm:pt>
    <dgm:pt modelId="{677F3EE2-F6E0-4D52-9429-32EEABE1747B}" type="sibTrans" cxnId="{4D561501-D2C8-4D34-B920-A8D79D7D88B2}">
      <dgm:prSet/>
      <dgm:spPr/>
      <dgm:t>
        <a:bodyPr/>
        <a:lstStyle/>
        <a:p>
          <a:endParaRPr lang="en-IN"/>
        </a:p>
      </dgm:t>
    </dgm:pt>
    <dgm:pt modelId="{49339155-259A-46AF-87E0-9461F4268D0E}">
      <dgm:prSet phldrT="[Text]"/>
      <dgm:spPr/>
      <dgm:t>
        <a:bodyPr/>
        <a:lstStyle/>
        <a:p>
          <a:r>
            <a:rPr lang=""/>
            <a:t>Green</a:t>
          </a:r>
          <a:r>
            <a:rPr lang="" baseline="0"/>
            <a:t> Steel Positioning</a:t>
          </a:r>
          <a:endParaRPr lang="en-IN"/>
        </a:p>
      </dgm:t>
    </dgm:pt>
    <dgm:pt modelId="{A5350A45-5586-4459-99F4-2C0852083274}" type="parTrans" cxnId="{1A8856A1-3EEE-4C5E-A0E1-8CB28359852B}">
      <dgm:prSet/>
      <dgm:spPr/>
      <dgm:t>
        <a:bodyPr/>
        <a:lstStyle/>
        <a:p>
          <a:endParaRPr lang="en-IN"/>
        </a:p>
      </dgm:t>
    </dgm:pt>
    <dgm:pt modelId="{9978DAE9-3446-4F4A-A107-48EDA968A8FB}" type="sibTrans" cxnId="{1A8856A1-3EEE-4C5E-A0E1-8CB28359852B}">
      <dgm:prSet/>
      <dgm:spPr/>
      <dgm:t>
        <a:bodyPr/>
        <a:lstStyle/>
        <a:p>
          <a:endParaRPr lang="en-IN"/>
        </a:p>
      </dgm:t>
    </dgm:pt>
    <dgm:pt modelId="{94312722-8DFD-43B7-BE24-8998E1F5132E}">
      <dgm:prSet/>
      <dgm:spPr/>
      <dgm:t>
        <a:bodyPr/>
        <a:lstStyle/>
        <a:p>
          <a:r>
            <a:rPr lang=""/>
            <a:t>Net Zero Strategy ESG Branding</a:t>
          </a:r>
          <a:endParaRPr lang="en-IN"/>
        </a:p>
      </dgm:t>
    </dgm:pt>
    <dgm:pt modelId="{6D340C2D-9B3E-4A03-AFA6-922BC622B242}" type="parTrans" cxnId="{20D2378F-2468-4AD6-B955-C306450535BF}">
      <dgm:prSet/>
      <dgm:spPr/>
      <dgm:t>
        <a:bodyPr/>
        <a:lstStyle/>
        <a:p>
          <a:endParaRPr lang="en-IN"/>
        </a:p>
      </dgm:t>
    </dgm:pt>
    <dgm:pt modelId="{B6EFD243-2772-4CF3-A7AA-8F2BB11D1F9F}" type="sibTrans" cxnId="{20D2378F-2468-4AD6-B955-C306450535BF}">
      <dgm:prSet/>
      <dgm:spPr/>
      <dgm:t>
        <a:bodyPr/>
        <a:lstStyle/>
        <a:p>
          <a:endParaRPr lang="en-IN"/>
        </a:p>
      </dgm:t>
    </dgm:pt>
    <dgm:pt modelId="{D0A310F8-2CF2-409E-9833-9B64D97CCE66}" type="pres">
      <dgm:prSet presAssocID="{C96AC4BA-5162-4483-8E3D-9BA27BA7610E}" presName="diagram" presStyleCnt="0">
        <dgm:presLayoutVars>
          <dgm:chPref val="1"/>
          <dgm:dir/>
          <dgm:animOne val="branch"/>
          <dgm:animLvl val="lvl"/>
          <dgm:resizeHandles val="exact"/>
        </dgm:presLayoutVars>
      </dgm:prSet>
      <dgm:spPr/>
      <dgm:t>
        <a:bodyPr/>
        <a:lstStyle/>
        <a:p>
          <a:endParaRPr lang="en-IN"/>
        </a:p>
      </dgm:t>
    </dgm:pt>
    <dgm:pt modelId="{8EE96D32-AF8C-4744-B387-41347F251D70}" type="pres">
      <dgm:prSet presAssocID="{9D3A0631-F1D7-4217-B7B8-7695A12C49B9}" presName="root1" presStyleCnt="0"/>
      <dgm:spPr/>
      <dgm:t>
        <a:bodyPr/>
        <a:lstStyle/>
        <a:p>
          <a:endParaRPr lang="en-IN"/>
        </a:p>
      </dgm:t>
    </dgm:pt>
    <dgm:pt modelId="{D6829CF3-BA0F-4506-826E-8E5098050B02}" type="pres">
      <dgm:prSet presAssocID="{9D3A0631-F1D7-4217-B7B8-7695A12C49B9}" presName="LevelOneTextNode" presStyleLbl="node0" presStyleIdx="0" presStyleCnt="1" custScaleX="162804">
        <dgm:presLayoutVars>
          <dgm:chPref val="3"/>
        </dgm:presLayoutVars>
      </dgm:prSet>
      <dgm:spPr/>
      <dgm:t>
        <a:bodyPr/>
        <a:lstStyle/>
        <a:p>
          <a:endParaRPr lang="en-IN"/>
        </a:p>
      </dgm:t>
    </dgm:pt>
    <dgm:pt modelId="{8CFCC6F4-CABE-495C-964A-003574697F86}" type="pres">
      <dgm:prSet presAssocID="{9D3A0631-F1D7-4217-B7B8-7695A12C49B9}" presName="level2hierChild" presStyleCnt="0"/>
      <dgm:spPr/>
      <dgm:t>
        <a:bodyPr/>
        <a:lstStyle/>
        <a:p>
          <a:endParaRPr lang="en-IN"/>
        </a:p>
      </dgm:t>
    </dgm:pt>
    <dgm:pt modelId="{F8560773-3475-43A9-B1CF-7B4EA99108AA}" type="pres">
      <dgm:prSet presAssocID="{9F72C0DA-B0F3-4643-BF82-A8479B73421C}" presName="conn2-1" presStyleLbl="parChTrans1D2" presStyleIdx="0" presStyleCnt="3"/>
      <dgm:spPr/>
      <dgm:t>
        <a:bodyPr/>
        <a:lstStyle/>
        <a:p>
          <a:endParaRPr lang="en-IN"/>
        </a:p>
      </dgm:t>
    </dgm:pt>
    <dgm:pt modelId="{10647E35-19CA-4ACC-9313-2FA98F6A3009}" type="pres">
      <dgm:prSet presAssocID="{9F72C0DA-B0F3-4643-BF82-A8479B73421C}" presName="connTx" presStyleLbl="parChTrans1D2" presStyleIdx="0" presStyleCnt="3"/>
      <dgm:spPr/>
      <dgm:t>
        <a:bodyPr/>
        <a:lstStyle/>
        <a:p>
          <a:endParaRPr lang="en-IN"/>
        </a:p>
      </dgm:t>
    </dgm:pt>
    <dgm:pt modelId="{D375B8F0-815A-4238-AD8B-EA69AD8AD528}" type="pres">
      <dgm:prSet presAssocID="{05581793-2CBF-4206-9F02-DE4BEB72886B}" presName="root2" presStyleCnt="0"/>
      <dgm:spPr/>
      <dgm:t>
        <a:bodyPr/>
        <a:lstStyle/>
        <a:p>
          <a:endParaRPr lang="en-IN"/>
        </a:p>
      </dgm:t>
    </dgm:pt>
    <dgm:pt modelId="{FCA0D47D-A1EB-4907-BDB8-3B9EFD0E1AFA}" type="pres">
      <dgm:prSet presAssocID="{05581793-2CBF-4206-9F02-DE4BEB72886B}" presName="LevelTwoTextNode" presStyleLbl="node2" presStyleIdx="0" presStyleCnt="3">
        <dgm:presLayoutVars>
          <dgm:chPref val="3"/>
        </dgm:presLayoutVars>
      </dgm:prSet>
      <dgm:spPr/>
      <dgm:t>
        <a:bodyPr/>
        <a:lstStyle/>
        <a:p>
          <a:endParaRPr lang="en-IN"/>
        </a:p>
      </dgm:t>
    </dgm:pt>
    <dgm:pt modelId="{2DCC5ADA-14F8-418C-9EDE-CD7DFE30019C}" type="pres">
      <dgm:prSet presAssocID="{05581793-2CBF-4206-9F02-DE4BEB72886B}" presName="level3hierChild" presStyleCnt="0"/>
      <dgm:spPr/>
      <dgm:t>
        <a:bodyPr/>
        <a:lstStyle/>
        <a:p>
          <a:endParaRPr lang="en-IN"/>
        </a:p>
      </dgm:t>
    </dgm:pt>
    <dgm:pt modelId="{BE808562-C259-4574-AE6B-F0EE5A3944DD}" type="pres">
      <dgm:prSet presAssocID="{A5350A45-5586-4459-99F4-2C0852083274}" presName="conn2-1" presStyleLbl="parChTrans1D2" presStyleIdx="1" presStyleCnt="3"/>
      <dgm:spPr/>
      <dgm:t>
        <a:bodyPr/>
        <a:lstStyle/>
        <a:p>
          <a:endParaRPr lang="en-IN"/>
        </a:p>
      </dgm:t>
    </dgm:pt>
    <dgm:pt modelId="{F6E457B0-2BF0-41AE-AD32-4CD3F46C632F}" type="pres">
      <dgm:prSet presAssocID="{A5350A45-5586-4459-99F4-2C0852083274}" presName="connTx" presStyleLbl="parChTrans1D2" presStyleIdx="1" presStyleCnt="3"/>
      <dgm:spPr/>
      <dgm:t>
        <a:bodyPr/>
        <a:lstStyle/>
        <a:p>
          <a:endParaRPr lang="en-IN"/>
        </a:p>
      </dgm:t>
    </dgm:pt>
    <dgm:pt modelId="{59506679-FB78-4D4C-A3D6-E9BC307E683D}" type="pres">
      <dgm:prSet presAssocID="{49339155-259A-46AF-87E0-9461F4268D0E}" presName="root2" presStyleCnt="0"/>
      <dgm:spPr/>
      <dgm:t>
        <a:bodyPr/>
        <a:lstStyle/>
        <a:p>
          <a:endParaRPr lang="en-IN"/>
        </a:p>
      </dgm:t>
    </dgm:pt>
    <dgm:pt modelId="{0B054985-5EF8-4940-B03F-15DCFD85FE97}" type="pres">
      <dgm:prSet presAssocID="{49339155-259A-46AF-87E0-9461F4268D0E}" presName="LevelTwoTextNode" presStyleLbl="node2" presStyleIdx="1" presStyleCnt="3">
        <dgm:presLayoutVars>
          <dgm:chPref val="3"/>
        </dgm:presLayoutVars>
      </dgm:prSet>
      <dgm:spPr/>
      <dgm:t>
        <a:bodyPr/>
        <a:lstStyle/>
        <a:p>
          <a:endParaRPr lang="en-IN"/>
        </a:p>
      </dgm:t>
    </dgm:pt>
    <dgm:pt modelId="{725E0E45-D5DC-4A00-A7D0-BCD96AD4969E}" type="pres">
      <dgm:prSet presAssocID="{49339155-259A-46AF-87E0-9461F4268D0E}" presName="level3hierChild" presStyleCnt="0"/>
      <dgm:spPr/>
      <dgm:t>
        <a:bodyPr/>
        <a:lstStyle/>
        <a:p>
          <a:endParaRPr lang="en-IN"/>
        </a:p>
      </dgm:t>
    </dgm:pt>
    <dgm:pt modelId="{0EA1C15F-91E1-40C2-AFD6-C479725AF166}" type="pres">
      <dgm:prSet presAssocID="{6D340C2D-9B3E-4A03-AFA6-922BC622B242}" presName="conn2-1" presStyleLbl="parChTrans1D2" presStyleIdx="2" presStyleCnt="3"/>
      <dgm:spPr/>
      <dgm:t>
        <a:bodyPr/>
        <a:lstStyle/>
        <a:p>
          <a:endParaRPr lang="en-IN"/>
        </a:p>
      </dgm:t>
    </dgm:pt>
    <dgm:pt modelId="{FECF4BCE-515B-44F6-9EAE-E5995A4528C4}" type="pres">
      <dgm:prSet presAssocID="{6D340C2D-9B3E-4A03-AFA6-922BC622B242}" presName="connTx" presStyleLbl="parChTrans1D2" presStyleIdx="2" presStyleCnt="3"/>
      <dgm:spPr/>
      <dgm:t>
        <a:bodyPr/>
        <a:lstStyle/>
        <a:p>
          <a:endParaRPr lang="en-IN"/>
        </a:p>
      </dgm:t>
    </dgm:pt>
    <dgm:pt modelId="{2DFEACB5-42C4-40BA-88B4-30C23702B2DA}" type="pres">
      <dgm:prSet presAssocID="{94312722-8DFD-43B7-BE24-8998E1F5132E}" presName="root2" presStyleCnt="0"/>
      <dgm:spPr/>
      <dgm:t>
        <a:bodyPr/>
        <a:lstStyle/>
        <a:p>
          <a:endParaRPr lang="en-IN"/>
        </a:p>
      </dgm:t>
    </dgm:pt>
    <dgm:pt modelId="{DFFDFA84-9092-40C4-A212-392F2E160F0F}" type="pres">
      <dgm:prSet presAssocID="{94312722-8DFD-43B7-BE24-8998E1F5132E}" presName="LevelTwoTextNode" presStyleLbl="node2" presStyleIdx="2" presStyleCnt="3">
        <dgm:presLayoutVars>
          <dgm:chPref val="3"/>
        </dgm:presLayoutVars>
      </dgm:prSet>
      <dgm:spPr/>
      <dgm:t>
        <a:bodyPr/>
        <a:lstStyle/>
        <a:p>
          <a:endParaRPr lang="en-IN"/>
        </a:p>
      </dgm:t>
    </dgm:pt>
    <dgm:pt modelId="{48DE8D6A-E5C4-4F08-BE34-F1019D481C23}" type="pres">
      <dgm:prSet presAssocID="{94312722-8DFD-43B7-BE24-8998E1F5132E}" presName="level3hierChild" presStyleCnt="0"/>
      <dgm:spPr/>
      <dgm:t>
        <a:bodyPr/>
        <a:lstStyle/>
        <a:p>
          <a:endParaRPr lang="en-IN"/>
        </a:p>
      </dgm:t>
    </dgm:pt>
  </dgm:ptLst>
  <dgm:cxnLst>
    <dgm:cxn modelId="{6E67FF4C-C3E8-4AC3-AF7D-800CDCE8632E}" type="presOf" srcId="{6D340C2D-9B3E-4A03-AFA6-922BC622B242}" destId="{FECF4BCE-515B-44F6-9EAE-E5995A4528C4}" srcOrd="1" destOrd="0" presId="urn:microsoft.com/office/officeart/2005/8/layout/hierarchy2"/>
    <dgm:cxn modelId="{615E0E87-79E9-40DE-9F92-874B6478D626}" type="presOf" srcId="{05581793-2CBF-4206-9F02-DE4BEB72886B}" destId="{FCA0D47D-A1EB-4907-BDB8-3B9EFD0E1AFA}" srcOrd="0" destOrd="0" presId="urn:microsoft.com/office/officeart/2005/8/layout/hierarchy2"/>
    <dgm:cxn modelId="{20D2378F-2468-4AD6-B955-C306450535BF}" srcId="{9D3A0631-F1D7-4217-B7B8-7695A12C49B9}" destId="{94312722-8DFD-43B7-BE24-8998E1F5132E}" srcOrd="2" destOrd="0" parTransId="{6D340C2D-9B3E-4A03-AFA6-922BC622B242}" sibTransId="{B6EFD243-2772-4CF3-A7AA-8F2BB11D1F9F}"/>
    <dgm:cxn modelId="{CD473BF5-2F9D-4FAE-B5F1-B76C118ACAA2}" type="presOf" srcId="{6D340C2D-9B3E-4A03-AFA6-922BC622B242}" destId="{0EA1C15F-91E1-40C2-AFD6-C479725AF166}" srcOrd="0" destOrd="0" presId="urn:microsoft.com/office/officeart/2005/8/layout/hierarchy2"/>
    <dgm:cxn modelId="{4317368D-5281-4697-819E-5D7DF7F7EFD7}" type="presOf" srcId="{94312722-8DFD-43B7-BE24-8998E1F5132E}" destId="{DFFDFA84-9092-40C4-A212-392F2E160F0F}" srcOrd="0" destOrd="0" presId="urn:microsoft.com/office/officeart/2005/8/layout/hierarchy2"/>
    <dgm:cxn modelId="{B9955123-A372-4F95-AEFD-14A38292FC46}" type="presOf" srcId="{C96AC4BA-5162-4483-8E3D-9BA27BA7610E}" destId="{D0A310F8-2CF2-409E-9833-9B64D97CCE66}" srcOrd="0" destOrd="0" presId="urn:microsoft.com/office/officeart/2005/8/layout/hierarchy2"/>
    <dgm:cxn modelId="{1A8856A1-3EEE-4C5E-A0E1-8CB28359852B}" srcId="{9D3A0631-F1D7-4217-B7B8-7695A12C49B9}" destId="{49339155-259A-46AF-87E0-9461F4268D0E}" srcOrd="1" destOrd="0" parTransId="{A5350A45-5586-4459-99F4-2C0852083274}" sibTransId="{9978DAE9-3446-4F4A-A107-48EDA968A8FB}"/>
    <dgm:cxn modelId="{A9DEAD93-BFDA-4DFD-94B1-356AD07A29A2}" srcId="{C96AC4BA-5162-4483-8E3D-9BA27BA7610E}" destId="{9D3A0631-F1D7-4217-B7B8-7695A12C49B9}" srcOrd="0" destOrd="0" parTransId="{8069859D-F961-4C7C-968E-865E1C6B1CD1}" sibTransId="{3E5ED18D-6074-44A8-8C42-6C021921CADA}"/>
    <dgm:cxn modelId="{33001504-B3CF-4E38-92AC-A3115F7BDD32}" type="presOf" srcId="{49339155-259A-46AF-87E0-9461F4268D0E}" destId="{0B054985-5EF8-4940-B03F-15DCFD85FE97}" srcOrd="0" destOrd="0" presId="urn:microsoft.com/office/officeart/2005/8/layout/hierarchy2"/>
    <dgm:cxn modelId="{342301B2-9EBC-42E2-934C-EF99EBAA9C51}" type="presOf" srcId="{A5350A45-5586-4459-99F4-2C0852083274}" destId="{BE808562-C259-4574-AE6B-F0EE5A3944DD}" srcOrd="0" destOrd="0" presId="urn:microsoft.com/office/officeart/2005/8/layout/hierarchy2"/>
    <dgm:cxn modelId="{A3B69CBC-DE53-434D-9D08-E4226749D559}" type="presOf" srcId="{9F72C0DA-B0F3-4643-BF82-A8479B73421C}" destId="{F8560773-3475-43A9-B1CF-7B4EA99108AA}" srcOrd="0" destOrd="0" presId="urn:microsoft.com/office/officeart/2005/8/layout/hierarchy2"/>
    <dgm:cxn modelId="{4D561501-D2C8-4D34-B920-A8D79D7D88B2}" srcId="{9D3A0631-F1D7-4217-B7B8-7695A12C49B9}" destId="{05581793-2CBF-4206-9F02-DE4BEB72886B}" srcOrd="0" destOrd="0" parTransId="{9F72C0DA-B0F3-4643-BF82-A8479B73421C}" sibTransId="{677F3EE2-F6E0-4D52-9429-32EEABE1747B}"/>
    <dgm:cxn modelId="{888FD6F8-9005-43A6-BE05-1A1D78C5BCC5}" type="presOf" srcId="{9F72C0DA-B0F3-4643-BF82-A8479B73421C}" destId="{10647E35-19CA-4ACC-9313-2FA98F6A3009}" srcOrd="1" destOrd="0" presId="urn:microsoft.com/office/officeart/2005/8/layout/hierarchy2"/>
    <dgm:cxn modelId="{B0B1BF2C-A2A1-4C42-82CE-3BE80B01390F}" type="presOf" srcId="{9D3A0631-F1D7-4217-B7B8-7695A12C49B9}" destId="{D6829CF3-BA0F-4506-826E-8E5098050B02}" srcOrd="0" destOrd="0" presId="urn:microsoft.com/office/officeart/2005/8/layout/hierarchy2"/>
    <dgm:cxn modelId="{B8D7053B-9101-4B83-AC92-7683B401826C}" type="presOf" srcId="{A5350A45-5586-4459-99F4-2C0852083274}" destId="{F6E457B0-2BF0-41AE-AD32-4CD3F46C632F}" srcOrd="1" destOrd="0" presId="urn:microsoft.com/office/officeart/2005/8/layout/hierarchy2"/>
    <dgm:cxn modelId="{5D08FA42-C2B2-442E-8300-2590FE1F9310}" type="presParOf" srcId="{D0A310F8-2CF2-409E-9833-9B64D97CCE66}" destId="{8EE96D32-AF8C-4744-B387-41347F251D70}" srcOrd="0" destOrd="0" presId="urn:microsoft.com/office/officeart/2005/8/layout/hierarchy2"/>
    <dgm:cxn modelId="{69710508-BFA9-4881-A672-1AF4A6308C8A}" type="presParOf" srcId="{8EE96D32-AF8C-4744-B387-41347F251D70}" destId="{D6829CF3-BA0F-4506-826E-8E5098050B02}" srcOrd="0" destOrd="0" presId="urn:microsoft.com/office/officeart/2005/8/layout/hierarchy2"/>
    <dgm:cxn modelId="{4F07AD4B-105B-4527-BADA-1C81AA7B8812}" type="presParOf" srcId="{8EE96D32-AF8C-4744-B387-41347F251D70}" destId="{8CFCC6F4-CABE-495C-964A-003574697F86}" srcOrd="1" destOrd="0" presId="urn:microsoft.com/office/officeart/2005/8/layout/hierarchy2"/>
    <dgm:cxn modelId="{99E718FF-FCDA-4637-9160-DE53E471D293}" type="presParOf" srcId="{8CFCC6F4-CABE-495C-964A-003574697F86}" destId="{F8560773-3475-43A9-B1CF-7B4EA99108AA}" srcOrd="0" destOrd="0" presId="urn:microsoft.com/office/officeart/2005/8/layout/hierarchy2"/>
    <dgm:cxn modelId="{25EED21B-8787-4FE8-BD8F-F1DCA9191720}" type="presParOf" srcId="{F8560773-3475-43A9-B1CF-7B4EA99108AA}" destId="{10647E35-19CA-4ACC-9313-2FA98F6A3009}" srcOrd="0" destOrd="0" presId="urn:microsoft.com/office/officeart/2005/8/layout/hierarchy2"/>
    <dgm:cxn modelId="{28DE37C1-A1CD-4E6C-A776-46A82A8B11CB}" type="presParOf" srcId="{8CFCC6F4-CABE-495C-964A-003574697F86}" destId="{D375B8F0-815A-4238-AD8B-EA69AD8AD528}" srcOrd="1" destOrd="0" presId="urn:microsoft.com/office/officeart/2005/8/layout/hierarchy2"/>
    <dgm:cxn modelId="{AE611202-715B-4105-B595-4591FD53F8AC}" type="presParOf" srcId="{D375B8F0-815A-4238-AD8B-EA69AD8AD528}" destId="{FCA0D47D-A1EB-4907-BDB8-3B9EFD0E1AFA}" srcOrd="0" destOrd="0" presId="urn:microsoft.com/office/officeart/2005/8/layout/hierarchy2"/>
    <dgm:cxn modelId="{6CC0F8EC-2CD3-4A03-9BB0-3E3D3A6BD1FD}" type="presParOf" srcId="{D375B8F0-815A-4238-AD8B-EA69AD8AD528}" destId="{2DCC5ADA-14F8-418C-9EDE-CD7DFE30019C}" srcOrd="1" destOrd="0" presId="urn:microsoft.com/office/officeart/2005/8/layout/hierarchy2"/>
    <dgm:cxn modelId="{4F2BF127-2887-4AD4-BF12-B6A8E0DBEA7D}" type="presParOf" srcId="{8CFCC6F4-CABE-495C-964A-003574697F86}" destId="{BE808562-C259-4574-AE6B-F0EE5A3944DD}" srcOrd="2" destOrd="0" presId="urn:microsoft.com/office/officeart/2005/8/layout/hierarchy2"/>
    <dgm:cxn modelId="{69536C0E-99BA-4EFF-8D26-F3CAFC67CCEA}" type="presParOf" srcId="{BE808562-C259-4574-AE6B-F0EE5A3944DD}" destId="{F6E457B0-2BF0-41AE-AD32-4CD3F46C632F}" srcOrd="0" destOrd="0" presId="urn:microsoft.com/office/officeart/2005/8/layout/hierarchy2"/>
    <dgm:cxn modelId="{6DA54D39-0C01-4B60-9C0D-2151664CC328}" type="presParOf" srcId="{8CFCC6F4-CABE-495C-964A-003574697F86}" destId="{59506679-FB78-4D4C-A3D6-E9BC307E683D}" srcOrd="3" destOrd="0" presId="urn:microsoft.com/office/officeart/2005/8/layout/hierarchy2"/>
    <dgm:cxn modelId="{B28DB49B-C65A-470C-AA72-E006D9495FAC}" type="presParOf" srcId="{59506679-FB78-4D4C-A3D6-E9BC307E683D}" destId="{0B054985-5EF8-4940-B03F-15DCFD85FE97}" srcOrd="0" destOrd="0" presId="urn:microsoft.com/office/officeart/2005/8/layout/hierarchy2"/>
    <dgm:cxn modelId="{21449149-F5DC-43BC-ADC4-2BCEFC96A2D6}" type="presParOf" srcId="{59506679-FB78-4D4C-A3D6-E9BC307E683D}" destId="{725E0E45-D5DC-4A00-A7D0-BCD96AD4969E}" srcOrd="1" destOrd="0" presId="urn:microsoft.com/office/officeart/2005/8/layout/hierarchy2"/>
    <dgm:cxn modelId="{25E9972A-DB7B-446B-A05E-ACAC36927F88}" type="presParOf" srcId="{8CFCC6F4-CABE-495C-964A-003574697F86}" destId="{0EA1C15F-91E1-40C2-AFD6-C479725AF166}" srcOrd="4" destOrd="0" presId="urn:microsoft.com/office/officeart/2005/8/layout/hierarchy2"/>
    <dgm:cxn modelId="{61370B58-A685-436C-AF59-470813BB9F54}" type="presParOf" srcId="{0EA1C15F-91E1-40C2-AFD6-C479725AF166}" destId="{FECF4BCE-515B-44F6-9EAE-E5995A4528C4}" srcOrd="0" destOrd="0" presId="urn:microsoft.com/office/officeart/2005/8/layout/hierarchy2"/>
    <dgm:cxn modelId="{3C019968-2373-4B7A-A9E1-574FAF22F077}" type="presParOf" srcId="{8CFCC6F4-CABE-495C-964A-003574697F86}" destId="{2DFEACB5-42C4-40BA-88B4-30C23702B2DA}" srcOrd="5" destOrd="0" presId="urn:microsoft.com/office/officeart/2005/8/layout/hierarchy2"/>
    <dgm:cxn modelId="{988A8A8B-C9E7-41E4-AD6E-69E7C039F51C}" type="presParOf" srcId="{2DFEACB5-42C4-40BA-88B4-30C23702B2DA}" destId="{DFFDFA84-9092-40C4-A212-392F2E160F0F}" srcOrd="0" destOrd="0" presId="urn:microsoft.com/office/officeart/2005/8/layout/hierarchy2"/>
    <dgm:cxn modelId="{4E042CE6-D99B-40B8-8370-810B21EAF32C}" type="presParOf" srcId="{2DFEACB5-42C4-40BA-88B4-30C23702B2DA}" destId="{48DE8D6A-E5C4-4F08-BE34-F1019D481C23}" srcOrd="1" destOrd="0" presId="urn:microsoft.com/office/officeart/2005/8/layout/hierarchy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F26FBAC-5F13-4AE5-BAF4-81ACC19ECF84}" type="doc">
      <dgm:prSet loTypeId="urn:microsoft.com/office/officeart/2005/8/layout/default" loCatId="list" qsTypeId="urn:microsoft.com/office/officeart/2005/8/quickstyle/simple1" qsCatId="simple" csTypeId="urn:microsoft.com/office/officeart/2005/8/colors/accent0_3" csCatId="mainScheme" phldr="1"/>
      <dgm:spPr/>
      <dgm:t>
        <a:bodyPr/>
        <a:lstStyle/>
        <a:p>
          <a:endParaRPr lang="en-IN"/>
        </a:p>
      </dgm:t>
    </dgm:pt>
    <dgm:pt modelId="{7E983CF6-5490-429D-8321-208E1DA37A7F}">
      <dgm:prSet phldrT="[Text]" custT="1"/>
      <dgm:spPr/>
      <dgm:t>
        <a:bodyPr/>
        <a:lstStyle/>
        <a:p>
          <a:r>
            <a:rPr lang="" sz="1200"/>
            <a:t>Competitive Advantage</a:t>
          </a:r>
          <a:endParaRPr lang="en-IN" sz="1200"/>
        </a:p>
      </dgm:t>
    </dgm:pt>
    <dgm:pt modelId="{0C445580-D3AA-4784-9E09-49B554584BA4}" type="parTrans" cxnId="{F5B77109-A52E-48C6-B3D6-D479F590275F}">
      <dgm:prSet/>
      <dgm:spPr/>
      <dgm:t>
        <a:bodyPr/>
        <a:lstStyle/>
        <a:p>
          <a:endParaRPr lang="en-IN"/>
        </a:p>
      </dgm:t>
    </dgm:pt>
    <dgm:pt modelId="{9C775A54-7FFC-45DE-9EE0-1546CDCA7985}" type="sibTrans" cxnId="{F5B77109-A52E-48C6-B3D6-D479F590275F}">
      <dgm:prSet/>
      <dgm:spPr/>
      <dgm:t>
        <a:bodyPr/>
        <a:lstStyle/>
        <a:p>
          <a:endParaRPr lang="en-IN"/>
        </a:p>
      </dgm:t>
    </dgm:pt>
    <dgm:pt modelId="{50D60303-73FA-470C-9ACD-FEE3162FA0C5}" type="pres">
      <dgm:prSet presAssocID="{0F26FBAC-5F13-4AE5-BAF4-81ACC19ECF84}" presName="diagram" presStyleCnt="0">
        <dgm:presLayoutVars>
          <dgm:dir/>
          <dgm:resizeHandles val="exact"/>
        </dgm:presLayoutVars>
      </dgm:prSet>
      <dgm:spPr/>
      <dgm:t>
        <a:bodyPr/>
        <a:lstStyle/>
        <a:p>
          <a:endParaRPr lang="en-IN"/>
        </a:p>
      </dgm:t>
    </dgm:pt>
    <dgm:pt modelId="{66DEA6E7-E0B4-4AFF-B221-7266C9537BD4}" type="pres">
      <dgm:prSet presAssocID="{7E983CF6-5490-429D-8321-208E1DA37A7F}" presName="node" presStyleLbl="node1" presStyleIdx="0" presStyleCnt="1" custScaleX="137165" custLinFactY="-13349" custLinFactNeighborX="-11006" custLinFactNeighborY="-100000">
        <dgm:presLayoutVars>
          <dgm:bulletEnabled val="1"/>
        </dgm:presLayoutVars>
      </dgm:prSet>
      <dgm:spPr/>
      <dgm:t>
        <a:bodyPr/>
        <a:lstStyle/>
        <a:p>
          <a:endParaRPr lang="en-IN"/>
        </a:p>
      </dgm:t>
    </dgm:pt>
  </dgm:ptLst>
  <dgm:cxnLst>
    <dgm:cxn modelId="{050585ED-0BC9-483A-9D09-0C772EA00781}" type="presOf" srcId="{7E983CF6-5490-429D-8321-208E1DA37A7F}" destId="{66DEA6E7-E0B4-4AFF-B221-7266C9537BD4}" srcOrd="0" destOrd="0" presId="urn:microsoft.com/office/officeart/2005/8/layout/default"/>
    <dgm:cxn modelId="{F5B77109-A52E-48C6-B3D6-D479F590275F}" srcId="{0F26FBAC-5F13-4AE5-BAF4-81ACC19ECF84}" destId="{7E983CF6-5490-429D-8321-208E1DA37A7F}" srcOrd="0" destOrd="0" parTransId="{0C445580-D3AA-4784-9E09-49B554584BA4}" sibTransId="{9C775A54-7FFC-45DE-9EE0-1546CDCA7985}"/>
    <dgm:cxn modelId="{989F2278-B4B2-4823-AAF2-E9FC54D22D9D}" type="presOf" srcId="{0F26FBAC-5F13-4AE5-BAF4-81ACC19ECF84}" destId="{50D60303-73FA-470C-9ACD-FEE3162FA0C5}" srcOrd="0" destOrd="0" presId="urn:microsoft.com/office/officeart/2005/8/layout/default"/>
    <dgm:cxn modelId="{AD46F150-B095-4939-8AA0-50DEDFA86FF7}" type="presParOf" srcId="{50D60303-73FA-470C-9ACD-FEE3162FA0C5}" destId="{66DEA6E7-E0B4-4AFF-B221-7266C9537BD4}" srcOrd="0" destOrd="0" presId="urn:microsoft.com/office/officeart/2005/8/layout/default"/>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829CF3-BA0F-4506-826E-8E5098050B02}">
      <dsp:nvSpPr>
        <dsp:cNvPr id="0" name=""/>
        <dsp:cNvSpPr/>
      </dsp:nvSpPr>
      <dsp:spPr>
        <a:xfrm>
          <a:off x="248145" y="951169"/>
          <a:ext cx="660640" cy="33032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 sz="700" kern="1200">
              <a:latin typeface="Calibri" panose="020F0502020204030204"/>
              <a:ea typeface="+mn-ea"/>
              <a:cs typeface="+mn-cs"/>
            </a:rPr>
            <a:t>External Marketing Environment</a:t>
          </a:r>
          <a:endParaRPr lang="en-IN" sz="700" kern="1200">
            <a:latin typeface="Calibri" panose="020F0502020204030204"/>
            <a:ea typeface="+mn-ea"/>
            <a:cs typeface="+mn-cs"/>
          </a:endParaRPr>
        </a:p>
      </dsp:txBody>
      <dsp:txXfrm>
        <a:off x="257820" y="960844"/>
        <a:ext cx="641290" cy="310970"/>
      </dsp:txXfrm>
    </dsp:sp>
    <dsp:sp modelId="{F8560773-3475-43A9-B1CF-7B4EA99108AA}">
      <dsp:nvSpPr>
        <dsp:cNvPr id="0" name=""/>
        <dsp:cNvSpPr/>
      </dsp:nvSpPr>
      <dsp:spPr>
        <a:xfrm rot="17692822">
          <a:off x="726865" y="818113"/>
          <a:ext cx="628097" cy="26630"/>
        </a:xfrm>
        <a:custGeom>
          <a:avLst/>
          <a:gdLst/>
          <a:ahLst/>
          <a:cxnLst/>
          <a:rect l="0" t="0" r="0" b="0"/>
          <a:pathLst>
            <a:path>
              <a:moveTo>
                <a:pt x="0" y="11909"/>
              </a:moveTo>
              <a:lnTo>
                <a:pt x="805258" y="11909"/>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solidFill>
              <a:sysClr val="windowText" lastClr="000000">
                <a:hueOff val="0"/>
                <a:satOff val="0"/>
                <a:lumOff val="0"/>
                <a:alphaOff val="0"/>
              </a:sysClr>
            </a:solidFill>
            <a:latin typeface="Calibri" panose="020F0502020204030204"/>
            <a:ea typeface="+mn-ea"/>
            <a:cs typeface="+mn-cs"/>
          </a:endParaRPr>
        </a:p>
      </dsp:txBody>
      <dsp:txXfrm>
        <a:off x="1025211" y="815726"/>
        <a:ext cx="31404" cy="31404"/>
      </dsp:txXfrm>
    </dsp:sp>
    <dsp:sp modelId="{FCA0D47D-A1EB-4907-BDB8-3B9EFD0E1AFA}">
      <dsp:nvSpPr>
        <dsp:cNvPr id="0" name=""/>
        <dsp:cNvSpPr/>
      </dsp:nvSpPr>
      <dsp:spPr>
        <a:xfrm>
          <a:off x="1173042" y="381367"/>
          <a:ext cx="660640" cy="33032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 sz="700" kern="1200">
              <a:latin typeface="Calibri" panose="020F0502020204030204"/>
              <a:ea typeface="+mn-ea"/>
              <a:cs typeface="+mn-cs"/>
            </a:rPr>
            <a:t>Natural Environment</a:t>
          </a:r>
          <a:endParaRPr lang="en-IN" sz="700" kern="1200">
            <a:latin typeface="Calibri" panose="020F0502020204030204"/>
            <a:ea typeface="+mn-ea"/>
            <a:cs typeface="+mn-cs"/>
          </a:endParaRPr>
        </a:p>
      </dsp:txBody>
      <dsp:txXfrm>
        <a:off x="1182717" y="391042"/>
        <a:ext cx="641290" cy="310970"/>
      </dsp:txXfrm>
    </dsp:sp>
    <dsp:sp modelId="{8D613D43-BEC4-40D5-85F6-3FC45E449673}">
      <dsp:nvSpPr>
        <dsp:cNvPr id="0" name=""/>
        <dsp:cNvSpPr/>
      </dsp:nvSpPr>
      <dsp:spPr>
        <a:xfrm rot="18289469">
          <a:off x="1734439" y="343277"/>
          <a:ext cx="462743" cy="26630"/>
        </a:xfrm>
        <a:custGeom>
          <a:avLst/>
          <a:gdLst/>
          <a:ahLst/>
          <a:cxnLst/>
          <a:rect l="0" t="0" r="0" b="0"/>
          <a:pathLst>
            <a:path>
              <a:moveTo>
                <a:pt x="0" y="11909"/>
              </a:moveTo>
              <a:lnTo>
                <a:pt x="593264" y="11909"/>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solidFill>
              <a:sysClr val="windowText" lastClr="000000">
                <a:hueOff val="0"/>
                <a:satOff val="0"/>
                <a:lumOff val="0"/>
                <a:alphaOff val="0"/>
              </a:sysClr>
            </a:solidFill>
            <a:latin typeface="Calibri" panose="020F0502020204030204"/>
            <a:ea typeface="+mn-ea"/>
            <a:cs typeface="+mn-cs"/>
          </a:endParaRPr>
        </a:p>
      </dsp:txBody>
      <dsp:txXfrm>
        <a:off x="1954242" y="345024"/>
        <a:ext cx="23137" cy="23137"/>
      </dsp:txXfrm>
    </dsp:sp>
    <dsp:sp modelId="{07B77B96-AC97-4F53-B708-186CB647C4DA}">
      <dsp:nvSpPr>
        <dsp:cNvPr id="0" name=""/>
        <dsp:cNvSpPr/>
      </dsp:nvSpPr>
      <dsp:spPr>
        <a:xfrm>
          <a:off x="2097939" y="1498"/>
          <a:ext cx="660640" cy="33032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 sz="700" kern="1200">
              <a:latin typeface="Calibri" panose="020F0502020204030204"/>
              <a:ea typeface="+mn-ea"/>
              <a:cs typeface="+mn-cs"/>
            </a:rPr>
            <a:t>Climate Change</a:t>
          </a:r>
          <a:endParaRPr lang="en-IN" sz="700" kern="1200">
            <a:latin typeface="Calibri" panose="020F0502020204030204"/>
            <a:ea typeface="+mn-ea"/>
            <a:cs typeface="+mn-cs"/>
          </a:endParaRPr>
        </a:p>
      </dsp:txBody>
      <dsp:txXfrm>
        <a:off x="2107614" y="11173"/>
        <a:ext cx="641290" cy="310970"/>
      </dsp:txXfrm>
    </dsp:sp>
    <dsp:sp modelId="{657BD109-70D6-47D0-9F36-6BBC5292361F}">
      <dsp:nvSpPr>
        <dsp:cNvPr id="0" name=""/>
        <dsp:cNvSpPr/>
      </dsp:nvSpPr>
      <dsp:spPr>
        <a:xfrm>
          <a:off x="1833682" y="533212"/>
          <a:ext cx="264256" cy="26630"/>
        </a:xfrm>
        <a:custGeom>
          <a:avLst/>
          <a:gdLst/>
          <a:ahLst/>
          <a:cxnLst/>
          <a:rect l="0" t="0" r="0" b="0"/>
          <a:pathLst>
            <a:path>
              <a:moveTo>
                <a:pt x="0" y="11909"/>
              </a:moveTo>
              <a:lnTo>
                <a:pt x="338792" y="11909"/>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solidFill>
              <a:sysClr val="windowText" lastClr="000000">
                <a:hueOff val="0"/>
                <a:satOff val="0"/>
                <a:lumOff val="0"/>
                <a:alphaOff val="0"/>
              </a:sysClr>
            </a:solidFill>
            <a:latin typeface="Calibri" panose="020F0502020204030204"/>
            <a:ea typeface="+mn-ea"/>
            <a:cs typeface="+mn-cs"/>
          </a:endParaRPr>
        </a:p>
      </dsp:txBody>
      <dsp:txXfrm>
        <a:off x="1959204" y="539921"/>
        <a:ext cx="13212" cy="13212"/>
      </dsp:txXfrm>
    </dsp:sp>
    <dsp:sp modelId="{70C03BE8-7B0C-4224-9287-BF6F2A9AE515}">
      <dsp:nvSpPr>
        <dsp:cNvPr id="0" name=""/>
        <dsp:cNvSpPr/>
      </dsp:nvSpPr>
      <dsp:spPr>
        <a:xfrm>
          <a:off x="2097939" y="381367"/>
          <a:ext cx="660640" cy="33032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 sz="700" kern="1200">
              <a:latin typeface="Calibri" panose="020F0502020204030204"/>
              <a:ea typeface="+mn-ea"/>
              <a:cs typeface="+mn-cs"/>
            </a:rPr>
            <a:t>Carbon Emissions</a:t>
          </a:r>
          <a:endParaRPr lang="en-IN" sz="700" kern="1200">
            <a:latin typeface="Calibri" panose="020F0502020204030204"/>
            <a:ea typeface="+mn-ea"/>
            <a:cs typeface="+mn-cs"/>
          </a:endParaRPr>
        </a:p>
      </dsp:txBody>
      <dsp:txXfrm>
        <a:off x="2107614" y="391042"/>
        <a:ext cx="641290" cy="310970"/>
      </dsp:txXfrm>
    </dsp:sp>
    <dsp:sp modelId="{E45C244F-607E-4F3B-AFBA-4B82E1ECFBD6}">
      <dsp:nvSpPr>
        <dsp:cNvPr id="0" name=""/>
        <dsp:cNvSpPr/>
      </dsp:nvSpPr>
      <dsp:spPr>
        <a:xfrm rot="3310531">
          <a:off x="1734439" y="723146"/>
          <a:ext cx="462743" cy="26630"/>
        </a:xfrm>
        <a:custGeom>
          <a:avLst/>
          <a:gdLst/>
          <a:ahLst/>
          <a:cxnLst/>
          <a:rect l="0" t="0" r="0" b="0"/>
          <a:pathLst>
            <a:path>
              <a:moveTo>
                <a:pt x="0" y="11909"/>
              </a:moveTo>
              <a:lnTo>
                <a:pt x="593264" y="11909"/>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solidFill>
              <a:sysClr val="windowText" lastClr="000000">
                <a:hueOff val="0"/>
                <a:satOff val="0"/>
                <a:lumOff val="0"/>
                <a:alphaOff val="0"/>
              </a:sysClr>
            </a:solidFill>
            <a:latin typeface="Calibri" panose="020F0502020204030204"/>
            <a:ea typeface="+mn-ea"/>
            <a:cs typeface="+mn-cs"/>
          </a:endParaRPr>
        </a:p>
      </dsp:txBody>
      <dsp:txXfrm>
        <a:off x="1954242" y="724893"/>
        <a:ext cx="23137" cy="23137"/>
      </dsp:txXfrm>
    </dsp:sp>
    <dsp:sp modelId="{FE7D1ECD-3807-4487-A307-EBE96FE83C0F}">
      <dsp:nvSpPr>
        <dsp:cNvPr id="0" name=""/>
        <dsp:cNvSpPr/>
      </dsp:nvSpPr>
      <dsp:spPr>
        <a:xfrm>
          <a:off x="2097939" y="761235"/>
          <a:ext cx="660640" cy="33032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 sz="700" kern="1200">
              <a:latin typeface="Calibri" panose="020F0502020204030204"/>
              <a:ea typeface="+mn-ea"/>
              <a:cs typeface="+mn-cs"/>
            </a:rPr>
            <a:t>Stakeholder Pressure</a:t>
          </a:r>
          <a:endParaRPr lang="en-IN" sz="700" kern="1200">
            <a:latin typeface="Calibri" panose="020F0502020204030204"/>
            <a:ea typeface="+mn-ea"/>
            <a:cs typeface="+mn-cs"/>
          </a:endParaRPr>
        </a:p>
      </dsp:txBody>
      <dsp:txXfrm>
        <a:off x="2107614" y="770910"/>
        <a:ext cx="641290" cy="310970"/>
      </dsp:txXfrm>
    </dsp:sp>
    <dsp:sp modelId="{BE808562-C259-4574-AE6B-F0EE5A3944DD}">
      <dsp:nvSpPr>
        <dsp:cNvPr id="0" name=""/>
        <dsp:cNvSpPr/>
      </dsp:nvSpPr>
      <dsp:spPr>
        <a:xfrm rot="3907178">
          <a:off x="726865" y="1387915"/>
          <a:ext cx="628097" cy="26630"/>
        </a:xfrm>
        <a:custGeom>
          <a:avLst/>
          <a:gdLst/>
          <a:ahLst/>
          <a:cxnLst/>
          <a:rect l="0" t="0" r="0" b="0"/>
          <a:pathLst>
            <a:path>
              <a:moveTo>
                <a:pt x="0" y="11909"/>
              </a:moveTo>
              <a:lnTo>
                <a:pt x="805258" y="11909"/>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solidFill>
              <a:sysClr val="windowText" lastClr="000000">
                <a:hueOff val="0"/>
                <a:satOff val="0"/>
                <a:lumOff val="0"/>
                <a:alphaOff val="0"/>
              </a:sysClr>
            </a:solidFill>
            <a:latin typeface="Calibri" panose="020F0502020204030204"/>
            <a:ea typeface="+mn-ea"/>
            <a:cs typeface="+mn-cs"/>
          </a:endParaRPr>
        </a:p>
      </dsp:txBody>
      <dsp:txXfrm>
        <a:off x="1025211" y="1385528"/>
        <a:ext cx="31404" cy="31404"/>
      </dsp:txXfrm>
    </dsp:sp>
    <dsp:sp modelId="{0B054985-5EF8-4940-B03F-15DCFD85FE97}">
      <dsp:nvSpPr>
        <dsp:cNvPr id="0" name=""/>
        <dsp:cNvSpPr/>
      </dsp:nvSpPr>
      <dsp:spPr>
        <a:xfrm>
          <a:off x="1173042" y="1520972"/>
          <a:ext cx="660640" cy="33032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 sz="700" kern="1200">
              <a:latin typeface="Calibri" panose="020F0502020204030204"/>
              <a:ea typeface="+mn-ea"/>
              <a:cs typeface="+mn-cs"/>
            </a:rPr>
            <a:t>Political/Legal Environment</a:t>
          </a:r>
          <a:endParaRPr lang="en-IN" sz="700" kern="1200">
            <a:latin typeface="Calibri" panose="020F0502020204030204"/>
            <a:ea typeface="+mn-ea"/>
            <a:cs typeface="+mn-cs"/>
          </a:endParaRPr>
        </a:p>
      </dsp:txBody>
      <dsp:txXfrm>
        <a:off x="1182717" y="1530647"/>
        <a:ext cx="641290" cy="310970"/>
      </dsp:txXfrm>
    </dsp:sp>
    <dsp:sp modelId="{626D6281-A026-4CBE-BC63-2BCB00187566}">
      <dsp:nvSpPr>
        <dsp:cNvPr id="0" name=""/>
        <dsp:cNvSpPr/>
      </dsp:nvSpPr>
      <dsp:spPr>
        <a:xfrm rot="18289469">
          <a:off x="1734439" y="1482882"/>
          <a:ext cx="462743" cy="26630"/>
        </a:xfrm>
        <a:custGeom>
          <a:avLst/>
          <a:gdLst/>
          <a:ahLst/>
          <a:cxnLst/>
          <a:rect l="0" t="0" r="0" b="0"/>
          <a:pathLst>
            <a:path>
              <a:moveTo>
                <a:pt x="0" y="11909"/>
              </a:moveTo>
              <a:lnTo>
                <a:pt x="593264" y="11909"/>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solidFill>
              <a:sysClr val="windowText" lastClr="000000">
                <a:hueOff val="0"/>
                <a:satOff val="0"/>
                <a:lumOff val="0"/>
                <a:alphaOff val="0"/>
              </a:sysClr>
            </a:solidFill>
            <a:latin typeface="Calibri" panose="020F0502020204030204"/>
            <a:ea typeface="+mn-ea"/>
            <a:cs typeface="+mn-cs"/>
          </a:endParaRPr>
        </a:p>
      </dsp:txBody>
      <dsp:txXfrm>
        <a:off x="1954242" y="1484629"/>
        <a:ext cx="23137" cy="23137"/>
      </dsp:txXfrm>
    </dsp:sp>
    <dsp:sp modelId="{0388AD74-3049-4E4E-B84A-CA778E9A5D44}">
      <dsp:nvSpPr>
        <dsp:cNvPr id="0" name=""/>
        <dsp:cNvSpPr/>
      </dsp:nvSpPr>
      <dsp:spPr>
        <a:xfrm>
          <a:off x="2097939" y="1141104"/>
          <a:ext cx="660640" cy="33032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 sz="700" kern="1200">
              <a:latin typeface="Calibri" panose="020F0502020204030204"/>
              <a:ea typeface="+mn-ea"/>
              <a:cs typeface="+mn-cs"/>
            </a:rPr>
            <a:t>CBAM Policy regulations</a:t>
          </a:r>
          <a:endParaRPr lang="en-IN" sz="700" kern="1200">
            <a:latin typeface="Calibri" panose="020F0502020204030204"/>
            <a:ea typeface="+mn-ea"/>
            <a:cs typeface="+mn-cs"/>
          </a:endParaRPr>
        </a:p>
      </dsp:txBody>
      <dsp:txXfrm>
        <a:off x="2107614" y="1150779"/>
        <a:ext cx="641290" cy="310970"/>
      </dsp:txXfrm>
    </dsp:sp>
    <dsp:sp modelId="{1B094D5B-A018-4233-A76A-B44894FE39A5}">
      <dsp:nvSpPr>
        <dsp:cNvPr id="0" name=""/>
        <dsp:cNvSpPr/>
      </dsp:nvSpPr>
      <dsp:spPr>
        <a:xfrm>
          <a:off x="1833682" y="1672817"/>
          <a:ext cx="264256" cy="26630"/>
        </a:xfrm>
        <a:custGeom>
          <a:avLst/>
          <a:gdLst/>
          <a:ahLst/>
          <a:cxnLst/>
          <a:rect l="0" t="0" r="0" b="0"/>
          <a:pathLst>
            <a:path>
              <a:moveTo>
                <a:pt x="0" y="11909"/>
              </a:moveTo>
              <a:lnTo>
                <a:pt x="338792" y="11909"/>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solidFill>
              <a:sysClr val="windowText" lastClr="000000">
                <a:hueOff val="0"/>
                <a:satOff val="0"/>
                <a:lumOff val="0"/>
                <a:alphaOff val="0"/>
              </a:sysClr>
            </a:solidFill>
            <a:latin typeface="Calibri" panose="020F0502020204030204"/>
            <a:ea typeface="+mn-ea"/>
            <a:cs typeface="+mn-cs"/>
          </a:endParaRPr>
        </a:p>
      </dsp:txBody>
      <dsp:txXfrm>
        <a:off x="1959204" y="1679526"/>
        <a:ext cx="13212" cy="13212"/>
      </dsp:txXfrm>
    </dsp:sp>
    <dsp:sp modelId="{9314F52D-E648-44F9-B8AD-85AF1520A703}">
      <dsp:nvSpPr>
        <dsp:cNvPr id="0" name=""/>
        <dsp:cNvSpPr/>
      </dsp:nvSpPr>
      <dsp:spPr>
        <a:xfrm>
          <a:off x="2097939" y="1520972"/>
          <a:ext cx="660640" cy="33032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 sz="700" kern="1200">
              <a:latin typeface="Calibri" panose="020F0502020204030204"/>
              <a:ea typeface="+mn-ea"/>
              <a:cs typeface="+mn-cs"/>
            </a:rPr>
            <a:t>UK Net-Zero Policy</a:t>
          </a:r>
          <a:endParaRPr lang="en-IN" sz="700" kern="1200">
            <a:latin typeface="Calibri" panose="020F0502020204030204"/>
            <a:ea typeface="+mn-ea"/>
            <a:cs typeface="+mn-cs"/>
          </a:endParaRPr>
        </a:p>
      </dsp:txBody>
      <dsp:txXfrm>
        <a:off x="2107614" y="1530647"/>
        <a:ext cx="641290" cy="310970"/>
      </dsp:txXfrm>
    </dsp:sp>
    <dsp:sp modelId="{94989B68-5E2E-44E8-B749-CB007D54744C}">
      <dsp:nvSpPr>
        <dsp:cNvPr id="0" name=""/>
        <dsp:cNvSpPr/>
      </dsp:nvSpPr>
      <dsp:spPr>
        <a:xfrm rot="3310531">
          <a:off x="1734439" y="1862751"/>
          <a:ext cx="462743" cy="26630"/>
        </a:xfrm>
        <a:custGeom>
          <a:avLst/>
          <a:gdLst/>
          <a:ahLst/>
          <a:cxnLst/>
          <a:rect l="0" t="0" r="0" b="0"/>
          <a:pathLst>
            <a:path>
              <a:moveTo>
                <a:pt x="0" y="11909"/>
              </a:moveTo>
              <a:lnTo>
                <a:pt x="593264" y="11909"/>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solidFill>
              <a:sysClr val="windowText" lastClr="000000">
                <a:hueOff val="0"/>
                <a:satOff val="0"/>
                <a:lumOff val="0"/>
                <a:alphaOff val="0"/>
              </a:sysClr>
            </a:solidFill>
            <a:latin typeface="Calibri" panose="020F0502020204030204"/>
            <a:ea typeface="+mn-ea"/>
            <a:cs typeface="+mn-cs"/>
          </a:endParaRPr>
        </a:p>
      </dsp:txBody>
      <dsp:txXfrm>
        <a:off x="1954242" y="1864498"/>
        <a:ext cx="23137" cy="23137"/>
      </dsp:txXfrm>
    </dsp:sp>
    <dsp:sp modelId="{EEB868B2-B60A-418B-8355-460F016BADFB}">
      <dsp:nvSpPr>
        <dsp:cNvPr id="0" name=""/>
        <dsp:cNvSpPr/>
      </dsp:nvSpPr>
      <dsp:spPr>
        <a:xfrm>
          <a:off x="2097939" y="1900840"/>
          <a:ext cx="660640" cy="33032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 sz="700" kern="1200">
              <a:latin typeface="Calibri" panose="020F0502020204030204"/>
              <a:ea typeface="+mn-ea"/>
              <a:cs typeface="+mn-cs"/>
            </a:rPr>
            <a:t>Indian Carbon regulations</a:t>
          </a:r>
          <a:endParaRPr lang="en-IN" sz="700" kern="1200">
            <a:latin typeface="Calibri" panose="020F0502020204030204"/>
            <a:ea typeface="+mn-ea"/>
            <a:cs typeface="+mn-cs"/>
          </a:endParaRPr>
        </a:p>
      </dsp:txBody>
      <dsp:txXfrm>
        <a:off x="2107614" y="1910515"/>
        <a:ext cx="641290" cy="31097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829CF3-BA0F-4506-826E-8E5098050B02}">
      <dsp:nvSpPr>
        <dsp:cNvPr id="0" name=""/>
        <dsp:cNvSpPr/>
      </dsp:nvSpPr>
      <dsp:spPr>
        <a:xfrm>
          <a:off x="1236" y="1013505"/>
          <a:ext cx="1215458" cy="37328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 sz="800" kern="1200"/>
            <a:t>TATA</a:t>
          </a:r>
          <a:r>
            <a:rPr lang="" sz="800" kern="1200" baseline="0"/>
            <a:t> Steel´s Strategic responses</a:t>
          </a:r>
          <a:endParaRPr lang="en-IN" sz="800" kern="1200"/>
        </a:p>
      </dsp:txBody>
      <dsp:txXfrm>
        <a:off x="12169" y="1024438"/>
        <a:ext cx="1193592" cy="351422"/>
      </dsp:txXfrm>
    </dsp:sp>
    <dsp:sp modelId="{F8560773-3475-43A9-B1CF-7B4EA99108AA}">
      <dsp:nvSpPr>
        <dsp:cNvPr id="0" name=""/>
        <dsp:cNvSpPr/>
      </dsp:nvSpPr>
      <dsp:spPr>
        <a:xfrm rot="18289469">
          <a:off x="1104541" y="971512"/>
          <a:ext cx="522937" cy="27993"/>
        </a:xfrm>
        <a:custGeom>
          <a:avLst/>
          <a:gdLst/>
          <a:ahLst/>
          <a:cxnLst/>
          <a:rect l="0" t="0" r="0" b="0"/>
          <a:pathLst>
            <a:path>
              <a:moveTo>
                <a:pt x="0" y="13996"/>
              </a:moveTo>
              <a:lnTo>
                <a:pt x="522937" y="1399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1352936" y="972435"/>
        <a:ext cx="26146" cy="26146"/>
      </dsp:txXfrm>
    </dsp:sp>
    <dsp:sp modelId="{FCA0D47D-A1EB-4907-BDB8-3B9EFD0E1AFA}">
      <dsp:nvSpPr>
        <dsp:cNvPr id="0" name=""/>
        <dsp:cNvSpPr/>
      </dsp:nvSpPr>
      <dsp:spPr>
        <a:xfrm>
          <a:off x="1515325" y="584223"/>
          <a:ext cx="746577" cy="37328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 sz="800" kern="1200"/>
            <a:t>EAF Investment Hydrogen Tech</a:t>
          </a:r>
          <a:endParaRPr lang="en-IN" sz="800" kern="1200"/>
        </a:p>
      </dsp:txBody>
      <dsp:txXfrm>
        <a:off x="1526258" y="595156"/>
        <a:ext cx="724711" cy="351422"/>
      </dsp:txXfrm>
    </dsp:sp>
    <dsp:sp modelId="{BE808562-C259-4574-AE6B-F0EE5A3944DD}">
      <dsp:nvSpPr>
        <dsp:cNvPr id="0" name=""/>
        <dsp:cNvSpPr/>
      </dsp:nvSpPr>
      <dsp:spPr>
        <a:xfrm>
          <a:off x="1216694" y="1186153"/>
          <a:ext cx="298631" cy="27993"/>
        </a:xfrm>
        <a:custGeom>
          <a:avLst/>
          <a:gdLst/>
          <a:ahLst/>
          <a:cxnLst/>
          <a:rect l="0" t="0" r="0" b="0"/>
          <a:pathLst>
            <a:path>
              <a:moveTo>
                <a:pt x="0" y="13996"/>
              </a:moveTo>
              <a:lnTo>
                <a:pt x="298631" y="1399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1358544" y="1192684"/>
        <a:ext cx="14931" cy="14931"/>
      </dsp:txXfrm>
    </dsp:sp>
    <dsp:sp modelId="{0B054985-5EF8-4940-B03F-15DCFD85FE97}">
      <dsp:nvSpPr>
        <dsp:cNvPr id="0" name=""/>
        <dsp:cNvSpPr/>
      </dsp:nvSpPr>
      <dsp:spPr>
        <a:xfrm>
          <a:off x="1515325" y="1013505"/>
          <a:ext cx="746577" cy="37328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 sz="800" kern="1200"/>
            <a:t>Green</a:t>
          </a:r>
          <a:r>
            <a:rPr lang="" sz="800" kern="1200" baseline="0"/>
            <a:t> Steel Positioning</a:t>
          </a:r>
          <a:endParaRPr lang="en-IN" sz="800" kern="1200"/>
        </a:p>
      </dsp:txBody>
      <dsp:txXfrm>
        <a:off x="1526258" y="1024438"/>
        <a:ext cx="724711" cy="351422"/>
      </dsp:txXfrm>
    </dsp:sp>
    <dsp:sp modelId="{0EA1C15F-91E1-40C2-AFD6-C479725AF166}">
      <dsp:nvSpPr>
        <dsp:cNvPr id="0" name=""/>
        <dsp:cNvSpPr/>
      </dsp:nvSpPr>
      <dsp:spPr>
        <a:xfrm rot="3310531">
          <a:off x="1104541" y="1400794"/>
          <a:ext cx="522937" cy="27993"/>
        </a:xfrm>
        <a:custGeom>
          <a:avLst/>
          <a:gdLst/>
          <a:ahLst/>
          <a:cxnLst/>
          <a:rect l="0" t="0" r="0" b="0"/>
          <a:pathLst>
            <a:path>
              <a:moveTo>
                <a:pt x="0" y="13996"/>
              </a:moveTo>
              <a:lnTo>
                <a:pt x="522937" y="1399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1352936" y="1401717"/>
        <a:ext cx="26146" cy="26146"/>
      </dsp:txXfrm>
    </dsp:sp>
    <dsp:sp modelId="{DFFDFA84-9092-40C4-A212-392F2E160F0F}">
      <dsp:nvSpPr>
        <dsp:cNvPr id="0" name=""/>
        <dsp:cNvSpPr/>
      </dsp:nvSpPr>
      <dsp:spPr>
        <a:xfrm>
          <a:off x="1515325" y="1442787"/>
          <a:ext cx="746577" cy="37328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 sz="800" kern="1200"/>
            <a:t>Net Zero Strategy ESG Branding</a:t>
          </a:r>
          <a:endParaRPr lang="en-IN" sz="800" kern="1200"/>
        </a:p>
      </dsp:txBody>
      <dsp:txXfrm>
        <a:off x="1526258" y="1453720"/>
        <a:ext cx="724711" cy="35142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DEA6E7-E0B4-4AFF-B221-7266C9537BD4}">
      <dsp:nvSpPr>
        <dsp:cNvPr id="0" name=""/>
        <dsp:cNvSpPr/>
      </dsp:nvSpPr>
      <dsp:spPr>
        <a:xfrm>
          <a:off x="0" y="0"/>
          <a:ext cx="922458" cy="403510"/>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 sz="1200" kern="1200"/>
            <a:t>Competitive Advantage</a:t>
          </a:r>
          <a:endParaRPr lang="en-IN" sz="1200" kern="1200"/>
        </a:p>
      </dsp:txBody>
      <dsp:txXfrm>
        <a:off x="0" y="0"/>
        <a:ext cx="922458" cy="40351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C2882C-65AA-415B-9496-501DB0DE1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1982</TotalTime>
  <Pages>19</Pages>
  <Words>4482</Words>
  <Characters>25548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34</cp:revision>
  <dcterms:created xsi:type="dcterms:W3CDTF">2026-05-17T20:10:00Z</dcterms:created>
  <dcterms:modified xsi:type="dcterms:W3CDTF">2026-06-24T23:51:00Z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70584c9a-f6b0-4874-81ec-464fa36c68b3</vt:lpwstr>
  </property>
</Properties>
</file>