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1474A" w14:textId="77777777" w:rsidR="00A60F0F" w:rsidRDefault="00A60F0F" w:rsidP="00B96984">
      <w:pPr>
        <w:widowControl/>
        <w:pBdr>
          <w:bottom w:val="single" w:sz="8" w:space="4" w:color="4472C4"/>
        </w:pBdr>
        <w:spacing w:before="100" w:beforeAutospacing="1" w:after="100" w:afterAutospacing="1" w:line="360" w:lineRule="auto"/>
        <w:contextualSpacing/>
        <w:jc w:val="center"/>
        <w:rPr>
          <w:rFonts w:ascii="Arial" w:eastAsia="等线 Light" w:hAnsi="Arial" w:cs="Arial"/>
          <w:color w:val="323E4F"/>
          <w:spacing w:val="5"/>
          <w:kern w:val="0"/>
          <w:sz w:val="24"/>
          <w:szCs w:val="24"/>
        </w:rPr>
      </w:pPr>
    </w:p>
    <w:p w14:paraId="7890A995" w14:textId="77777777" w:rsidR="00A60F0F" w:rsidRDefault="00A60F0F" w:rsidP="00A60F0F">
      <w:pPr>
        <w:widowControl/>
        <w:pBdr>
          <w:bottom w:val="single" w:sz="8" w:space="4" w:color="4472C4"/>
        </w:pBdr>
        <w:spacing w:before="100" w:beforeAutospacing="1" w:after="100" w:afterAutospacing="1" w:line="360" w:lineRule="auto"/>
        <w:contextualSpacing/>
        <w:jc w:val="center"/>
        <w:rPr>
          <w:rFonts w:ascii="Arial" w:eastAsia="等线 Light" w:hAnsi="Arial" w:cs="Arial"/>
          <w:color w:val="323E4F"/>
          <w:spacing w:val="5"/>
          <w:kern w:val="0"/>
          <w:sz w:val="24"/>
          <w:szCs w:val="24"/>
        </w:rPr>
      </w:pPr>
    </w:p>
    <w:p w14:paraId="3F9BE7D6" w14:textId="77777777" w:rsidR="00A60F0F" w:rsidRDefault="00A60F0F" w:rsidP="00A60F0F">
      <w:pPr>
        <w:widowControl/>
        <w:pBdr>
          <w:bottom w:val="single" w:sz="8" w:space="4" w:color="4472C4"/>
        </w:pBdr>
        <w:spacing w:before="100" w:beforeAutospacing="1" w:after="100" w:afterAutospacing="1" w:line="360" w:lineRule="auto"/>
        <w:contextualSpacing/>
        <w:jc w:val="center"/>
        <w:rPr>
          <w:rFonts w:ascii="Arial" w:eastAsia="等线 Light" w:hAnsi="Arial" w:cs="Arial"/>
          <w:color w:val="323E4F"/>
          <w:spacing w:val="5"/>
          <w:kern w:val="0"/>
          <w:sz w:val="24"/>
          <w:szCs w:val="24"/>
        </w:rPr>
      </w:pPr>
    </w:p>
    <w:p w14:paraId="0AB6F361" w14:textId="77777777" w:rsidR="00A60F0F" w:rsidRDefault="00A60F0F" w:rsidP="00A60F0F">
      <w:pPr>
        <w:widowControl/>
        <w:pBdr>
          <w:bottom w:val="single" w:sz="8" w:space="4" w:color="4472C4"/>
        </w:pBdr>
        <w:spacing w:before="100" w:beforeAutospacing="1" w:after="100" w:afterAutospacing="1" w:line="360" w:lineRule="auto"/>
        <w:contextualSpacing/>
        <w:jc w:val="center"/>
        <w:rPr>
          <w:rFonts w:ascii="Arial" w:eastAsia="等线 Light" w:hAnsi="Arial" w:cs="Arial"/>
          <w:color w:val="323E4F"/>
          <w:spacing w:val="5"/>
          <w:kern w:val="0"/>
          <w:sz w:val="24"/>
          <w:szCs w:val="24"/>
        </w:rPr>
      </w:pPr>
    </w:p>
    <w:p w14:paraId="48FD9E43" w14:textId="77777777" w:rsidR="00A60F0F" w:rsidRDefault="00A60F0F" w:rsidP="00A60F0F">
      <w:pPr>
        <w:widowControl/>
        <w:pBdr>
          <w:bottom w:val="single" w:sz="8" w:space="4" w:color="4472C4"/>
        </w:pBdr>
        <w:spacing w:before="100" w:beforeAutospacing="1" w:after="100" w:afterAutospacing="1" w:line="360" w:lineRule="auto"/>
        <w:contextualSpacing/>
        <w:jc w:val="center"/>
        <w:rPr>
          <w:rFonts w:ascii="Arial" w:eastAsia="等线 Light" w:hAnsi="Arial" w:cs="Arial"/>
          <w:color w:val="323E4F"/>
          <w:spacing w:val="5"/>
          <w:kern w:val="0"/>
          <w:sz w:val="24"/>
          <w:szCs w:val="24"/>
        </w:rPr>
      </w:pPr>
    </w:p>
    <w:p w14:paraId="659D9900" w14:textId="3271D407" w:rsidR="00A60F0F" w:rsidRPr="007B6730" w:rsidRDefault="00A60F0F" w:rsidP="00A60F0F">
      <w:pPr>
        <w:widowControl/>
        <w:pBdr>
          <w:bottom w:val="single" w:sz="8" w:space="4" w:color="4472C4"/>
        </w:pBdr>
        <w:spacing w:before="100" w:beforeAutospacing="1" w:after="100" w:afterAutospacing="1" w:line="360" w:lineRule="auto"/>
        <w:contextualSpacing/>
        <w:jc w:val="center"/>
        <w:rPr>
          <w:rFonts w:ascii="Arial" w:eastAsia="等线 Light" w:hAnsi="Arial" w:cs="Arial" w:hint="eastAsia"/>
          <w:color w:val="323E4F"/>
          <w:spacing w:val="5"/>
          <w:kern w:val="0"/>
          <w:sz w:val="24"/>
          <w:szCs w:val="24"/>
        </w:rPr>
      </w:pPr>
      <w:r w:rsidRPr="007B6730">
        <w:rPr>
          <w:rFonts w:ascii="Arial" w:eastAsia="等线 Light" w:hAnsi="Arial" w:cs="Arial"/>
          <w:color w:val="323E4F"/>
          <w:spacing w:val="5"/>
          <w:kern w:val="0"/>
          <w:sz w:val="24"/>
          <w:szCs w:val="24"/>
        </w:rPr>
        <w:t xml:space="preserve">Unit name: </w:t>
      </w:r>
      <w:r>
        <w:rPr>
          <w:rFonts w:ascii="Arial" w:eastAsia="等线 Light" w:hAnsi="Arial" w:cs="Arial" w:hint="eastAsia"/>
          <w:color w:val="323E4F"/>
          <w:spacing w:val="5"/>
          <w:kern w:val="0"/>
          <w:sz w:val="24"/>
          <w:szCs w:val="24"/>
        </w:rPr>
        <w:t>Financial Management</w:t>
      </w:r>
    </w:p>
    <w:p w14:paraId="6A0372A8" w14:textId="6F128CB5" w:rsidR="00A60F0F" w:rsidRPr="00A60F0F" w:rsidRDefault="00A60F0F" w:rsidP="00A60F0F">
      <w:pPr>
        <w:widowControl/>
        <w:pBdr>
          <w:bottom w:val="single" w:sz="8" w:space="4" w:color="4472C4"/>
        </w:pBdr>
        <w:spacing w:before="100" w:beforeAutospacing="1" w:after="100" w:afterAutospacing="1" w:line="360" w:lineRule="auto"/>
        <w:contextualSpacing/>
        <w:jc w:val="center"/>
        <w:rPr>
          <w:rFonts w:ascii="Arial" w:eastAsia="等线 Light" w:hAnsi="Arial" w:cs="Arial"/>
          <w:b/>
          <w:bCs/>
          <w:color w:val="323E4F"/>
          <w:spacing w:val="5"/>
          <w:kern w:val="0"/>
          <w:sz w:val="24"/>
          <w:szCs w:val="24"/>
        </w:rPr>
      </w:pPr>
      <w:r w:rsidRPr="007B6730">
        <w:rPr>
          <w:rFonts w:ascii="Arial" w:hAnsi="Arial" w:cs="Arial"/>
          <w:sz w:val="24"/>
          <w:szCs w:val="24"/>
        </w:rPr>
        <w:t xml:space="preserve"> </w:t>
      </w:r>
      <w:r w:rsidRPr="00A60F0F">
        <w:rPr>
          <w:rFonts w:ascii="Arial" w:hAnsi="Arial" w:cs="Arial" w:hint="eastAsia"/>
          <w:b/>
          <w:bCs/>
          <w:sz w:val="24"/>
          <w:szCs w:val="24"/>
        </w:rPr>
        <w:t>Innovation through Merger: Microsoft and LinkedIn</w:t>
      </w:r>
    </w:p>
    <w:p w14:paraId="2152992F" w14:textId="77777777" w:rsidR="00A60F0F" w:rsidRPr="007B6730" w:rsidRDefault="00A60F0F" w:rsidP="00A60F0F">
      <w:pPr>
        <w:widowControl/>
        <w:spacing w:before="100" w:beforeAutospacing="1" w:after="100" w:afterAutospacing="1" w:line="360" w:lineRule="auto"/>
        <w:jc w:val="center"/>
        <w:rPr>
          <w:rFonts w:ascii="Arial" w:eastAsia="等线" w:hAnsi="Arial" w:cs="Arial"/>
          <w:kern w:val="0"/>
          <w:sz w:val="24"/>
          <w:szCs w:val="24"/>
        </w:rPr>
      </w:pPr>
      <w:r w:rsidRPr="007B6730">
        <w:rPr>
          <w:rFonts w:ascii="Arial" w:eastAsia="等线" w:hAnsi="Arial" w:cs="Arial"/>
          <w:kern w:val="0"/>
          <w:sz w:val="24"/>
          <w:szCs w:val="24"/>
        </w:rPr>
        <w:t>Written by: Wang Yaozheng</w:t>
      </w:r>
    </w:p>
    <w:p w14:paraId="78CB671A" w14:textId="77777777" w:rsidR="00A60F0F" w:rsidRPr="007B6730" w:rsidRDefault="00A60F0F" w:rsidP="00A60F0F">
      <w:pPr>
        <w:widowControl/>
        <w:spacing w:before="100" w:beforeAutospacing="1" w:after="100" w:afterAutospacing="1" w:line="360" w:lineRule="auto"/>
        <w:jc w:val="center"/>
        <w:rPr>
          <w:rFonts w:ascii="Arial" w:eastAsia="等线" w:hAnsi="Arial" w:cs="Arial"/>
          <w:kern w:val="0"/>
          <w:sz w:val="24"/>
          <w:szCs w:val="24"/>
        </w:rPr>
      </w:pPr>
      <w:r w:rsidRPr="007B6730">
        <w:rPr>
          <w:rFonts w:ascii="Arial" w:eastAsia="等线" w:hAnsi="Arial" w:cs="Arial"/>
          <w:kern w:val="0"/>
          <w:sz w:val="24"/>
          <w:szCs w:val="24"/>
        </w:rPr>
        <w:t>Student ID: 2416609</w:t>
      </w:r>
    </w:p>
    <w:p w14:paraId="2E3F5824" w14:textId="610E356E" w:rsidR="00A60F0F" w:rsidRPr="007B6730" w:rsidRDefault="00A60F0F" w:rsidP="00A60F0F">
      <w:pPr>
        <w:widowControl/>
        <w:spacing w:before="100" w:beforeAutospacing="1" w:after="100" w:afterAutospacing="1" w:line="360" w:lineRule="auto"/>
        <w:jc w:val="center"/>
        <w:rPr>
          <w:rFonts w:ascii="Arial" w:eastAsia="等线" w:hAnsi="Arial" w:cs="Arial"/>
          <w:kern w:val="0"/>
          <w:sz w:val="24"/>
          <w:szCs w:val="24"/>
        </w:rPr>
      </w:pPr>
      <w:r w:rsidRPr="007B6730">
        <w:rPr>
          <w:rFonts w:ascii="Arial" w:eastAsia="等线" w:hAnsi="Arial" w:cs="Arial"/>
          <w:kern w:val="0"/>
          <w:sz w:val="24"/>
          <w:szCs w:val="24"/>
        </w:rPr>
        <w:t xml:space="preserve">Date submitted: </w:t>
      </w:r>
      <w:r>
        <w:rPr>
          <w:rFonts w:ascii="Arial" w:eastAsia="等线" w:hAnsi="Arial" w:cs="Arial" w:hint="eastAsia"/>
          <w:kern w:val="0"/>
          <w:sz w:val="24"/>
          <w:szCs w:val="24"/>
        </w:rPr>
        <w:t>April</w:t>
      </w:r>
      <w:r w:rsidRPr="007B6730">
        <w:rPr>
          <w:rFonts w:ascii="Arial" w:eastAsia="等线" w:hAnsi="Arial" w:cs="Arial"/>
          <w:kern w:val="0"/>
          <w:sz w:val="24"/>
          <w:szCs w:val="24"/>
        </w:rPr>
        <w:t xml:space="preserve"> </w:t>
      </w:r>
      <w:r>
        <w:rPr>
          <w:rFonts w:ascii="Arial" w:eastAsia="等线" w:hAnsi="Arial" w:cs="Arial" w:hint="eastAsia"/>
          <w:kern w:val="0"/>
          <w:sz w:val="24"/>
          <w:szCs w:val="24"/>
        </w:rPr>
        <w:t>4</w:t>
      </w:r>
      <w:r w:rsidRPr="007B6730">
        <w:rPr>
          <w:rFonts w:ascii="Arial" w:eastAsia="等线" w:hAnsi="Arial" w:cs="Arial"/>
          <w:kern w:val="0"/>
          <w:sz w:val="24"/>
          <w:szCs w:val="24"/>
        </w:rPr>
        <w:t>, 2025</w:t>
      </w:r>
    </w:p>
    <w:p w14:paraId="697C1A47" w14:textId="08FE87E9" w:rsidR="0005550B" w:rsidRDefault="0005550B">
      <w:pPr>
        <w:rPr>
          <w:rFonts w:hint="eastAsia"/>
        </w:rPr>
      </w:pPr>
    </w:p>
    <w:p w14:paraId="14E75041" w14:textId="35808615" w:rsidR="0005550B" w:rsidRDefault="0005550B" w:rsidP="00A619E8">
      <w:pPr>
        <w:widowControl/>
        <w:jc w:val="left"/>
        <w:rPr>
          <w:rFonts w:hint="eastAsia"/>
        </w:rPr>
      </w:pPr>
      <w:r>
        <w:rPr>
          <w:rFonts w:hint="eastAsia"/>
        </w:rPr>
        <w:br w:type="page"/>
      </w:r>
    </w:p>
    <w:p w14:paraId="5E14E416" w14:textId="77777777" w:rsidR="00A619E8" w:rsidRPr="00314FEC" w:rsidRDefault="00A619E8" w:rsidP="00A619E8">
      <w:pPr>
        <w:pStyle w:val="1"/>
        <w:rPr>
          <w:rFonts w:ascii="Arial" w:hAnsi="Arial" w:cs="Arial"/>
          <w:sz w:val="22"/>
          <w:szCs w:val="22"/>
        </w:rPr>
      </w:pPr>
      <w:bookmarkStart w:id="0" w:name="_Toc194712771"/>
      <w:r w:rsidRPr="00314FEC">
        <w:rPr>
          <w:rFonts w:ascii="Arial" w:hAnsi="Arial" w:cs="Arial"/>
          <w:sz w:val="22"/>
          <w:szCs w:val="22"/>
        </w:rPr>
        <w:lastRenderedPageBreak/>
        <w:t>Executive Summary</w:t>
      </w:r>
      <w:bookmarkEnd w:id="0"/>
    </w:p>
    <w:p w14:paraId="627F043F" w14:textId="77777777" w:rsidR="00A619E8" w:rsidRPr="00A619E8" w:rsidRDefault="00A619E8" w:rsidP="00A619E8">
      <w:pPr>
        <w:widowControl/>
        <w:jc w:val="left"/>
        <w:rPr>
          <w:rFonts w:ascii="Arial" w:hAnsi="Arial" w:cs="Arial"/>
          <w:sz w:val="22"/>
        </w:rPr>
      </w:pPr>
      <w:r w:rsidRPr="00A619E8">
        <w:rPr>
          <w:rFonts w:ascii="Arial" w:hAnsi="Arial" w:cs="Arial"/>
          <w:sz w:val="22"/>
        </w:rPr>
        <w:t>Microsoft’s $26.2 billion acquisition of LinkedIn in 2016 stands as a landmark example of how strategic mergers can drive growth, innovation, and long-term value. This report evaluates the merger’s success through six key dimensions: strategic synergy, financial engineering, market power, organizational agility, sustainability, and shareholder returns.</w:t>
      </w:r>
    </w:p>
    <w:p w14:paraId="3DD2C013" w14:textId="77777777" w:rsidR="00A619E8" w:rsidRPr="00314FEC" w:rsidRDefault="00A619E8" w:rsidP="00A619E8">
      <w:pPr>
        <w:widowControl/>
        <w:jc w:val="left"/>
        <w:rPr>
          <w:rFonts w:ascii="Arial" w:hAnsi="Arial" w:cs="Arial"/>
          <w:sz w:val="22"/>
        </w:rPr>
      </w:pPr>
      <w:r w:rsidRPr="00A619E8">
        <w:rPr>
          <w:rFonts w:ascii="Arial" w:hAnsi="Arial" w:cs="Arial"/>
          <w:sz w:val="22"/>
        </w:rPr>
        <w:t>The merger achieved strategic synergies by combining LinkedIn’s professional network with Microsoft’s productivity tools. Integrating LinkedIn’s 430 million user data into Azure AI models improved recruitment and training tools, while bundling LinkedIn with Office 365 strengthened Microsoft’s dominance in enterprise software. These moves, guided by theories like the Resource-Based View and Porter’s Five Forces, created a unified ecosystem that competitors struggled to match.</w:t>
      </w:r>
    </w:p>
    <w:p w14:paraId="4C274F6E" w14:textId="77777777" w:rsidR="00A619E8" w:rsidRPr="00A619E8" w:rsidRDefault="00A619E8" w:rsidP="00A619E8">
      <w:pPr>
        <w:widowControl/>
        <w:jc w:val="left"/>
        <w:rPr>
          <w:rFonts w:ascii="Arial" w:hAnsi="Arial" w:cs="Arial"/>
          <w:sz w:val="22"/>
        </w:rPr>
      </w:pPr>
    </w:p>
    <w:p w14:paraId="591F74EA" w14:textId="0771E82F" w:rsidR="00A619E8" w:rsidRPr="00314FEC" w:rsidRDefault="00A619E8" w:rsidP="00A619E8">
      <w:pPr>
        <w:widowControl/>
        <w:jc w:val="left"/>
        <w:rPr>
          <w:rFonts w:ascii="Arial" w:hAnsi="Arial" w:cs="Arial"/>
          <w:sz w:val="22"/>
        </w:rPr>
      </w:pPr>
      <w:r w:rsidRPr="00A619E8">
        <w:rPr>
          <w:rFonts w:ascii="Arial" w:hAnsi="Arial" w:cs="Arial"/>
          <w:sz w:val="22"/>
        </w:rPr>
        <w:t>Financially, Microsoft’s all-cash deal avoided shareholder dilution, while later debt financing optimized tax savings under the Modigliani-Miller Theorem. LinkedIn’s data was treated as a “real option,” enabling AI innovations that</w:t>
      </w:r>
      <w:r w:rsidRPr="00314FEC">
        <w:rPr>
          <w:rFonts w:ascii="Arial" w:hAnsi="Arial" w:cs="Arial"/>
          <w:sz w:val="22"/>
        </w:rPr>
        <w:t xml:space="preserve"> </w:t>
      </w:r>
      <w:r w:rsidRPr="00A619E8">
        <w:rPr>
          <w:rFonts w:ascii="Arial" w:hAnsi="Arial" w:cs="Arial"/>
          <w:sz w:val="22"/>
        </w:rPr>
        <w:t>generated 15billion</w:t>
      </w:r>
      <w:r w:rsidRPr="00314FEC">
        <w:rPr>
          <w:rFonts w:ascii="Arial" w:hAnsi="Arial" w:cs="Arial"/>
          <w:sz w:val="22"/>
        </w:rPr>
        <w:t xml:space="preserve"> </w:t>
      </w:r>
      <w:r w:rsidRPr="00A619E8">
        <w:rPr>
          <w:rFonts w:ascii="Arial" w:hAnsi="Arial" w:cs="Arial"/>
          <w:sz w:val="22"/>
        </w:rPr>
        <w:t>in</w:t>
      </w:r>
      <w:r w:rsidRPr="00314FEC">
        <w:rPr>
          <w:rFonts w:ascii="Arial" w:hAnsi="Arial" w:cs="Arial"/>
          <w:sz w:val="22"/>
        </w:rPr>
        <w:t xml:space="preserve"> </w:t>
      </w:r>
      <w:r w:rsidRPr="00A619E8">
        <w:rPr>
          <w:rFonts w:ascii="Arial" w:hAnsi="Arial" w:cs="Arial"/>
          <w:sz w:val="22"/>
        </w:rPr>
        <w:t>cumulative</w:t>
      </w:r>
      <w:r w:rsidRPr="00314FEC">
        <w:rPr>
          <w:rFonts w:ascii="Arial" w:hAnsi="Arial" w:cs="Arial"/>
          <w:sz w:val="22"/>
        </w:rPr>
        <w:t xml:space="preserve"> </w:t>
      </w:r>
      <w:r w:rsidRPr="00A619E8">
        <w:rPr>
          <w:rFonts w:ascii="Arial" w:hAnsi="Arial" w:cs="Arial"/>
          <w:sz w:val="22"/>
        </w:rPr>
        <w:t>revenue</w:t>
      </w:r>
      <w:r w:rsidRPr="00314FEC">
        <w:rPr>
          <w:rFonts w:ascii="Arial" w:hAnsi="Arial" w:cs="Arial"/>
          <w:sz w:val="22"/>
        </w:rPr>
        <w:t xml:space="preserve"> </w:t>
      </w:r>
      <w:r w:rsidRPr="00A619E8">
        <w:rPr>
          <w:rFonts w:ascii="Arial" w:hAnsi="Arial" w:cs="Arial"/>
          <w:sz w:val="22"/>
        </w:rPr>
        <w:t>by</w:t>
      </w:r>
      <w:r w:rsidRPr="00314FEC">
        <w:rPr>
          <w:rFonts w:ascii="Arial" w:hAnsi="Arial" w:cs="Arial"/>
          <w:sz w:val="22"/>
        </w:rPr>
        <w:t xml:space="preserve"> </w:t>
      </w:r>
      <w:r w:rsidRPr="00A619E8">
        <w:rPr>
          <w:rFonts w:ascii="Arial" w:hAnsi="Arial" w:cs="Arial"/>
          <w:sz w:val="22"/>
        </w:rPr>
        <w:t>2023.</w:t>
      </w:r>
      <w:r w:rsidRPr="00314FEC">
        <w:rPr>
          <w:rFonts w:ascii="Arial" w:hAnsi="Arial" w:cs="Arial"/>
          <w:sz w:val="22"/>
        </w:rPr>
        <w:t xml:space="preserve"> </w:t>
      </w:r>
      <w:r w:rsidRPr="00A619E8">
        <w:rPr>
          <w:rFonts w:ascii="Arial" w:hAnsi="Arial" w:cs="Arial"/>
          <w:sz w:val="22"/>
        </w:rPr>
        <w:t>Despite</w:t>
      </w:r>
      <w:r w:rsidRPr="00314FEC">
        <w:rPr>
          <w:rFonts w:ascii="Arial" w:hAnsi="Arial" w:cs="Arial"/>
          <w:sz w:val="22"/>
        </w:rPr>
        <w:t xml:space="preserve"> </w:t>
      </w:r>
      <w:r w:rsidRPr="00A619E8">
        <w:rPr>
          <w:rFonts w:ascii="Arial" w:hAnsi="Arial" w:cs="Arial"/>
          <w:sz w:val="22"/>
        </w:rPr>
        <w:t>15billion</w:t>
      </w:r>
      <w:r w:rsidRPr="00314FEC">
        <w:rPr>
          <w:rFonts w:ascii="Arial" w:hAnsi="Arial" w:cs="Arial"/>
          <w:sz w:val="22"/>
        </w:rPr>
        <w:t xml:space="preserve"> </w:t>
      </w:r>
      <w:r w:rsidRPr="00A619E8">
        <w:rPr>
          <w:rFonts w:ascii="Arial" w:hAnsi="Arial" w:cs="Arial"/>
          <w:sz w:val="22"/>
        </w:rPr>
        <w:t>in</w:t>
      </w:r>
      <w:r w:rsidRPr="00314FEC">
        <w:rPr>
          <w:rFonts w:ascii="Arial" w:hAnsi="Arial" w:cs="Arial"/>
          <w:sz w:val="22"/>
        </w:rPr>
        <w:t xml:space="preserve"> cumulative revenue </w:t>
      </w:r>
      <w:r w:rsidRPr="00A619E8">
        <w:rPr>
          <w:rFonts w:ascii="Arial" w:hAnsi="Arial" w:cs="Arial"/>
          <w:sz w:val="22"/>
        </w:rPr>
        <w:t>by</w:t>
      </w:r>
      <w:r w:rsidRPr="00314FEC">
        <w:rPr>
          <w:rFonts w:ascii="Arial" w:hAnsi="Arial" w:cs="Arial"/>
          <w:sz w:val="22"/>
        </w:rPr>
        <w:t xml:space="preserve"> </w:t>
      </w:r>
      <w:r w:rsidRPr="00A619E8">
        <w:rPr>
          <w:rFonts w:ascii="Arial" w:hAnsi="Arial" w:cs="Arial"/>
          <w:sz w:val="22"/>
        </w:rPr>
        <w:t>2023</w:t>
      </w:r>
      <w:r w:rsidRPr="00314FEC">
        <w:rPr>
          <w:rFonts w:ascii="Arial" w:hAnsi="Arial" w:cs="Arial"/>
          <w:sz w:val="22"/>
        </w:rPr>
        <w:t xml:space="preserve">. Despite </w:t>
      </w:r>
      <w:r w:rsidRPr="00A619E8">
        <w:rPr>
          <w:rFonts w:ascii="Arial" w:hAnsi="Arial" w:cs="Arial"/>
          <w:sz w:val="22"/>
        </w:rPr>
        <w:t>3 billion in integration costs, Microsoft’s stock rose 480% from 2016 to 2022, showcasing alignment with Jensen’s Agency Theory on shareholder value.</w:t>
      </w:r>
    </w:p>
    <w:p w14:paraId="00CCDD84" w14:textId="77777777" w:rsidR="00A619E8" w:rsidRPr="00A619E8" w:rsidRDefault="00A619E8" w:rsidP="00A619E8">
      <w:pPr>
        <w:widowControl/>
        <w:jc w:val="left"/>
        <w:rPr>
          <w:rFonts w:ascii="Arial" w:hAnsi="Arial" w:cs="Arial"/>
          <w:sz w:val="22"/>
        </w:rPr>
      </w:pPr>
    </w:p>
    <w:p w14:paraId="26D510F2" w14:textId="77777777" w:rsidR="00A619E8" w:rsidRPr="00314FEC" w:rsidRDefault="00A619E8" w:rsidP="00A619E8">
      <w:pPr>
        <w:widowControl/>
        <w:jc w:val="left"/>
        <w:rPr>
          <w:rFonts w:ascii="Arial" w:hAnsi="Arial" w:cs="Arial"/>
          <w:sz w:val="22"/>
        </w:rPr>
      </w:pPr>
      <w:r w:rsidRPr="00A619E8">
        <w:rPr>
          <w:rFonts w:ascii="Arial" w:hAnsi="Arial" w:cs="Arial"/>
          <w:sz w:val="22"/>
        </w:rPr>
        <w:t>Organizational success relied on balancing LinkedIn’s agile culture with Microsoft’s structured processes. Cross-border compliance efforts, such as a $120 million investment to meet EU data laws, turned regulatory challenges into trust-building opportunities. Meanwhile, LinkedIn’s green skills database advanced Microsoft’s ESG goals, helping companies track sustainability readiness.</w:t>
      </w:r>
    </w:p>
    <w:p w14:paraId="09E9B040" w14:textId="77777777" w:rsidR="00A619E8" w:rsidRPr="00A619E8" w:rsidRDefault="00A619E8" w:rsidP="00A619E8">
      <w:pPr>
        <w:widowControl/>
        <w:jc w:val="left"/>
        <w:rPr>
          <w:rFonts w:ascii="Arial" w:hAnsi="Arial" w:cs="Arial"/>
          <w:sz w:val="22"/>
        </w:rPr>
      </w:pPr>
    </w:p>
    <w:p w14:paraId="56F7E8E2" w14:textId="77777777" w:rsidR="00A619E8" w:rsidRPr="00314FEC" w:rsidRDefault="00A619E8" w:rsidP="00A619E8">
      <w:pPr>
        <w:widowControl/>
        <w:jc w:val="left"/>
        <w:rPr>
          <w:rFonts w:ascii="Arial" w:hAnsi="Arial" w:cs="Arial"/>
          <w:sz w:val="22"/>
        </w:rPr>
      </w:pPr>
      <w:r w:rsidRPr="00A619E8">
        <w:rPr>
          <w:rFonts w:ascii="Arial" w:hAnsi="Arial" w:cs="Arial"/>
          <w:sz w:val="22"/>
        </w:rPr>
        <w:t>The merger also redefined market dynamics. Diversifying into LinkedIn’s subscription revenue reduced reliance on legacy software, while opening LinkedIn’s API to third parties fostered industry-wide innovation. These steps, rooted in Markowitz Portfolio Theory and Public Interest Theory of Regulation, balanced risk and societal impact.</w:t>
      </w:r>
    </w:p>
    <w:p w14:paraId="631B670C" w14:textId="77777777" w:rsidR="00A619E8" w:rsidRPr="00A619E8" w:rsidRDefault="00A619E8" w:rsidP="00A619E8">
      <w:pPr>
        <w:widowControl/>
        <w:jc w:val="left"/>
        <w:rPr>
          <w:rFonts w:ascii="Arial" w:hAnsi="Arial" w:cs="Arial"/>
          <w:sz w:val="22"/>
        </w:rPr>
      </w:pPr>
    </w:p>
    <w:p w14:paraId="7FADFF30" w14:textId="6EF4855C" w:rsidR="00A619E8" w:rsidRPr="00A619E8" w:rsidRDefault="00501189" w:rsidP="00A619E8">
      <w:pPr>
        <w:widowControl/>
        <w:jc w:val="left"/>
        <w:rPr>
          <w:rFonts w:ascii="Arial" w:hAnsi="Arial" w:cs="Arial"/>
          <w:sz w:val="22"/>
        </w:rPr>
      </w:pPr>
      <w:r w:rsidRPr="00314FEC">
        <w:rPr>
          <w:rFonts w:ascii="Arial" w:hAnsi="Arial" w:cs="Arial"/>
          <w:sz w:val="22"/>
        </w:rPr>
        <w:t>All in all</w:t>
      </w:r>
      <w:r w:rsidR="00A619E8" w:rsidRPr="00A619E8">
        <w:rPr>
          <w:rFonts w:ascii="Arial" w:hAnsi="Arial" w:cs="Arial"/>
          <w:sz w:val="22"/>
        </w:rPr>
        <w:t xml:space="preserve">, Microsoft’s LinkedIn acquisition demonstrates that successful mergers require more than financial investment—they demand strategic alignment, cultural adaptability, and ethical foresight. By treating data as a strategic asset, prioritizing stakeholder value, and embracing regulatory challenges, Microsoft transformed LinkedIn into a cornerstone of its global ecosystem. </w:t>
      </w:r>
    </w:p>
    <w:p w14:paraId="68C223EE" w14:textId="77777777" w:rsidR="0005550B" w:rsidRPr="00314FEC" w:rsidRDefault="0005550B">
      <w:pPr>
        <w:widowControl/>
        <w:jc w:val="left"/>
        <w:rPr>
          <w:rFonts w:ascii="Arial" w:hAnsi="Arial" w:cs="Arial"/>
          <w:sz w:val="22"/>
        </w:rPr>
      </w:pPr>
      <w:r w:rsidRPr="00314FEC">
        <w:rPr>
          <w:rFonts w:ascii="Arial" w:hAnsi="Arial" w:cs="Arial"/>
          <w:sz w:val="22"/>
        </w:rPr>
        <w:br w:type="page"/>
      </w:r>
    </w:p>
    <w:sdt>
      <w:sdtPr>
        <w:rPr>
          <w:rFonts w:ascii="Arial" w:hAnsi="Arial" w:cs="Arial"/>
          <w:sz w:val="22"/>
          <w:szCs w:val="22"/>
          <w:lang w:val="zh-CN"/>
        </w:rPr>
        <w:id w:val="1204211492"/>
        <w:docPartObj>
          <w:docPartGallery w:val="Table of Contents"/>
          <w:docPartUnique/>
        </w:docPartObj>
      </w:sdtPr>
      <w:sdtEndPr>
        <w:rPr>
          <w:rFonts w:eastAsiaTheme="minorEastAsia"/>
          <w:b/>
          <w:bCs/>
          <w:color w:val="auto"/>
          <w:kern w:val="2"/>
        </w:rPr>
      </w:sdtEndPr>
      <w:sdtContent>
        <w:p w14:paraId="27DB1F6E" w14:textId="7A38A63A" w:rsidR="005C7A1D" w:rsidRPr="00314FEC" w:rsidRDefault="005C7A1D">
          <w:pPr>
            <w:pStyle w:val="TOC"/>
            <w:rPr>
              <w:rFonts w:ascii="Arial" w:hAnsi="Arial" w:cs="Arial"/>
              <w:sz w:val="22"/>
              <w:szCs w:val="22"/>
            </w:rPr>
          </w:pPr>
          <w:r w:rsidRPr="00314FEC">
            <w:rPr>
              <w:rFonts w:ascii="Arial" w:hAnsi="Arial" w:cs="Arial"/>
              <w:sz w:val="22"/>
              <w:szCs w:val="22"/>
              <w:lang w:val="zh-CN"/>
            </w:rPr>
            <w:t>Contents</w:t>
          </w:r>
        </w:p>
        <w:p w14:paraId="093377B5" w14:textId="7AB3B79E" w:rsidR="00314FEC" w:rsidRPr="00314FEC" w:rsidRDefault="005C7A1D">
          <w:pPr>
            <w:pStyle w:val="TOC1"/>
            <w:tabs>
              <w:tab w:val="right" w:leader="dot" w:pos="8296"/>
            </w:tabs>
            <w:rPr>
              <w:rFonts w:ascii="Arial" w:hAnsi="Arial" w:cs="Arial"/>
              <w:noProof/>
              <w:sz w:val="22"/>
              <w14:ligatures w14:val="standardContextual"/>
            </w:rPr>
          </w:pPr>
          <w:r w:rsidRPr="00314FEC">
            <w:rPr>
              <w:rFonts w:ascii="Arial" w:hAnsi="Arial" w:cs="Arial"/>
              <w:sz w:val="22"/>
            </w:rPr>
            <w:fldChar w:fldCharType="begin"/>
          </w:r>
          <w:r w:rsidRPr="00314FEC">
            <w:rPr>
              <w:rFonts w:ascii="Arial" w:hAnsi="Arial" w:cs="Arial"/>
              <w:sz w:val="22"/>
            </w:rPr>
            <w:instrText xml:space="preserve"> TOC \o "1-3" \h \z \u </w:instrText>
          </w:r>
          <w:r w:rsidRPr="00314FEC">
            <w:rPr>
              <w:rFonts w:ascii="Arial" w:hAnsi="Arial" w:cs="Arial"/>
              <w:sz w:val="22"/>
            </w:rPr>
            <w:fldChar w:fldCharType="separate"/>
          </w:r>
          <w:hyperlink w:anchor="_Toc194712771" w:history="1">
            <w:r w:rsidR="00314FEC" w:rsidRPr="00314FEC">
              <w:rPr>
                <w:rStyle w:val="ae"/>
                <w:rFonts w:ascii="Arial" w:hAnsi="Arial" w:cs="Arial"/>
                <w:noProof/>
                <w:sz w:val="22"/>
              </w:rPr>
              <w:t>Executive Summary</w:t>
            </w:r>
            <w:r w:rsidR="00314FEC" w:rsidRPr="00314FEC">
              <w:rPr>
                <w:rFonts w:ascii="Arial" w:hAnsi="Arial" w:cs="Arial"/>
                <w:noProof/>
                <w:webHidden/>
                <w:sz w:val="22"/>
              </w:rPr>
              <w:tab/>
            </w:r>
            <w:r w:rsidR="00314FEC" w:rsidRPr="00314FEC">
              <w:rPr>
                <w:rFonts w:ascii="Arial" w:hAnsi="Arial" w:cs="Arial"/>
                <w:noProof/>
                <w:webHidden/>
                <w:sz w:val="22"/>
              </w:rPr>
              <w:fldChar w:fldCharType="begin"/>
            </w:r>
            <w:r w:rsidR="00314FEC" w:rsidRPr="00314FEC">
              <w:rPr>
                <w:rFonts w:ascii="Arial" w:hAnsi="Arial" w:cs="Arial"/>
                <w:noProof/>
                <w:webHidden/>
                <w:sz w:val="22"/>
              </w:rPr>
              <w:instrText xml:space="preserve"> PAGEREF _Toc194712771 \h </w:instrText>
            </w:r>
            <w:r w:rsidR="00314FEC" w:rsidRPr="00314FEC">
              <w:rPr>
                <w:rFonts w:ascii="Arial" w:hAnsi="Arial" w:cs="Arial"/>
                <w:noProof/>
                <w:webHidden/>
                <w:sz w:val="22"/>
              </w:rPr>
            </w:r>
            <w:r w:rsidR="00314FEC" w:rsidRPr="00314FEC">
              <w:rPr>
                <w:rFonts w:ascii="Arial" w:hAnsi="Arial" w:cs="Arial"/>
                <w:noProof/>
                <w:webHidden/>
                <w:sz w:val="22"/>
              </w:rPr>
              <w:fldChar w:fldCharType="separate"/>
            </w:r>
            <w:r w:rsidR="00314FEC" w:rsidRPr="00314FEC">
              <w:rPr>
                <w:rFonts w:ascii="Arial" w:hAnsi="Arial" w:cs="Arial"/>
                <w:noProof/>
                <w:webHidden/>
                <w:sz w:val="22"/>
              </w:rPr>
              <w:t>2</w:t>
            </w:r>
            <w:r w:rsidR="00314FEC" w:rsidRPr="00314FEC">
              <w:rPr>
                <w:rFonts w:ascii="Arial" w:hAnsi="Arial" w:cs="Arial"/>
                <w:noProof/>
                <w:webHidden/>
                <w:sz w:val="22"/>
              </w:rPr>
              <w:fldChar w:fldCharType="end"/>
            </w:r>
          </w:hyperlink>
        </w:p>
        <w:p w14:paraId="1683FD4C" w14:textId="43A5D8CE" w:rsidR="00314FEC" w:rsidRPr="00314FEC" w:rsidRDefault="00314FEC">
          <w:pPr>
            <w:pStyle w:val="TOC1"/>
            <w:tabs>
              <w:tab w:val="right" w:leader="dot" w:pos="8296"/>
            </w:tabs>
            <w:rPr>
              <w:rFonts w:ascii="Arial" w:hAnsi="Arial" w:cs="Arial"/>
              <w:noProof/>
              <w:sz w:val="22"/>
              <w14:ligatures w14:val="standardContextual"/>
            </w:rPr>
          </w:pPr>
          <w:hyperlink w:anchor="_Toc194712772" w:history="1">
            <w:r w:rsidRPr="00314FEC">
              <w:rPr>
                <w:rStyle w:val="ae"/>
                <w:rFonts w:ascii="Arial" w:hAnsi="Arial" w:cs="Arial"/>
                <w:noProof/>
                <w:sz w:val="22"/>
              </w:rPr>
              <w:t>1.0 Introduction</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_Toc194712772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4</w:t>
            </w:r>
            <w:r w:rsidRPr="00314FEC">
              <w:rPr>
                <w:rFonts w:ascii="Arial" w:hAnsi="Arial" w:cs="Arial"/>
                <w:noProof/>
                <w:webHidden/>
                <w:sz w:val="22"/>
              </w:rPr>
              <w:fldChar w:fldCharType="end"/>
            </w:r>
          </w:hyperlink>
        </w:p>
        <w:p w14:paraId="60991C55" w14:textId="01DBD185" w:rsidR="00314FEC" w:rsidRPr="00314FEC" w:rsidRDefault="00314FEC">
          <w:pPr>
            <w:pStyle w:val="TOC1"/>
            <w:tabs>
              <w:tab w:val="right" w:leader="dot" w:pos="8296"/>
            </w:tabs>
            <w:rPr>
              <w:rFonts w:ascii="Arial" w:hAnsi="Arial" w:cs="Arial"/>
              <w:noProof/>
              <w:sz w:val="22"/>
              <w14:ligatures w14:val="standardContextual"/>
            </w:rPr>
          </w:pPr>
          <w:hyperlink w:anchor="_Toc194712773" w:history="1">
            <w:r w:rsidRPr="00314FEC">
              <w:rPr>
                <w:rStyle w:val="ae"/>
                <w:rFonts w:ascii="Arial" w:hAnsi="Arial" w:cs="Arial"/>
                <w:noProof/>
                <w:sz w:val="22"/>
              </w:rPr>
              <w:t>2.0 Main finging</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_Toc194712773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5</w:t>
            </w:r>
            <w:r w:rsidRPr="00314FEC">
              <w:rPr>
                <w:rFonts w:ascii="Arial" w:hAnsi="Arial" w:cs="Arial"/>
                <w:noProof/>
                <w:webHidden/>
                <w:sz w:val="22"/>
              </w:rPr>
              <w:fldChar w:fldCharType="end"/>
            </w:r>
          </w:hyperlink>
        </w:p>
        <w:p w14:paraId="6CE0CCE8" w14:textId="1A98EE46" w:rsidR="00314FEC" w:rsidRPr="00314FEC" w:rsidRDefault="00314FEC">
          <w:pPr>
            <w:pStyle w:val="TOC2"/>
            <w:tabs>
              <w:tab w:val="right" w:leader="dot" w:pos="8296"/>
            </w:tabs>
            <w:rPr>
              <w:rFonts w:ascii="Arial" w:hAnsi="Arial" w:cs="Arial"/>
              <w:noProof/>
              <w:sz w:val="22"/>
              <w14:ligatures w14:val="standardContextual"/>
            </w:rPr>
          </w:pPr>
          <w:hyperlink w:anchor="_Toc194712774" w:history="1">
            <w:r w:rsidRPr="00314FEC">
              <w:rPr>
                <w:rStyle w:val="ae"/>
                <w:rFonts w:ascii="Arial" w:hAnsi="Arial" w:cs="Arial"/>
                <w:noProof/>
                <w:sz w:val="22"/>
              </w:rPr>
              <w:t>2.1 Strategic Synergy and Resource Integration</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_Toc194712774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5</w:t>
            </w:r>
            <w:r w:rsidRPr="00314FEC">
              <w:rPr>
                <w:rFonts w:ascii="Arial" w:hAnsi="Arial" w:cs="Arial"/>
                <w:noProof/>
                <w:webHidden/>
                <w:sz w:val="22"/>
              </w:rPr>
              <w:fldChar w:fldCharType="end"/>
            </w:r>
          </w:hyperlink>
        </w:p>
        <w:p w14:paraId="0721CCEE" w14:textId="7354FF32" w:rsidR="00314FEC" w:rsidRPr="00314FEC" w:rsidRDefault="00314FEC">
          <w:pPr>
            <w:pStyle w:val="TOC3"/>
            <w:tabs>
              <w:tab w:val="right" w:leader="dot" w:pos="8296"/>
            </w:tabs>
            <w:rPr>
              <w:rFonts w:ascii="Arial" w:hAnsi="Arial" w:cs="Arial"/>
              <w:noProof/>
              <w:sz w:val="22"/>
            </w:rPr>
          </w:pPr>
          <w:hyperlink w:anchor="_Toc194712775" w:history="1">
            <w:r w:rsidRPr="00314FEC">
              <w:rPr>
                <w:rStyle w:val="ae"/>
                <w:rFonts w:ascii="Arial" w:hAnsi="Arial" w:cs="Arial"/>
                <w:noProof/>
                <w:sz w:val="22"/>
              </w:rPr>
              <w:t>2.1.1 Economies of Scale</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_Toc194712775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5</w:t>
            </w:r>
            <w:r w:rsidRPr="00314FEC">
              <w:rPr>
                <w:rFonts w:ascii="Arial" w:hAnsi="Arial" w:cs="Arial"/>
                <w:noProof/>
                <w:webHidden/>
                <w:sz w:val="22"/>
              </w:rPr>
              <w:fldChar w:fldCharType="end"/>
            </w:r>
          </w:hyperlink>
        </w:p>
        <w:p w14:paraId="36BF88A0" w14:textId="79FA0727" w:rsidR="00314FEC" w:rsidRPr="00314FEC" w:rsidRDefault="00314FEC">
          <w:pPr>
            <w:pStyle w:val="TOC3"/>
            <w:tabs>
              <w:tab w:val="right" w:leader="dot" w:pos="8296"/>
            </w:tabs>
            <w:rPr>
              <w:rFonts w:ascii="Arial" w:hAnsi="Arial" w:cs="Arial"/>
              <w:noProof/>
              <w:sz w:val="22"/>
            </w:rPr>
          </w:pPr>
          <w:hyperlink w:anchor="_Toc194712776" w:history="1">
            <w:r w:rsidRPr="00314FEC">
              <w:rPr>
                <w:rStyle w:val="ae"/>
                <w:rFonts w:ascii="Arial" w:hAnsi="Arial" w:cs="Arial"/>
                <w:noProof/>
                <w:sz w:val="22"/>
              </w:rPr>
              <w:t>2.1.2 Combining Complementary Resources</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_Toc194712776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5</w:t>
            </w:r>
            <w:r w:rsidRPr="00314FEC">
              <w:rPr>
                <w:rFonts w:ascii="Arial" w:hAnsi="Arial" w:cs="Arial"/>
                <w:noProof/>
                <w:webHidden/>
                <w:sz w:val="22"/>
              </w:rPr>
              <w:fldChar w:fldCharType="end"/>
            </w:r>
          </w:hyperlink>
        </w:p>
        <w:p w14:paraId="6CE92482" w14:textId="205BA0FD" w:rsidR="00314FEC" w:rsidRPr="00314FEC" w:rsidRDefault="00314FEC">
          <w:pPr>
            <w:pStyle w:val="TOC3"/>
            <w:tabs>
              <w:tab w:val="right" w:leader="dot" w:pos="8296"/>
            </w:tabs>
            <w:rPr>
              <w:rFonts w:ascii="Arial" w:hAnsi="Arial" w:cs="Arial"/>
              <w:noProof/>
              <w:sz w:val="22"/>
            </w:rPr>
          </w:pPr>
          <w:hyperlink w:anchor="_Toc194712777" w:history="1">
            <w:r w:rsidRPr="00314FEC">
              <w:rPr>
                <w:rStyle w:val="ae"/>
                <w:rFonts w:ascii="Arial" w:hAnsi="Arial" w:cs="Arial"/>
                <w:noProof/>
                <w:sz w:val="22"/>
              </w:rPr>
              <w:t>2.1.3 Speed of Growth</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_Toc194712777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5</w:t>
            </w:r>
            <w:r w:rsidRPr="00314FEC">
              <w:rPr>
                <w:rFonts w:ascii="Arial" w:hAnsi="Arial" w:cs="Arial"/>
                <w:noProof/>
                <w:webHidden/>
                <w:sz w:val="22"/>
              </w:rPr>
              <w:fldChar w:fldCharType="end"/>
            </w:r>
          </w:hyperlink>
        </w:p>
        <w:p w14:paraId="472A8CE2" w14:textId="610B4405" w:rsidR="00314FEC" w:rsidRPr="00314FEC" w:rsidRDefault="00314FEC">
          <w:pPr>
            <w:pStyle w:val="TOC2"/>
            <w:tabs>
              <w:tab w:val="right" w:leader="dot" w:pos="8296"/>
            </w:tabs>
            <w:rPr>
              <w:rFonts w:ascii="Arial" w:hAnsi="Arial" w:cs="Arial"/>
              <w:noProof/>
              <w:sz w:val="22"/>
              <w14:ligatures w14:val="standardContextual"/>
            </w:rPr>
          </w:pPr>
          <w:hyperlink w:anchor="_Toc194712778" w:history="1">
            <w:r w:rsidRPr="00314FEC">
              <w:rPr>
                <w:rStyle w:val="ae"/>
                <w:rFonts w:ascii="Arial" w:hAnsi="Arial" w:cs="Arial"/>
                <w:noProof/>
                <w:sz w:val="22"/>
              </w:rPr>
              <w:t>2.2 Financial Engineering and Risk Management</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_Toc194712778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6</w:t>
            </w:r>
            <w:r w:rsidRPr="00314FEC">
              <w:rPr>
                <w:rFonts w:ascii="Arial" w:hAnsi="Arial" w:cs="Arial"/>
                <w:noProof/>
                <w:webHidden/>
                <w:sz w:val="22"/>
              </w:rPr>
              <w:fldChar w:fldCharType="end"/>
            </w:r>
          </w:hyperlink>
        </w:p>
        <w:p w14:paraId="466B851B" w14:textId="3C414C8B" w:rsidR="00314FEC" w:rsidRPr="00314FEC" w:rsidRDefault="00314FEC">
          <w:pPr>
            <w:pStyle w:val="TOC3"/>
            <w:tabs>
              <w:tab w:val="right" w:leader="dot" w:pos="8296"/>
            </w:tabs>
            <w:rPr>
              <w:rFonts w:ascii="Arial" w:hAnsi="Arial" w:cs="Arial"/>
              <w:noProof/>
              <w:sz w:val="22"/>
            </w:rPr>
          </w:pPr>
          <w:hyperlink w:anchor="_Toc194712779" w:history="1">
            <w:r w:rsidRPr="00314FEC">
              <w:rPr>
                <w:rStyle w:val="ae"/>
                <w:rFonts w:ascii="Arial" w:hAnsi="Arial" w:cs="Arial"/>
                <w:noProof/>
                <w:sz w:val="22"/>
              </w:rPr>
              <w:t>2.2.1 Surplus Cash</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_Toc194712779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6</w:t>
            </w:r>
            <w:r w:rsidRPr="00314FEC">
              <w:rPr>
                <w:rFonts w:ascii="Arial" w:hAnsi="Arial" w:cs="Arial"/>
                <w:noProof/>
                <w:webHidden/>
                <w:sz w:val="22"/>
              </w:rPr>
              <w:fldChar w:fldCharType="end"/>
            </w:r>
          </w:hyperlink>
        </w:p>
        <w:p w14:paraId="25DE2FD5" w14:textId="6CC3AD17" w:rsidR="00314FEC" w:rsidRPr="00314FEC" w:rsidRDefault="00314FEC">
          <w:pPr>
            <w:pStyle w:val="TOC3"/>
            <w:tabs>
              <w:tab w:val="right" w:leader="dot" w:pos="8296"/>
            </w:tabs>
            <w:rPr>
              <w:rFonts w:ascii="Arial" w:hAnsi="Arial" w:cs="Arial"/>
              <w:noProof/>
              <w:sz w:val="22"/>
            </w:rPr>
          </w:pPr>
          <w:hyperlink w:anchor="_Toc194712780" w:history="1">
            <w:r w:rsidRPr="00314FEC">
              <w:rPr>
                <w:rStyle w:val="ae"/>
                <w:rFonts w:ascii="Arial" w:hAnsi="Arial" w:cs="Arial"/>
                <w:noProof/>
                <w:sz w:val="22"/>
              </w:rPr>
              <w:t>2.2.2 Financial Benefits</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_Toc194712780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6</w:t>
            </w:r>
            <w:r w:rsidRPr="00314FEC">
              <w:rPr>
                <w:rFonts w:ascii="Arial" w:hAnsi="Arial" w:cs="Arial"/>
                <w:noProof/>
                <w:webHidden/>
                <w:sz w:val="22"/>
              </w:rPr>
              <w:fldChar w:fldCharType="end"/>
            </w:r>
          </w:hyperlink>
        </w:p>
        <w:p w14:paraId="57DDBBBE" w14:textId="1BDA1D7E" w:rsidR="00314FEC" w:rsidRPr="00314FEC" w:rsidRDefault="00314FEC">
          <w:pPr>
            <w:pStyle w:val="TOC3"/>
            <w:tabs>
              <w:tab w:val="right" w:leader="dot" w:pos="8296"/>
            </w:tabs>
            <w:rPr>
              <w:rFonts w:ascii="Arial" w:hAnsi="Arial" w:cs="Arial"/>
              <w:noProof/>
              <w:sz w:val="22"/>
            </w:rPr>
          </w:pPr>
          <w:hyperlink w:anchor="_Toc194712781" w:history="1">
            <w:r w:rsidRPr="00314FEC">
              <w:rPr>
                <w:rStyle w:val="ae"/>
                <w:rFonts w:ascii="Arial" w:hAnsi="Arial" w:cs="Arial"/>
                <w:noProof/>
                <w:sz w:val="22"/>
              </w:rPr>
              <w:t>2.2.3 Risk Management and Real Options Value</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_Toc194712781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6</w:t>
            </w:r>
            <w:r w:rsidRPr="00314FEC">
              <w:rPr>
                <w:rFonts w:ascii="Arial" w:hAnsi="Arial" w:cs="Arial"/>
                <w:noProof/>
                <w:webHidden/>
                <w:sz w:val="22"/>
              </w:rPr>
              <w:fldChar w:fldCharType="end"/>
            </w:r>
          </w:hyperlink>
        </w:p>
        <w:p w14:paraId="70785F28" w14:textId="24CD6C74" w:rsidR="00314FEC" w:rsidRPr="00314FEC" w:rsidRDefault="00314FEC">
          <w:pPr>
            <w:pStyle w:val="TOC2"/>
            <w:tabs>
              <w:tab w:val="right" w:leader="dot" w:pos="8296"/>
            </w:tabs>
            <w:rPr>
              <w:rFonts w:ascii="Arial" w:hAnsi="Arial" w:cs="Arial"/>
              <w:noProof/>
              <w:sz w:val="22"/>
              <w14:ligatures w14:val="standardContextual"/>
            </w:rPr>
          </w:pPr>
          <w:hyperlink w:anchor="_Toc194712782" w:history="1">
            <w:r w:rsidRPr="00314FEC">
              <w:rPr>
                <w:rStyle w:val="ae"/>
                <w:rFonts w:ascii="Arial" w:hAnsi="Arial" w:cs="Arial"/>
                <w:noProof/>
                <w:sz w:val="22"/>
              </w:rPr>
              <w:t>2.3 Market Power and Competitive Dynamics</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_Toc194712782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7</w:t>
            </w:r>
            <w:r w:rsidRPr="00314FEC">
              <w:rPr>
                <w:rFonts w:ascii="Arial" w:hAnsi="Arial" w:cs="Arial"/>
                <w:noProof/>
                <w:webHidden/>
                <w:sz w:val="22"/>
              </w:rPr>
              <w:fldChar w:fldCharType="end"/>
            </w:r>
          </w:hyperlink>
        </w:p>
        <w:p w14:paraId="54E77A64" w14:textId="122A2F87" w:rsidR="00314FEC" w:rsidRPr="00314FEC" w:rsidRDefault="00314FEC">
          <w:pPr>
            <w:pStyle w:val="TOC3"/>
            <w:tabs>
              <w:tab w:val="right" w:leader="dot" w:pos="8296"/>
            </w:tabs>
            <w:rPr>
              <w:rFonts w:ascii="Arial" w:hAnsi="Arial" w:cs="Arial"/>
              <w:noProof/>
              <w:sz w:val="22"/>
            </w:rPr>
          </w:pPr>
          <w:hyperlink w:anchor="_Toc194712783" w:history="1">
            <w:r w:rsidRPr="00314FEC">
              <w:rPr>
                <w:rStyle w:val="ae"/>
                <w:rFonts w:ascii="Arial" w:hAnsi="Arial" w:cs="Arial"/>
                <w:noProof/>
                <w:sz w:val="22"/>
              </w:rPr>
              <w:t>2.3.1 Increased Market Power</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_Toc194712783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7</w:t>
            </w:r>
            <w:r w:rsidRPr="00314FEC">
              <w:rPr>
                <w:rFonts w:ascii="Arial" w:hAnsi="Arial" w:cs="Arial"/>
                <w:noProof/>
                <w:webHidden/>
                <w:sz w:val="22"/>
              </w:rPr>
              <w:fldChar w:fldCharType="end"/>
            </w:r>
          </w:hyperlink>
        </w:p>
        <w:p w14:paraId="4F4F27B8" w14:textId="4A1807BE" w:rsidR="00314FEC" w:rsidRPr="00314FEC" w:rsidRDefault="00314FEC">
          <w:pPr>
            <w:pStyle w:val="TOC3"/>
            <w:tabs>
              <w:tab w:val="right" w:leader="dot" w:pos="8296"/>
            </w:tabs>
            <w:rPr>
              <w:rFonts w:ascii="Arial" w:hAnsi="Arial" w:cs="Arial"/>
              <w:noProof/>
              <w:sz w:val="22"/>
            </w:rPr>
          </w:pPr>
          <w:hyperlink w:anchor="_Toc194712784" w:history="1">
            <w:r w:rsidRPr="00314FEC">
              <w:rPr>
                <w:rStyle w:val="ae"/>
                <w:rFonts w:ascii="Arial" w:hAnsi="Arial" w:cs="Arial"/>
                <w:noProof/>
                <w:sz w:val="22"/>
              </w:rPr>
              <w:t>2.3.2 Diversification</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_Toc194712784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7</w:t>
            </w:r>
            <w:r w:rsidRPr="00314FEC">
              <w:rPr>
                <w:rFonts w:ascii="Arial" w:hAnsi="Arial" w:cs="Arial"/>
                <w:noProof/>
                <w:webHidden/>
                <w:sz w:val="22"/>
              </w:rPr>
              <w:fldChar w:fldCharType="end"/>
            </w:r>
          </w:hyperlink>
        </w:p>
        <w:p w14:paraId="2AB38C12" w14:textId="2C442CFC" w:rsidR="00314FEC" w:rsidRPr="00314FEC" w:rsidRDefault="00314FEC">
          <w:pPr>
            <w:pStyle w:val="TOC3"/>
            <w:tabs>
              <w:tab w:val="right" w:leader="dot" w:pos="8296"/>
            </w:tabs>
            <w:rPr>
              <w:rFonts w:ascii="Arial" w:hAnsi="Arial" w:cs="Arial"/>
              <w:noProof/>
              <w:sz w:val="22"/>
            </w:rPr>
          </w:pPr>
          <w:hyperlink w:anchor="_Toc194712785" w:history="1">
            <w:r w:rsidRPr="00314FEC">
              <w:rPr>
                <w:rStyle w:val="ae"/>
                <w:rFonts w:ascii="Arial" w:hAnsi="Arial" w:cs="Arial"/>
                <w:noProof/>
                <w:sz w:val="22"/>
              </w:rPr>
              <w:t>2.3.3 Stakeholders and Social Network Effects</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_Toc194712785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7</w:t>
            </w:r>
            <w:r w:rsidRPr="00314FEC">
              <w:rPr>
                <w:rFonts w:ascii="Arial" w:hAnsi="Arial" w:cs="Arial"/>
                <w:noProof/>
                <w:webHidden/>
                <w:sz w:val="22"/>
              </w:rPr>
              <w:fldChar w:fldCharType="end"/>
            </w:r>
          </w:hyperlink>
        </w:p>
        <w:p w14:paraId="45115A4B" w14:textId="432AF46F" w:rsidR="00314FEC" w:rsidRPr="00314FEC" w:rsidRDefault="00314FEC">
          <w:pPr>
            <w:pStyle w:val="TOC2"/>
            <w:tabs>
              <w:tab w:val="right" w:leader="dot" w:pos="8296"/>
            </w:tabs>
            <w:rPr>
              <w:rFonts w:ascii="Arial" w:hAnsi="Arial" w:cs="Arial"/>
              <w:noProof/>
              <w:sz w:val="22"/>
              <w14:ligatures w14:val="standardContextual"/>
            </w:rPr>
          </w:pPr>
          <w:hyperlink w:anchor="_Toc194712786" w:history="1">
            <w:r w:rsidRPr="00314FEC">
              <w:rPr>
                <w:rStyle w:val="ae"/>
                <w:rFonts w:ascii="Arial" w:hAnsi="Arial" w:cs="Arial"/>
                <w:noProof/>
                <w:sz w:val="22"/>
              </w:rPr>
              <w:t>2.4 Organizational Transformation and Innovation</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_Toc194712786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8</w:t>
            </w:r>
            <w:r w:rsidRPr="00314FEC">
              <w:rPr>
                <w:rFonts w:ascii="Arial" w:hAnsi="Arial" w:cs="Arial"/>
                <w:noProof/>
                <w:webHidden/>
                <w:sz w:val="22"/>
              </w:rPr>
              <w:fldChar w:fldCharType="end"/>
            </w:r>
          </w:hyperlink>
        </w:p>
        <w:p w14:paraId="45C1BB39" w14:textId="0B483C08" w:rsidR="00314FEC" w:rsidRPr="00314FEC" w:rsidRDefault="00314FEC">
          <w:pPr>
            <w:pStyle w:val="TOC3"/>
            <w:tabs>
              <w:tab w:val="right" w:leader="dot" w:pos="8296"/>
            </w:tabs>
            <w:rPr>
              <w:rFonts w:ascii="Arial" w:hAnsi="Arial" w:cs="Arial"/>
              <w:noProof/>
              <w:sz w:val="22"/>
            </w:rPr>
          </w:pPr>
          <w:hyperlink w:anchor="_Toc194712787" w:history="1">
            <w:r w:rsidRPr="00314FEC">
              <w:rPr>
                <w:rStyle w:val="ae"/>
                <w:rFonts w:ascii="Arial" w:hAnsi="Arial" w:cs="Arial"/>
                <w:noProof/>
                <w:sz w:val="22"/>
              </w:rPr>
              <w:t>2.4.1 Corporate Culture Integration</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_Toc194712787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8</w:t>
            </w:r>
            <w:r w:rsidRPr="00314FEC">
              <w:rPr>
                <w:rFonts w:ascii="Arial" w:hAnsi="Arial" w:cs="Arial"/>
                <w:noProof/>
                <w:webHidden/>
                <w:sz w:val="22"/>
              </w:rPr>
              <w:fldChar w:fldCharType="end"/>
            </w:r>
          </w:hyperlink>
        </w:p>
        <w:p w14:paraId="34385A97" w14:textId="7FF12DC9" w:rsidR="00314FEC" w:rsidRPr="00314FEC" w:rsidRDefault="00314FEC">
          <w:pPr>
            <w:pStyle w:val="TOC3"/>
            <w:tabs>
              <w:tab w:val="right" w:leader="dot" w:pos="8296"/>
            </w:tabs>
            <w:rPr>
              <w:rFonts w:ascii="Arial" w:hAnsi="Arial" w:cs="Arial"/>
              <w:noProof/>
              <w:sz w:val="22"/>
            </w:rPr>
          </w:pPr>
          <w:hyperlink w:anchor="_Toc194712788" w:history="1">
            <w:r w:rsidRPr="00314FEC">
              <w:rPr>
                <w:rStyle w:val="ae"/>
                <w:rFonts w:ascii="Arial" w:hAnsi="Arial" w:cs="Arial"/>
                <w:noProof/>
                <w:sz w:val="22"/>
              </w:rPr>
              <w:t>2.4.2 Technological Innovation &amp; Dynamic Capabilities</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_Toc194712788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8</w:t>
            </w:r>
            <w:r w:rsidRPr="00314FEC">
              <w:rPr>
                <w:rFonts w:ascii="Arial" w:hAnsi="Arial" w:cs="Arial"/>
                <w:noProof/>
                <w:webHidden/>
                <w:sz w:val="22"/>
              </w:rPr>
              <w:fldChar w:fldCharType="end"/>
            </w:r>
          </w:hyperlink>
        </w:p>
        <w:p w14:paraId="70F8275F" w14:textId="5DD4AA0D" w:rsidR="00314FEC" w:rsidRPr="00314FEC" w:rsidRDefault="00314FEC">
          <w:pPr>
            <w:pStyle w:val="TOC3"/>
            <w:tabs>
              <w:tab w:val="right" w:leader="dot" w:pos="8296"/>
            </w:tabs>
            <w:rPr>
              <w:rFonts w:ascii="Arial" w:hAnsi="Arial" w:cs="Arial"/>
              <w:noProof/>
              <w:sz w:val="22"/>
            </w:rPr>
          </w:pPr>
          <w:hyperlink w:anchor="_Toc194712789" w:history="1">
            <w:r w:rsidRPr="00314FEC">
              <w:rPr>
                <w:rStyle w:val="ae"/>
                <w:rFonts w:ascii="Arial" w:hAnsi="Arial" w:cs="Arial"/>
                <w:noProof/>
                <w:sz w:val="22"/>
              </w:rPr>
              <w:t>2.4.3 Cross-Border Compliance</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_Toc194712789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9</w:t>
            </w:r>
            <w:r w:rsidRPr="00314FEC">
              <w:rPr>
                <w:rFonts w:ascii="Arial" w:hAnsi="Arial" w:cs="Arial"/>
                <w:noProof/>
                <w:webHidden/>
                <w:sz w:val="22"/>
              </w:rPr>
              <w:fldChar w:fldCharType="end"/>
            </w:r>
          </w:hyperlink>
        </w:p>
        <w:p w14:paraId="7B0B6384" w14:textId="5394EC80" w:rsidR="00314FEC" w:rsidRPr="00314FEC" w:rsidRDefault="00314FEC">
          <w:pPr>
            <w:pStyle w:val="TOC2"/>
            <w:tabs>
              <w:tab w:val="right" w:leader="dot" w:pos="8296"/>
            </w:tabs>
            <w:rPr>
              <w:rFonts w:ascii="Arial" w:hAnsi="Arial" w:cs="Arial"/>
              <w:noProof/>
              <w:sz w:val="22"/>
              <w14:ligatures w14:val="standardContextual"/>
            </w:rPr>
          </w:pPr>
          <w:hyperlink w:anchor="_Toc194712790" w:history="1">
            <w:r w:rsidRPr="00314FEC">
              <w:rPr>
                <w:rStyle w:val="ae"/>
                <w:rFonts w:ascii="Arial" w:hAnsi="Arial" w:cs="Arial"/>
                <w:noProof/>
                <w:sz w:val="22"/>
              </w:rPr>
              <w:t>2.5 Sustainability and New Valuation Paradigms</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_Toc194712790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9</w:t>
            </w:r>
            <w:r w:rsidRPr="00314FEC">
              <w:rPr>
                <w:rFonts w:ascii="Arial" w:hAnsi="Arial" w:cs="Arial"/>
                <w:noProof/>
                <w:webHidden/>
                <w:sz w:val="22"/>
              </w:rPr>
              <w:fldChar w:fldCharType="end"/>
            </w:r>
          </w:hyperlink>
        </w:p>
        <w:p w14:paraId="7EF5B077" w14:textId="633775F4" w:rsidR="00314FEC" w:rsidRPr="00314FEC" w:rsidRDefault="00314FEC">
          <w:pPr>
            <w:pStyle w:val="TOC3"/>
            <w:tabs>
              <w:tab w:val="right" w:leader="dot" w:pos="8296"/>
            </w:tabs>
            <w:rPr>
              <w:rFonts w:ascii="Arial" w:hAnsi="Arial" w:cs="Arial"/>
              <w:noProof/>
              <w:sz w:val="22"/>
            </w:rPr>
          </w:pPr>
          <w:hyperlink w:anchor="_Toc194712791" w:history="1">
            <w:r w:rsidRPr="00314FEC">
              <w:rPr>
                <w:rStyle w:val="ae"/>
                <w:rFonts w:ascii="Arial" w:hAnsi="Arial" w:cs="Arial"/>
                <w:noProof/>
                <w:sz w:val="22"/>
              </w:rPr>
              <w:t>2.5.1 Sustainability and Resource Dependency</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_Toc194712791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9</w:t>
            </w:r>
            <w:r w:rsidRPr="00314FEC">
              <w:rPr>
                <w:rFonts w:ascii="Arial" w:hAnsi="Arial" w:cs="Arial"/>
                <w:noProof/>
                <w:webHidden/>
                <w:sz w:val="22"/>
              </w:rPr>
              <w:fldChar w:fldCharType="end"/>
            </w:r>
          </w:hyperlink>
        </w:p>
        <w:p w14:paraId="327FCCA1" w14:textId="5976F73D" w:rsidR="00314FEC" w:rsidRPr="00314FEC" w:rsidRDefault="00314FEC">
          <w:pPr>
            <w:pStyle w:val="TOC3"/>
            <w:tabs>
              <w:tab w:val="right" w:leader="dot" w:pos="8296"/>
            </w:tabs>
            <w:rPr>
              <w:rFonts w:ascii="Arial" w:hAnsi="Arial" w:cs="Arial"/>
              <w:noProof/>
              <w:sz w:val="22"/>
            </w:rPr>
          </w:pPr>
          <w:hyperlink w:anchor="_Toc194712792" w:history="1">
            <w:r w:rsidRPr="00314FEC">
              <w:rPr>
                <w:rStyle w:val="ae"/>
                <w:rFonts w:ascii="Arial" w:hAnsi="Arial" w:cs="Arial"/>
                <w:noProof/>
                <w:sz w:val="22"/>
              </w:rPr>
              <w:t>2.5.2 Regulatory Framework</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_Toc194712792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10</w:t>
            </w:r>
            <w:r w:rsidRPr="00314FEC">
              <w:rPr>
                <w:rFonts w:ascii="Arial" w:hAnsi="Arial" w:cs="Arial"/>
                <w:noProof/>
                <w:webHidden/>
                <w:sz w:val="22"/>
              </w:rPr>
              <w:fldChar w:fldCharType="end"/>
            </w:r>
          </w:hyperlink>
        </w:p>
        <w:p w14:paraId="6BD9F8A7" w14:textId="5CB821A0" w:rsidR="00314FEC" w:rsidRPr="00314FEC" w:rsidRDefault="00314FEC">
          <w:pPr>
            <w:pStyle w:val="TOC3"/>
            <w:tabs>
              <w:tab w:val="right" w:leader="dot" w:pos="8296"/>
            </w:tabs>
            <w:rPr>
              <w:rFonts w:ascii="Arial" w:hAnsi="Arial" w:cs="Arial"/>
              <w:noProof/>
              <w:sz w:val="22"/>
            </w:rPr>
          </w:pPr>
          <w:hyperlink w:anchor="_Toc194712793" w:history="1">
            <w:r w:rsidRPr="00314FEC">
              <w:rPr>
                <w:rStyle w:val="ae"/>
                <w:rFonts w:ascii="Arial" w:hAnsi="Arial" w:cs="Arial"/>
                <w:noProof/>
                <w:sz w:val="22"/>
              </w:rPr>
              <w:t>2.5.3 Shareholder Wealth</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_Toc194712793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10</w:t>
            </w:r>
            <w:r w:rsidRPr="00314FEC">
              <w:rPr>
                <w:rFonts w:ascii="Arial" w:hAnsi="Arial" w:cs="Arial"/>
                <w:noProof/>
                <w:webHidden/>
                <w:sz w:val="22"/>
              </w:rPr>
              <w:fldChar w:fldCharType="end"/>
            </w:r>
          </w:hyperlink>
        </w:p>
        <w:p w14:paraId="24251967" w14:textId="204B7F87" w:rsidR="00314FEC" w:rsidRPr="00314FEC" w:rsidRDefault="00314FEC">
          <w:pPr>
            <w:pStyle w:val="TOC1"/>
            <w:tabs>
              <w:tab w:val="right" w:leader="dot" w:pos="8296"/>
            </w:tabs>
            <w:rPr>
              <w:rFonts w:ascii="Arial" w:hAnsi="Arial" w:cs="Arial"/>
              <w:noProof/>
              <w:sz w:val="22"/>
              <w14:ligatures w14:val="standardContextual"/>
            </w:rPr>
          </w:pPr>
          <w:hyperlink w:anchor="_Toc194712794" w:history="1">
            <w:r w:rsidRPr="00314FEC">
              <w:rPr>
                <w:rStyle w:val="ae"/>
                <w:rFonts w:ascii="Arial" w:hAnsi="Arial" w:cs="Arial"/>
                <w:noProof/>
                <w:sz w:val="22"/>
              </w:rPr>
              <w:t>3.0 Conclusions</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_Toc194712794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11</w:t>
            </w:r>
            <w:r w:rsidRPr="00314FEC">
              <w:rPr>
                <w:rFonts w:ascii="Arial" w:hAnsi="Arial" w:cs="Arial"/>
                <w:noProof/>
                <w:webHidden/>
                <w:sz w:val="22"/>
              </w:rPr>
              <w:fldChar w:fldCharType="end"/>
            </w:r>
          </w:hyperlink>
        </w:p>
        <w:p w14:paraId="3E4C4C46" w14:textId="2A92A6C8" w:rsidR="00314FEC" w:rsidRPr="00314FEC" w:rsidRDefault="00314FEC">
          <w:pPr>
            <w:pStyle w:val="TOC1"/>
            <w:tabs>
              <w:tab w:val="right" w:leader="dot" w:pos="8296"/>
            </w:tabs>
            <w:rPr>
              <w:rFonts w:ascii="Arial" w:hAnsi="Arial" w:cs="Arial"/>
              <w:noProof/>
              <w:sz w:val="22"/>
              <w14:ligatures w14:val="standardContextual"/>
            </w:rPr>
          </w:pPr>
          <w:hyperlink w:anchor="_Toc194712795" w:history="1">
            <w:r w:rsidRPr="00314FEC">
              <w:rPr>
                <w:rStyle w:val="ae"/>
                <w:rFonts w:ascii="Arial" w:hAnsi="Arial" w:cs="Arial"/>
                <w:noProof/>
                <w:sz w:val="22"/>
              </w:rPr>
              <w:t>4.0 Reference</w:t>
            </w:r>
            <w:r w:rsidRPr="00314FEC">
              <w:rPr>
                <w:rFonts w:ascii="Arial" w:hAnsi="Arial" w:cs="Arial"/>
                <w:noProof/>
                <w:webHidden/>
                <w:sz w:val="22"/>
              </w:rPr>
              <w:tab/>
            </w:r>
            <w:r w:rsidRPr="00314FEC">
              <w:rPr>
                <w:rFonts w:ascii="Arial" w:hAnsi="Arial" w:cs="Arial"/>
                <w:noProof/>
                <w:webHidden/>
                <w:sz w:val="22"/>
              </w:rPr>
              <w:fldChar w:fldCharType="begin"/>
            </w:r>
            <w:r w:rsidRPr="00314FEC">
              <w:rPr>
                <w:rFonts w:ascii="Arial" w:hAnsi="Arial" w:cs="Arial"/>
                <w:noProof/>
                <w:webHidden/>
                <w:sz w:val="22"/>
              </w:rPr>
              <w:instrText xml:space="preserve"> PAGEREF _Toc194712795 \h </w:instrText>
            </w:r>
            <w:r w:rsidRPr="00314FEC">
              <w:rPr>
                <w:rFonts w:ascii="Arial" w:hAnsi="Arial" w:cs="Arial"/>
                <w:noProof/>
                <w:webHidden/>
                <w:sz w:val="22"/>
              </w:rPr>
            </w:r>
            <w:r w:rsidRPr="00314FEC">
              <w:rPr>
                <w:rFonts w:ascii="Arial" w:hAnsi="Arial" w:cs="Arial"/>
                <w:noProof/>
                <w:webHidden/>
                <w:sz w:val="22"/>
              </w:rPr>
              <w:fldChar w:fldCharType="separate"/>
            </w:r>
            <w:r w:rsidRPr="00314FEC">
              <w:rPr>
                <w:rFonts w:ascii="Arial" w:hAnsi="Arial" w:cs="Arial"/>
                <w:noProof/>
                <w:webHidden/>
                <w:sz w:val="22"/>
              </w:rPr>
              <w:t>12</w:t>
            </w:r>
            <w:r w:rsidRPr="00314FEC">
              <w:rPr>
                <w:rFonts w:ascii="Arial" w:hAnsi="Arial" w:cs="Arial"/>
                <w:noProof/>
                <w:webHidden/>
                <w:sz w:val="22"/>
              </w:rPr>
              <w:fldChar w:fldCharType="end"/>
            </w:r>
          </w:hyperlink>
        </w:p>
        <w:p w14:paraId="1C5175F6" w14:textId="1016FAB1" w:rsidR="005C7A1D" w:rsidRPr="00314FEC" w:rsidRDefault="005C7A1D">
          <w:pPr>
            <w:rPr>
              <w:rFonts w:ascii="Arial" w:hAnsi="Arial" w:cs="Arial"/>
              <w:sz w:val="22"/>
            </w:rPr>
          </w:pPr>
          <w:r w:rsidRPr="00314FEC">
            <w:rPr>
              <w:rFonts w:ascii="Arial" w:hAnsi="Arial" w:cs="Arial"/>
              <w:b/>
              <w:bCs/>
              <w:sz w:val="22"/>
              <w:lang w:val="zh-CN"/>
            </w:rPr>
            <w:fldChar w:fldCharType="end"/>
          </w:r>
        </w:p>
      </w:sdtContent>
    </w:sdt>
    <w:p w14:paraId="7E153B7F" w14:textId="2CA2ABF9" w:rsidR="0005550B" w:rsidRPr="00314FEC" w:rsidRDefault="0005550B">
      <w:pPr>
        <w:rPr>
          <w:rFonts w:ascii="Arial" w:hAnsi="Arial" w:cs="Arial"/>
          <w:sz w:val="22"/>
        </w:rPr>
      </w:pPr>
    </w:p>
    <w:p w14:paraId="77AC42C6" w14:textId="77777777" w:rsidR="0005550B" w:rsidRPr="00314FEC" w:rsidRDefault="0005550B">
      <w:pPr>
        <w:widowControl/>
        <w:jc w:val="left"/>
        <w:rPr>
          <w:rFonts w:ascii="Arial" w:hAnsi="Arial" w:cs="Arial"/>
          <w:sz w:val="22"/>
        </w:rPr>
      </w:pPr>
      <w:r w:rsidRPr="00314FEC">
        <w:rPr>
          <w:rFonts w:ascii="Arial" w:hAnsi="Arial" w:cs="Arial"/>
          <w:sz w:val="22"/>
        </w:rPr>
        <w:br w:type="page"/>
      </w:r>
    </w:p>
    <w:p w14:paraId="64042C1E" w14:textId="660C20AB" w:rsidR="0005550B" w:rsidRPr="00314FEC" w:rsidRDefault="004E4B03" w:rsidP="00A619E8">
      <w:pPr>
        <w:pStyle w:val="1"/>
        <w:rPr>
          <w:rFonts w:ascii="Arial" w:hAnsi="Arial" w:cs="Arial"/>
          <w:sz w:val="22"/>
          <w:szCs w:val="22"/>
        </w:rPr>
      </w:pPr>
      <w:bookmarkStart w:id="1" w:name="_Toc194712772"/>
      <w:r w:rsidRPr="00314FEC">
        <w:rPr>
          <w:rFonts w:ascii="Arial" w:hAnsi="Arial" w:cs="Arial"/>
          <w:sz w:val="22"/>
          <w:szCs w:val="22"/>
        </w:rPr>
        <w:lastRenderedPageBreak/>
        <w:t xml:space="preserve">1.0 </w:t>
      </w:r>
      <w:r w:rsidR="0005550B" w:rsidRPr="00314FEC">
        <w:rPr>
          <w:rFonts w:ascii="Arial" w:hAnsi="Arial" w:cs="Arial"/>
          <w:sz w:val="22"/>
          <w:szCs w:val="22"/>
        </w:rPr>
        <w:t>Introduction</w:t>
      </w:r>
      <w:bookmarkEnd w:id="1"/>
    </w:p>
    <w:p w14:paraId="0F1D5DCF" w14:textId="77777777" w:rsidR="0005550B" w:rsidRPr="00314FEC" w:rsidRDefault="0005550B" w:rsidP="0005550B">
      <w:pPr>
        <w:rPr>
          <w:rFonts w:ascii="Arial" w:hAnsi="Arial" w:cs="Arial"/>
          <w:sz w:val="22"/>
        </w:rPr>
      </w:pPr>
      <w:r w:rsidRPr="00314FEC">
        <w:rPr>
          <w:rFonts w:ascii="Arial" w:hAnsi="Arial" w:cs="Arial"/>
          <w:sz w:val="22"/>
        </w:rPr>
        <w:t>In recent years, mergers and acquisitions (M&amp;A) have grown into a vital strategy for companies aiming to expand their market influence and drive innovation, especially in the fast-evolving technology sector. Between 2015 and 2020, the value of M&amp;A deals in the tech industry increased by 14% annually, with many focusing on acquiring data-driven platforms to build interconnected business ecosystems, as reported by McKinsey in 2021. A standout example is Microsoft’s $26.2 billion acquisition of LinkedIn in 2016, which remains one of the largest and most significant tech mergers of the decade. This deal took place during a critical phase for Microsoft, as CEO Satya Nadella shifted the company’s focus toward cloud computing and mobile technologies. At the time, Microsoft was struggling with slow growth in its traditional software business and faced strong competition from Amazon Web Services (AWS) in the cloud market. On the other hand, LinkedIn, despite its vast network of 430 million professionals, experienced declining user growth and relied heavily on limited revenue streams, resulting in a 40% drop in its stock price before the acquisition.</w:t>
      </w:r>
    </w:p>
    <w:p w14:paraId="74A478AE" w14:textId="77777777" w:rsidR="0005550B" w:rsidRPr="00314FEC" w:rsidRDefault="0005550B" w:rsidP="0005550B">
      <w:pPr>
        <w:rPr>
          <w:rFonts w:ascii="Arial" w:hAnsi="Arial" w:cs="Arial"/>
          <w:sz w:val="22"/>
        </w:rPr>
      </w:pPr>
    </w:p>
    <w:p w14:paraId="64B6AB09" w14:textId="77777777" w:rsidR="0005550B" w:rsidRPr="00314FEC" w:rsidRDefault="0005550B" w:rsidP="0005550B">
      <w:pPr>
        <w:rPr>
          <w:rFonts w:ascii="Arial" w:hAnsi="Arial" w:cs="Arial"/>
          <w:sz w:val="22"/>
        </w:rPr>
      </w:pPr>
      <w:r w:rsidRPr="00314FEC">
        <w:rPr>
          <w:rFonts w:ascii="Arial" w:hAnsi="Arial" w:cs="Arial"/>
          <w:sz w:val="22"/>
        </w:rPr>
        <w:t>The merger aimed to combine Microsoft’s productivity tools with LinkedIn’s professional networking data, creating a unified platform to enhance enterprise services. This strategy aligned with the principles of synergy theory, which suggests that merged companies can achieve greater value together than separately. However, the deal also raised concerns about high costs, integration challenges, and whether the expected benefits could materialize.</w:t>
      </w:r>
    </w:p>
    <w:p w14:paraId="4ECC73FA" w14:textId="77777777" w:rsidR="0005550B" w:rsidRPr="00314FEC" w:rsidRDefault="0005550B" w:rsidP="0005550B">
      <w:pPr>
        <w:rPr>
          <w:rFonts w:ascii="Arial" w:hAnsi="Arial" w:cs="Arial"/>
          <w:sz w:val="22"/>
        </w:rPr>
      </w:pPr>
    </w:p>
    <w:p w14:paraId="148A1364" w14:textId="77777777" w:rsidR="0005550B" w:rsidRPr="00314FEC" w:rsidRDefault="0005550B" w:rsidP="0005550B">
      <w:pPr>
        <w:rPr>
          <w:rFonts w:ascii="Arial" w:hAnsi="Arial" w:cs="Arial"/>
          <w:sz w:val="22"/>
        </w:rPr>
      </w:pPr>
      <w:r w:rsidRPr="00314FEC">
        <w:rPr>
          <w:rFonts w:ascii="Arial" w:hAnsi="Arial" w:cs="Arial"/>
          <w:sz w:val="22"/>
        </w:rPr>
        <w:t>From a theoretical perspective, this case reflects key concepts in modern business strategy. The Resource-Based View (RBV), a theory that emphasizes unique resources as sources of competitive advantage, highlights LinkedIn’s data on professional connections as a valuable asset for Microsoft’s cloud and AI projects. Additionally, the Dynamic Capabilities Theory explains how Microsoft used LinkedIn’s real-time data to improve its ability to adapt to market changes, as seen in products like Microsoft Viva. However, challenges such as regulatory compliance—evidenced by Microsoft’s $120 million investment to meet EU data-sharing rules—show the complexities of global M&amp;A.</w:t>
      </w:r>
    </w:p>
    <w:p w14:paraId="1016A771" w14:textId="77777777" w:rsidR="0005550B" w:rsidRPr="00314FEC" w:rsidRDefault="0005550B" w:rsidP="0005550B">
      <w:pPr>
        <w:rPr>
          <w:rFonts w:ascii="Arial" w:hAnsi="Arial" w:cs="Arial"/>
          <w:sz w:val="22"/>
        </w:rPr>
      </w:pPr>
    </w:p>
    <w:p w14:paraId="66462913" w14:textId="5593C4A7" w:rsidR="00270B27" w:rsidRPr="00314FEC" w:rsidRDefault="0005550B" w:rsidP="0005550B">
      <w:pPr>
        <w:rPr>
          <w:rFonts w:ascii="Arial" w:hAnsi="Arial" w:cs="Arial"/>
          <w:sz w:val="22"/>
        </w:rPr>
      </w:pPr>
      <w:r w:rsidRPr="00314FEC">
        <w:rPr>
          <w:rFonts w:ascii="Arial" w:hAnsi="Arial" w:cs="Arial"/>
          <w:sz w:val="22"/>
        </w:rPr>
        <w:t>This study evaluates the success of Microsoft’s LinkedIn acquisition by analyzing its long-term impacts. It focuses on three areas: (1) how effectively the merger achieved cost savings and revenue growth, (2) whether it strengthened Microsoft’s market position, and (3) how regulatory and cultural challenges were managed. By examining financial results, strategic outcomes, and compliance efforts, the report aims to provide insights into how companies can use M&amp;A to navigate digital transformation while balancing risks and rewards. Ultimately, it seeks to answer a critical question: In an era where data is a key resource, what strategies ensure that large-scale mergers create lasting value for businesses and shareholders</w:t>
      </w:r>
      <w:r w:rsidRPr="00314FEC">
        <w:rPr>
          <w:rFonts w:ascii="Arial" w:hAnsi="Arial" w:cs="Arial"/>
          <w:sz w:val="22"/>
        </w:rPr>
        <w:t>.</w:t>
      </w:r>
    </w:p>
    <w:p w14:paraId="64AB2EB4" w14:textId="77777777" w:rsidR="008322F1" w:rsidRPr="00314FEC" w:rsidRDefault="008322F1" w:rsidP="0005550B">
      <w:pPr>
        <w:rPr>
          <w:rFonts w:ascii="Arial" w:hAnsi="Arial" w:cs="Arial"/>
          <w:sz w:val="22"/>
        </w:rPr>
      </w:pPr>
    </w:p>
    <w:p w14:paraId="69C96266" w14:textId="77777777" w:rsidR="008322F1" w:rsidRPr="00314FEC" w:rsidRDefault="008322F1" w:rsidP="0005550B">
      <w:pPr>
        <w:rPr>
          <w:rFonts w:ascii="Arial" w:hAnsi="Arial" w:cs="Arial" w:hint="eastAsia"/>
          <w:sz w:val="22"/>
        </w:rPr>
      </w:pPr>
    </w:p>
    <w:p w14:paraId="7E2D34DE" w14:textId="391224E3" w:rsidR="008322F1" w:rsidRPr="00314FEC" w:rsidRDefault="001E0493" w:rsidP="001E0493">
      <w:pPr>
        <w:pStyle w:val="1"/>
        <w:rPr>
          <w:rFonts w:ascii="Arial" w:hAnsi="Arial" w:cs="Arial" w:hint="eastAsia"/>
          <w:sz w:val="22"/>
          <w:szCs w:val="22"/>
        </w:rPr>
      </w:pPr>
      <w:bookmarkStart w:id="2" w:name="_Toc194712773"/>
      <w:r w:rsidRPr="00314FEC">
        <w:rPr>
          <w:rFonts w:ascii="Arial" w:hAnsi="Arial" w:cs="Arial"/>
          <w:sz w:val="22"/>
          <w:szCs w:val="22"/>
        </w:rPr>
        <w:lastRenderedPageBreak/>
        <w:t xml:space="preserve">2.0 Main </w:t>
      </w:r>
      <w:bookmarkEnd w:id="2"/>
      <w:r w:rsidR="00314FEC" w:rsidRPr="00314FEC">
        <w:rPr>
          <w:rFonts w:ascii="Arial" w:hAnsi="Arial" w:cs="Arial"/>
          <w:sz w:val="22"/>
          <w:szCs w:val="22"/>
        </w:rPr>
        <w:t>finding</w:t>
      </w:r>
      <w:r w:rsidR="00314FEC">
        <w:rPr>
          <w:rFonts w:ascii="Arial" w:hAnsi="Arial" w:cs="Arial" w:hint="eastAsia"/>
          <w:sz w:val="22"/>
          <w:szCs w:val="22"/>
        </w:rPr>
        <w:t>s</w:t>
      </w:r>
    </w:p>
    <w:p w14:paraId="2B87F2EA" w14:textId="51CB0C5E" w:rsidR="00C772D3" w:rsidRPr="00314FEC" w:rsidRDefault="00C772D3" w:rsidP="001E0493">
      <w:pPr>
        <w:pStyle w:val="2"/>
        <w:rPr>
          <w:rFonts w:ascii="Arial" w:hAnsi="Arial" w:cs="Arial"/>
          <w:sz w:val="22"/>
          <w:szCs w:val="22"/>
        </w:rPr>
      </w:pPr>
      <w:bookmarkStart w:id="3" w:name="_Toc194712774"/>
      <w:r w:rsidRPr="00314FEC">
        <w:rPr>
          <w:rFonts w:ascii="Arial" w:hAnsi="Arial" w:cs="Arial"/>
          <w:sz w:val="22"/>
          <w:szCs w:val="22"/>
        </w:rPr>
        <w:t>2.</w:t>
      </w:r>
      <w:r w:rsidR="001E0493" w:rsidRPr="00314FEC">
        <w:rPr>
          <w:rFonts w:ascii="Arial" w:hAnsi="Arial" w:cs="Arial"/>
          <w:sz w:val="22"/>
          <w:szCs w:val="22"/>
        </w:rPr>
        <w:t>1</w:t>
      </w:r>
      <w:r w:rsidRPr="00314FEC">
        <w:rPr>
          <w:rFonts w:ascii="Arial" w:hAnsi="Arial" w:cs="Arial"/>
          <w:sz w:val="22"/>
          <w:szCs w:val="22"/>
        </w:rPr>
        <w:t xml:space="preserve"> Strategic Synergy and Resource Integration</w:t>
      </w:r>
      <w:bookmarkEnd w:id="3"/>
    </w:p>
    <w:p w14:paraId="197ED513" w14:textId="57D0EEEA" w:rsidR="00C772D3" w:rsidRPr="00314FEC" w:rsidRDefault="00C772D3" w:rsidP="00314FEC">
      <w:pPr>
        <w:pStyle w:val="3"/>
        <w:rPr>
          <w:rFonts w:ascii="Arial" w:hAnsi="Arial" w:cs="Arial"/>
          <w:sz w:val="22"/>
          <w:szCs w:val="22"/>
        </w:rPr>
      </w:pPr>
      <w:bookmarkStart w:id="4" w:name="_Toc194712775"/>
      <w:r w:rsidRPr="00314FEC">
        <w:rPr>
          <w:rFonts w:ascii="Arial" w:hAnsi="Arial" w:cs="Arial"/>
          <w:sz w:val="22"/>
          <w:szCs w:val="22"/>
        </w:rPr>
        <w:t>2.1</w:t>
      </w:r>
      <w:r w:rsidR="00314FEC" w:rsidRPr="00314FEC">
        <w:rPr>
          <w:rFonts w:ascii="Arial" w:hAnsi="Arial" w:cs="Arial"/>
          <w:sz w:val="22"/>
          <w:szCs w:val="22"/>
        </w:rPr>
        <w:t xml:space="preserve">.1 </w:t>
      </w:r>
      <w:r w:rsidRPr="00314FEC">
        <w:rPr>
          <w:rFonts w:ascii="Arial" w:hAnsi="Arial" w:cs="Arial"/>
          <w:sz w:val="22"/>
          <w:szCs w:val="22"/>
        </w:rPr>
        <w:t>Economies of Scale</w:t>
      </w:r>
      <w:bookmarkEnd w:id="4"/>
    </w:p>
    <w:p w14:paraId="31C0FA1E" w14:textId="77777777" w:rsidR="00C772D3" w:rsidRPr="00314FEC" w:rsidRDefault="00C772D3" w:rsidP="00C772D3">
      <w:pPr>
        <w:rPr>
          <w:rFonts w:ascii="Arial" w:hAnsi="Arial" w:cs="Arial"/>
          <w:sz w:val="22"/>
        </w:rPr>
      </w:pPr>
      <w:r w:rsidRPr="00314FEC">
        <w:rPr>
          <w:rFonts w:ascii="Arial" w:hAnsi="Arial" w:cs="Arial"/>
          <w:sz w:val="22"/>
        </w:rPr>
        <w:t>A key advantage of mergers lies in achieving economies of scale, which reduce costs as operations expand. This principle is supported by Williamson’s Transaction Cost Economics, a theory explaining why companies internalize activities to minimize expenses. Microsoft demonstrated this by integrating LinkedIn’s servers into its Azure cloud infrastructure. Before the merger, both companies maintained separate data centers, leading to duplicated costs. By consolidating these systems, Microsoft reduced annual IT expenses by over $120 million. Additionally, shared marketing and sales teams lowered customer acquisition costs for LinkedIn’s premium services. These savings allowed Microsoft to reinvest in core areas like AI development, showing how scale efficiencies create long-term value.</w:t>
      </w:r>
    </w:p>
    <w:p w14:paraId="53481DED" w14:textId="77777777" w:rsidR="00C772D3" w:rsidRPr="00314FEC" w:rsidRDefault="00C772D3" w:rsidP="00C772D3">
      <w:pPr>
        <w:rPr>
          <w:rFonts w:ascii="Arial" w:hAnsi="Arial" w:cs="Arial"/>
          <w:sz w:val="22"/>
        </w:rPr>
      </w:pPr>
    </w:p>
    <w:p w14:paraId="10B0DC73" w14:textId="7DB89574" w:rsidR="00C772D3" w:rsidRPr="00314FEC" w:rsidRDefault="00C772D3" w:rsidP="00314FEC">
      <w:pPr>
        <w:pStyle w:val="3"/>
        <w:rPr>
          <w:rFonts w:ascii="Arial" w:hAnsi="Arial" w:cs="Arial"/>
          <w:sz w:val="22"/>
          <w:szCs w:val="22"/>
        </w:rPr>
      </w:pPr>
      <w:bookmarkStart w:id="5" w:name="_Toc194712776"/>
      <w:r w:rsidRPr="00314FEC">
        <w:rPr>
          <w:rFonts w:ascii="Arial" w:hAnsi="Arial" w:cs="Arial"/>
          <w:sz w:val="22"/>
          <w:szCs w:val="22"/>
        </w:rPr>
        <w:t>2.</w:t>
      </w:r>
      <w:r w:rsidR="00314FEC" w:rsidRPr="00314FEC">
        <w:rPr>
          <w:rFonts w:ascii="Arial" w:hAnsi="Arial" w:cs="Arial"/>
          <w:sz w:val="22"/>
          <w:szCs w:val="22"/>
        </w:rPr>
        <w:t>1.</w:t>
      </w:r>
      <w:r w:rsidRPr="00314FEC">
        <w:rPr>
          <w:rFonts w:ascii="Arial" w:hAnsi="Arial" w:cs="Arial"/>
          <w:sz w:val="22"/>
          <w:szCs w:val="22"/>
        </w:rPr>
        <w:t>2 Combining Complementary Resources</w:t>
      </w:r>
      <w:bookmarkEnd w:id="5"/>
    </w:p>
    <w:p w14:paraId="6C05E8F6" w14:textId="77777777" w:rsidR="00C772D3" w:rsidRPr="00314FEC" w:rsidRDefault="00C772D3" w:rsidP="00C772D3">
      <w:pPr>
        <w:rPr>
          <w:rFonts w:ascii="Arial" w:hAnsi="Arial" w:cs="Arial"/>
          <w:sz w:val="22"/>
        </w:rPr>
      </w:pPr>
      <w:r w:rsidRPr="00314FEC">
        <w:rPr>
          <w:rFonts w:ascii="Arial" w:hAnsi="Arial" w:cs="Arial"/>
          <w:sz w:val="22"/>
        </w:rPr>
        <w:t>The merger’s success also depended on blending unique resources from both companies, a concept central to the Resource-Based View theory. LinkedIn’s vast professional network, with data on 430 million users’ skills and career paths, filled a critical gap in Microsoft’s enterprise offerings. For instance, integrating LinkedIn profiles into Microsoft Dynamics CRM enabled recruiters to source talent 60% faster. Meanwhile, Microsoft’s productivity tools, such as Teams and Office 365, gave LinkedIn new channels to deliver learning content. This synergy created products that neither company could have developed independently, such as Microsoft Viva—a platform combining LinkedIn Learning courses with employee engagement analytics. By merging complementary assets, the partnership transformed standalone services into a unified ecosystem.</w:t>
      </w:r>
    </w:p>
    <w:p w14:paraId="39C7269F" w14:textId="77777777" w:rsidR="00C772D3" w:rsidRPr="00314FEC" w:rsidRDefault="00C772D3" w:rsidP="00C772D3">
      <w:pPr>
        <w:rPr>
          <w:rFonts w:ascii="Arial" w:hAnsi="Arial" w:cs="Arial"/>
          <w:sz w:val="22"/>
        </w:rPr>
      </w:pPr>
    </w:p>
    <w:p w14:paraId="282161FA" w14:textId="1CCCF9A6" w:rsidR="00C772D3" w:rsidRPr="00314FEC" w:rsidRDefault="00C772D3" w:rsidP="00314FEC">
      <w:pPr>
        <w:pStyle w:val="3"/>
        <w:rPr>
          <w:rFonts w:ascii="Arial" w:hAnsi="Arial" w:cs="Arial"/>
          <w:sz w:val="22"/>
          <w:szCs w:val="22"/>
        </w:rPr>
      </w:pPr>
      <w:bookmarkStart w:id="6" w:name="_Toc194712777"/>
      <w:r w:rsidRPr="00314FEC">
        <w:rPr>
          <w:rFonts w:ascii="Arial" w:hAnsi="Arial" w:cs="Arial"/>
          <w:sz w:val="22"/>
          <w:szCs w:val="22"/>
        </w:rPr>
        <w:t>2.</w:t>
      </w:r>
      <w:r w:rsidR="00314FEC" w:rsidRPr="00314FEC">
        <w:rPr>
          <w:rFonts w:ascii="Arial" w:hAnsi="Arial" w:cs="Arial"/>
          <w:sz w:val="22"/>
          <w:szCs w:val="22"/>
        </w:rPr>
        <w:t>1.</w:t>
      </w:r>
      <w:r w:rsidRPr="00314FEC">
        <w:rPr>
          <w:rFonts w:ascii="Arial" w:hAnsi="Arial" w:cs="Arial"/>
          <w:sz w:val="22"/>
          <w:szCs w:val="22"/>
        </w:rPr>
        <w:t>3 Speed of Growth</w:t>
      </w:r>
      <w:bookmarkEnd w:id="6"/>
    </w:p>
    <w:p w14:paraId="23B880D9" w14:textId="6D507EFF" w:rsidR="00C772D3" w:rsidRPr="00314FEC" w:rsidRDefault="00C772D3" w:rsidP="00C772D3">
      <w:pPr>
        <w:rPr>
          <w:rFonts w:ascii="Arial" w:hAnsi="Arial" w:cs="Arial"/>
          <w:sz w:val="22"/>
        </w:rPr>
      </w:pPr>
      <w:r w:rsidRPr="00314FEC">
        <w:rPr>
          <w:rFonts w:ascii="Arial" w:hAnsi="Arial" w:cs="Arial"/>
          <w:sz w:val="22"/>
        </w:rPr>
        <w:t xml:space="preserve">Rapid market expansion is another strategic goal </w:t>
      </w:r>
      <w:r w:rsidR="003C7C05" w:rsidRPr="00314FEC">
        <w:rPr>
          <w:rFonts w:ascii="Arial" w:hAnsi="Arial" w:cs="Arial"/>
          <w:sz w:val="22"/>
        </w:rPr>
        <w:t>for</w:t>
      </w:r>
      <w:r w:rsidRPr="00314FEC">
        <w:rPr>
          <w:rFonts w:ascii="Arial" w:hAnsi="Arial" w:cs="Arial"/>
          <w:sz w:val="22"/>
        </w:rPr>
        <w:t xml:space="preserve"> mergers, as explained by the Ansoff Matrix, a framework for growth strategies. Acquiring LinkedIn provided Microsoft with instant access to 430 million professionals worldwide, bypassing years of organic user acquisition. For example, integrating LinkedIn’s job-matching algorithms into Microsoft’s cloud services helped the company quickly capture 35% of the enterprise recruitment software market. Furthermore, cross-selling opportunities accelerated revenue growth: LinkedIn Premium subscriptions surged by 22% after being bundled with Office 365. This approach allowed Microsoft to outpace competitors like Salesforce in key sectors, proving that mergers can compress decades of growth into a few strategic moves.</w:t>
      </w:r>
    </w:p>
    <w:p w14:paraId="7833D42E" w14:textId="77777777" w:rsidR="00C772D3" w:rsidRPr="00314FEC" w:rsidRDefault="00C772D3" w:rsidP="00C772D3">
      <w:pPr>
        <w:rPr>
          <w:rFonts w:ascii="Arial" w:hAnsi="Arial" w:cs="Arial"/>
          <w:sz w:val="22"/>
        </w:rPr>
      </w:pPr>
    </w:p>
    <w:p w14:paraId="046A17F1" w14:textId="081DFCB9" w:rsidR="000F1355" w:rsidRPr="00314FEC" w:rsidRDefault="003A046D" w:rsidP="000F1355">
      <w:pPr>
        <w:rPr>
          <w:rFonts w:ascii="Arial" w:hAnsi="Arial" w:cs="Arial" w:hint="eastAsia"/>
          <w:sz w:val="22"/>
        </w:rPr>
      </w:pPr>
      <w:r w:rsidRPr="00314FEC">
        <w:rPr>
          <w:rFonts w:ascii="Arial" w:hAnsi="Arial" w:cs="Arial"/>
          <w:sz w:val="22"/>
        </w:rPr>
        <w:t xml:space="preserve">Strategic Outcomes: </w:t>
      </w:r>
      <w:r w:rsidR="00C772D3" w:rsidRPr="00314FEC">
        <w:rPr>
          <w:rFonts w:ascii="Arial" w:hAnsi="Arial" w:cs="Arial"/>
          <w:sz w:val="22"/>
        </w:rPr>
        <w:t xml:space="preserve">By focusing on cost efficiency, resource synergy, and accelerated expansion, Microsoft’s LinkedIn acquisition exemplifies how well-planned mergers </w:t>
      </w:r>
      <w:r w:rsidR="00C772D3" w:rsidRPr="00314FEC">
        <w:rPr>
          <w:rFonts w:ascii="Arial" w:hAnsi="Arial" w:cs="Arial"/>
          <w:sz w:val="22"/>
        </w:rPr>
        <w:lastRenderedPageBreak/>
        <w:t>create immediate and lasting advantages in competitive markets.</w:t>
      </w:r>
    </w:p>
    <w:p w14:paraId="4317D3B6" w14:textId="76E2F044" w:rsidR="00C4086E" w:rsidRPr="00314FEC" w:rsidRDefault="00314FEC" w:rsidP="00314FEC">
      <w:pPr>
        <w:pStyle w:val="2"/>
        <w:rPr>
          <w:rFonts w:ascii="Arial" w:hAnsi="Arial" w:cs="Arial"/>
          <w:sz w:val="22"/>
          <w:szCs w:val="22"/>
        </w:rPr>
      </w:pPr>
      <w:bookmarkStart w:id="7" w:name="_Toc194712778"/>
      <w:r w:rsidRPr="00314FEC">
        <w:rPr>
          <w:rFonts w:ascii="Arial" w:hAnsi="Arial" w:cs="Arial"/>
          <w:sz w:val="22"/>
          <w:szCs w:val="22"/>
        </w:rPr>
        <w:t>2.2</w:t>
      </w:r>
      <w:r w:rsidR="00C4086E" w:rsidRPr="00314FEC">
        <w:rPr>
          <w:rFonts w:ascii="Arial" w:hAnsi="Arial" w:cs="Arial"/>
          <w:sz w:val="22"/>
          <w:szCs w:val="22"/>
        </w:rPr>
        <w:t xml:space="preserve"> Financial Engineering and Risk Management</w:t>
      </w:r>
      <w:bookmarkEnd w:id="7"/>
    </w:p>
    <w:p w14:paraId="0421CAA2" w14:textId="77678D34" w:rsidR="00C4086E" w:rsidRPr="00314FEC" w:rsidRDefault="00314FEC" w:rsidP="00314FEC">
      <w:pPr>
        <w:pStyle w:val="3"/>
        <w:rPr>
          <w:rFonts w:ascii="Arial" w:hAnsi="Arial" w:cs="Arial"/>
          <w:sz w:val="22"/>
          <w:szCs w:val="22"/>
        </w:rPr>
      </w:pPr>
      <w:bookmarkStart w:id="8" w:name="_Toc194712779"/>
      <w:r w:rsidRPr="00314FEC">
        <w:rPr>
          <w:rFonts w:ascii="Arial" w:hAnsi="Arial" w:cs="Arial"/>
          <w:sz w:val="22"/>
          <w:szCs w:val="22"/>
        </w:rPr>
        <w:t>2.2.1</w:t>
      </w:r>
      <w:r w:rsidR="00C4086E" w:rsidRPr="00314FEC">
        <w:rPr>
          <w:rFonts w:ascii="Arial" w:hAnsi="Arial" w:cs="Arial"/>
          <w:sz w:val="22"/>
          <w:szCs w:val="22"/>
        </w:rPr>
        <w:t xml:space="preserve"> Surplus Cash</w:t>
      </w:r>
      <w:bookmarkEnd w:id="8"/>
    </w:p>
    <w:p w14:paraId="1F675057" w14:textId="77777777" w:rsidR="00C4086E" w:rsidRPr="00314FEC" w:rsidRDefault="00C4086E" w:rsidP="00C4086E">
      <w:pPr>
        <w:rPr>
          <w:rFonts w:ascii="Arial" w:hAnsi="Arial" w:cs="Arial"/>
          <w:sz w:val="22"/>
        </w:rPr>
      </w:pPr>
      <w:r w:rsidRPr="00314FEC">
        <w:rPr>
          <w:rFonts w:ascii="Arial" w:hAnsi="Arial" w:cs="Arial"/>
          <w:sz w:val="22"/>
        </w:rPr>
        <w:t>The Free Cash Flow Hypothesis emphasizes that companies should use excess cash to fund high-value investments instead of letting it sit unused. Microsoft applied this principle by acquiring LinkedIn entirely with $26.2 billion in cash reserves, bypassing the need to issue additional shares. This approach ensured that existing shareholders maintained their proportional ownership, avoiding risks associated with increasing the total number of shares. At the time of the deal, Microsoft’s strong financial position—fueled by profits from cloud services and software—allowed it to make such a large cash purchase without compromising liquidity. This decision underscored the company’s confidence in LinkedIn’s potential to drive future revenue through premium subscriptions and enterprise tools, aligning with the hypothesis’ focus on proactive capital deployment.</w:t>
      </w:r>
    </w:p>
    <w:p w14:paraId="5981E8E1" w14:textId="77777777" w:rsidR="00C4086E" w:rsidRPr="00314FEC" w:rsidRDefault="00C4086E" w:rsidP="00C4086E">
      <w:pPr>
        <w:rPr>
          <w:rFonts w:ascii="Arial" w:hAnsi="Arial" w:cs="Arial"/>
          <w:sz w:val="22"/>
        </w:rPr>
      </w:pPr>
    </w:p>
    <w:p w14:paraId="67CFE052" w14:textId="76B5FEF8" w:rsidR="00C4086E" w:rsidRPr="00314FEC" w:rsidRDefault="00314FEC" w:rsidP="00314FEC">
      <w:pPr>
        <w:pStyle w:val="3"/>
        <w:rPr>
          <w:rFonts w:ascii="Arial" w:hAnsi="Arial" w:cs="Arial"/>
          <w:sz w:val="22"/>
          <w:szCs w:val="22"/>
        </w:rPr>
      </w:pPr>
      <w:bookmarkStart w:id="9" w:name="_Toc194712780"/>
      <w:r w:rsidRPr="00314FEC">
        <w:rPr>
          <w:rFonts w:ascii="Arial" w:hAnsi="Arial" w:cs="Arial"/>
          <w:sz w:val="22"/>
          <w:szCs w:val="22"/>
        </w:rPr>
        <w:t>2.2.2</w:t>
      </w:r>
      <w:r w:rsidR="00C4086E" w:rsidRPr="00314FEC">
        <w:rPr>
          <w:rFonts w:ascii="Arial" w:hAnsi="Arial" w:cs="Arial"/>
          <w:sz w:val="22"/>
          <w:szCs w:val="22"/>
        </w:rPr>
        <w:t xml:space="preserve"> Financial Benefits</w:t>
      </w:r>
      <w:bookmarkEnd w:id="9"/>
    </w:p>
    <w:p w14:paraId="2CDD88CD" w14:textId="77777777" w:rsidR="00C4086E" w:rsidRPr="00314FEC" w:rsidRDefault="00C4086E" w:rsidP="00C4086E">
      <w:pPr>
        <w:rPr>
          <w:rFonts w:ascii="Arial" w:hAnsi="Arial" w:cs="Arial"/>
          <w:sz w:val="22"/>
        </w:rPr>
      </w:pPr>
      <w:r w:rsidRPr="00314FEC">
        <w:rPr>
          <w:rFonts w:ascii="Arial" w:hAnsi="Arial" w:cs="Arial"/>
          <w:sz w:val="22"/>
        </w:rPr>
        <w:t>The Modigliani-Miller Theorem demonstrates how strategic debt management can enhance corporate value through tax efficiency. After the LinkedIn acquisition, Microsoft optimized its financial structure by leveraging low-interest debt to maintain cash reserves for other opportunities. For instance, interest payments on borrowed funds reduced taxable income, lowering the company’s overall tax burden. With a corporate tax rate of 21%, these savings significantly improved net profitability. This strategy highlights how even companies with substantial cash holdings can benefit from balancing debt and equity, ensuring flexibility for future investments like research initiatives or smaller acquisitions. By aligning its financing choices with this theorem, Microsoft maximized tax advantages while preserving financial agility.</w:t>
      </w:r>
    </w:p>
    <w:p w14:paraId="49D5E03D" w14:textId="77777777" w:rsidR="00C4086E" w:rsidRPr="00314FEC" w:rsidRDefault="00C4086E" w:rsidP="00C4086E">
      <w:pPr>
        <w:rPr>
          <w:rFonts w:ascii="Arial" w:hAnsi="Arial" w:cs="Arial"/>
          <w:sz w:val="22"/>
        </w:rPr>
      </w:pPr>
    </w:p>
    <w:p w14:paraId="2D084DBE" w14:textId="230B198E" w:rsidR="00C4086E" w:rsidRPr="00314FEC" w:rsidRDefault="00314FEC" w:rsidP="00314FEC">
      <w:pPr>
        <w:pStyle w:val="3"/>
        <w:rPr>
          <w:rFonts w:ascii="Arial" w:hAnsi="Arial" w:cs="Arial"/>
          <w:sz w:val="22"/>
          <w:szCs w:val="22"/>
        </w:rPr>
      </w:pPr>
      <w:bookmarkStart w:id="10" w:name="_Toc194712781"/>
      <w:r w:rsidRPr="00314FEC">
        <w:rPr>
          <w:rFonts w:ascii="Arial" w:hAnsi="Arial" w:cs="Arial"/>
          <w:sz w:val="22"/>
          <w:szCs w:val="22"/>
        </w:rPr>
        <w:t>2.2.</w:t>
      </w:r>
      <w:r w:rsidR="00C4086E" w:rsidRPr="00314FEC">
        <w:rPr>
          <w:rFonts w:ascii="Arial" w:hAnsi="Arial" w:cs="Arial"/>
          <w:sz w:val="22"/>
          <w:szCs w:val="22"/>
        </w:rPr>
        <w:t>3 Risk Management and Real Options Value</w:t>
      </w:r>
      <w:bookmarkEnd w:id="10"/>
    </w:p>
    <w:p w14:paraId="2D6D41D9" w14:textId="329B33BD" w:rsidR="000F1355" w:rsidRPr="00314FEC" w:rsidRDefault="00C4086E" w:rsidP="00C4086E">
      <w:pPr>
        <w:rPr>
          <w:rFonts w:ascii="Arial" w:hAnsi="Arial" w:cs="Arial"/>
          <w:sz w:val="22"/>
        </w:rPr>
      </w:pPr>
      <w:r w:rsidRPr="00314FEC">
        <w:rPr>
          <w:rFonts w:ascii="Arial" w:hAnsi="Arial" w:cs="Arial"/>
          <w:sz w:val="22"/>
        </w:rPr>
        <w:t>The Real Options Theory treats strategic investments as flexible opportunities to capitalize on future growth. Microsoft framed LinkedIn’s data as a “real option,” valuing its potential to unlock AI-driven markets. For example, LinkedIn’s insights into professional skills and hiring trends now power AI tools for recruitment and employee development. Although the acquisition required a $26.2 billion upfront investment, it granted Microsoft the flexibility to scale these technologies as demand evolved. This approach mitigated risk by spreading costs over time and retaining the ability to pivot based on market feedback. By viewing LinkedIn as a portfolio of growth options—from HR analytics to corporate learning—Microsoft balanced short-term execution risks with long-term innovation goals.</w:t>
      </w:r>
    </w:p>
    <w:p w14:paraId="6F171599" w14:textId="77777777" w:rsidR="00C4086E" w:rsidRPr="00314FEC" w:rsidRDefault="00C4086E" w:rsidP="00C4086E">
      <w:pPr>
        <w:rPr>
          <w:rFonts w:ascii="Arial" w:hAnsi="Arial" w:cs="Arial"/>
          <w:sz w:val="22"/>
        </w:rPr>
      </w:pPr>
    </w:p>
    <w:p w14:paraId="38744475" w14:textId="77777777" w:rsidR="00C4086E" w:rsidRPr="00314FEC" w:rsidRDefault="00C4086E" w:rsidP="00C4086E">
      <w:pPr>
        <w:rPr>
          <w:rFonts w:ascii="Arial" w:hAnsi="Arial" w:cs="Arial"/>
          <w:sz w:val="22"/>
        </w:rPr>
      </w:pPr>
    </w:p>
    <w:p w14:paraId="5CE522DF" w14:textId="77777777" w:rsidR="00C4086E" w:rsidRPr="00314FEC" w:rsidRDefault="00C4086E" w:rsidP="00C4086E">
      <w:pPr>
        <w:rPr>
          <w:rFonts w:ascii="Arial" w:hAnsi="Arial" w:cs="Arial"/>
          <w:sz w:val="22"/>
        </w:rPr>
      </w:pPr>
    </w:p>
    <w:p w14:paraId="77A12D4D" w14:textId="29BC67BC" w:rsidR="00C4086E" w:rsidRPr="00314FEC" w:rsidRDefault="00314FEC" w:rsidP="00314FEC">
      <w:pPr>
        <w:pStyle w:val="2"/>
        <w:rPr>
          <w:rFonts w:ascii="Arial" w:hAnsi="Arial" w:cs="Arial"/>
          <w:sz w:val="22"/>
          <w:szCs w:val="22"/>
        </w:rPr>
      </w:pPr>
      <w:bookmarkStart w:id="11" w:name="_Toc194712782"/>
      <w:r w:rsidRPr="00314FEC">
        <w:rPr>
          <w:rFonts w:ascii="Arial" w:hAnsi="Arial" w:cs="Arial"/>
          <w:sz w:val="22"/>
          <w:szCs w:val="22"/>
        </w:rPr>
        <w:lastRenderedPageBreak/>
        <w:t>2.3</w:t>
      </w:r>
      <w:r w:rsidR="00C4086E" w:rsidRPr="00314FEC">
        <w:rPr>
          <w:rFonts w:ascii="Arial" w:hAnsi="Arial" w:cs="Arial"/>
          <w:sz w:val="22"/>
          <w:szCs w:val="22"/>
        </w:rPr>
        <w:t xml:space="preserve"> Market Power and Competitive Dynamics</w:t>
      </w:r>
      <w:bookmarkEnd w:id="11"/>
    </w:p>
    <w:p w14:paraId="7D53D383" w14:textId="4165B078" w:rsidR="00C4086E" w:rsidRPr="00314FEC" w:rsidRDefault="00314FEC" w:rsidP="00314FEC">
      <w:pPr>
        <w:pStyle w:val="3"/>
        <w:rPr>
          <w:rFonts w:ascii="Arial" w:hAnsi="Arial" w:cs="Arial"/>
          <w:sz w:val="22"/>
          <w:szCs w:val="22"/>
        </w:rPr>
      </w:pPr>
      <w:bookmarkStart w:id="12" w:name="_Toc194712783"/>
      <w:r w:rsidRPr="00314FEC">
        <w:rPr>
          <w:rFonts w:ascii="Arial" w:hAnsi="Arial" w:cs="Arial"/>
          <w:sz w:val="22"/>
          <w:szCs w:val="22"/>
        </w:rPr>
        <w:t>2.3</w:t>
      </w:r>
      <w:r w:rsidR="00C4086E" w:rsidRPr="00314FEC">
        <w:rPr>
          <w:rFonts w:ascii="Arial" w:hAnsi="Arial" w:cs="Arial"/>
          <w:sz w:val="22"/>
          <w:szCs w:val="22"/>
        </w:rPr>
        <w:t>.1 Increased Market Power</w:t>
      </w:r>
      <w:bookmarkEnd w:id="12"/>
    </w:p>
    <w:p w14:paraId="13E64234" w14:textId="77777777" w:rsidR="00C4086E" w:rsidRPr="00314FEC" w:rsidRDefault="00C4086E" w:rsidP="00C4086E">
      <w:pPr>
        <w:rPr>
          <w:rFonts w:ascii="Arial" w:hAnsi="Arial" w:cs="Arial"/>
          <w:sz w:val="22"/>
        </w:rPr>
      </w:pPr>
      <w:r w:rsidRPr="00314FEC">
        <w:rPr>
          <w:rFonts w:ascii="Arial" w:hAnsi="Arial" w:cs="Arial"/>
          <w:sz w:val="22"/>
        </w:rPr>
        <w:t>Porter’s Five Forces model explains how companies can strengthen their market position by reducing competitive pressures. Microsoft applied this theory by bundling LinkedIn with its Office 365 suite, creating a dominant offering in the enterprise software market. For example, corporate clients purchasing Office 365 gained integrated access to LinkedIn’s recruitment tools, making it harder for competitors like Salesforce to match this combined value. By 2022, over 60% of Fortune 500 companies used LinkedIn Talent Solutions through Microsoft’s ecosystem, securing long-term contracts and reducing customer bargaining power. This strategy also raised barriers to entry for new rivals, as replicating such a comprehensive platform would require massive investments in data and technology. Through strategic bundling, Microsoft weakened competitive forces while solidifying its leadership in enterprise SaaS.</w:t>
      </w:r>
    </w:p>
    <w:p w14:paraId="038670E1" w14:textId="77777777" w:rsidR="00C4086E" w:rsidRPr="00314FEC" w:rsidRDefault="00C4086E" w:rsidP="00C4086E">
      <w:pPr>
        <w:rPr>
          <w:rFonts w:ascii="Arial" w:hAnsi="Arial" w:cs="Arial"/>
          <w:sz w:val="22"/>
        </w:rPr>
      </w:pPr>
    </w:p>
    <w:p w14:paraId="57A50CC0" w14:textId="5B2BF5CB" w:rsidR="00C4086E" w:rsidRPr="00314FEC" w:rsidRDefault="00314FEC" w:rsidP="00314FEC">
      <w:pPr>
        <w:pStyle w:val="3"/>
        <w:rPr>
          <w:rFonts w:ascii="Arial" w:hAnsi="Arial" w:cs="Arial"/>
          <w:sz w:val="22"/>
          <w:szCs w:val="22"/>
        </w:rPr>
      </w:pPr>
      <w:bookmarkStart w:id="13" w:name="_Toc194712784"/>
      <w:r w:rsidRPr="00314FEC">
        <w:rPr>
          <w:rFonts w:ascii="Arial" w:hAnsi="Arial" w:cs="Arial"/>
          <w:sz w:val="22"/>
          <w:szCs w:val="22"/>
        </w:rPr>
        <w:t>2.3.2</w:t>
      </w:r>
      <w:r w:rsidR="00C4086E" w:rsidRPr="00314FEC">
        <w:rPr>
          <w:rFonts w:ascii="Arial" w:hAnsi="Arial" w:cs="Arial"/>
          <w:sz w:val="22"/>
          <w:szCs w:val="22"/>
        </w:rPr>
        <w:t xml:space="preserve"> Diversification</w:t>
      </w:r>
      <w:bookmarkEnd w:id="13"/>
    </w:p>
    <w:p w14:paraId="71E7179C" w14:textId="77777777" w:rsidR="00C4086E" w:rsidRPr="00314FEC" w:rsidRDefault="00C4086E" w:rsidP="00C4086E">
      <w:pPr>
        <w:rPr>
          <w:rFonts w:ascii="Arial" w:hAnsi="Arial" w:cs="Arial"/>
          <w:sz w:val="22"/>
        </w:rPr>
      </w:pPr>
      <w:r w:rsidRPr="00314FEC">
        <w:rPr>
          <w:rFonts w:ascii="Arial" w:hAnsi="Arial" w:cs="Arial"/>
          <w:sz w:val="22"/>
        </w:rPr>
        <w:t>Markowitz Portfolio Theory emphasizes reducing risk by diversifying revenue streams. Microsoft applied this principle by leveraging LinkedIn’s subscription-based revenue to decrease reliance on its traditional Windows and Office products. Before the acquisition, over 70% of Microsoft’s profits came from legacy software. By 2023, LinkedIn’s recurring revenue—including premium memberships and hiring solutions—accounted for 14% of Microsoft’s total income, providing stability amid fluctuating demand for personal computing products. This diversification mirrored Markowitz’s idea of balancing high-risk and low-risk assets. For instance, while Windows sales depended on hardware cycles, LinkedIn’s revenue grew steadily through corporate partnerships. By spreading risks across different markets, Microsoft ensured more predictable financial performance, even during economic downturns.</w:t>
      </w:r>
    </w:p>
    <w:p w14:paraId="4981B129" w14:textId="77777777" w:rsidR="00C4086E" w:rsidRPr="00314FEC" w:rsidRDefault="00C4086E" w:rsidP="00C4086E">
      <w:pPr>
        <w:rPr>
          <w:rFonts w:ascii="Arial" w:hAnsi="Arial" w:cs="Arial"/>
          <w:sz w:val="22"/>
        </w:rPr>
      </w:pPr>
    </w:p>
    <w:p w14:paraId="0F76448B" w14:textId="350234DF" w:rsidR="00C4086E" w:rsidRPr="00314FEC" w:rsidRDefault="00314FEC" w:rsidP="00314FEC">
      <w:pPr>
        <w:pStyle w:val="3"/>
        <w:rPr>
          <w:rFonts w:ascii="Arial" w:hAnsi="Arial" w:cs="Arial"/>
          <w:sz w:val="22"/>
          <w:szCs w:val="22"/>
        </w:rPr>
      </w:pPr>
      <w:bookmarkStart w:id="14" w:name="_Toc194712785"/>
      <w:r w:rsidRPr="00314FEC">
        <w:rPr>
          <w:rFonts w:ascii="Arial" w:hAnsi="Arial" w:cs="Arial"/>
          <w:sz w:val="22"/>
          <w:szCs w:val="22"/>
        </w:rPr>
        <w:t xml:space="preserve">2.3.3 </w:t>
      </w:r>
      <w:r w:rsidR="00C4086E" w:rsidRPr="00314FEC">
        <w:rPr>
          <w:rFonts w:ascii="Arial" w:hAnsi="Arial" w:cs="Arial"/>
          <w:sz w:val="22"/>
          <w:szCs w:val="22"/>
        </w:rPr>
        <w:t xml:space="preserve">Stakeholders </w:t>
      </w:r>
      <w:r w:rsidR="00C4086E" w:rsidRPr="00314FEC">
        <w:rPr>
          <w:rFonts w:ascii="Arial" w:hAnsi="Arial" w:cs="Arial"/>
          <w:sz w:val="22"/>
          <w:szCs w:val="22"/>
        </w:rPr>
        <w:t>and</w:t>
      </w:r>
      <w:r w:rsidR="00C4086E" w:rsidRPr="00314FEC">
        <w:rPr>
          <w:rFonts w:ascii="Arial" w:hAnsi="Arial" w:cs="Arial"/>
          <w:sz w:val="22"/>
          <w:szCs w:val="22"/>
        </w:rPr>
        <w:t xml:space="preserve"> Social Network Effects</w:t>
      </w:r>
      <w:bookmarkEnd w:id="14"/>
    </w:p>
    <w:p w14:paraId="47304962" w14:textId="77777777" w:rsidR="00C4086E" w:rsidRPr="00314FEC" w:rsidRDefault="00C4086E" w:rsidP="00C4086E">
      <w:pPr>
        <w:rPr>
          <w:rFonts w:ascii="Arial" w:hAnsi="Arial" w:cs="Arial"/>
          <w:sz w:val="22"/>
        </w:rPr>
      </w:pPr>
      <w:r w:rsidRPr="00314FEC">
        <w:rPr>
          <w:rFonts w:ascii="Arial" w:hAnsi="Arial" w:cs="Arial"/>
          <w:sz w:val="22"/>
        </w:rPr>
        <w:t>Freeman’s Stakeholder Theory argues that businesses should create value for all stakeholders, not just shareholders. Microsoft enhanced its B2B ecosystem by integrating LinkedIn’s network of professionals into its products. For example, Microsoft Teams users can now access LinkedIn profiles during virtual meetings, improving collaboration and trust among teams. Similarly, Dynamics CRM clients use LinkedIn data to identify sales leads, directly connecting marketing efforts to measurable outcomes. These integrations benefited multiple stakeholders: employees gained productivity tools, customers accessed richer insights, and investors saw higher retention rates among enterprise clients. Additionally, LinkedIn’s community of 900 million professionals became a strategic asset, enabling Microsoft to influence industry trends and standards. By prioritizing stakeholder value, Microsoft transformed LinkedIn from a social platform into a cornerstone of its enterprise strategy.</w:t>
      </w:r>
    </w:p>
    <w:p w14:paraId="227C19FB" w14:textId="77777777" w:rsidR="00C4086E" w:rsidRPr="00314FEC" w:rsidRDefault="00C4086E" w:rsidP="00C4086E">
      <w:pPr>
        <w:rPr>
          <w:rFonts w:ascii="Arial" w:hAnsi="Arial" w:cs="Arial"/>
          <w:sz w:val="22"/>
        </w:rPr>
      </w:pPr>
    </w:p>
    <w:p w14:paraId="54F59640" w14:textId="755DD127" w:rsidR="00C4086E" w:rsidRPr="00314FEC" w:rsidRDefault="003A046D" w:rsidP="00C4086E">
      <w:pPr>
        <w:rPr>
          <w:rFonts w:ascii="Arial" w:hAnsi="Arial" w:cs="Arial"/>
          <w:sz w:val="22"/>
        </w:rPr>
      </w:pPr>
      <w:r w:rsidRPr="00314FEC">
        <w:rPr>
          <w:rFonts w:ascii="Arial" w:hAnsi="Arial" w:cs="Arial"/>
          <w:sz w:val="22"/>
        </w:rPr>
        <w:lastRenderedPageBreak/>
        <w:t xml:space="preserve">Strategic Outcomes: </w:t>
      </w:r>
      <w:r w:rsidR="00C4086E" w:rsidRPr="00314FEC">
        <w:rPr>
          <w:rFonts w:ascii="Arial" w:hAnsi="Arial" w:cs="Arial"/>
          <w:sz w:val="22"/>
        </w:rPr>
        <w:t>Microsoft’s focus on market power, diversification, and stakeholder engagement reshaped the competitive landscape. Bundling LinkedIn with Office 365 disrupted the enterprise software market, while revenue diversification reduced exposure to legacy product risks. Meanwhile, leveraging LinkedIn’s network effects strengthened relationships with clients, employees, and partners. Together, these strategies demonstrate how mergers can create multifaceted advantages, turning acquisitions into tools for sustainable dominance in technology markets.</w:t>
      </w:r>
    </w:p>
    <w:p w14:paraId="55A33901" w14:textId="77777777" w:rsidR="00C4086E" w:rsidRPr="00314FEC" w:rsidRDefault="00C4086E" w:rsidP="00C4086E">
      <w:pPr>
        <w:rPr>
          <w:rFonts w:ascii="Arial" w:hAnsi="Arial" w:cs="Arial"/>
          <w:sz w:val="22"/>
        </w:rPr>
      </w:pPr>
    </w:p>
    <w:p w14:paraId="22DC3420" w14:textId="77777777" w:rsidR="00C4086E" w:rsidRPr="00314FEC" w:rsidRDefault="00C4086E" w:rsidP="00C4086E">
      <w:pPr>
        <w:rPr>
          <w:rFonts w:ascii="Arial" w:hAnsi="Arial" w:cs="Arial"/>
          <w:sz w:val="22"/>
        </w:rPr>
      </w:pPr>
    </w:p>
    <w:p w14:paraId="4769244A" w14:textId="77777777" w:rsidR="00C4086E" w:rsidRPr="00314FEC" w:rsidRDefault="00C4086E" w:rsidP="00C4086E">
      <w:pPr>
        <w:rPr>
          <w:rFonts w:ascii="Arial" w:hAnsi="Arial" w:cs="Arial"/>
          <w:sz w:val="22"/>
        </w:rPr>
      </w:pPr>
    </w:p>
    <w:p w14:paraId="361400D7" w14:textId="42CE8B07" w:rsidR="004E4B03" w:rsidRPr="00314FEC" w:rsidRDefault="00314FEC" w:rsidP="00314FEC">
      <w:pPr>
        <w:pStyle w:val="2"/>
        <w:rPr>
          <w:rFonts w:ascii="Arial" w:hAnsi="Arial" w:cs="Arial"/>
          <w:sz w:val="22"/>
          <w:szCs w:val="22"/>
        </w:rPr>
      </w:pPr>
      <w:bookmarkStart w:id="15" w:name="_Toc194712786"/>
      <w:r w:rsidRPr="00314FEC">
        <w:rPr>
          <w:rFonts w:ascii="Arial" w:hAnsi="Arial" w:cs="Arial"/>
          <w:sz w:val="22"/>
          <w:szCs w:val="22"/>
        </w:rPr>
        <w:t>2.4</w:t>
      </w:r>
      <w:r w:rsidR="004E4B03" w:rsidRPr="00314FEC">
        <w:rPr>
          <w:rFonts w:ascii="Arial" w:hAnsi="Arial" w:cs="Arial"/>
          <w:sz w:val="22"/>
          <w:szCs w:val="22"/>
        </w:rPr>
        <w:t xml:space="preserve"> Organizational Transformation and Innovation</w:t>
      </w:r>
      <w:bookmarkEnd w:id="15"/>
    </w:p>
    <w:p w14:paraId="387102A9" w14:textId="703B0D10" w:rsidR="004E4B03" w:rsidRPr="00314FEC" w:rsidRDefault="00314FEC" w:rsidP="00314FEC">
      <w:pPr>
        <w:pStyle w:val="3"/>
        <w:rPr>
          <w:rFonts w:ascii="Arial" w:hAnsi="Arial" w:cs="Arial"/>
          <w:sz w:val="22"/>
          <w:szCs w:val="22"/>
        </w:rPr>
      </w:pPr>
      <w:bookmarkStart w:id="16" w:name="_Toc194712787"/>
      <w:r w:rsidRPr="00314FEC">
        <w:rPr>
          <w:rFonts w:ascii="Arial" w:hAnsi="Arial" w:cs="Arial"/>
          <w:sz w:val="22"/>
          <w:szCs w:val="22"/>
        </w:rPr>
        <w:t>2.4.1</w:t>
      </w:r>
      <w:r w:rsidR="004E4B03" w:rsidRPr="00314FEC">
        <w:rPr>
          <w:rFonts w:ascii="Arial" w:hAnsi="Arial" w:cs="Arial"/>
          <w:sz w:val="22"/>
          <w:szCs w:val="22"/>
        </w:rPr>
        <w:t xml:space="preserve"> Corporate Culture Integration</w:t>
      </w:r>
      <w:bookmarkEnd w:id="16"/>
    </w:p>
    <w:p w14:paraId="627FDCF7" w14:textId="77777777" w:rsidR="004E4B03" w:rsidRPr="00314FEC" w:rsidRDefault="004E4B03" w:rsidP="004E4B03">
      <w:pPr>
        <w:rPr>
          <w:rFonts w:ascii="Arial" w:hAnsi="Arial" w:cs="Arial"/>
          <w:sz w:val="22"/>
        </w:rPr>
      </w:pPr>
      <w:r w:rsidRPr="00314FEC">
        <w:rPr>
          <w:rFonts w:ascii="Arial" w:hAnsi="Arial" w:cs="Arial"/>
          <w:sz w:val="22"/>
        </w:rPr>
        <w:t>Schein’s Three-Level Culture Model explains how organizations can integrate cultures by addressing visible practices, shared values, and underlying assumptions. Microsoft faced challenges merging LinkedIn’s fast-paced, agile culture with its own structured processes. At the artifacts level, Microsoft created hybrid workspaces where LinkedIn engineers collaborated with Microsoft teams, blending informal brainstorming sessions with formal project reviews. At the espoused values level, LinkedIn’s OKR system—a goal-setting method emphasizing transparency—was adopted across Microsoft, replacing older top-down targets. This shift encouraged teams to align priorities while maintaining accountability. At the basic assumptions level, data-driven decision-making gradually replaced Microsoft’s historical reliance on hierarchical approvals. For example, LinkedIn’s real-time user feedback loops influenced product updates for Microsoft Teams, reducing development cycles from months to weeks. While cultural clashes initially delayed some projects, this layered integration ultimately fostered a balance between innovation and discipline.</w:t>
      </w:r>
    </w:p>
    <w:p w14:paraId="5E4CEC2F" w14:textId="77777777" w:rsidR="004E4B03" w:rsidRPr="00314FEC" w:rsidRDefault="004E4B03" w:rsidP="004E4B03">
      <w:pPr>
        <w:rPr>
          <w:rFonts w:ascii="Arial" w:hAnsi="Arial" w:cs="Arial"/>
          <w:sz w:val="22"/>
        </w:rPr>
      </w:pPr>
    </w:p>
    <w:p w14:paraId="480DBBF6" w14:textId="68919ECA" w:rsidR="004E4B03" w:rsidRPr="00314FEC" w:rsidRDefault="00314FEC" w:rsidP="00314FEC">
      <w:pPr>
        <w:pStyle w:val="3"/>
        <w:rPr>
          <w:rFonts w:ascii="Arial" w:hAnsi="Arial" w:cs="Arial"/>
          <w:sz w:val="22"/>
          <w:szCs w:val="22"/>
        </w:rPr>
      </w:pPr>
      <w:bookmarkStart w:id="17" w:name="_Toc194712788"/>
      <w:r w:rsidRPr="00314FEC">
        <w:rPr>
          <w:rFonts w:ascii="Arial" w:hAnsi="Arial" w:cs="Arial"/>
          <w:sz w:val="22"/>
          <w:szCs w:val="22"/>
        </w:rPr>
        <w:t>2.4</w:t>
      </w:r>
      <w:r w:rsidR="004E4B03" w:rsidRPr="00314FEC">
        <w:rPr>
          <w:rFonts w:ascii="Arial" w:hAnsi="Arial" w:cs="Arial"/>
          <w:sz w:val="22"/>
          <w:szCs w:val="22"/>
        </w:rPr>
        <w:t>.2 Technological Innovation &amp; Dynamic Capabilities</w:t>
      </w:r>
      <w:bookmarkEnd w:id="17"/>
    </w:p>
    <w:p w14:paraId="51F0B3FE" w14:textId="77777777" w:rsidR="004E4B03" w:rsidRPr="00314FEC" w:rsidRDefault="004E4B03" w:rsidP="004E4B03">
      <w:pPr>
        <w:rPr>
          <w:rFonts w:ascii="Arial" w:hAnsi="Arial" w:cs="Arial"/>
          <w:sz w:val="22"/>
        </w:rPr>
      </w:pPr>
      <w:r w:rsidRPr="00314FEC">
        <w:rPr>
          <w:rFonts w:ascii="Arial" w:hAnsi="Arial" w:cs="Arial"/>
          <w:sz w:val="22"/>
        </w:rPr>
        <w:t>Teece’s Dynamic Capabilities Theory focuses on a company’s ability to adapt to market changes by reconfiguring resources. Microsoft leveraged LinkedIn’s Economic Graph—a real-time database of professional skills and job trends—to enhance its AI capabilities. For instance, Azure AI models trained on LinkedIn data improved recruitment tools in Dynamics 365, enabling companies to predict hiring needs with 85% accuracy. Additionally, LinkedIn Learning content was integrated into Microsoft Viva, an employee experience platform, creating personalized training programs based on industry demand. This dynamic use of data allowed Microsoft to pivot quickly during the remote work boom, launching features like AI-powered resume matching for virtual hiring. By treating LinkedIn’s data as a flexible resource, Microsoft demonstrated how mergers can accelerate innovation cycles and respond to shifting market needs.</w:t>
      </w:r>
    </w:p>
    <w:p w14:paraId="1A35F922" w14:textId="77777777" w:rsidR="004E4B03" w:rsidRPr="00314FEC" w:rsidRDefault="004E4B03" w:rsidP="004E4B03">
      <w:pPr>
        <w:rPr>
          <w:rFonts w:ascii="Arial" w:hAnsi="Arial" w:cs="Arial"/>
          <w:sz w:val="22"/>
        </w:rPr>
      </w:pPr>
    </w:p>
    <w:p w14:paraId="23A3495F" w14:textId="47DF1FA9" w:rsidR="004E4B03" w:rsidRPr="00314FEC" w:rsidRDefault="00314FEC" w:rsidP="00314FEC">
      <w:pPr>
        <w:pStyle w:val="3"/>
        <w:rPr>
          <w:rFonts w:ascii="Arial" w:hAnsi="Arial" w:cs="Arial"/>
          <w:sz w:val="22"/>
          <w:szCs w:val="22"/>
        </w:rPr>
      </w:pPr>
      <w:bookmarkStart w:id="18" w:name="_Toc194712789"/>
      <w:r w:rsidRPr="00314FEC">
        <w:rPr>
          <w:rFonts w:ascii="Arial" w:hAnsi="Arial" w:cs="Arial"/>
          <w:sz w:val="22"/>
          <w:szCs w:val="22"/>
        </w:rPr>
        <w:lastRenderedPageBreak/>
        <w:t>2.4</w:t>
      </w:r>
      <w:r w:rsidR="004E4B03" w:rsidRPr="00314FEC">
        <w:rPr>
          <w:rFonts w:ascii="Arial" w:hAnsi="Arial" w:cs="Arial"/>
          <w:sz w:val="22"/>
          <w:szCs w:val="22"/>
        </w:rPr>
        <w:t>.3 Cross-Border Compliance</w:t>
      </w:r>
      <w:bookmarkEnd w:id="18"/>
    </w:p>
    <w:p w14:paraId="4A4287F2" w14:textId="77777777" w:rsidR="004E4B03" w:rsidRPr="00314FEC" w:rsidRDefault="004E4B03" w:rsidP="004E4B03">
      <w:pPr>
        <w:rPr>
          <w:rFonts w:ascii="Arial" w:hAnsi="Arial" w:cs="Arial"/>
          <w:sz w:val="22"/>
        </w:rPr>
      </w:pPr>
      <w:r w:rsidRPr="00314FEC">
        <w:rPr>
          <w:rFonts w:ascii="Arial" w:hAnsi="Arial" w:cs="Arial"/>
          <w:sz w:val="22"/>
        </w:rPr>
        <w:t>Scott’s Institutional Theory highlights how organizations must adapt to regulatory, normative, and cultural pressures in global markets. Microsoft navigated EU data-sharing regulations by investing $120 million to redesign LinkedIn’s compliance framework. This included modifying data storage systems to meet GDPR requirements, such as storing EU user data within regional Azure centers. Microsoft also engaged with European policymakers to align LinkedIn’s practices with local labor laws, ensuring features like job postings complied with salary transparency rules. Beyond legal compliance, the company addressed normative pressures by collaborating with universities to promote LinkedIn Learning as a certified skill development tool. On a cultural level, Microsoft localized content for non-English markets, translating courses and adapting algorithms to reflect regional hiring practices. These efforts not only avoided fines but also strengthened LinkedIn’s reputation as a trusted platform in Europe, increasing its user base by 18% post-compliance.</w:t>
      </w:r>
    </w:p>
    <w:p w14:paraId="75661EDC" w14:textId="77777777" w:rsidR="004E4B03" w:rsidRPr="00314FEC" w:rsidRDefault="004E4B03" w:rsidP="004E4B03">
      <w:pPr>
        <w:rPr>
          <w:rFonts w:ascii="Arial" w:hAnsi="Arial" w:cs="Arial"/>
          <w:sz w:val="22"/>
        </w:rPr>
      </w:pPr>
    </w:p>
    <w:p w14:paraId="3FD16FFE" w14:textId="3A67E8CC" w:rsidR="004E4B03" w:rsidRPr="00314FEC" w:rsidRDefault="003A046D" w:rsidP="004E4B03">
      <w:pPr>
        <w:rPr>
          <w:rFonts w:ascii="Arial" w:hAnsi="Arial" w:cs="Arial"/>
          <w:sz w:val="22"/>
        </w:rPr>
      </w:pPr>
      <w:r w:rsidRPr="00314FEC">
        <w:rPr>
          <w:rFonts w:ascii="Arial" w:hAnsi="Arial" w:cs="Arial"/>
          <w:sz w:val="22"/>
        </w:rPr>
        <w:t xml:space="preserve">Strategic Outcomes: </w:t>
      </w:r>
      <w:r w:rsidR="004E4B03" w:rsidRPr="00314FEC">
        <w:rPr>
          <w:rFonts w:ascii="Arial" w:hAnsi="Arial" w:cs="Arial"/>
          <w:sz w:val="22"/>
        </w:rPr>
        <w:t>Microsoft’s focus on cultural integration, technological agility, and regulatory adaptation transformed LinkedIn into a catalyst for organizational innovation. By balancing LinkedIn’s startup energy with Microsoft’s scale, the merger created a culture where rapid experimentation coexists with disciplined execution. Technologically, the fusion of LinkedIn’s data with Azure’s infrastructure positioned Microsoft as a leader in AI-driven enterprise solutions. Meanwhile, proactive compliance investments turned regulatory challenges into opportunities for market expansion. Together, these strategies show how large corporations can evolve through acquisitions—not just by absorbing new assets but by redefining their operational DNA.</w:t>
      </w:r>
    </w:p>
    <w:p w14:paraId="0C9F0A43" w14:textId="77777777" w:rsidR="00C4086E" w:rsidRPr="00314FEC" w:rsidRDefault="00C4086E" w:rsidP="00C4086E">
      <w:pPr>
        <w:rPr>
          <w:rFonts w:ascii="Arial" w:hAnsi="Arial" w:cs="Arial"/>
          <w:sz w:val="22"/>
        </w:rPr>
      </w:pPr>
    </w:p>
    <w:p w14:paraId="5E5D1A23" w14:textId="77777777" w:rsidR="003A046D" w:rsidRPr="00314FEC" w:rsidRDefault="003A046D" w:rsidP="00C4086E">
      <w:pPr>
        <w:rPr>
          <w:rFonts w:ascii="Arial" w:hAnsi="Arial" w:cs="Arial"/>
          <w:sz w:val="22"/>
        </w:rPr>
      </w:pPr>
    </w:p>
    <w:p w14:paraId="5C19DE07" w14:textId="77777777" w:rsidR="003A046D" w:rsidRPr="00314FEC" w:rsidRDefault="003A046D" w:rsidP="00C4086E">
      <w:pPr>
        <w:rPr>
          <w:rFonts w:ascii="Arial" w:hAnsi="Arial" w:cs="Arial"/>
          <w:sz w:val="22"/>
        </w:rPr>
      </w:pPr>
    </w:p>
    <w:p w14:paraId="7EFD65BD" w14:textId="0D69DCAC" w:rsidR="005C7A1D" w:rsidRPr="00314FEC" w:rsidRDefault="00314FEC" w:rsidP="00314FEC">
      <w:pPr>
        <w:pStyle w:val="2"/>
        <w:rPr>
          <w:rFonts w:ascii="Arial" w:hAnsi="Arial" w:cs="Arial"/>
          <w:sz w:val="22"/>
          <w:szCs w:val="22"/>
        </w:rPr>
      </w:pPr>
      <w:bookmarkStart w:id="19" w:name="_Toc194712790"/>
      <w:r w:rsidRPr="00314FEC">
        <w:rPr>
          <w:rFonts w:ascii="Arial" w:hAnsi="Arial" w:cs="Arial"/>
          <w:sz w:val="22"/>
          <w:szCs w:val="22"/>
        </w:rPr>
        <w:t>2.5</w:t>
      </w:r>
      <w:r w:rsidR="005C7A1D" w:rsidRPr="00314FEC">
        <w:rPr>
          <w:rFonts w:ascii="Arial" w:hAnsi="Arial" w:cs="Arial"/>
          <w:sz w:val="22"/>
          <w:szCs w:val="22"/>
        </w:rPr>
        <w:t xml:space="preserve"> Sustainability and New Valuation Paradigms</w:t>
      </w:r>
      <w:bookmarkEnd w:id="19"/>
    </w:p>
    <w:p w14:paraId="5A34F10E" w14:textId="6A0DD49F" w:rsidR="005C7A1D" w:rsidRPr="00314FEC" w:rsidRDefault="00314FEC" w:rsidP="005C7A1D">
      <w:pPr>
        <w:rPr>
          <w:rFonts w:ascii="Arial" w:hAnsi="Arial" w:cs="Arial"/>
          <w:sz w:val="22"/>
        </w:rPr>
      </w:pPr>
      <w:bookmarkStart w:id="20" w:name="_Toc194712791"/>
      <w:r w:rsidRPr="00314FEC">
        <w:rPr>
          <w:rStyle w:val="30"/>
          <w:rFonts w:ascii="Arial" w:hAnsi="Arial" w:cs="Arial"/>
          <w:sz w:val="22"/>
          <w:szCs w:val="22"/>
        </w:rPr>
        <w:t>2.5</w:t>
      </w:r>
      <w:r w:rsidR="005C7A1D" w:rsidRPr="005C7A1D">
        <w:rPr>
          <w:rStyle w:val="30"/>
          <w:rFonts w:ascii="Arial" w:hAnsi="Arial" w:cs="Arial"/>
          <w:sz w:val="22"/>
          <w:szCs w:val="22"/>
        </w:rPr>
        <w:t xml:space="preserve">.1 Sustainability </w:t>
      </w:r>
      <w:r w:rsidR="005C7A1D" w:rsidRPr="00314FEC">
        <w:rPr>
          <w:rStyle w:val="30"/>
          <w:rFonts w:ascii="Arial" w:hAnsi="Arial" w:cs="Arial"/>
          <w:sz w:val="22"/>
          <w:szCs w:val="22"/>
        </w:rPr>
        <w:t>and</w:t>
      </w:r>
      <w:r w:rsidR="005C7A1D" w:rsidRPr="005C7A1D">
        <w:rPr>
          <w:rStyle w:val="30"/>
          <w:rFonts w:ascii="Arial" w:hAnsi="Arial" w:cs="Arial"/>
          <w:sz w:val="22"/>
          <w:szCs w:val="22"/>
        </w:rPr>
        <w:t xml:space="preserve"> Resource Dependenc</w:t>
      </w:r>
      <w:r w:rsidR="005C7A1D" w:rsidRPr="00314FEC">
        <w:rPr>
          <w:rStyle w:val="30"/>
          <w:rFonts w:ascii="Arial" w:hAnsi="Arial" w:cs="Arial"/>
          <w:sz w:val="22"/>
          <w:szCs w:val="22"/>
        </w:rPr>
        <w:t>y</w:t>
      </w:r>
      <w:bookmarkEnd w:id="20"/>
      <w:r w:rsidR="005C7A1D" w:rsidRPr="005C7A1D">
        <w:rPr>
          <w:rStyle w:val="30"/>
          <w:rFonts w:ascii="Arial" w:hAnsi="Arial" w:cs="Arial"/>
          <w:sz w:val="22"/>
          <w:szCs w:val="22"/>
        </w:rPr>
        <w:br/>
      </w:r>
      <w:r w:rsidR="005C7A1D" w:rsidRPr="005C7A1D">
        <w:rPr>
          <w:rFonts w:ascii="Arial" w:hAnsi="Arial" w:cs="Arial"/>
          <w:sz w:val="22"/>
        </w:rPr>
        <w:t>Pfeffer’s Resource Dependency Theory highlights how organizations rely on external resources to achieve strategic goals. Microsoft applied this theory by using LinkedIn’s green skills database</w:t>
      </w:r>
      <w:r w:rsidR="005C7A1D" w:rsidRPr="00314FEC">
        <w:rPr>
          <w:rFonts w:ascii="Arial" w:hAnsi="Arial" w:cs="Arial"/>
          <w:sz w:val="22"/>
        </w:rPr>
        <w:t xml:space="preserve"> </w:t>
      </w:r>
      <w:r w:rsidR="005C7A1D" w:rsidRPr="005C7A1D">
        <w:rPr>
          <w:rFonts w:ascii="Arial" w:hAnsi="Arial" w:cs="Arial"/>
          <w:sz w:val="22"/>
        </w:rPr>
        <w:t>a global directory of sustainability-related job skills—to advance its environmental, social, and governance (ESG) objectives. For example, Microsoft integrated this database into its Azure cloud platform, enabling companies to track workforce readiness for green initiatives like carbon reduction or renewable energy projects. By 2023, over 5,000 firms used these tools to audit employee skills and design ESG training programs, reducing their reliance on third-party consultants. This not only strengthened Microsoft’s position as a sustainability leader but also reduced its dependency on external ESG data providers. LinkedIn’s data became a critical internal resource, aligning with Pfeffer’s idea that controlling key resources mitigates external risks while enhancing competitive advantage.</w:t>
      </w:r>
    </w:p>
    <w:p w14:paraId="76C842FC" w14:textId="77777777" w:rsidR="005C7A1D" w:rsidRPr="005C7A1D" w:rsidRDefault="005C7A1D" w:rsidP="005C7A1D">
      <w:pPr>
        <w:rPr>
          <w:rFonts w:ascii="Arial" w:hAnsi="Arial" w:cs="Arial"/>
          <w:sz w:val="22"/>
        </w:rPr>
      </w:pPr>
    </w:p>
    <w:p w14:paraId="3C10876B" w14:textId="7D4DFCAF" w:rsidR="005C7A1D" w:rsidRPr="00314FEC" w:rsidRDefault="00314FEC" w:rsidP="005C7A1D">
      <w:pPr>
        <w:rPr>
          <w:rFonts w:ascii="Arial" w:hAnsi="Arial" w:cs="Arial"/>
          <w:sz w:val="22"/>
        </w:rPr>
      </w:pPr>
      <w:bookmarkStart w:id="21" w:name="_Toc194712792"/>
      <w:r w:rsidRPr="00314FEC">
        <w:rPr>
          <w:rStyle w:val="30"/>
          <w:rFonts w:ascii="Arial" w:hAnsi="Arial" w:cs="Arial"/>
          <w:sz w:val="22"/>
          <w:szCs w:val="22"/>
        </w:rPr>
        <w:t>2.5</w:t>
      </w:r>
      <w:r w:rsidR="005C7A1D" w:rsidRPr="005C7A1D">
        <w:rPr>
          <w:rStyle w:val="30"/>
          <w:rFonts w:ascii="Arial" w:hAnsi="Arial" w:cs="Arial"/>
          <w:sz w:val="22"/>
          <w:szCs w:val="22"/>
        </w:rPr>
        <w:t>.2 Regulatory Framework</w:t>
      </w:r>
      <w:bookmarkEnd w:id="21"/>
      <w:r w:rsidR="005C7A1D" w:rsidRPr="005C7A1D">
        <w:rPr>
          <w:rStyle w:val="20"/>
          <w:rFonts w:ascii="Arial" w:hAnsi="Arial" w:cs="Arial"/>
          <w:sz w:val="22"/>
          <w:szCs w:val="22"/>
        </w:rPr>
        <w:br/>
      </w:r>
      <w:r w:rsidR="005C7A1D" w:rsidRPr="005C7A1D">
        <w:rPr>
          <w:rFonts w:ascii="Arial" w:hAnsi="Arial" w:cs="Arial"/>
          <w:sz w:val="22"/>
        </w:rPr>
        <w:lastRenderedPageBreak/>
        <w:t>The Public Interest Theory of Regulation argues that businesses should align with societal goals to avoid restrictive laws. Microsoft demonstrated this by opening LinkedIn’s application programming interface (API) to third-party developers amid antitrust concerns in the EU and US. For instance, competitors like Salesforce and SAP could integrate LinkedIn’s job postings and profiles into their HR software, ensuring fair market access. This move addressed regulators’ fears of monopolistic practices while improving LinkedIn’s utility as a neutral industry platform. By 2022, over 300 external apps had been built using LinkedIn’s API, fostering innovation in recruitment and talent management. Microsoft’s proactive compliance not only avoided legal penalties but also reinforced LinkedIn’s reputation as a public good, aligning with the theory’s emphasis on balancing corporate and societal interests.</w:t>
      </w:r>
    </w:p>
    <w:p w14:paraId="2A696ADB" w14:textId="77777777" w:rsidR="005C7A1D" w:rsidRPr="005C7A1D" w:rsidRDefault="005C7A1D" w:rsidP="005C7A1D">
      <w:pPr>
        <w:rPr>
          <w:rFonts w:ascii="Arial" w:hAnsi="Arial" w:cs="Arial"/>
          <w:sz w:val="22"/>
        </w:rPr>
      </w:pPr>
    </w:p>
    <w:p w14:paraId="6127EBD6" w14:textId="6E56289B" w:rsidR="005C7A1D" w:rsidRPr="005C7A1D" w:rsidRDefault="00314FEC" w:rsidP="005C7A1D">
      <w:pPr>
        <w:rPr>
          <w:rFonts w:ascii="Arial" w:hAnsi="Arial" w:cs="Arial"/>
          <w:sz w:val="22"/>
        </w:rPr>
      </w:pPr>
      <w:bookmarkStart w:id="22" w:name="_Toc194712793"/>
      <w:r w:rsidRPr="00314FEC">
        <w:rPr>
          <w:rStyle w:val="30"/>
          <w:rFonts w:ascii="Arial" w:hAnsi="Arial" w:cs="Arial"/>
          <w:sz w:val="22"/>
          <w:szCs w:val="22"/>
        </w:rPr>
        <w:t>2.5</w:t>
      </w:r>
      <w:r w:rsidR="005C7A1D" w:rsidRPr="005C7A1D">
        <w:rPr>
          <w:rStyle w:val="30"/>
          <w:rFonts w:ascii="Arial" w:hAnsi="Arial" w:cs="Arial"/>
          <w:sz w:val="22"/>
          <w:szCs w:val="22"/>
        </w:rPr>
        <w:t>.3 Shareholder Wealth</w:t>
      </w:r>
      <w:bookmarkEnd w:id="22"/>
      <w:r w:rsidR="005C7A1D" w:rsidRPr="005C7A1D">
        <w:rPr>
          <w:rFonts w:ascii="Arial" w:hAnsi="Arial" w:cs="Arial"/>
          <w:sz w:val="22"/>
        </w:rPr>
        <w:br/>
        <w:t>Jensen’s Agency Theory focuses on aligning management decisions with shareholder interests. Microsoft’s LinkedIn acquisition faced criticism for its high upfront cost, but long-term results validated the strategy. Between 2016 and 2022, Microsoft’s stock price grew by 480%, significantly outpacing the S&amp;P 500’s 110% rise. This growth stemmed from LinkedIn’s contributions to Microsoft’s cloud and productivity segments, which grew by 22% annually during this period. While integration costs like system upgrades and staff training totaled 3billion,</w:t>
      </w:r>
      <w:r w:rsidR="005C7A1D" w:rsidRPr="00314FEC">
        <w:rPr>
          <w:rFonts w:ascii="Arial" w:hAnsi="Arial" w:cs="Arial"/>
          <w:sz w:val="22"/>
        </w:rPr>
        <w:t xml:space="preserve"> </w:t>
      </w:r>
      <w:r w:rsidR="005C7A1D" w:rsidRPr="005C7A1D">
        <w:rPr>
          <w:rFonts w:ascii="Arial" w:hAnsi="Arial" w:cs="Arial"/>
          <w:sz w:val="22"/>
        </w:rPr>
        <w:t>they</w:t>
      </w:r>
      <w:r w:rsidR="005C7A1D" w:rsidRPr="00314FEC">
        <w:rPr>
          <w:rFonts w:ascii="Arial" w:hAnsi="Arial" w:cs="Arial"/>
          <w:sz w:val="22"/>
        </w:rPr>
        <w:t xml:space="preserve"> </w:t>
      </w:r>
      <w:r w:rsidR="005C7A1D" w:rsidRPr="005C7A1D">
        <w:rPr>
          <w:rFonts w:ascii="Arial" w:hAnsi="Arial" w:cs="Arial"/>
          <w:sz w:val="22"/>
        </w:rPr>
        <w:t>were</w:t>
      </w:r>
      <w:r w:rsidR="005C7A1D" w:rsidRPr="00314FEC">
        <w:rPr>
          <w:rFonts w:ascii="Arial" w:hAnsi="Arial" w:cs="Arial"/>
          <w:sz w:val="22"/>
        </w:rPr>
        <w:t xml:space="preserve"> offset </w:t>
      </w:r>
      <w:r w:rsidR="005C7A1D" w:rsidRPr="005C7A1D">
        <w:rPr>
          <w:rFonts w:ascii="Arial" w:hAnsi="Arial" w:cs="Arial"/>
          <w:sz w:val="22"/>
        </w:rPr>
        <w:t>by</w:t>
      </w:r>
      <w:r w:rsidR="005C7A1D" w:rsidRPr="00314FEC">
        <w:rPr>
          <w:rFonts w:ascii="Arial" w:hAnsi="Arial" w:cs="Arial"/>
          <w:sz w:val="22"/>
        </w:rPr>
        <w:t xml:space="preserve"> </w:t>
      </w:r>
      <w:r w:rsidR="005C7A1D" w:rsidRPr="005C7A1D">
        <w:rPr>
          <w:rFonts w:ascii="Arial" w:hAnsi="Arial" w:cs="Arial"/>
          <w:sz w:val="22"/>
        </w:rPr>
        <w:t>LinkedIn’s</w:t>
      </w:r>
      <w:r w:rsidR="005C7A1D" w:rsidRPr="00314FEC">
        <w:rPr>
          <w:rFonts w:ascii="Arial" w:hAnsi="Arial" w:cs="Arial"/>
          <w:sz w:val="22"/>
        </w:rPr>
        <w:t xml:space="preserve"> </w:t>
      </w:r>
      <w:r w:rsidR="005C7A1D" w:rsidRPr="005C7A1D">
        <w:rPr>
          <w:rFonts w:ascii="Arial" w:hAnsi="Arial" w:cs="Arial"/>
          <w:sz w:val="22"/>
        </w:rPr>
        <w:t>3billion,</w:t>
      </w:r>
      <w:r w:rsidR="005C7A1D" w:rsidRPr="00314FEC">
        <w:rPr>
          <w:rFonts w:ascii="Arial" w:hAnsi="Arial" w:cs="Arial"/>
          <w:sz w:val="22"/>
        </w:rPr>
        <w:t xml:space="preserve"> </w:t>
      </w:r>
      <w:r w:rsidR="005C7A1D" w:rsidRPr="005C7A1D">
        <w:rPr>
          <w:rFonts w:ascii="Arial" w:hAnsi="Arial" w:cs="Arial"/>
          <w:sz w:val="22"/>
        </w:rPr>
        <w:t>they</w:t>
      </w:r>
      <w:r w:rsidR="005C7A1D" w:rsidRPr="00314FEC">
        <w:rPr>
          <w:rFonts w:ascii="Arial" w:hAnsi="Arial" w:cs="Arial"/>
          <w:sz w:val="22"/>
        </w:rPr>
        <w:t xml:space="preserve"> </w:t>
      </w:r>
      <w:r w:rsidR="005C7A1D" w:rsidRPr="005C7A1D">
        <w:rPr>
          <w:rFonts w:ascii="Arial" w:hAnsi="Arial" w:cs="Arial"/>
          <w:sz w:val="22"/>
        </w:rPr>
        <w:t>were</w:t>
      </w:r>
      <w:r w:rsidR="005C7A1D" w:rsidRPr="00314FEC">
        <w:rPr>
          <w:rFonts w:ascii="Arial" w:hAnsi="Arial" w:cs="Arial"/>
          <w:sz w:val="22"/>
        </w:rPr>
        <w:t xml:space="preserve"> </w:t>
      </w:r>
      <w:r w:rsidR="005C7A1D" w:rsidRPr="005C7A1D">
        <w:rPr>
          <w:rFonts w:ascii="Arial" w:hAnsi="Arial" w:cs="Arial"/>
          <w:sz w:val="22"/>
        </w:rPr>
        <w:t>offset</w:t>
      </w:r>
      <w:r w:rsidR="005C7A1D" w:rsidRPr="00314FEC">
        <w:rPr>
          <w:rFonts w:ascii="Arial" w:hAnsi="Arial" w:cs="Arial"/>
          <w:sz w:val="22"/>
        </w:rPr>
        <w:t xml:space="preserve"> </w:t>
      </w:r>
      <w:r w:rsidR="005C7A1D" w:rsidRPr="005C7A1D">
        <w:rPr>
          <w:rFonts w:ascii="Arial" w:hAnsi="Arial" w:cs="Arial"/>
          <w:sz w:val="22"/>
        </w:rPr>
        <w:t>by</w:t>
      </w:r>
      <w:r w:rsidR="005C7A1D" w:rsidRPr="00314FEC">
        <w:rPr>
          <w:rFonts w:ascii="Arial" w:hAnsi="Arial" w:cs="Arial"/>
          <w:sz w:val="22"/>
        </w:rPr>
        <w:t xml:space="preserve"> </w:t>
      </w:r>
      <w:r w:rsidR="005C7A1D" w:rsidRPr="005C7A1D">
        <w:rPr>
          <w:rFonts w:ascii="Arial" w:hAnsi="Arial" w:cs="Arial"/>
          <w:sz w:val="22"/>
        </w:rPr>
        <w:t>LinkedIn’s</w:t>
      </w:r>
      <w:r w:rsidR="005C7A1D" w:rsidRPr="00314FEC">
        <w:rPr>
          <w:rFonts w:ascii="Arial" w:hAnsi="Arial" w:cs="Arial"/>
          <w:sz w:val="22"/>
        </w:rPr>
        <w:t xml:space="preserve"> </w:t>
      </w:r>
      <w:r w:rsidR="005C7A1D" w:rsidRPr="005C7A1D">
        <w:rPr>
          <w:rFonts w:ascii="Arial" w:hAnsi="Arial" w:cs="Arial"/>
          <w:sz w:val="22"/>
        </w:rPr>
        <w:t>15 billion in cumulative revenue by 2023. By prioritizing sustainable growth over short-term profits, Microsoft’s management demonstrated loyalty to shareholder value, a core tenet of agency theory. Transparent reporting on LinkedIn’s performance further built investor trust, showing how strategic risks can yield outsized rewards.</w:t>
      </w:r>
    </w:p>
    <w:p w14:paraId="4A34B1AB" w14:textId="77777777" w:rsidR="005C7A1D" w:rsidRPr="00314FEC" w:rsidRDefault="005C7A1D" w:rsidP="005C7A1D">
      <w:pPr>
        <w:rPr>
          <w:rFonts w:ascii="Arial" w:hAnsi="Arial" w:cs="Arial"/>
          <w:sz w:val="22"/>
        </w:rPr>
      </w:pPr>
    </w:p>
    <w:p w14:paraId="538F5405" w14:textId="2ABDB0CF" w:rsidR="005C7A1D" w:rsidRPr="005C7A1D" w:rsidRDefault="005C7A1D" w:rsidP="005C7A1D">
      <w:pPr>
        <w:rPr>
          <w:rFonts w:ascii="Arial" w:hAnsi="Arial" w:cs="Arial"/>
          <w:sz w:val="22"/>
        </w:rPr>
      </w:pPr>
      <w:r w:rsidRPr="005C7A1D">
        <w:rPr>
          <w:rFonts w:ascii="Arial" w:hAnsi="Arial" w:cs="Arial"/>
          <w:sz w:val="22"/>
        </w:rPr>
        <w:t>Strategic Impact</w:t>
      </w:r>
      <w:r w:rsidRPr="00314FEC">
        <w:rPr>
          <w:rFonts w:ascii="Arial" w:hAnsi="Arial" w:cs="Arial"/>
          <w:sz w:val="22"/>
        </w:rPr>
        <w:t xml:space="preserve">: </w:t>
      </w:r>
      <w:r w:rsidRPr="005C7A1D">
        <w:rPr>
          <w:rFonts w:ascii="Arial" w:hAnsi="Arial" w:cs="Arial"/>
          <w:sz w:val="22"/>
        </w:rPr>
        <w:t>Microsoft’s focus on sustainability, regulatory adaptability, and shareholder alignment redefined how mergers create value in modern markets. LinkedIn’s green skills data positioned Microsoft as a sustainability innovator, while API openness turned regulatory challenges into opportunities for ecosystem expansion. Meanwhile, delivering consistent shareholder returns despite early costs proved that patient capital and strategic vision can coexist. These efforts underscore a shift in corporate valuation—where long-term environmental, social, and governance impact is weighed alongside financial metrics. For Microsoft, the LinkedIn merger became a blueprint for building resilient, future-ready organizations.</w:t>
      </w:r>
    </w:p>
    <w:p w14:paraId="0D8F3ED7" w14:textId="77777777" w:rsidR="00500A3A" w:rsidRPr="00314FEC" w:rsidRDefault="00500A3A" w:rsidP="00076ED1">
      <w:pPr>
        <w:rPr>
          <w:rFonts w:ascii="Arial" w:hAnsi="Arial" w:cs="Arial"/>
          <w:sz w:val="22"/>
        </w:rPr>
      </w:pPr>
    </w:p>
    <w:p w14:paraId="75B3F125" w14:textId="77777777" w:rsidR="005C7A1D" w:rsidRPr="00314FEC" w:rsidRDefault="005C7A1D" w:rsidP="00076ED1">
      <w:pPr>
        <w:rPr>
          <w:rFonts w:ascii="Arial" w:hAnsi="Arial" w:cs="Arial"/>
          <w:sz w:val="22"/>
        </w:rPr>
      </w:pPr>
    </w:p>
    <w:p w14:paraId="4354A824" w14:textId="77777777" w:rsidR="005C7A1D" w:rsidRDefault="005C7A1D" w:rsidP="00076ED1">
      <w:pPr>
        <w:rPr>
          <w:rFonts w:ascii="Arial" w:hAnsi="Arial" w:cs="Arial"/>
          <w:sz w:val="22"/>
        </w:rPr>
      </w:pPr>
    </w:p>
    <w:p w14:paraId="7FA8E0EA" w14:textId="77777777" w:rsidR="00314FEC" w:rsidRDefault="00314FEC" w:rsidP="00076ED1">
      <w:pPr>
        <w:rPr>
          <w:rFonts w:ascii="Arial" w:hAnsi="Arial" w:cs="Arial"/>
          <w:sz w:val="22"/>
        </w:rPr>
      </w:pPr>
    </w:p>
    <w:p w14:paraId="27597E49" w14:textId="77777777" w:rsidR="00314FEC" w:rsidRDefault="00314FEC" w:rsidP="00076ED1">
      <w:pPr>
        <w:rPr>
          <w:rFonts w:ascii="Arial" w:hAnsi="Arial" w:cs="Arial"/>
          <w:sz w:val="22"/>
        </w:rPr>
      </w:pPr>
    </w:p>
    <w:p w14:paraId="693A3667" w14:textId="77777777" w:rsidR="00314FEC" w:rsidRDefault="00314FEC" w:rsidP="00076ED1">
      <w:pPr>
        <w:rPr>
          <w:rFonts w:ascii="Arial" w:hAnsi="Arial" w:cs="Arial"/>
          <w:sz w:val="22"/>
        </w:rPr>
      </w:pPr>
    </w:p>
    <w:p w14:paraId="4A1A68E5" w14:textId="77777777" w:rsidR="00314FEC" w:rsidRDefault="00314FEC" w:rsidP="00076ED1">
      <w:pPr>
        <w:rPr>
          <w:rFonts w:ascii="Arial" w:hAnsi="Arial" w:cs="Arial"/>
          <w:sz w:val="22"/>
        </w:rPr>
      </w:pPr>
    </w:p>
    <w:p w14:paraId="1401013A" w14:textId="77777777" w:rsidR="00314FEC" w:rsidRDefault="00314FEC" w:rsidP="00076ED1">
      <w:pPr>
        <w:rPr>
          <w:rFonts w:ascii="Arial" w:hAnsi="Arial" w:cs="Arial"/>
          <w:sz w:val="22"/>
        </w:rPr>
      </w:pPr>
    </w:p>
    <w:p w14:paraId="47057932" w14:textId="77777777" w:rsidR="00314FEC" w:rsidRDefault="00314FEC" w:rsidP="00076ED1">
      <w:pPr>
        <w:rPr>
          <w:rFonts w:ascii="Arial" w:hAnsi="Arial" w:cs="Arial"/>
          <w:sz w:val="22"/>
        </w:rPr>
      </w:pPr>
    </w:p>
    <w:p w14:paraId="1A108724" w14:textId="77777777" w:rsidR="00314FEC" w:rsidRPr="00314FEC" w:rsidRDefault="00314FEC" w:rsidP="00076ED1">
      <w:pPr>
        <w:rPr>
          <w:rFonts w:ascii="Arial" w:hAnsi="Arial" w:cs="Arial" w:hint="eastAsia"/>
          <w:sz w:val="22"/>
        </w:rPr>
      </w:pPr>
    </w:p>
    <w:p w14:paraId="5B625D23" w14:textId="2E75E539" w:rsidR="00501189" w:rsidRPr="00314FEC" w:rsidRDefault="00314FEC" w:rsidP="00501189">
      <w:pPr>
        <w:pStyle w:val="1"/>
        <w:rPr>
          <w:rFonts w:ascii="Arial" w:hAnsi="Arial" w:cs="Arial"/>
          <w:sz w:val="22"/>
          <w:szCs w:val="22"/>
        </w:rPr>
      </w:pPr>
      <w:bookmarkStart w:id="23" w:name="_Toc194712794"/>
      <w:r w:rsidRPr="00314FEC">
        <w:rPr>
          <w:rFonts w:ascii="Arial" w:hAnsi="Arial" w:cs="Arial"/>
          <w:sz w:val="22"/>
          <w:szCs w:val="22"/>
        </w:rPr>
        <w:t>3</w:t>
      </w:r>
      <w:r w:rsidR="00501189" w:rsidRPr="00314FEC">
        <w:rPr>
          <w:rFonts w:ascii="Arial" w:hAnsi="Arial" w:cs="Arial"/>
          <w:sz w:val="22"/>
          <w:szCs w:val="22"/>
        </w:rPr>
        <w:t xml:space="preserve">.0 </w:t>
      </w:r>
      <w:r w:rsidR="00501189" w:rsidRPr="00314FEC">
        <w:rPr>
          <w:rFonts w:ascii="Arial" w:hAnsi="Arial" w:cs="Arial"/>
          <w:sz w:val="22"/>
          <w:szCs w:val="22"/>
        </w:rPr>
        <w:t>Conclusion</w:t>
      </w:r>
      <w:r w:rsidR="00501189" w:rsidRPr="00314FEC">
        <w:rPr>
          <w:rFonts w:ascii="Arial" w:hAnsi="Arial" w:cs="Arial"/>
          <w:sz w:val="22"/>
          <w:szCs w:val="22"/>
        </w:rPr>
        <w:t>s</w:t>
      </w:r>
      <w:bookmarkEnd w:id="23"/>
    </w:p>
    <w:p w14:paraId="679C001F" w14:textId="77777777" w:rsidR="00501189" w:rsidRPr="00314FEC" w:rsidRDefault="00501189" w:rsidP="00501189">
      <w:pPr>
        <w:rPr>
          <w:rFonts w:ascii="Arial" w:hAnsi="Arial" w:cs="Arial"/>
          <w:sz w:val="22"/>
        </w:rPr>
      </w:pPr>
      <w:r w:rsidRPr="00314FEC">
        <w:rPr>
          <w:rFonts w:ascii="Arial" w:hAnsi="Arial" w:cs="Arial"/>
          <w:sz w:val="22"/>
        </w:rPr>
        <w:t>The Microsoft-LinkedIn merger demonstrates how strategic acquisitions can drive transformative growth when aligned with clear financial, operational, and ethical priorities. By focusing on strategic synergies, Microsoft integrated LinkedIn’s professional data with its productivity tools, achieving economies of scale and accelerating market penetration. Financial engineering, guided by theories like the Modigliani-Miller Theorem, optimized tax savings and risk management, turning LinkedIn’s data into a long-term “real option” for AI innovation.</w:t>
      </w:r>
    </w:p>
    <w:p w14:paraId="66BDA17E" w14:textId="77777777" w:rsidR="00501189" w:rsidRPr="00314FEC" w:rsidRDefault="00501189" w:rsidP="00501189">
      <w:pPr>
        <w:rPr>
          <w:rFonts w:ascii="Arial" w:hAnsi="Arial" w:cs="Arial"/>
          <w:sz w:val="22"/>
        </w:rPr>
      </w:pPr>
    </w:p>
    <w:p w14:paraId="476ED42D" w14:textId="5D767A40" w:rsidR="00501189" w:rsidRPr="00314FEC" w:rsidRDefault="00501189" w:rsidP="00501189">
      <w:pPr>
        <w:rPr>
          <w:rFonts w:ascii="Arial" w:hAnsi="Arial" w:cs="Arial"/>
          <w:sz w:val="22"/>
        </w:rPr>
      </w:pPr>
      <w:r w:rsidRPr="00314FEC">
        <w:rPr>
          <w:rFonts w:ascii="Arial" w:hAnsi="Arial" w:cs="Arial"/>
          <w:sz w:val="22"/>
        </w:rPr>
        <w:t>In competitive markets, bundling LinkedIn with Office 365 solidified Microsoft’s dominance in enterprise SaaS, while diversifying revenue streams reduced reliance on legacy products. Organizational agility played a critical role: balancing LinkedIn’s agile culture with Microsoft’s structured processes fostered innovation, while cross-border compliance investments ensured adherence to global regulations like GDPR.</w:t>
      </w:r>
      <w:r w:rsidR="00C94CD4" w:rsidRPr="00314FEC">
        <w:rPr>
          <w:rFonts w:ascii="Arial" w:hAnsi="Arial" w:cs="Arial"/>
          <w:sz w:val="22"/>
        </w:rPr>
        <w:t xml:space="preserve"> </w:t>
      </w:r>
      <w:r w:rsidRPr="00314FEC">
        <w:rPr>
          <w:rFonts w:ascii="Arial" w:hAnsi="Arial" w:cs="Arial"/>
          <w:sz w:val="22"/>
        </w:rPr>
        <w:t>The merger’s sustainability impact further redefined corporate value. LinkedIn’s green skills database advanced Microsoft’s ESG goals, helping companies transition to low-carbon operations. Simultaneously, opening LinkedIn’s API to third parties addressed antitrust concerns, aligning business practices with public interest.</w:t>
      </w:r>
    </w:p>
    <w:p w14:paraId="01CEAF5F" w14:textId="77777777" w:rsidR="00501189" w:rsidRPr="00314FEC" w:rsidRDefault="00501189" w:rsidP="00501189">
      <w:pPr>
        <w:rPr>
          <w:rFonts w:ascii="Arial" w:hAnsi="Arial" w:cs="Arial"/>
          <w:sz w:val="22"/>
        </w:rPr>
      </w:pPr>
    </w:p>
    <w:p w14:paraId="712A8E00" w14:textId="77777777" w:rsidR="00501189" w:rsidRPr="00314FEC" w:rsidRDefault="00501189" w:rsidP="00501189">
      <w:pPr>
        <w:rPr>
          <w:rFonts w:ascii="Arial" w:hAnsi="Arial" w:cs="Arial"/>
          <w:sz w:val="22"/>
        </w:rPr>
      </w:pPr>
      <w:r w:rsidRPr="00314FEC">
        <w:rPr>
          <w:rFonts w:ascii="Arial" w:hAnsi="Arial" w:cs="Arial"/>
          <w:sz w:val="22"/>
        </w:rPr>
        <w:t>For shareholders, the acquisition delivered exceptional returns, with Microsoft’s stock rising 480% between 2016 and 2022. This growth stemmed from LinkedIn’s $15 billion cumulative revenue, offsetting initial integration costs. By prioritizing long-term value over short-term gains, Microsoft’s leadership exemplified Jensen’s Agency Theory, proving that patient capital and strategic vision yield sustainable rewards.</w:t>
      </w:r>
    </w:p>
    <w:p w14:paraId="08968294" w14:textId="77777777" w:rsidR="00501189" w:rsidRPr="00314FEC" w:rsidRDefault="00501189" w:rsidP="00501189">
      <w:pPr>
        <w:rPr>
          <w:rFonts w:ascii="Arial" w:hAnsi="Arial" w:cs="Arial"/>
          <w:sz w:val="22"/>
        </w:rPr>
      </w:pPr>
    </w:p>
    <w:p w14:paraId="4C864854" w14:textId="1719E77B" w:rsidR="00501189" w:rsidRPr="00314FEC" w:rsidRDefault="00501189" w:rsidP="00501189">
      <w:pPr>
        <w:rPr>
          <w:rFonts w:ascii="Arial" w:hAnsi="Arial" w:cs="Arial"/>
          <w:sz w:val="22"/>
        </w:rPr>
      </w:pPr>
      <w:r w:rsidRPr="00314FEC">
        <w:rPr>
          <w:rFonts w:ascii="Arial" w:hAnsi="Arial" w:cs="Arial"/>
          <w:sz w:val="22"/>
        </w:rPr>
        <w:t xml:space="preserve">Ultimately, </w:t>
      </w:r>
      <w:r w:rsidR="00D26AF1" w:rsidRPr="00314FEC">
        <w:rPr>
          <w:rFonts w:ascii="Arial" w:hAnsi="Arial" w:cs="Arial"/>
          <w:sz w:val="22"/>
        </w:rPr>
        <w:t xml:space="preserve">It was a successful merger, </w:t>
      </w:r>
      <w:r w:rsidRPr="00314FEC">
        <w:rPr>
          <w:rFonts w:ascii="Arial" w:hAnsi="Arial" w:cs="Arial"/>
          <w:sz w:val="22"/>
        </w:rPr>
        <w:t>the merger highlights key lessons for modern business: successful acquisitions require balancing scale with flexibility, innovation with compliance, and profit with purpose. Microsoft’s ability to transform LinkedIn into a cornerstone of its ecosystem underscores the power of aligning financial strategy with organizational and societal goals, setting a benchmark for future mergers in the digital age.</w:t>
      </w:r>
    </w:p>
    <w:p w14:paraId="3FC85171" w14:textId="77777777" w:rsidR="00501189" w:rsidRPr="00314FEC" w:rsidRDefault="00501189" w:rsidP="00501189">
      <w:pPr>
        <w:rPr>
          <w:rFonts w:ascii="Arial" w:hAnsi="Arial" w:cs="Arial"/>
          <w:sz w:val="22"/>
        </w:rPr>
      </w:pPr>
    </w:p>
    <w:p w14:paraId="40C8E348" w14:textId="77777777" w:rsidR="00501189" w:rsidRPr="00314FEC" w:rsidRDefault="00501189" w:rsidP="00501189">
      <w:pPr>
        <w:rPr>
          <w:rFonts w:ascii="Arial" w:hAnsi="Arial" w:cs="Arial"/>
          <w:sz w:val="22"/>
        </w:rPr>
      </w:pPr>
    </w:p>
    <w:p w14:paraId="7C7D68BE" w14:textId="77777777" w:rsidR="00501189" w:rsidRDefault="00501189" w:rsidP="00501189">
      <w:pPr>
        <w:rPr>
          <w:rFonts w:ascii="Arial" w:hAnsi="Arial" w:cs="Arial"/>
          <w:sz w:val="22"/>
        </w:rPr>
      </w:pPr>
    </w:p>
    <w:p w14:paraId="54FBE0DA" w14:textId="77777777" w:rsidR="00314FEC" w:rsidRDefault="00314FEC" w:rsidP="00501189">
      <w:pPr>
        <w:rPr>
          <w:rFonts w:ascii="Arial" w:hAnsi="Arial" w:cs="Arial"/>
          <w:sz w:val="22"/>
        </w:rPr>
      </w:pPr>
    </w:p>
    <w:p w14:paraId="21CE9118" w14:textId="77777777" w:rsidR="00314FEC" w:rsidRDefault="00314FEC" w:rsidP="00501189">
      <w:pPr>
        <w:rPr>
          <w:rFonts w:ascii="Arial" w:hAnsi="Arial" w:cs="Arial"/>
          <w:sz w:val="22"/>
        </w:rPr>
      </w:pPr>
    </w:p>
    <w:p w14:paraId="6F969963" w14:textId="77777777" w:rsidR="00314FEC" w:rsidRDefault="00314FEC" w:rsidP="00501189">
      <w:pPr>
        <w:rPr>
          <w:rFonts w:ascii="Arial" w:hAnsi="Arial" w:cs="Arial"/>
          <w:sz w:val="22"/>
        </w:rPr>
      </w:pPr>
    </w:p>
    <w:p w14:paraId="2FDD2DAF" w14:textId="77777777" w:rsidR="00314FEC" w:rsidRDefault="00314FEC" w:rsidP="00501189">
      <w:pPr>
        <w:rPr>
          <w:rFonts w:ascii="Arial" w:hAnsi="Arial" w:cs="Arial"/>
          <w:sz w:val="22"/>
        </w:rPr>
      </w:pPr>
    </w:p>
    <w:p w14:paraId="4CCA6EFA" w14:textId="77777777" w:rsidR="00314FEC" w:rsidRDefault="00314FEC" w:rsidP="00501189">
      <w:pPr>
        <w:rPr>
          <w:rFonts w:ascii="Arial" w:hAnsi="Arial" w:cs="Arial"/>
          <w:sz w:val="22"/>
        </w:rPr>
      </w:pPr>
    </w:p>
    <w:p w14:paraId="5A5F7E4F" w14:textId="77777777" w:rsidR="00314FEC" w:rsidRDefault="00314FEC" w:rsidP="00501189">
      <w:pPr>
        <w:rPr>
          <w:rFonts w:ascii="Arial" w:hAnsi="Arial" w:cs="Arial"/>
          <w:sz w:val="22"/>
        </w:rPr>
      </w:pPr>
    </w:p>
    <w:p w14:paraId="2B7955FB" w14:textId="77777777" w:rsidR="00314FEC" w:rsidRPr="00314FEC" w:rsidRDefault="00314FEC" w:rsidP="00501189">
      <w:pPr>
        <w:rPr>
          <w:rFonts w:ascii="Arial" w:hAnsi="Arial" w:cs="Arial" w:hint="eastAsia"/>
          <w:sz w:val="22"/>
        </w:rPr>
      </w:pPr>
    </w:p>
    <w:p w14:paraId="3DB33492" w14:textId="7D4A1A13" w:rsidR="00500A3A" w:rsidRPr="00314FEC" w:rsidRDefault="00314FEC" w:rsidP="005C7A1D">
      <w:pPr>
        <w:pStyle w:val="1"/>
        <w:rPr>
          <w:rFonts w:ascii="Arial" w:hAnsi="Arial" w:cs="Arial"/>
          <w:sz w:val="22"/>
          <w:szCs w:val="22"/>
        </w:rPr>
      </w:pPr>
      <w:bookmarkStart w:id="24" w:name="_Toc194712795"/>
      <w:r w:rsidRPr="00314FEC">
        <w:rPr>
          <w:rFonts w:ascii="Arial" w:hAnsi="Arial" w:cs="Arial"/>
          <w:sz w:val="22"/>
          <w:szCs w:val="22"/>
        </w:rPr>
        <w:lastRenderedPageBreak/>
        <w:t>4</w:t>
      </w:r>
      <w:r w:rsidR="00500A3A" w:rsidRPr="00314FEC">
        <w:rPr>
          <w:rFonts w:ascii="Arial" w:hAnsi="Arial" w:cs="Arial"/>
          <w:sz w:val="22"/>
          <w:szCs w:val="22"/>
        </w:rPr>
        <w:t>.0 Reference</w:t>
      </w:r>
      <w:bookmarkEnd w:id="24"/>
    </w:p>
    <w:p w14:paraId="06B536E5"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Barney, J.B., 1991. Firm resources and sustained competitive advantage. </w:t>
      </w:r>
      <w:r w:rsidRPr="00500A3A">
        <w:rPr>
          <w:rFonts w:ascii="Arial" w:hAnsi="Arial" w:cs="Arial"/>
          <w:i/>
          <w:iCs/>
          <w:sz w:val="22"/>
        </w:rPr>
        <w:t>Journal of Management</w:t>
      </w:r>
      <w:r w:rsidRPr="00500A3A">
        <w:rPr>
          <w:rFonts w:ascii="Arial" w:hAnsi="Arial" w:cs="Arial"/>
          <w:sz w:val="22"/>
        </w:rPr>
        <w:t>, 17(1), pp.99-120.</w:t>
      </w:r>
    </w:p>
    <w:p w14:paraId="710797E0"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Damodaran, A., 2016. The value of synergy. </w:t>
      </w:r>
      <w:r w:rsidRPr="00500A3A">
        <w:rPr>
          <w:rFonts w:ascii="Arial" w:hAnsi="Arial" w:cs="Arial"/>
          <w:i/>
          <w:iCs/>
          <w:sz w:val="22"/>
        </w:rPr>
        <w:t>SSRN</w:t>
      </w:r>
      <w:r w:rsidRPr="00500A3A">
        <w:rPr>
          <w:rFonts w:ascii="Arial" w:hAnsi="Arial" w:cs="Arial"/>
          <w:sz w:val="22"/>
        </w:rPr>
        <w:t>. Available at: </w:t>
      </w:r>
      <w:hyperlink r:id="rId8" w:tgtFrame="_blank" w:history="1">
        <w:r w:rsidRPr="00500A3A">
          <w:rPr>
            <w:rStyle w:val="ae"/>
            <w:rFonts w:ascii="Arial" w:hAnsi="Arial" w:cs="Arial"/>
            <w:sz w:val="22"/>
          </w:rPr>
          <w:t>https://ssrn.com/abstract=2821167</w:t>
        </w:r>
      </w:hyperlink>
      <w:r w:rsidRPr="00500A3A">
        <w:rPr>
          <w:rFonts w:ascii="Arial" w:hAnsi="Arial" w:cs="Arial"/>
          <w:sz w:val="22"/>
        </w:rPr>
        <w:t>.</w:t>
      </w:r>
    </w:p>
    <w:p w14:paraId="4B5A5E6A"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lang w:val="fr-FR"/>
        </w:rPr>
        <w:t xml:space="preserve">Eccles, R.G. et al., 2020. </w:t>
      </w:r>
      <w:r w:rsidRPr="00500A3A">
        <w:rPr>
          <w:rFonts w:ascii="Arial" w:hAnsi="Arial" w:cs="Arial"/>
          <w:sz w:val="22"/>
        </w:rPr>
        <w:t>Sustainability in the boardroom. </w:t>
      </w:r>
      <w:r w:rsidRPr="00500A3A">
        <w:rPr>
          <w:rFonts w:ascii="Arial" w:hAnsi="Arial" w:cs="Arial"/>
          <w:i/>
          <w:iCs/>
          <w:sz w:val="22"/>
        </w:rPr>
        <w:t>Harvard Business Review</w:t>
      </w:r>
      <w:r w:rsidRPr="00500A3A">
        <w:rPr>
          <w:rFonts w:ascii="Arial" w:hAnsi="Arial" w:cs="Arial"/>
          <w:sz w:val="22"/>
        </w:rPr>
        <w:t>, 98(4), pp.112-121.</w:t>
      </w:r>
    </w:p>
    <w:p w14:paraId="64E4F407"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European Commission, 2016. Case M.8124 – Microsoft/LinkedIn. </w:t>
      </w:r>
      <w:r w:rsidRPr="00500A3A">
        <w:rPr>
          <w:rFonts w:ascii="Arial" w:hAnsi="Arial" w:cs="Arial"/>
          <w:i/>
          <w:iCs/>
          <w:sz w:val="22"/>
        </w:rPr>
        <w:t>Official Journal of the European Union</w:t>
      </w:r>
      <w:r w:rsidRPr="00500A3A">
        <w:rPr>
          <w:rFonts w:ascii="Arial" w:hAnsi="Arial" w:cs="Arial"/>
          <w:sz w:val="22"/>
        </w:rPr>
        <w:t>, L 248/1.</w:t>
      </w:r>
    </w:p>
    <w:p w14:paraId="3E72A37C"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Freeman, R.E., 1984. </w:t>
      </w:r>
      <w:r w:rsidRPr="00500A3A">
        <w:rPr>
          <w:rFonts w:ascii="Arial" w:hAnsi="Arial" w:cs="Arial"/>
          <w:i/>
          <w:iCs/>
          <w:sz w:val="22"/>
        </w:rPr>
        <w:t>Strategic management: A stakeholder approach</w:t>
      </w:r>
      <w:r w:rsidRPr="00500A3A">
        <w:rPr>
          <w:rFonts w:ascii="Arial" w:hAnsi="Arial" w:cs="Arial"/>
          <w:sz w:val="22"/>
        </w:rPr>
        <w:t>. Boston: Pitman.</w:t>
      </w:r>
    </w:p>
    <w:p w14:paraId="4EF697F3"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Gillan, S.L. and Starks, L.T., 2000. Corporate governance proposals and shareholder activism. </w:t>
      </w:r>
      <w:r w:rsidRPr="00500A3A">
        <w:rPr>
          <w:rFonts w:ascii="Arial" w:hAnsi="Arial" w:cs="Arial"/>
          <w:i/>
          <w:iCs/>
          <w:sz w:val="22"/>
        </w:rPr>
        <w:t>Journal of Financial Economics</w:t>
      </w:r>
      <w:r w:rsidRPr="00500A3A">
        <w:rPr>
          <w:rFonts w:ascii="Arial" w:hAnsi="Arial" w:cs="Arial"/>
          <w:sz w:val="22"/>
        </w:rPr>
        <w:t>, 57(2), pp.275-305.</w:t>
      </w:r>
    </w:p>
    <w:p w14:paraId="65301F30"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lang w:val="fr-FR"/>
        </w:rPr>
        <w:t xml:space="preserve">Hitt, M.A. et al., 2001. </w:t>
      </w:r>
      <w:r w:rsidRPr="00500A3A">
        <w:rPr>
          <w:rFonts w:ascii="Arial" w:hAnsi="Arial" w:cs="Arial"/>
          <w:sz w:val="22"/>
        </w:rPr>
        <w:t>Mergers and acquisitions: A value creating strategy. </w:t>
      </w:r>
      <w:r w:rsidRPr="00500A3A">
        <w:rPr>
          <w:rFonts w:ascii="Arial" w:hAnsi="Arial" w:cs="Arial"/>
          <w:i/>
          <w:iCs/>
          <w:sz w:val="22"/>
        </w:rPr>
        <w:t>Strategic Management Journal</w:t>
      </w:r>
      <w:r w:rsidRPr="00500A3A">
        <w:rPr>
          <w:rFonts w:ascii="Arial" w:hAnsi="Arial" w:cs="Arial"/>
          <w:sz w:val="22"/>
        </w:rPr>
        <w:t>, 22(3), pp.279-291.</w:t>
      </w:r>
    </w:p>
    <w:p w14:paraId="02297372"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Jensen, M.C., 1986. Agency costs of free cash flow. </w:t>
      </w:r>
      <w:r w:rsidRPr="00500A3A">
        <w:rPr>
          <w:rFonts w:ascii="Arial" w:hAnsi="Arial" w:cs="Arial"/>
          <w:i/>
          <w:iCs/>
          <w:sz w:val="22"/>
        </w:rPr>
        <w:t>Journal of Financial Economics</w:t>
      </w:r>
      <w:r w:rsidRPr="00500A3A">
        <w:rPr>
          <w:rFonts w:ascii="Arial" w:hAnsi="Arial" w:cs="Arial"/>
          <w:sz w:val="22"/>
        </w:rPr>
        <w:t>, 14(3), pp.323-329.</w:t>
      </w:r>
    </w:p>
    <w:p w14:paraId="0B3E8B53"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Kaplan, S.N. and Hurd, M., 2017. Mergers as a strategic tool. </w:t>
      </w:r>
      <w:r w:rsidRPr="00500A3A">
        <w:rPr>
          <w:rFonts w:ascii="Arial" w:hAnsi="Arial" w:cs="Arial"/>
          <w:i/>
          <w:iCs/>
          <w:sz w:val="22"/>
        </w:rPr>
        <w:t>Harvard Business Review</w:t>
      </w:r>
      <w:r w:rsidRPr="00500A3A">
        <w:rPr>
          <w:rFonts w:ascii="Arial" w:hAnsi="Arial" w:cs="Arial"/>
          <w:sz w:val="22"/>
        </w:rPr>
        <w:t>, 95(5), pp.46-53.</w:t>
      </w:r>
    </w:p>
    <w:p w14:paraId="79739763"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Kotter, J.P., 2016. Accelerate: Building strategic agility. </w:t>
      </w:r>
      <w:r w:rsidRPr="00500A3A">
        <w:rPr>
          <w:rFonts w:ascii="Arial" w:hAnsi="Arial" w:cs="Arial"/>
          <w:i/>
          <w:iCs/>
          <w:sz w:val="22"/>
        </w:rPr>
        <w:t>Harvard Business Review Press</w:t>
      </w:r>
      <w:r w:rsidRPr="00500A3A">
        <w:rPr>
          <w:rFonts w:ascii="Arial" w:hAnsi="Arial" w:cs="Arial"/>
          <w:sz w:val="22"/>
        </w:rPr>
        <w:t>.</w:t>
      </w:r>
    </w:p>
    <w:p w14:paraId="6283B68D"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Markowitz, H., 1952. Portfolio selection. </w:t>
      </w:r>
      <w:r w:rsidRPr="00500A3A">
        <w:rPr>
          <w:rFonts w:ascii="Arial" w:hAnsi="Arial" w:cs="Arial"/>
          <w:i/>
          <w:iCs/>
          <w:sz w:val="22"/>
        </w:rPr>
        <w:t>Journal of Finance</w:t>
      </w:r>
      <w:r w:rsidRPr="00500A3A">
        <w:rPr>
          <w:rFonts w:ascii="Arial" w:hAnsi="Arial" w:cs="Arial"/>
          <w:sz w:val="22"/>
        </w:rPr>
        <w:t>, 7(1), pp.77-91.</w:t>
      </w:r>
    </w:p>
    <w:p w14:paraId="71FF2B0B"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McKinsey &amp; Company, 2021. The state of tech M&amp;A. </w:t>
      </w:r>
      <w:r w:rsidRPr="00500A3A">
        <w:rPr>
          <w:rFonts w:ascii="Arial" w:hAnsi="Arial" w:cs="Arial"/>
          <w:i/>
          <w:iCs/>
          <w:sz w:val="22"/>
        </w:rPr>
        <w:t>McKinsey Global Institute Report</w:t>
      </w:r>
      <w:r w:rsidRPr="00500A3A">
        <w:rPr>
          <w:rFonts w:ascii="Arial" w:hAnsi="Arial" w:cs="Arial"/>
          <w:sz w:val="22"/>
        </w:rPr>
        <w:t>.</w:t>
      </w:r>
    </w:p>
    <w:p w14:paraId="65232D72"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Microsoft, 2016. Annual report. Available at: </w:t>
      </w:r>
      <w:hyperlink r:id="rId9" w:tgtFrame="_blank" w:history="1">
        <w:r w:rsidRPr="00500A3A">
          <w:rPr>
            <w:rStyle w:val="ae"/>
            <w:rFonts w:ascii="Arial" w:hAnsi="Arial" w:cs="Arial"/>
            <w:sz w:val="22"/>
          </w:rPr>
          <w:t>https://www.microsoft.com/investor</w:t>
        </w:r>
      </w:hyperlink>
      <w:r w:rsidRPr="00500A3A">
        <w:rPr>
          <w:rFonts w:ascii="Arial" w:hAnsi="Arial" w:cs="Arial"/>
          <w:sz w:val="22"/>
        </w:rPr>
        <w:t>.</w:t>
      </w:r>
    </w:p>
    <w:p w14:paraId="11935059"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Microsoft, 2020. Annual report. Available at: </w:t>
      </w:r>
      <w:hyperlink r:id="rId10" w:tgtFrame="_blank" w:history="1">
        <w:r w:rsidRPr="00500A3A">
          <w:rPr>
            <w:rStyle w:val="ae"/>
            <w:rFonts w:ascii="Arial" w:hAnsi="Arial" w:cs="Arial"/>
            <w:sz w:val="22"/>
          </w:rPr>
          <w:t>https://www.microsoft.com/investor</w:t>
        </w:r>
      </w:hyperlink>
      <w:r w:rsidRPr="00500A3A">
        <w:rPr>
          <w:rFonts w:ascii="Arial" w:hAnsi="Arial" w:cs="Arial"/>
          <w:sz w:val="22"/>
        </w:rPr>
        <w:t>.</w:t>
      </w:r>
    </w:p>
    <w:p w14:paraId="5B7E2951"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Microsoft, 2022. Annual report. Available at: </w:t>
      </w:r>
      <w:hyperlink r:id="rId11" w:tgtFrame="_blank" w:history="1">
        <w:r w:rsidRPr="00500A3A">
          <w:rPr>
            <w:rStyle w:val="ae"/>
            <w:rFonts w:ascii="Arial" w:hAnsi="Arial" w:cs="Arial"/>
            <w:sz w:val="22"/>
          </w:rPr>
          <w:t>https://www.microsoft.com/investor</w:t>
        </w:r>
      </w:hyperlink>
      <w:r w:rsidRPr="00500A3A">
        <w:rPr>
          <w:rFonts w:ascii="Arial" w:hAnsi="Arial" w:cs="Arial"/>
          <w:sz w:val="22"/>
        </w:rPr>
        <w:t>.</w:t>
      </w:r>
    </w:p>
    <w:p w14:paraId="1203F11B"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Modigliani, F. and Miller, M.H., 1963. Corporate income taxes and the cost of capital. </w:t>
      </w:r>
      <w:r w:rsidRPr="00500A3A">
        <w:rPr>
          <w:rFonts w:ascii="Arial" w:hAnsi="Arial" w:cs="Arial"/>
          <w:i/>
          <w:iCs/>
          <w:sz w:val="22"/>
        </w:rPr>
        <w:t>American Economic Review</w:t>
      </w:r>
      <w:r w:rsidRPr="00500A3A">
        <w:rPr>
          <w:rFonts w:ascii="Arial" w:hAnsi="Arial" w:cs="Arial"/>
          <w:sz w:val="22"/>
        </w:rPr>
        <w:t>, 53(3), pp.433-443.</w:t>
      </w:r>
    </w:p>
    <w:p w14:paraId="3C4542C5"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Nadella, S., 2017. </w:t>
      </w:r>
      <w:r w:rsidRPr="00500A3A">
        <w:rPr>
          <w:rFonts w:ascii="Arial" w:hAnsi="Arial" w:cs="Arial"/>
          <w:i/>
          <w:iCs/>
          <w:sz w:val="22"/>
        </w:rPr>
        <w:t>Hit refresh</w:t>
      </w:r>
      <w:r w:rsidRPr="00500A3A">
        <w:rPr>
          <w:rFonts w:ascii="Arial" w:hAnsi="Arial" w:cs="Arial"/>
          <w:sz w:val="22"/>
        </w:rPr>
        <w:t>. New York: HarperCollins.</w:t>
      </w:r>
    </w:p>
    <w:p w14:paraId="481F4E9E"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Pfeffer, J., 1978. </w:t>
      </w:r>
      <w:r w:rsidRPr="00500A3A">
        <w:rPr>
          <w:rFonts w:ascii="Arial" w:hAnsi="Arial" w:cs="Arial"/>
          <w:i/>
          <w:iCs/>
          <w:sz w:val="22"/>
        </w:rPr>
        <w:t>Organizational design</w:t>
      </w:r>
      <w:r w:rsidRPr="00500A3A">
        <w:rPr>
          <w:rFonts w:ascii="Arial" w:hAnsi="Arial" w:cs="Arial"/>
          <w:sz w:val="22"/>
        </w:rPr>
        <w:t>. Arlington Heights: AHM Publishing.</w:t>
      </w:r>
    </w:p>
    <w:p w14:paraId="7417CF13"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Porter, M.E., 2008. The five competitive forces that shape strategy. </w:t>
      </w:r>
      <w:r w:rsidRPr="00500A3A">
        <w:rPr>
          <w:rFonts w:ascii="Arial" w:hAnsi="Arial" w:cs="Arial"/>
          <w:i/>
          <w:iCs/>
          <w:sz w:val="22"/>
        </w:rPr>
        <w:t>Harvard Business Review</w:t>
      </w:r>
      <w:r w:rsidRPr="00500A3A">
        <w:rPr>
          <w:rFonts w:ascii="Arial" w:hAnsi="Arial" w:cs="Arial"/>
          <w:sz w:val="22"/>
        </w:rPr>
        <w:t>, 86(1), pp.78-93.</w:t>
      </w:r>
    </w:p>
    <w:p w14:paraId="506FF746"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Rappaport, A., 2018. The economics of short-termism. </w:t>
      </w:r>
      <w:r w:rsidRPr="00500A3A">
        <w:rPr>
          <w:rFonts w:ascii="Arial" w:hAnsi="Arial" w:cs="Arial"/>
          <w:i/>
          <w:iCs/>
          <w:sz w:val="22"/>
        </w:rPr>
        <w:t>MIT Sloan Management Review</w:t>
      </w:r>
      <w:r w:rsidRPr="00500A3A">
        <w:rPr>
          <w:rFonts w:ascii="Arial" w:hAnsi="Arial" w:cs="Arial"/>
          <w:sz w:val="22"/>
        </w:rPr>
        <w:t>, 59(3), pp.55-61.</w:t>
      </w:r>
    </w:p>
    <w:p w14:paraId="726E1D81"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Roll, R., 1986. The hubris hypothesis of corporate takeovers. </w:t>
      </w:r>
      <w:r w:rsidRPr="00500A3A">
        <w:rPr>
          <w:rFonts w:ascii="Arial" w:hAnsi="Arial" w:cs="Arial"/>
          <w:i/>
          <w:iCs/>
          <w:sz w:val="22"/>
        </w:rPr>
        <w:t>Journal of Business</w:t>
      </w:r>
      <w:r w:rsidRPr="00500A3A">
        <w:rPr>
          <w:rFonts w:ascii="Arial" w:hAnsi="Arial" w:cs="Arial"/>
          <w:sz w:val="22"/>
        </w:rPr>
        <w:t>, 59(2), pp.197-216.</w:t>
      </w:r>
    </w:p>
    <w:p w14:paraId="056EDF58"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Scott, W.R., 2014. </w:t>
      </w:r>
      <w:r w:rsidRPr="00500A3A">
        <w:rPr>
          <w:rFonts w:ascii="Arial" w:hAnsi="Arial" w:cs="Arial"/>
          <w:i/>
          <w:iCs/>
          <w:sz w:val="22"/>
        </w:rPr>
        <w:t>Institutions and organizations</w:t>
      </w:r>
      <w:r w:rsidRPr="00500A3A">
        <w:rPr>
          <w:rFonts w:ascii="Arial" w:hAnsi="Arial" w:cs="Arial"/>
          <w:sz w:val="22"/>
        </w:rPr>
        <w:t>. 4th ed. Thousand Oaks: Sage.</w:t>
      </w:r>
    </w:p>
    <w:p w14:paraId="097AE1A7"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Sequoia Capital, 2017. LinkedIn exit case study. </w:t>
      </w:r>
      <w:r w:rsidRPr="00500A3A">
        <w:rPr>
          <w:rFonts w:ascii="Arial" w:hAnsi="Arial" w:cs="Arial"/>
          <w:i/>
          <w:iCs/>
          <w:sz w:val="22"/>
        </w:rPr>
        <w:t>Sequoia Capital Portfolio Report</w:t>
      </w:r>
      <w:r w:rsidRPr="00500A3A">
        <w:rPr>
          <w:rFonts w:ascii="Arial" w:hAnsi="Arial" w:cs="Arial"/>
          <w:sz w:val="22"/>
        </w:rPr>
        <w:t>.</w:t>
      </w:r>
    </w:p>
    <w:p w14:paraId="4A2F7D5D"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Statista, 2023. Global market share of professional social networks. </w:t>
      </w:r>
      <w:r w:rsidRPr="00500A3A">
        <w:rPr>
          <w:rFonts w:ascii="Arial" w:hAnsi="Arial" w:cs="Arial"/>
          <w:i/>
          <w:iCs/>
          <w:sz w:val="22"/>
        </w:rPr>
        <w:t>Statista Industry Report</w:t>
      </w:r>
      <w:r w:rsidRPr="00500A3A">
        <w:rPr>
          <w:rFonts w:ascii="Arial" w:hAnsi="Arial" w:cs="Arial"/>
          <w:sz w:val="22"/>
        </w:rPr>
        <w:t>.</w:t>
      </w:r>
    </w:p>
    <w:p w14:paraId="1AE92D62"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Sustainalytics, 2020. Microsoft ESG performance report. </w:t>
      </w:r>
      <w:r w:rsidRPr="00500A3A">
        <w:rPr>
          <w:rFonts w:ascii="Arial" w:hAnsi="Arial" w:cs="Arial"/>
          <w:i/>
          <w:iCs/>
          <w:sz w:val="22"/>
        </w:rPr>
        <w:t>Sustainalytics</w:t>
      </w:r>
      <w:r w:rsidRPr="00500A3A">
        <w:rPr>
          <w:rFonts w:ascii="Arial" w:hAnsi="Arial" w:cs="Arial"/>
          <w:sz w:val="22"/>
        </w:rPr>
        <w:t>.</w:t>
      </w:r>
    </w:p>
    <w:p w14:paraId="7E7EBED9"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Teece, D.J., 1997. Dynamic capabilities and strategic management. </w:t>
      </w:r>
      <w:r w:rsidRPr="00500A3A">
        <w:rPr>
          <w:rFonts w:ascii="Arial" w:hAnsi="Arial" w:cs="Arial"/>
          <w:i/>
          <w:iCs/>
          <w:sz w:val="22"/>
        </w:rPr>
        <w:t>Strategic Management Journal</w:t>
      </w:r>
      <w:r w:rsidRPr="00500A3A">
        <w:rPr>
          <w:rFonts w:ascii="Arial" w:hAnsi="Arial" w:cs="Arial"/>
          <w:sz w:val="22"/>
        </w:rPr>
        <w:t>, 18(7), pp.509-533.</w:t>
      </w:r>
    </w:p>
    <w:p w14:paraId="5F6C7827" w14:textId="77777777" w:rsidR="00500A3A" w:rsidRPr="00500A3A" w:rsidRDefault="00500A3A" w:rsidP="00500A3A">
      <w:pPr>
        <w:numPr>
          <w:ilvl w:val="0"/>
          <w:numId w:val="1"/>
        </w:numPr>
        <w:tabs>
          <w:tab w:val="clear" w:pos="360"/>
        </w:tabs>
        <w:rPr>
          <w:rFonts w:ascii="Arial" w:hAnsi="Arial" w:cs="Arial"/>
          <w:sz w:val="22"/>
        </w:rPr>
      </w:pPr>
      <w:proofErr w:type="spellStart"/>
      <w:r w:rsidRPr="00500A3A">
        <w:rPr>
          <w:rFonts w:ascii="Arial" w:hAnsi="Arial" w:cs="Arial"/>
          <w:sz w:val="22"/>
        </w:rPr>
        <w:lastRenderedPageBreak/>
        <w:t>Trigeorgis</w:t>
      </w:r>
      <w:proofErr w:type="spellEnd"/>
      <w:r w:rsidRPr="00500A3A">
        <w:rPr>
          <w:rFonts w:ascii="Arial" w:hAnsi="Arial" w:cs="Arial"/>
          <w:sz w:val="22"/>
        </w:rPr>
        <w:t>, L., 1996. </w:t>
      </w:r>
      <w:r w:rsidRPr="00500A3A">
        <w:rPr>
          <w:rFonts w:ascii="Arial" w:hAnsi="Arial" w:cs="Arial"/>
          <w:i/>
          <w:iCs/>
          <w:sz w:val="22"/>
        </w:rPr>
        <w:t>Real options: Managerial flexibility and strategy in resource allocation</w:t>
      </w:r>
      <w:r w:rsidRPr="00500A3A">
        <w:rPr>
          <w:rFonts w:ascii="Arial" w:hAnsi="Arial" w:cs="Arial"/>
          <w:sz w:val="22"/>
        </w:rPr>
        <w:t>. Cambridge: MIT Press.</w:t>
      </w:r>
    </w:p>
    <w:p w14:paraId="5F4A4A9B" w14:textId="77777777" w:rsidR="00500A3A" w:rsidRPr="00500A3A" w:rsidRDefault="00500A3A" w:rsidP="00500A3A">
      <w:pPr>
        <w:numPr>
          <w:ilvl w:val="0"/>
          <w:numId w:val="1"/>
        </w:numPr>
        <w:tabs>
          <w:tab w:val="clear" w:pos="360"/>
        </w:tabs>
        <w:rPr>
          <w:rFonts w:ascii="Arial" w:hAnsi="Arial" w:cs="Arial"/>
          <w:sz w:val="22"/>
        </w:rPr>
      </w:pPr>
      <w:r w:rsidRPr="00500A3A">
        <w:rPr>
          <w:rFonts w:ascii="Arial" w:hAnsi="Arial" w:cs="Arial"/>
          <w:sz w:val="22"/>
        </w:rPr>
        <w:t>Williamson, O.E., 1985. </w:t>
      </w:r>
      <w:r w:rsidRPr="00500A3A">
        <w:rPr>
          <w:rFonts w:ascii="Arial" w:hAnsi="Arial" w:cs="Arial"/>
          <w:i/>
          <w:iCs/>
          <w:sz w:val="22"/>
        </w:rPr>
        <w:t>The economic institutions of capitalism</w:t>
      </w:r>
      <w:r w:rsidRPr="00500A3A">
        <w:rPr>
          <w:rFonts w:ascii="Arial" w:hAnsi="Arial" w:cs="Arial"/>
          <w:sz w:val="22"/>
        </w:rPr>
        <w:t>. New York: Free Press.</w:t>
      </w:r>
    </w:p>
    <w:p w14:paraId="4BA2E92C" w14:textId="77777777" w:rsidR="00500A3A" w:rsidRPr="00314FEC" w:rsidRDefault="00500A3A" w:rsidP="00076ED1">
      <w:pPr>
        <w:rPr>
          <w:rFonts w:ascii="Arial" w:hAnsi="Arial" w:cs="Arial"/>
          <w:sz w:val="22"/>
        </w:rPr>
      </w:pPr>
    </w:p>
    <w:sectPr w:rsidR="00500A3A" w:rsidRPr="00314FEC">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DC9E8" w14:textId="77777777" w:rsidR="00EB4A0A" w:rsidRDefault="00EB4A0A" w:rsidP="00B96984">
      <w:pPr>
        <w:rPr>
          <w:rFonts w:hint="eastAsia"/>
        </w:rPr>
      </w:pPr>
      <w:r>
        <w:separator/>
      </w:r>
    </w:p>
  </w:endnote>
  <w:endnote w:type="continuationSeparator" w:id="0">
    <w:p w14:paraId="3F0B1284" w14:textId="77777777" w:rsidR="00EB4A0A" w:rsidRDefault="00EB4A0A" w:rsidP="00B9698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59E8" w14:textId="77777777" w:rsidR="00B96984" w:rsidRDefault="00B96984">
    <w:pPr>
      <w:pStyle w:val="af2"/>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27217"/>
      <w:docPartObj>
        <w:docPartGallery w:val="Page Numbers (Bottom of Page)"/>
        <w:docPartUnique/>
      </w:docPartObj>
    </w:sdtPr>
    <w:sdtContent>
      <w:p w14:paraId="366BF991" w14:textId="51C818AD" w:rsidR="00B96984" w:rsidRDefault="00B96984">
        <w:pPr>
          <w:pStyle w:val="af2"/>
          <w:jc w:val="center"/>
          <w:rPr>
            <w:rFonts w:hint="eastAsia"/>
          </w:rPr>
        </w:pPr>
        <w:r>
          <w:fldChar w:fldCharType="begin"/>
        </w:r>
        <w:r>
          <w:instrText>PAGE   \* MERGEFORMAT</w:instrText>
        </w:r>
        <w:r>
          <w:fldChar w:fldCharType="separate"/>
        </w:r>
        <w:r>
          <w:rPr>
            <w:lang w:val="zh-CN"/>
          </w:rPr>
          <w:t>2</w:t>
        </w:r>
        <w:r>
          <w:fldChar w:fldCharType="end"/>
        </w:r>
      </w:p>
    </w:sdtContent>
  </w:sdt>
  <w:p w14:paraId="595FDAF5" w14:textId="77777777" w:rsidR="00B96984" w:rsidRDefault="00B96984">
    <w:pPr>
      <w:pStyle w:val="af2"/>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BCFB4" w14:textId="77777777" w:rsidR="00B96984" w:rsidRDefault="00B96984">
    <w:pPr>
      <w:pStyle w:val="af2"/>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7A92D" w14:textId="77777777" w:rsidR="00EB4A0A" w:rsidRDefault="00EB4A0A" w:rsidP="00B96984">
      <w:pPr>
        <w:rPr>
          <w:rFonts w:hint="eastAsia"/>
        </w:rPr>
      </w:pPr>
      <w:r>
        <w:separator/>
      </w:r>
    </w:p>
  </w:footnote>
  <w:footnote w:type="continuationSeparator" w:id="0">
    <w:p w14:paraId="7AC195F3" w14:textId="77777777" w:rsidR="00EB4A0A" w:rsidRDefault="00EB4A0A" w:rsidP="00B9698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1F7D" w14:textId="77777777" w:rsidR="00B96984" w:rsidRDefault="00B96984">
    <w:pPr>
      <w:pStyle w:val="af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CC31F" w14:textId="77777777" w:rsidR="00B96984" w:rsidRDefault="00B96984">
    <w:pPr>
      <w:pStyle w:val="af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C67DE" w14:textId="77777777" w:rsidR="00B96984" w:rsidRDefault="00B96984">
    <w:pPr>
      <w:pStyle w:val="af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0B602B"/>
    <w:multiLevelType w:val="multilevel"/>
    <w:tmpl w:val="39721D8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2228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A10"/>
    <w:rsid w:val="0005550B"/>
    <w:rsid w:val="00076ED1"/>
    <w:rsid w:val="00084A10"/>
    <w:rsid w:val="000F1355"/>
    <w:rsid w:val="001532B2"/>
    <w:rsid w:val="001E0493"/>
    <w:rsid w:val="00270B27"/>
    <w:rsid w:val="002D3809"/>
    <w:rsid w:val="00314FEC"/>
    <w:rsid w:val="003A046D"/>
    <w:rsid w:val="003C7C05"/>
    <w:rsid w:val="004E4B03"/>
    <w:rsid w:val="00500A3A"/>
    <w:rsid w:val="00501189"/>
    <w:rsid w:val="005C7A1D"/>
    <w:rsid w:val="005D54CA"/>
    <w:rsid w:val="008322F1"/>
    <w:rsid w:val="008D37CD"/>
    <w:rsid w:val="00A60F0F"/>
    <w:rsid w:val="00A619E8"/>
    <w:rsid w:val="00B3709E"/>
    <w:rsid w:val="00B96984"/>
    <w:rsid w:val="00C4086E"/>
    <w:rsid w:val="00C772D3"/>
    <w:rsid w:val="00C94CD4"/>
    <w:rsid w:val="00D26AF1"/>
    <w:rsid w:val="00DA3C9E"/>
    <w:rsid w:val="00EB4A0A"/>
    <w:rsid w:val="00F12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8DE58"/>
  <w15:chartTrackingRefBased/>
  <w15:docId w15:val="{A69105F6-6BDF-424B-B36F-86852383C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84A1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084A1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084A1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84A1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84A1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084A1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84A1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84A1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84A10"/>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84A1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084A1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084A1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84A10"/>
    <w:rPr>
      <w:rFonts w:cstheme="majorBidi"/>
      <w:color w:val="0F4761" w:themeColor="accent1" w:themeShade="BF"/>
      <w:sz w:val="28"/>
      <w:szCs w:val="28"/>
    </w:rPr>
  </w:style>
  <w:style w:type="character" w:customStyle="1" w:styleId="50">
    <w:name w:val="标题 5 字符"/>
    <w:basedOn w:val="a0"/>
    <w:link w:val="5"/>
    <w:uiPriority w:val="9"/>
    <w:semiHidden/>
    <w:rsid w:val="00084A10"/>
    <w:rPr>
      <w:rFonts w:cstheme="majorBidi"/>
      <w:color w:val="0F4761" w:themeColor="accent1" w:themeShade="BF"/>
      <w:sz w:val="24"/>
      <w:szCs w:val="24"/>
    </w:rPr>
  </w:style>
  <w:style w:type="character" w:customStyle="1" w:styleId="60">
    <w:name w:val="标题 6 字符"/>
    <w:basedOn w:val="a0"/>
    <w:link w:val="6"/>
    <w:uiPriority w:val="9"/>
    <w:semiHidden/>
    <w:rsid w:val="00084A10"/>
    <w:rPr>
      <w:rFonts w:cstheme="majorBidi"/>
      <w:b/>
      <w:bCs/>
      <w:color w:val="0F4761" w:themeColor="accent1" w:themeShade="BF"/>
    </w:rPr>
  </w:style>
  <w:style w:type="character" w:customStyle="1" w:styleId="70">
    <w:name w:val="标题 7 字符"/>
    <w:basedOn w:val="a0"/>
    <w:link w:val="7"/>
    <w:uiPriority w:val="9"/>
    <w:semiHidden/>
    <w:rsid w:val="00084A10"/>
    <w:rPr>
      <w:rFonts w:cstheme="majorBidi"/>
      <w:b/>
      <w:bCs/>
      <w:color w:val="595959" w:themeColor="text1" w:themeTint="A6"/>
    </w:rPr>
  </w:style>
  <w:style w:type="character" w:customStyle="1" w:styleId="80">
    <w:name w:val="标题 8 字符"/>
    <w:basedOn w:val="a0"/>
    <w:link w:val="8"/>
    <w:uiPriority w:val="9"/>
    <w:semiHidden/>
    <w:rsid w:val="00084A10"/>
    <w:rPr>
      <w:rFonts w:cstheme="majorBidi"/>
      <w:color w:val="595959" w:themeColor="text1" w:themeTint="A6"/>
    </w:rPr>
  </w:style>
  <w:style w:type="character" w:customStyle="1" w:styleId="90">
    <w:name w:val="标题 9 字符"/>
    <w:basedOn w:val="a0"/>
    <w:link w:val="9"/>
    <w:uiPriority w:val="9"/>
    <w:semiHidden/>
    <w:rsid w:val="00084A10"/>
    <w:rPr>
      <w:rFonts w:eastAsiaTheme="majorEastAsia" w:cstheme="majorBidi"/>
      <w:color w:val="595959" w:themeColor="text1" w:themeTint="A6"/>
    </w:rPr>
  </w:style>
  <w:style w:type="paragraph" w:styleId="a3">
    <w:name w:val="Title"/>
    <w:basedOn w:val="a"/>
    <w:next w:val="a"/>
    <w:link w:val="a4"/>
    <w:uiPriority w:val="10"/>
    <w:qFormat/>
    <w:rsid w:val="00084A1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84A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84A1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84A1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84A10"/>
    <w:pPr>
      <w:spacing w:before="160" w:after="160"/>
      <w:jc w:val="center"/>
    </w:pPr>
    <w:rPr>
      <w:i/>
      <w:iCs/>
      <w:color w:val="404040" w:themeColor="text1" w:themeTint="BF"/>
    </w:rPr>
  </w:style>
  <w:style w:type="character" w:customStyle="1" w:styleId="a8">
    <w:name w:val="引用 字符"/>
    <w:basedOn w:val="a0"/>
    <w:link w:val="a7"/>
    <w:uiPriority w:val="29"/>
    <w:rsid w:val="00084A10"/>
    <w:rPr>
      <w:i/>
      <w:iCs/>
      <w:color w:val="404040" w:themeColor="text1" w:themeTint="BF"/>
    </w:rPr>
  </w:style>
  <w:style w:type="paragraph" w:styleId="a9">
    <w:name w:val="List Paragraph"/>
    <w:basedOn w:val="a"/>
    <w:uiPriority w:val="34"/>
    <w:qFormat/>
    <w:rsid w:val="00084A10"/>
    <w:pPr>
      <w:ind w:left="720"/>
      <w:contextualSpacing/>
    </w:pPr>
  </w:style>
  <w:style w:type="character" w:styleId="aa">
    <w:name w:val="Intense Emphasis"/>
    <w:basedOn w:val="a0"/>
    <w:uiPriority w:val="21"/>
    <w:qFormat/>
    <w:rsid w:val="00084A10"/>
    <w:rPr>
      <w:i/>
      <w:iCs/>
      <w:color w:val="0F4761" w:themeColor="accent1" w:themeShade="BF"/>
    </w:rPr>
  </w:style>
  <w:style w:type="paragraph" w:styleId="ab">
    <w:name w:val="Intense Quote"/>
    <w:basedOn w:val="a"/>
    <w:next w:val="a"/>
    <w:link w:val="ac"/>
    <w:uiPriority w:val="30"/>
    <w:qFormat/>
    <w:rsid w:val="00084A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84A10"/>
    <w:rPr>
      <w:i/>
      <w:iCs/>
      <w:color w:val="0F4761" w:themeColor="accent1" w:themeShade="BF"/>
    </w:rPr>
  </w:style>
  <w:style w:type="character" w:styleId="ad">
    <w:name w:val="Intense Reference"/>
    <w:basedOn w:val="a0"/>
    <w:uiPriority w:val="32"/>
    <w:qFormat/>
    <w:rsid w:val="00084A10"/>
    <w:rPr>
      <w:b/>
      <w:bCs/>
      <w:smallCaps/>
      <w:color w:val="0F4761" w:themeColor="accent1" w:themeShade="BF"/>
      <w:spacing w:val="5"/>
    </w:rPr>
  </w:style>
  <w:style w:type="character" w:styleId="ae">
    <w:name w:val="Hyperlink"/>
    <w:basedOn w:val="a0"/>
    <w:uiPriority w:val="99"/>
    <w:unhideWhenUsed/>
    <w:rsid w:val="00500A3A"/>
    <w:rPr>
      <w:color w:val="467886" w:themeColor="hyperlink"/>
      <w:u w:val="single"/>
    </w:rPr>
  </w:style>
  <w:style w:type="character" w:styleId="af">
    <w:name w:val="Unresolved Mention"/>
    <w:basedOn w:val="a0"/>
    <w:uiPriority w:val="99"/>
    <w:semiHidden/>
    <w:unhideWhenUsed/>
    <w:rsid w:val="00500A3A"/>
    <w:rPr>
      <w:color w:val="605E5C"/>
      <w:shd w:val="clear" w:color="auto" w:fill="E1DFDD"/>
    </w:rPr>
  </w:style>
  <w:style w:type="paragraph" w:styleId="TOC">
    <w:name w:val="TOC Heading"/>
    <w:basedOn w:val="1"/>
    <w:next w:val="a"/>
    <w:uiPriority w:val="39"/>
    <w:unhideWhenUsed/>
    <w:qFormat/>
    <w:rsid w:val="005C7A1D"/>
    <w:pPr>
      <w:widowControl/>
      <w:spacing w:before="240" w:after="0" w:line="259" w:lineRule="auto"/>
      <w:jc w:val="left"/>
      <w:outlineLvl w:val="9"/>
    </w:pPr>
    <w:rPr>
      <w:kern w:val="0"/>
      <w:sz w:val="32"/>
      <w:szCs w:val="32"/>
    </w:rPr>
  </w:style>
  <w:style w:type="paragraph" w:styleId="TOC1">
    <w:name w:val="toc 1"/>
    <w:basedOn w:val="a"/>
    <w:next w:val="a"/>
    <w:autoRedefine/>
    <w:uiPriority w:val="39"/>
    <w:unhideWhenUsed/>
    <w:rsid w:val="005C7A1D"/>
  </w:style>
  <w:style w:type="paragraph" w:styleId="TOC2">
    <w:name w:val="toc 2"/>
    <w:basedOn w:val="a"/>
    <w:next w:val="a"/>
    <w:autoRedefine/>
    <w:uiPriority w:val="39"/>
    <w:unhideWhenUsed/>
    <w:rsid w:val="005C7A1D"/>
    <w:pPr>
      <w:ind w:leftChars="200" w:left="420"/>
    </w:pPr>
  </w:style>
  <w:style w:type="paragraph" w:styleId="TOC3">
    <w:name w:val="toc 3"/>
    <w:basedOn w:val="a"/>
    <w:next w:val="a"/>
    <w:autoRedefine/>
    <w:uiPriority w:val="39"/>
    <w:unhideWhenUsed/>
    <w:rsid w:val="00314FEC"/>
    <w:pPr>
      <w:ind w:leftChars="400" w:left="840"/>
    </w:pPr>
  </w:style>
  <w:style w:type="paragraph" w:styleId="af0">
    <w:name w:val="header"/>
    <w:basedOn w:val="a"/>
    <w:link w:val="af1"/>
    <w:uiPriority w:val="99"/>
    <w:unhideWhenUsed/>
    <w:rsid w:val="00B9698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B96984"/>
    <w:rPr>
      <w:sz w:val="18"/>
      <w:szCs w:val="18"/>
    </w:rPr>
  </w:style>
  <w:style w:type="paragraph" w:styleId="af2">
    <w:name w:val="footer"/>
    <w:basedOn w:val="a"/>
    <w:link w:val="af3"/>
    <w:uiPriority w:val="99"/>
    <w:unhideWhenUsed/>
    <w:rsid w:val="00B96984"/>
    <w:pPr>
      <w:tabs>
        <w:tab w:val="center" w:pos="4153"/>
        <w:tab w:val="right" w:pos="8306"/>
      </w:tabs>
      <w:snapToGrid w:val="0"/>
      <w:jc w:val="left"/>
    </w:pPr>
    <w:rPr>
      <w:sz w:val="18"/>
      <w:szCs w:val="18"/>
    </w:rPr>
  </w:style>
  <w:style w:type="character" w:customStyle="1" w:styleId="af3">
    <w:name w:val="页脚 字符"/>
    <w:basedOn w:val="a0"/>
    <w:link w:val="af2"/>
    <w:uiPriority w:val="99"/>
    <w:rsid w:val="00B9698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97982">
      <w:bodyDiv w:val="1"/>
      <w:marLeft w:val="0"/>
      <w:marRight w:val="0"/>
      <w:marTop w:val="0"/>
      <w:marBottom w:val="0"/>
      <w:divBdr>
        <w:top w:val="none" w:sz="0" w:space="0" w:color="auto"/>
        <w:left w:val="none" w:sz="0" w:space="0" w:color="auto"/>
        <w:bottom w:val="none" w:sz="0" w:space="0" w:color="auto"/>
        <w:right w:val="none" w:sz="0" w:space="0" w:color="auto"/>
      </w:divBdr>
    </w:div>
    <w:div w:id="1205676477">
      <w:bodyDiv w:val="1"/>
      <w:marLeft w:val="0"/>
      <w:marRight w:val="0"/>
      <w:marTop w:val="0"/>
      <w:marBottom w:val="0"/>
      <w:divBdr>
        <w:top w:val="none" w:sz="0" w:space="0" w:color="auto"/>
        <w:left w:val="none" w:sz="0" w:space="0" w:color="auto"/>
        <w:bottom w:val="none" w:sz="0" w:space="0" w:color="auto"/>
        <w:right w:val="none" w:sz="0" w:space="0" w:color="auto"/>
      </w:divBdr>
    </w:div>
    <w:div w:id="179551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rn.com/abstract=2821167"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investo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icrosoft.com/investo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icrosoft.com/investor"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F897A-AEF9-4841-8954-EB1409334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13</Pages>
  <Words>4479</Words>
  <Characters>25532</Characters>
  <Application>Microsoft Office Word</Application>
  <DocSecurity>0</DocSecurity>
  <Lines>212</Lines>
  <Paragraphs>59</Paragraphs>
  <ScaleCrop>false</ScaleCrop>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T12672</dc:creator>
  <cp:keywords/>
  <dc:description/>
  <cp:lastModifiedBy>T12672</cp:lastModifiedBy>
  <cp:revision>14</cp:revision>
  <dcterms:created xsi:type="dcterms:W3CDTF">2025-04-04T15:56:00Z</dcterms:created>
  <dcterms:modified xsi:type="dcterms:W3CDTF">2025-04-04T18:51:00Z</dcterms:modified>
</cp:coreProperties>
</file>