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E1CE3" w14:textId="51C522EE" w:rsidR="00F01A11" w:rsidRDefault="00F01A11" w:rsidP="000E02CA">
      <w:pPr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12D9E92B" wp14:editId="6091F63B">
            <wp:simplePos x="0" y="0"/>
            <wp:positionH relativeFrom="column">
              <wp:posOffset>-786632</wp:posOffset>
            </wp:positionH>
            <wp:positionV relativeFrom="paragraph">
              <wp:posOffset>487</wp:posOffset>
            </wp:positionV>
            <wp:extent cx="2860675" cy="141859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90F43" w14:textId="77777777" w:rsidR="00F01A11" w:rsidRDefault="00F01A11" w:rsidP="000E02CA">
      <w:pPr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</w:p>
    <w:p w14:paraId="32EAFD5B" w14:textId="77777777" w:rsidR="00F01A11" w:rsidRDefault="00F01A11" w:rsidP="000E02CA">
      <w:pPr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</w:p>
    <w:p w14:paraId="3657BB99" w14:textId="7C06532A" w:rsidR="000E02CA" w:rsidRPr="00F01A11" w:rsidRDefault="000E02CA" w:rsidP="000E02CA">
      <w:pPr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  <w:r w:rsidRPr="00F01A11">
        <w:rPr>
          <w:rFonts w:ascii="Arial" w:hAnsi="Arial" w:cs="Arial"/>
          <w:b/>
          <w:bCs/>
          <w:color w:val="0E2841" w:themeColor="text2"/>
          <w:sz w:val="56"/>
          <w:szCs w:val="56"/>
        </w:rPr>
        <w:t>BSc (Hons) Health and Social Care</w:t>
      </w:r>
    </w:p>
    <w:p w14:paraId="5EC4BFB6" w14:textId="77777777" w:rsidR="000E02CA" w:rsidRPr="00F01A11" w:rsidRDefault="000E02CA" w:rsidP="000E02CA">
      <w:pPr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  <w:r w:rsidRPr="00F01A11">
        <w:rPr>
          <w:rFonts w:ascii="Arial" w:hAnsi="Arial" w:cs="Arial"/>
          <w:b/>
          <w:bCs/>
          <w:color w:val="0E2841" w:themeColor="text2"/>
          <w:sz w:val="56"/>
          <w:szCs w:val="56"/>
        </w:rPr>
        <w:t>Psychological Classifications and Provisions</w:t>
      </w:r>
    </w:p>
    <w:p w14:paraId="3CFB8EDF" w14:textId="77777777" w:rsidR="000E02CA" w:rsidRPr="00F01A11" w:rsidRDefault="000E02CA" w:rsidP="000E02CA">
      <w:pPr>
        <w:spacing w:before="120" w:after="120"/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  <w:r w:rsidRPr="00F01A11">
        <w:rPr>
          <w:rFonts w:ascii="Arial" w:hAnsi="Arial" w:cs="Arial"/>
          <w:b/>
          <w:bCs/>
          <w:color w:val="0E2841" w:themeColor="text2"/>
          <w:sz w:val="56"/>
          <w:szCs w:val="56"/>
        </w:rPr>
        <w:t>BMHP6029</w:t>
      </w:r>
    </w:p>
    <w:p w14:paraId="19A4CE1E" w14:textId="77777777" w:rsidR="000E02CA" w:rsidRPr="00F01A11" w:rsidRDefault="000E02CA" w:rsidP="000E02CA">
      <w:pPr>
        <w:spacing w:before="120" w:after="120"/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  <w:r w:rsidRPr="00F01A11">
        <w:rPr>
          <w:rFonts w:ascii="Arial" w:hAnsi="Arial" w:cs="Arial"/>
          <w:b/>
          <w:bCs/>
          <w:color w:val="0E2841" w:themeColor="text2"/>
          <w:sz w:val="56"/>
          <w:szCs w:val="56"/>
        </w:rPr>
        <w:t>Student name</w:t>
      </w:r>
    </w:p>
    <w:p w14:paraId="628404DA" w14:textId="77777777" w:rsidR="000E02CA" w:rsidRPr="00F01A11" w:rsidRDefault="000E02CA" w:rsidP="000E02CA">
      <w:pPr>
        <w:spacing w:before="120" w:after="120"/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  <w:r w:rsidRPr="00F01A11">
        <w:rPr>
          <w:rFonts w:ascii="Arial" w:hAnsi="Arial" w:cs="Arial"/>
          <w:b/>
          <w:bCs/>
          <w:color w:val="0E2841" w:themeColor="text2"/>
          <w:sz w:val="56"/>
          <w:szCs w:val="56"/>
        </w:rPr>
        <w:t>Baidar begum</w:t>
      </w:r>
    </w:p>
    <w:p w14:paraId="7DBB029F" w14:textId="77777777" w:rsidR="000E02CA" w:rsidRPr="00F01A11" w:rsidRDefault="000E02CA" w:rsidP="000E02CA">
      <w:pPr>
        <w:spacing w:before="120" w:after="120"/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  <w:r w:rsidRPr="00F01A11">
        <w:rPr>
          <w:rFonts w:ascii="Arial" w:hAnsi="Arial" w:cs="Arial"/>
          <w:b/>
          <w:bCs/>
          <w:color w:val="0E2841" w:themeColor="text2"/>
          <w:sz w:val="56"/>
          <w:szCs w:val="56"/>
        </w:rPr>
        <w:t>Student number</w:t>
      </w:r>
    </w:p>
    <w:p w14:paraId="0A608F64" w14:textId="77777777" w:rsidR="000E02CA" w:rsidRPr="00F01A11" w:rsidRDefault="000E02CA" w:rsidP="000E02CA">
      <w:pPr>
        <w:spacing w:before="120" w:after="120"/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  <w:r w:rsidRPr="00F01A11">
        <w:rPr>
          <w:rFonts w:ascii="Arial" w:hAnsi="Arial" w:cs="Arial"/>
          <w:b/>
          <w:bCs/>
          <w:color w:val="0E2841" w:themeColor="text2"/>
          <w:sz w:val="56"/>
          <w:szCs w:val="56"/>
        </w:rPr>
        <w:t>2318995</w:t>
      </w:r>
    </w:p>
    <w:p w14:paraId="3569AC19" w14:textId="77777777" w:rsidR="000E02CA" w:rsidRPr="00F01A11" w:rsidRDefault="000E02CA" w:rsidP="000E02CA">
      <w:pPr>
        <w:spacing w:before="120" w:after="120"/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  <w:r w:rsidRPr="00F01A11">
        <w:rPr>
          <w:rFonts w:ascii="Arial" w:hAnsi="Arial" w:cs="Arial"/>
          <w:b/>
          <w:bCs/>
          <w:color w:val="0E2841" w:themeColor="text2"/>
          <w:sz w:val="56"/>
          <w:szCs w:val="56"/>
        </w:rPr>
        <w:t>Lecture</w:t>
      </w:r>
    </w:p>
    <w:p w14:paraId="31FBFA79" w14:textId="77777777" w:rsidR="000E02CA" w:rsidRPr="00F01A11" w:rsidRDefault="000E02CA" w:rsidP="000E02CA">
      <w:pPr>
        <w:spacing w:before="120" w:after="120"/>
        <w:jc w:val="center"/>
        <w:rPr>
          <w:rFonts w:ascii="Arial" w:hAnsi="Arial" w:cs="Arial"/>
          <w:b/>
          <w:bCs/>
          <w:color w:val="0E2841" w:themeColor="text2"/>
          <w:sz w:val="56"/>
          <w:szCs w:val="56"/>
        </w:rPr>
      </w:pPr>
      <w:r w:rsidRPr="00F01A11">
        <w:rPr>
          <w:rFonts w:ascii="Arial" w:hAnsi="Arial" w:cs="Arial"/>
          <w:b/>
          <w:bCs/>
          <w:color w:val="0E2841" w:themeColor="text2"/>
          <w:sz w:val="56"/>
          <w:szCs w:val="56"/>
        </w:rPr>
        <w:t>Neale Haddon</w:t>
      </w:r>
    </w:p>
    <w:p w14:paraId="650F9CEE" w14:textId="7312E13C" w:rsidR="005B0066" w:rsidRPr="00F01A11" w:rsidRDefault="005B0066" w:rsidP="000E02CA">
      <w:pPr>
        <w:pStyle w:val="NoSpacing"/>
        <w:spacing w:before="1540" w:after="240"/>
        <w:rPr>
          <w:sz w:val="56"/>
          <w:szCs w:val="56"/>
        </w:rPr>
      </w:pPr>
      <w:r w:rsidRPr="00F01A11">
        <w:rPr>
          <w:sz w:val="56"/>
          <w:szCs w:val="56"/>
        </w:rPr>
        <w:br w:type="page"/>
      </w:r>
    </w:p>
    <w:p w14:paraId="4505BCC2" w14:textId="2F7DD6FA" w:rsidR="005B0066" w:rsidRDefault="00F2442D">
      <w:r w:rsidRPr="00F2442D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9F68B5B" wp14:editId="654FF4E9">
            <wp:simplePos x="0" y="0"/>
            <wp:positionH relativeFrom="margin">
              <wp:align>center</wp:align>
            </wp:positionH>
            <wp:positionV relativeFrom="page">
              <wp:posOffset>104078</wp:posOffset>
            </wp:positionV>
            <wp:extent cx="7411844" cy="10628845"/>
            <wp:effectExtent l="0" t="0" r="0" b="1270"/>
            <wp:wrapSquare wrapText="bothSides"/>
            <wp:docPr id="2140596441" name="Picture 1" descr="A screenshot of a medical inform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596441" name="Picture 1" descr="A screenshot of a medical information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1844" cy="10628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53BE96" w14:textId="37F6DEDD" w:rsidR="005B0066" w:rsidRDefault="00F2442D">
      <w:r w:rsidRPr="00F2442D"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4D09895" wp14:editId="3ED30302">
            <wp:simplePos x="0" y="0"/>
            <wp:positionH relativeFrom="page">
              <wp:posOffset>89210</wp:posOffset>
            </wp:positionH>
            <wp:positionV relativeFrom="page">
              <wp:align>bottom</wp:align>
            </wp:positionV>
            <wp:extent cx="7463155" cy="10653132"/>
            <wp:effectExtent l="0" t="0" r="4445" b="0"/>
            <wp:wrapSquare wrapText="bothSides"/>
            <wp:docPr id="523736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73669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3155" cy="10653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066">
        <w:br w:type="page"/>
      </w:r>
    </w:p>
    <w:p w14:paraId="74C0E5D3" w14:textId="77777777" w:rsidR="00F01A11" w:rsidRPr="00F01A11" w:rsidRDefault="00F01A11" w:rsidP="00303C97">
      <w:pPr>
        <w:rPr>
          <w:rFonts w:ascii="Arial" w:hAnsi="Arial" w:cs="Arial"/>
          <w:b/>
          <w:bCs/>
          <w:sz w:val="52"/>
          <w:szCs w:val="52"/>
        </w:rPr>
      </w:pPr>
      <w:r w:rsidRPr="00F01A11">
        <w:rPr>
          <w:rFonts w:ascii="Arial" w:hAnsi="Arial" w:cs="Arial"/>
          <w:b/>
          <w:bCs/>
          <w:sz w:val="52"/>
          <w:szCs w:val="52"/>
        </w:rPr>
        <w:lastRenderedPageBreak/>
        <w:t>Reference</w:t>
      </w:r>
    </w:p>
    <w:p w14:paraId="7F9BC76B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Agras, W.S. and Robinson, A.H. (eds.) (2017) </w:t>
      </w:r>
      <w:r w:rsidRPr="004C066D">
        <w:rPr>
          <w:rFonts w:ascii="Arial" w:hAnsi="Arial" w:cs="Arial"/>
          <w:i/>
          <w:iCs/>
        </w:rPr>
        <w:t>The Oxford handbook of eating disorders.</w:t>
      </w:r>
      <w:r w:rsidRPr="004C066D">
        <w:rPr>
          <w:rFonts w:ascii="Arial" w:hAnsi="Arial" w:cs="Arial"/>
        </w:rPr>
        <w:t xml:space="preserve"> 2nd edn. Oxford: Oxford University Press.</w:t>
      </w:r>
    </w:p>
    <w:p w14:paraId="163E5833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Brown, M.L. and Levinson, C.A. (2022) ‘Core eating disorder fears: Prevalence and differences across eating disorder diagnoses’, </w:t>
      </w:r>
      <w:r w:rsidRPr="004C066D">
        <w:rPr>
          <w:rFonts w:ascii="Arial" w:hAnsi="Arial" w:cs="Arial"/>
          <w:i/>
          <w:iCs/>
        </w:rPr>
        <w:t>International Journal of Eating Disorders</w:t>
      </w:r>
      <w:r w:rsidRPr="004C066D">
        <w:rPr>
          <w:rFonts w:ascii="Arial" w:hAnsi="Arial" w:cs="Arial"/>
        </w:rPr>
        <w:t>, 55(7), pp. 956–965.</w:t>
      </w:r>
    </w:p>
    <w:p w14:paraId="70CA479C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Castellini, G. et al. (2020) ‘The impact of COVID-19 on eating disorders: A longitudinal observation of pre- versus post-psychopathological features’, </w:t>
      </w:r>
      <w:r w:rsidRPr="004C066D">
        <w:rPr>
          <w:rFonts w:ascii="Arial" w:hAnsi="Arial" w:cs="Arial"/>
          <w:i/>
          <w:iCs/>
        </w:rPr>
        <w:t>International Journal of Eating Disorders</w:t>
      </w:r>
      <w:r w:rsidRPr="004C066D">
        <w:rPr>
          <w:rFonts w:ascii="Arial" w:hAnsi="Arial" w:cs="Arial"/>
        </w:rPr>
        <w:t>, 53(11), pp. 1855–1862.</w:t>
      </w:r>
    </w:p>
    <w:p w14:paraId="1B2A1686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Devoe, D. et al. (2023) ‘The impact of the COVID-19 pandemic on eating disorders: A systematic review’, </w:t>
      </w:r>
      <w:r w:rsidRPr="004C066D">
        <w:rPr>
          <w:rFonts w:ascii="Arial" w:hAnsi="Arial" w:cs="Arial"/>
          <w:i/>
          <w:iCs/>
        </w:rPr>
        <w:t>International Journal of Eating Disorders</w:t>
      </w:r>
      <w:r w:rsidRPr="004C066D">
        <w:rPr>
          <w:rFonts w:ascii="Arial" w:hAnsi="Arial" w:cs="Arial"/>
        </w:rPr>
        <w:t>, 56(1), pp. 5–25.</w:t>
      </w:r>
    </w:p>
    <w:p w14:paraId="38AEC70E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Fernández-Aranda, F. et al. (2020) ‘COVID-19 and implications for eating disorders’, </w:t>
      </w:r>
      <w:r w:rsidRPr="004C066D">
        <w:rPr>
          <w:rFonts w:ascii="Arial" w:hAnsi="Arial" w:cs="Arial"/>
          <w:i/>
          <w:iCs/>
        </w:rPr>
        <w:t>European Eating Disorders Review</w:t>
      </w:r>
      <w:r w:rsidRPr="004C066D">
        <w:rPr>
          <w:rFonts w:ascii="Arial" w:hAnsi="Arial" w:cs="Arial"/>
        </w:rPr>
        <w:t>, 28(3), pp. 239–245.</w:t>
      </w:r>
    </w:p>
    <w:p w14:paraId="24173CA7" w14:textId="77777777" w:rsidR="004C066D" w:rsidRPr="004C066D" w:rsidRDefault="004C066D" w:rsidP="004C066D">
      <w:pPr>
        <w:rPr>
          <w:rFonts w:ascii="Arial" w:hAnsi="Arial" w:cs="Arial"/>
        </w:rPr>
      </w:pPr>
      <w:proofErr w:type="spellStart"/>
      <w:r w:rsidRPr="004C066D">
        <w:rPr>
          <w:rFonts w:ascii="Arial" w:hAnsi="Arial" w:cs="Arial"/>
        </w:rPr>
        <w:t>Friedlich</w:t>
      </w:r>
      <w:proofErr w:type="spellEnd"/>
      <w:r w:rsidRPr="004C066D">
        <w:rPr>
          <w:rFonts w:ascii="Arial" w:hAnsi="Arial" w:cs="Arial"/>
        </w:rPr>
        <w:t xml:space="preserve">, C.E. et al. (2023) ‘Updates in the treatment of eating disorders in 2022: A year in review’, </w:t>
      </w:r>
      <w:proofErr w:type="gramStart"/>
      <w:r w:rsidRPr="004C066D">
        <w:rPr>
          <w:rFonts w:ascii="Arial" w:hAnsi="Arial" w:cs="Arial"/>
          <w:i/>
          <w:iCs/>
        </w:rPr>
        <w:t>Eating Disorders</w:t>
      </w:r>
      <w:proofErr w:type="gramEnd"/>
      <w:r w:rsidRPr="004C066D">
        <w:rPr>
          <w:rFonts w:ascii="Arial" w:hAnsi="Arial" w:cs="Arial"/>
        </w:rPr>
        <w:t>, 31(2), pp. 128–138.</w:t>
      </w:r>
    </w:p>
    <w:p w14:paraId="2A7EA0F8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Griffiths, S., Murray, S.B. and </w:t>
      </w:r>
      <w:proofErr w:type="spellStart"/>
      <w:r w:rsidRPr="004C066D">
        <w:rPr>
          <w:rFonts w:ascii="Arial" w:hAnsi="Arial" w:cs="Arial"/>
        </w:rPr>
        <w:t>Touyz</w:t>
      </w:r>
      <w:proofErr w:type="spellEnd"/>
      <w:r w:rsidRPr="004C066D">
        <w:rPr>
          <w:rFonts w:ascii="Arial" w:hAnsi="Arial" w:cs="Arial"/>
        </w:rPr>
        <w:t xml:space="preserve">, S. (2018) ‘Extending the masculinity hypothesis: Gender role conformity, body dissatisfaction and disordered eating in young heterosexual men’, </w:t>
      </w:r>
      <w:r w:rsidRPr="004C066D">
        <w:rPr>
          <w:rFonts w:ascii="Arial" w:hAnsi="Arial" w:cs="Arial"/>
          <w:i/>
          <w:iCs/>
        </w:rPr>
        <w:t>Psychology of Men &amp; Masculinity</w:t>
      </w:r>
      <w:r w:rsidRPr="004C066D">
        <w:rPr>
          <w:rFonts w:ascii="Arial" w:hAnsi="Arial" w:cs="Arial"/>
        </w:rPr>
        <w:t>, 19(1), pp. 108–124.</w:t>
      </w:r>
    </w:p>
    <w:p w14:paraId="56F21CD0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Hart, L.M., Granillo, M.T., </w:t>
      </w:r>
      <w:proofErr w:type="spellStart"/>
      <w:r w:rsidRPr="004C066D">
        <w:rPr>
          <w:rFonts w:ascii="Arial" w:hAnsi="Arial" w:cs="Arial"/>
        </w:rPr>
        <w:t>Jorm</w:t>
      </w:r>
      <w:proofErr w:type="spellEnd"/>
      <w:r w:rsidRPr="004C066D">
        <w:rPr>
          <w:rFonts w:ascii="Arial" w:hAnsi="Arial" w:cs="Arial"/>
        </w:rPr>
        <w:t xml:space="preserve">, A.F. and Paxton, S.J. (2011) ‘Unmet need for treatment in eating disorders: A systematic review of treatment seeking among community cases’, </w:t>
      </w:r>
      <w:r w:rsidRPr="004C066D">
        <w:rPr>
          <w:rFonts w:ascii="Arial" w:hAnsi="Arial" w:cs="Arial"/>
          <w:i/>
          <w:iCs/>
        </w:rPr>
        <w:t>Clinical Psychology Review</w:t>
      </w:r>
      <w:r w:rsidRPr="004C066D">
        <w:rPr>
          <w:rFonts w:ascii="Arial" w:hAnsi="Arial" w:cs="Arial"/>
        </w:rPr>
        <w:t>, 31(5), pp. 727–735.</w:t>
      </w:r>
    </w:p>
    <w:p w14:paraId="214845C9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Hay, P. (2020) ‘Current approach to eating disorders: A clinical update’, </w:t>
      </w:r>
      <w:r w:rsidRPr="004C066D">
        <w:rPr>
          <w:rFonts w:ascii="Arial" w:hAnsi="Arial" w:cs="Arial"/>
          <w:i/>
          <w:iCs/>
        </w:rPr>
        <w:t>Internal Medicine Journal</w:t>
      </w:r>
      <w:r w:rsidRPr="004C066D">
        <w:rPr>
          <w:rFonts w:ascii="Arial" w:hAnsi="Arial" w:cs="Arial"/>
        </w:rPr>
        <w:t>, 50(1), pp. 24–29.</w:t>
      </w:r>
    </w:p>
    <w:p w14:paraId="6CA9EAE9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Herpertz-Dahlmann, B. and Schmidt, U. (2023) ‘How to deliver developmentally informed treatment for emerging adults with eating disorders’, </w:t>
      </w:r>
      <w:r w:rsidRPr="004C066D">
        <w:rPr>
          <w:rFonts w:ascii="Arial" w:hAnsi="Arial" w:cs="Arial"/>
          <w:i/>
          <w:iCs/>
        </w:rPr>
        <w:t>European Eating Disorders Review</w:t>
      </w:r>
      <w:r w:rsidRPr="004C066D">
        <w:rPr>
          <w:rFonts w:ascii="Arial" w:hAnsi="Arial" w:cs="Arial"/>
        </w:rPr>
        <w:t>, 31(1), pp. 3–8.</w:t>
      </w:r>
    </w:p>
    <w:p w14:paraId="4DA5E401" w14:textId="77777777" w:rsidR="004C066D" w:rsidRPr="004C066D" w:rsidRDefault="004C066D" w:rsidP="004C066D">
      <w:pPr>
        <w:rPr>
          <w:rFonts w:ascii="Arial" w:hAnsi="Arial" w:cs="Arial"/>
        </w:rPr>
      </w:pPr>
      <w:proofErr w:type="spellStart"/>
      <w:r w:rsidRPr="004C066D">
        <w:rPr>
          <w:rFonts w:ascii="Arial" w:hAnsi="Arial" w:cs="Arial"/>
        </w:rPr>
        <w:t>Izydorczyk</w:t>
      </w:r>
      <w:proofErr w:type="spellEnd"/>
      <w:r w:rsidRPr="004C066D">
        <w:rPr>
          <w:rFonts w:ascii="Arial" w:hAnsi="Arial" w:cs="Arial"/>
        </w:rPr>
        <w:t xml:space="preserve">, B. (2022) </w:t>
      </w:r>
      <w:r w:rsidRPr="004C066D">
        <w:rPr>
          <w:rFonts w:ascii="Arial" w:hAnsi="Arial" w:cs="Arial"/>
          <w:i/>
          <w:iCs/>
        </w:rPr>
        <w:t>Body image in eating disorders: Clinical diagnosis and integrative approach to psychological treatment.</w:t>
      </w:r>
      <w:r w:rsidRPr="004C066D">
        <w:rPr>
          <w:rFonts w:ascii="Arial" w:hAnsi="Arial" w:cs="Arial"/>
        </w:rPr>
        <w:t xml:space="preserve"> London: Routledge.</w:t>
      </w:r>
    </w:p>
    <w:p w14:paraId="7028E1D6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Malson, H. et al. (2011) ‘Un/imaginable future selves: A discourse analysis of in-patients’ talk about recovery from an eating disorder’, </w:t>
      </w:r>
      <w:r w:rsidRPr="004C066D">
        <w:rPr>
          <w:rFonts w:ascii="Arial" w:hAnsi="Arial" w:cs="Arial"/>
          <w:i/>
          <w:iCs/>
        </w:rPr>
        <w:t>European Eating Disorders Review</w:t>
      </w:r>
      <w:r w:rsidRPr="004C066D">
        <w:rPr>
          <w:rFonts w:ascii="Arial" w:hAnsi="Arial" w:cs="Arial"/>
        </w:rPr>
        <w:t>, 19(1), pp. 25–36.</w:t>
      </w:r>
    </w:p>
    <w:p w14:paraId="6B6CC906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National Institute for Health and Care Excellence (NICE) (2017) </w:t>
      </w:r>
      <w:proofErr w:type="gramStart"/>
      <w:r w:rsidRPr="004C066D">
        <w:rPr>
          <w:rFonts w:ascii="Arial" w:hAnsi="Arial" w:cs="Arial"/>
          <w:i/>
          <w:iCs/>
        </w:rPr>
        <w:t>Eating disorders</w:t>
      </w:r>
      <w:proofErr w:type="gramEnd"/>
      <w:r w:rsidRPr="004C066D">
        <w:rPr>
          <w:rFonts w:ascii="Arial" w:hAnsi="Arial" w:cs="Arial"/>
          <w:i/>
          <w:iCs/>
        </w:rPr>
        <w:t>: recognition and treatment (NG69).</w:t>
      </w:r>
      <w:r w:rsidRPr="004C066D">
        <w:rPr>
          <w:rFonts w:ascii="Arial" w:hAnsi="Arial" w:cs="Arial"/>
        </w:rPr>
        <w:t xml:space="preserve"> London: NICE.</w:t>
      </w:r>
    </w:p>
    <w:p w14:paraId="4768D5CD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Nawaz, A. (2022) </w:t>
      </w:r>
      <w:r w:rsidRPr="004C066D">
        <w:rPr>
          <w:rFonts w:ascii="Arial" w:hAnsi="Arial" w:cs="Arial"/>
          <w:i/>
          <w:iCs/>
        </w:rPr>
        <w:t>People of colour with eating disorders face cultural and medical stigmas.</w:t>
      </w:r>
      <w:r w:rsidRPr="004C066D">
        <w:rPr>
          <w:rFonts w:ascii="Arial" w:hAnsi="Arial" w:cs="Arial"/>
        </w:rPr>
        <w:t xml:space="preserve"> PBS NewsHour. Available at: [insert full URL] (Accessed: 3 March 2026).</w:t>
      </w:r>
    </w:p>
    <w:p w14:paraId="1BDF0599" w14:textId="77777777" w:rsidR="004C066D" w:rsidRPr="004C066D" w:rsidRDefault="004C066D" w:rsidP="004C066D">
      <w:pPr>
        <w:rPr>
          <w:rFonts w:ascii="Arial" w:hAnsi="Arial" w:cs="Arial"/>
        </w:rPr>
      </w:pPr>
      <w:proofErr w:type="spellStart"/>
      <w:r w:rsidRPr="004C066D">
        <w:rPr>
          <w:rFonts w:ascii="Arial" w:hAnsi="Arial" w:cs="Arial"/>
        </w:rPr>
        <w:t>Quadflieg</w:t>
      </w:r>
      <w:proofErr w:type="spellEnd"/>
      <w:r w:rsidRPr="004C066D">
        <w:rPr>
          <w:rFonts w:ascii="Arial" w:hAnsi="Arial" w:cs="Arial"/>
        </w:rPr>
        <w:t xml:space="preserve">, N. et al. (2023) ‘Comparing ICD-11 and DSM-5 eating disorder diagnoses’, </w:t>
      </w:r>
      <w:r w:rsidRPr="004C066D">
        <w:rPr>
          <w:rFonts w:ascii="Arial" w:hAnsi="Arial" w:cs="Arial"/>
          <w:i/>
          <w:iCs/>
        </w:rPr>
        <w:t>International Journal of Eating Disorders</w:t>
      </w:r>
      <w:r w:rsidRPr="004C066D">
        <w:rPr>
          <w:rFonts w:ascii="Arial" w:hAnsi="Arial" w:cs="Arial"/>
        </w:rPr>
        <w:t>, 56(9), pp. 1826–1831.</w:t>
      </w:r>
    </w:p>
    <w:p w14:paraId="55E6762E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Treasure, J., Duarte, T.A. and Schmidt, U. (2020) ‘Eating disorders’, </w:t>
      </w:r>
      <w:r w:rsidRPr="004C066D">
        <w:rPr>
          <w:rFonts w:ascii="Arial" w:hAnsi="Arial" w:cs="Arial"/>
          <w:i/>
          <w:iCs/>
        </w:rPr>
        <w:t>The Lancet</w:t>
      </w:r>
      <w:r w:rsidRPr="004C066D">
        <w:rPr>
          <w:rFonts w:ascii="Arial" w:hAnsi="Arial" w:cs="Arial"/>
        </w:rPr>
        <w:t>, 395(10227), pp. 899–911.</w:t>
      </w:r>
    </w:p>
    <w:p w14:paraId="05509403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lastRenderedPageBreak/>
        <w:t xml:space="preserve">van </w:t>
      </w:r>
      <w:proofErr w:type="spellStart"/>
      <w:r w:rsidRPr="004C066D">
        <w:rPr>
          <w:rFonts w:ascii="Arial" w:hAnsi="Arial" w:cs="Arial"/>
        </w:rPr>
        <w:t>Hoeken</w:t>
      </w:r>
      <w:proofErr w:type="spellEnd"/>
      <w:r w:rsidRPr="004C066D">
        <w:rPr>
          <w:rFonts w:ascii="Arial" w:hAnsi="Arial" w:cs="Arial"/>
        </w:rPr>
        <w:t xml:space="preserve">, D. and Hoek, H.W. (2020) ‘Review of the burden of eating disorders: Mortality, disability and costs’, </w:t>
      </w:r>
      <w:r w:rsidRPr="004C066D">
        <w:rPr>
          <w:rFonts w:ascii="Arial" w:hAnsi="Arial" w:cs="Arial"/>
          <w:i/>
          <w:iCs/>
        </w:rPr>
        <w:t>Current Opinion in Psychiatry</w:t>
      </w:r>
      <w:r w:rsidRPr="004C066D">
        <w:rPr>
          <w:rFonts w:ascii="Arial" w:hAnsi="Arial" w:cs="Arial"/>
        </w:rPr>
        <w:t>, 33(6), pp. 521–527.</w:t>
      </w:r>
    </w:p>
    <w:p w14:paraId="7F4AEDA2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Weissman, R.S. and Hay, P. (2022) ‘Lived experience of eating disorders during COVID-19’, </w:t>
      </w:r>
      <w:r w:rsidRPr="004C066D">
        <w:rPr>
          <w:rFonts w:ascii="Arial" w:hAnsi="Arial" w:cs="Arial"/>
          <w:i/>
          <w:iCs/>
        </w:rPr>
        <w:t>International Journal of Eating Disorders</w:t>
      </w:r>
      <w:r w:rsidRPr="004C066D">
        <w:rPr>
          <w:rFonts w:ascii="Arial" w:hAnsi="Arial" w:cs="Arial"/>
        </w:rPr>
        <w:t>, 55(2), pp. 155–160.</w:t>
      </w:r>
    </w:p>
    <w:p w14:paraId="788B690B" w14:textId="77777777" w:rsidR="004C066D" w:rsidRPr="004C066D" w:rsidRDefault="004C066D" w:rsidP="004C066D">
      <w:pPr>
        <w:rPr>
          <w:rFonts w:ascii="Arial" w:hAnsi="Arial" w:cs="Arial"/>
        </w:rPr>
      </w:pPr>
      <w:r w:rsidRPr="004C066D">
        <w:rPr>
          <w:rFonts w:ascii="Arial" w:hAnsi="Arial" w:cs="Arial"/>
        </w:rPr>
        <w:t xml:space="preserve">World Health Organization (WHO) (2019) </w:t>
      </w:r>
      <w:r w:rsidRPr="004C066D">
        <w:rPr>
          <w:rFonts w:ascii="Arial" w:hAnsi="Arial" w:cs="Arial"/>
          <w:i/>
          <w:iCs/>
        </w:rPr>
        <w:t xml:space="preserve">International classification of diseases for mortality and morbidity statistics (11th </w:t>
      </w:r>
      <w:proofErr w:type="spellStart"/>
      <w:r w:rsidRPr="004C066D">
        <w:rPr>
          <w:rFonts w:ascii="Arial" w:hAnsi="Arial" w:cs="Arial"/>
          <w:i/>
          <w:iCs/>
        </w:rPr>
        <w:t>edn</w:t>
      </w:r>
      <w:proofErr w:type="spellEnd"/>
      <w:r w:rsidRPr="004C066D">
        <w:rPr>
          <w:rFonts w:ascii="Arial" w:hAnsi="Arial" w:cs="Arial"/>
          <w:i/>
          <w:iCs/>
        </w:rPr>
        <w:t>.).</w:t>
      </w:r>
      <w:r w:rsidRPr="004C066D">
        <w:rPr>
          <w:rFonts w:ascii="Arial" w:hAnsi="Arial" w:cs="Arial"/>
        </w:rPr>
        <w:t xml:space="preserve"> Geneva: WHO.</w:t>
      </w:r>
    </w:p>
    <w:p w14:paraId="1187656D" w14:textId="45B659B1" w:rsidR="007B0FF0" w:rsidRPr="00162DB1" w:rsidRDefault="007B0FF0" w:rsidP="004C066D">
      <w:pPr>
        <w:rPr>
          <w:rFonts w:ascii="Arial" w:hAnsi="Arial" w:cs="Arial"/>
        </w:rPr>
      </w:pPr>
    </w:p>
    <w:sectPr w:rsidR="007B0FF0" w:rsidRPr="00162DB1" w:rsidSect="005B0066">
      <w:head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EAE5E" w14:textId="77777777" w:rsidR="00FC6619" w:rsidRDefault="00FC6619" w:rsidP="005B0066">
      <w:pPr>
        <w:spacing w:after="0" w:line="240" w:lineRule="auto"/>
      </w:pPr>
      <w:r>
        <w:separator/>
      </w:r>
    </w:p>
  </w:endnote>
  <w:endnote w:type="continuationSeparator" w:id="0">
    <w:p w14:paraId="62DC9419" w14:textId="77777777" w:rsidR="00FC6619" w:rsidRDefault="00FC6619" w:rsidP="005B0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80860" w14:textId="77777777" w:rsidR="00FC6619" w:rsidRDefault="00FC6619" w:rsidP="005B0066">
      <w:pPr>
        <w:spacing w:after="0" w:line="240" w:lineRule="auto"/>
      </w:pPr>
      <w:r>
        <w:separator/>
      </w:r>
    </w:p>
  </w:footnote>
  <w:footnote w:type="continuationSeparator" w:id="0">
    <w:p w14:paraId="2A000EBC" w14:textId="77777777" w:rsidR="00FC6619" w:rsidRDefault="00FC6619" w:rsidP="005B0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0A1EC" w14:textId="77777777" w:rsidR="005B0066" w:rsidRDefault="005B00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066"/>
    <w:rsid w:val="000E02CA"/>
    <w:rsid w:val="00162DB1"/>
    <w:rsid w:val="00303C97"/>
    <w:rsid w:val="0035182B"/>
    <w:rsid w:val="004317DC"/>
    <w:rsid w:val="004C066D"/>
    <w:rsid w:val="0055030B"/>
    <w:rsid w:val="005B0066"/>
    <w:rsid w:val="00744C41"/>
    <w:rsid w:val="007B0FF0"/>
    <w:rsid w:val="00843625"/>
    <w:rsid w:val="00B167B3"/>
    <w:rsid w:val="00D671A0"/>
    <w:rsid w:val="00EB58CB"/>
    <w:rsid w:val="00F01A11"/>
    <w:rsid w:val="00F2442D"/>
    <w:rsid w:val="00FC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398FD"/>
  <w15:chartTrackingRefBased/>
  <w15:docId w15:val="{7EE19ED1-E36B-4268-9D4F-21881C79F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2CA"/>
  </w:style>
  <w:style w:type="paragraph" w:styleId="Heading1">
    <w:name w:val="heading 1"/>
    <w:basedOn w:val="Normal"/>
    <w:next w:val="Normal"/>
    <w:link w:val="Heading1Char"/>
    <w:uiPriority w:val="9"/>
    <w:qFormat/>
    <w:rsid w:val="005B00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00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00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00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00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00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00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00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00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00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00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00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00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00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00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00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00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00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00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00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00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00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00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00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00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00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00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00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006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5B0066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B0066"/>
    <w:rPr>
      <w:rFonts w:eastAsiaTheme="minorEastAsia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B0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066"/>
  </w:style>
  <w:style w:type="paragraph" w:styleId="Footer">
    <w:name w:val="footer"/>
    <w:basedOn w:val="Normal"/>
    <w:link w:val="FooterChar"/>
    <w:uiPriority w:val="99"/>
    <w:unhideWhenUsed/>
    <w:rsid w:val="005B0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Baidar Begum</dc:creator>
  <cp:keywords/>
  <dc:description/>
  <cp:lastModifiedBy>Baidar Begum</cp:lastModifiedBy>
  <cp:revision>5</cp:revision>
  <dcterms:created xsi:type="dcterms:W3CDTF">2026-03-03T10:28:00Z</dcterms:created>
  <dcterms:modified xsi:type="dcterms:W3CDTF">2026-03-03T10:55:00Z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70bd1ec8-a866-4010-9194-aaa64b1c71d5</vt:lpwstr>
  </property>
</Properties>
</file>