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DB38E" w14:textId="1102203E" w:rsidR="00B304FD" w:rsidRDefault="00B304FD" w:rsidP="00BD3273">
      <w:pPr>
        <w:spacing w:line="360" w:lineRule="auto"/>
        <w:jc w:val="center"/>
        <w:rPr>
          <w:rFonts w:ascii="Times New Roman" w:hAnsi="Times New Roman" w:cs="Times New Roman"/>
          <w:b/>
          <w:bCs/>
          <w:sz w:val="48"/>
          <w:szCs w:val="48"/>
        </w:rPr>
      </w:pPr>
      <w:r>
        <w:rPr>
          <w:rFonts w:ascii="Times New Roman" w:hAnsi="Times New Roman" w:cs="Times New Roman"/>
          <w:b/>
          <w:bCs/>
          <w:sz w:val="48"/>
          <w:szCs w:val="48"/>
        </w:rPr>
        <w:t xml:space="preserve">Commentary on </w:t>
      </w:r>
      <w:r w:rsidRPr="00B304FD">
        <w:rPr>
          <w:rFonts w:ascii="Times New Roman" w:hAnsi="Times New Roman" w:cs="Times New Roman"/>
          <w:b/>
          <w:bCs/>
          <w:i/>
          <w:iCs/>
          <w:sz w:val="48"/>
          <w:szCs w:val="48"/>
        </w:rPr>
        <w:t>Carta Caritatis</w:t>
      </w:r>
      <w:r>
        <w:rPr>
          <w:rFonts w:ascii="Times New Roman" w:hAnsi="Times New Roman" w:cs="Times New Roman"/>
          <w:b/>
          <w:bCs/>
          <w:sz w:val="48"/>
          <w:szCs w:val="48"/>
        </w:rPr>
        <w:t xml:space="preserve"> Gobbet</w:t>
      </w:r>
    </w:p>
    <w:p w14:paraId="057BAFF9" w14:textId="3A9E0256" w:rsidR="00B304FD" w:rsidRDefault="00B00175" w:rsidP="00BD3273">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The Gobbet that is going to be analysed is the eleventh chapter of the </w:t>
      </w:r>
      <w:r w:rsidRPr="00B00175">
        <w:rPr>
          <w:rFonts w:ascii="Times New Roman" w:hAnsi="Times New Roman" w:cs="Times New Roman"/>
          <w:i/>
          <w:iCs/>
          <w:sz w:val="24"/>
          <w:szCs w:val="24"/>
        </w:rPr>
        <w:t xml:space="preserve">Carta </w:t>
      </w:r>
      <w:proofErr w:type="spellStart"/>
      <w:r w:rsidRPr="00B00175">
        <w:rPr>
          <w:rFonts w:ascii="Times New Roman" w:hAnsi="Times New Roman" w:cs="Times New Roman"/>
          <w:i/>
          <w:iCs/>
          <w:sz w:val="24"/>
          <w:szCs w:val="24"/>
        </w:rPr>
        <w:t>Caritatis</w:t>
      </w:r>
      <w:proofErr w:type="spellEnd"/>
      <w:r>
        <w:rPr>
          <w:rFonts w:ascii="Times New Roman" w:hAnsi="Times New Roman" w:cs="Times New Roman"/>
          <w:sz w:val="24"/>
          <w:szCs w:val="24"/>
        </w:rPr>
        <w:t xml:space="preserve">, or </w:t>
      </w:r>
      <w:r w:rsidRPr="00B00175">
        <w:rPr>
          <w:rFonts w:ascii="Times New Roman" w:hAnsi="Times New Roman" w:cs="Times New Roman"/>
          <w:i/>
          <w:iCs/>
          <w:sz w:val="24"/>
          <w:szCs w:val="24"/>
        </w:rPr>
        <w:t>Charter of Charity</w:t>
      </w:r>
      <w:r>
        <w:rPr>
          <w:rFonts w:ascii="Times New Roman" w:hAnsi="Times New Roman" w:cs="Times New Roman"/>
          <w:i/>
          <w:iCs/>
          <w:sz w:val="24"/>
          <w:szCs w:val="24"/>
        </w:rPr>
        <w:t>,</w:t>
      </w:r>
      <w:r>
        <w:rPr>
          <w:rFonts w:ascii="Times New Roman" w:hAnsi="Times New Roman" w:cs="Times New Roman"/>
          <w:sz w:val="24"/>
          <w:szCs w:val="24"/>
        </w:rPr>
        <w:t xml:space="preserve"> </w:t>
      </w:r>
      <w:r w:rsidR="00635D2F">
        <w:rPr>
          <w:rFonts w:ascii="Times New Roman" w:hAnsi="Times New Roman" w:cs="Times New Roman"/>
          <w:sz w:val="24"/>
          <w:szCs w:val="24"/>
        </w:rPr>
        <w:t>which discusses</w:t>
      </w:r>
      <w:r>
        <w:rPr>
          <w:rFonts w:ascii="Times New Roman" w:hAnsi="Times New Roman" w:cs="Times New Roman"/>
          <w:sz w:val="24"/>
          <w:szCs w:val="24"/>
        </w:rPr>
        <w:t xml:space="preserve"> what should happen if </w:t>
      </w:r>
      <w:r w:rsidR="00C367B7">
        <w:rPr>
          <w:rFonts w:ascii="Times New Roman" w:hAnsi="Times New Roman" w:cs="Times New Roman"/>
          <w:sz w:val="24"/>
          <w:szCs w:val="24"/>
        </w:rPr>
        <w:t>an</w:t>
      </w:r>
      <w:r>
        <w:rPr>
          <w:rFonts w:ascii="Times New Roman" w:hAnsi="Times New Roman" w:cs="Times New Roman"/>
          <w:sz w:val="24"/>
          <w:szCs w:val="24"/>
        </w:rPr>
        <w:t xml:space="preserve"> abbot of a new monastery die</w:t>
      </w:r>
      <w:r w:rsidR="00C367B7">
        <w:rPr>
          <w:rFonts w:ascii="Times New Roman" w:hAnsi="Times New Roman" w:cs="Times New Roman"/>
          <w:sz w:val="24"/>
          <w:szCs w:val="24"/>
        </w:rPr>
        <w:t>d</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
      </w:r>
      <w:r w:rsidR="00852DF7">
        <w:rPr>
          <w:rFonts w:ascii="Times New Roman" w:hAnsi="Times New Roman" w:cs="Times New Roman"/>
          <w:sz w:val="24"/>
          <w:szCs w:val="24"/>
        </w:rPr>
        <w:t xml:space="preserve"> The </w:t>
      </w:r>
      <w:r w:rsidR="00852DF7" w:rsidRPr="00852DF7">
        <w:rPr>
          <w:rFonts w:ascii="Times New Roman" w:hAnsi="Times New Roman" w:cs="Times New Roman"/>
          <w:i/>
          <w:iCs/>
          <w:sz w:val="24"/>
          <w:szCs w:val="24"/>
        </w:rPr>
        <w:t>Carta Caritat</w:t>
      </w:r>
      <w:r w:rsidR="00F3518D">
        <w:rPr>
          <w:rFonts w:ascii="Times New Roman" w:hAnsi="Times New Roman" w:cs="Times New Roman"/>
          <w:i/>
          <w:iCs/>
          <w:sz w:val="24"/>
          <w:szCs w:val="24"/>
        </w:rPr>
        <w:t>i</w:t>
      </w:r>
      <w:r w:rsidR="00852DF7" w:rsidRPr="00852DF7">
        <w:rPr>
          <w:rFonts w:ascii="Times New Roman" w:hAnsi="Times New Roman" w:cs="Times New Roman"/>
          <w:i/>
          <w:iCs/>
          <w:sz w:val="24"/>
          <w:szCs w:val="24"/>
        </w:rPr>
        <w:t>s</w:t>
      </w:r>
      <w:r w:rsidR="00852DF7">
        <w:rPr>
          <w:rFonts w:ascii="Times New Roman" w:hAnsi="Times New Roman" w:cs="Times New Roman"/>
          <w:sz w:val="24"/>
          <w:szCs w:val="24"/>
        </w:rPr>
        <w:t xml:space="preserve"> was a document </w:t>
      </w:r>
      <w:r w:rsidR="00C367B7">
        <w:rPr>
          <w:rFonts w:ascii="Times New Roman" w:hAnsi="Times New Roman" w:cs="Times New Roman"/>
          <w:sz w:val="24"/>
          <w:szCs w:val="24"/>
        </w:rPr>
        <w:t>that regulated</w:t>
      </w:r>
      <w:r w:rsidR="009C6E4F">
        <w:rPr>
          <w:rFonts w:ascii="Times New Roman" w:hAnsi="Times New Roman" w:cs="Times New Roman"/>
          <w:sz w:val="24"/>
          <w:szCs w:val="24"/>
        </w:rPr>
        <w:t xml:space="preserve"> the relations between the various Cistercian monasteries</w:t>
      </w:r>
      <w:r w:rsidR="00C367B7">
        <w:rPr>
          <w:rFonts w:ascii="Times New Roman" w:hAnsi="Times New Roman" w:cs="Times New Roman"/>
          <w:sz w:val="24"/>
          <w:szCs w:val="24"/>
        </w:rPr>
        <w:t>,</w:t>
      </w:r>
      <w:r w:rsidR="009C6E4F">
        <w:rPr>
          <w:rFonts w:ascii="Times New Roman" w:hAnsi="Times New Roman" w:cs="Times New Roman"/>
          <w:sz w:val="24"/>
          <w:szCs w:val="24"/>
        </w:rPr>
        <w:t xml:space="preserve"> as</w:t>
      </w:r>
      <w:r w:rsidR="00B71598">
        <w:rPr>
          <w:rFonts w:ascii="Times New Roman" w:hAnsi="Times New Roman" w:cs="Times New Roman"/>
          <w:sz w:val="24"/>
          <w:szCs w:val="24"/>
        </w:rPr>
        <w:t xml:space="preserve"> is stated in</w:t>
      </w:r>
      <w:r w:rsidR="009C6E4F">
        <w:rPr>
          <w:rFonts w:ascii="Times New Roman" w:hAnsi="Times New Roman" w:cs="Times New Roman"/>
          <w:sz w:val="24"/>
          <w:szCs w:val="24"/>
        </w:rPr>
        <w:t xml:space="preserve"> the </w:t>
      </w:r>
      <w:r w:rsidR="00F17A93">
        <w:rPr>
          <w:rFonts w:ascii="Times New Roman" w:hAnsi="Times New Roman" w:cs="Times New Roman"/>
          <w:sz w:val="24"/>
          <w:szCs w:val="24"/>
        </w:rPr>
        <w:t xml:space="preserve">Charter’s </w:t>
      </w:r>
      <w:r w:rsidR="009C6E4F">
        <w:rPr>
          <w:rFonts w:ascii="Times New Roman" w:hAnsi="Times New Roman" w:cs="Times New Roman"/>
          <w:sz w:val="24"/>
          <w:szCs w:val="24"/>
        </w:rPr>
        <w:t>prologue.</w:t>
      </w:r>
      <w:r w:rsidR="009C6E4F">
        <w:rPr>
          <w:rStyle w:val="FootnoteReference"/>
          <w:rFonts w:ascii="Times New Roman" w:hAnsi="Times New Roman" w:cs="Times New Roman"/>
          <w:sz w:val="24"/>
          <w:szCs w:val="24"/>
        </w:rPr>
        <w:footnoteReference w:id="2"/>
      </w:r>
      <w:r w:rsidR="00674847">
        <w:rPr>
          <w:rFonts w:ascii="Times New Roman" w:hAnsi="Times New Roman" w:cs="Times New Roman"/>
          <w:sz w:val="24"/>
          <w:szCs w:val="24"/>
        </w:rPr>
        <w:t xml:space="preserve"> This analysis is going to look at the debate around when</w:t>
      </w:r>
      <w:r w:rsidR="00C367B7">
        <w:rPr>
          <w:rFonts w:ascii="Times New Roman" w:hAnsi="Times New Roman" w:cs="Times New Roman"/>
          <w:sz w:val="24"/>
          <w:szCs w:val="24"/>
        </w:rPr>
        <w:t xml:space="preserve"> and who wrote it</w:t>
      </w:r>
      <w:r w:rsidR="00674847">
        <w:rPr>
          <w:rFonts w:ascii="Times New Roman" w:hAnsi="Times New Roman" w:cs="Times New Roman"/>
          <w:sz w:val="24"/>
          <w:szCs w:val="24"/>
        </w:rPr>
        <w:t>, and the</w:t>
      </w:r>
      <w:r w:rsidR="00F83DF8">
        <w:rPr>
          <w:rFonts w:ascii="Times New Roman" w:hAnsi="Times New Roman" w:cs="Times New Roman"/>
          <w:sz w:val="24"/>
          <w:szCs w:val="24"/>
        </w:rPr>
        <w:t>ir</w:t>
      </w:r>
      <w:r w:rsidR="00674847">
        <w:rPr>
          <w:rFonts w:ascii="Times New Roman" w:hAnsi="Times New Roman" w:cs="Times New Roman"/>
          <w:sz w:val="24"/>
          <w:szCs w:val="24"/>
        </w:rPr>
        <w:t xml:space="preserve"> purpose </w:t>
      </w:r>
      <w:r w:rsidR="00F83DF8">
        <w:rPr>
          <w:rFonts w:ascii="Times New Roman" w:hAnsi="Times New Roman" w:cs="Times New Roman"/>
          <w:sz w:val="24"/>
          <w:szCs w:val="24"/>
        </w:rPr>
        <w:t>for doing so</w:t>
      </w:r>
      <w:r w:rsidR="00674847">
        <w:rPr>
          <w:rFonts w:ascii="Times New Roman" w:hAnsi="Times New Roman" w:cs="Times New Roman"/>
          <w:sz w:val="24"/>
          <w:szCs w:val="24"/>
        </w:rPr>
        <w:t>.</w:t>
      </w:r>
    </w:p>
    <w:p w14:paraId="5E89E093" w14:textId="38FD9591" w:rsidR="00674847" w:rsidRDefault="00674847" w:rsidP="00BD3273">
      <w:pPr>
        <w:spacing w:line="360" w:lineRule="auto"/>
        <w:rPr>
          <w:rFonts w:ascii="Times New Roman" w:hAnsi="Times New Roman" w:cs="Times New Roman"/>
          <w:sz w:val="24"/>
          <w:szCs w:val="24"/>
        </w:rPr>
      </w:pPr>
      <w:r>
        <w:rPr>
          <w:rFonts w:ascii="Times New Roman" w:hAnsi="Times New Roman" w:cs="Times New Roman"/>
          <w:sz w:val="24"/>
          <w:szCs w:val="24"/>
        </w:rPr>
        <w:tab/>
        <w:t>The Gobbet describe</w:t>
      </w:r>
      <w:r w:rsidR="00461803">
        <w:rPr>
          <w:rFonts w:ascii="Times New Roman" w:hAnsi="Times New Roman" w:cs="Times New Roman"/>
          <w:sz w:val="24"/>
          <w:szCs w:val="24"/>
        </w:rPr>
        <w:t>s</w:t>
      </w:r>
      <w:r>
        <w:rPr>
          <w:rFonts w:ascii="Times New Roman" w:hAnsi="Times New Roman" w:cs="Times New Roman"/>
          <w:sz w:val="24"/>
          <w:szCs w:val="24"/>
        </w:rPr>
        <w:t xml:space="preserve"> what should happen at a new monastery if the abbot</w:t>
      </w:r>
      <w:r w:rsidR="00F17A93">
        <w:rPr>
          <w:rFonts w:ascii="Times New Roman" w:hAnsi="Times New Roman" w:cs="Times New Roman"/>
          <w:sz w:val="24"/>
          <w:szCs w:val="24"/>
        </w:rPr>
        <w:t xml:space="preserve"> there</w:t>
      </w:r>
      <w:r>
        <w:rPr>
          <w:rFonts w:ascii="Times New Roman" w:hAnsi="Times New Roman" w:cs="Times New Roman"/>
          <w:sz w:val="24"/>
          <w:szCs w:val="24"/>
        </w:rPr>
        <w:t xml:space="preserve"> dies. </w:t>
      </w:r>
      <w:r w:rsidR="0092314D">
        <w:rPr>
          <w:rFonts w:ascii="Times New Roman" w:hAnsi="Times New Roman" w:cs="Times New Roman"/>
          <w:sz w:val="24"/>
          <w:szCs w:val="24"/>
        </w:rPr>
        <w:t>Firstly,</w:t>
      </w:r>
      <w:r>
        <w:rPr>
          <w:rFonts w:ascii="Times New Roman" w:hAnsi="Times New Roman" w:cs="Times New Roman"/>
          <w:sz w:val="24"/>
          <w:szCs w:val="24"/>
        </w:rPr>
        <w:t xml:space="preserve"> it says that a messenger should be sent out to </w:t>
      </w:r>
      <w:r w:rsidR="00461803">
        <w:rPr>
          <w:rFonts w:ascii="Times New Roman" w:hAnsi="Times New Roman" w:cs="Times New Roman"/>
          <w:sz w:val="24"/>
          <w:szCs w:val="24"/>
        </w:rPr>
        <w:t>gather</w:t>
      </w:r>
      <w:r>
        <w:rPr>
          <w:rFonts w:ascii="Times New Roman" w:hAnsi="Times New Roman" w:cs="Times New Roman"/>
          <w:sz w:val="24"/>
          <w:szCs w:val="24"/>
        </w:rPr>
        <w:t xml:space="preserve"> as many abbots from other monasteries as can </w:t>
      </w:r>
      <w:r w:rsidR="00F17A93">
        <w:rPr>
          <w:rFonts w:ascii="Times New Roman" w:hAnsi="Times New Roman" w:cs="Times New Roman"/>
          <w:sz w:val="24"/>
          <w:szCs w:val="24"/>
        </w:rPr>
        <w:t>arrive</w:t>
      </w:r>
      <w:r>
        <w:rPr>
          <w:rFonts w:ascii="Times New Roman" w:hAnsi="Times New Roman" w:cs="Times New Roman"/>
          <w:sz w:val="24"/>
          <w:szCs w:val="24"/>
        </w:rPr>
        <w:t xml:space="preserve"> within two weeks</w:t>
      </w:r>
      <w:r w:rsidR="008E4C7B">
        <w:rPr>
          <w:rFonts w:ascii="Times New Roman" w:hAnsi="Times New Roman" w:cs="Times New Roman"/>
          <w:sz w:val="24"/>
          <w:szCs w:val="24"/>
        </w:rPr>
        <w:t>,</w:t>
      </w:r>
      <w:r>
        <w:rPr>
          <w:rFonts w:ascii="Times New Roman" w:hAnsi="Times New Roman" w:cs="Times New Roman"/>
          <w:sz w:val="24"/>
          <w:szCs w:val="24"/>
        </w:rPr>
        <w:t xml:space="preserve"> to select a new abbot. In the </w:t>
      </w:r>
      <w:r w:rsidR="0092314D">
        <w:rPr>
          <w:rFonts w:ascii="Times New Roman" w:hAnsi="Times New Roman" w:cs="Times New Roman"/>
          <w:sz w:val="24"/>
          <w:szCs w:val="24"/>
        </w:rPr>
        <w:t>meantime,</w:t>
      </w:r>
      <w:r>
        <w:rPr>
          <w:rFonts w:ascii="Times New Roman" w:hAnsi="Times New Roman" w:cs="Times New Roman"/>
          <w:sz w:val="24"/>
          <w:szCs w:val="24"/>
        </w:rPr>
        <w:t xml:space="preserve"> </w:t>
      </w:r>
      <w:r w:rsidR="00F83DF8">
        <w:rPr>
          <w:rFonts w:ascii="Times New Roman" w:hAnsi="Times New Roman" w:cs="Times New Roman"/>
          <w:sz w:val="24"/>
          <w:szCs w:val="24"/>
        </w:rPr>
        <w:t>the</w:t>
      </w:r>
      <w:r>
        <w:rPr>
          <w:rFonts w:ascii="Times New Roman" w:hAnsi="Times New Roman" w:cs="Times New Roman"/>
          <w:sz w:val="24"/>
          <w:szCs w:val="24"/>
        </w:rPr>
        <w:t xml:space="preserve"> abbot </w:t>
      </w:r>
      <w:r w:rsidR="00F83DF8">
        <w:rPr>
          <w:rFonts w:ascii="Times New Roman" w:hAnsi="Times New Roman" w:cs="Times New Roman"/>
          <w:sz w:val="24"/>
          <w:szCs w:val="24"/>
        </w:rPr>
        <w:t>of</w:t>
      </w:r>
      <w:r>
        <w:rPr>
          <w:rFonts w:ascii="Times New Roman" w:hAnsi="Times New Roman" w:cs="Times New Roman"/>
          <w:sz w:val="24"/>
          <w:szCs w:val="24"/>
        </w:rPr>
        <w:t xml:space="preserve"> La Ferte Monastery should take over</w:t>
      </w:r>
      <w:r w:rsidR="00D35885">
        <w:rPr>
          <w:rFonts w:ascii="Times New Roman" w:hAnsi="Times New Roman" w:cs="Times New Roman"/>
          <w:sz w:val="24"/>
          <w:szCs w:val="24"/>
        </w:rPr>
        <w:t xml:space="preserve"> as interim leader</w:t>
      </w:r>
      <w:r>
        <w:rPr>
          <w:rFonts w:ascii="Times New Roman" w:hAnsi="Times New Roman" w:cs="Times New Roman"/>
          <w:sz w:val="24"/>
          <w:szCs w:val="24"/>
        </w:rPr>
        <w:t xml:space="preserve"> until the new abbot can be elected.</w:t>
      </w:r>
      <w:r w:rsidR="00D35885">
        <w:rPr>
          <w:rFonts w:ascii="Times New Roman" w:hAnsi="Times New Roman" w:cs="Times New Roman"/>
          <w:sz w:val="24"/>
          <w:szCs w:val="24"/>
        </w:rPr>
        <w:t xml:space="preserve"> It then goes on to say that any new monastery that loses its abbot, for whatever reason, should meet at the monastery that was responsible for its creation and in council with that abbot elect a new one for their monastery.</w:t>
      </w:r>
      <w:r w:rsidR="00D35885">
        <w:rPr>
          <w:rStyle w:val="FootnoteReference"/>
          <w:rFonts w:ascii="Times New Roman" w:hAnsi="Times New Roman" w:cs="Times New Roman"/>
          <w:sz w:val="24"/>
          <w:szCs w:val="24"/>
        </w:rPr>
        <w:footnoteReference w:id="3"/>
      </w:r>
      <w:r w:rsidR="0092314D">
        <w:rPr>
          <w:rFonts w:ascii="Times New Roman" w:hAnsi="Times New Roman" w:cs="Times New Roman"/>
          <w:sz w:val="24"/>
          <w:szCs w:val="24"/>
        </w:rPr>
        <w:t xml:space="preserve"> The chapter concludes by saying that the abbot can only </w:t>
      </w:r>
      <w:r w:rsidR="008E4C7B">
        <w:rPr>
          <w:rFonts w:ascii="Times New Roman" w:hAnsi="Times New Roman" w:cs="Times New Roman"/>
          <w:sz w:val="24"/>
          <w:szCs w:val="24"/>
        </w:rPr>
        <w:t xml:space="preserve">be </w:t>
      </w:r>
      <w:r w:rsidR="0092314D">
        <w:rPr>
          <w:rFonts w:ascii="Times New Roman" w:hAnsi="Times New Roman" w:cs="Times New Roman"/>
          <w:sz w:val="24"/>
          <w:szCs w:val="24"/>
        </w:rPr>
        <w:t>chosen from members of the Cistercian Order.</w:t>
      </w:r>
      <w:r w:rsidR="0092314D">
        <w:rPr>
          <w:rStyle w:val="FootnoteReference"/>
          <w:rFonts w:ascii="Times New Roman" w:hAnsi="Times New Roman" w:cs="Times New Roman"/>
          <w:sz w:val="24"/>
          <w:szCs w:val="24"/>
        </w:rPr>
        <w:footnoteReference w:id="4"/>
      </w:r>
    </w:p>
    <w:p w14:paraId="3A82EE32" w14:textId="681D149C" w:rsidR="0051339E" w:rsidRDefault="00F3518D" w:rsidP="00BD3273">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While most scholars agree that the original </w:t>
      </w:r>
      <w:r w:rsidRPr="00F3518D">
        <w:rPr>
          <w:rFonts w:ascii="Times New Roman" w:hAnsi="Times New Roman" w:cs="Times New Roman"/>
          <w:i/>
          <w:iCs/>
          <w:sz w:val="24"/>
          <w:szCs w:val="24"/>
        </w:rPr>
        <w:t>Cartas Caritatis</w:t>
      </w:r>
      <w:r>
        <w:rPr>
          <w:rFonts w:ascii="Times New Roman" w:hAnsi="Times New Roman" w:cs="Times New Roman"/>
          <w:sz w:val="24"/>
          <w:szCs w:val="24"/>
        </w:rPr>
        <w:t xml:space="preserve"> was written in 1119 and confirmed by Pope Calixtus II,</w:t>
      </w:r>
      <w:r>
        <w:rPr>
          <w:rStyle w:val="FootnoteReference"/>
          <w:rFonts w:ascii="Times New Roman" w:hAnsi="Times New Roman" w:cs="Times New Roman"/>
          <w:sz w:val="24"/>
          <w:szCs w:val="24"/>
        </w:rPr>
        <w:footnoteReference w:id="5"/>
      </w:r>
      <w:r w:rsidR="00371B96">
        <w:rPr>
          <w:rFonts w:ascii="Times New Roman" w:hAnsi="Times New Roman" w:cs="Times New Roman"/>
          <w:sz w:val="24"/>
          <w:szCs w:val="24"/>
        </w:rPr>
        <w:t xml:space="preserve"> there is scholarly debate around the actual dates. Berman, </w:t>
      </w:r>
      <w:r w:rsidR="00F7781F">
        <w:rPr>
          <w:rFonts w:ascii="Times New Roman" w:hAnsi="Times New Roman" w:cs="Times New Roman"/>
          <w:sz w:val="24"/>
          <w:szCs w:val="24"/>
        </w:rPr>
        <w:t xml:space="preserve">argues that the </w:t>
      </w:r>
      <w:r w:rsidR="00371B96" w:rsidRPr="00371B96">
        <w:rPr>
          <w:rFonts w:ascii="Times New Roman" w:hAnsi="Times New Roman" w:cs="Times New Roman"/>
          <w:i/>
          <w:iCs/>
          <w:sz w:val="24"/>
          <w:szCs w:val="24"/>
        </w:rPr>
        <w:t>Carta Caritatis</w:t>
      </w:r>
      <w:r w:rsidR="00371B96">
        <w:rPr>
          <w:rFonts w:ascii="Times New Roman" w:hAnsi="Times New Roman" w:cs="Times New Roman"/>
          <w:sz w:val="24"/>
          <w:szCs w:val="24"/>
        </w:rPr>
        <w:t xml:space="preserve">, </w:t>
      </w:r>
      <w:r w:rsidR="00F7781F">
        <w:rPr>
          <w:rFonts w:ascii="Times New Roman" w:hAnsi="Times New Roman" w:cs="Times New Roman"/>
          <w:sz w:val="24"/>
          <w:szCs w:val="24"/>
        </w:rPr>
        <w:t>and certainly its Papal recognition only happened in 1165.</w:t>
      </w:r>
      <w:r w:rsidR="00F7781F">
        <w:rPr>
          <w:rStyle w:val="FootnoteReference"/>
          <w:rFonts w:ascii="Times New Roman" w:hAnsi="Times New Roman" w:cs="Times New Roman"/>
          <w:sz w:val="24"/>
          <w:szCs w:val="24"/>
        </w:rPr>
        <w:footnoteReference w:id="6"/>
      </w:r>
      <w:r w:rsidR="002128F1">
        <w:rPr>
          <w:rFonts w:ascii="Times New Roman" w:hAnsi="Times New Roman" w:cs="Times New Roman"/>
          <w:sz w:val="24"/>
          <w:szCs w:val="24"/>
        </w:rPr>
        <w:t xml:space="preserve"> Berman uses the fact that there is no evidence of Papal correspondence with the Cistercian</w:t>
      </w:r>
      <w:r w:rsidR="00F83DF8">
        <w:rPr>
          <w:rFonts w:ascii="Times New Roman" w:hAnsi="Times New Roman" w:cs="Times New Roman"/>
          <w:sz w:val="24"/>
          <w:szCs w:val="24"/>
        </w:rPr>
        <w:t xml:space="preserve">s </w:t>
      </w:r>
      <w:r w:rsidR="002128F1">
        <w:rPr>
          <w:rFonts w:ascii="Times New Roman" w:hAnsi="Times New Roman" w:cs="Times New Roman"/>
          <w:sz w:val="24"/>
          <w:szCs w:val="24"/>
        </w:rPr>
        <w:t xml:space="preserve">until the 1140’s as </w:t>
      </w:r>
      <w:r w:rsidR="00313A95">
        <w:rPr>
          <w:rFonts w:ascii="Times New Roman" w:hAnsi="Times New Roman" w:cs="Times New Roman"/>
          <w:sz w:val="24"/>
          <w:szCs w:val="24"/>
        </w:rPr>
        <w:t>evidence</w:t>
      </w:r>
      <w:r w:rsidR="002128F1">
        <w:rPr>
          <w:rFonts w:ascii="Times New Roman" w:hAnsi="Times New Roman" w:cs="Times New Roman"/>
          <w:sz w:val="24"/>
          <w:szCs w:val="24"/>
        </w:rPr>
        <w:t>.</w:t>
      </w:r>
      <w:r w:rsidR="002128F1">
        <w:rPr>
          <w:rStyle w:val="FootnoteReference"/>
          <w:rFonts w:ascii="Times New Roman" w:hAnsi="Times New Roman" w:cs="Times New Roman"/>
          <w:sz w:val="24"/>
          <w:szCs w:val="24"/>
        </w:rPr>
        <w:footnoteReference w:id="7"/>
      </w:r>
      <w:r w:rsidR="002128F1">
        <w:rPr>
          <w:rFonts w:ascii="Times New Roman" w:hAnsi="Times New Roman" w:cs="Times New Roman"/>
          <w:sz w:val="24"/>
          <w:szCs w:val="24"/>
        </w:rPr>
        <w:t xml:space="preserve"> In addition, she argues that it </w:t>
      </w:r>
      <w:r w:rsidR="00F83DF8">
        <w:rPr>
          <w:rFonts w:ascii="Times New Roman" w:hAnsi="Times New Roman" w:cs="Times New Roman"/>
          <w:sz w:val="24"/>
          <w:szCs w:val="24"/>
        </w:rPr>
        <w:t>was</w:t>
      </w:r>
      <w:r w:rsidR="002128F1">
        <w:rPr>
          <w:rFonts w:ascii="Times New Roman" w:hAnsi="Times New Roman" w:cs="Times New Roman"/>
          <w:sz w:val="24"/>
          <w:szCs w:val="24"/>
        </w:rPr>
        <w:t xml:space="preserve"> the result of</w:t>
      </w:r>
      <w:r w:rsidR="00F83DF8">
        <w:rPr>
          <w:rFonts w:ascii="Times New Roman" w:hAnsi="Times New Roman" w:cs="Times New Roman"/>
          <w:sz w:val="24"/>
          <w:szCs w:val="24"/>
        </w:rPr>
        <w:t xml:space="preserve"> the </w:t>
      </w:r>
      <w:r w:rsidR="002128F1">
        <w:rPr>
          <w:rFonts w:ascii="Times New Roman" w:hAnsi="Times New Roman" w:cs="Times New Roman"/>
          <w:sz w:val="24"/>
          <w:szCs w:val="24"/>
        </w:rPr>
        <w:t xml:space="preserve"> General Chapter meeting in </w:t>
      </w:r>
      <w:r w:rsidR="00F83DF8">
        <w:rPr>
          <w:rFonts w:ascii="Times New Roman" w:hAnsi="Times New Roman" w:cs="Times New Roman"/>
          <w:sz w:val="24"/>
          <w:szCs w:val="24"/>
        </w:rPr>
        <w:t xml:space="preserve">1165 </w:t>
      </w:r>
      <w:r w:rsidR="002128F1">
        <w:rPr>
          <w:rFonts w:ascii="Times New Roman" w:hAnsi="Times New Roman" w:cs="Times New Roman"/>
          <w:sz w:val="24"/>
          <w:szCs w:val="24"/>
        </w:rPr>
        <w:t>when the order was large enough to need the relation</w:t>
      </w:r>
      <w:r w:rsidR="00983CEE">
        <w:rPr>
          <w:rFonts w:ascii="Times New Roman" w:hAnsi="Times New Roman" w:cs="Times New Roman"/>
          <w:sz w:val="24"/>
          <w:szCs w:val="24"/>
        </w:rPr>
        <w:t>s</w:t>
      </w:r>
      <w:r w:rsidR="002128F1">
        <w:rPr>
          <w:rFonts w:ascii="Times New Roman" w:hAnsi="Times New Roman" w:cs="Times New Roman"/>
          <w:sz w:val="24"/>
          <w:szCs w:val="24"/>
        </w:rPr>
        <w:t xml:space="preserve"> between </w:t>
      </w:r>
      <w:r w:rsidR="002128F1">
        <w:rPr>
          <w:rFonts w:ascii="Times New Roman" w:hAnsi="Times New Roman" w:cs="Times New Roman"/>
          <w:sz w:val="24"/>
          <w:szCs w:val="24"/>
        </w:rPr>
        <w:lastRenderedPageBreak/>
        <w:t>monasteries</w:t>
      </w:r>
      <w:r w:rsidR="00983CEE">
        <w:rPr>
          <w:rFonts w:ascii="Times New Roman" w:hAnsi="Times New Roman" w:cs="Times New Roman"/>
          <w:sz w:val="24"/>
          <w:szCs w:val="24"/>
        </w:rPr>
        <w:t xml:space="preserve"> to be</w:t>
      </w:r>
      <w:r w:rsidR="002128F1">
        <w:rPr>
          <w:rFonts w:ascii="Times New Roman" w:hAnsi="Times New Roman" w:cs="Times New Roman"/>
          <w:sz w:val="24"/>
          <w:szCs w:val="24"/>
        </w:rPr>
        <w:t xml:space="preserve"> regulated.</w:t>
      </w:r>
      <w:r w:rsidR="002128F1">
        <w:rPr>
          <w:rStyle w:val="FootnoteReference"/>
          <w:rFonts w:ascii="Times New Roman" w:hAnsi="Times New Roman" w:cs="Times New Roman"/>
          <w:sz w:val="24"/>
          <w:szCs w:val="24"/>
        </w:rPr>
        <w:footnoteReference w:id="8"/>
      </w:r>
      <w:r w:rsidR="00726BAF">
        <w:rPr>
          <w:rFonts w:ascii="Times New Roman" w:hAnsi="Times New Roman" w:cs="Times New Roman"/>
          <w:sz w:val="24"/>
          <w:szCs w:val="24"/>
        </w:rPr>
        <w:t xml:space="preserve"> While plausible, there is another argument that</w:t>
      </w:r>
      <w:r w:rsidR="00837DCF">
        <w:rPr>
          <w:rFonts w:ascii="Times New Roman" w:hAnsi="Times New Roman" w:cs="Times New Roman"/>
          <w:sz w:val="24"/>
          <w:szCs w:val="24"/>
        </w:rPr>
        <w:t xml:space="preserve"> the copy we have was written in 113</w:t>
      </w:r>
      <w:r w:rsidR="00054597">
        <w:rPr>
          <w:rFonts w:ascii="Times New Roman" w:hAnsi="Times New Roman" w:cs="Times New Roman"/>
          <w:sz w:val="24"/>
          <w:szCs w:val="24"/>
        </w:rPr>
        <w:t>4</w:t>
      </w:r>
      <w:r w:rsidR="00726BAF">
        <w:rPr>
          <w:rFonts w:ascii="Times New Roman" w:hAnsi="Times New Roman" w:cs="Times New Roman"/>
          <w:sz w:val="24"/>
          <w:szCs w:val="24"/>
        </w:rPr>
        <w:t>,</w:t>
      </w:r>
      <w:r w:rsidR="00837DCF">
        <w:rPr>
          <w:rFonts w:ascii="Times New Roman" w:hAnsi="Times New Roman" w:cs="Times New Roman"/>
          <w:sz w:val="24"/>
          <w:szCs w:val="24"/>
        </w:rPr>
        <w:t xml:space="preserve"> but that</w:t>
      </w:r>
      <w:r w:rsidR="00726BAF">
        <w:rPr>
          <w:rFonts w:ascii="Times New Roman" w:hAnsi="Times New Roman" w:cs="Times New Roman"/>
          <w:sz w:val="24"/>
          <w:szCs w:val="24"/>
        </w:rPr>
        <w:t xml:space="preserve"> it was </w:t>
      </w:r>
      <w:r w:rsidR="00837DCF">
        <w:rPr>
          <w:rFonts w:ascii="Times New Roman" w:hAnsi="Times New Roman" w:cs="Times New Roman"/>
          <w:sz w:val="24"/>
          <w:szCs w:val="24"/>
        </w:rPr>
        <w:t>likely</w:t>
      </w:r>
      <w:r w:rsidR="00726BAF">
        <w:rPr>
          <w:rFonts w:ascii="Times New Roman" w:hAnsi="Times New Roman" w:cs="Times New Roman"/>
          <w:sz w:val="24"/>
          <w:szCs w:val="24"/>
        </w:rPr>
        <w:t xml:space="preserve"> based on an older one, probably from 1119.</w:t>
      </w:r>
      <w:r w:rsidR="00837DCF">
        <w:rPr>
          <w:rStyle w:val="FootnoteReference"/>
          <w:rFonts w:ascii="Times New Roman" w:hAnsi="Times New Roman" w:cs="Times New Roman"/>
          <w:sz w:val="24"/>
          <w:szCs w:val="24"/>
        </w:rPr>
        <w:footnoteReference w:id="9"/>
      </w:r>
      <w:r w:rsidR="003F1F85">
        <w:rPr>
          <w:rFonts w:ascii="Times New Roman" w:hAnsi="Times New Roman" w:cs="Times New Roman"/>
          <w:sz w:val="24"/>
          <w:szCs w:val="24"/>
        </w:rPr>
        <w:t xml:space="preserve"> The argument over the date </w:t>
      </w:r>
      <w:r w:rsidR="00F83DF8">
        <w:rPr>
          <w:rFonts w:ascii="Times New Roman" w:hAnsi="Times New Roman" w:cs="Times New Roman"/>
          <w:sz w:val="24"/>
          <w:szCs w:val="24"/>
        </w:rPr>
        <w:t>has led to debate over who the author was</w:t>
      </w:r>
      <w:r w:rsidR="003F1F85">
        <w:rPr>
          <w:rFonts w:ascii="Times New Roman" w:hAnsi="Times New Roman" w:cs="Times New Roman"/>
          <w:sz w:val="24"/>
          <w:szCs w:val="24"/>
        </w:rPr>
        <w:t xml:space="preserve">. The ones that believe the 1119 date suggest that it was written by the third </w:t>
      </w:r>
      <w:r w:rsidR="004E609A">
        <w:rPr>
          <w:rFonts w:ascii="Times New Roman" w:hAnsi="Times New Roman" w:cs="Times New Roman"/>
          <w:sz w:val="24"/>
          <w:szCs w:val="24"/>
        </w:rPr>
        <w:t>Cistercian chief</w:t>
      </w:r>
      <w:r w:rsidR="003F1F85">
        <w:rPr>
          <w:rFonts w:ascii="Times New Roman" w:hAnsi="Times New Roman" w:cs="Times New Roman"/>
          <w:sz w:val="24"/>
          <w:szCs w:val="24"/>
        </w:rPr>
        <w:t xml:space="preserve"> abbot, Stephen Harding.</w:t>
      </w:r>
      <w:r w:rsidR="003F1F85">
        <w:rPr>
          <w:rStyle w:val="FootnoteReference"/>
          <w:rFonts w:ascii="Times New Roman" w:hAnsi="Times New Roman" w:cs="Times New Roman"/>
          <w:sz w:val="24"/>
          <w:szCs w:val="24"/>
        </w:rPr>
        <w:footnoteReference w:id="10"/>
      </w:r>
      <w:r w:rsidR="00EC0EDE">
        <w:rPr>
          <w:rFonts w:ascii="Times New Roman" w:hAnsi="Times New Roman" w:cs="Times New Roman"/>
          <w:sz w:val="24"/>
          <w:szCs w:val="24"/>
        </w:rPr>
        <w:t xml:space="preserve"> Although, the prologue of the </w:t>
      </w:r>
      <w:r w:rsidR="00EC0EDE" w:rsidRPr="00EC0EDE">
        <w:rPr>
          <w:rFonts w:ascii="Times New Roman" w:hAnsi="Times New Roman" w:cs="Times New Roman"/>
          <w:i/>
          <w:iCs/>
          <w:sz w:val="24"/>
          <w:szCs w:val="24"/>
        </w:rPr>
        <w:t>Carta Caritatis</w:t>
      </w:r>
      <w:r w:rsidR="00EC0EDE">
        <w:rPr>
          <w:rFonts w:ascii="Times New Roman" w:hAnsi="Times New Roman" w:cs="Times New Roman"/>
          <w:i/>
          <w:iCs/>
          <w:sz w:val="24"/>
          <w:szCs w:val="24"/>
        </w:rPr>
        <w:t xml:space="preserve"> </w:t>
      </w:r>
      <w:r w:rsidR="00EC0EDE">
        <w:rPr>
          <w:rFonts w:ascii="Times New Roman" w:hAnsi="Times New Roman" w:cs="Times New Roman"/>
          <w:sz w:val="24"/>
          <w:szCs w:val="24"/>
        </w:rPr>
        <w:t>says that ‘in order to avoid any cause of conflict between bishop and monks’ ‘Dom Harding and his brethren ordained’ the charter.</w:t>
      </w:r>
      <w:r w:rsidR="00EC0EDE">
        <w:rPr>
          <w:rStyle w:val="FootnoteReference"/>
          <w:rFonts w:ascii="Times New Roman" w:hAnsi="Times New Roman" w:cs="Times New Roman"/>
          <w:sz w:val="24"/>
          <w:szCs w:val="24"/>
        </w:rPr>
        <w:footnoteReference w:id="11"/>
      </w:r>
      <w:r w:rsidR="006F3EC0">
        <w:rPr>
          <w:rFonts w:ascii="Times New Roman" w:hAnsi="Times New Roman" w:cs="Times New Roman"/>
          <w:sz w:val="24"/>
          <w:szCs w:val="24"/>
        </w:rPr>
        <w:t xml:space="preserve"> This implies that</w:t>
      </w:r>
      <w:r w:rsidR="009220AE">
        <w:rPr>
          <w:rFonts w:ascii="Times New Roman" w:hAnsi="Times New Roman" w:cs="Times New Roman"/>
          <w:sz w:val="24"/>
          <w:szCs w:val="24"/>
        </w:rPr>
        <w:t xml:space="preserve"> while</w:t>
      </w:r>
      <w:r w:rsidR="006F3EC0">
        <w:rPr>
          <w:rFonts w:ascii="Times New Roman" w:hAnsi="Times New Roman" w:cs="Times New Roman"/>
          <w:sz w:val="24"/>
          <w:szCs w:val="24"/>
        </w:rPr>
        <w:t xml:space="preserve"> Harding ordered </w:t>
      </w:r>
      <w:r w:rsidR="009220AE">
        <w:rPr>
          <w:rFonts w:ascii="Times New Roman" w:hAnsi="Times New Roman" w:cs="Times New Roman"/>
          <w:sz w:val="24"/>
          <w:szCs w:val="24"/>
        </w:rPr>
        <w:t xml:space="preserve">the </w:t>
      </w:r>
      <w:r w:rsidR="009220AE" w:rsidRPr="009220AE">
        <w:rPr>
          <w:rFonts w:ascii="Times New Roman" w:hAnsi="Times New Roman" w:cs="Times New Roman"/>
          <w:i/>
          <w:iCs/>
          <w:sz w:val="24"/>
          <w:szCs w:val="24"/>
        </w:rPr>
        <w:t xml:space="preserve">Carta </w:t>
      </w:r>
      <w:proofErr w:type="spellStart"/>
      <w:r w:rsidR="009220AE" w:rsidRPr="009220AE">
        <w:rPr>
          <w:rFonts w:ascii="Times New Roman" w:hAnsi="Times New Roman" w:cs="Times New Roman"/>
          <w:i/>
          <w:iCs/>
          <w:sz w:val="24"/>
          <w:szCs w:val="24"/>
        </w:rPr>
        <w:t>Caritatis</w:t>
      </w:r>
      <w:proofErr w:type="spellEnd"/>
      <w:r w:rsidR="006F3EC0">
        <w:rPr>
          <w:rFonts w:ascii="Times New Roman" w:hAnsi="Times New Roman" w:cs="Times New Roman"/>
          <w:sz w:val="24"/>
          <w:szCs w:val="24"/>
        </w:rPr>
        <w:t xml:space="preserve"> to be written</w:t>
      </w:r>
      <w:r w:rsidR="00642A3E">
        <w:rPr>
          <w:rFonts w:ascii="Times New Roman" w:hAnsi="Times New Roman" w:cs="Times New Roman"/>
          <w:sz w:val="24"/>
          <w:szCs w:val="24"/>
        </w:rPr>
        <w:t>,</w:t>
      </w:r>
      <w:r w:rsidR="00322CB0">
        <w:rPr>
          <w:rFonts w:ascii="Times New Roman" w:hAnsi="Times New Roman" w:cs="Times New Roman"/>
          <w:sz w:val="24"/>
          <w:szCs w:val="24"/>
        </w:rPr>
        <w:t xml:space="preserve"> he</w:t>
      </w:r>
      <w:r w:rsidR="006F3EC0">
        <w:rPr>
          <w:rFonts w:ascii="Times New Roman" w:hAnsi="Times New Roman" w:cs="Times New Roman"/>
          <w:sz w:val="24"/>
          <w:szCs w:val="24"/>
        </w:rPr>
        <w:t xml:space="preserve"> did not necessarily write it.</w:t>
      </w:r>
      <w:r w:rsidR="009220AE">
        <w:rPr>
          <w:rFonts w:ascii="Times New Roman" w:hAnsi="Times New Roman" w:cs="Times New Roman"/>
          <w:sz w:val="24"/>
          <w:szCs w:val="24"/>
        </w:rPr>
        <w:t xml:space="preserve"> Meanwhile,</w:t>
      </w:r>
      <w:r w:rsidR="00F83DF8">
        <w:rPr>
          <w:rFonts w:ascii="Times New Roman" w:hAnsi="Times New Roman" w:cs="Times New Roman"/>
          <w:sz w:val="24"/>
          <w:szCs w:val="24"/>
        </w:rPr>
        <w:t xml:space="preserve"> due to the death of Harding,</w:t>
      </w:r>
      <w:r w:rsidR="009220AE">
        <w:rPr>
          <w:rFonts w:ascii="Times New Roman" w:hAnsi="Times New Roman" w:cs="Times New Roman"/>
          <w:sz w:val="24"/>
          <w:szCs w:val="24"/>
        </w:rPr>
        <w:t xml:space="preserve"> the 113</w:t>
      </w:r>
      <w:r w:rsidR="007357B2">
        <w:rPr>
          <w:rFonts w:ascii="Times New Roman" w:hAnsi="Times New Roman" w:cs="Times New Roman"/>
          <w:sz w:val="24"/>
          <w:szCs w:val="24"/>
        </w:rPr>
        <w:t>4</w:t>
      </w:r>
      <w:r w:rsidR="009220AE">
        <w:rPr>
          <w:rFonts w:ascii="Times New Roman" w:hAnsi="Times New Roman" w:cs="Times New Roman"/>
          <w:sz w:val="24"/>
          <w:szCs w:val="24"/>
        </w:rPr>
        <w:t xml:space="preserve"> date meant that someone else</w:t>
      </w:r>
      <w:r w:rsidR="00F83DF8">
        <w:rPr>
          <w:rFonts w:ascii="Times New Roman" w:hAnsi="Times New Roman" w:cs="Times New Roman"/>
          <w:sz w:val="24"/>
          <w:szCs w:val="24"/>
        </w:rPr>
        <w:t>, possibly</w:t>
      </w:r>
      <w:r w:rsidR="009220AE">
        <w:rPr>
          <w:rFonts w:ascii="Times New Roman" w:hAnsi="Times New Roman" w:cs="Times New Roman"/>
          <w:sz w:val="24"/>
          <w:szCs w:val="24"/>
        </w:rPr>
        <w:t xml:space="preserve"> Reynald de Bar of Citeaux </w:t>
      </w:r>
      <w:r w:rsidR="000B1A2F">
        <w:rPr>
          <w:rFonts w:ascii="Times New Roman" w:hAnsi="Times New Roman" w:cs="Times New Roman"/>
          <w:sz w:val="24"/>
          <w:szCs w:val="24"/>
        </w:rPr>
        <w:t>A</w:t>
      </w:r>
      <w:r w:rsidR="009220AE">
        <w:rPr>
          <w:rFonts w:ascii="Times New Roman" w:hAnsi="Times New Roman" w:cs="Times New Roman"/>
          <w:sz w:val="24"/>
          <w:szCs w:val="24"/>
        </w:rPr>
        <w:t>bbey</w:t>
      </w:r>
      <w:r w:rsidR="00F83DF8">
        <w:rPr>
          <w:rFonts w:ascii="Times New Roman" w:hAnsi="Times New Roman" w:cs="Times New Roman"/>
          <w:sz w:val="24"/>
          <w:szCs w:val="24"/>
        </w:rPr>
        <w:t>,</w:t>
      </w:r>
      <w:r w:rsidR="009220AE">
        <w:rPr>
          <w:rFonts w:ascii="Times New Roman" w:hAnsi="Times New Roman" w:cs="Times New Roman"/>
          <w:sz w:val="24"/>
          <w:szCs w:val="24"/>
        </w:rPr>
        <w:t xml:space="preserve"> </w:t>
      </w:r>
      <w:r w:rsidR="00F83DF8">
        <w:rPr>
          <w:rFonts w:ascii="Times New Roman" w:hAnsi="Times New Roman" w:cs="Times New Roman"/>
          <w:sz w:val="24"/>
          <w:szCs w:val="24"/>
        </w:rPr>
        <w:t>was</w:t>
      </w:r>
      <w:r w:rsidR="009220AE">
        <w:rPr>
          <w:rFonts w:ascii="Times New Roman" w:hAnsi="Times New Roman" w:cs="Times New Roman"/>
          <w:sz w:val="24"/>
          <w:szCs w:val="24"/>
        </w:rPr>
        <w:t xml:space="preserve"> the author.</w:t>
      </w:r>
      <w:r w:rsidR="009220AE">
        <w:rPr>
          <w:rStyle w:val="FootnoteReference"/>
          <w:rFonts w:ascii="Times New Roman" w:hAnsi="Times New Roman" w:cs="Times New Roman"/>
          <w:sz w:val="24"/>
          <w:szCs w:val="24"/>
        </w:rPr>
        <w:footnoteReference w:id="12"/>
      </w:r>
      <w:r w:rsidR="00322CB0">
        <w:rPr>
          <w:rFonts w:ascii="Times New Roman" w:hAnsi="Times New Roman" w:cs="Times New Roman"/>
          <w:sz w:val="24"/>
          <w:szCs w:val="24"/>
        </w:rPr>
        <w:t xml:space="preserve"> Berman suggests that the Carta </w:t>
      </w:r>
      <w:proofErr w:type="spellStart"/>
      <w:r w:rsidR="00322CB0">
        <w:rPr>
          <w:rFonts w:ascii="Times New Roman" w:hAnsi="Times New Roman" w:cs="Times New Roman"/>
          <w:sz w:val="24"/>
          <w:szCs w:val="24"/>
        </w:rPr>
        <w:t>Caritatis</w:t>
      </w:r>
      <w:proofErr w:type="spellEnd"/>
      <w:r w:rsidR="00322CB0">
        <w:rPr>
          <w:rFonts w:ascii="Times New Roman" w:hAnsi="Times New Roman" w:cs="Times New Roman"/>
          <w:sz w:val="24"/>
          <w:szCs w:val="24"/>
        </w:rPr>
        <w:t xml:space="preserve"> was the result of</w:t>
      </w:r>
      <w:r w:rsidR="00F83DF8">
        <w:rPr>
          <w:rFonts w:ascii="Times New Roman" w:hAnsi="Times New Roman" w:cs="Times New Roman"/>
          <w:sz w:val="24"/>
          <w:szCs w:val="24"/>
        </w:rPr>
        <w:t xml:space="preserve"> a</w:t>
      </w:r>
      <w:r w:rsidR="00322CB0">
        <w:rPr>
          <w:rFonts w:ascii="Times New Roman" w:hAnsi="Times New Roman" w:cs="Times New Roman"/>
          <w:sz w:val="24"/>
          <w:szCs w:val="24"/>
        </w:rPr>
        <w:t xml:space="preserve"> Grand Chapter meeting in 1165, but does not credit an author.</w:t>
      </w:r>
      <w:r w:rsidR="00322CB0">
        <w:rPr>
          <w:rStyle w:val="FootnoteReference"/>
          <w:rFonts w:ascii="Times New Roman" w:hAnsi="Times New Roman" w:cs="Times New Roman"/>
          <w:sz w:val="24"/>
          <w:szCs w:val="24"/>
        </w:rPr>
        <w:footnoteReference w:id="13"/>
      </w:r>
      <w:r w:rsidR="00F12349">
        <w:rPr>
          <w:rFonts w:ascii="Times New Roman" w:hAnsi="Times New Roman" w:cs="Times New Roman"/>
          <w:sz w:val="24"/>
          <w:szCs w:val="24"/>
        </w:rPr>
        <w:t xml:space="preserve"> However irrespective of </w:t>
      </w:r>
      <w:r w:rsidR="00F83DF8">
        <w:rPr>
          <w:rFonts w:ascii="Times New Roman" w:hAnsi="Times New Roman" w:cs="Times New Roman"/>
          <w:sz w:val="24"/>
          <w:szCs w:val="24"/>
        </w:rPr>
        <w:t xml:space="preserve">the </w:t>
      </w:r>
      <w:r w:rsidR="00F12349">
        <w:rPr>
          <w:rFonts w:ascii="Times New Roman" w:hAnsi="Times New Roman" w:cs="Times New Roman"/>
          <w:sz w:val="24"/>
          <w:szCs w:val="24"/>
        </w:rPr>
        <w:t xml:space="preserve">date </w:t>
      </w:r>
      <w:r w:rsidR="0040198D">
        <w:rPr>
          <w:rFonts w:ascii="Times New Roman" w:hAnsi="Times New Roman" w:cs="Times New Roman"/>
          <w:sz w:val="24"/>
          <w:szCs w:val="24"/>
        </w:rPr>
        <w:t>and author</w:t>
      </w:r>
      <w:r w:rsidR="00F12349">
        <w:rPr>
          <w:rFonts w:ascii="Times New Roman" w:hAnsi="Times New Roman" w:cs="Times New Roman"/>
          <w:sz w:val="24"/>
          <w:szCs w:val="24"/>
        </w:rPr>
        <w:t xml:space="preserve">, the very fact they </w:t>
      </w:r>
      <w:r w:rsidR="001E46C4">
        <w:rPr>
          <w:rFonts w:ascii="Times New Roman" w:hAnsi="Times New Roman" w:cs="Times New Roman"/>
          <w:sz w:val="24"/>
          <w:szCs w:val="24"/>
        </w:rPr>
        <w:t>stated it was written on</w:t>
      </w:r>
      <w:r w:rsidR="00F12349">
        <w:rPr>
          <w:rFonts w:ascii="Times New Roman" w:hAnsi="Times New Roman" w:cs="Times New Roman"/>
          <w:sz w:val="24"/>
          <w:szCs w:val="24"/>
        </w:rPr>
        <w:t xml:space="preserve"> Harding’s </w:t>
      </w:r>
      <w:r w:rsidR="001E46C4">
        <w:rPr>
          <w:rFonts w:ascii="Times New Roman" w:hAnsi="Times New Roman" w:cs="Times New Roman"/>
          <w:sz w:val="24"/>
          <w:szCs w:val="24"/>
        </w:rPr>
        <w:t>orders</w:t>
      </w:r>
      <w:r w:rsidR="00F12349">
        <w:rPr>
          <w:rFonts w:ascii="Times New Roman" w:hAnsi="Times New Roman" w:cs="Times New Roman"/>
          <w:sz w:val="24"/>
          <w:szCs w:val="24"/>
        </w:rPr>
        <w:t xml:space="preserve"> in the prologue, suggests that it was his </w:t>
      </w:r>
      <w:r w:rsidR="008F745D">
        <w:rPr>
          <w:rFonts w:ascii="Times New Roman" w:hAnsi="Times New Roman" w:cs="Times New Roman"/>
          <w:sz w:val="24"/>
          <w:szCs w:val="24"/>
        </w:rPr>
        <w:t>idea</w:t>
      </w:r>
      <w:r w:rsidR="00F12349">
        <w:rPr>
          <w:rFonts w:ascii="Times New Roman" w:hAnsi="Times New Roman" w:cs="Times New Roman"/>
          <w:sz w:val="24"/>
          <w:szCs w:val="24"/>
        </w:rPr>
        <w:t xml:space="preserve"> of what the </w:t>
      </w:r>
      <w:r w:rsidR="003C17C8">
        <w:rPr>
          <w:rFonts w:ascii="Times New Roman" w:hAnsi="Times New Roman" w:cs="Times New Roman"/>
          <w:sz w:val="24"/>
          <w:szCs w:val="24"/>
        </w:rPr>
        <w:t>Order</w:t>
      </w:r>
      <w:r w:rsidR="00F12349">
        <w:rPr>
          <w:rFonts w:ascii="Times New Roman" w:hAnsi="Times New Roman" w:cs="Times New Roman"/>
          <w:sz w:val="24"/>
          <w:szCs w:val="24"/>
        </w:rPr>
        <w:t xml:space="preserve"> should be that was being recorded.</w:t>
      </w:r>
      <w:r w:rsidR="00F12349">
        <w:rPr>
          <w:rStyle w:val="FootnoteReference"/>
          <w:rFonts w:ascii="Times New Roman" w:hAnsi="Times New Roman" w:cs="Times New Roman"/>
          <w:sz w:val="24"/>
          <w:szCs w:val="24"/>
        </w:rPr>
        <w:footnoteReference w:id="14"/>
      </w:r>
      <w:r w:rsidR="00742D92">
        <w:rPr>
          <w:rFonts w:ascii="Times New Roman" w:hAnsi="Times New Roman" w:cs="Times New Roman"/>
          <w:sz w:val="24"/>
          <w:szCs w:val="24"/>
        </w:rPr>
        <w:t xml:space="preserve"> </w:t>
      </w:r>
      <w:r w:rsidR="00BC1132">
        <w:rPr>
          <w:rFonts w:ascii="Times New Roman" w:hAnsi="Times New Roman" w:cs="Times New Roman"/>
          <w:sz w:val="24"/>
          <w:szCs w:val="24"/>
        </w:rPr>
        <w:t>However, i</w:t>
      </w:r>
      <w:r w:rsidR="00742D92">
        <w:rPr>
          <w:rFonts w:ascii="Times New Roman" w:hAnsi="Times New Roman" w:cs="Times New Roman"/>
          <w:sz w:val="24"/>
          <w:szCs w:val="24"/>
        </w:rPr>
        <w:t>f this is correct</w:t>
      </w:r>
      <w:r w:rsidR="0023205D">
        <w:rPr>
          <w:rFonts w:ascii="Times New Roman" w:hAnsi="Times New Roman" w:cs="Times New Roman"/>
          <w:sz w:val="24"/>
          <w:szCs w:val="24"/>
        </w:rPr>
        <w:t>,</w:t>
      </w:r>
      <w:r w:rsidR="00742D92">
        <w:rPr>
          <w:rFonts w:ascii="Times New Roman" w:hAnsi="Times New Roman" w:cs="Times New Roman"/>
          <w:sz w:val="24"/>
          <w:szCs w:val="24"/>
        </w:rPr>
        <w:t xml:space="preserve"> </w:t>
      </w:r>
      <w:r w:rsidR="00C05E07">
        <w:rPr>
          <w:rFonts w:ascii="Times New Roman" w:hAnsi="Times New Roman" w:cs="Times New Roman"/>
          <w:sz w:val="24"/>
          <w:szCs w:val="24"/>
        </w:rPr>
        <w:t>then</w:t>
      </w:r>
      <w:r w:rsidR="00C37509">
        <w:rPr>
          <w:rFonts w:ascii="Times New Roman" w:hAnsi="Times New Roman" w:cs="Times New Roman"/>
          <w:sz w:val="24"/>
          <w:szCs w:val="24"/>
        </w:rPr>
        <w:t xml:space="preserve"> the </w:t>
      </w:r>
      <w:r w:rsidR="00C37509" w:rsidRPr="00C37509">
        <w:rPr>
          <w:rFonts w:ascii="Times New Roman" w:hAnsi="Times New Roman" w:cs="Times New Roman"/>
          <w:i/>
          <w:iCs/>
          <w:sz w:val="24"/>
          <w:szCs w:val="24"/>
        </w:rPr>
        <w:t>Carta Caritatis</w:t>
      </w:r>
      <w:r w:rsidR="00742D92">
        <w:rPr>
          <w:rFonts w:ascii="Times New Roman" w:hAnsi="Times New Roman" w:cs="Times New Roman"/>
          <w:sz w:val="24"/>
          <w:szCs w:val="24"/>
        </w:rPr>
        <w:t xml:space="preserve"> is</w:t>
      </w:r>
      <w:r w:rsidR="0023205D">
        <w:rPr>
          <w:rFonts w:ascii="Times New Roman" w:hAnsi="Times New Roman" w:cs="Times New Roman"/>
          <w:sz w:val="24"/>
          <w:szCs w:val="24"/>
        </w:rPr>
        <w:t xml:space="preserve"> probably</w:t>
      </w:r>
      <w:r w:rsidR="00742D92">
        <w:rPr>
          <w:rFonts w:ascii="Times New Roman" w:hAnsi="Times New Roman" w:cs="Times New Roman"/>
          <w:sz w:val="24"/>
          <w:szCs w:val="24"/>
        </w:rPr>
        <w:t xml:space="preserve"> from </w:t>
      </w:r>
      <w:r w:rsidR="00D644BB">
        <w:rPr>
          <w:rFonts w:ascii="Times New Roman" w:hAnsi="Times New Roman" w:cs="Times New Roman"/>
          <w:sz w:val="24"/>
          <w:szCs w:val="24"/>
        </w:rPr>
        <w:t>Harding’s era</w:t>
      </w:r>
      <w:r w:rsidR="00C37509">
        <w:rPr>
          <w:rFonts w:ascii="Times New Roman" w:hAnsi="Times New Roman" w:cs="Times New Roman"/>
          <w:sz w:val="24"/>
          <w:szCs w:val="24"/>
        </w:rPr>
        <w:t xml:space="preserve">, even if the </w:t>
      </w:r>
      <w:r w:rsidR="00642A3E">
        <w:rPr>
          <w:rFonts w:ascii="Times New Roman" w:hAnsi="Times New Roman" w:cs="Times New Roman"/>
          <w:sz w:val="24"/>
          <w:szCs w:val="24"/>
        </w:rPr>
        <w:t xml:space="preserve">extant </w:t>
      </w:r>
      <w:r w:rsidR="00C37509">
        <w:rPr>
          <w:rFonts w:ascii="Times New Roman" w:hAnsi="Times New Roman" w:cs="Times New Roman"/>
          <w:sz w:val="24"/>
          <w:szCs w:val="24"/>
        </w:rPr>
        <w:t>copy is from a later period</w:t>
      </w:r>
      <w:r w:rsidR="00742D92">
        <w:rPr>
          <w:rFonts w:ascii="Times New Roman" w:hAnsi="Times New Roman" w:cs="Times New Roman"/>
          <w:sz w:val="24"/>
          <w:szCs w:val="24"/>
        </w:rPr>
        <w:t>.</w:t>
      </w:r>
    </w:p>
    <w:p w14:paraId="188C5E80" w14:textId="6C2EE0D8" w:rsidR="00122D1A" w:rsidRDefault="00122D1A" w:rsidP="00BD3273">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This debate around the issues of dating and authorship could affect the purpose of the piece. If it was written during Harding’s </w:t>
      </w:r>
      <w:r w:rsidR="006436F8">
        <w:rPr>
          <w:rFonts w:ascii="Times New Roman" w:hAnsi="Times New Roman" w:cs="Times New Roman"/>
          <w:sz w:val="24"/>
          <w:szCs w:val="24"/>
        </w:rPr>
        <w:t>time,</w:t>
      </w:r>
      <w:r>
        <w:rPr>
          <w:rFonts w:ascii="Times New Roman" w:hAnsi="Times New Roman" w:cs="Times New Roman"/>
          <w:sz w:val="24"/>
          <w:szCs w:val="24"/>
        </w:rPr>
        <w:t xml:space="preserve"> then it was</w:t>
      </w:r>
      <w:r w:rsidR="00642A3E">
        <w:rPr>
          <w:rFonts w:ascii="Times New Roman" w:hAnsi="Times New Roman" w:cs="Times New Roman"/>
          <w:sz w:val="24"/>
          <w:szCs w:val="24"/>
        </w:rPr>
        <w:t xml:space="preserve"> </w:t>
      </w:r>
      <w:r>
        <w:rPr>
          <w:rFonts w:ascii="Times New Roman" w:hAnsi="Times New Roman" w:cs="Times New Roman"/>
          <w:sz w:val="24"/>
          <w:szCs w:val="24"/>
        </w:rPr>
        <w:t>likely a case of pre-planning in anticipation of the</w:t>
      </w:r>
      <w:r w:rsidR="00642A3E">
        <w:rPr>
          <w:rFonts w:ascii="Times New Roman" w:hAnsi="Times New Roman" w:cs="Times New Roman"/>
          <w:sz w:val="24"/>
          <w:szCs w:val="24"/>
        </w:rPr>
        <w:t xml:space="preserve"> Orders</w:t>
      </w:r>
      <w:r>
        <w:rPr>
          <w:rFonts w:ascii="Times New Roman" w:hAnsi="Times New Roman" w:cs="Times New Roman"/>
          <w:sz w:val="24"/>
          <w:szCs w:val="24"/>
        </w:rPr>
        <w:t xml:space="preserve"> expansion. This is because if the </w:t>
      </w:r>
      <w:r w:rsidRPr="00122D1A">
        <w:rPr>
          <w:rFonts w:ascii="Times New Roman" w:hAnsi="Times New Roman" w:cs="Times New Roman"/>
          <w:i/>
          <w:iCs/>
          <w:sz w:val="24"/>
          <w:szCs w:val="24"/>
        </w:rPr>
        <w:t>Carta Caritatis</w:t>
      </w:r>
      <w:r>
        <w:rPr>
          <w:rFonts w:ascii="Times New Roman" w:hAnsi="Times New Roman" w:cs="Times New Roman"/>
          <w:sz w:val="24"/>
          <w:szCs w:val="24"/>
        </w:rPr>
        <w:t xml:space="preserve"> was written in 1119, then there were only a few </w:t>
      </w:r>
      <w:r w:rsidR="00C367B7">
        <w:rPr>
          <w:rFonts w:ascii="Times New Roman" w:hAnsi="Times New Roman" w:cs="Times New Roman"/>
          <w:sz w:val="24"/>
          <w:szCs w:val="24"/>
        </w:rPr>
        <w:t xml:space="preserve">Cistercian </w:t>
      </w:r>
      <w:r>
        <w:rPr>
          <w:rFonts w:ascii="Times New Roman" w:hAnsi="Times New Roman" w:cs="Times New Roman"/>
          <w:sz w:val="24"/>
          <w:szCs w:val="24"/>
        </w:rPr>
        <w:t xml:space="preserve">monastic houses; </w:t>
      </w:r>
      <w:r w:rsidR="00C367B7">
        <w:rPr>
          <w:rFonts w:ascii="Times New Roman" w:hAnsi="Times New Roman" w:cs="Times New Roman"/>
          <w:sz w:val="24"/>
          <w:szCs w:val="24"/>
        </w:rPr>
        <w:t>namely</w:t>
      </w:r>
      <w:r>
        <w:rPr>
          <w:rFonts w:ascii="Times New Roman" w:hAnsi="Times New Roman" w:cs="Times New Roman"/>
          <w:sz w:val="24"/>
          <w:szCs w:val="24"/>
        </w:rPr>
        <w:t xml:space="preserve"> Citeaux, La Ferte, </w:t>
      </w:r>
      <w:proofErr w:type="spellStart"/>
      <w:r>
        <w:rPr>
          <w:rFonts w:ascii="Times New Roman" w:hAnsi="Times New Roman" w:cs="Times New Roman"/>
          <w:sz w:val="24"/>
          <w:szCs w:val="24"/>
        </w:rPr>
        <w:t>Pontigny</w:t>
      </w:r>
      <w:proofErr w:type="spellEnd"/>
      <w:r>
        <w:rPr>
          <w:rFonts w:ascii="Times New Roman" w:hAnsi="Times New Roman" w:cs="Times New Roman"/>
          <w:sz w:val="24"/>
          <w:szCs w:val="24"/>
        </w:rPr>
        <w:t xml:space="preserve">, Clairvaux and </w:t>
      </w:r>
      <w:proofErr w:type="spellStart"/>
      <w:r>
        <w:rPr>
          <w:rFonts w:ascii="Times New Roman" w:hAnsi="Times New Roman" w:cs="Times New Roman"/>
          <w:sz w:val="24"/>
          <w:szCs w:val="24"/>
        </w:rPr>
        <w:t>Morimond</w:t>
      </w:r>
      <w:proofErr w:type="spellEnd"/>
      <w:r w:rsidR="00F84E67">
        <w:rPr>
          <w:rFonts w:ascii="Times New Roman" w:hAnsi="Times New Roman" w:cs="Times New Roman"/>
          <w:sz w:val="24"/>
          <w:szCs w:val="24"/>
        </w:rPr>
        <w:t xml:space="preserve"> (plus a few daughter houses)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5"/>
      </w:r>
      <w:r w:rsidR="00F84E67">
        <w:rPr>
          <w:rFonts w:ascii="Times New Roman" w:hAnsi="Times New Roman" w:cs="Times New Roman"/>
          <w:sz w:val="24"/>
          <w:szCs w:val="24"/>
        </w:rPr>
        <w:t xml:space="preserve"> However, between 1112 and </w:t>
      </w:r>
      <w:r w:rsidR="00AE0928">
        <w:rPr>
          <w:rFonts w:ascii="Times New Roman" w:hAnsi="Times New Roman" w:cs="Times New Roman"/>
          <w:sz w:val="24"/>
          <w:szCs w:val="24"/>
        </w:rPr>
        <w:t>1119</w:t>
      </w:r>
      <w:r w:rsidR="00F84E67">
        <w:rPr>
          <w:rFonts w:ascii="Times New Roman" w:hAnsi="Times New Roman" w:cs="Times New Roman"/>
          <w:sz w:val="24"/>
          <w:szCs w:val="24"/>
        </w:rPr>
        <w:t>, the Cistercians had grown from one to seven</w:t>
      </w:r>
      <w:r w:rsidR="00AE0928">
        <w:rPr>
          <w:rFonts w:ascii="Times New Roman" w:hAnsi="Times New Roman" w:cs="Times New Roman"/>
          <w:sz w:val="24"/>
          <w:szCs w:val="24"/>
        </w:rPr>
        <w:t xml:space="preserve"> </w:t>
      </w:r>
      <w:r w:rsidR="00C367B7">
        <w:rPr>
          <w:rFonts w:ascii="Times New Roman" w:hAnsi="Times New Roman" w:cs="Times New Roman"/>
          <w:sz w:val="24"/>
          <w:szCs w:val="24"/>
        </w:rPr>
        <w:t>houses</w:t>
      </w:r>
      <w:r w:rsidR="00F84E67">
        <w:rPr>
          <w:rFonts w:ascii="Times New Roman" w:hAnsi="Times New Roman" w:cs="Times New Roman"/>
          <w:sz w:val="24"/>
          <w:szCs w:val="24"/>
        </w:rPr>
        <w:t>, so it is likely that they realised with th</w:t>
      </w:r>
      <w:r w:rsidR="00AE0928">
        <w:rPr>
          <w:rFonts w:ascii="Times New Roman" w:hAnsi="Times New Roman" w:cs="Times New Roman"/>
          <w:sz w:val="24"/>
          <w:szCs w:val="24"/>
        </w:rPr>
        <w:t>is</w:t>
      </w:r>
      <w:r w:rsidR="00F84E67">
        <w:rPr>
          <w:rFonts w:ascii="Times New Roman" w:hAnsi="Times New Roman" w:cs="Times New Roman"/>
          <w:sz w:val="24"/>
          <w:szCs w:val="24"/>
        </w:rPr>
        <w:t xml:space="preserve"> growth, they needed </w:t>
      </w:r>
      <w:r w:rsidR="00AE0928">
        <w:rPr>
          <w:rFonts w:ascii="Times New Roman" w:hAnsi="Times New Roman" w:cs="Times New Roman"/>
          <w:sz w:val="24"/>
          <w:szCs w:val="24"/>
        </w:rPr>
        <w:t xml:space="preserve">a </w:t>
      </w:r>
      <w:r w:rsidR="00F84E67">
        <w:rPr>
          <w:rFonts w:ascii="Times New Roman" w:hAnsi="Times New Roman" w:cs="Times New Roman"/>
          <w:sz w:val="24"/>
          <w:szCs w:val="24"/>
        </w:rPr>
        <w:t>regulatory framework to make it work.</w:t>
      </w:r>
      <w:r w:rsidR="00F84E67">
        <w:rPr>
          <w:rStyle w:val="FootnoteReference"/>
          <w:rFonts w:ascii="Times New Roman" w:hAnsi="Times New Roman" w:cs="Times New Roman"/>
          <w:sz w:val="24"/>
          <w:szCs w:val="24"/>
        </w:rPr>
        <w:footnoteReference w:id="16"/>
      </w:r>
      <w:r w:rsidR="00FA536D">
        <w:rPr>
          <w:rFonts w:ascii="Times New Roman" w:hAnsi="Times New Roman" w:cs="Times New Roman"/>
          <w:sz w:val="24"/>
          <w:szCs w:val="24"/>
        </w:rPr>
        <w:t xml:space="preserve"> Berman </w:t>
      </w:r>
      <w:r w:rsidR="00FA536D">
        <w:rPr>
          <w:rFonts w:ascii="Times New Roman" w:hAnsi="Times New Roman" w:cs="Times New Roman"/>
          <w:sz w:val="24"/>
          <w:szCs w:val="24"/>
        </w:rPr>
        <w:lastRenderedPageBreak/>
        <w:t>argues that it could just have been confirming practices that had already begun to happen</w:t>
      </w:r>
      <w:r w:rsidR="00F83DF8">
        <w:rPr>
          <w:rFonts w:ascii="Times New Roman" w:hAnsi="Times New Roman" w:cs="Times New Roman"/>
          <w:sz w:val="24"/>
          <w:szCs w:val="24"/>
        </w:rPr>
        <w:t>,</w:t>
      </w:r>
      <w:r w:rsidR="00FA536D">
        <w:rPr>
          <w:rFonts w:ascii="Times New Roman" w:hAnsi="Times New Roman" w:cs="Times New Roman"/>
          <w:sz w:val="24"/>
          <w:szCs w:val="24"/>
        </w:rPr>
        <w:t xml:space="preserve"> particularly after the adoption of other houses</w:t>
      </w:r>
      <w:r w:rsidR="00F83DF8">
        <w:rPr>
          <w:rFonts w:ascii="Times New Roman" w:hAnsi="Times New Roman" w:cs="Times New Roman"/>
          <w:sz w:val="24"/>
          <w:szCs w:val="24"/>
        </w:rPr>
        <w:t>,</w:t>
      </w:r>
      <w:r w:rsidR="00C367B7">
        <w:rPr>
          <w:rFonts w:ascii="Times New Roman" w:hAnsi="Times New Roman" w:cs="Times New Roman"/>
          <w:sz w:val="24"/>
          <w:szCs w:val="24"/>
        </w:rPr>
        <w:t xml:space="preserve"> thus leaving the dating open</w:t>
      </w:r>
      <w:r w:rsidR="00FA536D">
        <w:rPr>
          <w:rFonts w:ascii="Times New Roman" w:hAnsi="Times New Roman" w:cs="Times New Roman"/>
          <w:sz w:val="24"/>
          <w:szCs w:val="24"/>
        </w:rPr>
        <w:t>.</w:t>
      </w:r>
      <w:r w:rsidR="00FA536D">
        <w:rPr>
          <w:rStyle w:val="FootnoteReference"/>
          <w:rFonts w:ascii="Times New Roman" w:hAnsi="Times New Roman" w:cs="Times New Roman"/>
          <w:sz w:val="24"/>
          <w:szCs w:val="24"/>
        </w:rPr>
        <w:footnoteReference w:id="17"/>
      </w:r>
      <w:r w:rsidR="00FA536D">
        <w:rPr>
          <w:rFonts w:ascii="Times New Roman" w:hAnsi="Times New Roman" w:cs="Times New Roman"/>
          <w:sz w:val="24"/>
          <w:szCs w:val="24"/>
        </w:rPr>
        <w:t xml:space="preserve"> </w:t>
      </w:r>
    </w:p>
    <w:p w14:paraId="520B7321" w14:textId="17625159" w:rsidR="00400473" w:rsidRDefault="00400473" w:rsidP="00BD3273">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However, there is </w:t>
      </w:r>
      <w:r w:rsidR="00847E37">
        <w:rPr>
          <w:rFonts w:ascii="Times New Roman" w:hAnsi="Times New Roman" w:cs="Times New Roman"/>
          <w:sz w:val="24"/>
          <w:szCs w:val="24"/>
        </w:rPr>
        <w:t>another</w:t>
      </w:r>
      <w:r>
        <w:rPr>
          <w:rFonts w:ascii="Times New Roman" w:hAnsi="Times New Roman" w:cs="Times New Roman"/>
          <w:sz w:val="24"/>
          <w:szCs w:val="24"/>
        </w:rPr>
        <w:t xml:space="preserve"> purpose</w:t>
      </w:r>
      <w:r w:rsidR="00847E37">
        <w:rPr>
          <w:rFonts w:ascii="Times New Roman" w:hAnsi="Times New Roman" w:cs="Times New Roman"/>
          <w:sz w:val="24"/>
          <w:szCs w:val="24"/>
        </w:rPr>
        <w:t xml:space="preserve">, </w:t>
      </w:r>
      <w:r>
        <w:rPr>
          <w:rFonts w:ascii="Times New Roman" w:hAnsi="Times New Roman" w:cs="Times New Roman"/>
          <w:sz w:val="24"/>
          <w:szCs w:val="24"/>
        </w:rPr>
        <w:t xml:space="preserve">that </w:t>
      </w:r>
      <w:r w:rsidR="00847E37">
        <w:rPr>
          <w:rFonts w:ascii="Times New Roman" w:hAnsi="Times New Roman" w:cs="Times New Roman"/>
          <w:sz w:val="24"/>
          <w:szCs w:val="24"/>
        </w:rPr>
        <w:t>being</w:t>
      </w:r>
      <w:r>
        <w:rPr>
          <w:rFonts w:ascii="Times New Roman" w:hAnsi="Times New Roman" w:cs="Times New Roman"/>
          <w:sz w:val="24"/>
          <w:szCs w:val="24"/>
        </w:rPr>
        <w:t xml:space="preserve"> to fill out the gaps in the </w:t>
      </w:r>
      <w:r w:rsidRPr="00400473">
        <w:rPr>
          <w:rFonts w:ascii="Times New Roman" w:hAnsi="Times New Roman" w:cs="Times New Roman"/>
          <w:i/>
          <w:iCs/>
          <w:sz w:val="24"/>
          <w:szCs w:val="24"/>
        </w:rPr>
        <w:t>Rule of Saint Benedict</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8"/>
      </w:r>
      <w:r w:rsidR="00C412E0">
        <w:rPr>
          <w:rFonts w:ascii="Times New Roman" w:hAnsi="Times New Roman" w:cs="Times New Roman"/>
          <w:sz w:val="24"/>
          <w:szCs w:val="24"/>
        </w:rPr>
        <w:t xml:space="preserve"> As Newman </w:t>
      </w:r>
      <w:r w:rsidR="004807D3">
        <w:rPr>
          <w:rFonts w:ascii="Times New Roman" w:hAnsi="Times New Roman" w:cs="Times New Roman"/>
          <w:sz w:val="24"/>
          <w:szCs w:val="24"/>
        </w:rPr>
        <w:t>argues,</w:t>
      </w:r>
      <w:r w:rsidR="00C412E0">
        <w:rPr>
          <w:rFonts w:ascii="Times New Roman" w:hAnsi="Times New Roman" w:cs="Times New Roman"/>
          <w:sz w:val="24"/>
          <w:szCs w:val="24"/>
        </w:rPr>
        <w:t xml:space="preserve"> the </w:t>
      </w:r>
      <w:r w:rsidR="00C412E0">
        <w:rPr>
          <w:rFonts w:ascii="Times New Roman" w:hAnsi="Times New Roman" w:cs="Times New Roman"/>
          <w:i/>
          <w:iCs/>
          <w:sz w:val="24"/>
          <w:szCs w:val="24"/>
        </w:rPr>
        <w:t xml:space="preserve">Rule of Saint Benedict </w:t>
      </w:r>
      <w:r w:rsidR="00C412E0">
        <w:rPr>
          <w:rFonts w:ascii="Times New Roman" w:hAnsi="Times New Roman" w:cs="Times New Roman"/>
          <w:sz w:val="24"/>
          <w:szCs w:val="24"/>
        </w:rPr>
        <w:t xml:space="preserve">governed the </w:t>
      </w:r>
      <w:r w:rsidR="00642A3E">
        <w:rPr>
          <w:rFonts w:ascii="Times New Roman" w:hAnsi="Times New Roman" w:cs="Times New Roman"/>
          <w:sz w:val="24"/>
          <w:szCs w:val="24"/>
        </w:rPr>
        <w:t>relations</w:t>
      </w:r>
      <w:r w:rsidR="00C412E0">
        <w:rPr>
          <w:rFonts w:ascii="Times New Roman" w:hAnsi="Times New Roman" w:cs="Times New Roman"/>
          <w:sz w:val="24"/>
          <w:szCs w:val="24"/>
        </w:rPr>
        <w:t xml:space="preserve"> between </w:t>
      </w:r>
      <w:r w:rsidR="00FF05AB">
        <w:rPr>
          <w:rFonts w:ascii="Times New Roman" w:hAnsi="Times New Roman" w:cs="Times New Roman"/>
          <w:sz w:val="24"/>
          <w:szCs w:val="24"/>
        </w:rPr>
        <w:t>abbot</w:t>
      </w:r>
      <w:r w:rsidR="00642A3E">
        <w:rPr>
          <w:rFonts w:ascii="Times New Roman" w:hAnsi="Times New Roman" w:cs="Times New Roman"/>
          <w:sz w:val="24"/>
          <w:szCs w:val="24"/>
        </w:rPr>
        <w:t>s</w:t>
      </w:r>
      <w:r w:rsidR="00FF05AB">
        <w:rPr>
          <w:rFonts w:ascii="Times New Roman" w:hAnsi="Times New Roman" w:cs="Times New Roman"/>
          <w:sz w:val="24"/>
          <w:szCs w:val="24"/>
        </w:rPr>
        <w:t xml:space="preserve"> and monks,</w:t>
      </w:r>
      <w:r w:rsidR="004807D3">
        <w:rPr>
          <w:rFonts w:ascii="Times New Roman" w:hAnsi="Times New Roman" w:cs="Times New Roman"/>
          <w:sz w:val="24"/>
          <w:szCs w:val="24"/>
        </w:rPr>
        <w:t xml:space="preserve"> however,</w:t>
      </w:r>
      <w:r w:rsidR="00FF05AB">
        <w:rPr>
          <w:rFonts w:ascii="Times New Roman" w:hAnsi="Times New Roman" w:cs="Times New Roman"/>
          <w:sz w:val="24"/>
          <w:szCs w:val="24"/>
        </w:rPr>
        <w:t xml:space="preserve"> it did not regulate relations between different monasteries.</w:t>
      </w:r>
      <w:r w:rsidR="00FF05AB">
        <w:rPr>
          <w:rStyle w:val="FootnoteReference"/>
          <w:rFonts w:ascii="Times New Roman" w:hAnsi="Times New Roman" w:cs="Times New Roman"/>
          <w:sz w:val="24"/>
          <w:szCs w:val="24"/>
        </w:rPr>
        <w:footnoteReference w:id="19"/>
      </w:r>
      <w:r w:rsidR="00E6699D">
        <w:rPr>
          <w:rFonts w:ascii="Times New Roman" w:hAnsi="Times New Roman" w:cs="Times New Roman"/>
          <w:sz w:val="24"/>
          <w:szCs w:val="24"/>
        </w:rPr>
        <w:t xml:space="preserve"> The </w:t>
      </w:r>
      <w:r w:rsidR="00E6699D">
        <w:rPr>
          <w:rFonts w:ascii="Times New Roman" w:hAnsi="Times New Roman" w:cs="Times New Roman"/>
          <w:i/>
          <w:iCs/>
          <w:sz w:val="24"/>
          <w:szCs w:val="24"/>
        </w:rPr>
        <w:t>Rule of Saint Benedict</w:t>
      </w:r>
      <w:r w:rsidR="00E6699D">
        <w:rPr>
          <w:rFonts w:ascii="Times New Roman" w:hAnsi="Times New Roman" w:cs="Times New Roman"/>
          <w:sz w:val="24"/>
          <w:szCs w:val="24"/>
        </w:rPr>
        <w:t xml:space="preserve"> has chapters on the character</w:t>
      </w:r>
      <w:r w:rsidR="00976A3D">
        <w:rPr>
          <w:rFonts w:ascii="Times New Roman" w:hAnsi="Times New Roman" w:cs="Times New Roman"/>
          <w:sz w:val="24"/>
          <w:szCs w:val="24"/>
        </w:rPr>
        <w:t>,</w:t>
      </w:r>
      <w:r w:rsidR="00E6699D">
        <w:rPr>
          <w:rFonts w:ascii="Times New Roman" w:hAnsi="Times New Roman" w:cs="Times New Roman"/>
          <w:sz w:val="24"/>
          <w:szCs w:val="24"/>
        </w:rPr>
        <w:t xml:space="preserve"> behaviour</w:t>
      </w:r>
      <w:r w:rsidR="00976A3D">
        <w:rPr>
          <w:rFonts w:ascii="Times New Roman" w:hAnsi="Times New Roman" w:cs="Times New Roman"/>
          <w:sz w:val="24"/>
          <w:szCs w:val="24"/>
        </w:rPr>
        <w:t xml:space="preserve"> and purpose</w:t>
      </w:r>
      <w:r w:rsidR="00E6699D">
        <w:rPr>
          <w:rFonts w:ascii="Times New Roman" w:hAnsi="Times New Roman" w:cs="Times New Roman"/>
          <w:sz w:val="24"/>
          <w:szCs w:val="24"/>
        </w:rPr>
        <w:t xml:space="preserve"> of abbot</w:t>
      </w:r>
      <w:r w:rsidR="004807D3">
        <w:rPr>
          <w:rFonts w:ascii="Times New Roman" w:hAnsi="Times New Roman" w:cs="Times New Roman"/>
          <w:sz w:val="24"/>
          <w:szCs w:val="24"/>
        </w:rPr>
        <w:t>s</w:t>
      </w:r>
      <w:r w:rsidR="00E6699D">
        <w:rPr>
          <w:rFonts w:ascii="Times New Roman" w:hAnsi="Times New Roman" w:cs="Times New Roman"/>
          <w:sz w:val="24"/>
          <w:szCs w:val="24"/>
        </w:rPr>
        <w:t xml:space="preserve">, </w:t>
      </w:r>
      <w:r w:rsidR="00976A3D">
        <w:rPr>
          <w:rFonts w:ascii="Times New Roman" w:hAnsi="Times New Roman" w:cs="Times New Roman"/>
          <w:sz w:val="24"/>
          <w:szCs w:val="24"/>
        </w:rPr>
        <w:t xml:space="preserve">in addition to </w:t>
      </w:r>
      <w:r w:rsidR="00E6699D">
        <w:rPr>
          <w:rFonts w:ascii="Times New Roman" w:hAnsi="Times New Roman" w:cs="Times New Roman"/>
          <w:sz w:val="24"/>
          <w:szCs w:val="24"/>
        </w:rPr>
        <w:t xml:space="preserve">how to </w:t>
      </w:r>
      <w:r w:rsidR="004807D3">
        <w:rPr>
          <w:rFonts w:ascii="Times New Roman" w:hAnsi="Times New Roman" w:cs="Times New Roman"/>
          <w:sz w:val="24"/>
          <w:szCs w:val="24"/>
        </w:rPr>
        <w:t>remove</w:t>
      </w:r>
      <w:r w:rsidR="00E6699D">
        <w:rPr>
          <w:rFonts w:ascii="Times New Roman" w:hAnsi="Times New Roman" w:cs="Times New Roman"/>
          <w:sz w:val="24"/>
          <w:szCs w:val="24"/>
        </w:rPr>
        <w:t xml:space="preserve"> a </w:t>
      </w:r>
      <w:r w:rsidR="00976A3D">
        <w:rPr>
          <w:rFonts w:ascii="Times New Roman" w:hAnsi="Times New Roman" w:cs="Times New Roman"/>
          <w:sz w:val="24"/>
          <w:szCs w:val="24"/>
        </w:rPr>
        <w:t>bad</w:t>
      </w:r>
      <w:r w:rsidR="00E6699D">
        <w:rPr>
          <w:rFonts w:ascii="Times New Roman" w:hAnsi="Times New Roman" w:cs="Times New Roman"/>
          <w:sz w:val="24"/>
          <w:szCs w:val="24"/>
        </w:rPr>
        <w:t xml:space="preserve"> abbot,</w:t>
      </w:r>
      <w:r w:rsidR="00E6699D">
        <w:rPr>
          <w:rStyle w:val="FootnoteReference"/>
          <w:rFonts w:ascii="Times New Roman" w:hAnsi="Times New Roman" w:cs="Times New Roman"/>
          <w:sz w:val="24"/>
          <w:szCs w:val="24"/>
        </w:rPr>
        <w:footnoteReference w:id="20"/>
      </w:r>
      <w:r w:rsidR="00E6699D">
        <w:rPr>
          <w:rFonts w:ascii="Times New Roman" w:hAnsi="Times New Roman" w:cs="Times New Roman"/>
          <w:sz w:val="24"/>
          <w:szCs w:val="24"/>
        </w:rPr>
        <w:t xml:space="preserve"> </w:t>
      </w:r>
      <w:r w:rsidR="004807D3">
        <w:rPr>
          <w:rFonts w:ascii="Times New Roman" w:hAnsi="Times New Roman" w:cs="Times New Roman"/>
          <w:sz w:val="24"/>
          <w:szCs w:val="24"/>
        </w:rPr>
        <w:t xml:space="preserve">but </w:t>
      </w:r>
      <w:r w:rsidR="00E6699D">
        <w:rPr>
          <w:rFonts w:ascii="Times New Roman" w:hAnsi="Times New Roman" w:cs="Times New Roman"/>
          <w:sz w:val="24"/>
          <w:szCs w:val="24"/>
        </w:rPr>
        <w:t xml:space="preserve">it does not describe what should happen if an abbot of new monastery were to die, </w:t>
      </w:r>
      <w:r w:rsidR="00976A3D">
        <w:rPr>
          <w:rFonts w:ascii="Times New Roman" w:hAnsi="Times New Roman" w:cs="Times New Roman"/>
          <w:sz w:val="24"/>
          <w:szCs w:val="24"/>
        </w:rPr>
        <w:t>as</w:t>
      </w:r>
      <w:r w:rsidR="00E6699D">
        <w:rPr>
          <w:rFonts w:ascii="Times New Roman" w:hAnsi="Times New Roman" w:cs="Times New Roman"/>
          <w:sz w:val="24"/>
          <w:szCs w:val="24"/>
        </w:rPr>
        <w:t xml:space="preserve"> the </w:t>
      </w:r>
      <w:r w:rsidR="00E6699D" w:rsidRPr="00EC0AC6">
        <w:rPr>
          <w:rFonts w:ascii="Times New Roman" w:hAnsi="Times New Roman" w:cs="Times New Roman"/>
          <w:i/>
          <w:iCs/>
          <w:sz w:val="24"/>
          <w:szCs w:val="24"/>
        </w:rPr>
        <w:t xml:space="preserve">Carta </w:t>
      </w:r>
      <w:proofErr w:type="spellStart"/>
      <w:r w:rsidR="00E6699D" w:rsidRPr="00EC0AC6">
        <w:rPr>
          <w:rFonts w:ascii="Times New Roman" w:hAnsi="Times New Roman" w:cs="Times New Roman"/>
          <w:i/>
          <w:iCs/>
          <w:sz w:val="24"/>
          <w:szCs w:val="24"/>
        </w:rPr>
        <w:t>Caritatis</w:t>
      </w:r>
      <w:proofErr w:type="spellEnd"/>
      <w:r w:rsidR="00E6699D">
        <w:rPr>
          <w:rFonts w:ascii="Times New Roman" w:hAnsi="Times New Roman" w:cs="Times New Roman"/>
          <w:sz w:val="24"/>
          <w:szCs w:val="24"/>
        </w:rPr>
        <w:t xml:space="preserve"> does.</w:t>
      </w:r>
      <w:r w:rsidR="00E6699D">
        <w:rPr>
          <w:rStyle w:val="FootnoteReference"/>
          <w:rFonts w:ascii="Times New Roman" w:hAnsi="Times New Roman" w:cs="Times New Roman"/>
          <w:sz w:val="24"/>
          <w:szCs w:val="24"/>
        </w:rPr>
        <w:footnoteReference w:id="21"/>
      </w:r>
      <w:r w:rsidR="00EC0AC6">
        <w:rPr>
          <w:rFonts w:ascii="Times New Roman" w:hAnsi="Times New Roman" w:cs="Times New Roman"/>
          <w:sz w:val="24"/>
          <w:szCs w:val="24"/>
        </w:rPr>
        <w:t xml:space="preserve"> In addition, the </w:t>
      </w:r>
      <w:r w:rsidR="00EC0AC6" w:rsidRPr="00EC0AC6">
        <w:rPr>
          <w:rFonts w:ascii="Times New Roman" w:hAnsi="Times New Roman" w:cs="Times New Roman"/>
          <w:i/>
          <w:iCs/>
          <w:sz w:val="24"/>
          <w:szCs w:val="24"/>
        </w:rPr>
        <w:t xml:space="preserve">Carta </w:t>
      </w:r>
      <w:proofErr w:type="spellStart"/>
      <w:r w:rsidR="00EC0AC6" w:rsidRPr="00EC0AC6">
        <w:rPr>
          <w:rFonts w:ascii="Times New Roman" w:hAnsi="Times New Roman" w:cs="Times New Roman"/>
          <w:i/>
          <w:iCs/>
          <w:sz w:val="24"/>
          <w:szCs w:val="24"/>
        </w:rPr>
        <w:t>Caritatis</w:t>
      </w:r>
      <w:proofErr w:type="spellEnd"/>
      <w:r w:rsidR="00EC0AC6">
        <w:rPr>
          <w:rFonts w:ascii="Times New Roman" w:hAnsi="Times New Roman" w:cs="Times New Roman"/>
          <w:sz w:val="24"/>
          <w:szCs w:val="24"/>
        </w:rPr>
        <w:t xml:space="preserve"> regulates the relations between the abbots of different monasteries</w:t>
      </w:r>
      <w:r w:rsidR="00642A3E">
        <w:rPr>
          <w:rFonts w:ascii="Times New Roman" w:hAnsi="Times New Roman" w:cs="Times New Roman"/>
          <w:sz w:val="24"/>
          <w:szCs w:val="24"/>
        </w:rPr>
        <w:t xml:space="preserve"> throughout</w:t>
      </w:r>
      <w:r w:rsidR="00EC0AC6">
        <w:rPr>
          <w:rFonts w:ascii="Times New Roman" w:hAnsi="Times New Roman" w:cs="Times New Roman"/>
          <w:sz w:val="24"/>
          <w:szCs w:val="24"/>
        </w:rPr>
        <w:t>.</w:t>
      </w:r>
      <w:r w:rsidR="00EC0AC6">
        <w:rPr>
          <w:rStyle w:val="FootnoteReference"/>
          <w:rFonts w:ascii="Times New Roman" w:hAnsi="Times New Roman" w:cs="Times New Roman"/>
          <w:sz w:val="24"/>
          <w:szCs w:val="24"/>
        </w:rPr>
        <w:footnoteReference w:id="22"/>
      </w:r>
    </w:p>
    <w:p w14:paraId="4C36B61E" w14:textId="343B0F7C" w:rsidR="00D17DDF" w:rsidRPr="00D17DDF" w:rsidRDefault="00D17DDF" w:rsidP="00BD3273">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In conclusion, the </w:t>
      </w:r>
      <w:r w:rsidRPr="00D17DDF">
        <w:rPr>
          <w:rFonts w:ascii="Times New Roman" w:hAnsi="Times New Roman" w:cs="Times New Roman"/>
          <w:i/>
          <w:iCs/>
          <w:sz w:val="24"/>
          <w:szCs w:val="24"/>
        </w:rPr>
        <w:t>Carta Caritatis</w:t>
      </w:r>
      <w:r>
        <w:rPr>
          <w:rFonts w:ascii="Times New Roman" w:hAnsi="Times New Roman" w:cs="Times New Roman"/>
          <w:i/>
          <w:iCs/>
          <w:sz w:val="24"/>
          <w:szCs w:val="24"/>
        </w:rPr>
        <w:t xml:space="preserve">’ </w:t>
      </w:r>
      <w:r>
        <w:rPr>
          <w:rFonts w:ascii="Times New Roman" w:hAnsi="Times New Roman" w:cs="Times New Roman"/>
          <w:sz w:val="24"/>
          <w:szCs w:val="24"/>
        </w:rPr>
        <w:t xml:space="preserve">main purpose was to regulate relations between the various Cistercian monasteries, because the </w:t>
      </w:r>
      <w:r>
        <w:rPr>
          <w:rFonts w:ascii="Times New Roman" w:hAnsi="Times New Roman" w:cs="Times New Roman"/>
          <w:i/>
          <w:iCs/>
          <w:sz w:val="24"/>
          <w:szCs w:val="24"/>
        </w:rPr>
        <w:t xml:space="preserve">Rule of Saint Benedict </w:t>
      </w:r>
      <w:r w:rsidRPr="00D17DDF">
        <w:rPr>
          <w:rFonts w:ascii="Times New Roman" w:hAnsi="Times New Roman" w:cs="Times New Roman"/>
          <w:sz w:val="24"/>
          <w:szCs w:val="24"/>
        </w:rPr>
        <w:t>was</w:t>
      </w:r>
      <w:r>
        <w:rPr>
          <w:rFonts w:ascii="Times New Roman" w:hAnsi="Times New Roman" w:cs="Times New Roman"/>
          <w:i/>
          <w:iCs/>
          <w:sz w:val="24"/>
          <w:szCs w:val="24"/>
        </w:rPr>
        <w:t xml:space="preserve"> </w:t>
      </w:r>
      <w:r>
        <w:rPr>
          <w:rFonts w:ascii="Times New Roman" w:hAnsi="Times New Roman" w:cs="Times New Roman"/>
          <w:sz w:val="24"/>
          <w:szCs w:val="24"/>
        </w:rPr>
        <w:t xml:space="preserve">not sufficiently detailed in this area. However, due to the arguments between scholars over the authorship and date of the </w:t>
      </w:r>
      <w:r w:rsidRPr="00D17DDF">
        <w:rPr>
          <w:rFonts w:ascii="Times New Roman" w:hAnsi="Times New Roman" w:cs="Times New Roman"/>
          <w:i/>
          <w:iCs/>
          <w:sz w:val="24"/>
          <w:szCs w:val="24"/>
        </w:rPr>
        <w:t>Carta Caritatis</w:t>
      </w:r>
      <w:r>
        <w:rPr>
          <w:rFonts w:ascii="Times New Roman" w:hAnsi="Times New Roman" w:cs="Times New Roman"/>
          <w:sz w:val="24"/>
          <w:szCs w:val="24"/>
        </w:rPr>
        <w:t>, it is difficult to surmise whether this was pre-planning for the</w:t>
      </w:r>
      <w:r w:rsidR="00976A3D">
        <w:rPr>
          <w:rFonts w:ascii="Times New Roman" w:hAnsi="Times New Roman" w:cs="Times New Roman"/>
          <w:sz w:val="24"/>
          <w:szCs w:val="24"/>
        </w:rPr>
        <w:t xml:space="preserve"> </w:t>
      </w:r>
      <w:r w:rsidR="00642A3E">
        <w:rPr>
          <w:rFonts w:ascii="Times New Roman" w:hAnsi="Times New Roman" w:cs="Times New Roman"/>
          <w:sz w:val="24"/>
          <w:szCs w:val="24"/>
        </w:rPr>
        <w:t>O</w:t>
      </w:r>
      <w:r w:rsidR="00976A3D">
        <w:rPr>
          <w:rFonts w:ascii="Times New Roman" w:hAnsi="Times New Roman" w:cs="Times New Roman"/>
          <w:sz w:val="24"/>
          <w:szCs w:val="24"/>
        </w:rPr>
        <w:t xml:space="preserve">rders </w:t>
      </w:r>
      <w:r>
        <w:rPr>
          <w:rFonts w:ascii="Times New Roman" w:hAnsi="Times New Roman" w:cs="Times New Roman"/>
          <w:sz w:val="24"/>
          <w:szCs w:val="24"/>
        </w:rPr>
        <w:t xml:space="preserve">expansion or a way of confirming what was already happening in this regard. However, even if the </w:t>
      </w:r>
      <w:r w:rsidRPr="00976A3D">
        <w:rPr>
          <w:rFonts w:ascii="Times New Roman" w:hAnsi="Times New Roman" w:cs="Times New Roman"/>
          <w:i/>
          <w:iCs/>
          <w:sz w:val="24"/>
          <w:szCs w:val="24"/>
        </w:rPr>
        <w:t>Carta Caritatis</w:t>
      </w:r>
      <w:r>
        <w:rPr>
          <w:rFonts w:ascii="Times New Roman" w:hAnsi="Times New Roman" w:cs="Times New Roman"/>
          <w:sz w:val="24"/>
          <w:szCs w:val="24"/>
        </w:rPr>
        <w:t xml:space="preserve"> was not written in 1119 by Harding as many scholars suggest, the fact that the prologue says it was written on </w:t>
      </w:r>
      <w:r w:rsidR="00976A3D">
        <w:rPr>
          <w:rFonts w:ascii="Times New Roman" w:hAnsi="Times New Roman" w:cs="Times New Roman"/>
          <w:sz w:val="24"/>
          <w:szCs w:val="24"/>
        </w:rPr>
        <w:t xml:space="preserve">his </w:t>
      </w:r>
      <w:r>
        <w:rPr>
          <w:rFonts w:ascii="Times New Roman" w:hAnsi="Times New Roman" w:cs="Times New Roman"/>
          <w:sz w:val="24"/>
          <w:szCs w:val="24"/>
        </w:rPr>
        <w:t>orders</w:t>
      </w:r>
      <w:r w:rsidR="00976A3D">
        <w:rPr>
          <w:rFonts w:ascii="Times New Roman" w:hAnsi="Times New Roman" w:cs="Times New Roman"/>
          <w:sz w:val="24"/>
          <w:szCs w:val="24"/>
        </w:rPr>
        <w:t>,</w:t>
      </w:r>
      <w:r w:rsidR="00822F63">
        <w:rPr>
          <w:rFonts w:ascii="Times New Roman" w:hAnsi="Times New Roman" w:cs="Times New Roman"/>
          <w:sz w:val="24"/>
          <w:szCs w:val="24"/>
        </w:rPr>
        <w:t xml:space="preserve"> suggests that it is based off an earlier work that he was involved with. This is still feasible even if the extant copies do indeed come from a later period.</w:t>
      </w:r>
    </w:p>
    <w:p w14:paraId="717AE7EA" w14:textId="77777777" w:rsidR="00E6699D" w:rsidRDefault="00E6699D" w:rsidP="00BD3273">
      <w:pPr>
        <w:spacing w:line="360" w:lineRule="auto"/>
        <w:jc w:val="center"/>
        <w:rPr>
          <w:rFonts w:ascii="Times New Roman" w:hAnsi="Times New Roman" w:cs="Times New Roman"/>
          <w:b/>
          <w:bCs/>
          <w:sz w:val="48"/>
          <w:szCs w:val="48"/>
        </w:rPr>
      </w:pPr>
    </w:p>
    <w:p w14:paraId="2F9AF714" w14:textId="77777777" w:rsidR="00976A3D" w:rsidRDefault="00976A3D" w:rsidP="00BD3273">
      <w:pPr>
        <w:spacing w:line="360" w:lineRule="auto"/>
        <w:jc w:val="center"/>
        <w:rPr>
          <w:rFonts w:ascii="Times New Roman" w:hAnsi="Times New Roman" w:cs="Times New Roman"/>
          <w:b/>
          <w:bCs/>
          <w:sz w:val="48"/>
          <w:szCs w:val="48"/>
        </w:rPr>
      </w:pPr>
    </w:p>
    <w:p w14:paraId="5A9CD22A" w14:textId="77777777" w:rsidR="00976A3D" w:rsidRDefault="00976A3D" w:rsidP="00BD3273">
      <w:pPr>
        <w:spacing w:line="360" w:lineRule="auto"/>
        <w:jc w:val="center"/>
        <w:rPr>
          <w:rFonts w:ascii="Times New Roman" w:hAnsi="Times New Roman" w:cs="Times New Roman"/>
          <w:b/>
          <w:bCs/>
          <w:sz w:val="48"/>
          <w:szCs w:val="48"/>
        </w:rPr>
      </w:pPr>
    </w:p>
    <w:p w14:paraId="76B222BE" w14:textId="67058A70" w:rsidR="00B304FD" w:rsidRDefault="00B304FD" w:rsidP="00BD3273">
      <w:pPr>
        <w:spacing w:line="360" w:lineRule="auto"/>
        <w:jc w:val="center"/>
        <w:rPr>
          <w:rFonts w:ascii="Times New Roman" w:hAnsi="Times New Roman" w:cs="Times New Roman"/>
          <w:b/>
          <w:bCs/>
          <w:sz w:val="48"/>
          <w:szCs w:val="48"/>
        </w:rPr>
      </w:pPr>
      <w:r>
        <w:rPr>
          <w:rFonts w:ascii="Times New Roman" w:hAnsi="Times New Roman" w:cs="Times New Roman"/>
          <w:b/>
          <w:bCs/>
          <w:sz w:val="48"/>
          <w:szCs w:val="48"/>
        </w:rPr>
        <w:lastRenderedPageBreak/>
        <w:t>Bibliography</w:t>
      </w:r>
    </w:p>
    <w:p w14:paraId="29635D25" w14:textId="5126DB2E" w:rsidR="00B304FD" w:rsidRDefault="00B304FD" w:rsidP="00BD3273">
      <w:pPr>
        <w:spacing w:line="360" w:lineRule="auto"/>
        <w:rPr>
          <w:rFonts w:ascii="Times New Roman" w:hAnsi="Times New Roman" w:cs="Times New Roman"/>
          <w:b/>
          <w:bCs/>
          <w:sz w:val="24"/>
          <w:szCs w:val="24"/>
        </w:rPr>
      </w:pPr>
      <w:r>
        <w:rPr>
          <w:rFonts w:ascii="Times New Roman" w:hAnsi="Times New Roman" w:cs="Times New Roman"/>
          <w:b/>
          <w:bCs/>
          <w:sz w:val="24"/>
          <w:szCs w:val="24"/>
        </w:rPr>
        <w:t>Primary Sources</w:t>
      </w:r>
    </w:p>
    <w:p w14:paraId="72EABC8F" w14:textId="77777777" w:rsidR="00E6699D" w:rsidRDefault="00E6699D" w:rsidP="00BD3273">
      <w:pPr>
        <w:spacing w:line="360" w:lineRule="auto"/>
        <w:rPr>
          <w:rFonts w:ascii="Times New Roman" w:hAnsi="Times New Roman" w:cs="Times New Roman"/>
          <w:sz w:val="24"/>
          <w:szCs w:val="24"/>
        </w:rPr>
      </w:pPr>
      <w:r w:rsidRPr="00131923">
        <w:rPr>
          <w:rFonts w:ascii="Times New Roman" w:hAnsi="Times New Roman" w:cs="Times New Roman"/>
          <w:i/>
          <w:iCs/>
          <w:sz w:val="24"/>
          <w:szCs w:val="24"/>
        </w:rPr>
        <w:t xml:space="preserve">Carta Caritatis (Charter of Charity), </w:t>
      </w:r>
      <w:r>
        <w:rPr>
          <w:rFonts w:ascii="Times New Roman" w:hAnsi="Times New Roman" w:cs="Times New Roman"/>
          <w:i/>
          <w:iCs/>
          <w:sz w:val="24"/>
          <w:szCs w:val="24"/>
        </w:rPr>
        <w:t xml:space="preserve">Prologue; </w:t>
      </w:r>
      <w:r w:rsidRPr="00131923">
        <w:rPr>
          <w:rFonts w:ascii="Times New Roman" w:hAnsi="Times New Roman" w:cs="Times New Roman"/>
          <w:i/>
          <w:iCs/>
          <w:sz w:val="24"/>
          <w:szCs w:val="24"/>
        </w:rPr>
        <w:t>Chapter 11, On the Death and Election of Abbots</w:t>
      </w:r>
      <w:r w:rsidRPr="00131923">
        <w:rPr>
          <w:rFonts w:ascii="Times New Roman" w:hAnsi="Times New Roman" w:cs="Times New Roman"/>
          <w:sz w:val="24"/>
          <w:szCs w:val="24"/>
        </w:rPr>
        <w:t xml:space="preserve">, Order of Cistercians of the Strict Observance, [online], available at: </w:t>
      </w:r>
      <w:hyperlink r:id="rId7" w:history="1">
        <w:r w:rsidRPr="001E0B0D">
          <w:rPr>
            <w:rStyle w:val="Hyperlink"/>
            <w:rFonts w:ascii="Times New Roman" w:hAnsi="Times New Roman" w:cs="Times New Roman"/>
            <w:sz w:val="24"/>
            <w:szCs w:val="24"/>
          </w:rPr>
          <w:t>https://ocso.org/wp-content/uploads/2016/05/EN-Carta-Caritatis.pdf</w:t>
        </w:r>
      </w:hyperlink>
      <w:r w:rsidRPr="00131923">
        <w:rPr>
          <w:rFonts w:ascii="Times New Roman" w:hAnsi="Times New Roman" w:cs="Times New Roman"/>
          <w:sz w:val="24"/>
          <w:szCs w:val="24"/>
        </w:rPr>
        <w:t>, (accessed 27/02/2024)</w:t>
      </w:r>
    </w:p>
    <w:p w14:paraId="3250BF79" w14:textId="77777777" w:rsidR="00E6699D" w:rsidRDefault="00E6699D" w:rsidP="00BD3273">
      <w:pPr>
        <w:spacing w:line="360" w:lineRule="auto"/>
        <w:rPr>
          <w:rFonts w:ascii="Times New Roman" w:hAnsi="Times New Roman" w:cs="Times New Roman"/>
          <w:sz w:val="24"/>
          <w:szCs w:val="24"/>
        </w:rPr>
      </w:pPr>
      <w:r w:rsidRPr="00857367">
        <w:rPr>
          <w:rFonts w:ascii="Times New Roman" w:hAnsi="Times New Roman" w:cs="Times New Roman"/>
          <w:sz w:val="24"/>
          <w:szCs w:val="24"/>
        </w:rPr>
        <w:t xml:space="preserve">Harding, Stephan, The Admonition of Stephan Harding. In </w:t>
      </w:r>
      <w:r w:rsidRPr="00857367">
        <w:rPr>
          <w:rFonts w:ascii="Times New Roman" w:hAnsi="Times New Roman" w:cs="Times New Roman"/>
          <w:i/>
          <w:iCs/>
          <w:sz w:val="24"/>
          <w:szCs w:val="24"/>
        </w:rPr>
        <w:t>The Cistercian World: Monastic Writings of the Twelfth Century</w:t>
      </w:r>
      <w:r w:rsidRPr="00857367">
        <w:rPr>
          <w:rFonts w:ascii="Times New Roman" w:hAnsi="Times New Roman" w:cs="Times New Roman"/>
          <w:sz w:val="24"/>
          <w:szCs w:val="24"/>
        </w:rPr>
        <w:t>, Translated and Edited by Pauline Matarasso, (London: Penguin Classics, 1993)</w:t>
      </w:r>
    </w:p>
    <w:p w14:paraId="5ECE52CE" w14:textId="77777777" w:rsidR="00E6699D" w:rsidRPr="00B304FD" w:rsidRDefault="00E6699D" w:rsidP="00BD3273">
      <w:pPr>
        <w:spacing w:line="360" w:lineRule="auto"/>
        <w:rPr>
          <w:rFonts w:ascii="Times New Roman" w:hAnsi="Times New Roman" w:cs="Times New Roman"/>
          <w:sz w:val="24"/>
          <w:szCs w:val="24"/>
        </w:rPr>
      </w:pPr>
      <w:r w:rsidRPr="00E6699D">
        <w:rPr>
          <w:rFonts w:ascii="Times New Roman" w:hAnsi="Times New Roman" w:cs="Times New Roman"/>
          <w:sz w:val="24"/>
          <w:szCs w:val="24"/>
        </w:rPr>
        <w:t xml:space="preserve">Saint Benedict, </w:t>
      </w:r>
      <w:r w:rsidRPr="00E6699D">
        <w:rPr>
          <w:rFonts w:ascii="Times New Roman" w:hAnsi="Times New Roman" w:cs="Times New Roman"/>
          <w:i/>
          <w:iCs/>
          <w:sz w:val="24"/>
          <w:szCs w:val="24"/>
        </w:rPr>
        <w:t>The Rule of Saint Benedict</w:t>
      </w:r>
      <w:r w:rsidRPr="00E6699D">
        <w:rPr>
          <w:rFonts w:ascii="Times New Roman" w:hAnsi="Times New Roman" w:cs="Times New Roman"/>
          <w:sz w:val="24"/>
          <w:szCs w:val="24"/>
        </w:rPr>
        <w:t>, Translated by David Perry, (London: Darton, Longman &amp; Todd Ltd, 1984)</w:t>
      </w:r>
    </w:p>
    <w:p w14:paraId="2EB3D662" w14:textId="2A349D19" w:rsidR="00B304FD" w:rsidRDefault="00B304FD" w:rsidP="00BD3273">
      <w:pPr>
        <w:spacing w:line="360" w:lineRule="auto"/>
        <w:rPr>
          <w:rFonts w:ascii="Times New Roman" w:hAnsi="Times New Roman" w:cs="Times New Roman"/>
          <w:b/>
          <w:bCs/>
          <w:sz w:val="24"/>
          <w:szCs w:val="24"/>
        </w:rPr>
      </w:pPr>
      <w:r>
        <w:rPr>
          <w:rFonts w:ascii="Times New Roman" w:hAnsi="Times New Roman" w:cs="Times New Roman"/>
          <w:b/>
          <w:bCs/>
          <w:sz w:val="24"/>
          <w:szCs w:val="24"/>
        </w:rPr>
        <w:t>Secondary Sources</w:t>
      </w:r>
    </w:p>
    <w:p w14:paraId="1D7E8DEC" w14:textId="77777777" w:rsidR="00E25923" w:rsidRDefault="00E25923" w:rsidP="00BD3273">
      <w:pPr>
        <w:spacing w:line="360" w:lineRule="auto"/>
        <w:rPr>
          <w:rFonts w:ascii="Times New Roman" w:hAnsi="Times New Roman" w:cs="Times New Roman"/>
          <w:sz w:val="24"/>
          <w:szCs w:val="24"/>
        </w:rPr>
      </w:pPr>
      <w:r w:rsidRPr="00A272BA">
        <w:rPr>
          <w:rFonts w:ascii="Times New Roman" w:hAnsi="Times New Roman" w:cs="Times New Roman"/>
          <w:sz w:val="24"/>
          <w:szCs w:val="24"/>
        </w:rPr>
        <w:t xml:space="preserve">Berman, Constance Hoffman, </w:t>
      </w:r>
      <w:r w:rsidRPr="00A272BA">
        <w:rPr>
          <w:rFonts w:ascii="Times New Roman" w:hAnsi="Times New Roman" w:cs="Times New Roman"/>
          <w:i/>
          <w:iCs/>
          <w:sz w:val="24"/>
          <w:szCs w:val="24"/>
        </w:rPr>
        <w:t xml:space="preserve">The Cistercian Evolution, the Invention of a Religious Order in </w:t>
      </w:r>
      <w:proofErr w:type="gramStart"/>
      <w:r w:rsidRPr="00A272BA">
        <w:rPr>
          <w:rFonts w:ascii="Times New Roman" w:hAnsi="Times New Roman" w:cs="Times New Roman"/>
          <w:i/>
          <w:iCs/>
          <w:sz w:val="24"/>
          <w:szCs w:val="24"/>
        </w:rPr>
        <w:t>Twelfth-Century Europe</w:t>
      </w:r>
      <w:proofErr w:type="gramEnd"/>
      <w:r w:rsidRPr="00A272BA">
        <w:rPr>
          <w:rFonts w:ascii="Times New Roman" w:hAnsi="Times New Roman" w:cs="Times New Roman"/>
          <w:sz w:val="24"/>
          <w:szCs w:val="24"/>
        </w:rPr>
        <w:t>, (Philadelphia: University of Pennsylvania Press, 2000)</w:t>
      </w:r>
    </w:p>
    <w:p w14:paraId="1B175E4B" w14:textId="77777777" w:rsidR="00E25923" w:rsidRDefault="00E25923" w:rsidP="00BD3273">
      <w:pPr>
        <w:spacing w:line="360" w:lineRule="auto"/>
        <w:rPr>
          <w:rFonts w:ascii="Times New Roman" w:hAnsi="Times New Roman" w:cs="Times New Roman"/>
          <w:sz w:val="24"/>
          <w:szCs w:val="24"/>
        </w:rPr>
      </w:pPr>
      <w:r w:rsidRPr="00E25923">
        <w:rPr>
          <w:rFonts w:ascii="Times New Roman" w:hAnsi="Times New Roman" w:cs="Times New Roman"/>
          <w:sz w:val="24"/>
          <w:szCs w:val="24"/>
        </w:rPr>
        <w:t xml:space="preserve">Burton, Janet, </w:t>
      </w:r>
      <w:r w:rsidRPr="00E25923">
        <w:rPr>
          <w:rFonts w:ascii="Times New Roman" w:hAnsi="Times New Roman" w:cs="Times New Roman"/>
          <w:i/>
          <w:iCs/>
          <w:sz w:val="24"/>
          <w:szCs w:val="24"/>
        </w:rPr>
        <w:t>The Monastic and Religious Orders in Britain, 1000-1300</w:t>
      </w:r>
      <w:r w:rsidRPr="00E25923">
        <w:rPr>
          <w:rFonts w:ascii="Times New Roman" w:hAnsi="Times New Roman" w:cs="Times New Roman"/>
          <w:sz w:val="24"/>
          <w:szCs w:val="24"/>
        </w:rPr>
        <w:t>, (Cambridge: Cambridge University Press, 1994)</w:t>
      </w:r>
    </w:p>
    <w:p w14:paraId="6A8928A1" w14:textId="77777777" w:rsidR="00E25923" w:rsidRPr="00B304FD" w:rsidRDefault="00E25923" w:rsidP="00BD3273">
      <w:pPr>
        <w:spacing w:line="360" w:lineRule="auto"/>
        <w:rPr>
          <w:rFonts w:ascii="Times New Roman" w:hAnsi="Times New Roman" w:cs="Times New Roman"/>
          <w:sz w:val="24"/>
          <w:szCs w:val="24"/>
        </w:rPr>
      </w:pPr>
      <w:proofErr w:type="spellStart"/>
      <w:r w:rsidRPr="00DF3B77">
        <w:rPr>
          <w:rFonts w:ascii="Times New Roman" w:hAnsi="Times New Roman" w:cs="Times New Roman"/>
          <w:sz w:val="24"/>
          <w:szCs w:val="24"/>
        </w:rPr>
        <w:t>Jamroziak</w:t>
      </w:r>
      <w:proofErr w:type="spellEnd"/>
      <w:r w:rsidRPr="00DF3B77">
        <w:rPr>
          <w:rFonts w:ascii="Times New Roman" w:hAnsi="Times New Roman" w:cs="Times New Roman"/>
          <w:sz w:val="24"/>
          <w:szCs w:val="24"/>
        </w:rPr>
        <w:t xml:space="preserve">, Emilia, </w:t>
      </w:r>
      <w:r w:rsidRPr="00DF3B77">
        <w:rPr>
          <w:rFonts w:ascii="Times New Roman" w:hAnsi="Times New Roman" w:cs="Times New Roman"/>
          <w:i/>
          <w:iCs/>
          <w:sz w:val="24"/>
          <w:szCs w:val="24"/>
        </w:rPr>
        <w:t>The Cistercian Order in Medieval Europe 1090-1500</w:t>
      </w:r>
      <w:r w:rsidRPr="00DF3B77">
        <w:rPr>
          <w:rFonts w:ascii="Times New Roman" w:hAnsi="Times New Roman" w:cs="Times New Roman"/>
          <w:sz w:val="24"/>
          <w:szCs w:val="24"/>
        </w:rPr>
        <w:t>, (Abingdon: Routledge, 2013)</w:t>
      </w:r>
    </w:p>
    <w:p w14:paraId="2AE889F9" w14:textId="77777777" w:rsidR="00E25923" w:rsidRDefault="00E25923" w:rsidP="00BD3273">
      <w:pPr>
        <w:spacing w:line="360" w:lineRule="auto"/>
        <w:rPr>
          <w:rFonts w:ascii="Times New Roman" w:hAnsi="Times New Roman" w:cs="Times New Roman"/>
          <w:sz w:val="24"/>
          <w:szCs w:val="24"/>
        </w:rPr>
      </w:pPr>
      <w:r w:rsidRPr="00DF3B77">
        <w:rPr>
          <w:rFonts w:ascii="Times New Roman" w:hAnsi="Times New Roman" w:cs="Times New Roman"/>
          <w:sz w:val="24"/>
          <w:szCs w:val="24"/>
        </w:rPr>
        <w:t xml:space="preserve">Lawrence, C.H., </w:t>
      </w:r>
      <w:r w:rsidRPr="00DF3B77">
        <w:rPr>
          <w:rFonts w:ascii="Times New Roman" w:hAnsi="Times New Roman" w:cs="Times New Roman"/>
          <w:i/>
          <w:iCs/>
          <w:sz w:val="24"/>
          <w:szCs w:val="24"/>
        </w:rPr>
        <w:t>Medieval Monasticism, Forms of Religious Life in Western Europe in the Middle Ages</w:t>
      </w:r>
      <w:r w:rsidRPr="00DF3B77">
        <w:rPr>
          <w:rFonts w:ascii="Times New Roman" w:hAnsi="Times New Roman" w:cs="Times New Roman"/>
          <w:sz w:val="24"/>
          <w:szCs w:val="24"/>
        </w:rPr>
        <w:t>, Second Edition, (London: Longman Group UK Limited, 1989)</w:t>
      </w:r>
    </w:p>
    <w:p w14:paraId="3601D4FF" w14:textId="77777777" w:rsidR="00E25923" w:rsidRDefault="00E25923" w:rsidP="00BD3273">
      <w:pPr>
        <w:spacing w:line="360" w:lineRule="auto"/>
        <w:rPr>
          <w:rFonts w:ascii="Times New Roman" w:hAnsi="Times New Roman" w:cs="Times New Roman"/>
          <w:sz w:val="24"/>
          <w:szCs w:val="24"/>
        </w:rPr>
      </w:pPr>
      <w:r w:rsidRPr="00EC0EDE">
        <w:rPr>
          <w:rFonts w:ascii="Times New Roman" w:hAnsi="Times New Roman" w:cs="Times New Roman"/>
          <w:sz w:val="24"/>
          <w:szCs w:val="24"/>
        </w:rPr>
        <w:t xml:space="preserve">Lekai, Louis J., </w:t>
      </w:r>
      <w:r w:rsidRPr="00EC0EDE">
        <w:rPr>
          <w:rFonts w:ascii="Times New Roman" w:hAnsi="Times New Roman" w:cs="Times New Roman"/>
          <w:i/>
          <w:iCs/>
          <w:sz w:val="24"/>
          <w:szCs w:val="24"/>
        </w:rPr>
        <w:t>The Cistercians, Ideal and Reality</w:t>
      </w:r>
      <w:r w:rsidRPr="00EC0EDE">
        <w:rPr>
          <w:rFonts w:ascii="Times New Roman" w:hAnsi="Times New Roman" w:cs="Times New Roman"/>
          <w:sz w:val="24"/>
          <w:szCs w:val="24"/>
        </w:rPr>
        <w:t>, (Kent, Ohio: The Kent State University Press, 1977)</w:t>
      </w:r>
    </w:p>
    <w:p w14:paraId="7F5515AC" w14:textId="77777777" w:rsidR="00E25923" w:rsidRDefault="00E25923" w:rsidP="00BD3273">
      <w:pPr>
        <w:spacing w:line="360" w:lineRule="auto"/>
        <w:rPr>
          <w:rFonts w:ascii="Times New Roman" w:hAnsi="Times New Roman" w:cs="Times New Roman"/>
          <w:sz w:val="24"/>
          <w:szCs w:val="24"/>
        </w:rPr>
      </w:pPr>
      <w:r w:rsidRPr="002128F1">
        <w:rPr>
          <w:rFonts w:ascii="Times New Roman" w:hAnsi="Times New Roman" w:cs="Times New Roman"/>
          <w:sz w:val="24"/>
          <w:szCs w:val="24"/>
        </w:rPr>
        <w:t xml:space="preserve">Newman, Martha G., </w:t>
      </w:r>
      <w:proofErr w:type="gramStart"/>
      <w:r w:rsidRPr="002128F1">
        <w:rPr>
          <w:rFonts w:ascii="Times New Roman" w:hAnsi="Times New Roman" w:cs="Times New Roman"/>
          <w:sz w:val="24"/>
          <w:szCs w:val="24"/>
        </w:rPr>
        <w:t>Foundation</w:t>
      </w:r>
      <w:proofErr w:type="gramEnd"/>
      <w:r w:rsidRPr="002128F1">
        <w:rPr>
          <w:rFonts w:ascii="Times New Roman" w:hAnsi="Times New Roman" w:cs="Times New Roman"/>
          <w:sz w:val="24"/>
          <w:szCs w:val="24"/>
        </w:rPr>
        <w:t xml:space="preserve"> and the Twelfth Century. In </w:t>
      </w:r>
      <w:r w:rsidRPr="002128F1">
        <w:rPr>
          <w:rFonts w:ascii="Times New Roman" w:hAnsi="Times New Roman" w:cs="Times New Roman"/>
          <w:i/>
          <w:iCs/>
          <w:sz w:val="24"/>
          <w:szCs w:val="24"/>
        </w:rPr>
        <w:t>The Cambridge Companion to the Cistercian Order</w:t>
      </w:r>
      <w:r w:rsidRPr="002128F1">
        <w:rPr>
          <w:rFonts w:ascii="Times New Roman" w:hAnsi="Times New Roman" w:cs="Times New Roman"/>
          <w:sz w:val="24"/>
          <w:szCs w:val="24"/>
        </w:rPr>
        <w:t>, Edited by Mette Birkedal Bruun, (Cambridge: Cambridge University Press, 2013)</w:t>
      </w:r>
    </w:p>
    <w:p w14:paraId="7E2D5BEB" w14:textId="77777777" w:rsidR="00E25923" w:rsidRDefault="00E25923" w:rsidP="00BD3273">
      <w:pPr>
        <w:spacing w:line="360" w:lineRule="auto"/>
        <w:rPr>
          <w:rFonts w:ascii="Times New Roman" w:hAnsi="Times New Roman" w:cs="Times New Roman"/>
          <w:sz w:val="24"/>
          <w:szCs w:val="24"/>
        </w:rPr>
      </w:pPr>
      <w:r w:rsidRPr="008447D7">
        <w:rPr>
          <w:rFonts w:ascii="Times New Roman" w:hAnsi="Times New Roman" w:cs="Times New Roman"/>
          <w:sz w:val="24"/>
          <w:szCs w:val="24"/>
        </w:rPr>
        <w:t xml:space="preserve">Newman, Martha G., </w:t>
      </w:r>
      <w:r w:rsidRPr="008447D7">
        <w:rPr>
          <w:rFonts w:ascii="Times New Roman" w:hAnsi="Times New Roman" w:cs="Times New Roman"/>
          <w:i/>
          <w:iCs/>
          <w:sz w:val="24"/>
          <w:szCs w:val="24"/>
        </w:rPr>
        <w:t>The Boundaries of Charity, Cistercian Culture and Ecclesiastical Reform, 1098-1180</w:t>
      </w:r>
      <w:r w:rsidRPr="008447D7">
        <w:rPr>
          <w:rFonts w:ascii="Times New Roman" w:hAnsi="Times New Roman" w:cs="Times New Roman"/>
          <w:sz w:val="24"/>
          <w:szCs w:val="24"/>
        </w:rPr>
        <w:t>, (Stanford, California: Stanford University Press, 1996)</w:t>
      </w:r>
    </w:p>
    <w:sectPr w:rsidR="00E259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25F30" w14:textId="77777777" w:rsidR="00E5649C" w:rsidRDefault="00E5649C" w:rsidP="00B00175">
      <w:pPr>
        <w:spacing w:after="0" w:line="240" w:lineRule="auto"/>
      </w:pPr>
      <w:r>
        <w:separator/>
      </w:r>
    </w:p>
  </w:endnote>
  <w:endnote w:type="continuationSeparator" w:id="0">
    <w:p w14:paraId="07DB6088" w14:textId="77777777" w:rsidR="00E5649C" w:rsidRDefault="00E5649C" w:rsidP="00B001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200F4" w14:textId="77777777" w:rsidR="00E5649C" w:rsidRDefault="00E5649C" w:rsidP="00B00175">
      <w:pPr>
        <w:spacing w:after="0" w:line="240" w:lineRule="auto"/>
      </w:pPr>
      <w:r>
        <w:separator/>
      </w:r>
    </w:p>
  </w:footnote>
  <w:footnote w:type="continuationSeparator" w:id="0">
    <w:p w14:paraId="5B2C43BD" w14:textId="77777777" w:rsidR="00E5649C" w:rsidRDefault="00E5649C" w:rsidP="00B00175">
      <w:pPr>
        <w:spacing w:after="0" w:line="240" w:lineRule="auto"/>
      </w:pPr>
      <w:r>
        <w:continuationSeparator/>
      </w:r>
    </w:p>
  </w:footnote>
  <w:footnote w:id="1">
    <w:p w14:paraId="4A139BFB" w14:textId="161F31A9" w:rsidR="00B00175" w:rsidRDefault="00B00175">
      <w:pPr>
        <w:pStyle w:val="FootnoteText"/>
      </w:pPr>
      <w:r>
        <w:rPr>
          <w:rStyle w:val="FootnoteReference"/>
        </w:rPr>
        <w:footnoteRef/>
      </w:r>
      <w:r>
        <w:t xml:space="preserve"> </w:t>
      </w:r>
      <w:bookmarkStart w:id="0" w:name="_Hlk159934034"/>
      <w:r w:rsidR="00084211" w:rsidRPr="00635D2F">
        <w:rPr>
          <w:i/>
          <w:iCs/>
        </w:rPr>
        <w:t>Carta Caritatis (Charter of Charity), Chapter 11, On the Death and Election of Abbots</w:t>
      </w:r>
      <w:r w:rsidR="00084211">
        <w:t xml:space="preserve">, Order of Cistercians of the Strict Observance, [online], available at: </w:t>
      </w:r>
      <w:hyperlink r:id="rId1" w:history="1">
        <w:r w:rsidR="00084211" w:rsidRPr="001E0B0D">
          <w:rPr>
            <w:rStyle w:val="Hyperlink"/>
          </w:rPr>
          <w:t>https://ocso.org/wp-content/uploads/2016/05/EN-Carta-Caritatis.pdf</w:t>
        </w:r>
      </w:hyperlink>
      <w:r w:rsidR="00084211">
        <w:t>, (accessed 27/02/2024)</w:t>
      </w:r>
      <w:bookmarkEnd w:id="0"/>
    </w:p>
  </w:footnote>
  <w:footnote w:id="2">
    <w:p w14:paraId="02366734" w14:textId="6952EB7F" w:rsidR="009C6E4F" w:rsidRPr="00702323" w:rsidRDefault="009C6E4F">
      <w:pPr>
        <w:pStyle w:val="FootnoteText"/>
      </w:pPr>
      <w:r>
        <w:rPr>
          <w:rStyle w:val="FootnoteReference"/>
        </w:rPr>
        <w:footnoteRef/>
      </w:r>
      <w:r>
        <w:t xml:space="preserve"> </w:t>
      </w:r>
      <w:r w:rsidRPr="009C6E4F">
        <w:rPr>
          <w:i/>
          <w:iCs/>
        </w:rPr>
        <w:t xml:space="preserve">Carta </w:t>
      </w:r>
      <w:bookmarkStart w:id="1" w:name="_Hlk160116688"/>
      <w:r w:rsidRPr="009C6E4F">
        <w:rPr>
          <w:i/>
          <w:iCs/>
        </w:rPr>
        <w:t xml:space="preserve">Caritatis (Charter of Charity), </w:t>
      </w:r>
      <w:proofErr w:type="spellStart"/>
      <w:r w:rsidRPr="009C6E4F">
        <w:rPr>
          <w:i/>
          <w:iCs/>
        </w:rPr>
        <w:t>Prolouge</w:t>
      </w:r>
      <w:proofErr w:type="spellEnd"/>
      <w:r>
        <w:t>,</w:t>
      </w:r>
      <w:r w:rsidRPr="009C6E4F">
        <w:t xml:space="preserve"> Order of Cistercians of the Strict Observance, [online], available at: </w:t>
      </w:r>
      <w:hyperlink r:id="rId2" w:history="1">
        <w:r w:rsidR="00B71598" w:rsidRPr="00A9401D">
          <w:rPr>
            <w:rStyle w:val="Hyperlink"/>
          </w:rPr>
          <w:t>https://ocso.org/wp-content/uploads/2016/05/EN-Carta-Caritatis.pdf</w:t>
        </w:r>
      </w:hyperlink>
      <w:r w:rsidRPr="009C6E4F">
        <w:t>, (accessed 27/02/2024)</w:t>
      </w:r>
      <w:bookmarkEnd w:id="1"/>
      <w:r w:rsidR="00702323">
        <w:t xml:space="preserve">; </w:t>
      </w:r>
      <w:bookmarkStart w:id="2" w:name="_Hlk159944548"/>
      <w:r w:rsidR="00702323">
        <w:t xml:space="preserve">Newman, Martha G., </w:t>
      </w:r>
      <w:r w:rsidR="00702323">
        <w:rPr>
          <w:i/>
          <w:iCs/>
        </w:rPr>
        <w:t xml:space="preserve">The Boundaries of Charity, Cistercian Culture and Ecclesiastical Reform, 1098-1180, </w:t>
      </w:r>
      <w:r w:rsidR="00702323">
        <w:t>(Stanford, California: Stanford University Press, 1996)</w:t>
      </w:r>
      <w:bookmarkEnd w:id="2"/>
      <w:r w:rsidR="00702323">
        <w:t>, p.1</w:t>
      </w:r>
    </w:p>
  </w:footnote>
  <w:footnote w:id="3">
    <w:p w14:paraId="19C220DF" w14:textId="0B5E9BDB" w:rsidR="00D35885" w:rsidRDefault="00D35885">
      <w:pPr>
        <w:pStyle w:val="FootnoteText"/>
      </w:pPr>
      <w:r>
        <w:rPr>
          <w:rStyle w:val="FootnoteReference"/>
        </w:rPr>
        <w:footnoteRef/>
      </w:r>
      <w:r>
        <w:t xml:space="preserve"> </w:t>
      </w:r>
      <w:r w:rsidRPr="00D35885">
        <w:rPr>
          <w:i/>
          <w:iCs/>
        </w:rPr>
        <w:t>Carta Caritatis (Charter of Charity), Chapter 11, On the Death and Election of Abbots</w:t>
      </w:r>
    </w:p>
  </w:footnote>
  <w:footnote w:id="4">
    <w:p w14:paraId="493452A0" w14:textId="1B96CB38" w:rsidR="0092314D" w:rsidRDefault="0092314D">
      <w:pPr>
        <w:pStyle w:val="FootnoteText"/>
      </w:pPr>
      <w:r>
        <w:rPr>
          <w:rStyle w:val="FootnoteReference"/>
        </w:rPr>
        <w:footnoteRef/>
      </w:r>
      <w:r>
        <w:t xml:space="preserve"> </w:t>
      </w:r>
      <w:r w:rsidRPr="0051339E">
        <w:rPr>
          <w:i/>
          <w:iCs/>
        </w:rPr>
        <w:t>Carta Caritatis (Charter of Charity), Chapter 11, On the Death and Election of Abbots</w:t>
      </w:r>
      <w:r w:rsidRPr="0092314D">
        <w:t>)</w:t>
      </w:r>
    </w:p>
  </w:footnote>
  <w:footnote w:id="5">
    <w:p w14:paraId="2092D2CD" w14:textId="448078C5" w:rsidR="00F3518D" w:rsidRPr="00DF3B77" w:rsidRDefault="00F3518D">
      <w:pPr>
        <w:pStyle w:val="FootnoteText"/>
      </w:pPr>
      <w:r>
        <w:rPr>
          <w:rStyle w:val="FootnoteReference"/>
        </w:rPr>
        <w:footnoteRef/>
      </w:r>
      <w:r>
        <w:t xml:space="preserve"> </w:t>
      </w:r>
      <w:r w:rsidRPr="00F3518D">
        <w:t xml:space="preserve">Newman, Martha G., </w:t>
      </w:r>
      <w:r w:rsidRPr="00F3518D">
        <w:rPr>
          <w:i/>
          <w:iCs/>
        </w:rPr>
        <w:t>The Boundaries of Charity</w:t>
      </w:r>
      <w:r w:rsidRPr="00F3518D">
        <w:t>, p.1</w:t>
      </w:r>
      <w:r>
        <w:t xml:space="preserve">; Lawrence, C.H., </w:t>
      </w:r>
      <w:r>
        <w:rPr>
          <w:i/>
          <w:iCs/>
        </w:rPr>
        <w:t xml:space="preserve">Medieval Monasticism, Forms of Religious Life in Western Europe in the Middle Ages, </w:t>
      </w:r>
      <w:r>
        <w:t>Second Edition, (London: Longman Group UK Limited, 1989), p.186</w:t>
      </w:r>
      <w:r w:rsidR="00DF3B77">
        <w:t xml:space="preserve">; </w:t>
      </w:r>
      <w:proofErr w:type="spellStart"/>
      <w:r w:rsidR="00DF3B77">
        <w:t>Jamroziak</w:t>
      </w:r>
      <w:proofErr w:type="spellEnd"/>
      <w:r w:rsidR="00DF3B77">
        <w:t xml:space="preserve">, Emilia, </w:t>
      </w:r>
      <w:r w:rsidR="00DF3B77">
        <w:rPr>
          <w:i/>
          <w:iCs/>
        </w:rPr>
        <w:t xml:space="preserve">The Cistercian Order in Medieval Europe 1090-1500, </w:t>
      </w:r>
      <w:r w:rsidR="00DF3B77">
        <w:t>(Abingdon: Routledge, 2013), p.20</w:t>
      </w:r>
    </w:p>
  </w:footnote>
  <w:footnote w:id="6">
    <w:p w14:paraId="69DC51BF" w14:textId="56829285" w:rsidR="00F7781F" w:rsidRPr="002128F1" w:rsidRDefault="00F7781F">
      <w:pPr>
        <w:pStyle w:val="FootnoteText"/>
      </w:pPr>
      <w:r>
        <w:rPr>
          <w:rStyle w:val="FootnoteReference"/>
        </w:rPr>
        <w:footnoteRef/>
      </w:r>
      <w:r>
        <w:t xml:space="preserve"> </w:t>
      </w:r>
      <w:bookmarkStart w:id="3" w:name="_Hlk160113253"/>
      <w:bookmarkStart w:id="4" w:name="_Hlk160113979"/>
      <w:r>
        <w:t xml:space="preserve">Berman, Constance Hoffman, </w:t>
      </w:r>
      <w:r>
        <w:rPr>
          <w:i/>
          <w:iCs/>
        </w:rPr>
        <w:t xml:space="preserve">The Cistercian Evolution, the Invention of a Religious Order in </w:t>
      </w:r>
      <w:proofErr w:type="gramStart"/>
      <w:r>
        <w:rPr>
          <w:i/>
          <w:iCs/>
        </w:rPr>
        <w:t>Twelfth-Century Europe</w:t>
      </w:r>
      <w:proofErr w:type="gramEnd"/>
      <w:r>
        <w:rPr>
          <w:i/>
          <w:iCs/>
        </w:rPr>
        <w:t xml:space="preserve">, </w:t>
      </w:r>
      <w:r>
        <w:t>(Philadelphia: University of Pennsylvania Press, 2000)</w:t>
      </w:r>
      <w:bookmarkEnd w:id="3"/>
      <w:r>
        <w:t>, p.</w:t>
      </w:r>
      <w:bookmarkEnd w:id="4"/>
      <w:r>
        <w:t>46-47</w:t>
      </w:r>
      <w:r w:rsidR="002128F1">
        <w:t xml:space="preserve">; </w:t>
      </w:r>
      <w:bookmarkStart w:id="5" w:name="_Hlk160113802"/>
      <w:r w:rsidR="002128F1">
        <w:t xml:space="preserve">Newman, Martha G., Foundation and the Twelfth Century. In </w:t>
      </w:r>
      <w:r w:rsidR="002128F1">
        <w:rPr>
          <w:i/>
          <w:iCs/>
        </w:rPr>
        <w:t xml:space="preserve">The Cambridge Companion to the Cistercian Order, </w:t>
      </w:r>
      <w:r w:rsidR="002128F1">
        <w:t>Edited by Mette Birkedal Bruun, (Cambridge: Cambridge University Press, 2013)</w:t>
      </w:r>
      <w:bookmarkEnd w:id="5"/>
      <w:r w:rsidR="002128F1">
        <w:t>, p.</w:t>
      </w:r>
      <w:proofErr w:type="gramStart"/>
      <w:r w:rsidR="002128F1">
        <w:t>27</w:t>
      </w:r>
      <w:proofErr w:type="gramEnd"/>
    </w:p>
  </w:footnote>
  <w:footnote w:id="7">
    <w:p w14:paraId="415957F4" w14:textId="7FD53F52" w:rsidR="002128F1" w:rsidRDefault="002128F1">
      <w:pPr>
        <w:pStyle w:val="FootnoteText"/>
      </w:pPr>
      <w:r>
        <w:rPr>
          <w:rStyle w:val="FootnoteReference"/>
        </w:rPr>
        <w:footnoteRef/>
      </w:r>
      <w:r>
        <w:t xml:space="preserve"> </w:t>
      </w:r>
      <w:bookmarkStart w:id="6" w:name="_Hlk160114228"/>
      <w:r w:rsidRPr="002128F1">
        <w:t xml:space="preserve">Berman, Constance Hoffman, </w:t>
      </w:r>
      <w:r w:rsidRPr="002128F1">
        <w:rPr>
          <w:i/>
          <w:iCs/>
        </w:rPr>
        <w:t>The Cistercian Evolution</w:t>
      </w:r>
      <w:r w:rsidRPr="002128F1">
        <w:t>, p.</w:t>
      </w:r>
      <w:bookmarkEnd w:id="6"/>
      <w:r>
        <w:t>46-47</w:t>
      </w:r>
    </w:p>
  </w:footnote>
  <w:footnote w:id="8">
    <w:p w14:paraId="189AD244" w14:textId="7DB4A872" w:rsidR="002128F1" w:rsidRDefault="002128F1">
      <w:pPr>
        <w:pStyle w:val="FootnoteText"/>
      </w:pPr>
      <w:r>
        <w:rPr>
          <w:rStyle w:val="FootnoteReference"/>
        </w:rPr>
        <w:footnoteRef/>
      </w:r>
      <w:r>
        <w:t xml:space="preserve"> </w:t>
      </w:r>
      <w:r w:rsidRPr="002128F1">
        <w:t xml:space="preserve">Berman, Constance Hoffman, </w:t>
      </w:r>
      <w:r w:rsidRPr="006F2002">
        <w:rPr>
          <w:i/>
          <w:iCs/>
        </w:rPr>
        <w:t>The Cistercian Evolution</w:t>
      </w:r>
      <w:r w:rsidRPr="002128F1">
        <w:t>, p.</w:t>
      </w:r>
      <w:r w:rsidR="006F2002">
        <w:t>47-48</w:t>
      </w:r>
    </w:p>
  </w:footnote>
  <w:footnote w:id="9">
    <w:p w14:paraId="65CB6D6A" w14:textId="0D5CAC23" w:rsidR="00837DCF" w:rsidRDefault="00837DCF">
      <w:pPr>
        <w:pStyle w:val="FootnoteText"/>
      </w:pPr>
      <w:r>
        <w:rPr>
          <w:rStyle w:val="FootnoteReference"/>
        </w:rPr>
        <w:footnoteRef/>
      </w:r>
      <w:r>
        <w:t xml:space="preserve"> </w:t>
      </w:r>
      <w:r w:rsidRPr="00837DCF">
        <w:t>Newman, Martha G., Foundation and the Twelfth Century</w:t>
      </w:r>
      <w:r>
        <w:t>, p.27-28</w:t>
      </w:r>
      <w:r w:rsidR="00D23BDE">
        <w:t xml:space="preserve">; </w:t>
      </w:r>
      <w:bookmarkStart w:id="7" w:name="_Hlk160117383"/>
      <w:proofErr w:type="spellStart"/>
      <w:r w:rsidR="00D23BDE" w:rsidRPr="00D23BDE">
        <w:t>Jamroziak</w:t>
      </w:r>
      <w:proofErr w:type="spellEnd"/>
      <w:r w:rsidR="00D23BDE" w:rsidRPr="00D23BDE">
        <w:t xml:space="preserve">, Emilia, </w:t>
      </w:r>
      <w:r w:rsidR="00D23BDE" w:rsidRPr="00D23BDE">
        <w:rPr>
          <w:i/>
          <w:iCs/>
        </w:rPr>
        <w:t>The Cistercian Order in Medieval Europe</w:t>
      </w:r>
      <w:r w:rsidR="00D23BDE" w:rsidRPr="00D23BDE">
        <w:t>, p.</w:t>
      </w:r>
      <w:bookmarkEnd w:id="7"/>
      <w:r w:rsidR="00D23BDE">
        <w:t>20</w:t>
      </w:r>
    </w:p>
  </w:footnote>
  <w:footnote w:id="10">
    <w:p w14:paraId="5512F525" w14:textId="3A3F0AF4" w:rsidR="003F1F85" w:rsidRPr="009220AE" w:rsidRDefault="003F1F85">
      <w:pPr>
        <w:pStyle w:val="FootnoteText"/>
      </w:pPr>
      <w:r>
        <w:rPr>
          <w:rStyle w:val="FootnoteReference"/>
        </w:rPr>
        <w:footnoteRef/>
      </w:r>
      <w:r>
        <w:t xml:space="preserve"> </w:t>
      </w:r>
      <w:bookmarkStart w:id="8" w:name="_Hlk160199798"/>
      <w:r w:rsidR="0046335B" w:rsidRPr="0046335B">
        <w:t xml:space="preserve">Lawrence, C.H., </w:t>
      </w:r>
      <w:r w:rsidR="0046335B" w:rsidRPr="0046335B">
        <w:rPr>
          <w:i/>
          <w:iCs/>
        </w:rPr>
        <w:t>Medieval Monasticism</w:t>
      </w:r>
      <w:r w:rsidR="0046335B" w:rsidRPr="0046335B">
        <w:t>, p.</w:t>
      </w:r>
      <w:bookmarkEnd w:id="8"/>
      <w:r w:rsidR="0046335B" w:rsidRPr="0046335B">
        <w:t>186</w:t>
      </w:r>
      <w:r w:rsidR="0046335B">
        <w:t xml:space="preserve">; </w:t>
      </w:r>
      <w:bookmarkStart w:id="9" w:name="_Hlk160116240"/>
      <w:r w:rsidR="00EC0EDE">
        <w:t xml:space="preserve">Lekai, Louis J., </w:t>
      </w:r>
      <w:r w:rsidR="00EC0EDE">
        <w:rPr>
          <w:i/>
          <w:iCs/>
        </w:rPr>
        <w:t xml:space="preserve">The Cistercians, Ideal and Reality, </w:t>
      </w:r>
      <w:r w:rsidR="00EC0EDE">
        <w:t>(Kent, Ohio: The Kent State University Press, 1977)</w:t>
      </w:r>
      <w:bookmarkEnd w:id="9"/>
      <w:r w:rsidR="00EC0EDE">
        <w:t>, p.21</w:t>
      </w:r>
      <w:r w:rsidR="009220AE">
        <w:t xml:space="preserve">; </w:t>
      </w:r>
      <w:bookmarkStart w:id="10" w:name="_Hlk160117310"/>
      <w:r w:rsidR="009220AE">
        <w:t xml:space="preserve">Burton, Janet, </w:t>
      </w:r>
      <w:r w:rsidR="009220AE">
        <w:rPr>
          <w:i/>
          <w:iCs/>
        </w:rPr>
        <w:t xml:space="preserve">The Monastic and Religious Orders in Britain, 1000-1300, </w:t>
      </w:r>
      <w:r w:rsidR="009220AE">
        <w:t>(Cambridge: Cambridge University Press, 1994)</w:t>
      </w:r>
      <w:bookmarkEnd w:id="10"/>
      <w:r w:rsidR="009220AE">
        <w:t>, p.65-66</w:t>
      </w:r>
    </w:p>
  </w:footnote>
  <w:footnote w:id="11">
    <w:p w14:paraId="74BA5ACA" w14:textId="61A0AAD5" w:rsidR="00EC0EDE" w:rsidRDefault="00EC0EDE">
      <w:pPr>
        <w:pStyle w:val="FootnoteText"/>
      </w:pPr>
      <w:r>
        <w:rPr>
          <w:rStyle w:val="FootnoteReference"/>
        </w:rPr>
        <w:footnoteRef/>
      </w:r>
      <w:r>
        <w:t xml:space="preserve"> </w:t>
      </w:r>
      <w:bookmarkStart w:id="11" w:name="_Hlk160117825"/>
      <w:r w:rsidR="006F3EC0" w:rsidRPr="006F3EC0">
        <w:rPr>
          <w:i/>
          <w:iCs/>
        </w:rPr>
        <w:t xml:space="preserve">Carta </w:t>
      </w:r>
      <w:r w:rsidRPr="006F3EC0">
        <w:rPr>
          <w:i/>
          <w:iCs/>
        </w:rPr>
        <w:t xml:space="preserve">Caritatis (Charter of Charity), </w:t>
      </w:r>
      <w:proofErr w:type="spellStart"/>
      <w:r w:rsidRPr="006F3EC0">
        <w:rPr>
          <w:i/>
          <w:iCs/>
        </w:rPr>
        <w:t>Prolouge</w:t>
      </w:r>
      <w:bookmarkEnd w:id="11"/>
      <w:proofErr w:type="spellEnd"/>
    </w:p>
  </w:footnote>
  <w:footnote w:id="12">
    <w:p w14:paraId="03A73D72" w14:textId="2D6C0588" w:rsidR="009220AE" w:rsidRDefault="009220AE">
      <w:pPr>
        <w:pStyle w:val="FootnoteText"/>
      </w:pPr>
      <w:r>
        <w:rPr>
          <w:rStyle w:val="FootnoteReference"/>
        </w:rPr>
        <w:footnoteRef/>
      </w:r>
      <w:r>
        <w:t xml:space="preserve"> </w:t>
      </w:r>
      <w:r w:rsidRPr="009220AE">
        <w:t>Newman, Martha G., Foundation and the Twelfth Century, p.</w:t>
      </w:r>
      <w:r>
        <w:t xml:space="preserve">28; </w:t>
      </w:r>
      <w:proofErr w:type="spellStart"/>
      <w:r w:rsidR="004E0E24" w:rsidRPr="004E0E24">
        <w:t>Jamroziak</w:t>
      </w:r>
      <w:proofErr w:type="spellEnd"/>
      <w:r w:rsidR="004E0E24" w:rsidRPr="004E0E24">
        <w:t xml:space="preserve">, Emilia, </w:t>
      </w:r>
      <w:r w:rsidR="004E0E24" w:rsidRPr="004E0E24">
        <w:rPr>
          <w:i/>
          <w:iCs/>
        </w:rPr>
        <w:t>The Cistercian Order in Medieval Europe</w:t>
      </w:r>
      <w:r w:rsidR="004E0E24" w:rsidRPr="004E0E24">
        <w:t>, p.</w:t>
      </w:r>
      <w:r w:rsidR="004E0E24">
        <w:t>20</w:t>
      </w:r>
    </w:p>
  </w:footnote>
  <w:footnote w:id="13">
    <w:p w14:paraId="2FBF230C" w14:textId="147484AF" w:rsidR="00322CB0" w:rsidRDefault="00322CB0">
      <w:pPr>
        <w:pStyle w:val="FootnoteText"/>
      </w:pPr>
      <w:r>
        <w:rPr>
          <w:rStyle w:val="FootnoteReference"/>
        </w:rPr>
        <w:footnoteRef/>
      </w:r>
      <w:r>
        <w:t xml:space="preserve"> </w:t>
      </w:r>
      <w:bookmarkStart w:id="12" w:name="_Hlk160200660"/>
      <w:r w:rsidRPr="00322CB0">
        <w:t xml:space="preserve">Berman, Constance Hoffman, </w:t>
      </w:r>
      <w:r w:rsidRPr="00322CB0">
        <w:rPr>
          <w:i/>
          <w:iCs/>
        </w:rPr>
        <w:t>The Cistercian Evolution</w:t>
      </w:r>
      <w:r w:rsidRPr="00322CB0">
        <w:t>, p.</w:t>
      </w:r>
      <w:bookmarkEnd w:id="12"/>
      <w:r w:rsidRPr="00322CB0">
        <w:t>46-47</w:t>
      </w:r>
    </w:p>
  </w:footnote>
  <w:footnote w:id="14">
    <w:p w14:paraId="3F354532" w14:textId="73998724" w:rsidR="00F12349" w:rsidRPr="00C6446F" w:rsidRDefault="00F12349">
      <w:pPr>
        <w:pStyle w:val="FootnoteText"/>
      </w:pPr>
      <w:r>
        <w:rPr>
          <w:rStyle w:val="FootnoteReference"/>
        </w:rPr>
        <w:footnoteRef/>
      </w:r>
      <w:r>
        <w:t xml:space="preserve"> </w:t>
      </w:r>
      <w:r w:rsidRPr="00F12349">
        <w:rPr>
          <w:i/>
          <w:iCs/>
        </w:rPr>
        <w:t xml:space="preserve">Carta Caritatis (Charter of Charity), </w:t>
      </w:r>
      <w:proofErr w:type="spellStart"/>
      <w:r w:rsidRPr="00F12349">
        <w:rPr>
          <w:i/>
          <w:iCs/>
        </w:rPr>
        <w:t>Prolouge</w:t>
      </w:r>
      <w:proofErr w:type="spellEnd"/>
      <w:r w:rsidR="00872981">
        <w:rPr>
          <w:i/>
          <w:iCs/>
        </w:rPr>
        <w:t xml:space="preserve">; </w:t>
      </w:r>
      <w:r w:rsidR="00C6446F">
        <w:t xml:space="preserve">Harding, Stephan, The Admonition of Stephan Harding. In </w:t>
      </w:r>
      <w:r w:rsidR="00C6446F">
        <w:rPr>
          <w:i/>
          <w:iCs/>
        </w:rPr>
        <w:t xml:space="preserve">The Cistercian World: Monastic Writings of the Twelfth Century, </w:t>
      </w:r>
      <w:r w:rsidR="00C6446F">
        <w:t>Translated and Edited by Pauline Matarasso, (London: Penguin Classics, 1993), p.</w:t>
      </w:r>
      <w:proofErr w:type="gramStart"/>
      <w:r w:rsidR="00C6446F">
        <w:t>10</w:t>
      </w:r>
      <w:proofErr w:type="gramEnd"/>
    </w:p>
  </w:footnote>
  <w:footnote w:id="15">
    <w:p w14:paraId="16E7966E" w14:textId="3D6F0F9A" w:rsidR="00122D1A" w:rsidRDefault="00122D1A">
      <w:pPr>
        <w:pStyle w:val="FootnoteText"/>
      </w:pPr>
      <w:r>
        <w:rPr>
          <w:rStyle w:val="FootnoteReference"/>
        </w:rPr>
        <w:footnoteRef/>
      </w:r>
      <w:r>
        <w:t xml:space="preserve"> </w:t>
      </w:r>
      <w:r w:rsidRPr="00122D1A">
        <w:t xml:space="preserve">Newman, Martha G., </w:t>
      </w:r>
      <w:r w:rsidRPr="00122D1A">
        <w:rPr>
          <w:i/>
          <w:iCs/>
        </w:rPr>
        <w:t>The Boundaries of Charity</w:t>
      </w:r>
      <w:r w:rsidRPr="00122D1A">
        <w:t>, p.1</w:t>
      </w:r>
      <w:r w:rsidR="006436F8">
        <w:t xml:space="preserve">; </w:t>
      </w:r>
      <w:r w:rsidR="006436F8" w:rsidRPr="006436F8">
        <w:t xml:space="preserve">Lawrence, C.H., </w:t>
      </w:r>
      <w:r w:rsidR="006436F8" w:rsidRPr="006436F8">
        <w:rPr>
          <w:i/>
          <w:iCs/>
        </w:rPr>
        <w:t>Medieval Monasticism</w:t>
      </w:r>
      <w:r w:rsidR="006436F8" w:rsidRPr="006436F8">
        <w:t>, p.</w:t>
      </w:r>
      <w:r w:rsidR="006436F8">
        <w:t>175-176</w:t>
      </w:r>
    </w:p>
  </w:footnote>
  <w:footnote w:id="16">
    <w:p w14:paraId="37909E72" w14:textId="5AE89B3A" w:rsidR="00F84E67" w:rsidRDefault="00F84E67">
      <w:pPr>
        <w:pStyle w:val="FootnoteText"/>
      </w:pPr>
      <w:r>
        <w:rPr>
          <w:rStyle w:val="FootnoteReference"/>
        </w:rPr>
        <w:footnoteRef/>
      </w:r>
      <w:r>
        <w:t xml:space="preserve"> </w:t>
      </w:r>
      <w:r w:rsidRPr="00F84E67">
        <w:t xml:space="preserve">Lawrence, C.H., </w:t>
      </w:r>
      <w:r w:rsidRPr="00FA536D">
        <w:rPr>
          <w:i/>
          <w:iCs/>
        </w:rPr>
        <w:t>Medieval Monasticism</w:t>
      </w:r>
      <w:r w:rsidRPr="00F84E67">
        <w:t>, p.175-176</w:t>
      </w:r>
      <w:r>
        <w:t xml:space="preserve">; </w:t>
      </w:r>
      <w:r w:rsidRPr="00F84E67">
        <w:t>Newman, Martha G., Foundation and the Twelfth Century, p.</w:t>
      </w:r>
      <w:r>
        <w:t>27</w:t>
      </w:r>
    </w:p>
  </w:footnote>
  <w:footnote w:id="17">
    <w:p w14:paraId="36F44FEC" w14:textId="0232D73A" w:rsidR="00FA536D" w:rsidRDefault="00FA536D">
      <w:pPr>
        <w:pStyle w:val="FootnoteText"/>
      </w:pPr>
      <w:r>
        <w:rPr>
          <w:rStyle w:val="FootnoteReference"/>
        </w:rPr>
        <w:footnoteRef/>
      </w:r>
      <w:r>
        <w:t xml:space="preserve"> </w:t>
      </w:r>
      <w:bookmarkStart w:id="13" w:name="_Hlk160201290"/>
      <w:r w:rsidRPr="00FA536D">
        <w:t xml:space="preserve">Berman, Constance Hoffman, </w:t>
      </w:r>
      <w:r w:rsidRPr="00FA536D">
        <w:rPr>
          <w:i/>
          <w:iCs/>
        </w:rPr>
        <w:t>The Cistercian Evolution</w:t>
      </w:r>
      <w:r w:rsidRPr="00FA536D">
        <w:t>, p.</w:t>
      </w:r>
      <w:r>
        <w:t>47</w:t>
      </w:r>
      <w:bookmarkEnd w:id="13"/>
      <w:r>
        <w:t>-48</w:t>
      </w:r>
    </w:p>
  </w:footnote>
  <w:footnote w:id="18">
    <w:p w14:paraId="0FD43685" w14:textId="4BBAE69F" w:rsidR="00400473" w:rsidRDefault="00400473">
      <w:pPr>
        <w:pStyle w:val="FootnoteText"/>
      </w:pPr>
      <w:r>
        <w:rPr>
          <w:rStyle w:val="FootnoteReference"/>
        </w:rPr>
        <w:footnoteRef/>
      </w:r>
      <w:r>
        <w:t xml:space="preserve"> </w:t>
      </w:r>
      <w:r w:rsidRPr="00400473">
        <w:t xml:space="preserve">Berman, Constance Hoffman, </w:t>
      </w:r>
      <w:r w:rsidRPr="00400473">
        <w:rPr>
          <w:i/>
          <w:iCs/>
        </w:rPr>
        <w:t>The Cistercian Evolution</w:t>
      </w:r>
      <w:r w:rsidRPr="00400473">
        <w:t>, p.47</w:t>
      </w:r>
      <w:r>
        <w:t xml:space="preserve">; </w:t>
      </w:r>
      <w:r w:rsidR="00847E37" w:rsidRPr="00847E37">
        <w:t xml:space="preserve">Newman, Martha G., </w:t>
      </w:r>
      <w:r w:rsidR="00847E37" w:rsidRPr="00847E37">
        <w:rPr>
          <w:i/>
          <w:iCs/>
        </w:rPr>
        <w:t>The Boundaries of Charity</w:t>
      </w:r>
      <w:r w:rsidR="00847E37" w:rsidRPr="00847E37">
        <w:t>, p.</w:t>
      </w:r>
      <w:r w:rsidR="00847E37">
        <w:t>47-48</w:t>
      </w:r>
    </w:p>
  </w:footnote>
  <w:footnote w:id="19">
    <w:p w14:paraId="2CD8BBF7" w14:textId="04004FDE" w:rsidR="00FF05AB" w:rsidRDefault="00FF05AB">
      <w:pPr>
        <w:pStyle w:val="FootnoteText"/>
      </w:pPr>
      <w:r>
        <w:rPr>
          <w:rStyle w:val="FootnoteReference"/>
        </w:rPr>
        <w:footnoteRef/>
      </w:r>
      <w:r>
        <w:t xml:space="preserve"> </w:t>
      </w:r>
      <w:r w:rsidRPr="00FF05AB">
        <w:t xml:space="preserve">Newman, Martha G., </w:t>
      </w:r>
      <w:r w:rsidRPr="00FF05AB">
        <w:rPr>
          <w:i/>
          <w:iCs/>
        </w:rPr>
        <w:t>The Boundaries of Charity</w:t>
      </w:r>
      <w:r w:rsidRPr="00FF05AB">
        <w:t>, p.47-48</w:t>
      </w:r>
    </w:p>
  </w:footnote>
  <w:footnote w:id="20">
    <w:p w14:paraId="0D2B1182" w14:textId="1BE60BEE" w:rsidR="00E6699D" w:rsidRPr="00E6699D" w:rsidRDefault="00E6699D">
      <w:pPr>
        <w:pStyle w:val="FootnoteText"/>
      </w:pPr>
      <w:r>
        <w:rPr>
          <w:rStyle w:val="FootnoteReference"/>
        </w:rPr>
        <w:footnoteRef/>
      </w:r>
      <w:r>
        <w:t xml:space="preserve"> Saint Benedict, </w:t>
      </w:r>
      <w:r>
        <w:rPr>
          <w:i/>
          <w:iCs/>
        </w:rPr>
        <w:t xml:space="preserve">The Rule of Saint Benedict, </w:t>
      </w:r>
      <w:r>
        <w:t>Translated by David Perry, (London: Darton, Longman &amp; Todd Ltd, 1984), p.11-15, 49-50, 86-87, 101-103</w:t>
      </w:r>
    </w:p>
  </w:footnote>
  <w:footnote w:id="21">
    <w:p w14:paraId="48A5068C" w14:textId="5094FA8F" w:rsidR="00E6699D" w:rsidRDefault="00E6699D">
      <w:pPr>
        <w:pStyle w:val="FootnoteText"/>
      </w:pPr>
      <w:r>
        <w:rPr>
          <w:rStyle w:val="FootnoteReference"/>
        </w:rPr>
        <w:footnoteRef/>
      </w:r>
      <w:r>
        <w:t xml:space="preserve"> </w:t>
      </w:r>
      <w:bookmarkStart w:id="14" w:name="_Hlk160202982"/>
      <w:r w:rsidR="00EC0AC6" w:rsidRPr="00EC0AC6">
        <w:rPr>
          <w:i/>
          <w:iCs/>
        </w:rPr>
        <w:t>Carta Caritatis (Charter of Charity)</w:t>
      </w:r>
      <w:bookmarkEnd w:id="14"/>
      <w:r w:rsidR="00EC0AC6" w:rsidRPr="00EC0AC6">
        <w:rPr>
          <w:i/>
          <w:iCs/>
        </w:rPr>
        <w:t>, Chapter 11, On the Death and Election of Abbots</w:t>
      </w:r>
    </w:p>
  </w:footnote>
  <w:footnote w:id="22">
    <w:p w14:paraId="25F27DE9" w14:textId="3727692E" w:rsidR="00EC0AC6" w:rsidRPr="00EC0AC6" w:rsidRDefault="00EC0AC6">
      <w:pPr>
        <w:pStyle w:val="FootnoteText"/>
        <w:rPr>
          <w:i/>
          <w:iCs/>
        </w:rPr>
      </w:pPr>
      <w:r>
        <w:rPr>
          <w:rStyle w:val="FootnoteReference"/>
        </w:rPr>
        <w:footnoteRef/>
      </w:r>
      <w:r>
        <w:t xml:space="preserve"> </w:t>
      </w:r>
      <w:r w:rsidRPr="00EC0AC6">
        <w:rPr>
          <w:i/>
          <w:iCs/>
        </w:rPr>
        <w:t>Carta Caritatis (Charter of Charity)</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4FD"/>
    <w:rsid w:val="00054597"/>
    <w:rsid w:val="00064B30"/>
    <w:rsid w:val="00084211"/>
    <w:rsid w:val="000B1A2F"/>
    <w:rsid w:val="000E5597"/>
    <w:rsid w:val="00122D1A"/>
    <w:rsid w:val="00131923"/>
    <w:rsid w:val="00163B53"/>
    <w:rsid w:val="001949BC"/>
    <w:rsid w:val="001A030D"/>
    <w:rsid w:val="001E46C4"/>
    <w:rsid w:val="002128F1"/>
    <w:rsid w:val="00217C3A"/>
    <w:rsid w:val="0023205D"/>
    <w:rsid w:val="00237797"/>
    <w:rsid w:val="002B55EE"/>
    <w:rsid w:val="00313A95"/>
    <w:rsid w:val="00321CBB"/>
    <w:rsid w:val="00322CB0"/>
    <w:rsid w:val="00336CD4"/>
    <w:rsid w:val="003639D0"/>
    <w:rsid w:val="00371B96"/>
    <w:rsid w:val="003B6F77"/>
    <w:rsid w:val="003C17C8"/>
    <w:rsid w:val="003F1F85"/>
    <w:rsid w:val="00400473"/>
    <w:rsid w:val="0040198D"/>
    <w:rsid w:val="004475F8"/>
    <w:rsid w:val="00461803"/>
    <w:rsid w:val="0046335B"/>
    <w:rsid w:val="004807D3"/>
    <w:rsid w:val="00481B29"/>
    <w:rsid w:val="004B4006"/>
    <w:rsid w:val="004E0E24"/>
    <w:rsid w:val="004E609A"/>
    <w:rsid w:val="0051339E"/>
    <w:rsid w:val="005869BE"/>
    <w:rsid w:val="0061773B"/>
    <w:rsid w:val="00635D2F"/>
    <w:rsid w:val="00642A3E"/>
    <w:rsid w:val="006436F8"/>
    <w:rsid w:val="00674847"/>
    <w:rsid w:val="00675F49"/>
    <w:rsid w:val="006C05CC"/>
    <w:rsid w:val="006F2002"/>
    <w:rsid w:val="006F3EC0"/>
    <w:rsid w:val="00702323"/>
    <w:rsid w:val="00726BAF"/>
    <w:rsid w:val="007357B2"/>
    <w:rsid w:val="00742D92"/>
    <w:rsid w:val="00784E3D"/>
    <w:rsid w:val="007A71FE"/>
    <w:rsid w:val="00822F63"/>
    <w:rsid w:val="00837DCF"/>
    <w:rsid w:val="008447D7"/>
    <w:rsid w:val="00847E37"/>
    <w:rsid w:val="00852DF7"/>
    <w:rsid w:val="00857367"/>
    <w:rsid w:val="00872981"/>
    <w:rsid w:val="008E4C7B"/>
    <w:rsid w:val="008F745D"/>
    <w:rsid w:val="009220AE"/>
    <w:rsid w:val="0092314D"/>
    <w:rsid w:val="0094637A"/>
    <w:rsid w:val="00971AED"/>
    <w:rsid w:val="00976A3D"/>
    <w:rsid w:val="00983CEE"/>
    <w:rsid w:val="009C6CE5"/>
    <w:rsid w:val="009C6E4F"/>
    <w:rsid w:val="009F4B47"/>
    <w:rsid w:val="00A272BA"/>
    <w:rsid w:val="00A83B21"/>
    <w:rsid w:val="00AE0928"/>
    <w:rsid w:val="00B00175"/>
    <w:rsid w:val="00B228D7"/>
    <w:rsid w:val="00B304FD"/>
    <w:rsid w:val="00B35ECB"/>
    <w:rsid w:val="00B71598"/>
    <w:rsid w:val="00BC1132"/>
    <w:rsid w:val="00BD3273"/>
    <w:rsid w:val="00C05E07"/>
    <w:rsid w:val="00C367B7"/>
    <w:rsid w:val="00C37509"/>
    <w:rsid w:val="00C412E0"/>
    <w:rsid w:val="00C6446F"/>
    <w:rsid w:val="00D17DDF"/>
    <w:rsid w:val="00D23BDE"/>
    <w:rsid w:val="00D35885"/>
    <w:rsid w:val="00D644BB"/>
    <w:rsid w:val="00DE1959"/>
    <w:rsid w:val="00DE5FF1"/>
    <w:rsid w:val="00DF3B77"/>
    <w:rsid w:val="00DF69EE"/>
    <w:rsid w:val="00E25923"/>
    <w:rsid w:val="00E5649C"/>
    <w:rsid w:val="00E6699D"/>
    <w:rsid w:val="00EC0AC6"/>
    <w:rsid w:val="00EC0EDE"/>
    <w:rsid w:val="00F12349"/>
    <w:rsid w:val="00F17A93"/>
    <w:rsid w:val="00F3518D"/>
    <w:rsid w:val="00F454BD"/>
    <w:rsid w:val="00F7781F"/>
    <w:rsid w:val="00F83DF8"/>
    <w:rsid w:val="00F84E67"/>
    <w:rsid w:val="00FA536D"/>
    <w:rsid w:val="00FF05AB"/>
    <w:rsid w:val="00FF4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643F93"/>
  <w15:chartTrackingRefBased/>
  <w15:docId w15:val="{B8A64E03-2D0F-41E5-8DC6-A579E110C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0017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0175"/>
    <w:rPr>
      <w:sz w:val="20"/>
      <w:szCs w:val="20"/>
    </w:rPr>
  </w:style>
  <w:style w:type="character" w:styleId="FootnoteReference">
    <w:name w:val="footnote reference"/>
    <w:basedOn w:val="DefaultParagraphFont"/>
    <w:uiPriority w:val="99"/>
    <w:semiHidden/>
    <w:unhideWhenUsed/>
    <w:rsid w:val="00B00175"/>
    <w:rPr>
      <w:vertAlign w:val="superscript"/>
    </w:rPr>
  </w:style>
  <w:style w:type="character" w:styleId="Hyperlink">
    <w:name w:val="Hyperlink"/>
    <w:basedOn w:val="DefaultParagraphFont"/>
    <w:uiPriority w:val="99"/>
    <w:unhideWhenUsed/>
    <w:rsid w:val="00084211"/>
    <w:rPr>
      <w:color w:val="0563C1" w:themeColor="hyperlink"/>
      <w:u w:val="single"/>
    </w:rPr>
  </w:style>
  <w:style w:type="character" w:styleId="UnresolvedMention">
    <w:name w:val="Unresolved Mention"/>
    <w:basedOn w:val="DefaultParagraphFont"/>
    <w:uiPriority w:val="99"/>
    <w:semiHidden/>
    <w:unhideWhenUsed/>
    <w:rsid w:val="000842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cso.org/wp-content/uploads/2016/05/EN-Carta-Caritatis.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ocso.org/wp-content/uploads/2016/05/EN-Carta-Caritatis.pdf" TargetMode="External"/><Relationship Id="rId1" Type="http://schemas.openxmlformats.org/officeDocument/2006/relationships/hyperlink" Target="https://ocso.org/wp-content/uploads/2016/05/EN-Carta-Caritati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0D381-DEF3-429B-8276-4823457565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TotalTime>
  <Pages>4</Pages>
  <Words>1022</Words>
  <Characters>5829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oliverbartle@gmx.com</dc:creator>
  <cp:keywords/>
  <dc:description/>
  <cp:lastModifiedBy>oliverbartle@gmx.com</cp:lastModifiedBy>
  <cp:revision>82</cp:revision>
  <dcterms:created xsi:type="dcterms:W3CDTF">2024-02-26T15:34:00Z</dcterms:created>
  <dcterms:modified xsi:type="dcterms:W3CDTF">2024-03-01T17:18:00Z</dcterms:modified>
</cp:coreProperties>
</file>