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40152E" w14:textId="77777777" w:rsidR="00621ADB" w:rsidRPr="00693B87" w:rsidRDefault="00621ADB" w:rsidP="00621ADB">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03795284"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Outline potential links between serious and organised crime and public protection issues. What characteristics make some people more vulnerable to exploitation by serious and organised crime gangs?</w:t>
      </w:r>
    </w:p>
    <w:p w14:paraId="605F4C65" w14:textId="77777777" w:rsidR="00621ADB" w:rsidRDefault="00621ADB" w:rsidP="00621ADB">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Pr>
          <w:rFonts w:ascii="Arial" w:eastAsia="Calibri" w:hAnsi="Arial" w:cs="Arial"/>
          <w:sz w:val="22"/>
          <w:szCs w:val="22"/>
        </w:rPr>
        <w:t>.</w:t>
      </w:r>
    </w:p>
    <w:p w14:paraId="4302B29B" w14:textId="77777777" w:rsidR="00621ADB" w:rsidRDefault="00621ADB" w:rsidP="00621ADB">
      <w:pPr>
        <w:spacing w:line="257" w:lineRule="auto"/>
        <w:ind w:left="567" w:right="531"/>
        <w:rPr>
          <w:rFonts w:ascii="Arial" w:eastAsia="Calibri" w:hAnsi="Arial" w:cs="Arial"/>
          <w:sz w:val="22"/>
          <w:szCs w:val="22"/>
        </w:rPr>
      </w:pPr>
    </w:p>
    <w:p w14:paraId="598ABE12" w14:textId="77777777" w:rsidR="00621ADB" w:rsidRPr="00693B87" w:rsidRDefault="00621ADB" w:rsidP="00621ADB">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3AAAA99B" w14:textId="77777777" w:rsidR="00621ADB" w:rsidRDefault="00621ADB" w:rsidP="00621ADB">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40397CD2"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Serious and organised crime is a threat to our national security and to our local communities. Serious and organised crime affects all of us and the types of crime included in this can be human trafficking, dealing drugs, weapons and fraud. </w:t>
      </w:r>
      <w:r w:rsidRPr="00E9544D">
        <w:rPr>
          <w:rFonts w:ascii="Arial" w:eastAsia="Calibri" w:hAnsi="Arial" w:cs="Arial"/>
          <w:sz w:val="22"/>
          <w:szCs w:val="22"/>
        </w:rPr>
        <w:t>Organised crime is defined in the Home Office’s Serious and Organised Crime Strategy as ‘serious crime planned, coordinated and conducted by people working together on a continuing basis</w:t>
      </w:r>
      <w:r>
        <w:rPr>
          <w:rFonts w:ascii="Arial" w:eastAsia="Calibri" w:hAnsi="Arial" w:cs="Arial"/>
          <w:sz w:val="22"/>
          <w:szCs w:val="22"/>
        </w:rPr>
        <w:t xml:space="preserve">, often motivated by </w:t>
      </w:r>
      <w:r w:rsidRPr="00E9544D">
        <w:rPr>
          <w:rFonts w:ascii="Arial" w:eastAsia="Calibri" w:hAnsi="Arial" w:cs="Arial"/>
          <w:sz w:val="22"/>
          <w:szCs w:val="22"/>
        </w:rPr>
        <w:t>financial gain (Home Office, 2013: 14).</w:t>
      </w:r>
      <w:r>
        <w:rPr>
          <w:rFonts w:ascii="Arial" w:eastAsia="Calibri" w:hAnsi="Arial" w:cs="Arial"/>
          <w:sz w:val="22"/>
          <w:szCs w:val="22"/>
        </w:rPr>
        <w:t xml:space="preserve"> Although it is important to note that there is not one singular definition used for these crime gangs. Research has identified characteristics that make some people more vulnerable to exploitation by serious and organised crime gangs and this will be explored throughout this essay. </w:t>
      </w:r>
    </w:p>
    <w:p w14:paraId="78765223" w14:textId="77777777" w:rsidR="00621ADB" w:rsidRDefault="00621ADB" w:rsidP="00621ADB">
      <w:pPr>
        <w:spacing w:line="257" w:lineRule="auto"/>
        <w:ind w:left="567" w:right="531"/>
        <w:rPr>
          <w:rFonts w:ascii="Arial" w:eastAsia="Calibri" w:hAnsi="Arial" w:cs="Arial"/>
          <w:sz w:val="22"/>
          <w:szCs w:val="22"/>
        </w:rPr>
      </w:pPr>
    </w:p>
    <w:p w14:paraId="6E39FE5A"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The exploitation of vulnerable people continues to be key to many serious and organised crime threats, in many cases vulnerable people are victims themselves however there are often occasions where vulnerable people are forced to commit crimes themselves (National Crime Agency, 2020). Children and vulnerable adults can be groomed into criminal gangs and then become trapped and exploited into more serious crime, using violence in comes cases to escalate their involvement (Strategic Centre for Organised Crime Office &amp; Counter Terrorism, 2015).</w:t>
      </w:r>
    </w:p>
    <w:p w14:paraId="41DFA36E" w14:textId="77777777" w:rsidR="00621ADB" w:rsidRDefault="00621ADB" w:rsidP="00621ADB">
      <w:pPr>
        <w:spacing w:line="257" w:lineRule="auto"/>
        <w:ind w:left="567" w:right="531"/>
        <w:rPr>
          <w:rFonts w:ascii="Arial" w:eastAsia="Calibri" w:hAnsi="Arial" w:cs="Arial"/>
          <w:sz w:val="22"/>
          <w:szCs w:val="22"/>
        </w:rPr>
      </w:pPr>
    </w:p>
    <w:p w14:paraId="3B8D799E"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Research has identified </w:t>
      </w:r>
      <w:proofErr w:type="gramStart"/>
      <w:r>
        <w:rPr>
          <w:rFonts w:ascii="Arial" w:eastAsia="Calibri" w:hAnsi="Arial" w:cs="Arial"/>
          <w:sz w:val="22"/>
          <w:szCs w:val="22"/>
        </w:rPr>
        <w:t>a number of</w:t>
      </w:r>
      <w:proofErr w:type="gramEnd"/>
      <w:r>
        <w:rPr>
          <w:rFonts w:ascii="Arial" w:eastAsia="Calibri" w:hAnsi="Arial" w:cs="Arial"/>
          <w:sz w:val="22"/>
          <w:szCs w:val="22"/>
        </w:rPr>
        <w:t xml:space="preserve"> factors that may put people at greater risk of being drawn in to this type of crime and includes, someone’s offending patterns, someone’s specialist skills, someone’s access to criminal associates and someone’s upbringing and lifestyle factor (Office for Security and Counter Terrorism, 2015). Some are victims of being groomed into this type of crime through exploitation. Multiple studies have shown a link between delinquency, recklessness behaviours and perceived lower social value within communities (Kissner and David, 2019). Research shows that those individuals that have a history of offending at a young age go on to </w:t>
      </w:r>
      <w:proofErr w:type="gramStart"/>
      <w:r>
        <w:rPr>
          <w:rFonts w:ascii="Arial" w:eastAsia="Calibri" w:hAnsi="Arial" w:cs="Arial"/>
          <w:sz w:val="22"/>
          <w:szCs w:val="22"/>
        </w:rPr>
        <w:t>have involvement</w:t>
      </w:r>
      <w:proofErr w:type="gramEnd"/>
      <w:r>
        <w:rPr>
          <w:rFonts w:ascii="Arial" w:eastAsia="Calibri" w:hAnsi="Arial" w:cs="Arial"/>
          <w:sz w:val="22"/>
          <w:szCs w:val="22"/>
        </w:rPr>
        <w:t xml:space="preserve"> in organised crime groups with offending behaviour typically escalating. </w:t>
      </w:r>
    </w:p>
    <w:p w14:paraId="3D7F8741" w14:textId="77777777" w:rsidR="00621ADB" w:rsidRDefault="00621ADB" w:rsidP="00621ADB">
      <w:pPr>
        <w:spacing w:line="257" w:lineRule="auto"/>
        <w:ind w:left="567" w:right="531"/>
        <w:rPr>
          <w:rFonts w:ascii="Arial" w:eastAsia="Calibri" w:hAnsi="Arial" w:cs="Arial"/>
          <w:sz w:val="22"/>
          <w:szCs w:val="22"/>
        </w:rPr>
      </w:pPr>
    </w:p>
    <w:p w14:paraId="60748ED2"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Literature also states that age can be a defining factor in making someone more vulnerable to exploitation. Guidance issued by Home Office in 2023 state that </w:t>
      </w:r>
      <w:proofErr w:type="gramStart"/>
      <w:r>
        <w:rPr>
          <w:rFonts w:ascii="Arial" w:eastAsia="Calibri" w:hAnsi="Arial" w:cs="Arial"/>
          <w:sz w:val="22"/>
          <w:szCs w:val="22"/>
        </w:rPr>
        <w:t>15-17 year olds</w:t>
      </w:r>
      <w:proofErr w:type="gramEnd"/>
      <w:r>
        <w:rPr>
          <w:rFonts w:ascii="Arial" w:eastAsia="Calibri" w:hAnsi="Arial" w:cs="Arial"/>
          <w:sz w:val="22"/>
          <w:szCs w:val="22"/>
        </w:rPr>
        <w:t xml:space="preserve"> make up the majority of vulnerable people involved in county lines. This is further supported which suggests that over 50% of OCGs members started their criminal patterns from under 18 years of age (Francis, et al., 2013). Furthermore, there is evidence of a recent rise in the participation of individuals aged between 9 and 14 years in gangs (Disley &amp; Liddle, 2016). Research also shows that children who have been in care or have gone missing from home prior are more likely to be exploited (Windle &amp; Briggs, 2015). Statistics on this show that 27% of those involved in a study of potential risk factors for county lines were reported as missing </w:t>
      </w:r>
      <w:proofErr w:type="gramStart"/>
      <w:r>
        <w:rPr>
          <w:rFonts w:ascii="Arial" w:eastAsia="Calibri" w:hAnsi="Arial" w:cs="Arial"/>
          <w:sz w:val="22"/>
          <w:szCs w:val="22"/>
        </w:rPr>
        <w:t>previously,  Due</w:t>
      </w:r>
      <w:proofErr w:type="gramEnd"/>
      <w:r>
        <w:rPr>
          <w:rFonts w:ascii="Arial" w:eastAsia="Calibri" w:hAnsi="Arial" w:cs="Arial"/>
          <w:sz w:val="22"/>
          <w:szCs w:val="22"/>
        </w:rPr>
        <w:t xml:space="preserve"> to their vulnerabilities they become trapped in to ‘debt bondage’ that then reinforces their vulnerability and being less able to </w:t>
      </w:r>
      <w:r>
        <w:rPr>
          <w:rFonts w:ascii="Arial" w:eastAsia="Calibri" w:hAnsi="Arial" w:cs="Arial"/>
          <w:sz w:val="22"/>
          <w:szCs w:val="22"/>
        </w:rPr>
        <w:lastRenderedPageBreak/>
        <w:t xml:space="preserve">escape these circles. Debt bondage refers to someone having to pay their debt via services, often criminal services. It is noted that not all children that have these characteristics involve themselves in this type of criminal activity. </w:t>
      </w:r>
    </w:p>
    <w:p w14:paraId="7297EFB1" w14:textId="77777777" w:rsidR="00621ADB" w:rsidRDefault="00621ADB" w:rsidP="00621ADB">
      <w:pPr>
        <w:spacing w:line="257" w:lineRule="auto"/>
        <w:ind w:left="567" w:right="531"/>
        <w:rPr>
          <w:rFonts w:ascii="Arial" w:eastAsia="Calibri" w:hAnsi="Arial" w:cs="Arial"/>
          <w:sz w:val="22"/>
          <w:szCs w:val="22"/>
        </w:rPr>
      </w:pPr>
    </w:p>
    <w:p w14:paraId="49D35E99"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However, research has shown that it is not just children exploited and adults are exploited for different reasons. One reason within research is mental disorders (</w:t>
      </w:r>
      <w:proofErr w:type="spellStart"/>
      <w:r>
        <w:rPr>
          <w:rFonts w:ascii="Arial" w:eastAsia="Calibri" w:hAnsi="Arial" w:cs="Arial"/>
          <w:sz w:val="22"/>
          <w:szCs w:val="22"/>
        </w:rPr>
        <w:t>Coliandris</w:t>
      </w:r>
      <w:proofErr w:type="spellEnd"/>
      <w:r>
        <w:rPr>
          <w:rFonts w:ascii="Arial" w:eastAsia="Calibri" w:hAnsi="Arial" w:cs="Arial"/>
          <w:sz w:val="22"/>
          <w:szCs w:val="22"/>
        </w:rPr>
        <w:t>, 2015</w:t>
      </w:r>
      <w:proofErr w:type="gramStart"/>
      <w:r>
        <w:rPr>
          <w:rFonts w:ascii="Arial" w:eastAsia="Calibri" w:hAnsi="Arial" w:cs="Arial"/>
          <w:sz w:val="22"/>
          <w:szCs w:val="22"/>
        </w:rPr>
        <w:t>).Suggesting</w:t>
      </w:r>
      <w:proofErr w:type="gramEnd"/>
      <w:r>
        <w:rPr>
          <w:rFonts w:ascii="Arial" w:eastAsia="Calibri" w:hAnsi="Arial" w:cs="Arial"/>
          <w:sz w:val="22"/>
          <w:szCs w:val="22"/>
        </w:rPr>
        <w:t xml:space="preserve"> that those with poor emotional wellbeing or low </w:t>
      </w:r>
      <w:proofErr w:type="spellStart"/>
      <w:r>
        <w:rPr>
          <w:rFonts w:ascii="Arial" w:eastAsia="Calibri" w:hAnsi="Arial" w:cs="Arial"/>
          <w:sz w:val="22"/>
          <w:szCs w:val="22"/>
        </w:rPr>
        <w:t>self esteem</w:t>
      </w:r>
      <w:proofErr w:type="spellEnd"/>
      <w:r>
        <w:rPr>
          <w:rFonts w:ascii="Arial" w:eastAsia="Calibri" w:hAnsi="Arial" w:cs="Arial"/>
          <w:sz w:val="22"/>
          <w:szCs w:val="22"/>
        </w:rPr>
        <w:t xml:space="preserve"> may be more susceptible to being exploited. To expand on this, it is also suggested that those with a learning disability may be less able to understand that they are being exploited (Home Office, 2023). This lends itself to the term ‘cuckooing’, also known as ‘forced home invasion’ whereby vulnerable adults are befriended by these criminals before eventually they have their homes taken over which is then used as a base for criminal activity (Coomber &amp; Moyle, 2017). By tackling vulnerable people, they are less likely to speak up for themselves and take control back of their home and lives. </w:t>
      </w:r>
    </w:p>
    <w:p w14:paraId="4CE0F2D1" w14:textId="77777777" w:rsidR="00621ADB" w:rsidRDefault="00621ADB" w:rsidP="00621ADB">
      <w:pPr>
        <w:spacing w:line="257" w:lineRule="auto"/>
        <w:ind w:left="567" w:right="531"/>
        <w:rPr>
          <w:rFonts w:ascii="Arial" w:eastAsia="Calibri" w:hAnsi="Arial" w:cs="Arial"/>
          <w:sz w:val="22"/>
          <w:szCs w:val="22"/>
        </w:rPr>
      </w:pPr>
    </w:p>
    <w:p w14:paraId="6CD01098"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Research suggests that the sex and gender of someone can be a factor in relation to being vulnerable to exploitation, whilst males are seen to be more vulnerable to be exploited by OCGs (Spicer, 2018). In contrast to this, the Home Office report suggests that women and girls can also become a target and perform different roles within the groups and may experience other forms of harm to males. Drug use is another key characteristic within research that makes someone more vulnerable to being exploited. Research shows that criminal who supply drugs to people they know are users, who then cannot afford to pay for the drugs due to their circumstances are then exploited by paying for their debt in other ways, often committing crime, this is referred to as ‘debt bondage’ (Coomber &amp; Moyle, 2018). </w:t>
      </w:r>
    </w:p>
    <w:p w14:paraId="05197ACD" w14:textId="77777777" w:rsidR="00621ADB" w:rsidRDefault="00621ADB" w:rsidP="00621ADB">
      <w:pPr>
        <w:spacing w:line="257" w:lineRule="auto"/>
        <w:ind w:left="567" w:right="531"/>
        <w:rPr>
          <w:rFonts w:ascii="Arial" w:eastAsia="Calibri" w:hAnsi="Arial" w:cs="Arial"/>
          <w:sz w:val="22"/>
          <w:szCs w:val="22"/>
        </w:rPr>
      </w:pPr>
    </w:p>
    <w:p w14:paraId="3D88CD62"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Although, it is noted that these characterises above isn’t the only way </w:t>
      </w:r>
      <w:proofErr w:type="gramStart"/>
      <w:r>
        <w:rPr>
          <w:rFonts w:ascii="Arial" w:eastAsia="Calibri" w:hAnsi="Arial" w:cs="Arial"/>
          <w:sz w:val="22"/>
          <w:szCs w:val="22"/>
        </w:rPr>
        <w:t>in to</w:t>
      </w:r>
      <w:proofErr w:type="gramEnd"/>
      <w:r>
        <w:rPr>
          <w:rFonts w:ascii="Arial" w:eastAsia="Calibri" w:hAnsi="Arial" w:cs="Arial"/>
          <w:sz w:val="22"/>
          <w:szCs w:val="22"/>
        </w:rPr>
        <w:t xml:space="preserve"> this type of crime. It is suggested that there is no single pathway into crimes and having the above characteristics does not necessarily mean all individuals becoming involved in this type of crime. The characteristics into serious and organised crime is complex and one that continues to be a risk to our police forces, we need to develop and build on our understanding of this area </w:t>
      </w:r>
      <w:proofErr w:type="gramStart"/>
      <w:r>
        <w:rPr>
          <w:rFonts w:ascii="Arial" w:eastAsia="Calibri" w:hAnsi="Arial" w:cs="Arial"/>
          <w:sz w:val="22"/>
          <w:szCs w:val="22"/>
        </w:rPr>
        <w:t>in order to</w:t>
      </w:r>
      <w:proofErr w:type="gramEnd"/>
      <w:r>
        <w:rPr>
          <w:rFonts w:ascii="Arial" w:eastAsia="Calibri" w:hAnsi="Arial" w:cs="Arial"/>
          <w:sz w:val="22"/>
          <w:szCs w:val="22"/>
        </w:rPr>
        <w:t xml:space="preserve"> protect the vulnerable. To conclude the research that has been covered within this essay, clearly there are some common characteristics that can make people more vulnerable to exploitation by serious and organised crime gangs. However, it is also apparent that there is no single route or characteristic that makes someone vulnerable to exploitation and further research and focus needs to be put on this. </w:t>
      </w:r>
    </w:p>
    <w:p w14:paraId="443C0A4F" w14:textId="77777777" w:rsidR="00621ADB" w:rsidRDefault="00621ADB" w:rsidP="00621ADB">
      <w:pPr>
        <w:spacing w:line="257" w:lineRule="auto"/>
        <w:ind w:left="567" w:right="531"/>
        <w:rPr>
          <w:rFonts w:ascii="Arial" w:eastAsia="Calibri" w:hAnsi="Arial" w:cs="Arial"/>
          <w:sz w:val="22"/>
          <w:szCs w:val="22"/>
        </w:rPr>
      </w:pPr>
    </w:p>
    <w:p w14:paraId="4E644D25"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Words: 935</w:t>
      </w:r>
    </w:p>
    <w:p w14:paraId="78F0531D" w14:textId="77777777" w:rsidR="00621ADB" w:rsidRDefault="00621ADB" w:rsidP="00621ADB">
      <w:pPr>
        <w:spacing w:line="257" w:lineRule="auto"/>
        <w:ind w:left="567" w:right="531"/>
        <w:rPr>
          <w:rFonts w:ascii="Arial" w:eastAsia="Calibri" w:hAnsi="Arial" w:cs="Arial"/>
          <w:sz w:val="22"/>
          <w:szCs w:val="22"/>
        </w:rPr>
      </w:pPr>
    </w:p>
    <w:p w14:paraId="36B17519" w14:textId="77777777" w:rsidR="00621ADB" w:rsidRDefault="00621ADB" w:rsidP="00621ADB">
      <w:pPr>
        <w:spacing w:line="257" w:lineRule="auto"/>
        <w:ind w:left="567" w:right="531"/>
        <w:rPr>
          <w:rFonts w:ascii="Arial" w:eastAsia="Calibri" w:hAnsi="Arial" w:cs="Arial"/>
          <w:b/>
          <w:bCs/>
          <w:sz w:val="22"/>
          <w:szCs w:val="22"/>
          <w:u w:val="single"/>
        </w:rPr>
      </w:pPr>
      <w:r w:rsidRPr="00231DF5">
        <w:rPr>
          <w:rFonts w:ascii="Arial" w:eastAsia="Calibri" w:hAnsi="Arial" w:cs="Arial"/>
          <w:b/>
          <w:bCs/>
          <w:sz w:val="22"/>
          <w:szCs w:val="22"/>
          <w:u w:val="single"/>
        </w:rPr>
        <w:t xml:space="preserve">References </w:t>
      </w:r>
    </w:p>
    <w:p w14:paraId="50E619C5" w14:textId="77777777" w:rsidR="00621ADB" w:rsidRDefault="00621ADB" w:rsidP="00621ADB">
      <w:pPr>
        <w:spacing w:line="257" w:lineRule="auto"/>
        <w:ind w:left="567" w:right="531"/>
        <w:rPr>
          <w:rFonts w:ascii="Arial" w:eastAsia="Calibri" w:hAnsi="Arial" w:cs="Arial"/>
          <w:b/>
          <w:bCs/>
          <w:sz w:val="22"/>
          <w:szCs w:val="22"/>
          <w:u w:val="single"/>
        </w:rPr>
      </w:pPr>
    </w:p>
    <w:p w14:paraId="267784AB" w14:textId="77777777" w:rsidR="00621ADB" w:rsidRDefault="00621ADB" w:rsidP="00621ADB">
      <w:pPr>
        <w:spacing w:line="257" w:lineRule="auto"/>
        <w:ind w:left="567" w:right="531"/>
        <w:rPr>
          <w:rFonts w:ascii="Arial" w:eastAsia="Calibri" w:hAnsi="Arial" w:cs="Arial"/>
          <w:sz w:val="22"/>
          <w:szCs w:val="22"/>
        </w:rPr>
      </w:pPr>
      <w:r w:rsidRPr="00EE1074">
        <w:rPr>
          <w:rFonts w:ascii="Arial" w:eastAsia="Calibri" w:hAnsi="Arial" w:cs="Arial"/>
          <w:sz w:val="22"/>
          <w:szCs w:val="22"/>
        </w:rPr>
        <w:t>Coomber R, Moyle L (2017) The changing shape of street-level heroin and crack supply in England. </w:t>
      </w:r>
      <w:r w:rsidRPr="00EE1074">
        <w:rPr>
          <w:rFonts w:ascii="Arial" w:eastAsia="Calibri" w:hAnsi="Arial" w:cs="Arial"/>
          <w:i/>
          <w:iCs/>
          <w:sz w:val="22"/>
          <w:szCs w:val="22"/>
        </w:rPr>
        <w:t>British Journal of Criminology</w:t>
      </w:r>
      <w:r w:rsidRPr="00EE1074">
        <w:rPr>
          <w:rFonts w:ascii="Arial" w:eastAsia="Calibri" w:hAnsi="Arial" w:cs="Arial"/>
          <w:sz w:val="22"/>
          <w:szCs w:val="22"/>
        </w:rPr>
        <w:t> 58: 1323–1342.</w:t>
      </w:r>
    </w:p>
    <w:p w14:paraId="52294F63" w14:textId="77777777" w:rsidR="00621ADB" w:rsidRDefault="00621ADB" w:rsidP="00621ADB">
      <w:pPr>
        <w:spacing w:line="257" w:lineRule="auto"/>
        <w:ind w:left="567" w:right="531"/>
        <w:rPr>
          <w:rFonts w:ascii="Arial" w:eastAsia="Calibri" w:hAnsi="Arial" w:cs="Arial"/>
          <w:sz w:val="22"/>
          <w:szCs w:val="22"/>
        </w:rPr>
      </w:pPr>
    </w:p>
    <w:p w14:paraId="15D77CCF" w14:textId="77777777" w:rsidR="00621ADB" w:rsidRPr="005C1414" w:rsidRDefault="00621ADB" w:rsidP="00621ADB">
      <w:pPr>
        <w:spacing w:line="257" w:lineRule="auto"/>
        <w:ind w:left="567" w:right="531"/>
        <w:rPr>
          <w:rFonts w:ascii="Arial" w:eastAsia="Calibri" w:hAnsi="Arial" w:cs="Arial"/>
          <w:sz w:val="22"/>
          <w:szCs w:val="22"/>
        </w:rPr>
      </w:pPr>
      <w:r w:rsidRPr="005C1414">
        <w:rPr>
          <w:rFonts w:ascii="Arial" w:eastAsia="Calibri" w:hAnsi="Arial" w:cs="Arial"/>
          <w:sz w:val="22"/>
          <w:szCs w:val="22"/>
        </w:rPr>
        <w:t xml:space="preserve">Disley, E and Liddle, M (2016) Home Office report Local perspectives in ending gang and youth violence areas: Perceptions of the nature of urban street gangs. Available at: </w:t>
      </w:r>
      <w:hyperlink r:id="rId4" w:history="1">
        <w:r w:rsidRPr="005C1414">
          <w:rPr>
            <w:rStyle w:val="Hyperlink"/>
            <w:rFonts w:ascii="Arial" w:eastAsia="Calibri" w:hAnsi="Arial" w:cs="Arial"/>
            <w:sz w:val="22"/>
            <w:szCs w:val="22"/>
          </w:rPr>
          <w:t>https://assets.publishing.service.gov.uk/media/5a750b6940f0b6360e472e5a/horr88.pdf</w:t>
        </w:r>
      </w:hyperlink>
      <w:r w:rsidRPr="005C1414">
        <w:rPr>
          <w:rFonts w:ascii="Arial" w:eastAsia="Calibri" w:hAnsi="Arial" w:cs="Arial"/>
          <w:sz w:val="22"/>
          <w:szCs w:val="22"/>
        </w:rPr>
        <w:t xml:space="preserve"> Accessed 16/10/2024</w:t>
      </w:r>
    </w:p>
    <w:p w14:paraId="06DBBDA3" w14:textId="77777777" w:rsidR="00621ADB" w:rsidRPr="00EE1074" w:rsidRDefault="00621ADB" w:rsidP="00621ADB">
      <w:pPr>
        <w:spacing w:line="257" w:lineRule="auto"/>
        <w:ind w:left="567" w:right="531"/>
        <w:rPr>
          <w:rFonts w:ascii="Arial" w:eastAsia="Calibri" w:hAnsi="Arial" w:cs="Arial"/>
          <w:sz w:val="22"/>
          <w:szCs w:val="22"/>
        </w:rPr>
      </w:pPr>
    </w:p>
    <w:p w14:paraId="3706BEAD" w14:textId="77777777" w:rsidR="00621ADB" w:rsidRDefault="00621ADB" w:rsidP="00621ADB">
      <w:pPr>
        <w:spacing w:line="257" w:lineRule="auto"/>
        <w:ind w:left="567" w:right="531"/>
        <w:rPr>
          <w:rFonts w:ascii="Arial" w:eastAsia="Calibri" w:hAnsi="Arial" w:cs="Arial"/>
          <w:sz w:val="22"/>
          <w:szCs w:val="22"/>
        </w:rPr>
      </w:pPr>
    </w:p>
    <w:p w14:paraId="18CDCFFC"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National Crime Agency (2020), National Strategic Assessment of serious and organised crime. Available at </w:t>
      </w:r>
      <w:hyperlink r:id="rId5" w:history="1">
        <w:r w:rsidRPr="0044532F">
          <w:rPr>
            <w:rStyle w:val="Hyperlink"/>
            <w:rFonts w:ascii="Arial" w:eastAsia="Calibri" w:hAnsi="Arial" w:cs="Arial"/>
            <w:sz w:val="22"/>
            <w:szCs w:val="22"/>
          </w:rPr>
          <w:t>https://www.nationalcrimeagency.gov.uk/who-we-are/publications/437-national-strategic-assessment-of-serious-and-organised-crime-2020/file</w:t>
        </w:r>
      </w:hyperlink>
      <w:r>
        <w:rPr>
          <w:rFonts w:ascii="Arial" w:eastAsia="Calibri" w:hAnsi="Arial" w:cs="Arial"/>
          <w:sz w:val="22"/>
          <w:szCs w:val="22"/>
        </w:rPr>
        <w:t>. Accessed 16/10/2024</w:t>
      </w:r>
    </w:p>
    <w:p w14:paraId="2AB0C7EC" w14:textId="77777777" w:rsidR="00621ADB" w:rsidRDefault="00621ADB" w:rsidP="00621ADB">
      <w:pPr>
        <w:spacing w:line="257" w:lineRule="auto"/>
        <w:ind w:left="567" w:right="531"/>
        <w:rPr>
          <w:rFonts w:ascii="Arial" w:eastAsia="Calibri" w:hAnsi="Arial" w:cs="Arial"/>
          <w:sz w:val="22"/>
          <w:szCs w:val="22"/>
        </w:rPr>
      </w:pPr>
    </w:p>
    <w:p w14:paraId="5AF26640"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Individuals at risk of being drawn into serious and organised crime – a prevent guide (2015). Available at </w:t>
      </w:r>
      <w:hyperlink r:id="rId6" w:history="1">
        <w:r w:rsidRPr="0044532F">
          <w:rPr>
            <w:rStyle w:val="Hyperlink"/>
            <w:rFonts w:ascii="Arial" w:eastAsia="Calibri" w:hAnsi="Arial" w:cs="Arial"/>
            <w:sz w:val="22"/>
            <w:szCs w:val="22"/>
          </w:rPr>
          <w:t>https://assets.publishing.service.gov.uk/media/5a808e9eed915d74e33fb1b1/6_162_HO_SOC_PI_Guidance_Mar2015_v10_FINAL_270215_WEB__2_.pdf</w:t>
        </w:r>
      </w:hyperlink>
      <w:r>
        <w:rPr>
          <w:rFonts w:ascii="Arial" w:eastAsia="Calibri" w:hAnsi="Arial" w:cs="Arial"/>
          <w:sz w:val="22"/>
          <w:szCs w:val="22"/>
        </w:rPr>
        <w:t xml:space="preserve"> Accessed 16/10/2024</w:t>
      </w:r>
    </w:p>
    <w:p w14:paraId="204983F6" w14:textId="77777777" w:rsidR="00621ADB" w:rsidRDefault="00621ADB" w:rsidP="00621ADB">
      <w:pPr>
        <w:spacing w:line="257" w:lineRule="auto"/>
        <w:ind w:left="567" w:right="531"/>
        <w:rPr>
          <w:rFonts w:ascii="Arial" w:eastAsia="Calibri" w:hAnsi="Arial" w:cs="Arial"/>
          <w:sz w:val="22"/>
          <w:szCs w:val="22"/>
        </w:rPr>
      </w:pPr>
    </w:p>
    <w:p w14:paraId="3F583E9F" w14:textId="77777777" w:rsidR="00621ADB" w:rsidRPr="00A229C6" w:rsidRDefault="00621ADB" w:rsidP="00621ADB">
      <w:pPr>
        <w:spacing w:line="257" w:lineRule="auto"/>
        <w:ind w:right="531"/>
        <w:rPr>
          <w:rFonts w:ascii="Arial" w:eastAsia="Calibri" w:hAnsi="Arial" w:cs="Arial"/>
          <w:sz w:val="22"/>
          <w:szCs w:val="22"/>
        </w:rPr>
      </w:pPr>
      <w:r>
        <w:rPr>
          <w:rFonts w:ascii="Arial" w:eastAsia="Calibri" w:hAnsi="Arial" w:cs="Arial"/>
          <w:sz w:val="22"/>
          <w:szCs w:val="22"/>
        </w:rPr>
        <w:t xml:space="preserve">        </w:t>
      </w:r>
      <w:r w:rsidRPr="00A229C6">
        <w:rPr>
          <w:rFonts w:ascii="Arial" w:eastAsia="Calibri" w:hAnsi="Arial" w:cs="Arial"/>
          <w:sz w:val="22"/>
          <w:szCs w:val="22"/>
        </w:rPr>
        <w:t xml:space="preserve">Home Office (2023) Criminal exploitation of children and vulnerable adults: county </w:t>
      </w:r>
      <w:r>
        <w:rPr>
          <w:rFonts w:ascii="Arial" w:eastAsia="Calibri" w:hAnsi="Arial" w:cs="Arial"/>
          <w:sz w:val="22"/>
          <w:szCs w:val="22"/>
        </w:rPr>
        <w:t xml:space="preserve">       </w:t>
      </w:r>
      <w:r w:rsidRPr="00A229C6">
        <w:rPr>
          <w:rFonts w:ascii="Arial" w:eastAsia="Calibri" w:hAnsi="Arial" w:cs="Arial"/>
          <w:sz w:val="22"/>
          <w:szCs w:val="22"/>
        </w:rPr>
        <w:t xml:space="preserve">lines. Available at </w:t>
      </w:r>
      <w:hyperlink r:id="rId7" w:anchor="who-is-vulnerable-to-county-lines-exploitation" w:history="1">
        <w:r w:rsidRPr="00A229C6">
          <w:rPr>
            <w:rStyle w:val="Hyperlink"/>
            <w:rFonts w:ascii="Arial" w:eastAsia="Calibri" w:hAnsi="Arial" w:cs="Arial"/>
            <w:sz w:val="22"/>
            <w:szCs w:val="22"/>
          </w:rPr>
          <w:t>https://www.gov.uk/government/publications/criminal-exploitation-of-children-and-vulnerable-adults-county-lines/criminal-exploitation-of-children-and-vulnerable-adults-county-lines#who-is-vulnerable-to-county-lines-exploitation</w:t>
        </w:r>
      </w:hyperlink>
      <w:r w:rsidRPr="00A229C6">
        <w:rPr>
          <w:rFonts w:ascii="Arial" w:eastAsia="Calibri" w:hAnsi="Arial" w:cs="Arial"/>
          <w:sz w:val="22"/>
          <w:szCs w:val="22"/>
        </w:rPr>
        <w:t xml:space="preserve"> Accessed 30/10/2024</w:t>
      </w:r>
    </w:p>
    <w:p w14:paraId="376733D4" w14:textId="77777777" w:rsidR="00621ADB" w:rsidRDefault="00621ADB" w:rsidP="00621ADB">
      <w:pPr>
        <w:spacing w:line="257" w:lineRule="auto"/>
        <w:ind w:left="567" w:right="531"/>
        <w:rPr>
          <w:rFonts w:ascii="Arial" w:eastAsia="Calibri" w:hAnsi="Arial" w:cs="Arial"/>
          <w:b/>
          <w:bCs/>
          <w:sz w:val="22"/>
          <w:szCs w:val="22"/>
        </w:rPr>
      </w:pPr>
    </w:p>
    <w:p w14:paraId="0D3C0C3C" w14:textId="77777777" w:rsidR="00621ADB" w:rsidRDefault="00621ADB" w:rsidP="00621ADB">
      <w:pPr>
        <w:spacing w:line="257" w:lineRule="auto"/>
        <w:ind w:left="567" w:right="531"/>
        <w:rPr>
          <w:rFonts w:ascii="Arial" w:eastAsia="Calibri" w:hAnsi="Arial" w:cs="Arial"/>
          <w:b/>
          <w:bCs/>
          <w:sz w:val="22"/>
          <w:szCs w:val="22"/>
        </w:rPr>
      </w:pPr>
    </w:p>
    <w:p w14:paraId="53AE0076" w14:textId="77777777" w:rsidR="00621ADB" w:rsidRPr="00A3137F" w:rsidRDefault="00621ADB" w:rsidP="00621ADB">
      <w:pPr>
        <w:spacing w:line="257" w:lineRule="auto"/>
        <w:ind w:left="567" w:right="531"/>
        <w:rPr>
          <w:rFonts w:ascii="Arial" w:eastAsia="Calibri" w:hAnsi="Arial" w:cs="Arial"/>
          <w:sz w:val="22"/>
          <w:szCs w:val="22"/>
        </w:rPr>
      </w:pPr>
      <w:r w:rsidRPr="00A3137F">
        <w:rPr>
          <w:rFonts w:ascii="Arial" w:eastAsia="Calibri" w:hAnsi="Arial" w:cs="Arial"/>
          <w:sz w:val="22"/>
          <w:szCs w:val="22"/>
        </w:rPr>
        <w:t>Windle J, Briggs D (2015b) ‘It’s like working away for two weeks’: the harms associated with young drug dealers commuting from a saturated London drug market. </w:t>
      </w:r>
      <w:r w:rsidRPr="00A3137F">
        <w:rPr>
          <w:rFonts w:ascii="Arial" w:eastAsia="Calibri" w:hAnsi="Arial" w:cs="Arial"/>
          <w:i/>
          <w:iCs/>
          <w:sz w:val="22"/>
          <w:szCs w:val="22"/>
        </w:rPr>
        <w:t>Crime Prevention and Community Safety</w:t>
      </w:r>
      <w:r w:rsidRPr="00A3137F">
        <w:rPr>
          <w:rFonts w:ascii="Arial" w:eastAsia="Calibri" w:hAnsi="Arial" w:cs="Arial"/>
          <w:sz w:val="22"/>
          <w:szCs w:val="22"/>
        </w:rPr>
        <w:t> 17(2): 105–119.</w:t>
      </w:r>
    </w:p>
    <w:p w14:paraId="55547E37" w14:textId="77777777" w:rsidR="00621ADB" w:rsidRDefault="00621ADB" w:rsidP="00621ADB">
      <w:pPr>
        <w:spacing w:line="257" w:lineRule="auto"/>
        <w:ind w:left="567" w:right="531"/>
        <w:rPr>
          <w:rFonts w:ascii="Arial" w:eastAsia="Calibri" w:hAnsi="Arial" w:cs="Arial"/>
          <w:b/>
          <w:bCs/>
          <w:sz w:val="22"/>
          <w:szCs w:val="22"/>
        </w:rPr>
      </w:pPr>
    </w:p>
    <w:p w14:paraId="257AEB89" w14:textId="77777777" w:rsidR="00621ADB" w:rsidRPr="00693B87" w:rsidRDefault="00621ADB" w:rsidP="00621ADB">
      <w:pPr>
        <w:spacing w:line="257" w:lineRule="auto"/>
        <w:ind w:right="531"/>
        <w:rPr>
          <w:rFonts w:ascii="Arial" w:hAnsi="Arial" w:cs="Arial"/>
          <w:sz w:val="22"/>
          <w:szCs w:val="22"/>
        </w:rPr>
      </w:pPr>
      <w:r>
        <w:rPr>
          <w:rFonts w:ascii="Arial" w:eastAsia="Calibri" w:hAnsi="Arial" w:cs="Arial"/>
          <w:b/>
          <w:bCs/>
          <w:sz w:val="22"/>
          <w:szCs w:val="22"/>
        </w:rPr>
        <w:t xml:space="preserve">         </w:t>
      </w:r>
      <w:r w:rsidRPr="00693B87">
        <w:rPr>
          <w:rFonts w:ascii="Arial" w:eastAsia="Calibri" w:hAnsi="Arial" w:cs="Arial"/>
          <w:b/>
          <w:bCs/>
          <w:sz w:val="22"/>
          <w:szCs w:val="22"/>
        </w:rPr>
        <w:t xml:space="preserve">Essay five: </w:t>
      </w:r>
    </w:p>
    <w:p w14:paraId="77AA9B4B" w14:textId="77777777" w:rsidR="00621ADB" w:rsidRPr="00FE68CC"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671472BF" w14:textId="77777777" w:rsidR="00621ADB" w:rsidRPr="00C7159A" w:rsidRDefault="00621ADB" w:rsidP="00621ADB">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1682F5D0" w14:textId="77777777" w:rsidR="00621ADB" w:rsidRDefault="00621ADB" w:rsidP="00621ADB">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391CD9AC" w14:textId="77777777" w:rsidR="00621ADB" w:rsidRDefault="00621ADB" w:rsidP="00621ADB">
      <w:pPr>
        <w:spacing w:line="257" w:lineRule="auto"/>
        <w:ind w:left="567" w:right="531"/>
        <w:rPr>
          <w:rFonts w:ascii="Arial" w:eastAsia="Calibri" w:hAnsi="Arial" w:cs="Arial"/>
          <w:sz w:val="22"/>
          <w:szCs w:val="22"/>
        </w:rPr>
      </w:pPr>
    </w:p>
    <w:p w14:paraId="22D75C4D"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It has been widely researched </w:t>
      </w:r>
      <w:proofErr w:type="gramStart"/>
      <w:r>
        <w:rPr>
          <w:rFonts w:ascii="Arial" w:eastAsia="Calibri" w:hAnsi="Arial" w:cs="Arial"/>
          <w:sz w:val="22"/>
          <w:szCs w:val="22"/>
        </w:rPr>
        <w:t>that aspects</w:t>
      </w:r>
      <w:proofErr w:type="gramEnd"/>
      <w:r>
        <w:rPr>
          <w:rFonts w:ascii="Arial" w:eastAsia="Calibri" w:hAnsi="Arial" w:cs="Arial"/>
          <w:sz w:val="22"/>
          <w:szCs w:val="22"/>
        </w:rPr>
        <w:t xml:space="preserve"> of a young </w:t>
      </w:r>
      <w:proofErr w:type="spellStart"/>
      <w:r>
        <w:rPr>
          <w:rFonts w:ascii="Arial" w:eastAsia="Calibri" w:hAnsi="Arial" w:cs="Arial"/>
          <w:sz w:val="22"/>
          <w:szCs w:val="22"/>
        </w:rPr>
        <w:t>persons</w:t>
      </w:r>
      <w:proofErr w:type="spellEnd"/>
      <w:r>
        <w:rPr>
          <w:rFonts w:ascii="Arial" w:eastAsia="Calibri" w:hAnsi="Arial" w:cs="Arial"/>
          <w:sz w:val="22"/>
          <w:szCs w:val="22"/>
        </w:rPr>
        <w:t xml:space="preserve"> life such as poor parental supervision, overly harsh discipline and disadvantage social backgrounds can increase likelihood of these young people going on to be involved in the criminal justice system (Youth Crime Commission, 2024). It is further reported that young people that fall </w:t>
      </w:r>
      <w:proofErr w:type="gramStart"/>
      <w:r>
        <w:rPr>
          <w:rFonts w:ascii="Arial" w:eastAsia="Calibri" w:hAnsi="Arial" w:cs="Arial"/>
          <w:sz w:val="22"/>
          <w:szCs w:val="22"/>
        </w:rPr>
        <w:t>in to</w:t>
      </w:r>
      <w:proofErr w:type="gramEnd"/>
      <w:r>
        <w:rPr>
          <w:rFonts w:ascii="Arial" w:eastAsia="Calibri" w:hAnsi="Arial" w:cs="Arial"/>
          <w:sz w:val="22"/>
          <w:szCs w:val="22"/>
        </w:rPr>
        <w:t xml:space="preserve"> this category are most ‘at risk’ of becoming involved in offending and early intervention is critical to help these children reach their potential. This essay will explore how effective early intervention is in preventing young people from offending or re-offending. </w:t>
      </w:r>
    </w:p>
    <w:p w14:paraId="3AFCAE05" w14:textId="77777777" w:rsidR="00621ADB" w:rsidRDefault="00621ADB" w:rsidP="00621ADB">
      <w:pPr>
        <w:spacing w:line="257" w:lineRule="auto"/>
        <w:ind w:left="567" w:right="531"/>
        <w:rPr>
          <w:rFonts w:ascii="Arial" w:eastAsia="Calibri" w:hAnsi="Arial" w:cs="Arial"/>
          <w:sz w:val="22"/>
          <w:szCs w:val="22"/>
        </w:rPr>
      </w:pPr>
    </w:p>
    <w:p w14:paraId="0AACCA90"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Early intervention means working with young people who fall </w:t>
      </w:r>
      <w:proofErr w:type="gramStart"/>
      <w:r>
        <w:rPr>
          <w:rFonts w:ascii="Arial" w:eastAsia="Calibri" w:hAnsi="Arial" w:cs="Arial"/>
          <w:sz w:val="22"/>
          <w:szCs w:val="22"/>
        </w:rPr>
        <w:t>in to</w:t>
      </w:r>
      <w:proofErr w:type="gramEnd"/>
      <w:r>
        <w:rPr>
          <w:rFonts w:ascii="Arial" w:eastAsia="Calibri" w:hAnsi="Arial" w:cs="Arial"/>
          <w:sz w:val="22"/>
          <w:szCs w:val="22"/>
        </w:rPr>
        <w:t xml:space="preserve"> a potential at risk category, at an early age in order to provide them with support, support education and create opportunities for them and their families (Youth Crime Commission, 2024). The rates of young people becoming involved in the criminal justice system for the first time has decreased in the last ten years, in the UK there were 14,400 new young people in the youth justice system between April 2017 to March 2018 which was a decline of 86% from the year previous. However, research also shows that the re-offending rate is still much higher now </w:t>
      </w:r>
      <w:r>
        <w:rPr>
          <w:rFonts w:ascii="Arial" w:eastAsia="Calibri" w:hAnsi="Arial" w:cs="Arial"/>
          <w:sz w:val="22"/>
          <w:szCs w:val="22"/>
        </w:rPr>
        <w:lastRenderedPageBreak/>
        <w:t xml:space="preserve">than 10 years ago and clearly more work needs to be done around early intervention. </w:t>
      </w:r>
    </w:p>
    <w:p w14:paraId="21E3BA80" w14:textId="77777777" w:rsidR="00621ADB" w:rsidRDefault="00621ADB" w:rsidP="00621ADB">
      <w:pPr>
        <w:spacing w:line="257" w:lineRule="auto"/>
        <w:ind w:left="567" w:right="531"/>
        <w:rPr>
          <w:rFonts w:ascii="Arial" w:eastAsia="Calibri" w:hAnsi="Arial" w:cs="Arial"/>
          <w:sz w:val="22"/>
          <w:szCs w:val="22"/>
        </w:rPr>
      </w:pPr>
    </w:p>
    <w:p w14:paraId="38767F37"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Youth Justice System suggest that young people who whose antisocial behaviour beings at an early age are two to three times more likely to go on and commit more severe offences than young people who do not engage in </w:t>
      </w:r>
      <w:proofErr w:type="spellStart"/>
      <w:r>
        <w:rPr>
          <w:rFonts w:ascii="Arial" w:eastAsia="Calibri" w:hAnsi="Arial" w:cs="Arial"/>
          <w:sz w:val="22"/>
          <w:szCs w:val="22"/>
        </w:rPr>
        <w:t>anti social</w:t>
      </w:r>
      <w:proofErr w:type="spellEnd"/>
      <w:r>
        <w:rPr>
          <w:rFonts w:ascii="Arial" w:eastAsia="Calibri" w:hAnsi="Arial" w:cs="Arial"/>
          <w:sz w:val="22"/>
          <w:szCs w:val="22"/>
        </w:rPr>
        <w:t xml:space="preserve"> behaviour. The Youth Justice System goes on to report that early intervention prevents the start of reckless behaviour and supports building resilience in young people. Research has shown that early interventions is </w:t>
      </w:r>
      <w:proofErr w:type="gramStart"/>
      <w:r>
        <w:rPr>
          <w:rFonts w:ascii="Arial" w:eastAsia="Calibri" w:hAnsi="Arial" w:cs="Arial"/>
          <w:sz w:val="22"/>
          <w:szCs w:val="22"/>
        </w:rPr>
        <w:t>actually more</w:t>
      </w:r>
      <w:proofErr w:type="gramEnd"/>
      <w:r>
        <w:rPr>
          <w:rFonts w:ascii="Arial" w:eastAsia="Calibri" w:hAnsi="Arial" w:cs="Arial"/>
          <w:sz w:val="22"/>
          <w:szCs w:val="22"/>
        </w:rPr>
        <w:t xml:space="preserve"> effective than trying to remediate criminal behaviour. </w:t>
      </w:r>
    </w:p>
    <w:p w14:paraId="34FB3C18" w14:textId="77777777" w:rsidR="00621ADB" w:rsidRDefault="00621ADB" w:rsidP="00621ADB">
      <w:pPr>
        <w:spacing w:line="257" w:lineRule="auto"/>
        <w:ind w:left="567" w:right="531"/>
        <w:rPr>
          <w:rFonts w:ascii="Arial" w:eastAsia="Calibri" w:hAnsi="Arial" w:cs="Arial"/>
          <w:sz w:val="22"/>
          <w:szCs w:val="22"/>
        </w:rPr>
      </w:pPr>
    </w:p>
    <w:p w14:paraId="253D39C4"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Early intervention must draw on a </w:t>
      </w:r>
      <w:proofErr w:type="spellStart"/>
      <w:r>
        <w:rPr>
          <w:rFonts w:ascii="Arial" w:eastAsia="Calibri" w:hAnsi="Arial" w:cs="Arial"/>
          <w:sz w:val="22"/>
          <w:szCs w:val="22"/>
        </w:rPr>
        <w:t>multi agency</w:t>
      </w:r>
      <w:proofErr w:type="spellEnd"/>
      <w:r>
        <w:rPr>
          <w:rFonts w:ascii="Arial" w:eastAsia="Calibri" w:hAnsi="Arial" w:cs="Arial"/>
          <w:sz w:val="22"/>
          <w:szCs w:val="22"/>
        </w:rPr>
        <w:t xml:space="preserve"> approach to tackle potential young offenders and these agencies involve the police, social services, education employment and health working together to provide support and guidance to support young people feeling like their only option is crime. </w:t>
      </w:r>
    </w:p>
    <w:p w14:paraId="38DDCDE6" w14:textId="77777777" w:rsidR="00621ADB" w:rsidRDefault="00621ADB" w:rsidP="00621ADB">
      <w:pPr>
        <w:spacing w:line="257" w:lineRule="auto"/>
        <w:ind w:left="567" w:right="531"/>
        <w:rPr>
          <w:rFonts w:ascii="Arial" w:eastAsia="Calibri" w:hAnsi="Arial" w:cs="Arial"/>
          <w:sz w:val="22"/>
          <w:szCs w:val="22"/>
        </w:rPr>
      </w:pPr>
    </w:p>
    <w:p w14:paraId="3030C526"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In general, the argument is that the most effective approaches have ‘therapeutic’            principles which aim to create a positive change for young people and potentially their families, these approaches include skills-based and </w:t>
      </w:r>
      <w:proofErr w:type="gramStart"/>
      <w:r>
        <w:rPr>
          <w:rFonts w:ascii="Arial" w:eastAsia="Calibri" w:hAnsi="Arial" w:cs="Arial"/>
          <w:sz w:val="22"/>
          <w:szCs w:val="22"/>
        </w:rPr>
        <w:t>therapy based</w:t>
      </w:r>
      <w:proofErr w:type="gramEnd"/>
      <w:r>
        <w:rPr>
          <w:rFonts w:ascii="Arial" w:eastAsia="Calibri" w:hAnsi="Arial" w:cs="Arial"/>
          <w:sz w:val="22"/>
          <w:szCs w:val="22"/>
        </w:rPr>
        <w:t xml:space="preserve"> programmes. A report carried out at Abertay University concluded that counselling between a young person and a professional is well-evidenced in reducing re-offending (O’Connor &amp; Waddell, 2015). Moreover, ineffective approaches to counselling included short on off sessions (Brooks et al., 2019). The report also concludes that skill building programmes which involve developing life skills and to help promote positive relationships, the programmes tend to focus </w:t>
      </w:r>
      <w:proofErr w:type="gramStart"/>
      <w:r>
        <w:rPr>
          <w:rFonts w:ascii="Arial" w:eastAsia="Calibri" w:hAnsi="Arial" w:cs="Arial"/>
          <w:sz w:val="22"/>
          <w:szCs w:val="22"/>
        </w:rPr>
        <w:t>around</w:t>
      </w:r>
      <w:proofErr w:type="gramEnd"/>
      <w:r>
        <w:rPr>
          <w:rFonts w:ascii="Arial" w:eastAsia="Calibri" w:hAnsi="Arial" w:cs="Arial"/>
          <w:sz w:val="22"/>
          <w:szCs w:val="22"/>
        </w:rPr>
        <w:t xml:space="preserve"> sporting programmes but not in every case. These programmes were found to be successful when there was focus </w:t>
      </w:r>
      <w:proofErr w:type="gramStart"/>
      <w:r>
        <w:rPr>
          <w:rFonts w:ascii="Arial" w:eastAsia="Calibri" w:hAnsi="Arial" w:cs="Arial"/>
          <w:sz w:val="22"/>
          <w:szCs w:val="22"/>
        </w:rPr>
        <w:t>around</w:t>
      </w:r>
      <w:proofErr w:type="gramEnd"/>
      <w:r>
        <w:rPr>
          <w:rFonts w:ascii="Arial" w:eastAsia="Calibri" w:hAnsi="Arial" w:cs="Arial"/>
          <w:sz w:val="22"/>
          <w:szCs w:val="22"/>
        </w:rPr>
        <w:t xml:space="preserve"> behavioural techniques, following by social skill development (O’Connor &amp; Waddel, 2015). </w:t>
      </w:r>
    </w:p>
    <w:p w14:paraId="5A081F6A" w14:textId="77777777" w:rsidR="00621ADB" w:rsidRDefault="00621ADB" w:rsidP="00621ADB">
      <w:pPr>
        <w:spacing w:line="257" w:lineRule="auto"/>
        <w:ind w:right="531"/>
        <w:jc w:val="center"/>
        <w:rPr>
          <w:rFonts w:ascii="Arial" w:eastAsia="Calibri" w:hAnsi="Arial" w:cs="Arial"/>
          <w:sz w:val="22"/>
          <w:szCs w:val="22"/>
        </w:rPr>
      </w:pPr>
    </w:p>
    <w:p w14:paraId="04AA12D5" w14:textId="77777777" w:rsidR="00621ADB" w:rsidRDefault="00621ADB" w:rsidP="00621ADB">
      <w:pPr>
        <w:spacing w:line="257" w:lineRule="auto"/>
        <w:ind w:right="531"/>
        <w:rPr>
          <w:rFonts w:ascii="Arial" w:eastAsia="Calibri" w:hAnsi="Arial" w:cs="Arial"/>
          <w:sz w:val="22"/>
          <w:szCs w:val="22"/>
        </w:rPr>
      </w:pPr>
      <w:r>
        <w:rPr>
          <w:rFonts w:ascii="Arial" w:eastAsia="Calibri" w:hAnsi="Arial" w:cs="Arial"/>
          <w:sz w:val="22"/>
          <w:szCs w:val="22"/>
        </w:rPr>
        <w:t xml:space="preserve"> Lipsey (2009) conducted a study to identify the most effective interventions, ‘skill-building’ programmes involved young people help control their behaviour. The most successful skill building programmes involved behavioural (with a 22% reduction in reoffending) and the least effective being job related skill building with a 6% overall reduction. During this study in a general sense those programmes that were well implements were generally associated with larger effective outcomes. </w:t>
      </w:r>
    </w:p>
    <w:p w14:paraId="0BA12962" w14:textId="77777777" w:rsidR="00621ADB" w:rsidRDefault="00621ADB" w:rsidP="00621ADB">
      <w:pPr>
        <w:spacing w:line="257" w:lineRule="auto"/>
        <w:ind w:left="567" w:right="531"/>
        <w:rPr>
          <w:rFonts w:ascii="Arial" w:eastAsia="Calibri" w:hAnsi="Arial" w:cs="Arial"/>
          <w:sz w:val="22"/>
          <w:szCs w:val="22"/>
        </w:rPr>
      </w:pPr>
    </w:p>
    <w:p w14:paraId="40BD4A53"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Restorative justice is a </w:t>
      </w:r>
      <w:proofErr w:type="spellStart"/>
      <w:proofErr w:type="gramStart"/>
      <w:r>
        <w:rPr>
          <w:rFonts w:ascii="Arial" w:eastAsia="Calibri" w:hAnsi="Arial" w:cs="Arial"/>
          <w:sz w:val="22"/>
          <w:szCs w:val="22"/>
        </w:rPr>
        <w:t>well known</w:t>
      </w:r>
      <w:proofErr w:type="spellEnd"/>
      <w:proofErr w:type="gramEnd"/>
      <w:r>
        <w:rPr>
          <w:rFonts w:ascii="Arial" w:eastAsia="Calibri" w:hAnsi="Arial" w:cs="Arial"/>
          <w:sz w:val="22"/>
          <w:szCs w:val="22"/>
        </w:rPr>
        <w:t xml:space="preserve"> approach used in policing which aims to rehabilitate the offender, usually through encouraging the offender to accept guilt and to reflect on their behaviour and how to avoid repeating this behaviour again (</w:t>
      </w:r>
      <w:proofErr w:type="spellStart"/>
      <w:r>
        <w:rPr>
          <w:rFonts w:ascii="Arial" w:eastAsia="Calibri" w:hAnsi="Arial" w:cs="Arial"/>
          <w:sz w:val="22"/>
          <w:szCs w:val="22"/>
        </w:rPr>
        <w:t>Weshmann</w:t>
      </w:r>
      <w:proofErr w:type="spellEnd"/>
      <w:r>
        <w:rPr>
          <w:rFonts w:ascii="Arial" w:eastAsia="Calibri" w:hAnsi="Arial" w:cs="Arial"/>
          <w:sz w:val="22"/>
          <w:szCs w:val="22"/>
        </w:rPr>
        <w:t xml:space="preserve"> et al., 2020). Research on restorative justice has been widely positive in America however research carried out in the UK is less positive and found it to have very little effect. Although more recent research has shown that when the offender meets with the victim and family this has a more positive effect. There is also research to suggest it is more effective in young girls (Adler, et al., 2016). </w:t>
      </w:r>
    </w:p>
    <w:p w14:paraId="38D9350F" w14:textId="77777777" w:rsidR="00621ADB" w:rsidRDefault="00621ADB" w:rsidP="00621ADB">
      <w:pPr>
        <w:spacing w:line="257" w:lineRule="auto"/>
        <w:ind w:left="567" w:right="531"/>
        <w:rPr>
          <w:rFonts w:ascii="Arial" w:eastAsia="Calibri" w:hAnsi="Arial" w:cs="Arial"/>
          <w:sz w:val="22"/>
          <w:szCs w:val="22"/>
        </w:rPr>
      </w:pPr>
    </w:p>
    <w:p w14:paraId="7FD5514B"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Research has shown that potentially ineffective and harmful approaches to prevent youth offending and reoffending </w:t>
      </w:r>
      <w:proofErr w:type="gramStart"/>
      <w:r>
        <w:rPr>
          <w:rFonts w:ascii="Arial" w:eastAsia="Calibri" w:hAnsi="Arial" w:cs="Arial"/>
          <w:sz w:val="22"/>
          <w:szCs w:val="22"/>
        </w:rPr>
        <w:t>and in some cases</w:t>
      </w:r>
      <w:proofErr w:type="gramEnd"/>
      <w:r>
        <w:rPr>
          <w:rFonts w:ascii="Arial" w:eastAsia="Calibri" w:hAnsi="Arial" w:cs="Arial"/>
          <w:sz w:val="22"/>
          <w:szCs w:val="22"/>
        </w:rPr>
        <w:t xml:space="preserve"> can make things worse, some approaches included pre-emption and punishment and Lipsey (2009) concluded that those approaches were associated with a 2-8% increase in </w:t>
      </w:r>
      <w:r>
        <w:rPr>
          <w:rFonts w:ascii="Arial" w:eastAsia="Calibri" w:hAnsi="Arial" w:cs="Arial"/>
          <w:sz w:val="22"/>
          <w:szCs w:val="22"/>
        </w:rPr>
        <w:lastRenderedPageBreak/>
        <w:t>peoples rates of reoffending. Avoidance schemes attempt to deter youth from crime through scare tactics. These schemes include young people attending prisons in the view that if they come face to face with realities of prison this will scare them to not involve themselves in criminal behaviour. Similarly, disciplined approaches suggest that young people need to learn discipline to avoid criminality in the future. These schemes often focus on military type physical activity groups (Wilson, Mackenzie &amp; Mitchell, 2005). There is also research that suggest placing similar minded young people together in such groups can encourage the deviant behaviour (</w:t>
      </w:r>
      <w:r w:rsidRPr="008C214C">
        <w:rPr>
          <w:rFonts w:ascii="Arial" w:eastAsia="Calibri" w:hAnsi="Arial" w:cs="Arial"/>
          <w:sz w:val="22"/>
          <w:szCs w:val="22"/>
        </w:rPr>
        <w:t>Dishion &amp; Dodge, 2009)</w:t>
      </w:r>
      <w:r>
        <w:rPr>
          <w:rFonts w:ascii="Arial" w:eastAsia="Calibri" w:hAnsi="Arial" w:cs="Arial"/>
          <w:sz w:val="22"/>
          <w:szCs w:val="22"/>
        </w:rPr>
        <w:t xml:space="preserve">. </w:t>
      </w:r>
    </w:p>
    <w:p w14:paraId="359CAA13" w14:textId="77777777" w:rsidR="00621ADB" w:rsidRDefault="00621ADB" w:rsidP="00621ADB">
      <w:pPr>
        <w:spacing w:line="257" w:lineRule="auto"/>
        <w:ind w:left="567" w:right="531"/>
        <w:rPr>
          <w:rFonts w:ascii="Arial" w:eastAsia="Calibri" w:hAnsi="Arial" w:cs="Arial"/>
          <w:sz w:val="22"/>
          <w:szCs w:val="22"/>
        </w:rPr>
      </w:pPr>
    </w:p>
    <w:p w14:paraId="5635703F"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In conclusion, this essay has focused on the effectiveness of early intervention to prevent young people entering and re-entering the criminal justice system covering positive approaches such as therapeutic interventions and restorative justice. The essay has also addressed potentially ineffective approaches such as overly disciplined which can </w:t>
      </w:r>
      <w:proofErr w:type="gramStart"/>
      <w:r>
        <w:rPr>
          <w:rFonts w:ascii="Arial" w:eastAsia="Calibri" w:hAnsi="Arial" w:cs="Arial"/>
          <w:sz w:val="22"/>
          <w:szCs w:val="22"/>
        </w:rPr>
        <w:t>actually increase</w:t>
      </w:r>
      <w:proofErr w:type="gramEnd"/>
      <w:r>
        <w:rPr>
          <w:rFonts w:ascii="Arial" w:eastAsia="Calibri" w:hAnsi="Arial" w:cs="Arial"/>
          <w:sz w:val="22"/>
          <w:szCs w:val="22"/>
        </w:rPr>
        <w:t xml:space="preserve"> reoffending. Furthermore, the essay has also discussed that </w:t>
      </w:r>
      <w:proofErr w:type="gramStart"/>
      <w:r>
        <w:rPr>
          <w:rFonts w:ascii="Arial" w:eastAsia="Calibri" w:hAnsi="Arial" w:cs="Arial"/>
          <w:sz w:val="22"/>
          <w:szCs w:val="22"/>
        </w:rPr>
        <w:t>the majority of</w:t>
      </w:r>
      <w:proofErr w:type="gramEnd"/>
      <w:r>
        <w:rPr>
          <w:rFonts w:ascii="Arial" w:eastAsia="Calibri" w:hAnsi="Arial" w:cs="Arial"/>
          <w:sz w:val="22"/>
          <w:szCs w:val="22"/>
        </w:rPr>
        <w:t xml:space="preserve"> evidence that is covered in research into this area is carried out in America, with very little research carried out in the UK. Clearly, to understand this </w:t>
      </w:r>
      <w:proofErr w:type="gramStart"/>
      <w:r>
        <w:rPr>
          <w:rFonts w:ascii="Arial" w:eastAsia="Calibri" w:hAnsi="Arial" w:cs="Arial"/>
          <w:sz w:val="22"/>
          <w:szCs w:val="22"/>
        </w:rPr>
        <w:t>more further</w:t>
      </w:r>
      <w:proofErr w:type="gramEnd"/>
      <w:r>
        <w:rPr>
          <w:rFonts w:ascii="Arial" w:eastAsia="Calibri" w:hAnsi="Arial" w:cs="Arial"/>
          <w:sz w:val="22"/>
          <w:szCs w:val="22"/>
        </w:rPr>
        <w:t xml:space="preserve"> work needs to be done to support agencies in deterring young people away from offending and reoffending.</w:t>
      </w:r>
    </w:p>
    <w:p w14:paraId="5B1FF674" w14:textId="77777777" w:rsidR="00621ADB" w:rsidRDefault="00621ADB" w:rsidP="00621ADB">
      <w:pPr>
        <w:spacing w:line="257" w:lineRule="auto"/>
        <w:ind w:left="567" w:right="531"/>
        <w:rPr>
          <w:rFonts w:ascii="Arial" w:eastAsia="Calibri" w:hAnsi="Arial" w:cs="Arial"/>
          <w:sz w:val="22"/>
          <w:szCs w:val="22"/>
        </w:rPr>
      </w:pPr>
    </w:p>
    <w:p w14:paraId="743EAA9C"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Words:  903</w:t>
      </w:r>
    </w:p>
    <w:p w14:paraId="23242726" w14:textId="77777777" w:rsidR="00621ADB" w:rsidRDefault="00621ADB" w:rsidP="00621ADB">
      <w:pPr>
        <w:spacing w:line="257" w:lineRule="auto"/>
        <w:ind w:left="567" w:right="531"/>
        <w:rPr>
          <w:rFonts w:ascii="Arial" w:eastAsia="Calibri" w:hAnsi="Arial" w:cs="Arial"/>
          <w:sz w:val="22"/>
          <w:szCs w:val="22"/>
        </w:rPr>
      </w:pPr>
    </w:p>
    <w:p w14:paraId="3CFE95AD"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References </w:t>
      </w:r>
    </w:p>
    <w:p w14:paraId="0DC0E285" w14:textId="77777777" w:rsidR="00621ADB" w:rsidRDefault="00621ADB" w:rsidP="00621ADB">
      <w:pPr>
        <w:spacing w:line="257" w:lineRule="auto"/>
        <w:ind w:left="567" w:right="531"/>
        <w:rPr>
          <w:rFonts w:ascii="Arial" w:eastAsia="Calibri" w:hAnsi="Arial" w:cs="Arial"/>
          <w:sz w:val="22"/>
          <w:szCs w:val="22"/>
        </w:rPr>
      </w:pPr>
    </w:p>
    <w:p w14:paraId="3BBEC589" w14:textId="77777777" w:rsidR="00621ADB" w:rsidRDefault="00621ADB" w:rsidP="00621ADB">
      <w:pPr>
        <w:spacing w:line="257" w:lineRule="auto"/>
        <w:ind w:left="567" w:right="531"/>
      </w:pPr>
      <w:r w:rsidRPr="004D2E2A">
        <w:rPr>
          <w:rFonts w:ascii="Arial" w:eastAsia="Calibri" w:hAnsi="Arial" w:cs="Arial"/>
          <w:sz w:val="22"/>
          <w:szCs w:val="22"/>
        </w:rPr>
        <w:t xml:space="preserve">Adler, J. R., Edwards, S. K., Scally, M., Gill, D., </w:t>
      </w:r>
      <w:proofErr w:type="spellStart"/>
      <w:r w:rsidRPr="004D2E2A">
        <w:rPr>
          <w:rFonts w:ascii="Arial" w:eastAsia="Calibri" w:hAnsi="Arial" w:cs="Arial"/>
          <w:sz w:val="22"/>
          <w:szCs w:val="22"/>
        </w:rPr>
        <w:t>Puniskis</w:t>
      </w:r>
      <w:proofErr w:type="spellEnd"/>
      <w:r w:rsidRPr="004D2E2A">
        <w:rPr>
          <w:rFonts w:ascii="Arial" w:eastAsia="Calibri" w:hAnsi="Arial" w:cs="Arial"/>
          <w:sz w:val="22"/>
          <w:szCs w:val="22"/>
        </w:rPr>
        <w:t xml:space="preserve">, M. J., </w:t>
      </w:r>
      <w:proofErr w:type="spellStart"/>
      <w:r w:rsidRPr="004D2E2A">
        <w:rPr>
          <w:rFonts w:ascii="Arial" w:eastAsia="Calibri" w:hAnsi="Arial" w:cs="Arial"/>
          <w:sz w:val="22"/>
          <w:szCs w:val="22"/>
        </w:rPr>
        <w:t>Gekoski</w:t>
      </w:r>
      <w:proofErr w:type="spellEnd"/>
      <w:r w:rsidRPr="004D2E2A">
        <w:rPr>
          <w:rFonts w:ascii="Arial" w:eastAsia="Calibri" w:hAnsi="Arial" w:cs="Arial"/>
          <w:sz w:val="22"/>
          <w:szCs w:val="22"/>
        </w:rPr>
        <w:t xml:space="preserve">, A., &amp; Horvath, M. A. H. (2016). What Works in Managing Young People </w:t>
      </w:r>
      <w:proofErr w:type="gramStart"/>
      <w:r w:rsidRPr="004D2E2A">
        <w:rPr>
          <w:rFonts w:ascii="Arial" w:eastAsia="Calibri" w:hAnsi="Arial" w:cs="Arial"/>
          <w:sz w:val="22"/>
          <w:szCs w:val="22"/>
        </w:rPr>
        <w:t>who</w:t>
      </w:r>
      <w:proofErr w:type="gramEnd"/>
      <w:r w:rsidRPr="004D2E2A">
        <w:rPr>
          <w:rFonts w:ascii="Arial" w:eastAsia="Calibri" w:hAnsi="Arial" w:cs="Arial"/>
          <w:sz w:val="22"/>
          <w:szCs w:val="22"/>
        </w:rPr>
        <w:t xml:space="preserve"> Offend? A Summary of the International Evidence. Forensic Psychological Services at Middlesex University Ministry of Justice Analytical Series. Available at: </w:t>
      </w:r>
      <w:hyperlink r:id="rId8" w:history="1">
        <w:r w:rsidRPr="007D4F1B">
          <w:rPr>
            <w:rStyle w:val="Hyperlink"/>
            <w:rFonts w:ascii="Arial" w:eastAsia="Calibri" w:hAnsi="Arial" w:cs="Arial"/>
            <w:sz w:val="22"/>
            <w:szCs w:val="22"/>
          </w:rPr>
          <w:t>http://www.justice.gov.uk/publications/researchand-analysis/moj</w:t>
        </w:r>
      </w:hyperlink>
      <w:r>
        <w:rPr>
          <w:rFonts w:ascii="Arial" w:eastAsia="Calibri" w:hAnsi="Arial" w:cs="Arial"/>
          <w:sz w:val="22"/>
          <w:szCs w:val="22"/>
        </w:rPr>
        <w:t xml:space="preserve"> Accessed 31/10/2024</w:t>
      </w:r>
    </w:p>
    <w:p w14:paraId="20ACDB9C" w14:textId="77777777" w:rsidR="00621ADB" w:rsidRDefault="00621ADB" w:rsidP="00621ADB">
      <w:pPr>
        <w:spacing w:line="257" w:lineRule="auto"/>
        <w:ind w:left="567" w:right="531"/>
      </w:pPr>
    </w:p>
    <w:p w14:paraId="2271A40D" w14:textId="77777777" w:rsidR="00621ADB" w:rsidRDefault="00621ADB" w:rsidP="00621ADB">
      <w:pPr>
        <w:spacing w:line="257" w:lineRule="auto"/>
        <w:ind w:left="567" w:right="531"/>
        <w:rPr>
          <w:rFonts w:ascii="Arial" w:eastAsia="Calibri" w:hAnsi="Arial" w:cs="Arial"/>
          <w:sz w:val="22"/>
          <w:szCs w:val="22"/>
        </w:rPr>
      </w:pPr>
      <w:r>
        <w:rPr>
          <w:rFonts w:ascii="Arial" w:eastAsia="Calibri" w:hAnsi="Arial" w:cs="Arial"/>
          <w:sz w:val="22"/>
          <w:szCs w:val="22"/>
        </w:rPr>
        <w:t xml:space="preserve">Youth Crime Commission (2024) Early intervention. Available at </w:t>
      </w:r>
      <w:hyperlink r:id="rId9" w:history="1">
        <w:r w:rsidRPr="004F6F91">
          <w:rPr>
            <w:rStyle w:val="Hyperlink"/>
            <w:rFonts w:ascii="Arial" w:eastAsia="Calibri" w:hAnsi="Arial" w:cs="Arial"/>
            <w:sz w:val="22"/>
            <w:szCs w:val="22"/>
          </w:rPr>
          <w:t>https://www.youthcrimecommission.org.uk/early-intervention/</w:t>
        </w:r>
      </w:hyperlink>
      <w:r>
        <w:rPr>
          <w:rFonts w:ascii="Arial" w:eastAsia="Calibri" w:hAnsi="Arial" w:cs="Arial"/>
          <w:sz w:val="22"/>
          <w:szCs w:val="22"/>
        </w:rPr>
        <w:t xml:space="preserve"> Accessed 30/10/2024</w:t>
      </w:r>
    </w:p>
    <w:p w14:paraId="7CAF38EC" w14:textId="77777777" w:rsidR="00621ADB" w:rsidRDefault="00621ADB" w:rsidP="00621ADB">
      <w:pPr>
        <w:spacing w:line="257" w:lineRule="auto"/>
        <w:ind w:left="567" w:right="531"/>
        <w:rPr>
          <w:rFonts w:ascii="Arial" w:eastAsia="Calibri" w:hAnsi="Arial" w:cs="Arial"/>
          <w:sz w:val="22"/>
          <w:szCs w:val="22"/>
        </w:rPr>
      </w:pPr>
    </w:p>
    <w:p w14:paraId="6927AA65" w14:textId="77777777" w:rsidR="00621ADB" w:rsidRDefault="00621ADB" w:rsidP="00621ADB">
      <w:pPr>
        <w:spacing w:line="257" w:lineRule="auto"/>
        <w:ind w:left="567" w:right="531"/>
        <w:rPr>
          <w:rFonts w:ascii="Arial" w:eastAsia="Calibri" w:hAnsi="Arial" w:cs="Arial"/>
          <w:sz w:val="22"/>
          <w:szCs w:val="22"/>
        </w:rPr>
      </w:pPr>
      <w:r w:rsidRPr="0058373B">
        <w:rPr>
          <w:rFonts w:ascii="Arial" w:eastAsia="Calibri" w:hAnsi="Arial" w:cs="Arial"/>
          <w:sz w:val="22"/>
          <w:szCs w:val="22"/>
        </w:rPr>
        <w:t>Dishion, T. J., &amp; Dodge, K. A. (2009). Peer contagion in interventions for children and adolescents: Moving towards an understanding of the ecology and dynamics of change. Journal of Abnormal Child Psychology, 33, 395–400.</w:t>
      </w:r>
    </w:p>
    <w:p w14:paraId="31C0DDDA" w14:textId="77777777" w:rsidR="00621ADB" w:rsidRDefault="00621ADB" w:rsidP="00621ADB">
      <w:pPr>
        <w:spacing w:line="257" w:lineRule="auto"/>
        <w:ind w:left="567" w:right="531"/>
        <w:rPr>
          <w:rFonts w:ascii="Arial" w:eastAsia="Calibri" w:hAnsi="Arial" w:cs="Arial"/>
          <w:sz w:val="22"/>
          <w:szCs w:val="22"/>
        </w:rPr>
      </w:pPr>
    </w:p>
    <w:p w14:paraId="4F0BC305" w14:textId="77777777" w:rsidR="00621ADB" w:rsidRDefault="00621ADB" w:rsidP="00621ADB">
      <w:pPr>
        <w:spacing w:line="257" w:lineRule="auto"/>
        <w:ind w:left="567" w:right="531"/>
        <w:rPr>
          <w:rFonts w:ascii="Arial" w:eastAsia="Calibri" w:hAnsi="Arial" w:cs="Arial"/>
          <w:sz w:val="22"/>
          <w:szCs w:val="22"/>
        </w:rPr>
      </w:pPr>
      <w:r w:rsidRPr="0058373B">
        <w:rPr>
          <w:rFonts w:ascii="Arial" w:eastAsia="Calibri" w:hAnsi="Arial" w:cs="Arial"/>
          <w:sz w:val="22"/>
          <w:szCs w:val="22"/>
        </w:rPr>
        <w:t xml:space="preserve">Wilson, D., </w:t>
      </w:r>
      <w:proofErr w:type="spellStart"/>
      <w:r w:rsidRPr="0058373B">
        <w:rPr>
          <w:rFonts w:ascii="Arial" w:eastAsia="Calibri" w:hAnsi="Arial" w:cs="Arial"/>
          <w:sz w:val="22"/>
          <w:szCs w:val="22"/>
        </w:rPr>
        <w:t>MacKenzie</w:t>
      </w:r>
      <w:proofErr w:type="spellEnd"/>
      <w:r w:rsidRPr="0058373B">
        <w:rPr>
          <w:rFonts w:ascii="Arial" w:eastAsia="Calibri" w:hAnsi="Arial" w:cs="Arial"/>
          <w:sz w:val="22"/>
          <w:szCs w:val="22"/>
        </w:rPr>
        <w:t xml:space="preserve">, D. L., &amp; Mitchell, F. N. (2005). Effects of correctional boot camps on offending. Campbell Systematic Reviews, 2005:6. Available from: </w:t>
      </w:r>
      <w:hyperlink r:id="rId10" w:history="1">
        <w:r w:rsidRPr="00511E2C">
          <w:rPr>
            <w:rStyle w:val="Hyperlink"/>
            <w:rFonts w:ascii="Arial" w:eastAsia="Calibri" w:hAnsi="Arial" w:cs="Arial"/>
            <w:sz w:val="22"/>
            <w:szCs w:val="22"/>
          </w:rPr>
          <w:t>http://www.campbellcollaboration.org/lib/project/1</w:t>
        </w:r>
      </w:hyperlink>
    </w:p>
    <w:p w14:paraId="114573F5" w14:textId="77777777" w:rsidR="00621ADB" w:rsidRDefault="00621ADB" w:rsidP="00621ADB">
      <w:pPr>
        <w:spacing w:line="257" w:lineRule="auto"/>
        <w:ind w:left="567" w:right="531"/>
        <w:rPr>
          <w:rFonts w:ascii="Arial" w:eastAsia="Calibri" w:hAnsi="Arial" w:cs="Arial"/>
          <w:sz w:val="22"/>
          <w:szCs w:val="22"/>
        </w:rPr>
      </w:pPr>
    </w:p>
    <w:p w14:paraId="307E2904" w14:textId="77777777" w:rsidR="00621ADB" w:rsidRDefault="00621ADB" w:rsidP="00621ADB">
      <w:pPr>
        <w:spacing w:line="257" w:lineRule="auto"/>
        <w:ind w:left="567" w:right="531"/>
        <w:rPr>
          <w:rFonts w:ascii="Arial" w:eastAsia="Calibri" w:hAnsi="Arial" w:cs="Arial"/>
          <w:sz w:val="22"/>
          <w:szCs w:val="22"/>
        </w:rPr>
      </w:pPr>
      <w:r w:rsidRPr="00DB6ACC">
        <w:rPr>
          <w:rFonts w:ascii="Arial" w:eastAsia="Calibri" w:hAnsi="Arial" w:cs="Arial"/>
          <w:sz w:val="22"/>
          <w:szCs w:val="22"/>
        </w:rPr>
        <w:t>Lipsey, M. W. (2009). The primary factors that characterize effective interventions with juvenile offenders: A meta-analytic overview. Victims and Offenders, 4(2), 124–147.</w:t>
      </w:r>
    </w:p>
    <w:p w14:paraId="72F83BF7" w14:textId="77777777" w:rsidR="00621ADB" w:rsidRDefault="00621ADB" w:rsidP="00621ADB">
      <w:pPr>
        <w:spacing w:line="257" w:lineRule="auto"/>
        <w:ind w:left="567" w:right="531"/>
        <w:rPr>
          <w:rFonts w:ascii="Arial" w:eastAsia="Calibri" w:hAnsi="Arial" w:cs="Arial"/>
          <w:sz w:val="22"/>
          <w:szCs w:val="22"/>
        </w:rPr>
      </w:pPr>
    </w:p>
    <w:p w14:paraId="382177CE" w14:textId="77777777" w:rsidR="00621ADB" w:rsidRDefault="00621ADB" w:rsidP="00621ADB">
      <w:pPr>
        <w:spacing w:line="257" w:lineRule="auto"/>
        <w:ind w:left="567" w:right="531"/>
        <w:rPr>
          <w:rFonts w:ascii="Arial" w:eastAsia="Calibri" w:hAnsi="Arial" w:cs="Arial"/>
          <w:sz w:val="22"/>
          <w:szCs w:val="22"/>
        </w:rPr>
      </w:pPr>
      <w:r w:rsidRPr="00AF4B9E">
        <w:rPr>
          <w:rFonts w:ascii="Arial" w:eastAsia="Calibri" w:hAnsi="Arial" w:cs="Arial"/>
          <w:sz w:val="22"/>
          <w:szCs w:val="22"/>
        </w:rPr>
        <w:t>O'Connor, R. M., &amp; Waddell, S. (2015). What works to prevent gang involvement, youth violence and crime. A rapid review of interventions delivered in the UK and abroad. The Early Intervention Foundation, Home Office.</w:t>
      </w:r>
    </w:p>
    <w:p w14:paraId="76FDE416" w14:textId="77777777" w:rsidR="00621ADB" w:rsidRDefault="00621ADB" w:rsidP="00621ADB">
      <w:pPr>
        <w:spacing w:line="257" w:lineRule="auto"/>
        <w:ind w:left="567" w:right="531"/>
        <w:rPr>
          <w:rFonts w:ascii="Arial" w:eastAsia="Calibri" w:hAnsi="Arial" w:cs="Arial"/>
          <w:sz w:val="22"/>
          <w:szCs w:val="22"/>
        </w:rPr>
      </w:pPr>
    </w:p>
    <w:p w14:paraId="0524206C" w14:textId="77777777" w:rsidR="00621ADB" w:rsidRDefault="00621ADB" w:rsidP="00621ADB">
      <w:pPr>
        <w:spacing w:line="257" w:lineRule="auto"/>
        <w:ind w:left="567" w:right="531"/>
        <w:rPr>
          <w:rFonts w:ascii="Arial" w:eastAsia="Calibri" w:hAnsi="Arial" w:cs="Arial"/>
          <w:sz w:val="22"/>
          <w:szCs w:val="22"/>
        </w:rPr>
      </w:pPr>
      <w:proofErr w:type="spellStart"/>
      <w:r w:rsidRPr="004D2E2A">
        <w:rPr>
          <w:rFonts w:ascii="Arial" w:eastAsia="Calibri" w:hAnsi="Arial" w:cs="Arial"/>
          <w:sz w:val="22"/>
          <w:szCs w:val="22"/>
        </w:rPr>
        <w:lastRenderedPageBreak/>
        <w:t>Wieshmann</w:t>
      </w:r>
      <w:proofErr w:type="spellEnd"/>
      <w:r w:rsidRPr="004D2E2A">
        <w:rPr>
          <w:rFonts w:ascii="Arial" w:eastAsia="Calibri" w:hAnsi="Arial" w:cs="Arial"/>
          <w:sz w:val="22"/>
          <w:szCs w:val="22"/>
        </w:rPr>
        <w:t>, H., Davies, M., Sugg, O., Davis, S. &amp; Ruda, S. (2020). Violence in London: what we know and how to respond. The Behavioural Insights Team.</w:t>
      </w:r>
    </w:p>
    <w:p w14:paraId="59C714C7" w14:textId="77777777" w:rsidR="00621ADB" w:rsidRDefault="00621ADB"/>
    <w:sectPr w:rsidR="00621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ADB"/>
    <w:rsid w:val="001C7E3D"/>
    <w:rsid w:val="00621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47ACA"/>
  <w15:chartTrackingRefBased/>
  <w15:docId w15:val="{9E68DFBC-51A5-431E-B294-88D63E38E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AD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21AD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21AD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21AD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21ADB"/>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621ADB"/>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621ADB"/>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621ADB"/>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621ADB"/>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621ADB"/>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1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1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ADB"/>
    <w:rPr>
      <w:rFonts w:eastAsiaTheme="majorEastAsia" w:cstheme="majorBidi"/>
      <w:color w:val="272727" w:themeColor="text1" w:themeTint="D8"/>
    </w:rPr>
  </w:style>
  <w:style w:type="paragraph" w:styleId="Title">
    <w:name w:val="Title"/>
    <w:basedOn w:val="Normal"/>
    <w:next w:val="Normal"/>
    <w:link w:val="TitleChar"/>
    <w:uiPriority w:val="10"/>
    <w:qFormat/>
    <w:rsid w:val="00621AD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21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AD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21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ADB"/>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621ADB"/>
    <w:rPr>
      <w:i/>
      <w:iCs/>
      <w:color w:val="404040" w:themeColor="text1" w:themeTint="BF"/>
    </w:rPr>
  </w:style>
  <w:style w:type="paragraph" w:styleId="ListParagraph">
    <w:name w:val="List Paragraph"/>
    <w:basedOn w:val="Normal"/>
    <w:uiPriority w:val="34"/>
    <w:qFormat/>
    <w:rsid w:val="00621ADB"/>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621ADB"/>
    <w:rPr>
      <w:i/>
      <w:iCs/>
      <w:color w:val="0F4761" w:themeColor="accent1" w:themeShade="BF"/>
    </w:rPr>
  </w:style>
  <w:style w:type="paragraph" w:styleId="IntenseQuote">
    <w:name w:val="Intense Quote"/>
    <w:basedOn w:val="Normal"/>
    <w:next w:val="Normal"/>
    <w:link w:val="IntenseQuoteChar"/>
    <w:uiPriority w:val="30"/>
    <w:qFormat/>
    <w:rsid w:val="00621AD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621ADB"/>
    <w:rPr>
      <w:i/>
      <w:iCs/>
      <w:color w:val="0F4761" w:themeColor="accent1" w:themeShade="BF"/>
    </w:rPr>
  </w:style>
  <w:style w:type="character" w:styleId="IntenseReference">
    <w:name w:val="Intense Reference"/>
    <w:basedOn w:val="DefaultParagraphFont"/>
    <w:uiPriority w:val="32"/>
    <w:qFormat/>
    <w:rsid w:val="00621ADB"/>
    <w:rPr>
      <w:b/>
      <w:bCs/>
      <w:smallCaps/>
      <w:color w:val="0F4761" w:themeColor="accent1" w:themeShade="BF"/>
      <w:spacing w:val="5"/>
    </w:rPr>
  </w:style>
  <w:style w:type="character" w:styleId="Hyperlink">
    <w:name w:val="Hyperlink"/>
    <w:basedOn w:val="DefaultParagraphFont"/>
    <w:uiPriority w:val="99"/>
    <w:unhideWhenUsed/>
    <w:rsid w:val="00621A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ustice.gov.uk/publications/researchand-analysis/moj" TargetMode="External"/><Relationship Id="rId3" Type="http://schemas.openxmlformats.org/officeDocument/2006/relationships/webSettings" Target="webSettings.xml"/><Relationship Id="rId7" Type="http://schemas.openxmlformats.org/officeDocument/2006/relationships/hyperlink" Target="https://www.gov.uk/government/publications/criminal-exploitation-of-children-and-vulnerable-adults-county-lines/criminal-exploitation-of-children-and-vulnerable-adults-county-lin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media/5a808e9eed915d74e33fb1b1/6_162_HO_SOC_PI_Guidance_Mar2015_v10_FINAL_270215_WEB__2_.pdf" TargetMode="External"/><Relationship Id="rId11" Type="http://schemas.openxmlformats.org/officeDocument/2006/relationships/fontTable" Target="fontTable.xml"/><Relationship Id="rId5" Type="http://schemas.openxmlformats.org/officeDocument/2006/relationships/hyperlink" Target="https://www.nationalcrimeagency.gov.uk/who-we-are/publications/437-national-strategic-assessment-of-serious-and-organised-crime-2020/file" TargetMode="External"/><Relationship Id="rId10" Type="http://schemas.openxmlformats.org/officeDocument/2006/relationships/hyperlink" Target="http://www.campbellcollaboration.org/lib/project/1" TargetMode="External"/><Relationship Id="rId4" Type="http://schemas.openxmlformats.org/officeDocument/2006/relationships/hyperlink" Target="https://assets.publishing.service.gov.uk/media/5a750b6940f0b6360e472e5a/horr88.pdf" TargetMode="External"/><Relationship Id="rId9" Type="http://schemas.openxmlformats.org/officeDocument/2006/relationships/hyperlink" Target="https://www.youthcrimecommission.org.uk/early-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2424</Words>
  <Characters>13820</Characters>
  <Application>Microsoft Office Word</Application>
  <DocSecurity>0</DocSecurity>
  <Lines>115</Lines>
  <Paragraphs>32</Paragraphs>
  <ScaleCrop>false</ScaleCrop>
  <Company>South Wales Police</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Jones,Samantha swp8677</dc:creator>
  <cp:keywords/>
  <dc:description/>
  <cp:lastModifiedBy>Jones,Samantha swp8677</cp:lastModifiedBy>
  <cp:revision>1</cp:revision>
  <dcterms:created xsi:type="dcterms:W3CDTF">2024-11-09T17:43:00Z</dcterms:created>
  <dcterms:modified xsi:type="dcterms:W3CDTF">2024-11-09T17:43:00Z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2024-11-09T17:43:31Z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23faae4a-def7-4b72-8b29-5ea1d1e8886a</vt:lpwstr>
  </property>
  <property fmtid="{D5CDD505-2E9C-101B-9397-08002B2CF9AE}" pid="8" name="MSIP_Label_66cf8fe5-b7b7-4df7-b38d-1c61ac2f6639_ContentBits">
    <vt:lpwstr>0</vt:lpwstr>
  </property>
</Properties>
</file>