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5808967" w:displacedByCustomXml="next"/>
    <w:sdt>
      <w:sdtPr>
        <w:rPr>
          <w:rFonts w:ascii="Calibri" w:eastAsia="Calibri" w:hAnsi="Calibri" w:cs="Times New Roman"/>
          <w:sz w:val="2"/>
          <w:lang w:val="en-GB"/>
        </w:rPr>
        <w:id w:val="186025064"/>
        <w:docPartObj>
          <w:docPartGallery w:val="Cover Pages"/>
          <w:docPartUnique/>
        </w:docPartObj>
      </w:sdtPr>
      <w:sdtEndPr>
        <w:rPr>
          <w:rFonts w:ascii="Arial Narrow" w:hAnsi="Arial Narrow"/>
          <w:sz w:val="32"/>
          <w:szCs w:val="32"/>
          <w:u w:val="single"/>
        </w:rPr>
      </w:sdtEndPr>
      <w:sdtContent>
        <w:p w14:paraId="5DCBFEBE" w14:textId="17E69FBE" w:rsidR="00017126" w:rsidRDefault="00017126">
          <w:pPr>
            <w:pStyle w:val="NoSpacing"/>
            <w:rPr>
              <w:sz w:val="2"/>
            </w:rPr>
          </w:pPr>
        </w:p>
        <w:p w14:paraId="75F8A11A" w14:textId="77777777" w:rsidR="00017126" w:rsidRDefault="00017126">
          <w:r>
            <w:rPr>
              <w:noProof/>
            </w:rPr>
            <mc:AlternateContent>
              <mc:Choice Requires="wps">
                <w:drawing>
                  <wp:anchor distT="0" distB="0" distL="114300" distR="114300" simplePos="0" relativeHeight="251661312" behindDoc="0" locked="0" layoutInCell="1" allowOverlap="1" wp14:anchorId="5E4959BB" wp14:editId="3F043B5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4472C4" w:themeColor="accen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0ECCEA9" w14:textId="06040BD3" w:rsidR="00017126" w:rsidRPr="00E865F7" w:rsidRDefault="00113DF4">
                                    <w:pPr>
                                      <w:pStyle w:val="NoSpacing"/>
                                      <w:rPr>
                                        <w:rFonts w:asciiTheme="majorHAnsi" w:eastAsiaTheme="majorEastAsia" w:hAnsiTheme="majorHAnsi" w:cstheme="majorBidi"/>
                                        <w:b/>
                                        <w:caps/>
                                        <w:color w:val="4472C4" w:themeColor="accent1"/>
                                        <w:sz w:val="56"/>
                                        <w:szCs w:val="56"/>
                                      </w:rPr>
                                    </w:pPr>
                                    <w:r w:rsidRPr="00E865F7">
                                      <w:rPr>
                                        <w:b/>
                                        <w:color w:val="4472C4" w:themeColor="accent1"/>
                                        <w:sz w:val="56"/>
                                        <w:szCs w:val="56"/>
                                      </w:rPr>
                                      <w:t>Psychology for Health and Social Care</w:t>
                                    </w:r>
                                  </w:p>
                                </w:sdtContent>
                              </w:sdt>
                              <w:p w14:paraId="67C0F692" w14:textId="1F92DAA4" w:rsidR="00017126" w:rsidRPr="00E865F7" w:rsidRDefault="00017126">
                                <w:pPr>
                                  <w:pStyle w:val="NoSpacing"/>
                                  <w:spacing w:before="120"/>
                                  <w:rPr>
                                    <w:b/>
                                    <w:color w:val="4472C4" w:themeColor="accent1"/>
                                    <w:sz w:val="56"/>
                                    <w:szCs w:val="56"/>
                                  </w:rPr>
                                </w:pPr>
                              </w:p>
                              <w:p w14:paraId="70C01C52" w14:textId="79E7DB06" w:rsidR="00017126" w:rsidRPr="00E865F7" w:rsidRDefault="00113DF4">
                                <w:pPr>
                                  <w:rPr>
                                    <w:b/>
                                    <w:color w:val="4472C4" w:themeColor="accent1"/>
                                    <w:sz w:val="56"/>
                                    <w:szCs w:val="56"/>
                                  </w:rPr>
                                </w:pPr>
                                <w:r w:rsidRPr="00E865F7">
                                  <w:rPr>
                                    <w:b/>
                                    <w:color w:val="4472C4" w:themeColor="accent1"/>
                                    <w:sz w:val="56"/>
                                    <w:szCs w:val="56"/>
                                  </w:rPr>
                                  <w:t>Task-1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E4959B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b/>
                              <w:color w:val="4472C4" w:themeColor="accen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0ECCEA9" w14:textId="06040BD3" w:rsidR="00017126" w:rsidRPr="00E865F7" w:rsidRDefault="00113DF4">
                              <w:pPr>
                                <w:pStyle w:val="NoSpacing"/>
                                <w:rPr>
                                  <w:rFonts w:asciiTheme="majorHAnsi" w:eastAsiaTheme="majorEastAsia" w:hAnsiTheme="majorHAnsi" w:cstheme="majorBidi"/>
                                  <w:b/>
                                  <w:caps/>
                                  <w:color w:val="4472C4" w:themeColor="accent1"/>
                                  <w:sz w:val="56"/>
                                  <w:szCs w:val="56"/>
                                </w:rPr>
                              </w:pPr>
                              <w:r w:rsidRPr="00E865F7">
                                <w:rPr>
                                  <w:b/>
                                  <w:color w:val="4472C4" w:themeColor="accent1"/>
                                  <w:sz w:val="56"/>
                                  <w:szCs w:val="56"/>
                                </w:rPr>
                                <w:t>Psychology for Health and Social Care</w:t>
                              </w:r>
                            </w:p>
                          </w:sdtContent>
                        </w:sdt>
                        <w:p w14:paraId="67C0F692" w14:textId="1F92DAA4" w:rsidR="00017126" w:rsidRPr="00E865F7" w:rsidRDefault="00017126">
                          <w:pPr>
                            <w:pStyle w:val="NoSpacing"/>
                            <w:spacing w:before="120"/>
                            <w:rPr>
                              <w:b/>
                              <w:color w:val="4472C4" w:themeColor="accent1"/>
                              <w:sz w:val="56"/>
                              <w:szCs w:val="56"/>
                            </w:rPr>
                          </w:pPr>
                        </w:p>
                        <w:p w14:paraId="70C01C52" w14:textId="79E7DB06" w:rsidR="00017126" w:rsidRPr="00E865F7" w:rsidRDefault="00113DF4">
                          <w:pPr>
                            <w:rPr>
                              <w:b/>
                              <w:color w:val="4472C4" w:themeColor="accent1"/>
                              <w:sz w:val="56"/>
                              <w:szCs w:val="56"/>
                            </w:rPr>
                          </w:pPr>
                          <w:r w:rsidRPr="00E865F7">
                            <w:rPr>
                              <w:b/>
                              <w:color w:val="4472C4" w:themeColor="accent1"/>
                              <w:sz w:val="56"/>
                              <w:szCs w:val="56"/>
                            </w:rPr>
                            <w:t>Task-1</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0665639" wp14:editId="110690B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0B284B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3EA8550" wp14:editId="170916D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C3980" w14:textId="7D557503" w:rsidR="00017126" w:rsidRPr="00B4788B" w:rsidRDefault="000F4F25">
                                <w:pPr>
                                  <w:pStyle w:val="NoSpacing"/>
                                  <w:jc w:val="right"/>
                                  <w:rPr>
                                    <w:color w:val="4472C4" w:themeColor="accent1"/>
                                    <w:sz w:val="56"/>
                                    <w:szCs w:val="56"/>
                                  </w:rPr>
                                </w:pPr>
                                <w:sdt>
                                  <w:sdtPr>
                                    <w:rPr>
                                      <w:color w:val="4472C4" w:themeColor="accent1"/>
                                      <w:sz w:val="56"/>
                                      <w:szCs w:val="5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4788B">
                                      <w:rPr>
                                        <w:color w:val="4472C4" w:themeColor="accent1"/>
                                        <w:sz w:val="56"/>
                                        <w:szCs w:val="56"/>
                                      </w:rPr>
                                      <w:t xml:space="preserve">     </w:t>
                                    </w:r>
                                  </w:sdtContent>
                                </w:sdt>
                              </w:p>
                              <w:p w14:paraId="1195F786" w14:textId="5CEE8C9D" w:rsidR="00B97CCF" w:rsidRDefault="00B97CCF" w:rsidP="00E865F7">
                                <w:pPr>
                                  <w:jc w:val="both"/>
                                  <w:rPr>
                                    <w:rFonts w:asciiTheme="minorHAnsi" w:hAnsiTheme="minorHAnsi" w:cstheme="minorHAnsi"/>
                                    <w:b/>
                                    <w:color w:val="4472C4" w:themeColor="accent1"/>
                                    <w:sz w:val="52"/>
                                    <w:szCs w:val="52"/>
                                  </w:rPr>
                                </w:pPr>
                                <w:r w:rsidRPr="00B97CCF">
                                  <w:rPr>
                                    <w:rFonts w:asciiTheme="minorHAnsi" w:hAnsiTheme="minorHAnsi" w:cstheme="minorHAnsi"/>
                                    <w:b/>
                                    <w:color w:val="4472C4" w:themeColor="accent1"/>
                                    <w:sz w:val="52"/>
                                    <w:szCs w:val="52"/>
                                  </w:rPr>
                                  <w:t>Submitted to Dr. Gulnar Ali</w:t>
                                </w:r>
                              </w:p>
                              <w:p w14:paraId="46954378" w14:textId="674A23AA" w:rsidR="00B97CCF" w:rsidRDefault="00B97CCF" w:rsidP="00B97CCF">
                                <w:pPr>
                                  <w:ind w:left="1440" w:firstLine="720"/>
                                  <w:jc w:val="both"/>
                                  <w:rPr>
                                    <w:rFonts w:asciiTheme="minorHAnsi" w:hAnsiTheme="minorHAnsi" w:cstheme="minorHAnsi"/>
                                    <w:b/>
                                    <w:color w:val="4472C4" w:themeColor="accent1"/>
                                    <w:sz w:val="52"/>
                                    <w:szCs w:val="52"/>
                                  </w:rPr>
                                </w:pPr>
                              </w:p>
                              <w:p w14:paraId="22471F21" w14:textId="1D81FDD2" w:rsidR="00B97CCF" w:rsidRDefault="00B97CCF" w:rsidP="00B97CCF">
                                <w:pPr>
                                  <w:ind w:left="1440" w:firstLine="720"/>
                                  <w:jc w:val="both"/>
                                  <w:rPr>
                                    <w:rFonts w:asciiTheme="minorHAnsi" w:hAnsiTheme="minorHAnsi" w:cstheme="minorHAnsi"/>
                                    <w:b/>
                                    <w:color w:val="4472C4" w:themeColor="accent1"/>
                                    <w:sz w:val="52"/>
                                    <w:szCs w:val="52"/>
                                  </w:rPr>
                                </w:pPr>
                              </w:p>
                              <w:p w14:paraId="1EF32A0C" w14:textId="71A0D025" w:rsidR="00B97CCF" w:rsidRDefault="00B97CCF" w:rsidP="00B97CCF">
                                <w:pPr>
                                  <w:ind w:left="1440" w:firstLine="720"/>
                                  <w:jc w:val="both"/>
                                  <w:rPr>
                                    <w:rFonts w:asciiTheme="minorHAnsi" w:hAnsiTheme="minorHAnsi" w:cstheme="minorHAnsi"/>
                                    <w:b/>
                                    <w:color w:val="4472C4" w:themeColor="accent1"/>
                                    <w:sz w:val="52"/>
                                    <w:szCs w:val="52"/>
                                  </w:rPr>
                                </w:pPr>
                              </w:p>
                              <w:p w14:paraId="415E07B7" w14:textId="77777777" w:rsidR="00B97CCF" w:rsidRPr="00B97CCF" w:rsidRDefault="00B97CCF" w:rsidP="00B97CCF">
                                <w:pPr>
                                  <w:ind w:left="1440" w:firstLine="720"/>
                                  <w:jc w:val="both"/>
                                  <w:rPr>
                                    <w:rFonts w:asciiTheme="minorHAnsi" w:hAnsiTheme="minorHAnsi" w:cstheme="minorHAnsi"/>
                                    <w:b/>
                                    <w:color w:val="4472C4" w:themeColor="accent1"/>
                                    <w:sz w:val="52"/>
                                    <w:szCs w:val="52"/>
                                  </w:rPr>
                                </w:pPr>
                              </w:p>
                              <w:p w14:paraId="41458DF2" w14:textId="77777777" w:rsidR="00B97CCF" w:rsidRDefault="00B97CCF" w:rsidP="00B97CCF">
                                <w:pPr>
                                  <w:pStyle w:val="NoSpacing"/>
                                  <w:jc w:val="right"/>
                                  <w:rPr>
                                    <w:b/>
                                    <w:bCs/>
                                    <w:color w:val="4472C4" w:themeColor="accent1"/>
                                    <w:sz w:val="56"/>
                                    <w:szCs w:val="56"/>
                                    <w:lang w:val="en-GB"/>
                                  </w:rPr>
                                </w:pPr>
                              </w:p>
                              <w:p w14:paraId="24635495" w14:textId="77777777" w:rsidR="00B97CCF" w:rsidRDefault="00B97CCF" w:rsidP="00B97CCF">
                                <w:pPr>
                                  <w:pStyle w:val="NoSpacing"/>
                                  <w:jc w:val="right"/>
                                  <w:rPr>
                                    <w:b/>
                                    <w:bCs/>
                                    <w:color w:val="4472C4" w:themeColor="accent1"/>
                                    <w:sz w:val="56"/>
                                    <w:szCs w:val="56"/>
                                    <w:lang w:val="en-GB"/>
                                  </w:rPr>
                                </w:pPr>
                                <w:r>
                                  <w:rPr>
                                    <w:b/>
                                    <w:bCs/>
                                    <w:color w:val="4472C4" w:themeColor="accent1"/>
                                    <w:sz w:val="56"/>
                                    <w:szCs w:val="56"/>
                                    <w:lang w:val="en-GB"/>
                                  </w:rPr>
                                  <w:t>Submitted by:</w:t>
                                </w:r>
                              </w:p>
                              <w:p w14:paraId="11B09F8A"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Sharmin Rahman</w:t>
                                </w:r>
                              </w:p>
                              <w:p w14:paraId="3FE52895"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ID# 1809328</w:t>
                                </w:r>
                              </w:p>
                              <w:p w14:paraId="55529F7D"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University of Wales</w:t>
                                </w:r>
                              </w:p>
                              <w:p w14:paraId="5DBD6390"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Trinity Saint David</w:t>
                                </w:r>
                              </w:p>
                              <w:p w14:paraId="45A16D65" w14:textId="77777777" w:rsidR="00B97CCF" w:rsidRDefault="00B97CCF" w:rsidP="00B97CCF">
                                <w:pPr>
                                  <w:ind w:left="1440" w:firstLine="720"/>
                                  <w:jc w:val="both"/>
                                  <w:rPr>
                                    <w:rFonts w:ascii="Arial Narrow" w:hAnsi="Arial Narrow"/>
                                    <w:sz w:val="24"/>
                                    <w:szCs w:val="24"/>
                                  </w:rPr>
                                </w:pPr>
                              </w:p>
                              <w:p w14:paraId="4286E952" w14:textId="5C54576B" w:rsidR="00017126" w:rsidRPr="00B4788B" w:rsidRDefault="00017126" w:rsidP="00B4788B">
                                <w:pPr>
                                  <w:pStyle w:val="NoSpacing"/>
                                  <w:jc w:val="right"/>
                                  <w:rPr>
                                    <w:color w:val="4472C4" w:themeColor="accent1"/>
                                    <w:sz w:val="56"/>
                                    <w:szCs w:val="5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3EA8550"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48C3980" w14:textId="7D557503" w:rsidR="00017126" w:rsidRPr="00B4788B" w:rsidRDefault="000F4F25">
                          <w:pPr>
                            <w:pStyle w:val="NoSpacing"/>
                            <w:jc w:val="right"/>
                            <w:rPr>
                              <w:color w:val="4472C4" w:themeColor="accent1"/>
                              <w:sz w:val="56"/>
                              <w:szCs w:val="56"/>
                            </w:rPr>
                          </w:pPr>
                          <w:sdt>
                            <w:sdtPr>
                              <w:rPr>
                                <w:color w:val="4472C4" w:themeColor="accent1"/>
                                <w:sz w:val="56"/>
                                <w:szCs w:val="5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4788B">
                                <w:rPr>
                                  <w:color w:val="4472C4" w:themeColor="accent1"/>
                                  <w:sz w:val="56"/>
                                  <w:szCs w:val="56"/>
                                </w:rPr>
                                <w:t xml:space="preserve">     </w:t>
                              </w:r>
                            </w:sdtContent>
                          </w:sdt>
                        </w:p>
                        <w:p w14:paraId="1195F786" w14:textId="5CEE8C9D" w:rsidR="00B97CCF" w:rsidRDefault="00B97CCF" w:rsidP="00E865F7">
                          <w:pPr>
                            <w:jc w:val="both"/>
                            <w:rPr>
                              <w:rFonts w:asciiTheme="minorHAnsi" w:hAnsiTheme="minorHAnsi" w:cstheme="minorHAnsi"/>
                              <w:b/>
                              <w:color w:val="4472C4" w:themeColor="accent1"/>
                              <w:sz w:val="52"/>
                              <w:szCs w:val="52"/>
                            </w:rPr>
                          </w:pPr>
                          <w:r w:rsidRPr="00B97CCF">
                            <w:rPr>
                              <w:rFonts w:asciiTheme="minorHAnsi" w:hAnsiTheme="minorHAnsi" w:cstheme="minorHAnsi"/>
                              <w:b/>
                              <w:color w:val="4472C4" w:themeColor="accent1"/>
                              <w:sz w:val="52"/>
                              <w:szCs w:val="52"/>
                            </w:rPr>
                            <w:t>Submitted to Dr. Gulnar Ali</w:t>
                          </w:r>
                        </w:p>
                        <w:p w14:paraId="46954378" w14:textId="674A23AA" w:rsidR="00B97CCF" w:rsidRDefault="00B97CCF" w:rsidP="00B97CCF">
                          <w:pPr>
                            <w:ind w:left="1440" w:firstLine="720"/>
                            <w:jc w:val="both"/>
                            <w:rPr>
                              <w:rFonts w:asciiTheme="minorHAnsi" w:hAnsiTheme="minorHAnsi" w:cstheme="minorHAnsi"/>
                              <w:b/>
                              <w:color w:val="4472C4" w:themeColor="accent1"/>
                              <w:sz w:val="52"/>
                              <w:szCs w:val="52"/>
                            </w:rPr>
                          </w:pPr>
                        </w:p>
                        <w:p w14:paraId="22471F21" w14:textId="1D81FDD2" w:rsidR="00B97CCF" w:rsidRDefault="00B97CCF" w:rsidP="00B97CCF">
                          <w:pPr>
                            <w:ind w:left="1440" w:firstLine="720"/>
                            <w:jc w:val="both"/>
                            <w:rPr>
                              <w:rFonts w:asciiTheme="minorHAnsi" w:hAnsiTheme="minorHAnsi" w:cstheme="minorHAnsi"/>
                              <w:b/>
                              <w:color w:val="4472C4" w:themeColor="accent1"/>
                              <w:sz w:val="52"/>
                              <w:szCs w:val="52"/>
                            </w:rPr>
                          </w:pPr>
                        </w:p>
                        <w:p w14:paraId="1EF32A0C" w14:textId="71A0D025" w:rsidR="00B97CCF" w:rsidRDefault="00B97CCF" w:rsidP="00B97CCF">
                          <w:pPr>
                            <w:ind w:left="1440" w:firstLine="720"/>
                            <w:jc w:val="both"/>
                            <w:rPr>
                              <w:rFonts w:asciiTheme="minorHAnsi" w:hAnsiTheme="minorHAnsi" w:cstheme="minorHAnsi"/>
                              <w:b/>
                              <w:color w:val="4472C4" w:themeColor="accent1"/>
                              <w:sz w:val="52"/>
                              <w:szCs w:val="52"/>
                            </w:rPr>
                          </w:pPr>
                        </w:p>
                        <w:p w14:paraId="415E07B7" w14:textId="77777777" w:rsidR="00B97CCF" w:rsidRPr="00B97CCF" w:rsidRDefault="00B97CCF" w:rsidP="00B97CCF">
                          <w:pPr>
                            <w:ind w:left="1440" w:firstLine="720"/>
                            <w:jc w:val="both"/>
                            <w:rPr>
                              <w:rFonts w:asciiTheme="minorHAnsi" w:hAnsiTheme="minorHAnsi" w:cstheme="minorHAnsi"/>
                              <w:b/>
                              <w:color w:val="4472C4" w:themeColor="accent1"/>
                              <w:sz w:val="52"/>
                              <w:szCs w:val="52"/>
                            </w:rPr>
                          </w:pPr>
                        </w:p>
                        <w:p w14:paraId="41458DF2" w14:textId="77777777" w:rsidR="00B97CCF" w:rsidRDefault="00B97CCF" w:rsidP="00B97CCF">
                          <w:pPr>
                            <w:pStyle w:val="NoSpacing"/>
                            <w:jc w:val="right"/>
                            <w:rPr>
                              <w:b/>
                              <w:bCs/>
                              <w:color w:val="4472C4" w:themeColor="accent1"/>
                              <w:sz w:val="56"/>
                              <w:szCs w:val="56"/>
                              <w:lang w:val="en-GB"/>
                            </w:rPr>
                          </w:pPr>
                        </w:p>
                        <w:p w14:paraId="24635495" w14:textId="77777777" w:rsidR="00B97CCF" w:rsidRDefault="00B97CCF" w:rsidP="00B97CCF">
                          <w:pPr>
                            <w:pStyle w:val="NoSpacing"/>
                            <w:jc w:val="right"/>
                            <w:rPr>
                              <w:b/>
                              <w:bCs/>
                              <w:color w:val="4472C4" w:themeColor="accent1"/>
                              <w:sz w:val="56"/>
                              <w:szCs w:val="56"/>
                              <w:lang w:val="en-GB"/>
                            </w:rPr>
                          </w:pPr>
                          <w:r>
                            <w:rPr>
                              <w:b/>
                              <w:bCs/>
                              <w:color w:val="4472C4" w:themeColor="accent1"/>
                              <w:sz w:val="56"/>
                              <w:szCs w:val="56"/>
                              <w:lang w:val="en-GB"/>
                            </w:rPr>
                            <w:t>Submitted by:</w:t>
                          </w:r>
                        </w:p>
                        <w:p w14:paraId="11B09F8A"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Sharmin Rahman</w:t>
                          </w:r>
                        </w:p>
                        <w:p w14:paraId="3FE52895"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ID# 1809328</w:t>
                          </w:r>
                        </w:p>
                        <w:p w14:paraId="55529F7D"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University of Wales</w:t>
                          </w:r>
                        </w:p>
                        <w:p w14:paraId="5DBD6390" w14:textId="77777777" w:rsidR="00B97CCF" w:rsidRPr="00B4788B" w:rsidRDefault="00B97CCF" w:rsidP="00B97CCF">
                          <w:pPr>
                            <w:pStyle w:val="NoSpacing"/>
                            <w:jc w:val="right"/>
                            <w:rPr>
                              <w:color w:val="4472C4" w:themeColor="accent1"/>
                              <w:sz w:val="56"/>
                              <w:szCs w:val="56"/>
                              <w:lang w:val="en-GB"/>
                            </w:rPr>
                          </w:pPr>
                          <w:r w:rsidRPr="00B4788B">
                            <w:rPr>
                              <w:b/>
                              <w:bCs/>
                              <w:color w:val="4472C4" w:themeColor="accent1"/>
                              <w:sz w:val="56"/>
                              <w:szCs w:val="56"/>
                              <w:lang w:val="en-GB"/>
                            </w:rPr>
                            <w:t>Trinity Saint David</w:t>
                          </w:r>
                        </w:p>
                        <w:p w14:paraId="45A16D65" w14:textId="77777777" w:rsidR="00B97CCF" w:rsidRDefault="00B97CCF" w:rsidP="00B97CCF">
                          <w:pPr>
                            <w:ind w:left="1440" w:firstLine="720"/>
                            <w:jc w:val="both"/>
                            <w:rPr>
                              <w:rFonts w:ascii="Arial Narrow" w:hAnsi="Arial Narrow"/>
                              <w:sz w:val="24"/>
                              <w:szCs w:val="24"/>
                            </w:rPr>
                          </w:pPr>
                        </w:p>
                        <w:p w14:paraId="4286E952" w14:textId="5C54576B" w:rsidR="00017126" w:rsidRPr="00B4788B" w:rsidRDefault="00017126" w:rsidP="00B4788B">
                          <w:pPr>
                            <w:pStyle w:val="NoSpacing"/>
                            <w:jc w:val="right"/>
                            <w:rPr>
                              <w:color w:val="4472C4" w:themeColor="accent1"/>
                              <w:sz w:val="56"/>
                              <w:szCs w:val="56"/>
                            </w:rPr>
                          </w:pPr>
                        </w:p>
                      </w:txbxContent>
                    </v:textbox>
                    <w10:wrap anchorx="page" anchory="margin"/>
                  </v:shape>
                </w:pict>
              </mc:Fallback>
            </mc:AlternateContent>
          </w:r>
        </w:p>
        <w:p w14:paraId="6314A789" w14:textId="028DE068" w:rsidR="00017126" w:rsidRDefault="00017126">
          <w:pPr>
            <w:suppressAutoHyphens w:val="0"/>
            <w:rPr>
              <w:rFonts w:ascii="Arial Narrow" w:hAnsi="Arial Narrow"/>
              <w:sz w:val="32"/>
              <w:szCs w:val="32"/>
              <w:u w:val="single"/>
            </w:rPr>
          </w:pPr>
          <w:r>
            <w:rPr>
              <w:rFonts w:ascii="Arial Narrow" w:hAnsi="Arial Narrow"/>
              <w:sz w:val="32"/>
              <w:szCs w:val="32"/>
              <w:u w:val="single"/>
            </w:rPr>
            <w:br w:type="page"/>
          </w:r>
        </w:p>
      </w:sdtContent>
    </w:sdt>
    <w:p w14:paraId="424670E2" w14:textId="4B7BAFD0" w:rsidR="00B44B8D" w:rsidRDefault="00025255">
      <w:pPr>
        <w:ind w:firstLine="720"/>
        <w:jc w:val="both"/>
        <w:rPr>
          <w:rFonts w:ascii="Arial Narrow" w:hAnsi="Arial Narrow"/>
          <w:sz w:val="32"/>
          <w:szCs w:val="32"/>
          <w:u w:val="single"/>
        </w:rPr>
      </w:pPr>
      <w:r>
        <w:rPr>
          <w:rFonts w:ascii="Arial Narrow" w:hAnsi="Arial Narrow"/>
          <w:sz w:val="32"/>
          <w:szCs w:val="32"/>
          <w:u w:val="single"/>
        </w:rPr>
        <w:lastRenderedPageBreak/>
        <w:t>Concepts and Theoretical perspectives related to lifespan development</w:t>
      </w:r>
    </w:p>
    <w:p w14:paraId="424670E3" w14:textId="77777777" w:rsidR="00B44B8D" w:rsidRDefault="00025255">
      <w:pPr>
        <w:pStyle w:val="Heading1"/>
        <w:numPr>
          <w:ilvl w:val="0"/>
          <w:numId w:val="1"/>
        </w:numPr>
        <w:jc w:val="both"/>
        <w:rPr>
          <w:rFonts w:ascii="Arial Narrow" w:hAnsi="Arial Narrow"/>
          <w:color w:val="auto"/>
          <w:sz w:val="24"/>
          <w:szCs w:val="24"/>
        </w:rPr>
      </w:pPr>
      <w:r>
        <w:rPr>
          <w:rFonts w:ascii="Arial Narrow" w:hAnsi="Arial Narrow"/>
          <w:color w:val="auto"/>
          <w:sz w:val="24"/>
          <w:szCs w:val="24"/>
        </w:rPr>
        <w:t>Introduction</w:t>
      </w:r>
    </w:p>
    <w:p w14:paraId="424670E4" w14:textId="77777777" w:rsidR="00B44B8D" w:rsidRDefault="00025255">
      <w:pPr>
        <w:jc w:val="both"/>
        <w:rPr>
          <w:rFonts w:ascii="Arial Narrow" w:hAnsi="Arial Narrow"/>
          <w:sz w:val="24"/>
          <w:szCs w:val="24"/>
        </w:rPr>
      </w:pPr>
      <w:r>
        <w:rPr>
          <w:rFonts w:ascii="Arial Narrow" w:hAnsi="Arial Narrow"/>
          <w:sz w:val="24"/>
          <w:szCs w:val="24"/>
        </w:rPr>
        <w:t xml:space="preserve">This report is developed to support my understanding on concepts and theoretical perspectives related to lifespan development. This report discussed the different life stages, my professional interest about one </w:t>
      </w:r>
      <w:proofErr w:type="gramStart"/>
      <w:r>
        <w:rPr>
          <w:rFonts w:ascii="Arial Narrow" w:hAnsi="Arial Narrow"/>
          <w:sz w:val="24"/>
          <w:szCs w:val="24"/>
        </w:rPr>
        <w:t>particular stage</w:t>
      </w:r>
      <w:proofErr w:type="gramEnd"/>
      <w:r>
        <w:rPr>
          <w:rFonts w:ascii="Arial Narrow" w:hAnsi="Arial Narrow"/>
          <w:sz w:val="24"/>
          <w:szCs w:val="24"/>
        </w:rPr>
        <w:t>, two significant psychological theory related to that stage, development pattern and recent studies about those theories.</w:t>
      </w:r>
    </w:p>
    <w:p w14:paraId="424670E5" w14:textId="77777777" w:rsidR="00B44B8D" w:rsidRDefault="00025255">
      <w:pPr>
        <w:pStyle w:val="Heading1"/>
        <w:numPr>
          <w:ilvl w:val="0"/>
          <w:numId w:val="1"/>
        </w:numPr>
        <w:jc w:val="both"/>
        <w:rPr>
          <w:rFonts w:ascii="Arial Narrow" w:hAnsi="Arial Narrow"/>
          <w:color w:val="auto"/>
          <w:sz w:val="24"/>
          <w:szCs w:val="24"/>
        </w:rPr>
      </w:pPr>
      <w:r>
        <w:rPr>
          <w:rFonts w:ascii="Arial Narrow" w:hAnsi="Arial Narrow"/>
          <w:color w:val="auto"/>
          <w:sz w:val="24"/>
          <w:szCs w:val="24"/>
        </w:rPr>
        <w:t>Different life stage</w:t>
      </w:r>
    </w:p>
    <w:p w14:paraId="424670E6" w14:textId="0E7EE3CC" w:rsidR="00B44B8D" w:rsidRDefault="00025255">
      <w:pPr>
        <w:jc w:val="both"/>
      </w:pPr>
      <w:r>
        <w:rPr>
          <w:rFonts w:ascii="Arial Narrow" w:hAnsi="Arial Narrow"/>
          <w:sz w:val="24"/>
          <w:szCs w:val="24"/>
        </w:rPr>
        <w:t>Across different life stage range of developments take place in human life such as physical form, physical capabilities, cognitive capabilities, moral capabilities, personality, societal exceptions, roles and responsibility awareness</w:t>
      </w:r>
      <w:sdt>
        <w:sdtPr>
          <w:rPr>
            <w:rFonts w:ascii="Arial Narrow" w:hAnsi="Arial Narrow"/>
            <w:sz w:val="24"/>
            <w:szCs w:val="24"/>
          </w:rPr>
          <w:id w:val="-1477831206"/>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Tho09 \l 2057 </w:instrText>
          </w:r>
          <w:r w:rsidR="00A54E77">
            <w:rPr>
              <w:rFonts w:ascii="Arial Narrow" w:hAnsi="Arial Narrow"/>
              <w:sz w:val="24"/>
              <w:szCs w:val="24"/>
            </w:rPr>
            <w:fldChar w:fldCharType="separate"/>
          </w:r>
          <w:r w:rsidR="00A54E77">
            <w:rPr>
              <w:rFonts w:ascii="Arial Narrow" w:hAnsi="Arial Narrow"/>
              <w:noProof/>
              <w:sz w:val="24"/>
              <w:szCs w:val="24"/>
            </w:rPr>
            <w:t xml:space="preserve"> </w:t>
          </w:r>
          <w:r w:rsidR="00A54E77" w:rsidRPr="00A54E77">
            <w:rPr>
              <w:rFonts w:ascii="Arial Narrow" w:hAnsi="Arial Narrow"/>
              <w:noProof/>
              <w:sz w:val="24"/>
              <w:szCs w:val="24"/>
            </w:rPr>
            <w:t>(Armstrong, 2009)</w:t>
          </w:r>
          <w:r w:rsidR="00A54E77">
            <w:rPr>
              <w:rFonts w:ascii="Arial Narrow" w:hAnsi="Arial Narrow"/>
              <w:sz w:val="24"/>
              <w:szCs w:val="24"/>
            </w:rPr>
            <w:fldChar w:fldCharType="end"/>
          </w:r>
        </w:sdtContent>
      </w:sdt>
      <w:r>
        <w:rPr>
          <w:rFonts w:ascii="Arial Narrow" w:hAnsi="Arial Narrow"/>
          <w:sz w:val="24"/>
          <w:szCs w:val="24"/>
        </w:rPr>
        <w:t>. Each stage should be understood deeply to ensure appropriate biological, memory and skill development of any human being.</w:t>
      </w:r>
    </w:p>
    <w:p w14:paraId="424670E7" w14:textId="77777777" w:rsidR="00B44B8D" w:rsidRDefault="00025255">
      <w:pPr>
        <w:pStyle w:val="Heading1"/>
        <w:numPr>
          <w:ilvl w:val="0"/>
          <w:numId w:val="1"/>
        </w:numPr>
        <w:jc w:val="both"/>
        <w:rPr>
          <w:rFonts w:ascii="Arial Narrow" w:hAnsi="Arial Narrow"/>
          <w:color w:val="auto"/>
          <w:sz w:val="24"/>
          <w:szCs w:val="24"/>
        </w:rPr>
      </w:pPr>
      <w:r>
        <w:rPr>
          <w:rFonts w:ascii="Arial Narrow" w:hAnsi="Arial Narrow"/>
          <w:color w:val="auto"/>
          <w:sz w:val="24"/>
          <w:szCs w:val="24"/>
        </w:rPr>
        <w:t>Professional interest</w:t>
      </w:r>
    </w:p>
    <w:p w14:paraId="424670E8" w14:textId="266E4EDD" w:rsidR="00B44B8D" w:rsidRDefault="00025255">
      <w:pPr>
        <w:jc w:val="both"/>
      </w:pPr>
      <w:r>
        <w:rPr>
          <w:rFonts w:ascii="Arial Narrow" w:hAnsi="Arial Narrow"/>
          <w:sz w:val="24"/>
          <w:szCs w:val="24"/>
        </w:rPr>
        <w:t>In my previous profession, I have worked with age group 6 to 8 which is known as middle childhood. In this age stage, the mind of a child is young and innocent and not aware of other worldly matters. The importa</w:t>
      </w:r>
      <w:bookmarkStart w:id="1" w:name="_GoBack"/>
      <w:bookmarkEnd w:id="1"/>
      <w:r>
        <w:rPr>
          <w:rFonts w:ascii="Arial Narrow" w:hAnsi="Arial Narrow"/>
          <w:sz w:val="24"/>
          <w:szCs w:val="24"/>
        </w:rPr>
        <w:t>nt aspect of this life stage is it comes just before puberty stage so, it is an important diversion stage. Children completes basic school education by the end of this school. The reason why I chose this stage to present here is the inner sense that subjectifies self-development</w:t>
      </w:r>
      <w:r w:rsidR="00A54E77">
        <w:rPr>
          <w:rFonts w:ascii="Arial Narrow" w:hAnsi="Arial Narrow"/>
          <w:sz w:val="24"/>
          <w:szCs w:val="24"/>
        </w:rPr>
        <w:t xml:space="preserve"> </w:t>
      </w:r>
      <w:sdt>
        <w:sdtPr>
          <w:rPr>
            <w:rFonts w:ascii="Arial Narrow" w:hAnsi="Arial Narrow"/>
            <w:sz w:val="24"/>
            <w:szCs w:val="24"/>
          </w:rPr>
          <w:id w:val="815378708"/>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Don11 \l 2057 </w:instrText>
          </w:r>
          <w:r w:rsidR="00A54E77">
            <w:rPr>
              <w:rFonts w:ascii="Arial Narrow" w:hAnsi="Arial Narrow"/>
              <w:sz w:val="24"/>
              <w:szCs w:val="24"/>
            </w:rPr>
            <w:fldChar w:fldCharType="separate"/>
          </w:r>
          <w:r w:rsidR="00A54E77" w:rsidRPr="00A54E77">
            <w:rPr>
              <w:rFonts w:ascii="Arial Narrow" w:hAnsi="Arial Narrow"/>
              <w:noProof/>
              <w:sz w:val="24"/>
              <w:szCs w:val="24"/>
            </w:rPr>
            <w:t>(Donald, 2011)</w:t>
          </w:r>
          <w:r w:rsidR="00A54E77">
            <w:rPr>
              <w:rFonts w:ascii="Arial Narrow" w:hAnsi="Arial Narrow"/>
              <w:sz w:val="24"/>
              <w:szCs w:val="24"/>
            </w:rPr>
            <w:fldChar w:fldCharType="end"/>
          </w:r>
        </w:sdtContent>
      </w:sdt>
      <w:r>
        <w:rPr>
          <w:rFonts w:ascii="Arial Narrow" w:hAnsi="Arial Narrow"/>
          <w:sz w:val="24"/>
          <w:szCs w:val="24"/>
        </w:rPr>
        <w:t>. Children build their sense to understand about outer world from the images they take, and they bring it up to their next life stages from that depths and understandings. This is what amazed me when I read about the human life span developments. The imaginations children build in this stage should be considered as most important because it contributes as a source of creative inspirations in their later life.</w:t>
      </w:r>
    </w:p>
    <w:p w14:paraId="424670E9" w14:textId="77777777" w:rsidR="00B44B8D" w:rsidRDefault="00025255">
      <w:pPr>
        <w:pStyle w:val="Heading1"/>
        <w:numPr>
          <w:ilvl w:val="0"/>
          <w:numId w:val="1"/>
        </w:numPr>
        <w:rPr>
          <w:rFonts w:ascii="Arial Narrow" w:hAnsi="Arial Narrow"/>
          <w:color w:val="auto"/>
          <w:sz w:val="24"/>
          <w:szCs w:val="24"/>
        </w:rPr>
      </w:pPr>
      <w:r>
        <w:rPr>
          <w:rFonts w:ascii="Arial Narrow" w:hAnsi="Arial Narrow"/>
          <w:color w:val="auto"/>
          <w:sz w:val="24"/>
          <w:szCs w:val="24"/>
        </w:rPr>
        <w:t>Psychological theories</w:t>
      </w:r>
    </w:p>
    <w:p w14:paraId="424670EA" w14:textId="770FB2C3" w:rsidR="00B44B8D" w:rsidRDefault="00025255">
      <w:pPr>
        <w:jc w:val="both"/>
        <w:rPr>
          <w:rFonts w:ascii="Arial Narrow" w:hAnsi="Arial Narrow"/>
          <w:sz w:val="24"/>
          <w:szCs w:val="24"/>
        </w:rPr>
      </w:pPr>
      <w:r>
        <w:rPr>
          <w:rFonts w:ascii="Arial Narrow" w:hAnsi="Arial Narrow"/>
          <w:sz w:val="24"/>
          <w:szCs w:val="24"/>
        </w:rPr>
        <w:t xml:space="preserve">Two psychological theories can help us to explain and to understand how individuals physical and psychological development occurs. From my understanding, middle childhood stage of life can be incorporated with two significant theory such as </w:t>
      </w:r>
      <w:r w:rsidR="00A54E77">
        <w:rPr>
          <w:rFonts w:ascii="Arial Narrow" w:hAnsi="Arial Narrow"/>
          <w:sz w:val="24"/>
          <w:szCs w:val="24"/>
        </w:rPr>
        <w:t>Erikson’s</w:t>
      </w:r>
      <w:r>
        <w:rPr>
          <w:rFonts w:ascii="Arial Narrow" w:hAnsi="Arial Narrow"/>
          <w:sz w:val="24"/>
          <w:szCs w:val="24"/>
        </w:rPr>
        <w:t>’ psychological development theory and Piaget’s cognitive theory. Both the theories have been discussed below:</w:t>
      </w:r>
    </w:p>
    <w:p w14:paraId="424670EB" w14:textId="77777777" w:rsidR="00B44B8D" w:rsidRDefault="00025255">
      <w:pPr>
        <w:pStyle w:val="Heading2"/>
        <w:numPr>
          <w:ilvl w:val="0"/>
          <w:numId w:val="2"/>
        </w:numPr>
        <w:rPr>
          <w:rFonts w:ascii="Arial Narrow" w:eastAsia="Calibri" w:hAnsi="Arial Narrow"/>
          <w:color w:val="auto"/>
          <w:sz w:val="24"/>
          <w:szCs w:val="24"/>
        </w:rPr>
      </w:pPr>
      <w:r>
        <w:rPr>
          <w:rFonts w:ascii="Arial Narrow" w:eastAsia="Calibri" w:hAnsi="Arial Narrow"/>
          <w:color w:val="auto"/>
          <w:sz w:val="24"/>
          <w:szCs w:val="24"/>
        </w:rPr>
        <w:t>Erikson’s Theory of Psychosocial Development</w:t>
      </w:r>
    </w:p>
    <w:p w14:paraId="424670EC" w14:textId="4C8A6227" w:rsidR="00B44B8D" w:rsidRDefault="00025255">
      <w:pPr>
        <w:jc w:val="both"/>
      </w:pPr>
      <w:r>
        <w:rPr>
          <w:rFonts w:ascii="Arial Narrow" w:hAnsi="Arial Narrow"/>
          <w:sz w:val="24"/>
          <w:szCs w:val="24"/>
        </w:rPr>
        <w:t xml:space="preserve">Erikson described that humans’ personality develops in a predetermined order which includes eight different psychological stages. The stages start from infancy to adulthood and in each stage, people face psychological crisis. These psychological crisis impact on psychological development either positively or negatively. According to Erikson, these crises defines the nature of a person and it is </w:t>
      </w:r>
      <w:proofErr w:type="gramStart"/>
      <w:r>
        <w:rPr>
          <w:rFonts w:ascii="Arial Narrow" w:hAnsi="Arial Narrow"/>
          <w:sz w:val="24"/>
          <w:szCs w:val="24"/>
        </w:rPr>
        <w:t>actually the</w:t>
      </w:r>
      <w:proofErr w:type="gramEnd"/>
      <w:r>
        <w:rPr>
          <w:rFonts w:ascii="Arial Narrow" w:hAnsi="Arial Narrow"/>
          <w:sz w:val="24"/>
          <w:szCs w:val="24"/>
        </w:rPr>
        <w:t xml:space="preserve"> difference between individuals’ need and the need of society </w:t>
      </w:r>
      <w:sdt>
        <w:sdtPr>
          <w:rPr>
            <w:rFonts w:ascii="Arial Narrow" w:hAnsi="Arial Narrow"/>
            <w:sz w:val="24"/>
            <w:szCs w:val="24"/>
          </w:rPr>
          <w:id w:val="-1550527403"/>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Cha03 \l 2057 </w:instrText>
          </w:r>
          <w:r w:rsidR="00A54E77">
            <w:rPr>
              <w:rFonts w:ascii="Arial Narrow" w:hAnsi="Arial Narrow"/>
              <w:sz w:val="24"/>
              <w:szCs w:val="24"/>
            </w:rPr>
            <w:fldChar w:fldCharType="separate"/>
          </w:r>
          <w:r w:rsidR="00A54E77" w:rsidRPr="00A54E77">
            <w:rPr>
              <w:rFonts w:ascii="Arial Narrow" w:hAnsi="Arial Narrow"/>
              <w:noProof/>
              <w:sz w:val="24"/>
              <w:szCs w:val="24"/>
            </w:rPr>
            <w:t>(Slater, 2003)</w:t>
          </w:r>
          <w:r w:rsidR="00A54E77">
            <w:rPr>
              <w:rFonts w:ascii="Arial Narrow" w:hAnsi="Arial Narrow"/>
              <w:sz w:val="24"/>
              <w:szCs w:val="24"/>
            </w:rPr>
            <w:fldChar w:fldCharType="end"/>
          </w:r>
        </w:sdtContent>
      </w:sdt>
      <w:r w:rsidR="00A54E77">
        <w:rPr>
          <w:rFonts w:ascii="Arial Narrow" w:hAnsi="Arial Narrow"/>
          <w:sz w:val="24"/>
          <w:szCs w:val="24"/>
        </w:rPr>
        <w:t xml:space="preserve">. </w:t>
      </w:r>
      <w:r>
        <w:rPr>
          <w:rFonts w:ascii="Arial Narrow" w:hAnsi="Arial Narrow"/>
          <w:sz w:val="24"/>
          <w:szCs w:val="24"/>
        </w:rPr>
        <w:t>The picture below shows which psychological crisis develops which basic virtues in respective ages.</w:t>
      </w:r>
    </w:p>
    <w:tbl>
      <w:tblPr>
        <w:tblW w:w="8688" w:type="dxa"/>
        <w:tblCellMar>
          <w:left w:w="10" w:type="dxa"/>
          <w:right w:w="10" w:type="dxa"/>
        </w:tblCellMar>
        <w:tblLook w:val="04A0" w:firstRow="1" w:lastRow="0" w:firstColumn="1" w:lastColumn="0" w:noHBand="0" w:noVBand="1"/>
      </w:tblPr>
      <w:tblGrid>
        <w:gridCol w:w="8688"/>
      </w:tblGrid>
      <w:tr w:rsidR="00B44B8D" w14:paraId="4246711B" w14:textId="77777777">
        <w:tc>
          <w:tcPr>
            <w:tcW w:w="8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8472" w:type="dxa"/>
              <w:tblCellMar>
                <w:left w:w="10" w:type="dxa"/>
                <w:right w:w="10" w:type="dxa"/>
              </w:tblCellMar>
              <w:tblLook w:val="04A0" w:firstRow="1" w:lastRow="0" w:firstColumn="1" w:lastColumn="0" w:noHBand="0" w:noVBand="1"/>
            </w:tblPr>
            <w:tblGrid>
              <w:gridCol w:w="1166"/>
              <w:gridCol w:w="3892"/>
              <w:gridCol w:w="2068"/>
              <w:gridCol w:w="1346"/>
            </w:tblGrid>
            <w:tr w:rsidR="00B44B8D" w14:paraId="424670F1" w14:textId="77777777">
              <w:trPr>
                <w:tblHeader/>
              </w:trPr>
              <w:tc>
                <w:tcPr>
                  <w:tcW w:w="1166" w:type="dxa"/>
                  <w:tcBorders>
                    <w:bottom w:val="single" w:sz="12" w:space="0" w:color="DDDDDD"/>
                  </w:tcBorders>
                  <w:shd w:val="clear" w:color="auto" w:fill="F5F5F5"/>
                  <w:tcMar>
                    <w:top w:w="120" w:type="dxa"/>
                    <w:left w:w="120" w:type="dxa"/>
                    <w:bottom w:w="120" w:type="dxa"/>
                    <w:right w:w="120" w:type="dxa"/>
                  </w:tcMar>
                  <w:vAlign w:val="bottom"/>
                </w:tcPr>
                <w:p w14:paraId="424670ED" w14:textId="77777777" w:rsidR="00B44B8D" w:rsidRDefault="00025255">
                  <w:pPr>
                    <w:suppressAutoHyphens w:val="0"/>
                    <w:spacing w:after="330" w:line="420" w:lineRule="atLeast"/>
                    <w:textAlignment w:val="auto"/>
                    <w:rPr>
                      <w:rFonts w:ascii="Arial Narrow" w:eastAsia="Times New Roman" w:hAnsi="Arial Narrow"/>
                      <w:b/>
                      <w:bCs/>
                      <w:sz w:val="24"/>
                      <w:szCs w:val="24"/>
                      <w:lang w:eastAsia="en-GB"/>
                    </w:rPr>
                  </w:pPr>
                  <w:r>
                    <w:rPr>
                      <w:rFonts w:ascii="Arial Narrow" w:eastAsia="Times New Roman" w:hAnsi="Arial Narrow"/>
                      <w:b/>
                      <w:bCs/>
                      <w:sz w:val="24"/>
                      <w:szCs w:val="24"/>
                      <w:lang w:eastAsia="en-GB"/>
                    </w:rPr>
                    <w:t>Stage</w:t>
                  </w:r>
                </w:p>
              </w:tc>
              <w:tc>
                <w:tcPr>
                  <w:tcW w:w="3892" w:type="dxa"/>
                  <w:tcBorders>
                    <w:bottom w:val="single" w:sz="12" w:space="0" w:color="DDDDDD"/>
                  </w:tcBorders>
                  <w:shd w:val="clear" w:color="auto" w:fill="F5F5F5"/>
                  <w:tcMar>
                    <w:top w:w="120" w:type="dxa"/>
                    <w:left w:w="120" w:type="dxa"/>
                    <w:bottom w:w="120" w:type="dxa"/>
                    <w:right w:w="120" w:type="dxa"/>
                  </w:tcMar>
                  <w:vAlign w:val="bottom"/>
                </w:tcPr>
                <w:p w14:paraId="424670EE" w14:textId="77777777" w:rsidR="00B44B8D" w:rsidRDefault="00025255">
                  <w:pPr>
                    <w:suppressAutoHyphens w:val="0"/>
                    <w:spacing w:after="330" w:line="420" w:lineRule="atLeast"/>
                    <w:textAlignment w:val="auto"/>
                    <w:rPr>
                      <w:rFonts w:ascii="Arial Narrow" w:eastAsia="Times New Roman" w:hAnsi="Arial Narrow"/>
                      <w:b/>
                      <w:bCs/>
                      <w:sz w:val="24"/>
                      <w:szCs w:val="24"/>
                      <w:lang w:eastAsia="en-GB"/>
                    </w:rPr>
                  </w:pPr>
                  <w:r>
                    <w:rPr>
                      <w:rFonts w:ascii="Arial Narrow" w:eastAsia="Times New Roman" w:hAnsi="Arial Narrow"/>
                      <w:b/>
                      <w:bCs/>
                      <w:sz w:val="24"/>
                      <w:szCs w:val="24"/>
                      <w:lang w:eastAsia="en-GB"/>
                    </w:rPr>
                    <w:t>Psychosocial Crisis</w:t>
                  </w:r>
                </w:p>
              </w:tc>
              <w:tc>
                <w:tcPr>
                  <w:tcW w:w="2068" w:type="dxa"/>
                  <w:tcBorders>
                    <w:bottom w:val="single" w:sz="12" w:space="0" w:color="DDDDDD"/>
                  </w:tcBorders>
                  <w:shd w:val="clear" w:color="auto" w:fill="F5F5F5"/>
                  <w:tcMar>
                    <w:top w:w="120" w:type="dxa"/>
                    <w:left w:w="120" w:type="dxa"/>
                    <w:bottom w:w="120" w:type="dxa"/>
                    <w:right w:w="120" w:type="dxa"/>
                  </w:tcMar>
                  <w:vAlign w:val="bottom"/>
                </w:tcPr>
                <w:p w14:paraId="424670EF" w14:textId="77777777" w:rsidR="00B44B8D" w:rsidRDefault="00025255">
                  <w:pPr>
                    <w:suppressAutoHyphens w:val="0"/>
                    <w:spacing w:after="330" w:line="420" w:lineRule="atLeast"/>
                    <w:textAlignment w:val="auto"/>
                    <w:rPr>
                      <w:rFonts w:ascii="Arial Narrow" w:eastAsia="Times New Roman" w:hAnsi="Arial Narrow"/>
                      <w:b/>
                      <w:bCs/>
                      <w:sz w:val="24"/>
                      <w:szCs w:val="24"/>
                      <w:lang w:eastAsia="en-GB"/>
                    </w:rPr>
                  </w:pPr>
                  <w:r>
                    <w:rPr>
                      <w:rFonts w:ascii="Arial Narrow" w:eastAsia="Times New Roman" w:hAnsi="Arial Narrow"/>
                      <w:b/>
                      <w:bCs/>
                      <w:sz w:val="24"/>
                      <w:szCs w:val="24"/>
                      <w:lang w:eastAsia="en-GB"/>
                    </w:rPr>
                    <w:t>Basic Virtue</w:t>
                  </w:r>
                </w:p>
              </w:tc>
              <w:tc>
                <w:tcPr>
                  <w:tcW w:w="1346" w:type="dxa"/>
                  <w:tcBorders>
                    <w:bottom w:val="single" w:sz="12" w:space="0" w:color="DDDDDD"/>
                  </w:tcBorders>
                  <w:shd w:val="clear" w:color="auto" w:fill="F5F5F5"/>
                  <w:tcMar>
                    <w:top w:w="120" w:type="dxa"/>
                    <w:left w:w="120" w:type="dxa"/>
                    <w:bottom w:w="120" w:type="dxa"/>
                    <w:right w:w="120" w:type="dxa"/>
                  </w:tcMar>
                  <w:vAlign w:val="bottom"/>
                </w:tcPr>
                <w:p w14:paraId="424670F0" w14:textId="77777777" w:rsidR="00B44B8D" w:rsidRDefault="00025255">
                  <w:pPr>
                    <w:suppressAutoHyphens w:val="0"/>
                    <w:spacing w:after="330" w:line="420" w:lineRule="atLeast"/>
                    <w:textAlignment w:val="auto"/>
                    <w:rPr>
                      <w:rFonts w:ascii="Arial Narrow" w:eastAsia="Times New Roman" w:hAnsi="Arial Narrow"/>
                      <w:b/>
                      <w:bCs/>
                      <w:sz w:val="24"/>
                      <w:szCs w:val="24"/>
                      <w:lang w:eastAsia="en-GB"/>
                    </w:rPr>
                  </w:pPr>
                  <w:r>
                    <w:rPr>
                      <w:rFonts w:ascii="Arial Narrow" w:eastAsia="Times New Roman" w:hAnsi="Arial Narrow"/>
                      <w:b/>
                      <w:bCs/>
                      <w:sz w:val="24"/>
                      <w:szCs w:val="24"/>
                      <w:lang w:eastAsia="en-GB"/>
                    </w:rPr>
                    <w:t>Age</w:t>
                  </w:r>
                </w:p>
              </w:tc>
            </w:tr>
            <w:tr w:rsidR="00B44B8D" w14:paraId="424670F6" w14:textId="77777777">
              <w:tc>
                <w:tcPr>
                  <w:tcW w:w="1166" w:type="dxa"/>
                  <w:tcBorders>
                    <w:top w:val="single" w:sz="6" w:space="0" w:color="DDDDDD"/>
                  </w:tcBorders>
                  <w:shd w:val="clear" w:color="auto" w:fill="FFFFFF"/>
                  <w:tcMar>
                    <w:top w:w="120" w:type="dxa"/>
                    <w:left w:w="120" w:type="dxa"/>
                    <w:bottom w:w="120" w:type="dxa"/>
                    <w:right w:w="120" w:type="dxa"/>
                  </w:tcMar>
                </w:tcPr>
                <w:p w14:paraId="424670F2"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1.</w:t>
                  </w:r>
                </w:p>
              </w:tc>
              <w:tc>
                <w:tcPr>
                  <w:tcW w:w="3892" w:type="dxa"/>
                  <w:tcBorders>
                    <w:top w:val="single" w:sz="6" w:space="0" w:color="DDDDDD"/>
                  </w:tcBorders>
                  <w:shd w:val="clear" w:color="auto" w:fill="FFFFFF"/>
                  <w:tcMar>
                    <w:top w:w="120" w:type="dxa"/>
                    <w:left w:w="120" w:type="dxa"/>
                    <w:bottom w:w="120" w:type="dxa"/>
                    <w:right w:w="120" w:type="dxa"/>
                  </w:tcMar>
                </w:tcPr>
                <w:p w14:paraId="424670F3"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Trust vs. Mistrust</w:t>
                  </w:r>
                </w:p>
              </w:tc>
              <w:tc>
                <w:tcPr>
                  <w:tcW w:w="2068" w:type="dxa"/>
                  <w:tcBorders>
                    <w:top w:val="single" w:sz="6" w:space="0" w:color="DDDDDD"/>
                  </w:tcBorders>
                  <w:shd w:val="clear" w:color="auto" w:fill="FFFFFF"/>
                  <w:tcMar>
                    <w:top w:w="120" w:type="dxa"/>
                    <w:left w:w="120" w:type="dxa"/>
                    <w:bottom w:w="120" w:type="dxa"/>
                    <w:right w:w="120" w:type="dxa"/>
                  </w:tcMar>
                </w:tcPr>
                <w:p w14:paraId="424670F4"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Hope</w:t>
                  </w:r>
                </w:p>
              </w:tc>
              <w:tc>
                <w:tcPr>
                  <w:tcW w:w="1346" w:type="dxa"/>
                  <w:tcBorders>
                    <w:top w:val="single" w:sz="6" w:space="0" w:color="DDDDDD"/>
                  </w:tcBorders>
                  <w:shd w:val="clear" w:color="auto" w:fill="FFFFFF"/>
                  <w:tcMar>
                    <w:top w:w="120" w:type="dxa"/>
                    <w:left w:w="120" w:type="dxa"/>
                    <w:bottom w:w="120" w:type="dxa"/>
                    <w:right w:w="120" w:type="dxa"/>
                  </w:tcMar>
                </w:tcPr>
                <w:p w14:paraId="424670F5"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0 - 1½</w:t>
                  </w:r>
                </w:p>
              </w:tc>
            </w:tr>
            <w:tr w:rsidR="00B44B8D" w14:paraId="424670FB" w14:textId="77777777">
              <w:tc>
                <w:tcPr>
                  <w:tcW w:w="1166" w:type="dxa"/>
                  <w:tcBorders>
                    <w:top w:val="single" w:sz="6" w:space="0" w:color="DDDDDD"/>
                  </w:tcBorders>
                  <w:shd w:val="clear" w:color="auto" w:fill="FFFFFF"/>
                  <w:tcMar>
                    <w:top w:w="120" w:type="dxa"/>
                    <w:left w:w="120" w:type="dxa"/>
                    <w:bottom w:w="120" w:type="dxa"/>
                    <w:right w:w="120" w:type="dxa"/>
                  </w:tcMar>
                </w:tcPr>
                <w:p w14:paraId="424670F7"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2.</w:t>
                  </w:r>
                </w:p>
              </w:tc>
              <w:tc>
                <w:tcPr>
                  <w:tcW w:w="3892" w:type="dxa"/>
                  <w:tcBorders>
                    <w:top w:val="single" w:sz="6" w:space="0" w:color="DDDDDD"/>
                  </w:tcBorders>
                  <w:shd w:val="clear" w:color="auto" w:fill="FFFFFF"/>
                  <w:tcMar>
                    <w:top w:w="120" w:type="dxa"/>
                    <w:left w:w="120" w:type="dxa"/>
                    <w:bottom w:w="120" w:type="dxa"/>
                    <w:right w:w="120" w:type="dxa"/>
                  </w:tcMar>
                </w:tcPr>
                <w:p w14:paraId="424670F8"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Autonomy vs. Shame</w:t>
                  </w:r>
                </w:p>
              </w:tc>
              <w:tc>
                <w:tcPr>
                  <w:tcW w:w="2068" w:type="dxa"/>
                  <w:tcBorders>
                    <w:top w:val="single" w:sz="6" w:space="0" w:color="DDDDDD"/>
                  </w:tcBorders>
                  <w:shd w:val="clear" w:color="auto" w:fill="FFFFFF"/>
                  <w:tcMar>
                    <w:top w:w="120" w:type="dxa"/>
                    <w:left w:w="120" w:type="dxa"/>
                    <w:bottom w:w="120" w:type="dxa"/>
                    <w:right w:w="120" w:type="dxa"/>
                  </w:tcMar>
                </w:tcPr>
                <w:p w14:paraId="424670F9"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Will</w:t>
                  </w:r>
                </w:p>
              </w:tc>
              <w:tc>
                <w:tcPr>
                  <w:tcW w:w="1346" w:type="dxa"/>
                  <w:tcBorders>
                    <w:top w:val="single" w:sz="6" w:space="0" w:color="DDDDDD"/>
                  </w:tcBorders>
                  <w:shd w:val="clear" w:color="auto" w:fill="FFFFFF"/>
                  <w:tcMar>
                    <w:top w:w="120" w:type="dxa"/>
                    <w:left w:w="120" w:type="dxa"/>
                    <w:bottom w:w="120" w:type="dxa"/>
                    <w:right w:w="120" w:type="dxa"/>
                  </w:tcMar>
                </w:tcPr>
                <w:p w14:paraId="424670FA"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1½ - 3</w:t>
                  </w:r>
                </w:p>
              </w:tc>
            </w:tr>
            <w:tr w:rsidR="00B44B8D" w14:paraId="42467100" w14:textId="77777777">
              <w:tc>
                <w:tcPr>
                  <w:tcW w:w="1166" w:type="dxa"/>
                  <w:tcBorders>
                    <w:top w:val="single" w:sz="6" w:space="0" w:color="DDDDDD"/>
                  </w:tcBorders>
                  <w:shd w:val="clear" w:color="auto" w:fill="FFFFFF"/>
                  <w:tcMar>
                    <w:top w:w="120" w:type="dxa"/>
                    <w:left w:w="120" w:type="dxa"/>
                    <w:bottom w:w="120" w:type="dxa"/>
                    <w:right w:w="120" w:type="dxa"/>
                  </w:tcMar>
                </w:tcPr>
                <w:p w14:paraId="424670FC"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lastRenderedPageBreak/>
                    <w:t>3.</w:t>
                  </w:r>
                </w:p>
              </w:tc>
              <w:tc>
                <w:tcPr>
                  <w:tcW w:w="3892" w:type="dxa"/>
                  <w:tcBorders>
                    <w:top w:val="single" w:sz="6" w:space="0" w:color="DDDDDD"/>
                  </w:tcBorders>
                  <w:shd w:val="clear" w:color="auto" w:fill="FFFFFF"/>
                  <w:tcMar>
                    <w:top w:w="120" w:type="dxa"/>
                    <w:left w:w="120" w:type="dxa"/>
                    <w:bottom w:w="120" w:type="dxa"/>
                    <w:right w:w="120" w:type="dxa"/>
                  </w:tcMar>
                </w:tcPr>
                <w:p w14:paraId="424670FD"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Initiative vs. Guilt</w:t>
                  </w:r>
                </w:p>
              </w:tc>
              <w:tc>
                <w:tcPr>
                  <w:tcW w:w="2068" w:type="dxa"/>
                  <w:tcBorders>
                    <w:top w:val="single" w:sz="6" w:space="0" w:color="DDDDDD"/>
                  </w:tcBorders>
                  <w:shd w:val="clear" w:color="auto" w:fill="FFFFFF"/>
                  <w:tcMar>
                    <w:top w:w="120" w:type="dxa"/>
                    <w:left w:w="120" w:type="dxa"/>
                    <w:bottom w:w="120" w:type="dxa"/>
                    <w:right w:w="120" w:type="dxa"/>
                  </w:tcMar>
                </w:tcPr>
                <w:p w14:paraId="424670FE"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Purpose</w:t>
                  </w:r>
                </w:p>
              </w:tc>
              <w:tc>
                <w:tcPr>
                  <w:tcW w:w="1346" w:type="dxa"/>
                  <w:tcBorders>
                    <w:top w:val="single" w:sz="6" w:space="0" w:color="DDDDDD"/>
                  </w:tcBorders>
                  <w:shd w:val="clear" w:color="auto" w:fill="FFFFFF"/>
                  <w:tcMar>
                    <w:top w:w="120" w:type="dxa"/>
                    <w:left w:w="120" w:type="dxa"/>
                    <w:bottom w:w="120" w:type="dxa"/>
                    <w:right w:w="120" w:type="dxa"/>
                  </w:tcMar>
                </w:tcPr>
                <w:p w14:paraId="424670FF"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3 – 5</w:t>
                  </w:r>
                </w:p>
              </w:tc>
            </w:tr>
            <w:tr w:rsidR="00B44B8D" w14:paraId="42467105" w14:textId="77777777">
              <w:tc>
                <w:tcPr>
                  <w:tcW w:w="1166" w:type="dxa"/>
                  <w:tcBorders>
                    <w:top w:val="single" w:sz="6" w:space="0" w:color="DDDDDD"/>
                  </w:tcBorders>
                  <w:shd w:val="clear" w:color="auto" w:fill="FFFFFF"/>
                  <w:tcMar>
                    <w:top w:w="120" w:type="dxa"/>
                    <w:left w:w="120" w:type="dxa"/>
                    <w:bottom w:w="120" w:type="dxa"/>
                    <w:right w:w="120" w:type="dxa"/>
                  </w:tcMar>
                </w:tcPr>
                <w:p w14:paraId="42467101"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4.</w:t>
                  </w:r>
                </w:p>
              </w:tc>
              <w:tc>
                <w:tcPr>
                  <w:tcW w:w="3892" w:type="dxa"/>
                  <w:tcBorders>
                    <w:top w:val="single" w:sz="6" w:space="0" w:color="DDDDDD"/>
                  </w:tcBorders>
                  <w:shd w:val="clear" w:color="auto" w:fill="FFFFFF"/>
                  <w:tcMar>
                    <w:top w:w="120" w:type="dxa"/>
                    <w:left w:w="120" w:type="dxa"/>
                    <w:bottom w:w="120" w:type="dxa"/>
                    <w:right w:w="120" w:type="dxa"/>
                  </w:tcMar>
                </w:tcPr>
                <w:p w14:paraId="42467102"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Industry vs. Inferiority</w:t>
                  </w:r>
                </w:p>
              </w:tc>
              <w:tc>
                <w:tcPr>
                  <w:tcW w:w="2068" w:type="dxa"/>
                  <w:tcBorders>
                    <w:top w:val="single" w:sz="6" w:space="0" w:color="DDDDDD"/>
                  </w:tcBorders>
                  <w:shd w:val="clear" w:color="auto" w:fill="FFFFFF"/>
                  <w:tcMar>
                    <w:top w:w="120" w:type="dxa"/>
                    <w:left w:w="120" w:type="dxa"/>
                    <w:bottom w:w="120" w:type="dxa"/>
                    <w:right w:w="120" w:type="dxa"/>
                  </w:tcMar>
                </w:tcPr>
                <w:p w14:paraId="42467103"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Competency</w:t>
                  </w:r>
                </w:p>
              </w:tc>
              <w:tc>
                <w:tcPr>
                  <w:tcW w:w="1346" w:type="dxa"/>
                  <w:tcBorders>
                    <w:top w:val="single" w:sz="6" w:space="0" w:color="DDDDDD"/>
                  </w:tcBorders>
                  <w:shd w:val="clear" w:color="auto" w:fill="FFFFFF"/>
                  <w:tcMar>
                    <w:top w:w="120" w:type="dxa"/>
                    <w:left w:w="120" w:type="dxa"/>
                    <w:bottom w:w="120" w:type="dxa"/>
                    <w:right w:w="120" w:type="dxa"/>
                  </w:tcMar>
                </w:tcPr>
                <w:p w14:paraId="42467104"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5 – 12</w:t>
                  </w:r>
                </w:p>
              </w:tc>
            </w:tr>
            <w:tr w:rsidR="00B44B8D" w14:paraId="4246710A" w14:textId="77777777">
              <w:tc>
                <w:tcPr>
                  <w:tcW w:w="1166" w:type="dxa"/>
                  <w:tcBorders>
                    <w:top w:val="single" w:sz="6" w:space="0" w:color="DDDDDD"/>
                  </w:tcBorders>
                  <w:shd w:val="clear" w:color="auto" w:fill="FFFFFF"/>
                  <w:tcMar>
                    <w:top w:w="120" w:type="dxa"/>
                    <w:left w:w="120" w:type="dxa"/>
                    <w:bottom w:w="120" w:type="dxa"/>
                    <w:right w:w="120" w:type="dxa"/>
                  </w:tcMar>
                </w:tcPr>
                <w:p w14:paraId="42467106"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5.</w:t>
                  </w:r>
                </w:p>
              </w:tc>
              <w:tc>
                <w:tcPr>
                  <w:tcW w:w="3892" w:type="dxa"/>
                  <w:tcBorders>
                    <w:top w:val="single" w:sz="6" w:space="0" w:color="DDDDDD"/>
                  </w:tcBorders>
                  <w:shd w:val="clear" w:color="auto" w:fill="FFFFFF"/>
                  <w:tcMar>
                    <w:top w:w="120" w:type="dxa"/>
                    <w:left w:w="120" w:type="dxa"/>
                    <w:bottom w:w="120" w:type="dxa"/>
                    <w:right w:w="120" w:type="dxa"/>
                  </w:tcMar>
                </w:tcPr>
                <w:p w14:paraId="42467107"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Identity vs. Role Confusion</w:t>
                  </w:r>
                </w:p>
              </w:tc>
              <w:tc>
                <w:tcPr>
                  <w:tcW w:w="2068" w:type="dxa"/>
                  <w:tcBorders>
                    <w:top w:val="single" w:sz="6" w:space="0" w:color="DDDDDD"/>
                  </w:tcBorders>
                  <w:shd w:val="clear" w:color="auto" w:fill="FFFFFF"/>
                  <w:tcMar>
                    <w:top w:w="120" w:type="dxa"/>
                    <w:left w:w="120" w:type="dxa"/>
                    <w:bottom w:w="120" w:type="dxa"/>
                    <w:right w:w="120" w:type="dxa"/>
                  </w:tcMar>
                </w:tcPr>
                <w:p w14:paraId="42467108"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Fidelity</w:t>
                  </w:r>
                </w:p>
              </w:tc>
              <w:tc>
                <w:tcPr>
                  <w:tcW w:w="1346" w:type="dxa"/>
                  <w:tcBorders>
                    <w:top w:val="single" w:sz="6" w:space="0" w:color="DDDDDD"/>
                  </w:tcBorders>
                  <w:shd w:val="clear" w:color="auto" w:fill="FFFFFF"/>
                  <w:tcMar>
                    <w:top w:w="120" w:type="dxa"/>
                    <w:left w:w="120" w:type="dxa"/>
                    <w:bottom w:w="120" w:type="dxa"/>
                    <w:right w:w="120" w:type="dxa"/>
                  </w:tcMar>
                </w:tcPr>
                <w:p w14:paraId="42467109"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12 – 18</w:t>
                  </w:r>
                </w:p>
              </w:tc>
            </w:tr>
            <w:tr w:rsidR="00B44B8D" w14:paraId="4246710F" w14:textId="77777777">
              <w:tc>
                <w:tcPr>
                  <w:tcW w:w="1166" w:type="dxa"/>
                  <w:tcBorders>
                    <w:top w:val="single" w:sz="6" w:space="0" w:color="DDDDDD"/>
                  </w:tcBorders>
                  <w:shd w:val="clear" w:color="auto" w:fill="FFFFFF"/>
                  <w:tcMar>
                    <w:top w:w="120" w:type="dxa"/>
                    <w:left w:w="120" w:type="dxa"/>
                    <w:bottom w:w="120" w:type="dxa"/>
                    <w:right w:w="120" w:type="dxa"/>
                  </w:tcMar>
                </w:tcPr>
                <w:p w14:paraId="4246710B"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6.</w:t>
                  </w:r>
                </w:p>
              </w:tc>
              <w:tc>
                <w:tcPr>
                  <w:tcW w:w="3892" w:type="dxa"/>
                  <w:tcBorders>
                    <w:top w:val="single" w:sz="6" w:space="0" w:color="DDDDDD"/>
                  </w:tcBorders>
                  <w:shd w:val="clear" w:color="auto" w:fill="FFFFFF"/>
                  <w:tcMar>
                    <w:top w:w="120" w:type="dxa"/>
                    <w:left w:w="120" w:type="dxa"/>
                    <w:bottom w:w="120" w:type="dxa"/>
                    <w:right w:w="120" w:type="dxa"/>
                  </w:tcMar>
                </w:tcPr>
                <w:p w14:paraId="4246710C"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Intimacy vs. Isolation</w:t>
                  </w:r>
                </w:p>
              </w:tc>
              <w:tc>
                <w:tcPr>
                  <w:tcW w:w="2068" w:type="dxa"/>
                  <w:tcBorders>
                    <w:top w:val="single" w:sz="6" w:space="0" w:color="DDDDDD"/>
                  </w:tcBorders>
                  <w:shd w:val="clear" w:color="auto" w:fill="FFFFFF"/>
                  <w:tcMar>
                    <w:top w:w="120" w:type="dxa"/>
                    <w:left w:w="120" w:type="dxa"/>
                    <w:bottom w:w="120" w:type="dxa"/>
                    <w:right w:w="120" w:type="dxa"/>
                  </w:tcMar>
                </w:tcPr>
                <w:p w14:paraId="4246710D"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Love</w:t>
                  </w:r>
                </w:p>
              </w:tc>
              <w:tc>
                <w:tcPr>
                  <w:tcW w:w="1346" w:type="dxa"/>
                  <w:tcBorders>
                    <w:top w:val="single" w:sz="6" w:space="0" w:color="DDDDDD"/>
                  </w:tcBorders>
                  <w:shd w:val="clear" w:color="auto" w:fill="FFFFFF"/>
                  <w:tcMar>
                    <w:top w:w="120" w:type="dxa"/>
                    <w:left w:w="120" w:type="dxa"/>
                    <w:bottom w:w="120" w:type="dxa"/>
                    <w:right w:w="120" w:type="dxa"/>
                  </w:tcMar>
                </w:tcPr>
                <w:p w14:paraId="4246710E"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18 – 40</w:t>
                  </w:r>
                </w:p>
              </w:tc>
            </w:tr>
            <w:tr w:rsidR="00B44B8D" w14:paraId="42467114" w14:textId="77777777">
              <w:tc>
                <w:tcPr>
                  <w:tcW w:w="1166" w:type="dxa"/>
                  <w:tcBorders>
                    <w:top w:val="single" w:sz="6" w:space="0" w:color="DDDDDD"/>
                  </w:tcBorders>
                  <w:shd w:val="clear" w:color="auto" w:fill="FFFFFF"/>
                  <w:tcMar>
                    <w:top w:w="120" w:type="dxa"/>
                    <w:left w:w="120" w:type="dxa"/>
                    <w:bottom w:w="120" w:type="dxa"/>
                    <w:right w:w="120" w:type="dxa"/>
                  </w:tcMar>
                </w:tcPr>
                <w:p w14:paraId="42467110"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7.</w:t>
                  </w:r>
                </w:p>
              </w:tc>
              <w:tc>
                <w:tcPr>
                  <w:tcW w:w="3892" w:type="dxa"/>
                  <w:tcBorders>
                    <w:top w:val="single" w:sz="6" w:space="0" w:color="DDDDDD"/>
                  </w:tcBorders>
                  <w:shd w:val="clear" w:color="auto" w:fill="FFFFFF"/>
                  <w:tcMar>
                    <w:top w:w="120" w:type="dxa"/>
                    <w:left w:w="120" w:type="dxa"/>
                    <w:bottom w:w="120" w:type="dxa"/>
                    <w:right w:w="120" w:type="dxa"/>
                  </w:tcMar>
                </w:tcPr>
                <w:p w14:paraId="42467111"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Generativity vs. Stagnation</w:t>
                  </w:r>
                </w:p>
              </w:tc>
              <w:tc>
                <w:tcPr>
                  <w:tcW w:w="2068" w:type="dxa"/>
                  <w:tcBorders>
                    <w:top w:val="single" w:sz="6" w:space="0" w:color="DDDDDD"/>
                  </w:tcBorders>
                  <w:shd w:val="clear" w:color="auto" w:fill="FFFFFF"/>
                  <w:tcMar>
                    <w:top w:w="120" w:type="dxa"/>
                    <w:left w:w="120" w:type="dxa"/>
                    <w:bottom w:w="120" w:type="dxa"/>
                    <w:right w:w="120" w:type="dxa"/>
                  </w:tcMar>
                </w:tcPr>
                <w:p w14:paraId="42467112"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Care</w:t>
                  </w:r>
                </w:p>
              </w:tc>
              <w:tc>
                <w:tcPr>
                  <w:tcW w:w="1346" w:type="dxa"/>
                  <w:tcBorders>
                    <w:top w:val="single" w:sz="6" w:space="0" w:color="DDDDDD"/>
                  </w:tcBorders>
                  <w:shd w:val="clear" w:color="auto" w:fill="FFFFFF"/>
                  <w:tcMar>
                    <w:top w:w="120" w:type="dxa"/>
                    <w:left w:w="120" w:type="dxa"/>
                    <w:bottom w:w="120" w:type="dxa"/>
                    <w:right w:w="120" w:type="dxa"/>
                  </w:tcMar>
                </w:tcPr>
                <w:p w14:paraId="42467113"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40 – 65</w:t>
                  </w:r>
                </w:p>
              </w:tc>
            </w:tr>
            <w:tr w:rsidR="00B44B8D" w14:paraId="42467119" w14:textId="77777777">
              <w:tc>
                <w:tcPr>
                  <w:tcW w:w="1166" w:type="dxa"/>
                  <w:tcBorders>
                    <w:top w:val="single" w:sz="6" w:space="0" w:color="DDDDDD"/>
                  </w:tcBorders>
                  <w:shd w:val="clear" w:color="auto" w:fill="FFFFFF"/>
                  <w:tcMar>
                    <w:top w:w="120" w:type="dxa"/>
                    <w:left w:w="120" w:type="dxa"/>
                    <w:bottom w:w="120" w:type="dxa"/>
                    <w:right w:w="120" w:type="dxa"/>
                  </w:tcMar>
                </w:tcPr>
                <w:p w14:paraId="42467115"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8.</w:t>
                  </w:r>
                </w:p>
              </w:tc>
              <w:tc>
                <w:tcPr>
                  <w:tcW w:w="3892" w:type="dxa"/>
                  <w:tcBorders>
                    <w:top w:val="single" w:sz="6" w:space="0" w:color="DDDDDD"/>
                  </w:tcBorders>
                  <w:shd w:val="clear" w:color="auto" w:fill="FFFFFF"/>
                  <w:tcMar>
                    <w:top w:w="120" w:type="dxa"/>
                    <w:left w:w="120" w:type="dxa"/>
                    <w:bottom w:w="120" w:type="dxa"/>
                    <w:right w:w="120" w:type="dxa"/>
                  </w:tcMar>
                </w:tcPr>
                <w:p w14:paraId="42467116"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Ego Integrity vs. Despair</w:t>
                  </w:r>
                </w:p>
              </w:tc>
              <w:tc>
                <w:tcPr>
                  <w:tcW w:w="2068" w:type="dxa"/>
                  <w:tcBorders>
                    <w:top w:val="single" w:sz="6" w:space="0" w:color="DDDDDD"/>
                  </w:tcBorders>
                  <w:shd w:val="clear" w:color="auto" w:fill="FFFFFF"/>
                  <w:tcMar>
                    <w:top w:w="120" w:type="dxa"/>
                    <w:left w:w="120" w:type="dxa"/>
                    <w:bottom w:w="120" w:type="dxa"/>
                    <w:right w:w="120" w:type="dxa"/>
                  </w:tcMar>
                </w:tcPr>
                <w:p w14:paraId="42467117"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Wisdom</w:t>
                  </w:r>
                </w:p>
              </w:tc>
              <w:tc>
                <w:tcPr>
                  <w:tcW w:w="1346" w:type="dxa"/>
                  <w:tcBorders>
                    <w:top w:val="single" w:sz="6" w:space="0" w:color="DDDDDD"/>
                  </w:tcBorders>
                  <w:shd w:val="clear" w:color="auto" w:fill="FFFFFF"/>
                  <w:tcMar>
                    <w:top w:w="120" w:type="dxa"/>
                    <w:left w:w="120" w:type="dxa"/>
                    <w:bottom w:w="120" w:type="dxa"/>
                    <w:right w:w="120" w:type="dxa"/>
                  </w:tcMar>
                </w:tcPr>
                <w:p w14:paraId="42467118" w14:textId="77777777" w:rsidR="00B44B8D" w:rsidRDefault="00025255">
                  <w:pPr>
                    <w:suppressAutoHyphens w:val="0"/>
                    <w:spacing w:after="330" w:line="420" w:lineRule="atLeast"/>
                    <w:textAlignment w:val="auto"/>
                    <w:rPr>
                      <w:rFonts w:ascii="Arial Narrow" w:eastAsia="Times New Roman" w:hAnsi="Arial Narrow"/>
                      <w:sz w:val="24"/>
                      <w:szCs w:val="24"/>
                      <w:lang w:eastAsia="en-GB"/>
                    </w:rPr>
                  </w:pPr>
                  <w:r>
                    <w:rPr>
                      <w:rFonts w:ascii="Arial Narrow" w:eastAsia="Times New Roman" w:hAnsi="Arial Narrow"/>
                      <w:sz w:val="24"/>
                      <w:szCs w:val="24"/>
                      <w:lang w:eastAsia="en-GB"/>
                    </w:rPr>
                    <w:t>65+</w:t>
                  </w:r>
                </w:p>
              </w:tc>
            </w:tr>
          </w:tbl>
          <w:p w14:paraId="4246711A" w14:textId="77777777" w:rsidR="00B44B8D" w:rsidRDefault="00B44B8D">
            <w:pPr>
              <w:spacing w:after="0" w:line="240" w:lineRule="auto"/>
              <w:rPr>
                <w:rFonts w:ascii="Arial Narrow" w:hAnsi="Arial Narrow"/>
                <w:sz w:val="24"/>
                <w:szCs w:val="24"/>
              </w:rPr>
            </w:pPr>
          </w:p>
        </w:tc>
      </w:tr>
    </w:tbl>
    <w:p w14:paraId="4246711C" w14:textId="77777777" w:rsidR="00B44B8D" w:rsidRDefault="00025255">
      <w:r>
        <w:rPr>
          <w:rFonts w:ascii="Arial Narrow" w:hAnsi="Arial Narrow"/>
          <w:sz w:val="24"/>
          <w:szCs w:val="24"/>
        </w:rPr>
        <w:lastRenderedPageBreak/>
        <w:t xml:space="preserve">                              Figure: psychological development by Erikson (McLeod, 2018).</w:t>
      </w:r>
    </w:p>
    <w:p w14:paraId="4246711D" w14:textId="77777777" w:rsidR="00B44B8D" w:rsidRDefault="00025255">
      <w:pPr>
        <w:pStyle w:val="Heading2"/>
        <w:numPr>
          <w:ilvl w:val="0"/>
          <w:numId w:val="2"/>
        </w:numPr>
        <w:rPr>
          <w:rFonts w:ascii="Arial Narrow" w:hAnsi="Arial Narrow"/>
          <w:color w:val="auto"/>
          <w:sz w:val="24"/>
          <w:szCs w:val="24"/>
        </w:rPr>
      </w:pPr>
      <w:r>
        <w:rPr>
          <w:rFonts w:ascii="Arial Narrow" w:hAnsi="Arial Narrow"/>
          <w:color w:val="auto"/>
          <w:sz w:val="24"/>
          <w:szCs w:val="24"/>
        </w:rPr>
        <w:t>Jean Piaget cognitive theory</w:t>
      </w:r>
    </w:p>
    <w:p w14:paraId="4246711E" w14:textId="206FF256" w:rsidR="00B44B8D" w:rsidRDefault="00025255">
      <w:pPr>
        <w:jc w:val="both"/>
      </w:pPr>
      <w:r>
        <w:rPr>
          <w:rFonts w:ascii="Arial Narrow" w:hAnsi="Arial Narrow"/>
          <w:sz w:val="24"/>
          <w:szCs w:val="24"/>
        </w:rPr>
        <w:t xml:space="preserve">In 1896, Jean Piaget one of the most influential researcher in development studies, developed cognitive theory to describe how organism adapts to environment. He told that this adaptation is driven by biological drives. In explaining the theory, he used two terms; assimilation and adaptation. Assimilation is transforming information from the environment to fit it into the per-existing cognitive structure. Accommodation involves the process which helps to change cognitive structures to accept something new from the environment </w:t>
      </w:r>
      <w:sdt>
        <w:sdtPr>
          <w:rPr>
            <w:rFonts w:ascii="Arial Narrow" w:hAnsi="Arial Narrow"/>
            <w:sz w:val="24"/>
            <w:szCs w:val="24"/>
          </w:rPr>
          <w:id w:val="-459340895"/>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Kah09 \l 2057 </w:instrText>
          </w:r>
          <w:r w:rsidR="00A54E77">
            <w:rPr>
              <w:rFonts w:ascii="Arial Narrow" w:hAnsi="Arial Narrow"/>
              <w:sz w:val="24"/>
              <w:szCs w:val="24"/>
            </w:rPr>
            <w:fldChar w:fldCharType="separate"/>
          </w:r>
          <w:r w:rsidR="00A54E77" w:rsidRPr="00A54E77">
            <w:rPr>
              <w:rFonts w:ascii="Arial Narrow" w:hAnsi="Arial Narrow"/>
              <w:noProof/>
              <w:sz w:val="24"/>
              <w:szCs w:val="24"/>
            </w:rPr>
            <w:t>(Powel &amp; Kalena, 2009)</w:t>
          </w:r>
          <w:r w:rsidR="00A54E77">
            <w:rPr>
              <w:rFonts w:ascii="Arial Narrow" w:hAnsi="Arial Narrow"/>
              <w:sz w:val="24"/>
              <w:szCs w:val="24"/>
            </w:rPr>
            <w:fldChar w:fldCharType="end"/>
          </w:r>
        </w:sdtContent>
      </w:sdt>
      <w:r w:rsidR="00A54E77">
        <w:rPr>
          <w:rFonts w:ascii="Arial Narrow" w:hAnsi="Arial Narrow"/>
          <w:sz w:val="24"/>
          <w:szCs w:val="24"/>
        </w:rPr>
        <w:t xml:space="preserve">. </w:t>
      </w:r>
      <w:r>
        <w:rPr>
          <w:rFonts w:ascii="Arial Narrow" w:hAnsi="Arial Narrow"/>
          <w:sz w:val="24"/>
          <w:szCs w:val="24"/>
        </w:rPr>
        <w:t>Both the process continuously and alternatively occurs throughout the whole human life. According to Piaget, in middle childhood, age from 2 to 6/7 years, people are too young to do any mental operation; using intuitive rather than logical reasoning</w:t>
      </w:r>
      <w:sdt>
        <w:sdtPr>
          <w:rPr>
            <w:rFonts w:ascii="Arial Narrow" w:hAnsi="Arial Narrow"/>
            <w:sz w:val="24"/>
            <w:szCs w:val="24"/>
          </w:rPr>
          <w:id w:val="-595022062"/>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Sha04 \l 2057 </w:instrText>
          </w:r>
          <w:r w:rsidR="00A54E77">
            <w:rPr>
              <w:rFonts w:ascii="Arial Narrow" w:hAnsi="Arial Narrow"/>
              <w:sz w:val="24"/>
              <w:szCs w:val="24"/>
            </w:rPr>
            <w:fldChar w:fldCharType="separate"/>
          </w:r>
          <w:r w:rsidR="00A54E77">
            <w:rPr>
              <w:rFonts w:ascii="Arial Narrow" w:hAnsi="Arial Narrow"/>
              <w:noProof/>
              <w:sz w:val="24"/>
              <w:szCs w:val="24"/>
            </w:rPr>
            <w:t xml:space="preserve"> </w:t>
          </w:r>
          <w:r w:rsidR="00A54E77" w:rsidRPr="00A54E77">
            <w:rPr>
              <w:rFonts w:ascii="Arial Narrow" w:hAnsi="Arial Narrow"/>
              <w:noProof/>
              <w:sz w:val="24"/>
              <w:szCs w:val="24"/>
            </w:rPr>
            <w:t>(Merriam, 2004)</w:t>
          </w:r>
          <w:r w:rsidR="00A54E77">
            <w:rPr>
              <w:rFonts w:ascii="Arial Narrow" w:hAnsi="Arial Narrow"/>
              <w:sz w:val="24"/>
              <w:szCs w:val="24"/>
            </w:rPr>
            <w:fldChar w:fldCharType="end"/>
          </w:r>
        </w:sdtContent>
      </w:sdt>
      <w:r>
        <w:rPr>
          <w:rFonts w:ascii="Arial Narrow" w:hAnsi="Arial Narrow"/>
          <w:sz w:val="24"/>
          <w:szCs w:val="24"/>
        </w:rPr>
        <w:t xml:space="preserve"> </w:t>
      </w:r>
    </w:p>
    <w:p w14:paraId="4246711F" w14:textId="772469AF" w:rsidR="00B44B8D" w:rsidRDefault="00025255">
      <w:pPr>
        <w:jc w:val="both"/>
        <w:rPr>
          <w:rFonts w:ascii="Arial Narrow" w:hAnsi="Arial Narrow"/>
          <w:sz w:val="24"/>
          <w:szCs w:val="24"/>
        </w:rPr>
      </w:pPr>
      <w:r>
        <w:rPr>
          <w:rFonts w:ascii="Arial Narrow" w:hAnsi="Arial Narrow"/>
          <w:sz w:val="24"/>
          <w:szCs w:val="24"/>
        </w:rPr>
        <w:t>Piaget’s theory impacted globally with validation of number of ideas in the field of development and growth in different cultures and societies. Whereas, advance researches claim that development is a continuous process and children express mental abilities at early ages. Therefore, the theory can very clearly explain the way hoe the child adapts this ever-changing world. Even the youngest child is inquisitive and actively explores this world.</w:t>
      </w:r>
    </w:p>
    <w:p w14:paraId="4AF7576F" w14:textId="5C9B2CDE" w:rsidR="00984540" w:rsidRDefault="00986D2E" w:rsidP="00EE19A2">
      <w:pPr>
        <w:ind w:left="720" w:firstLine="720"/>
        <w:jc w:val="both"/>
        <w:rPr>
          <w:rFonts w:ascii="Arial Narrow" w:hAnsi="Arial Narrow"/>
          <w:sz w:val="24"/>
          <w:szCs w:val="24"/>
        </w:rPr>
      </w:pPr>
      <w:r w:rsidRPr="00986D2E">
        <w:rPr>
          <w:rFonts w:ascii="Arial Narrow" w:hAnsi="Arial Narrow"/>
          <w:noProof/>
          <w:sz w:val="24"/>
          <w:szCs w:val="24"/>
        </w:rPr>
        <w:lastRenderedPageBreak/>
        <w:drawing>
          <wp:inline distT="0" distB="0" distL="0" distR="0" wp14:anchorId="58F3D7AE" wp14:editId="2CEB5EA8">
            <wp:extent cx="4301338" cy="2421826"/>
            <wp:effectExtent l="0" t="0" r="4445" b="0"/>
            <wp:docPr id="1" name="Picture 1" descr="Image result for Piaget's theory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aget's theory of cognitive develop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4793" cy="2429402"/>
                    </a:xfrm>
                    <a:prstGeom prst="rect">
                      <a:avLst/>
                    </a:prstGeom>
                    <a:noFill/>
                    <a:ln>
                      <a:noFill/>
                    </a:ln>
                  </pic:spPr>
                </pic:pic>
              </a:graphicData>
            </a:graphic>
          </wp:inline>
        </w:drawing>
      </w:r>
    </w:p>
    <w:p w14:paraId="481538AF" w14:textId="0E6B1BFA" w:rsidR="003F6C63" w:rsidRDefault="003F6C63">
      <w:pPr>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sidR="00CF434E">
        <w:rPr>
          <w:rFonts w:ascii="Arial Narrow" w:hAnsi="Arial Narrow"/>
          <w:sz w:val="24"/>
          <w:szCs w:val="24"/>
        </w:rPr>
        <w:tab/>
      </w:r>
      <w:r>
        <w:rPr>
          <w:rFonts w:ascii="Arial Narrow" w:hAnsi="Arial Narrow"/>
          <w:sz w:val="24"/>
          <w:szCs w:val="24"/>
        </w:rPr>
        <w:t>Figure: Pi</w:t>
      </w:r>
      <w:r w:rsidR="00EE19A2">
        <w:rPr>
          <w:rFonts w:ascii="Arial Narrow" w:hAnsi="Arial Narrow"/>
          <w:sz w:val="24"/>
          <w:szCs w:val="24"/>
        </w:rPr>
        <w:t>aget’s theory of cognitive development</w:t>
      </w:r>
    </w:p>
    <w:p w14:paraId="42467122" w14:textId="285AB345" w:rsidR="00B44B8D" w:rsidRPr="00EE19A2" w:rsidRDefault="00025255">
      <w:pPr>
        <w:jc w:val="both"/>
      </w:pPr>
      <w:r>
        <w:rPr>
          <w:rFonts w:ascii="Arial Narrow" w:hAnsi="Arial Narrow"/>
          <w:sz w:val="24"/>
          <w:szCs w:val="24"/>
        </w:rPr>
        <w:t xml:space="preserve">According to Piaget, age 7to 11 is the concrete operational stage when children </w:t>
      </w:r>
      <w:proofErr w:type="gramStart"/>
      <w:r>
        <w:rPr>
          <w:rFonts w:ascii="Arial Narrow" w:hAnsi="Arial Narrow"/>
          <w:sz w:val="24"/>
          <w:szCs w:val="24"/>
        </w:rPr>
        <w:t>is able to</w:t>
      </w:r>
      <w:proofErr w:type="gramEnd"/>
      <w:r>
        <w:rPr>
          <w:rFonts w:ascii="Arial Narrow" w:hAnsi="Arial Narrow"/>
          <w:sz w:val="24"/>
          <w:szCs w:val="24"/>
        </w:rPr>
        <w:t xml:space="preserve"> carry out operations and develops logical thoughts. In this stage, they involve two actions one is reversibility. Reversibility is the ability to mental picture of an action to be carried out. </w:t>
      </w:r>
      <w:r>
        <w:rPr>
          <w:rFonts w:ascii="Arial Narrow" w:eastAsia="Times New Roman" w:hAnsi="Arial Narrow"/>
          <w:sz w:val="24"/>
          <w:szCs w:val="24"/>
          <w:lang w:eastAsia="en-GB"/>
        </w:rPr>
        <w:t>The other one is known as conservation which refers to the realization that amount remains same until unless something is added or removed</w:t>
      </w:r>
      <w:r>
        <w:rPr>
          <w:rFonts w:ascii="Arial Narrow" w:eastAsia="Times New Roman" w:hAnsi="Arial Narrow"/>
          <w:i/>
          <w:iCs/>
          <w:sz w:val="24"/>
          <w:szCs w:val="24"/>
          <w:lang w:eastAsia="en-GB"/>
        </w:rPr>
        <w:t>.  </w:t>
      </w:r>
    </w:p>
    <w:p w14:paraId="42467123" w14:textId="77777777" w:rsidR="00B44B8D" w:rsidRDefault="00025255">
      <w:pPr>
        <w:pStyle w:val="Heading1"/>
        <w:numPr>
          <w:ilvl w:val="0"/>
          <w:numId w:val="1"/>
        </w:numPr>
        <w:jc w:val="both"/>
        <w:rPr>
          <w:rFonts w:ascii="Arial Narrow" w:hAnsi="Arial Narrow"/>
          <w:color w:val="auto"/>
          <w:sz w:val="24"/>
          <w:szCs w:val="24"/>
        </w:rPr>
      </w:pPr>
      <w:r>
        <w:rPr>
          <w:rFonts w:ascii="Arial Narrow" w:hAnsi="Arial Narrow"/>
          <w:color w:val="auto"/>
          <w:sz w:val="24"/>
          <w:szCs w:val="24"/>
        </w:rPr>
        <w:t>Human Cognition development</w:t>
      </w:r>
    </w:p>
    <w:p w14:paraId="42467124" w14:textId="12EEF308" w:rsidR="00B44B8D" w:rsidRDefault="00025255">
      <w:pPr>
        <w:jc w:val="both"/>
      </w:pPr>
      <w:r>
        <w:rPr>
          <w:rFonts w:ascii="Arial Narrow" w:hAnsi="Arial Narrow"/>
          <w:sz w:val="24"/>
          <w:szCs w:val="24"/>
        </w:rPr>
        <w:t>Piaget stated that the thinking process of young children can be characterised by egocentrism which means they tend to think that all other peoples’ thinking, and feelings are just like them. Nevertheless, his invention on child psychology is the central of social cognitive activity by children but range of researches showed that Piaget underestimated children’s perspective -taking ability</w:t>
      </w:r>
      <w:r w:rsidR="00A54E77">
        <w:rPr>
          <w:rFonts w:ascii="Arial Narrow" w:hAnsi="Arial Narrow"/>
          <w:sz w:val="24"/>
          <w:szCs w:val="24"/>
        </w:rPr>
        <w:t xml:space="preserve"> </w:t>
      </w:r>
      <w:sdt>
        <w:sdtPr>
          <w:rPr>
            <w:rFonts w:ascii="Arial Narrow" w:hAnsi="Arial Narrow"/>
            <w:sz w:val="24"/>
            <w:szCs w:val="24"/>
          </w:rPr>
          <w:id w:val="-2086441155"/>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Dav15 \l 2057 </w:instrText>
          </w:r>
          <w:r w:rsidR="00A54E77">
            <w:rPr>
              <w:rFonts w:ascii="Arial Narrow" w:hAnsi="Arial Narrow"/>
              <w:sz w:val="24"/>
              <w:szCs w:val="24"/>
            </w:rPr>
            <w:fldChar w:fldCharType="separate"/>
          </w:r>
          <w:r w:rsidR="00A54E77" w:rsidRPr="00A54E77">
            <w:rPr>
              <w:rFonts w:ascii="Arial Narrow" w:hAnsi="Arial Narrow"/>
              <w:noProof/>
              <w:sz w:val="24"/>
              <w:szCs w:val="24"/>
            </w:rPr>
            <w:t>(Anderson, et al., 2015)</w:t>
          </w:r>
          <w:r w:rsidR="00A54E77">
            <w:rPr>
              <w:rFonts w:ascii="Arial Narrow" w:hAnsi="Arial Narrow"/>
              <w:sz w:val="24"/>
              <w:szCs w:val="24"/>
            </w:rPr>
            <w:fldChar w:fldCharType="end"/>
          </w:r>
        </w:sdtContent>
      </w:sdt>
      <w:r w:rsidR="00A54E77">
        <w:rPr>
          <w:rFonts w:ascii="Arial Narrow" w:hAnsi="Arial Narrow"/>
          <w:sz w:val="24"/>
          <w:szCs w:val="24"/>
        </w:rPr>
        <w:t>.</w:t>
      </w:r>
    </w:p>
    <w:p w14:paraId="42467125" w14:textId="77777777" w:rsidR="00B44B8D" w:rsidRDefault="00025255">
      <w:pPr>
        <w:pStyle w:val="Heading1"/>
        <w:numPr>
          <w:ilvl w:val="0"/>
          <w:numId w:val="1"/>
        </w:numPr>
        <w:jc w:val="both"/>
        <w:rPr>
          <w:rFonts w:ascii="Arial Narrow" w:hAnsi="Arial Narrow"/>
          <w:color w:val="auto"/>
          <w:sz w:val="24"/>
          <w:szCs w:val="24"/>
        </w:rPr>
      </w:pPr>
      <w:r>
        <w:rPr>
          <w:rFonts w:ascii="Arial Narrow" w:hAnsi="Arial Narrow"/>
          <w:color w:val="auto"/>
          <w:sz w:val="24"/>
          <w:szCs w:val="24"/>
        </w:rPr>
        <w:t>Social &amp; Emotions Development</w:t>
      </w:r>
    </w:p>
    <w:p w14:paraId="42467126" w14:textId="38AFEC82" w:rsidR="00B44B8D" w:rsidRDefault="00025255">
      <w:pPr>
        <w:jc w:val="both"/>
      </w:pPr>
      <w:r>
        <w:rPr>
          <w:rFonts w:ascii="Arial Narrow" w:hAnsi="Arial Narrow"/>
          <w:sz w:val="24"/>
          <w:szCs w:val="24"/>
        </w:rPr>
        <w:t xml:space="preserve">The ability to understand the feeling of others, controlling own behaviour and getting along with other children and building relationships are the emotional developments of children. Being cooperative, </w:t>
      </w:r>
      <w:r>
        <w:rPr>
          <w:rFonts w:ascii="Arial Narrow" w:eastAsia="Times New Roman" w:hAnsi="Arial Narrow" w:cs="Arial"/>
          <w:sz w:val="24"/>
          <w:szCs w:val="24"/>
          <w:lang w:eastAsia="en-GB"/>
        </w:rPr>
        <w:t xml:space="preserve">following directions, self-control and attention paying are the skill that are developed at the stage of middle childhood </w:t>
      </w:r>
      <w:r w:rsidR="00A54E77">
        <w:rPr>
          <w:rFonts w:ascii="Arial Narrow" w:eastAsia="Times New Roman" w:hAnsi="Arial Narrow" w:cs="Arial"/>
          <w:sz w:val="24"/>
          <w:szCs w:val="24"/>
          <w:lang w:eastAsia="en-GB"/>
        </w:rPr>
        <w:t xml:space="preserve"> </w:t>
      </w:r>
      <w:sdt>
        <w:sdtPr>
          <w:rPr>
            <w:rFonts w:ascii="Arial Narrow" w:eastAsia="Times New Roman" w:hAnsi="Arial Narrow" w:cs="Arial"/>
            <w:sz w:val="24"/>
            <w:szCs w:val="24"/>
            <w:lang w:eastAsia="en-GB"/>
          </w:rPr>
          <w:id w:val="131147032"/>
          <w:citation/>
        </w:sdtPr>
        <w:sdtEndPr/>
        <w:sdtContent>
          <w:r w:rsidR="00A54E77">
            <w:rPr>
              <w:rFonts w:ascii="Arial Narrow" w:eastAsia="Times New Roman" w:hAnsi="Arial Narrow" w:cs="Arial"/>
              <w:sz w:val="24"/>
              <w:szCs w:val="24"/>
              <w:lang w:eastAsia="en-GB"/>
            </w:rPr>
            <w:fldChar w:fldCharType="begin"/>
          </w:r>
          <w:r w:rsidR="00A54E77">
            <w:rPr>
              <w:rFonts w:ascii="Arial Narrow" w:eastAsia="Times New Roman" w:hAnsi="Arial Narrow" w:cs="Arial"/>
              <w:sz w:val="24"/>
              <w:szCs w:val="24"/>
              <w:lang w:eastAsia="en-GB"/>
            </w:rPr>
            <w:instrText xml:space="preserve"> CITATION Kur84 \l 2057 </w:instrText>
          </w:r>
          <w:r w:rsidR="00A54E77">
            <w:rPr>
              <w:rFonts w:ascii="Arial Narrow" w:eastAsia="Times New Roman" w:hAnsi="Arial Narrow" w:cs="Arial"/>
              <w:sz w:val="24"/>
              <w:szCs w:val="24"/>
              <w:lang w:eastAsia="en-GB"/>
            </w:rPr>
            <w:fldChar w:fldCharType="separate"/>
          </w:r>
          <w:r w:rsidR="00A54E77" w:rsidRPr="00A54E77">
            <w:rPr>
              <w:rFonts w:ascii="Arial Narrow" w:eastAsia="Times New Roman" w:hAnsi="Arial Narrow" w:cs="Arial"/>
              <w:noProof/>
              <w:sz w:val="24"/>
              <w:szCs w:val="24"/>
              <w:lang w:eastAsia="en-GB"/>
            </w:rPr>
            <w:t>(Fischer &amp; Bullock, 1984)</w:t>
          </w:r>
          <w:r w:rsidR="00A54E77">
            <w:rPr>
              <w:rFonts w:ascii="Arial Narrow" w:eastAsia="Times New Roman" w:hAnsi="Arial Narrow" w:cs="Arial"/>
              <w:sz w:val="24"/>
              <w:szCs w:val="24"/>
              <w:lang w:eastAsia="en-GB"/>
            </w:rPr>
            <w:fldChar w:fldCharType="end"/>
          </w:r>
        </w:sdtContent>
      </w:sdt>
      <w:r w:rsidR="00A54E77">
        <w:rPr>
          <w:rFonts w:ascii="Arial Narrow" w:eastAsia="Times New Roman" w:hAnsi="Arial Narrow" w:cs="Arial"/>
          <w:sz w:val="24"/>
          <w:szCs w:val="24"/>
          <w:lang w:eastAsia="en-GB"/>
        </w:rPr>
        <w:t>.</w:t>
      </w:r>
    </w:p>
    <w:p w14:paraId="42467127" w14:textId="77777777" w:rsidR="00B44B8D" w:rsidRDefault="00025255">
      <w:pPr>
        <w:pStyle w:val="Heading1"/>
        <w:numPr>
          <w:ilvl w:val="0"/>
          <w:numId w:val="1"/>
        </w:numPr>
        <w:jc w:val="both"/>
        <w:rPr>
          <w:rFonts w:ascii="Arial Narrow" w:hAnsi="Arial Narrow"/>
          <w:color w:val="auto"/>
          <w:sz w:val="24"/>
          <w:szCs w:val="24"/>
        </w:rPr>
      </w:pPr>
      <w:r>
        <w:rPr>
          <w:rFonts w:ascii="Arial Narrow" w:hAnsi="Arial Narrow"/>
          <w:color w:val="auto"/>
          <w:sz w:val="24"/>
          <w:szCs w:val="24"/>
        </w:rPr>
        <w:t>Behavioural pattern</w:t>
      </w:r>
    </w:p>
    <w:p w14:paraId="42467128" w14:textId="582A3970" w:rsidR="00B44B8D" w:rsidRDefault="00025255">
      <w:pPr>
        <w:jc w:val="both"/>
      </w:pPr>
      <w:r>
        <w:rPr>
          <w:rFonts w:ascii="Arial Narrow" w:hAnsi="Arial Narrow"/>
          <w:sz w:val="24"/>
          <w:szCs w:val="24"/>
        </w:rPr>
        <w:t>During this middle childhood, children get the access to new setting and pressure which helps them to deal with development challenges. at this age, children develop new capabilities through new challenges as they are assigned with new roles and responsibilities</w:t>
      </w:r>
      <w:r w:rsidR="00A54E77">
        <w:rPr>
          <w:rFonts w:ascii="Arial Narrow" w:hAnsi="Arial Narrow"/>
          <w:sz w:val="24"/>
          <w:szCs w:val="24"/>
        </w:rPr>
        <w:t xml:space="preserve"> </w:t>
      </w:r>
      <w:sdt>
        <w:sdtPr>
          <w:rPr>
            <w:rFonts w:ascii="Arial Narrow" w:hAnsi="Arial Narrow"/>
            <w:sz w:val="24"/>
            <w:szCs w:val="24"/>
          </w:rPr>
          <w:id w:val="-1953538889"/>
          <w:citation/>
        </w:sdtPr>
        <w:sdtEndPr/>
        <w:sdtContent>
          <w:r w:rsidR="00A54E77">
            <w:rPr>
              <w:rFonts w:ascii="Arial Narrow" w:hAnsi="Arial Narrow"/>
              <w:sz w:val="24"/>
              <w:szCs w:val="24"/>
            </w:rPr>
            <w:fldChar w:fldCharType="begin"/>
          </w:r>
          <w:r w:rsidR="00A54E77">
            <w:rPr>
              <w:rFonts w:ascii="Arial Narrow" w:hAnsi="Arial Narrow"/>
              <w:sz w:val="24"/>
              <w:szCs w:val="24"/>
            </w:rPr>
            <w:instrText xml:space="preserve"> CITATION Mar17 \l 2057 </w:instrText>
          </w:r>
          <w:r w:rsidR="00A54E77">
            <w:rPr>
              <w:rFonts w:ascii="Arial Narrow" w:hAnsi="Arial Narrow"/>
              <w:sz w:val="24"/>
              <w:szCs w:val="24"/>
            </w:rPr>
            <w:fldChar w:fldCharType="separate"/>
          </w:r>
          <w:r w:rsidR="00A54E77" w:rsidRPr="00A54E77">
            <w:rPr>
              <w:rFonts w:ascii="Arial Narrow" w:hAnsi="Arial Narrow"/>
              <w:noProof/>
              <w:sz w:val="24"/>
              <w:szCs w:val="24"/>
            </w:rPr>
            <w:t>(DelGiudice, 2017)</w:t>
          </w:r>
          <w:r w:rsidR="00A54E77">
            <w:rPr>
              <w:rFonts w:ascii="Arial Narrow" w:hAnsi="Arial Narrow"/>
              <w:sz w:val="24"/>
              <w:szCs w:val="24"/>
            </w:rPr>
            <w:fldChar w:fldCharType="end"/>
          </w:r>
        </w:sdtContent>
      </w:sdt>
      <w:r w:rsidR="00A54E77">
        <w:rPr>
          <w:rFonts w:ascii="Arial Narrow" w:hAnsi="Arial Narrow"/>
          <w:sz w:val="24"/>
          <w:szCs w:val="24"/>
        </w:rPr>
        <w:t>.</w:t>
      </w:r>
      <w:r>
        <w:rPr>
          <w:rFonts w:ascii="Arial Narrow" w:hAnsi="Arial Narrow"/>
          <w:sz w:val="24"/>
          <w:szCs w:val="24"/>
        </w:rPr>
        <w:t xml:space="preserve"> </w:t>
      </w:r>
    </w:p>
    <w:p w14:paraId="4246712D" w14:textId="77777777" w:rsidR="00B44B8D" w:rsidRPr="00303C6D" w:rsidRDefault="00025255">
      <w:pPr>
        <w:pStyle w:val="Heading1"/>
        <w:numPr>
          <w:ilvl w:val="0"/>
          <w:numId w:val="1"/>
        </w:numPr>
        <w:rPr>
          <w:rFonts w:ascii="Arial Narrow" w:hAnsi="Arial Narrow"/>
          <w:color w:val="auto"/>
          <w:sz w:val="28"/>
          <w:szCs w:val="28"/>
        </w:rPr>
      </w:pPr>
      <w:r w:rsidRPr="00303C6D">
        <w:rPr>
          <w:rFonts w:ascii="Arial Narrow" w:hAnsi="Arial Narrow"/>
          <w:color w:val="auto"/>
          <w:sz w:val="28"/>
          <w:szCs w:val="28"/>
        </w:rPr>
        <w:t>Conclusion</w:t>
      </w:r>
    </w:p>
    <w:p w14:paraId="4246712E" w14:textId="46CED537" w:rsidR="00B44B8D" w:rsidRDefault="00025255">
      <w:pPr>
        <w:jc w:val="both"/>
      </w:pPr>
      <w:r>
        <w:rPr>
          <w:rFonts w:ascii="Arial Narrow" w:hAnsi="Arial Narrow"/>
          <w:sz w:val="24"/>
          <w:szCs w:val="24"/>
        </w:rPr>
        <w:t>Exploring the aspects of the middle childhood stage of life-span development and demonstrating the importance of this stage motivated me to develop this report. Children when are given most support with deep understanding of the process of mental development, we can ensure the care given to blossom to their fullest degree.</w:t>
      </w:r>
      <w:bookmarkEnd w:id="0"/>
      <w:r>
        <w:rPr>
          <w:rFonts w:ascii="Arial Narrow" w:hAnsi="Arial Narrow"/>
          <w:color w:val="282828"/>
          <w:sz w:val="24"/>
          <w:szCs w:val="24"/>
          <w:shd w:val="clear" w:color="auto" w:fill="FFFFFF"/>
        </w:rPr>
        <w:t xml:space="preserve"> </w:t>
      </w:r>
      <w:r w:rsidR="00A54E77">
        <w:rPr>
          <w:rFonts w:ascii="Arial Narrow" w:hAnsi="Arial Narrow"/>
          <w:color w:val="282828"/>
          <w:sz w:val="24"/>
          <w:szCs w:val="24"/>
          <w:shd w:val="clear" w:color="auto" w:fill="FFFFFF"/>
        </w:rPr>
        <w:t>The sequence of physical, language, thought and emotional behavioural changes need to be nurtured appropriately</w:t>
      </w:r>
      <w:r w:rsidR="00303C6D">
        <w:rPr>
          <w:rFonts w:ascii="Arial Narrow" w:hAnsi="Arial Narrow"/>
          <w:color w:val="282828"/>
          <w:sz w:val="24"/>
          <w:szCs w:val="24"/>
          <w:shd w:val="clear" w:color="auto" w:fill="FFFFFF"/>
        </w:rPr>
        <w:t xml:space="preserve">. Problems in these developments can impact their further development and </w:t>
      </w:r>
      <w:proofErr w:type="gramStart"/>
      <w:r w:rsidR="00303C6D">
        <w:rPr>
          <w:rFonts w:ascii="Arial Narrow" w:hAnsi="Arial Narrow"/>
          <w:color w:val="282828"/>
          <w:sz w:val="24"/>
          <w:szCs w:val="24"/>
          <w:shd w:val="clear" w:color="auto" w:fill="FFFFFF"/>
        </w:rPr>
        <w:t>so as to</w:t>
      </w:r>
      <w:proofErr w:type="gramEnd"/>
      <w:r w:rsidR="00303C6D">
        <w:rPr>
          <w:rFonts w:ascii="Arial Narrow" w:hAnsi="Arial Narrow"/>
          <w:color w:val="282828"/>
          <w:sz w:val="24"/>
          <w:szCs w:val="24"/>
          <w:shd w:val="clear" w:color="auto" w:fill="FFFFFF"/>
        </w:rPr>
        <w:t xml:space="preserve"> the development of the society.</w:t>
      </w:r>
    </w:p>
    <w:p w14:paraId="4246712F" w14:textId="4A320174" w:rsidR="00B44B8D" w:rsidRDefault="00303C6D" w:rsidP="00303C6D">
      <w:pPr>
        <w:ind w:left="1440" w:firstLine="720"/>
        <w:jc w:val="both"/>
        <w:rPr>
          <w:rFonts w:ascii="Arial Narrow" w:hAnsi="Arial Narrow"/>
          <w:sz w:val="24"/>
          <w:szCs w:val="24"/>
        </w:rPr>
      </w:pPr>
      <w:r>
        <w:rPr>
          <w:rFonts w:ascii="Arial Narrow" w:hAnsi="Arial Narrow"/>
          <w:sz w:val="24"/>
          <w:szCs w:val="24"/>
        </w:rPr>
        <w:t>………………………………………………..</w:t>
      </w:r>
    </w:p>
    <w:p w14:paraId="7B6EA75D" w14:textId="5F178E06" w:rsidR="00303C6D" w:rsidRDefault="00303C6D" w:rsidP="00303C6D">
      <w:pPr>
        <w:ind w:left="1440" w:firstLine="720"/>
        <w:jc w:val="both"/>
        <w:rPr>
          <w:rFonts w:ascii="Arial Narrow" w:hAnsi="Arial Narrow"/>
          <w:sz w:val="24"/>
          <w:szCs w:val="24"/>
        </w:rPr>
      </w:pPr>
    </w:p>
    <w:p w14:paraId="25B0641B" w14:textId="7AFD372C" w:rsidR="00303C6D" w:rsidRDefault="00303C6D" w:rsidP="00303C6D">
      <w:pPr>
        <w:ind w:left="1440" w:firstLine="720"/>
        <w:jc w:val="both"/>
        <w:rPr>
          <w:rFonts w:ascii="Arial Narrow" w:hAnsi="Arial Narrow"/>
          <w:sz w:val="24"/>
          <w:szCs w:val="24"/>
        </w:rPr>
      </w:pPr>
    </w:p>
    <w:p w14:paraId="202697D4" w14:textId="039B713E" w:rsidR="00303C6D" w:rsidRDefault="00303C6D" w:rsidP="00EE19A2">
      <w:pPr>
        <w:jc w:val="both"/>
        <w:rPr>
          <w:rFonts w:ascii="Arial Narrow" w:hAnsi="Arial Narrow"/>
          <w:sz w:val="24"/>
          <w:szCs w:val="24"/>
        </w:rPr>
      </w:pPr>
    </w:p>
    <w:sdt>
      <w:sdtPr>
        <w:rPr>
          <w:rFonts w:ascii="Calibri" w:eastAsia="Calibri" w:hAnsi="Calibri"/>
          <w:color w:val="auto"/>
          <w:sz w:val="22"/>
          <w:szCs w:val="22"/>
        </w:rPr>
        <w:id w:val="-777259148"/>
        <w:docPartObj>
          <w:docPartGallery w:val="Bibliographies"/>
          <w:docPartUnique/>
        </w:docPartObj>
      </w:sdtPr>
      <w:sdtEndPr/>
      <w:sdtContent>
        <w:p w14:paraId="55E67E23" w14:textId="7219F4ED" w:rsidR="00303C6D" w:rsidRDefault="00303C6D">
          <w:pPr>
            <w:pStyle w:val="Heading1"/>
          </w:pPr>
          <w:r>
            <w:t>References</w:t>
          </w:r>
        </w:p>
        <w:sdt>
          <w:sdtPr>
            <w:id w:val="-573587230"/>
            <w:bibliography/>
          </w:sdtPr>
          <w:sdtEndPr/>
          <w:sdtContent>
            <w:p w14:paraId="1E020600" w14:textId="77777777" w:rsidR="00303C6D" w:rsidRDefault="00303C6D" w:rsidP="00303C6D">
              <w:pPr>
                <w:pStyle w:val="Bibliography"/>
                <w:rPr>
                  <w:noProof/>
                  <w:sz w:val="24"/>
                  <w:szCs w:val="24"/>
                </w:rPr>
              </w:pPr>
              <w:r>
                <w:fldChar w:fldCharType="begin"/>
              </w:r>
              <w:r>
                <w:instrText xml:space="preserve"> BIBLIOGRAPHY </w:instrText>
              </w:r>
              <w:r>
                <w:fldChar w:fldCharType="separate"/>
              </w:r>
              <w:r>
                <w:rPr>
                  <w:noProof/>
                </w:rPr>
                <w:t xml:space="preserve">Anderson, D. R. et al., 2015. </w:t>
              </w:r>
              <w:r>
                <w:rPr>
                  <w:i/>
                  <w:iCs/>
                  <w:noProof/>
                </w:rPr>
                <w:t xml:space="preserve">An Introduction to Management Science: Quantitative Approaches to Decision Making. </w:t>
              </w:r>
              <w:r>
                <w:rPr>
                  <w:noProof/>
                </w:rPr>
                <w:t>1st ed. Boston: Cengage learning.</w:t>
              </w:r>
            </w:p>
            <w:p w14:paraId="4EACDD94" w14:textId="77777777" w:rsidR="00303C6D" w:rsidRDefault="00303C6D" w:rsidP="00303C6D">
              <w:pPr>
                <w:pStyle w:val="Bibliography"/>
                <w:rPr>
                  <w:noProof/>
                </w:rPr>
              </w:pPr>
              <w:r>
                <w:rPr>
                  <w:noProof/>
                </w:rPr>
                <w:t xml:space="preserve">Armstrong, T., 2009. </w:t>
              </w:r>
              <w:r>
                <w:rPr>
                  <w:i/>
                  <w:iCs/>
                  <w:noProof/>
                </w:rPr>
                <w:t xml:space="preserve">The 12 Stages of Life. </w:t>
              </w:r>
              <w:r>
                <w:rPr>
                  <w:noProof/>
                </w:rPr>
                <w:t>s.l.:Ixia publications.</w:t>
              </w:r>
            </w:p>
            <w:p w14:paraId="58BD5DB7" w14:textId="77777777" w:rsidR="00303C6D" w:rsidRDefault="00303C6D" w:rsidP="00303C6D">
              <w:pPr>
                <w:pStyle w:val="Bibliography"/>
                <w:rPr>
                  <w:noProof/>
                </w:rPr>
              </w:pPr>
              <w:r>
                <w:rPr>
                  <w:noProof/>
                </w:rPr>
                <w:t xml:space="preserve">DelGiudice, M., 2017. Middle Childhood: An Evolutionary-Developmental Synthesis. </w:t>
              </w:r>
              <w:r>
                <w:rPr>
                  <w:i/>
                  <w:iCs/>
                  <w:noProof/>
                </w:rPr>
                <w:t xml:space="preserve">Handbook of life ocurse Health DEvelopment, </w:t>
              </w:r>
              <w:r>
                <w:rPr>
                  <w:noProof/>
                </w:rPr>
                <w:t>pp. 95-107.</w:t>
              </w:r>
            </w:p>
            <w:p w14:paraId="73C12558" w14:textId="77777777" w:rsidR="00303C6D" w:rsidRDefault="00303C6D" w:rsidP="00303C6D">
              <w:pPr>
                <w:pStyle w:val="Bibliography"/>
                <w:rPr>
                  <w:noProof/>
                </w:rPr>
              </w:pPr>
              <w:r>
                <w:rPr>
                  <w:noProof/>
                </w:rPr>
                <w:t xml:space="preserve">Donald, S. E., 2011. A life-span, life-space approach to career development. </w:t>
              </w:r>
              <w:r>
                <w:rPr>
                  <w:i/>
                  <w:iCs/>
                  <w:noProof/>
                </w:rPr>
                <w:t xml:space="preserve">Journal of vocational behaviour, </w:t>
              </w:r>
              <w:r>
                <w:rPr>
                  <w:noProof/>
                </w:rPr>
                <w:t>16(3), pp. 282-298.</w:t>
              </w:r>
            </w:p>
            <w:p w14:paraId="53C2A870" w14:textId="77777777" w:rsidR="00303C6D" w:rsidRDefault="00303C6D" w:rsidP="00303C6D">
              <w:pPr>
                <w:pStyle w:val="Bibliography"/>
                <w:rPr>
                  <w:noProof/>
                </w:rPr>
              </w:pPr>
              <w:r>
                <w:rPr>
                  <w:noProof/>
                </w:rPr>
                <w:t xml:space="preserve">Fischer, K. W. &amp; Bullock, D., 1984. Development During Middle Childhood: The Years From Six to Twelve.. </w:t>
              </w:r>
              <w:r>
                <w:rPr>
                  <w:i/>
                  <w:iCs/>
                  <w:noProof/>
                </w:rPr>
                <w:t>National Research Council (US).</w:t>
              </w:r>
            </w:p>
            <w:p w14:paraId="6DC4BA1C" w14:textId="77777777" w:rsidR="00303C6D" w:rsidRDefault="00303C6D" w:rsidP="00303C6D">
              <w:pPr>
                <w:pStyle w:val="Bibliography"/>
                <w:rPr>
                  <w:noProof/>
                </w:rPr>
              </w:pPr>
              <w:r>
                <w:rPr>
                  <w:noProof/>
                </w:rPr>
                <w:t xml:space="preserve">Merriam, S. B., 2004. The Role of Cognitive Development in Mezirow’s Transformational Learning Theory. </w:t>
              </w:r>
              <w:r>
                <w:rPr>
                  <w:i/>
                  <w:iCs/>
                  <w:noProof/>
                </w:rPr>
                <w:t xml:space="preserve">Adult Education quaterly, </w:t>
              </w:r>
              <w:r>
                <w:rPr>
                  <w:noProof/>
                </w:rPr>
                <w:t>55(1).</w:t>
              </w:r>
            </w:p>
            <w:p w14:paraId="2F24B3D1" w14:textId="77777777" w:rsidR="00303C6D" w:rsidRDefault="00303C6D" w:rsidP="00303C6D">
              <w:pPr>
                <w:pStyle w:val="Bibliography"/>
                <w:rPr>
                  <w:noProof/>
                </w:rPr>
              </w:pPr>
              <w:r>
                <w:rPr>
                  <w:noProof/>
                </w:rPr>
                <w:t xml:space="preserve">Powel, K. C. &amp; Kalena, C. J., 2009. COGNITIVE AND SOCIAL CONSTRUCTIVISM: DEVELOPING TOOLS FOR AN EFFECTIVE CLASSROOM. </w:t>
              </w:r>
              <w:r>
                <w:rPr>
                  <w:i/>
                  <w:iCs/>
                  <w:noProof/>
                </w:rPr>
                <w:t xml:space="preserve">Education, </w:t>
              </w:r>
              <w:r>
                <w:rPr>
                  <w:noProof/>
                </w:rPr>
                <w:t>130(2), pp. 241-250.</w:t>
              </w:r>
            </w:p>
            <w:p w14:paraId="2E132547" w14:textId="77777777" w:rsidR="00303C6D" w:rsidRDefault="00303C6D" w:rsidP="00303C6D">
              <w:pPr>
                <w:pStyle w:val="Bibliography"/>
                <w:rPr>
                  <w:noProof/>
                </w:rPr>
              </w:pPr>
              <w:r>
                <w:rPr>
                  <w:noProof/>
                </w:rPr>
                <w:t xml:space="preserve">Slater, C. L., 2003. Generativity Versus Stagnation: An Elaboration of Erikson's Adult Stage of Human Development. </w:t>
              </w:r>
              <w:r>
                <w:rPr>
                  <w:i/>
                  <w:iCs/>
                  <w:noProof/>
                </w:rPr>
                <w:t xml:space="preserve">Journal of Adult DEvelopment, </w:t>
              </w:r>
              <w:r>
                <w:rPr>
                  <w:noProof/>
                </w:rPr>
                <w:t>10(1), pp. 53-65.</w:t>
              </w:r>
            </w:p>
            <w:p w14:paraId="0681DF28" w14:textId="5A1BA872" w:rsidR="00303C6D" w:rsidRDefault="00303C6D" w:rsidP="00303C6D">
              <w:r>
                <w:rPr>
                  <w:b/>
                  <w:bCs/>
                  <w:noProof/>
                </w:rPr>
                <w:fldChar w:fldCharType="end"/>
              </w:r>
            </w:p>
          </w:sdtContent>
        </w:sdt>
      </w:sdtContent>
    </w:sdt>
    <w:p w14:paraId="345C586A" w14:textId="4C437A5E" w:rsidR="00303C6D" w:rsidRDefault="00303C6D" w:rsidP="00303C6D">
      <w:pPr>
        <w:ind w:left="1440" w:firstLine="720"/>
        <w:jc w:val="both"/>
        <w:rPr>
          <w:rFonts w:ascii="Arial Narrow" w:hAnsi="Arial Narrow"/>
          <w:sz w:val="24"/>
          <w:szCs w:val="24"/>
        </w:rPr>
      </w:pPr>
      <w:r>
        <w:rPr>
          <w:rFonts w:ascii="Arial Narrow" w:hAnsi="Arial Narrow"/>
          <w:sz w:val="24"/>
          <w:szCs w:val="24"/>
        </w:rPr>
        <w:t>………………………………………………..</w:t>
      </w:r>
    </w:p>
    <w:p w14:paraId="53BA4A01" w14:textId="2CB5EABF" w:rsidR="00E34495" w:rsidRDefault="00E34495" w:rsidP="00303C6D">
      <w:pPr>
        <w:ind w:left="1440" w:firstLine="720"/>
        <w:jc w:val="both"/>
        <w:rPr>
          <w:rFonts w:ascii="Arial Narrow" w:hAnsi="Arial Narrow"/>
          <w:sz w:val="24"/>
          <w:szCs w:val="24"/>
        </w:rPr>
      </w:pPr>
    </w:p>
    <w:p w14:paraId="59FB67D1" w14:textId="1CCAB33D" w:rsidR="00E34495" w:rsidRDefault="00E34495" w:rsidP="00303C6D">
      <w:pPr>
        <w:ind w:left="1440" w:firstLine="720"/>
        <w:jc w:val="both"/>
        <w:rPr>
          <w:rFonts w:ascii="Arial Narrow" w:hAnsi="Arial Narrow"/>
          <w:sz w:val="24"/>
          <w:szCs w:val="24"/>
        </w:rPr>
      </w:pPr>
    </w:p>
    <w:sectPr w:rsidR="00E34495" w:rsidSect="00017126">
      <w:footerReference w:type="default" r:id="rId9"/>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670E6" w14:textId="77777777" w:rsidR="00357C2E" w:rsidRDefault="00025255">
      <w:pPr>
        <w:spacing w:after="0" w:line="240" w:lineRule="auto"/>
      </w:pPr>
      <w:r>
        <w:separator/>
      </w:r>
    </w:p>
  </w:endnote>
  <w:endnote w:type="continuationSeparator" w:id="0">
    <w:p w14:paraId="424670E8" w14:textId="77777777" w:rsidR="00357C2E" w:rsidRDefault="0002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4568823"/>
      <w:docPartObj>
        <w:docPartGallery w:val="Page Numbers (Bottom of Page)"/>
        <w:docPartUnique/>
      </w:docPartObj>
    </w:sdtPr>
    <w:sdtEndPr>
      <w:rPr>
        <w:noProof/>
      </w:rPr>
    </w:sdtEndPr>
    <w:sdtContent>
      <w:p w14:paraId="1BA9898C" w14:textId="0E9C853B" w:rsidR="00CF434E" w:rsidRDefault="00CF43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BFB27" w14:textId="77777777" w:rsidR="00CF434E" w:rsidRDefault="00CF4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670E2" w14:textId="77777777" w:rsidR="00357C2E" w:rsidRDefault="00025255">
      <w:pPr>
        <w:spacing w:after="0" w:line="240" w:lineRule="auto"/>
      </w:pPr>
      <w:r>
        <w:rPr>
          <w:color w:val="000000"/>
        </w:rPr>
        <w:separator/>
      </w:r>
    </w:p>
  </w:footnote>
  <w:footnote w:type="continuationSeparator" w:id="0">
    <w:p w14:paraId="424670E4" w14:textId="77777777" w:rsidR="00357C2E" w:rsidRDefault="00025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F2E94"/>
    <w:multiLevelType w:val="multilevel"/>
    <w:tmpl w:val="1EB8E42A"/>
    <w:lvl w:ilvl="0">
      <w:start w:val="1"/>
      <w:numFmt w:val="upp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421F11"/>
    <w:multiLevelType w:val="multilevel"/>
    <w:tmpl w:val="F154BA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B8D"/>
    <w:rsid w:val="00017126"/>
    <w:rsid w:val="00025255"/>
    <w:rsid w:val="000F4F25"/>
    <w:rsid w:val="00113DF4"/>
    <w:rsid w:val="00251782"/>
    <w:rsid w:val="00303C6D"/>
    <w:rsid w:val="00357C2E"/>
    <w:rsid w:val="003F6C63"/>
    <w:rsid w:val="004A5D90"/>
    <w:rsid w:val="00984540"/>
    <w:rsid w:val="00986D2E"/>
    <w:rsid w:val="00A54E77"/>
    <w:rsid w:val="00B44B8D"/>
    <w:rsid w:val="00B4788B"/>
    <w:rsid w:val="00B97CCF"/>
    <w:rsid w:val="00CC6896"/>
    <w:rsid w:val="00CF434E"/>
    <w:rsid w:val="00D865E1"/>
    <w:rsid w:val="00E34495"/>
    <w:rsid w:val="00E865F7"/>
    <w:rsid w:val="00EE1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70E2"/>
  <w15:docId w15:val="{B33708B2-4BD4-4C41-8131-71580437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character" w:styleId="Strong">
    <w:name w:val="Strong"/>
    <w:basedOn w:val="DefaultParagraphFont"/>
    <w:rPr>
      <w:b/>
      <w:bCs/>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Emphasis">
    <w:name w:val="Emphasis"/>
    <w:basedOn w:val="DefaultParagraphFont"/>
    <w:rPr>
      <w:i/>
      <w:iCs/>
    </w:rPr>
  </w:style>
  <w:style w:type="paragraph" w:styleId="Bibliography">
    <w:name w:val="Bibliography"/>
    <w:basedOn w:val="Normal"/>
    <w:next w:val="Normal"/>
  </w:style>
  <w:style w:type="paragraph" w:styleId="NoSpacing">
    <w:name w:val="No Spacing"/>
    <w:link w:val="NoSpacingChar"/>
    <w:uiPriority w:val="1"/>
    <w:qFormat/>
    <w:rsid w:val="00017126"/>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017126"/>
    <w:rPr>
      <w:rFonts w:asciiTheme="minorHAnsi" w:eastAsiaTheme="minorEastAsia" w:hAnsiTheme="minorHAnsi" w:cstheme="minorBidi"/>
      <w:lang w:val="en-US"/>
    </w:rPr>
  </w:style>
  <w:style w:type="paragraph" w:styleId="BalloonText">
    <w:name w:val="Balloon Text"/>
    <w:basedOn w:val="Normal"/>
    <w:link w:val="BalloonTextChar"/>
    <w:uiPriority w:val="99"/>
    <w:semiHidden/>
    <w:unhideWhenUsed/>
    <w:rsid w:val="00986D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D2E"/>
    <w:rPr>
      <w:rFonts w:ascii="Segoe UI" w:hAnsi="Segoe UI" w:cs="Segoe UI"/>
      <w:sz w:val="18"/>
      <w:szCs w:val="18"/>
    </w:rPr>
  </w:style>
  <w:style w:type="paragraph" w:styleId="Header">
    <w:name w:val="header"/>
    <w:basedOn w:val="Normal"/>
    <w:link w:val="HeaderChar"/>
    <w:uiPriority w:val="99"/>
    <w:unhideWhenUsed/>
    <w:rsid w:val="00CF4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34E"/>
  </w:style>
  <w:style w:type="paragraph" w:styleId="Footer">
    <w:name w:val="footer"/>
    <w:basedOn w:val="Normal"/>
    <w:link w:val="FooterChar"/>
    <w:uiPriority w:val="99"/>
    <w:unhideWhenUsed/>
    <w:rsid w:val="00CF4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193537">
      <w:bodyDiv w:val="1"/>
      <w:marLeft w:val="0"/>
      <w:marRight w:val="0"/>
      <w:marTop w:val="0"/>
      <w:marBottom w:val="0"/>
      <w:divBdr>
        <w:top w:val="none" w:sz="0" w:space="0" w:color="auto"/>
        <w:left w:val="none" w:sz="0" w:space="0" w:color="auto"/>
        <w:bottom w:val="none" w:sz="0" w:space="0" w:color="auto"/>
        <w:right w:val="none" w:sz="0" w:space="0" w:color="auto"/>
      </w:divBdr>
    </w:div>
    <w:div w:id="726681278">
      <w:bodyDiv w:val="1"/>
      <w:marLeft w:val="0"/>
      <w:marRight w:val="0"/>
      <w:marTop w:val="0"/>
      <w:marBottom w:val="0"/>
      <w:divBdr>
        <w:top w:val="none" w:sz="0" w:space="0" w:color="auto"/>
        <w:left w:val="none" w:sz="0" w:space="0" w:color="auto"/>
        <w:bottom w:val="none" w:sz="0" w:space="0" w:color="auto"/>
        <w:right w:val="none" w:sz="0" w:space="0" w:color="auto"/>
      </w:divBdr>
    </w:div>
    <w:div w:id="911427412">
      <w:bodyDiv w:val="1"/>
      <w:marLeft w:val="0"/>
      <w:marRight w:val="0"/>
      <w:marTop w:val="0"/>
      <w:marBottom w:val="0"/>
      <w:divBdr>
        <w:top w:val="none" w:sz="0" w:space="0" w:color="auto"/>
        <w:left w:val="none" w:sz="0" w:space="0" w:color="auto"/>
        <w:bottom w:val="none" w:sz="0" w:space="0" w:color="auto"/>
        <w:right w:val="none" w:sz="0" w:space="0" w:color="auto"/>
      </w:divBdr>
    </w:div>
    <w:div w:id="1062868801">
      <w:bodyDiv w:val="1"/>
      <w:marLeft w:val="0"/>
      <w:marRight w:val="0"/>
      <w:marTop w:val="0"/>
      <w:marBottom w:val="0"/>
      <w:divBdr>
        <w:top w:val="none" w:sz="0" w:space="0" w:color="auto"/>
        <w:left w:val="none" w:sz="0" w:space="0" w:color="auto"/>
        <w:bottom w:val="none" w:sz="0" w:space="0" w:color="auto"/>
        <w:right w:val="none" w:sz="0" w:space="0" w:color="auto"/>
      </w:divBdr>
    </w:div>
    <w:div w:id="1130712165">
      <w:bodyDiv w:val="1"/>
      <w:marLeft w:val="0"/>
      <w:marRight w:val="0"/>
      <w:marTop w:val="0"/>
      <w:marBottom w:val="0"/>
      <w:divBdr>
        <w:top w:val="none" w:sz="0" w:space="0" w:color="auto"/>
        <w:left w:val="none" w:sz="0" w:space="0" w:color="auto"/>
        <w:bottom w:val="none" w:sz="0" w:space="0" w:color="auto"/>
        <w:right w:val="none" w:sz="0" w:space="0" w:color="auto"/>
      </w:divBdr>
    </w:div>
    <w:div w:id="1301763469">
      <w:bodyDiv w:val="1"/>
      <w:marLeft w:val="0"/>
      <w:marRight w:val="0"/>
      <w:marTop w:val="0"/>
      <w:marBottom w:val="0"/>
      <w:divBdr>
        <w:top w:val="none" w:sz="0" w:space="0" w:color="auto"/>
        <w:left w:val="none" w:sz="0" w:space="0" w:color="auto"/>
        <w:bottom w:val="none" w:sz="0" w:space="0" w:color="auto"/>
        <w:right w:val="none" w:sz="0" w:space="0" w:color="auto"/>
      </w:divBdr>
    </w:div>
    <w:div w:id="1334185403">
      <w:bodyDiv w:val="1"/>
      <w:marLeft w:val="0"/>
      <w:marRight w:val="0"/>
      <w:marTop w:val="0"/>
      <w:marBottom w:val="0"/>
      <w:divBdr>
        <w:top w:val="none" w:sz="0" w:space="0" w:color="auto"/>
        <w:left w:val="none" w:sz="0" w:space="0" w:color="auto"/>
        <w:bottom w:val="none" w:sz="0" w:space="0" w:color="auto"/>
        <w:right w:val="none" w:sz="0" w:space="0" w:color="auto"/>
      </w:divBdr>
    </w:div>
    <w:div w:id="1456484696">
      <w:bodyDiv w:val="1"/>
      <w:marLeft w:val="0"/>
      <w:marRight w:val="0"/>
      <w:marTop w:val="0"/>
      <w:marBottom w:val="0"/>
      <w:divBdr>
        <w:top w:val="none" w:sz="0" w:space="0" w:color="auto"/>
        <w:left w:val="none" w:sz="0" w:space="0" w:color="auto"/>
        <w:bottom w:val="none" w:sz="0" w:space="0" w:color="auto"/>
        <w:right w:val="none" w:sz="0" w:space="0" w:color="auto"/>
      </w:divBdr>
    </w:div>
    <w:div w:id="1721974649">
      <w:bodyDiv w:val="1"/>
      <w:marLeft w:val="0"/>
      <w:marRight w:val="0"/>
      <w:marTop w:val="0"/>
      <w:marBottom w:val="0"/>
      <w:divBdr>
        <w:top w:val="none" w:sz="0" w:space="0" w:color="auto"/>
        <w:left w:val="none" w:sz="0" w:space="0" w:color="auto"/>
        <w:bottom w:val="none" w:sz="0" w:space="0" w:color="auto"/>
        <w:right w:val="none" w:sz="0" w:space="0" w:color="auto"/>
      </w:divBdr>
    </w:div>
    <w:div w:id="1838111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Tho09</b:Tag>
    <b:SourceType>Book</b:SourceType>
    <b:Guid>{EDCB873C-0E18-490A-8167-7951431C9595}</b:Guid>
    <b:Title>The 12 Stages of Life</b:Title>
    <b:Year>2009</b:Year>
    <b:Author>
      <b:Author>
        <b:NameList>
          <b:Person>
            <b:Last>Armstrong</b:Last>
            <b:First>Thomas</b:First>
          </b:Person>
        </b:NameList>
      </b:Author>
    </b:Author>
    <b:Publisher>Ixia publications</b:Publisher>
    <b:RefOrder>1</b:RefOrder>
  </b:Source>
  <b:Source>
    <b:Tag>Don11</b:Tag>
    <b:SourceType>JournalArticle</b:SourceType>
    <b:Guid>{9DD3B705-33C6-48D3-AD09-852A131024E6}</b:Guid>
    <b:Author>
      <b:Author>
        <b:NameList>
          <b:Person>
            <b:Last>Donald</b:Last>
            <b:First>Super</b:First>
            <b:Middle>E</b:Middle>
          </b:Person>
        </b:NameList>
      </b:Author>
    </b:Author>
    <b:Title>A life-span, life-space approach to career development</b:Title>
    <b:JournalName>Journal of vocational behaviour</b:JournalName>
    <b:Year>2011</b:Year>
    <b:Pages>282-298</b:Pages>
    <b:Volume>16</b:Volume>
    <b:Issue>3</b:Issue>
    <b:RefOrder>2</b:RefOrder>
  </b:Source>
  <b:Source>
    <b:Tag>Cha03</b:Tag>
    <b:SourceType>JournalArticle</b:SourceType>
    <b:Guid>{A49B9D27-3A22-4B25-A0EC-B63B5629EADA}</b:Guid>
    <b:Author>
      <b:Author>
        <b:NameList>
          <b:Person>
            <b:Last>Slater</b:Last>
            <b:First>Charles</b:First>
            <b:Middle>L.</b:Middle>
          </b:Person>
        </b:NameList>
      </b:Author>
    </b:Author>
    <b:Title>Generativity Versus Stagnation: An Elaboration of Erikson's Adult Stage of Human Development</b:Title>
    <b:JournalName>Journal of Adult DEvelopment</b:JournalName>
    <b:Year>2003</b:Year>
    <b:Pages>53-65</b:Pages>
    <b:Volume>10</b:Volume>
    <b:Issue>1</b:Issue>
    <b:RefOrder>3</b:RefOrder>
  </b:Source>
  <b:Source>
    <b:Tag>Kah09</b:Tag>
    <b:SourceType>JournalArticle</b:SourceType>
    <b:Guid>{DE6FAAF3-F95F-44D5-AFD3-1AD9B8EE0DD2}</b:Guid>
    <b:Author>
      <b:Author>
        <b:NameList>
          <b:Person>
            <b:Last>Powel</b:Last>
            <b:First>Kahterine</b:First>
            <b:Middle>C</b:Middle>
          </b:Person>
          <b:Person>
            <b:Last>Kalena</b:Last>
            <b:First>Cody</b:First>
            <b:Middle>J</b:Middle>
          </b:Person>
        </b:NameList>
      </b:Author>
    </b:Author>
    <b:Title>COGNITIVE AND SOCIAL CONSTRUCTIVISM: DEVELOPING TOOLS FOR AN EFFECTIVE CLASSROOM</b:Title>
    <b:JournalName> Education</b:JournalName>
    <b:Year>2009</b:Year>
    <b:Pages>241-250</b:Pages>
    <b:Volume>130</b:Volume>
    <b:Issue>2</b:Issue>
    <b:RefOrder>4</b:RefOrder>
  </b:Source>
  <b:Source>
    <b:Tag>Sha04</b:Tag>
    <b:SourceType>JournalArticle</b:SourceType>
    <b:Guid>{63B1D99D-F5B5-47A3-8355-B517887D0E8B}</b:Guid>
    <b:Author>
      <b:Author>
        <b:NameList>
          <b:Person>
            <b:Last>Merriam</b:Last>
            <b:First>Sharan</b:First>
            <b:Middle>B.</b:Middle>
          </b:Person>
        </b:NameList>
      </b:Author>
    </b:Author>
    <b:Title>The Role of Cognitive Development in Mezirow’s Transformational Learning Theory</b:Title>
    <b:JournalName>Adult Education quaterly</b:JournalName>
    <b:Year>2004</b:Year>
    <b:Volume>55</b:Volume>
    <b:Issue>1</b:Issue>
    <b:RefOrder>5</b:RefOrder>
  </b:Source>
  <b:Source>
    <b:Tag>Dav15</b:Tag>
    <b:SourceType>Book</b:SourceType>
    <b:Guid>{E25B8173-7F32-4E23-9DE2-1B5EB595D84A}</b:Guid>
    <b:Title>An Introduction to Management Science: Quantitative Approaches to Decision Making</b:Title>
    <b:Year>2015</b:Year>
    <b:Author>
      <b:Author>
        <b:NameList>
          <b:Person>
            <b:Last>Anderson</b:Last>
            <b:First>David</b:First>
            <b:Middle>R.</b:Middle>
          </b:Person>
          <b:Person>
            <b:Last>Sweeney</b:Last>
            <b:First>Dennis</b:First>
            <b:Middle>J.</b:Middle>
          </b:Person>
          <b:Person>
            <b:Last>Williams</b:Last>
            <b:First>Thomas</b:First>
            <b:Middle>A.</b:Middle>
          </b:Person>
          <b:Person>
            <b:Last>Camm</b:Last>
            <b:First>Jeffrey</b:First>
            <b:Middle>D.</b:Middle>
          </b:Person>
          <b:Person>
            <b:Last>Cochran</b:Last>
            <b:First>James</b:First>
            <b:Middle>J.</b:Middle>
          </b:Person>
        </b:NameList>
      </b:Author>
    </b:Author>
    <b:City>Boston</b:City>
    <b:Publisher>Cengage learning</b:Publisher>
    <b:Edition>1st</b:Edition>
    <b:RefOrder>6</b:RefOrder>
  </b:Source>
  <b:Source>
    <b:Tag>Kur84</b:Tag>
    <b:SourceType>JournalArticle</b:SourceType>
    <b:Guid>{8A9A9B89-928E-4672-A86E-9B01D8228A15}</b:Guid>
    <b:Title>Development During Middle Childhood: The Years From Six to Twelve.</b:Title>
    <b:Year>1984</b:Year>
    <b:Author>
      <b:Author>
        <b:NameList>
          <b:Person>
            <b:Last>Fischer</b:Last>
            <b:First>Kurt</b:First>
            <b:Middle>W.</b:Middle>
          </b:Person>
          <b:Person>
            <b:Last>Bullock</b:Last>
            <b:First>Daniel</b:First>
          </b:Person>
        </b:NameList>
      </b:Author>
    </b:Author>
    <b:JournalName>National Research Council (US)</b:JournalName>
    <b:RefOrder>7</b:RefOrder>
  </b:Source>
  <b:Source>
    <b:Tag>Mar17</b:Tag>
    <b:SourceType>JournalArticle</b:SourceType>
    <b:Guid>{583CB05A-50E3-4570-B961-9FD1C831B88E}</b:Guid>
    <b:Author>
      <b:Author>
        <b:NameList>
          <b:Person>
            <b:Last>DelGiudice</b:Last>
            <b:First>Marco</b:First>
          </b:Person>
        </b:NameList>
      </b:Author>
    </b:Author>
    <b:Title>Middle Childhood: An Evolutionary-Developmental Synthesis</b:Title>
    <b:JournalName>Handbook of life ocurse Health DEvelopment</b:JournalName>
    <b:Year>2017</b:Year>
    <b:Pages>95-107</b:Pages>
    <b:RefOrder>8</b:RefOrder>
  </b:Source>
</b:Sources>
</file>

<file path=customXml/itemProps1.xml><?xml version="1.0" encoding="utf-8"?>
<ds:datastoreItem xmlns:ds="http://schemas.openxmlformats.org/officeDocument/2006/customXml" ds:itemID="{1A358C55-687E-4570-9296-9770F833E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1211</Words>
  <Characters>6907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Theoretical perspectives of lifespan development</vt:lpstr>
    </vt:vector>
  </TitlesOfParts>
  <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dc:title>
  <dc:subject/>
  <dc:creator>julekha021@gmail.com</dc:creator>
  <dc:description/>
  <cp:lastModifiedBy>julekha021@gmail.com</cp:lastModifiedBy>
  <cp:revision>2</cp:revision>
  <dcterms:created xsi:type="dcterms:W3CDTF">2019-08-14T10:07:00Z</dcterms:created>
  <dcterms:modified xsi:type="dcterms:W3CDTF">2019-08-14T10:07:00Z</dcterms:modified>
</cp:coreProperties>
</file>