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2E355" w14:textId="77777777" w:rsidR="00E10A6A" w:rsidRDefault="00E10A6A" w:rsidP="00FC68AB">
      <w:pPr>
        <w:pStyle w:val="NoSpacing"/>
        <w:jc w:val="center"/>
      </w:pPr>
      <w:r>
        <w:rPr>
          <w:noProof/>
        </w:rPr>
        <w:drawing>
          <wp:inline distT="0" distB="0" distL="0" distR="0" wp14:anchorId="3601547D" wp14:editId="598BFB77">
            <wp:extent cx="4245997" cy="1773478"/>
            <wp:effectExtent l="0" t="0" r="2540" b="0"/>
            <wp:docPr id="2002776103"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healthcare  course - Digital Health and Care Wal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69271" cy="1783199"/>
                    </a:xfrm>
                    <a:prstGeom prst="rect">
                      <a:avLst/>
                    </a:prstGeom>
                    <a:noFill/>
                    <a:ln>
                      <a:noFill/>
                    </a:ln>
                  </pic:spPr>
                </pic:pic>
              </a:graphicData>
            </a:graphic>
          </wp:inline>
        </w:drawing>
      </w:r>
    </w:p>
    <w:p w14:paraId="2B381B22" w14:textId="77777777" w:rsidR="00E10A6A" w:rsidRDefault="00E10A6A" w:rsidP="00E10A6A">
      <w:pPr>
        <w:pStyle w:val="NoSpacing"/>
        <w:rPr>
          <w:rFonts w:ascii="Arial" w:hAnsi="Arial" w:cs="Arial"/>
        </w:rPr>
      </w:pPr>
    </w:p>
    <w:p w14:paraId="2275A65E" w14:textId="77777777" w:rsidR="00E10A6A" w:rsidRDefault="00E10A6A" w:rsidP="00E10A6A">
      <w:pPr>
        <w:pStyle w:val="NoSpacing"/>
        <w:rPr>
          <w:rFonts w:ascii="Arial" w:hAnsi="Arial" w:cs="Arial"/>
          <w:b/>
          <w:bCs/>
          <w:sz w:val="30"/>
          <w:szCs w:val="30"/>
        </w:rPr>
      </w:pPr>
    </w:p>
    <w:p w14:paraId="4E41D003" w14:textId="42BCD949" w:rsidR="00040263" w:rsidRPr="00040263" w:rsidRDefault="00E10A6A" w:rsidP="00040263">
      <w:pPr>
        <w:spacing w:line="480" w:lineRule="auto"/>
        <w:jc w:val="center"/>
        <w:rPr>
          <w:rFonts w:ascii="Arial" w:hAnsi="Arial" w:cs="Arial"/>
          <w:b/>
          <w:bCs/>
          <w:sz w:val="26"/>
          <w:szCs w:val="26"/>
        </w:rPr>
      </w:pPr>
      <w:r w:rsidRPr="00040263">
        <w:rPr>
          <w:rFonts w:ascii="Arial" w:hAnsi="Arial" w:cs="Arial"/>
          <w:b/>
          <w:bCs/>
          <w:sz w:val="26"/>
          <w:szCs w:val="26"/>
        </w:rPr>
        <w:t xml:space="preserve">Programme: </w:t>
      </w:r>
      <w:r w:rsidR="00040263" w:rsidRPr="00040263">
        <w:rPr>
          <w:rFonts w:ascii="Arial" w:hAnsi="Arial" w:cs="Arial"/>
          <w:b/>
          <w:bCs/>
          <w:sz w:val="26"/>
          <w:szCs w:val="26"/>
        </w:rPr>
        <w:t>Master of Business Administration</w:t>
      </w:r>
    </w:p>
    <w:p w14:paraId="2083A865" w14:textId="1F2DFFD9" w:rsidR="00040263" w:rsidRPr="00040263" w:rsidRDefault="00040263" w:rsidP="00040263">
      <w:pPr>
        <w:spacing w:line="480" w:lineRule="auto"/>
        <w:jc w:val="center"/>
        <w:rPr>
          <w:rFonts w:ascii="Arial" w:hAnsi="Arial" w:cs="Arial"/>
          <w:b/>
          <w:bCs/>
          <w:sz w:val="26"/>
          <w:szCs w:val="26"/>
        </w:rPr>
      </w:pPr>
      <w:r w:rsidRPr="00040263">
        <w:rPr>
          <w:rFonts w:ascii="Arial" w:hAnsi="Arial" w:cs="Arial"/>
          <w:b/>
          <w:bCs/>
          <w:sz w:val="26"/>
          <w:szCs w:val="26"/>
        </w:rPr>
        <w:t>Module: Human Capital Management</w:t>
      </w:r>
    </w:p>
    <w:p w14:paraId="2985DBD8" w14:textId="0ED86882" w:rsidR="00040263" w:rsidRPr="00040263" w:rsidRDefault="00040263" w:rsidP="00040263">
      <w:pPr>
        <w:spacing w:line="480" w:lineRule="auto"/>
        <w:jc w:val="center"/>
        <w:rPr>
          <w:rFonts w:ascii="Arial" w:hAnsi="Arial" w:cs="Arial"/>
          <w:b/>
          <w:bCs/>
          <w:sz w:val="26"/>
          <w:szCs w:val="26"/>
        </w:rPr>
      </w:pPr>
      <w:r w:rsidRPr="00040263">
        <w:rPr>
          <w:rFonts w:ascii="Arial" w:hAnsi="Arial" w:cs="Arial"/>
          <w:b/>
          <w:bCs/>
          <w:sz w:val="26"/>
          <w:szCs w:val="26"/>
        </w:rPr>
        <w:t>Module code: LCMB7023</w:t>
      </w:r>
    </w:p>
    <w:p w14:paraId="01957F46" w14:textId="79C4D2D0" w:rsidR="00040263" w:rsidRPr="00040263" w:rsidRDefault="00040263" w:rsidP="00040263">
      <w:pPr>
        <w:spacing w:line="480" w:lineRule="auto"/>
        <w:jc w:val="center"/>
        <w:rPr>
          <w:rFonts w:ascii="Arial" w:hAnsi="Arial" w:cs="Arial"/>
          <w:b/>
          <w:bCs/>
          <w:sz w:val="26"/>
          <w:szCs w:val="26"/>
        </w:rPr>
      </w:pPr>
      <w:r w:rsidRPr="00040263">
        <w:rPr>
          <w:rFonts w:ascii="Arial" w:hAnsi="Arial" w:cs="Arial"/>
          <w:b/>
          <w:bCs/>
          <w:sz w:val="26"/>
          <w:szCs w:val="26"/>
        </w:rPr>
        <w:t>Title: Assessment Component 1: Individual Report</w:t>
      </w:r>
    </w:p>
    <w:p w14:paraId="4122057D" w14:textId="029719C9" w:rsidR="00040263" w:rsidRPr="00040263" w:rsidRDefault="00040263" w:rsidP="00040263">
      <w:pPr>
        <w:spacing w:line="480" w:lineRule="auto"/>
        <w:jc w:val="center"/>
        <w:rPr>
          <w:rFonts w:ascii="Arial" w:hAnsi="Arial" w:cs="Arial"/>
          <w:b/>
          <w:bCs/>
          <w:sz w:val="26"/>
          <w:szCs w:val="26"/>
        </w:rPr>
      </w:pPr>
      <w:r w:rsidRPr="00040263">
        <w:rPr>
          <w:rFonts w:ascii="Arial" w:hAnsi="Arial" w:cs="Arial"/>
          <w:b/>
          <w:bCs/>
          <w:sz w:val="26"/>
          <w:szCs w:val="26"/>
        </w:rPr>
        <w:t>Word count:  2500</w:t>
      </w:r>
    </w:p>
    <w:p w14:paraId="243F3DF7" w14:textId="55F712BF" w:rsidR="00040263" w:rsidRPr="00040263" w:rsidRDefault="00040263" w:rsidP="00040263">
      <w:pPr>
        <w:spacing w:line="480" w:lineRule="auto"/>
        <w:jc w:val="center"/>
        <w:rPr>
          <w:rFonts w:ascii="Arial" w:hAnsi="Arial" w:cs="Arial"/>
          <w:b/>
          <w:bCs/>
          <w:sz w:val="26"/>
          <w:szCs w:val="26"/>
        </w:rPr>
      </w:pPr>
      <w:r w:rsidRPr="00040263">
        <w:rPr>
          <w:rFonts w:ascii="Arial" w:hAnsi="Arial" w:cs="Arial"/>
          <w:b/>
          <w:bCs/>
          <w:sz w:val="26"/>
          <w:szCs w:val="26"/>
        </w:rPr>
        <w:t xml:space="preserve">Lecturer: Ejike </w:t>
      </w:r>
      <w:proofErr w:type="spellStart"/>
      <w:r w:rsidRPr="00040263">
        <w:rPr>
          <w:rFonts w:ascii="Arial" w:hAnsi="Arial" w:cs="Arial"/>
          <w:b/>
          <w:bCs/>
          <w:sz w:val="26"/>
          <w:szCs w:val="26"/>
        </w:rPr>
        <w:t>Udeogu</w:t>
      </w:r>
      <w:proofErr w:type="spellEnd"/>
    </w:p>
    <w:p w14:paraId="0776B1FD" w14:textId="294A792C" w:rsidR="00040263" w:rsidRPr="00040263" w:rsidRDefault="00040263" w:rsidP="00040263">
      <w:pPr>
        <w:spacing w:line="480" w:lineRule="auto"/>
        <w:jc w:val="center"/>
        <w:rPr>
          <w:rFonts w:ascii="Arial" w:hAnsi="Arial" w:cs="Arial"/>
          <w:b/>
          <w:bCs/>
          <w:sz w:val="26"/>
          <w:szCs w:val="26"/>
        </w:rPr>
      </w:pPr>
      <w:r w:rsidRPr="00040263">
        <w:rPr>
          <w:rFonts w:ascii="Arial" w:hAnsi="Arial" w:cs="Arial"/>
          <w:b/>
          <w:bCs/>
          <w:sz w:val="26"/>
          <w:szCs w:val="26"/>
        </w:rPr>
        <w:t>Student Name</w:t>
      </w:r>
      <w:r w:rsidRPr="00040263">
        <w:rPr>
          <w:rFonts w:ascii="Arial" w:hAnsi="Arial" w:cs="Arial"/>
          <w:b/>
          <w:bCs/>
          <w:sz w:val="26"/>
          <w:szCs w:val="26"/>
        </w:rPr>
        <w:t>:</w:t>
      </w:r>
      <w:r>
        <w:rPr>
          <w:rFonts w:ascii="Arial" w:hAnsi="Arial" w:cs="Arial"/>
          <w:b/>
          <w:bCs/>
          <w:sz w:val="26"/>
          <w:szCs w:val="26"/>
        </w:rPr>
        <w:t xml:space="preserve"> Bansi Naranbhai </w:t>
      </w:r>
      <w:proofErr w:type="spellStart"/>
      <w:r>
        <w:rPr>
          <w:rFonts w:ascii="Arial" w:hAnsi="Arial" w:cs="Arial"/>
          <w:b/>
          <w:bCs/>
          <w:sz w:val="26"/>
          <w:szCs w:val="26"/>
        </w:rPr>
        <w:t>Vastarpara</w:t>
      </w:r>
      <w:proofErr w:type="spellEnd"/>
    </w:p>
    <w:p w14:paraId="0B2F0F34" w14:textId="2E827625" w:rsidR="00040263" w:rsidRPr="00040263" w:rsidRDefault="00040263" w:rsidP="00040263">
      <w:pPr>
        <w:spacing w:line="480" w:lineRule="auto"/>
        <w:jc w:val="center"/>
        <w:rPr>
          <w:rFonts w:ascii="Arial" w:hAnsi="Arial" w:cs="Arial"/>
          <w:b/>
          <w:bCs/>
          <w:sz w:val="26"/>
          <w:szCs w:val="26"/>
        </w:rPr>
      </w:pPr>
      <w:r w:rsidRPr="00040263">
        <w:rPr>
          <w:rFonts w:ascii="Arial" w:hAnsi="Arial" w:cs="Arial"/>
          <w:b/>
          <w:bCs/>
          <w:sz w:val="26"/>
          <w:szCs w:val="26"/>
        </w:rPr>
        <w:t>Student ID:</w:t>
      </w:r>
      <w:r>
        <w:rPr>
          <w:rFonts w:ascii="Arial" w:hAnsi="Arial" w:cs="Arial"/>
          <w:b/>
          <w:bCs/>
          <w:sz w:val="26"/>
          <w:szCs w:val="26"/>
        </w:rPr>
        <w:t xml:space="preserve"> 2508499</w:t>
      </w:r>
    </w:p>
    <w:p w14:paraId="4E3F5FF3" w14:textId="6F96E729" w:rsidR="00040263" w:rsidRPr="00040263" w:rsidRDefault="00040263" w:rsidP="00040263">
      <w:pPr>
        <w:spacing w:line="480" w:lineRule="auto"/>
        <w:jc w:val="center"/>
        <w:rPr>
          <w:rFonts w:ascii="Arial" w:hAnsi="Arial" w:cs="Arial"/>
          <w:b/>
          <w:bCs/>
          <w:sz w:val="26"/>
          <w:szCs w:val="26"/>
        </w:rPr>
      </w:pPr>
      <w:r w:rsidRPr="00040263">
        <w:rPr>
          <w:rFonts w:ascii="Arial" w:hAnsi="Arial" w:cs="Arial"/>
          <w:b/>
          <w:bCs/>
          <w:sz w:val="26"/>
          <w:szCs w:val="26"/>
        </w:rPr>
        <w:t>Submission Date- 17th October 2025</w:t>
      </w:r>
    </w:p>
    <w:p w14:paraId="2840E109" w14:textId="7F8690D2" w:rsidR="00E10A6A" w:rsidRDefault="00E10A6A" w:rsidP="00E10A6A">
      <w:pPr>
        <w:pStyle w:val="NoSpacing"/>
      </w:pPr>
      <w:r>
        <w:br w:type="page"/>
      </w:r>
    </w:p>
    <w:sdt>
      <w:sdtPr>
        <w:rPr>
          <w:rFonts w:ascii="Arial" w:hAnsi="Arial" w:cs="Arial"/>
          <w:b/>
          <w:bCs/>
          <w:sz w:val="30"/>
          <w:szCs w:val="30"/>
        </w:rPr>
        <w:id w:val="-192530781"/>
        <w:docPartObj>
          <w:docPartGallery w:val="Table of Contents"/>
          <w:docPartUnique/>
        </w:docPartObj>
      </w:sdtPr>
      <w:sdtEndPr>
        <w:rPr>
          <w:noProof/>
          <w:sz w:val="24"/>
          <w:szCs w:val="24"/>
        </w:rPr>
      </w:sdtEndPr>
      <w:sdtContent>
        <w:p w14:paraId="798FDC10" w14:textId="66474901" w:rsidR="00E10A6A" w:rsidRPr="003A2032" w:rsidRDefault="00E10A6A" w:rsidP="00E10A6A">
          <w:pPr>
            <w:pStyle w:val="NoSpacing"/>
            <w:rPr>
              <w:rFonts w:ascii="Arial" w:hAnsi="Arial" w:cs="Arial"/>
              <w:b/>
              <w:bCs/>
              <w:sz w:val="30"/>
              <w:szCs w:val="30"/>
            </w:rPr>
          </w:pPr>
          <w:r w:rsidRPr="003A2032">
            <w:rPr>
              <w:rFonts w:ascii="Arial" w:hAnsi="Arial" w:cs="Arial"/>
              <w:b/>
              <w:bCs/>
              <w:sz w:val="30"/>
              <w:szCs w:val="30"/>
            </w:rPr>
            <w:t>Table of Contents</w:t>
          </w:r>
        </w:p>
        <w:p w14:paraId="02064EE6" w14:textId="77777777" w:rsidR="003A2032" w:rsidRPr="002336DE" w:rsidRDefault="003A2032" w:rsidP="002336DE">
          <w:pPr>
            <w:pStyle w:val="TOC1"/>
            <w:spacing w:line="360" w:lineRule="auto"/>
            <w:rPr>
              <w:rFonts w:ascii="Arial" w:hAnsi="Arial" w:cs="Arial"/>
              <w:sz w:val="24"/>
              <w:szCs w:val="24"/>
            </w:rPr>
          </w:pPr>
        </w:p>
        <w:p w14:paraId="4E6153E8" w14:textId="20296C4B" w:rsidR="002336DE" w:rsidRPr="002336DE" w:rsidRDefault="00E10A6A" w:rsidP="002336DE">
          <w:pPr>
            <w:pStyle w:val="TOC1"/>
            <w:spacing w:line="360" w:lineRule="auto"/>
            <w:rPr>
              <w:rFonts w:ascii="Arial" w:eastAsiaTheme="minorEastAsia" w:hAnsi="Arial" w:cs="Arial"/>
              <w:noProof/>
              <w:sz w:val="24"/>
              <w:szCs w:val="24"/>
              <w:lang w:eastAsia="en-GB"/>
            </w:rPr>
          </w:pPr>
          <w:r w:rsidRPr="002336DE">
            <w:rPr>
              <w:rFonts w:ascii="Arial" w:hAnsi="Arial" w:cs="Arial"/>
              <w:sz w:val="24"/>
              <w:szCs w:val="24"/>
            </w:rPr>
            <w:fldChar w:fldCharType="begin"/>
          </w:r>
          <w:r w:rsidRPr="002336DE">
            <w:rPr>
              <w:rFonts w:ascii="Arial" w:hAnsi="Arial" w:cs="Arial"/>
              <w:sz w:val="24"/>
              <w:szCs w:val="24"/>
            </w:rPr>
            <w:instrText xml:space="preserve"> TOC \o "1-3" \h \z \u </w:instrText>
          </w:r>
          <w:r w:rsidRPr="002336DE">
            <w:rPr>
              <w:rFonts w:ascii="Arial" w:hAnsi="Arial" w:cs="Arial"/>
              <w:sz w:val="24"/>
              <w:szCs w:val="24"/>
            </w:rPr>
            <w:fldChar w:fldCharType="separate"/>
          </w:r>
          <w:hyperlink w:anchor="_Toc211543308" w:history="1">
            <w:r w:rsidR="002336DE" w:rsidRPr="002336DE">
              <w:rPr>
                <w:rStyle w:val="Hyperlink"/>
                <w:rFonts w:ascii="Arial" w:hAnsi="Arial" w:cs="Arial"/>
                <w:noProof/>
                <w:sz w:val="24"/>
                <w:szCs w:val="24"/>
              </w:rPr>
              <w:t>Introduction</w:t>
            </w:r>
            <w:r w:rsidR="002336DE" w:rsidRPr="002336DE">
              <w:rPr>
                <w:rFonts w:ascii="Arial" w:hAnsi="Arial" w:cs="Arial"/>
                <w:noProof/>
                <w:webHidden/>
                <w:sz w:val="24"/>
                <w:szCs w:val="24"/>
              </w:rPr>
              <w:tab/>
            </w:r>
            <w:r w:rsidR="002336DE" w:rsidRPr="002336DE">
              <w:rPr>
                <w:rFonts w:ascii="Arial" w:hAnsi="Arial" w:cs="Arial"/>
                <w:noProof/>
                <w:webHidden/>
                <w:sz w:val="24"/>
                <w:szCs w:val="24"/>
              </w:rPr>
              <w:fldChar w:fldCharType="begin"/>
            </w:r>
            <w:r w:rsidR="002336DE" w:rsidRPr="002336DE">
              <w:rPr>
                <w:rFonts w:ascii="Arial" w:hAnsi="Arial" w:cs="Arial"/>
                <w:noProof/>
                <w:webHidden/>
                <w:sz w:val="24"/>
                <w:szCs w:val="24"/>
              </w:rPr>
              <w:instrText xml:space="preserve"> PAGEREF _Toc211543308 \h </w:instrText>
            </w:r>
            <w:r w:rsidR="002336DE" w:rsidRPr="002336DE">
              <w:rPr>
                <w:rFonts w:ascii="Arial" w:hAnsi="Arial" w:cs="Arial"/>
                <w:noProof/>
                <w:webHidden/>
                <w:sz w:val="24"/>
                <w:szCs w:val="24"/>
              </w:rPr>
            </w:r>
            <w:r w:rsidR="002336DE" w:rsidRPr="002336DE">
              <w:rPr>
                <w:rFonts w:ascii="Arial" w:hAnsi="Arial" w:cs="Arial"/>
                <w:noProof/>
                <w:webHidden/>
                <w:sz w:val="24"/>
                <w:szCs w:val="24"/>
              </w:rPr>
              <w:fldChar w:fldCharType="separate"/>
            </w:r>
            <w:r w:rsidR="002336DE" w:rsidRPr="002336DE">
              <w:rPr>
                <w:rFonts w:ascii="Arial" w:hAnsi="Arial" w:cs="Arial"/>
                <w:noProof/>
                <w:webHidden/>
                <w:sz w:val="24"/>
                <w:szCs w:val="24"/>
              </w:rPr>
              <w:t>3</w:t>
            </w:r>
            <w:r w:rsidR="002336DE" w:rsidRPr="002336DE">
              <w:rPr>
                <w:rFonts w:ascii="Arial" w:hAnsi="Arial" w:cs="Arial"/>
                <w:noProof/>
                <w:webHidden/>
                <w:sz w:val="24"/>
                <w:szCs w:val="24"/>
              </w:rPr>
              <w:fldChar w:fldCharType="end"/>
            </w:r>
          </w:hyperlink>
        </w:p>
        <w:p w14:paraId="06DCC01B" w14:textId="6E629156" w:rsidR="002336DE" w:rsidRPr="002336DE" w:rsidRDefault="002336DE" w:rsidP="002336DE">
          <w:pPr>
            <w:pStyle w:val="TOC1"/>
            <w:spacing w:line="360" w:lineRule="auto"/>
            <w:rPr>
              <w:rFonts w:ascii="Arial" w:eastAsiaTheme="minorEastAsia" w:hAnsi="Arial" w:cs="Arial"/>
              <w:noProof/>
              <w:sz w:val="24"/>
              <w:szCs w:val="24"/>
              <w:lang w:eastAsia="en-GB"/>
            </w:rPr>
          </w:pPr>
          <w:hyperlink w:anchor="_Toc211543309" w:history="1">
            <w:r w:rsidRPr="002336DE">
              <w:rPr>
                <w:rStyle w:val="Hyperlink"/>
                <w:rFonts w:ascii="Arial" w:hAnsi="Arial" w:cs="Arial"/>
                <w:noProof/>
                <w:sz w:val="24"/>
                <w:szCs w:val="24"/>
              </w:rPr>
              <w:t>1. Technological Advancements</w:t>
            </w:r>
            <w:r w:rsidRPr="002336DE">
              <w:rPr>
                <w:rFonts w:ascii="Arial" w:hAnsi="Arial" w:cs="Arial"/>
                <w:noProof/>
                <w:webHidden/>
                <w:sz w:val="24"/>
                <w:szCs w:val="24"/>
              </w:rPr>
              <w:tab/>
            </w:r>
            <w:r w:rsidRPr="002336DE">
              <w:rPr>
                <w:rFonts w:ascii="Arial" w:hAnsi="Arial" w:cs="Arial"/>
                <w:noProof/>
                <w:webHidden/>
                <w:sz w:val="24"/>
                <w:szCs w:val="24"/>
              </w:rPr>
              <w:fldChar w:fldCharType="begin"/>
            </w:r>
            <w:r w:rsidRPr="002336DE">
              <w:rPr>
                <w:rFonts w:ascii="Arial" w:hAnsi="Arial" w:cs="Arial"/>
                <w:noProof/>
                <w:webHidden/>
                <w:sz w:val="24"/>
                <w:szCs w:val="24"/>
              </w:rPr>
              <w:instrText xml:space="preserve"> PAGEREF _Toc211543309 \h </w:instrText>
            </w:r>
            <w:r w:rsidRPr="002336DE">
              <w:rPr>
                <w:rFonts w:ascii="Arial" w:hAnsi="Arial" w:cs="Arial"/>
                <w:noProof/>
                <w:webHidden/>
                <w:sz w:val="24"/>
                <w:szCs w:val="24"/>
              </w:rPr>
            </w:r>
            <w:r w:rsidRPr="002336DE">
              <w:rPr>
                <w:rFonts w:ascii="Arial" w:hAnsi="Arial" w:cs="Arial"/>
                <w:noProof/>
                <w:webHidden/>
                <w:sz w:val="24"/>
                <w:szCs w:val="24"/>
              </w:rPr>
              <w:fldChar w:fldCharType="separate"/>
            </w:r>
            <w:r w:rsidRPr="002336DE">
              <w:rPr>
                <w:rFonts w:ascii="Arial" w:hAnsi="Arial" w:cs="Arial"/>
                <w:noProof/>
                <w:webHidden/>
                <w:sz w:val="24"/>
                <w:szCs w:val="24"/>
              </w:rPr>
              <w:t>4</w:t>
            </w:r>
            <w:r w:rsidRPr="002336DE">
              <w:rPr>
                <w:rFonts w:ascii="Arial" w:hAnsi="Arial" w:cs="Arial"/>
                <w:noProof/>
                <w:webHidden/>
                <w:sz w:val="24"/>
                <w:szCs w:val="24"/>
              </w:rPr>
              <w:fldChar w:fldCharType="end"/>
            </w:r>
          </w:hyperlink>
        </w:p>
        <w:p w14:paraId="5DC27099" w14:textId="67DF573B" w:rsidR="002336DE" w:rsidRPr="002336DE" w:rsidRDefault="002336DE" w:rsidP="002336DE">
          <w:pPr>
            <w:pStyle w:val="TOC1"/>
            <w:spacing w:line="360" w:lineRule="auto"/>
            <w:rPr>
              <w:rFonts w:ascii="Arial" w:eastAsiaTheme="minorEastAsia" w:hAnsi="Arial" w:cs="Arial"/>
              <w:noProof/>
              <w:sz w:val="24"/>
              <w:szCs w:val="24"/>
              <w:lang w:eastAsia="en-GB"/>
            </w:rPr>
          </w:pPr>
          <w:hyperlink w:anchor="_Toc211543310" w:history="1">
            <w:r w:rsidRPr="002336DE">
              <w:rPr>
                <w:rStyle w:val="Hyperlink"/>
                <w:rFonts w:ascii="Arial" w:hAnsi="Arial" w:cs="Arial"/>
                <w:noProof/>
                <w:sz w:val="24"/>
                <w:szCs w:val="24"/>
              </w:rPr>
              <w:t>2. Demographic &amp; Geopolitical Factors</w:t>
            </w:r>
            <w:r w:rsidRPr="002336DE">
              <w:rPr>
                <w:rFonts w:ascii="Arial" w:hAnsi="Arial" w:cs="Arial"/>
                <w:noProof/>
                <w:webHidden/>
                <w:sz w:val="24"/>
                <w:szCs w:val="24"/>
              </w:rPr>
              <w:tab/>
            </w:r>
            <w:r w:rsidRPr="002336DE">
              <w:rPr>
                <w:rFonts w:ascii="Arial" w:hAnsi="Arial" w:cs="Arial"/>
                <w:noProof/>
                <w:webHidden/>
                <w:sz w:val="24"/>
                <w:szCs w:val="24"/>
              </w:rPr>
              <w:fldChar w:fldCharType="begin"/>
            </w:r>
            <w:r w:rsidRPr="002336DE">
              <w:rPr>
                <w:rFonts w:ascii="Arial" w:hAnsi="Arial" w:cs="Arial"/>
                <w:noProof/>
                <w:webHidden/>
                <w:sz w:val="24"/>
                <w:szCs w:val="24"/>
              </w:rPr>
              <w:instrText xml:space="preserve"> PAGEREF _Toc211543310 \h </w:instrText>
            </w:r>
            <w:r w:rsidRPr="002336DE">
              <w:rPr>
                <w:rFonts w:ascii="Arial" w:hAnsi="Arial" w:cs="Arial"/>
                <w:noProof/>
                <w:webHidden/>
                <w:sz w:val="24"/>
                <w:szCs w:val="24"/>
              </w:rPr>
            </w:r>
            <w:r w:rsidRPr="002336DE">
              <w:rPr>
                <w:rFonts w:ascii="Arial" w:hAnsi="Arial" w:cs="Arial"/>
                <w:noProof/>
                <w:webHidden/>
                <w:sz w:val="24"/>
                <w:szCs w:val="24"/>
              </w:rPr>
              <w:fldChar w:fldCharType="separate"/>
            </w:r>
            <w:r w:rsidRPr="002336DE">
              <w:rPr>
                <w:rFonts w:ascii="Arial" w:hAnsi="Arial" w:cs="Arial"/>
                <w:noProof/>
                <w:webHidden/>
                <w:sz w:val="24"/>
                <w:szCs w:val="24"/>
              </w:rPr>
              <w:t>6</w:t>
            </w:r>
            <w:r w:rsidRPr="002336DE">
              <w:rPr>
                <w:rFonts w:ascii="Arial" w:hAnsi="Arial" w:cs="Arial"/>
                <w:noProof/>
                <w:webHidden/>
                <w:sz w:val="24"/>
                <w:szCs w:val="24"/>
              </w:rPr>
              <w:fldChar w:fldCharType="end"/>
            </w:r>
          </w:hyperlink>
        </w:p>
        <w:p w14:paraId="07667E8B" w14:textId="097DD56F" w:rsidR="002336DE" w:rsidRPr="002336DE" w:rsidRDefault="002336DE" w:rsidP="002336DE">
          <w:pPr>
            <w:pStyle w:val="TOC1"/>
            <w:spacing w:line="360" w:lineRule="auto"/>
            <w:rPr>
              <w:rFonts w:ascii="Arial" w:eastAsiaTheme="minorEastAsia" w:hAnsi="Arial" w:cs="Arial"/>
              <w:noProof/>
              <w:sz w:val="24"/>
              <w:szCs w:val="24"/>
              <w:lang w:eastAsia="en-GB"/>
            </w:rPr>
          </w:pPr>
          <w:hyperlink w:anchor="_Toc211543311" w:history="1">
            <w:r w:rsidRPr="002336DE">
              <w:rPr>
                <w:rStyle w:val="Hyperlink"/>
                <w:rFonts w:ascii="Arial" w:hAnsi="Arial" w:cs="Arial"/>
                <w:noProof/>
                <w:sz w:val="24"/>
                <w:szCs w:val="24"/>
              </w:rPr>
              <w:t>3. Skills Gaps &amp; Talent Shortages</w:t>
            </w:r>
            <w:r w:rsidRPr="002336DE">
              <w:rPr>
                <w:rFonts w:ascii="Arial" w:hAnsi="Arial" w:cs="Arial"/>
                <w:noProof/>
                <w:webHidden/>
                <w:sz w:val="24"/>
                <w:szCs w:val="24"/>
              </w:rPr>
              <w:tab/>
            </w:r>
            <w:r w:rsidRPr="002336DE">
              <w:rPr>
                <w:rFonts w:ascii="Arial" w:hAnsi="Arial" w:cs="Arial"/>
                <w:noProof/>
                <w:webHidden/>
                <w:sz w:val="24"/>
                <w:szCs w:val="24"/>
              </w:rPr>
              <w:fldChar w:fldCharType="begin"/>
            </w:r>
            <w:r w:rsidRPr="002336DE">
              <w:rPr>
                <w:rFonts w:ascii="Arial" w:hAnsi="Arial" w:cs="Arial"/>
                <w:noProof/>
                <w:webHidden/>
                <w:sz w:val="24"/>
                <w:szCs w:val="24"/>
              </w:rPr>
              <w:instrText xml:space="preserve"> PAGEREF _Toc211543311 \h </w:instrText>
            </w:r>
            <w:r w:rsidRPr="002336DE">
              <w:rPr>
                <w:rFonts w:ascii="Arial" w:hAnsi="Arial" w:cs="Arial"/>
                <w:noProof/>
                <w:webHidden/>
                <w:sz w:val="24"/>
                <w:szCs w:val="24"/>
              </w:rPr>
            </w:r>
            <w:r w:rsidRPr="002336DE">
              <w:rPr>
                <w:rFonts w:ascii="Arial" w:hAnsi="Arial" w:cs="Arial"/>
                <w:noProof/>
                <w:webHidden/>
                <w:sz w:val="24"/>
                <w:szCs w:val="24"/>
              </w:rPr>
              <w:fldChar w:fldCharType="separate"/>
            </w:r>
            <w:r w:rsidRPr="002336DE">
              <w:rPr>
                <w:rFonts w:ascii="Arial" w:hAnsi="Arial" w:cs="Arial"/>
                <w:noProof/>
                <w:webHidden/>
                <w:sz w:val="24"/>
                <w:szCs w:val="24"/>
              </w:rPr>
              <w:t>8</w:t>
            </w:r>
            <w:r w:rsidRPr="002336DE">
              <w:rPr>
                <w:rFonts w:ascii="Arial" w:hAnsi="Arial" w:cs="Arial"/>
                <w:noProof/>
                <w:webHidden/>
                <w:sz w:val="24"/>
                <w:szCs w:val="24"/>
              </w:rPr>
              <w:fldChar w:fldCharType="end"/>
            </w:r>
          </w:hyperlink>
        </w:p>
        <w:p w14:paraId="02114FA0" w14:textId="16DA4CFD" w:rsidR="002336DE" w:rsidRPr="002336DE" w:rsidRDefault="002336DE" w:rsidP="002336DE">
          <w:pPr>
            <w:pStyle w:val="TOC1"/>
            <w:spacing w:line="360" w:lineRule="auto"/>
            <w:rPr>
              <w:rFonts w:ascii="Arial" w:eastAsiaTheme="minorEastAsia" w:hAnsi="Arial" w:cs="Arial"/>
              <w:noProof/>
              <w:sz w:val="24"/>
              <w:szCs w:val="24"/>
              <w:lang w:eastAsia="en-GB"/>
            </w:rPr>
          </w:pPr>
          <w:hyperlink w:anchor="_Toc211543312" w:history="1">
            <w:r w:rsidRPr="002336DE">
              <w:rPr>
                <w:rStyle w:val="Hyperlink"/>
                <w:rFonts w:ascii="Arial" w:hAnsi="Arial" w:cs="Arial"/>
                <w:noProof/>
                <w:sz w:val="24"/>
                <w:szCs w:val="24"/>
              </w:rPr>
              <w:t>4. Reflective Self-Assessment</w:t>
            </w:r>
            <w:r w:rsidRPr="002336DE">
              <w:rPr>
                <w:rFonts w:ascii="Arial" w:hAnsi="Arial" w:cs="Arial"/>
                <w:noProof/>
                <w:webHidden/>
                <w:sz w:val="24"/>
                <w:szCs w:val="24"/>
              </w:rPr>
              <w:tab/>
            </w:r>
            <w:r w:rsidRPr="002336DE">
              <w:rPr>
                <w:rFonts w:ascii="Arial" w:hAnsi="Arial" w:cs="Arial"/>
                <w:noProof/>
                <w:webHidden/>
                <w:sz w:val="24"/>
                <w:szCs w:val="24"/>
              </w:rPr>
              <w:fldChar w:fldCharType="begin"/>
            </w:r>
            <w:r w:rsidRPr="002336DE">
              <w:rPr>
                <w:rFonts w:ascii="Arial" w:hAnsi="Arial" w:cs="Arial"/>
                <w:noProof/>
                <w:webHidden/>
                <w:sz w:val="24"/>
                <w:szCs w:val="24"/>
              </w:rPr>
              <w:instrText xml:space="preserve"> PAGEREF _Toc211543312 \h </w:instrText>
            </w:r>
            <w:r w:rsidRPr="002336DE">
              <w:rPr>
                <w:rFonts w:ascii="Arial" w:hAnsi="Arial" w:cs="Arial"/>
                <w:noProof/>
                <w:webHidden/>
                <w:sz w:val="24"/>
                <w:szCs w:val="24"/>
              </w:rPr>
            </w:r>
            <w:r w:rsidRPr="002336DE">
              <w:rPr>
                <w:rFonts w:ascii="Arial" w:hAnsi="Arial" w:cs="Arial"/>
                <w:noProof/>
                <w:webHidden/>
                <w:sz w:val="24"/>
                <w:szCs w:val="24"/>
              </w:rPr>
              <w:fldChar w:fldCharType="separate"/>
            </w:r>
            <w:r w:rsidRPr="002336DE">
              <w:rPr>
                <w:rFonts w:ascii="Arial" w:hAnsi="Arial" w:cs="Arial"/>
                <w:noProof/>
                <w:webHidden/>
                <w:sz w:val="24"/>
                <w:szCs w:val="24"/>
              </w:rPr>
              <w:t>10</w:t>
            </w:r>
            <w:r w:rsidRPr="002336DE">
              <w:rPr>
                <w:rFonts w:ascii="Arial" w:hAnsi="Arial" w:cs="Arial"/>
                <w:noProof/>
                <w:webHidden/>
                <w:sz w:val="24"/>
                <w:szCs w:val="24"/>
              </w:rPr>
              <w:fldChar w:fldCharType="end"/>
            </w:r>
          </w:hyperlink>
        </w:p>
        <w:p w14:paraId="6D285848" w14:textId="51C6C02F" w:rsidR="002336DE" w:rsidRPr="002336DE" w:rsidRDefault="002336DE" w:rsidP="002336DE">
          <w:pPr>
            <w:pStyle w:val="TOC1"/>
            <w:spacing w:line="360" w:lineRule="auto"/>
            <w:rPr>
              <w:rFonts w:ascii="Arial" w:eastAsiaTheme="minorEastAsia" w:hAnsi="Arial" w:cs="Arial"/>
              <w:noProof/>
              <w:sz w:val="24"/>
              <w:szCs w:val="24"/>
              <w:lang w:eastAsia="en-GB"/>
            </w:rPr>
          </w:pPr>
          <w:hyperlink w:anchor="_Toc211543313" w:history="1">
            <w:r w:rsidRPr="002336DE">
              <w:rPr>
                <w:rStyle w:val="Hyperlink"/>
                <w:rFonts w:ascii="Arial" w:hAnsi="Arial" w:cs="Arial"/>
                <w:noProof/>
                <w:sz w:val="24"/>
                <w:szCs w:val="24"/>
              </w:rPr>
              <w:t>Conclusion</w:t>
            </w:r>
            <w:r w:rsidRPr="002336DE">
              <w:rPr>
                <w:rFonts w:ascii="Arial" w:hAnsi="Arial" w:cs="Arial"/>
                <w:noProof/>
                <w:webHidden/>
                <w:sz w:val="24"/>
                <w:szCs w:val="24"/>
              </w:rPr>
              <w:tab/>
            </w:r>
            <w:r w:rsidRPr="002336DE">
              <w:rPr>
                <w:rFonts w:ascii="Arial" w:hAnsi="Arial" w:cs="Arial"/>
                <w:noProof/>
                <w:webHidden/>
                <w:sz w:val="24"/>
                <w:szCs w:val="24"/>
              </w:rPr>
              <w:fldChar w:fldCharType="begin"/>
            </w:r>
            <w:r w:rsidRPr="002336DE">
              <w:rPr>
                <w:rFonts w:ascii="Arial" w:hAnsi="Arial" w:cs="Arial"/>
                <w:noProof/>
                <w:webHidden/>
                <w:sz w:val="24"/>
                <w:szCs w:val="24"/>
              </w:rPr>
              <w:instrText xml:space="preserve"> PAGEREF _Toc211543313 \h </w:instrText>
            </w:r>
            <w:r w:rsidRPr="002336DE">
              <w:rPr>
                <w:rFonts w:ascii="Arial" w:hAnsi="Arial" w:cs="Arial"/>
                <w:noProof/>
                <w:webHidden/>
                <w:sz w:val="24"/>
                <w:szCs w:val="24"/>
              </w:rPr>
            </w:r>
            <w:r w:rsidRPr="002336DE">
              <w:rPr>
                <w:rFonts w:ascii="Arial" w:hAnsi="Arial" w:cs="Arial"/>
                <w:noProof/>
                <w:webHidden/>
                <w:sz w:val="24"/>
                <w:szCs w:val="24"/>
              </w:rPr>
              <w:fldChar w:fldCharType="separate"/>
            </w:r>
            <w:r w:rsidRPr="002336DE">
              <w:rPr>
                <w:rFonts w:ascii="Arial" w:hAnsi="Arial" w:cs="Arial"/>
                <w:noProof/>
                <w:webHidden/>
                <w:sz w:val="24"/>
                <w:szCs w:val="24"/>
              </w:rPr>
              <w:t>12</w:t>
            </w:r>
            <w:r w:rsidRPr="002336DE">
              <w:rPr>
                <w:rFonts w:ascii="Arial" w:hAnsi="Arial" w:cs="Arial"/>
                <w:noProof/>
                <w:webHidden/>
                <w:sz w:val="24"/>
                <w:szCs w:val="24"/>
              </w:rPr>
              <w:fldChar w:fldCharType="end"/>
            </w:r>
          </w:hyperlink>
        </w:p>
        <w:p w14:paraId="3FCFB3FA" w14:textId="18199F25" w:rsidR="002336DE" w:rsidRPr="002336DE" w:rsidRDefault="002336DE" w:rsidP="002336DE">
          <w:pPr>
            <w:pStyle w:val="TOC1"/>
            <w:spacing w:line="360" w:lineRule="auto"/>
            <w:rPr>
              <w:rFonts w:ascii="Arial" w:eastAsiaTheme="minorEastAsia" w:hAnsi="Arial" w:cs="Arial"/>
              <w:noProof/>
              <w:sz w:val="24"/>
              <w:szCs w:val="24"/>
              <w:lang w:eastAsia="en-GB"/>
            </w:rPr>
          </w:pPr>
          <w:hyperlink w:anchor="_Toc211543314" w:history="1">
            <w:r w:rsidRPr="002336DE">
              <w:rPr>
                <w:rStyle w:val="Hyperlink"/>
                <w:rFonts w:ascii="Arial" w:hAnsi="Arial" w:cs="Arial"/>
                <w:noProof/>
                <w:sz w:val="24"/>
                <w:szCs w:val="24"/>
              </w:rPr>
              <w:t>Reference</w:t>
            </w:r>
            <w:r w:rsidRPr="002336DE">
              <w:rPr>
                <w:rFonts w:ascii="Arial" w:hAnsi="Arial" w:cs="Arial"/>
                <w:noProof/>
                <w:webHidden/>
                <w:sz w:val="24"/>
                <w:szCs w:val="24"/>
              </w:rPr>
              <w:tab/>
            </w:r>
            <w:r w:rsidRPr="002336DE">
              <w:rPr>
                <w:rFonts w:ascii="Arial" w:hAnsi="Arial" w:cs="Arial"/>
                <w:noProof/>
                <w:webHidden/>
                <w:sz w:val="24"/>
                <w:szCs w:val="24"/>
              </w:rPr>
              <w:fldChar w:fldCharType="begin"/>
            </w:r>
            <w:r w:rsidRPr="002336DE">
              <w:rPr>
                <w:rFonts w:ascii="Arial" w:hAnsi="Arial" w:cs="Arial"/>
                <w:noProof/>
                <w:webHidden/>
                <w:sz w:val="24"/>
                <w:szCs w:val="24"/>
              </w:rPr>
              <w:instrText xml:space="preserve"> PAGEREF _Toc211543314 \h </w:instrText>
            </w:r>
            <w:r w:rsidRPr="002336DE">
              <w:rPr>
                <w:rFonts w:ascii="Arial" w:hAnsi="Arial" w:cs="Arial"/>
                <w:noProof/>
                <w:webHidden/>
                <w:sz w:val="24"/>
                <w:szCs w:val="24"/>
              </w:rPr>
            </w:r>
            <w:r w:rsidRPr="002336DE">
              <w:rPr>
                <w:rFonts w:ascii="Arial" w:hAnsi="Arial" w:cs="Arial"/>
                <w:noProof/>
                <w:webHidden/>
                <w:sz w:val="24"/>
                <w:szCs w:val="24"/>
              </w:rPr>
              <w:fldChar w:fldCharType="separate"/>
            </w:r>
            <w:r w:rsidRPr="002336DE">
              <w:rPr>
                <w:rFonts w:ascii="Arial" w:hAnsi="Arial" w:cs="Arial"/>
                <w:noProof/>
                <w:webHidden/>
                <w:sz w:val="24"/>
                <w:szCs w:val="24"/>
              </w:rPr>
              <w:t>14</w:t>
            </w:r>
            <w:r w:rsidRPr="002336DE">
              <w:rPr>
                <w:rFonts w:ascii="Arial" w:hAnsi="Arial" w:cs="Arial"/>
                <w:noProof/>
                <w:webHidden/>
                <w:sz w:val="24"/>
                <w:szCs w:val="24"/>
              </w:rPr>
              <w:fldChar w:fldCharType="end"/>
            </w:r>
          </w:hyperlink>
        </w:p>
        <w:p w14:paraId="1EFA3A31" w14:textId="1E3844EE" w:rsidR="00E10A6A" w:rsidRDefault="00E10A6A" w:rsidP="002336DE">
          <w:pPr>
            <w:pStyle w:val="NoSpacing"/>
            <w:spacing w:line="360" w:lineRule="auto"/>
            <w:rPr>
              <w:rFonts w:ascii="Arial" w:hAnsi="Arial" w:cs="Arial"/>
              <w:b/>
              <w:bCs/>
              <w:noProof/>
              <w:sz w:val="24"/>
              <w:szCs w:val="24"/>
            </w:rPr>
          </w:pPr>
          <w:r w:rsidRPr="002336DE">
            <w:rPr>
              <w:rFonts w:ascii="Arial" w:hAnsi="Arial" w:cs="Arial"/>
              <w:noProof/>
              <w:sz w:val="24"/>
              <w:szCs w:val="24"/>
            </w:rPr>
            <w:fldChar w:fldCharType="end"/>
          </w:r>
        </w:p>
      </w:sdtContent>
    </w:sdt>
    <w:p w14:paraId="3CBD0A8B" w14:textId="77777777" w:rsidR="008C0F69" w:rsidRDefault="008C0F69" w:rsidP="00E10A6A">
      <w:pPr>
        <w:pStyle w:val="NoSpacing"/>
      </w:pPr>
    </w:p>
    <w:p w14:paraId="686EBDD9" w14:textId="3FA7C474" w:rsidR="00E10A6A" w:rsidRDefault="00E10A6A" w:rsidP="00E10A6A">
      <w:pPr>
        <w:pStyle w:val="NoSpacing"/>
      </w:pPr>
      <w:r>
        <w:br w:type="page"/>
      </w:r>
    </w:p>
    <w:p w14:paraId="644EABA8" w14:textId="28F00979" w:rsidR="00E10A6A" w:rsidRPr="00E10A6A" w:rsidRDefault="00E10A6A" w:rsidP="00E10A6A">
      <w:pPr>
        <w:pStyle w:val="Heading1"/>
        <w:rPr>
          <w:rFonts w:ascii="Arial" w:hAnsi="Arial" w:cs="Arial"/>
          <w:b/>
          <w:bCs/>
          <w:color w:val="000000" w:themeColor="text1"/>
          <w:sz w:val="30"/>
          <w:szCs w:val="30"/>
        </w:rPr>
      </w:pPr>
      <w:bookmarkStart w:id="0" w:name="_Toc211543308"/>
      <w:r w:rsidRPr="00E10A6A">
        <w:rPr>
          <w:rFonts w:ascii="Arial" w:hAnsi="Arial" w:cs="Arial"/>
          <w:b/>
          <w:bCs/>
          <w:color w:val="000000" w:themeColor="text1"/>
          <w:sz w:val="30"/>
          <w:szCs w:val="30"/>
        </w:rPr>
        <w:lastRenderedPageBreak/>
        <w:t>Introduction</w:t>
      </w:r>
      <w:bookmarkEnd w:id="0"/>
    </w:p>
    <w:p w14:paraId="391C28F1" w14:textId="77777777" w:rsidR="00E10A6A" w:rsidRPr="00E10A6A" w:rsidRDefault="00E10A6A" w:rsidP="00E10A6A">
      <w:pPr>
        <w:pStyle w:val="NoSpacing"/>
        <w:spacing w:line="360" w:lineRule="auto"/>
        <w:jc w:val="both"/>
        <w:rPr>
          <w:rFonts w:ascii="Arial" w:hAnsi="Arial" w:cs="Arial"/>
          <w:sz w:val="24"/>
          <w:szCs w:val="24"/>
        </w:rPr>
      </w:pPr>
    </w:p>
    <w:p w14:paraId="07EC079B" w14:textId="58A65A39" w:rsidR="00D57995" w:rsidRPr="00B96851" w:rsidRDefault="00D57995" w:rsidP="00D57995">
      <w:pPr>
        <w:pStyle w:val="NoSpacing"/>
        <w:spacing w:line="360" w:lineRule="auto"/>
        <w:jc w:val="both"/>
        <w:rPr>
          <w:rFonts w:ascii="Arial" w:hAnsi="Arial" w:cs="Arial"/>
          <w:sz w:val="24"/>
          <w:szCs w:val="24"/>
        </w:rPr>
      </w:pPr>
      <w:r w:rsidRPr="00B96851">
        <w:rPr>
          <w:rFonts w:ascii="Arial" w:hAnsi="Arial" w:cs="Arial"/>
          <w:sz w:val="24"/>
          <w:szCs w:val="24"/>
        </w:rPr>
        <w:t xml:space="preserve">Human Resource Management (HRM) denotes a strategic and cohesive methodology for the effective and efficient administration of personnel within a company, with the objective of aligning workforce competencies with corporate objectives (Wikipedia Contributors 2025). Human Resource Management encompasses recruitment, training and development, performance management, compensation, and retention strategies, all aimed at optimising human capital (A Simplified Study of Definitions, 2021).  Conversely, International Human Resource Management (IHRM) broadens these tasks beyond national borders, overseeing personnel in several nations and addressing varying legal, cultural, and institutional frameworks (Taylor, Beechler &amp; Napier, 1996). </w:t>
      </w:r>
      <w:r w:rsidR="0080793A">
        <w:rPr>
          <w:rFonts w:ascii="Arial" w:hAnsi="Arial" w:cs="Arial"/>
          <w:sz w:val="24"/>
          <w:szCs w:val="24"/>
        </w:rPr>
        <w:t xml:space="preserve"> </w:t>
      </w:r>
      <w:r w:rsidRPr="00B96851">
        <w:rPr>
          <w:rFonts w:ascii="Arial" w:hAnsi="Arial" w:cs="Arial"/>
          <w:sz w:val="24"/>
          <w:szCs w:val="24"/>
        </w:rPr>
        <w:t>Warner (2005) emphasises that IHRM signifies the global advancement of people-management systems, whereby comparative industrial relations and international labour practices intersect to tackle the intricacies of multinational operations.</w:t>
      </w:r>
    </w:p>
    <w:p w14:paraId="653BAE68" w14:textId="14D30D85" w:rsidR="00421727" w:rsidRPr="00421727" w:rsidRDefault="009720F5" w:rsidP="00421727">
      <w:pPr>
        <w:pStyle w:val="NoSpacing"/>
        <w:spacing w:line="360" w:lineRule="auto"/>
        <w:jc w:val="center"/>
        <w:rPr>
          <w:rFonts w:ascii="Arial" w:hAnsi="Arial" w:cs="Arial"/>
          <w:sz w:val="18"/>
          <w:szCs w:val="18"/>
        </w:rPr>
      </w:pPr>
      <w:r>
        <w:rPr>
          <w:rFonts w:ascii="Arial" w:hAnsi="Arial" w:cs="Arial"/>
          <w:noProof/>
          <w:sz w:val="24"/>
          <w:szCs w:val="24"/>
        </w:rPr>
        <w:drawing>
          <wp:inline distT="0" distB="0" distL="0" distR="0" wp14:anchorId="1A2F61C0" wp14:editId="5FC2FAE1">
            <wp:extent cx="5505450" cy="3096816"/>
            <wp:effectExtent l="57150" t="0" r="285750" b="447040"/>
            <wp:docPr id="4648420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66718" cy="3131279"/>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hyperlink r:id="rId8" w:history="1">
        <w:r w:rsidR="00421727" w:rsidRPr="00421727">
          <w:rPr>
            <w:rStyle w:val="Hyperlink"/>
            <w:rFonts w:ascii="Arial" w:hAnsi="Arial" w:cs="Arial"/>
            <w:sz w:val="18"/>
            <w:szCs w:val="18"/>
          </w:rPr>
          <w:t>https://www.rapid.one/blog/domestic-hrm-vs-international-hrm</w:t>
        </w:r>
      </w:hyperlink>
    </w:p>
    <w:p w14:paraId="2BACEA3F" w14:textId="77777777" w:rsidR="00421727" w:rsidRDefault="00421727" w:rsidP="003A2032">
      <w:pPr>
        <w:pStyle w:val="NoSpacing"/>
        <w:spacing w:line="360" w:lineRule="auto"/>
        <w:jc w:val="both"/>
        <w:rPr>
          <w:rFonts w:ascii="Arial" w:hAnsi="Arial" w:cs="Arial"/>
          <w:sz w:val="24"/>
          <w:szCs w:val="24"/>
        </w:rPr>
      </w:pPr>
    </w:p>
    <w:p w14:paraId="6AC522DD" w14:textId="76F557FC" w:rsidR="003A2032" w:rsidRDefault="00D57995" w:rsidP="003A2032">
      <w:pPr>
        <w:pStyle w:val="NoSpacing"/>
        <w:spacing w:line="360" w:lineRule="auto"/>
        <w:jc w:val="both"/>
        <w:rPr>
          <w:rFonts w:ascii="Arial" w:hAnsi="Arial" w:cs="Arial"/>
          <w:sz w:val="24"/>
          <w:szCs w:val="24"/>
        </w:rPr>
      </w:pPr>
      <w:r w:rsidRPr="00D57995">
        <w:rPr>
          <w:rFonts w:ascii="Arial" w:hAnsi="Arial" w:cs="Arial"/>
          <w:sz w:val="24"/>
          <w:szCs w:val="24"/>
        </w:rPr>
        <w:t>The goal of this paper is to look into how changes in the labour market brought on by technology, demographics, and skills gaps affect modern HR and IHRM tactics.  The paper will critically analyse four essential domains</w:t>
      </w:r>
      <w:r w:rsidR="003A2032" w:rsidRPr="003A2032">
        <w:rPr>
          <w:rFonts w:ascii="Arial" w:hAnsi="Arial" w:cs="Arial"/>
          <w:sz w:val="24"/>
          <w:szCs w:val="24"/>
        </w:rPr>
        <w:t xml:space="preserve">: (1) technological advancement’s </w:t>
      </w:r>
      <w:r w:rsidR="003A2032" w:rsidRPr="003A2032">
        <w:rPr>
          <w:rFonts w:ascii="Arial" w:hAnsi="Arial" w:cs="Arial"/>
          <w:sz w:val="24"/>
          <w:szCs w:val="24"/>
        </w:rPr>
        <w:lastRenderedPageBreak/>
        <w:t>impact on labour and HR strategies, (2) demographic and geopolitical forces affecting workforce dynamics, (3) strategies to address talent shortages and skills gaps, and (4) a personal reflective self-assessment linking the theory to my own growth as an aspiring HR professional. Through this structure, I intend to show how labour-market forces compel HR leaders to adapt strategically. The report now proceeds by first examining technology and innovation in labour markets.</w:t>
      </w:r>
    </w:p>
    <w:p w14:paraId="3813EC9C" w14:textId="77777777" w:rsidR="00421727" w:rsidRDefault="00421727" w:rsidP="00421727">
      <w:pPr>
        <w:rPr>
          <w:rFonts w:ascii="Arial" w:hAnsi="Arial" w:cs="Arial"/>
          <w:sz w:val="24"/>
          <w:szCs w:val="24"/>
        </w:rPr>
      </w:pPr>
    </w:p>
    <w:p w14:paraId="576720CA" w14:textId="1DB432DA" w:rsidR="003877EE" w:rsidRPr="00421727" w:rsidRDefault="00B7094F" w:rsidP="00421727">
      <w:pPr>
        <w:pStyle w:val="Heading1"/>
        <w:rPr>
          <w:rFonts w:ascii="Arial" w:hAnsi="Arial" w:cs="Arial"/>
          <w:b/>
          <w:bCs/>
          <w:color w:val="000000" w:themeColor="text1"/>
          <w:sz w:val="30"/>
          <w:szCs w:val="30"/>
        </w:rPr>
      </w:pPr>
      <w:bookmarkStart w:id="1" w:name="_Toc211543309"/>
      <w:r>
        <w:rPr>
          <w:rFonts w:ascii="Arial" w:hAnsi="Arial" w:cs="Arial"/>
          <w:b/>
          <w:bCs/>
          <w:color w:val="000000" w:themeColor="text1"/>
          <w:sz w:val="30"/>
          <w:szCs w:val="30"/>
        </w:rPr>
        <w:t>1</w:t>
      </w:r>
      <w:r w:rsidR="003877EE" w:rsidRPr="00421727">
        <w:rPr>
          <w:rFonts w:ascii="Arial" w:hAnsi="Arial" w:cs="Arial"/>
          <w:b/>
          <w:bCs/>
          <w:color w:val="000000" w:themeColor="text1"/>
          <w:sz w:val="30"/>
          <w:szCs w:val="30"/>
        </w:rPr>
        <w:t>. Technological Advancements</w:t>
      </w:r>
      <w:bookmarkEnd w:id="1"/>
    </w:p>
    <w:p w14:paraId="271B9D81" w14:textId="77777777" w:rsidR="003877EE" w:rsidRDefault="003877EE" w:rsidP="003877EE">
      <w:pPr>
        <w:pStyle w:val="NoSpacing"/>
        <w:spacing w:line="360" w:lineRule="auto"/>
        <w:jc w:val="both"/>
        <w:rPr>
          <w:rFonts w:ascii="Arial" w:hAnsi="Arial" w:cs="Arial"/>
          <w:sz w:val="24"/>
          <w:szCs w:val="24"/>
        </w:rPr>
      </w:pPr>
    </w:p>
    <w:p w14:paraId="36B15977" w14:textId="40F45A10" w:rsidR="003A2032" w:rsidRDefault="00D57995" w:rsidP="003877EE">
      <w:pPr>
        <w:pStyle w:val="NoSpacing"/>
        <w:spacing w:line="360" w:lineRule="auto"/>
        <w:jc w:val="both"/>
        <w:rPr>
          <w:rFonts w:ascii="Arial" w:hAnsi="Arial" w:cs="Arial"/>
          <w:sz w:val="24"/>
          <w:szCs w:val="24"/>
        </w:rPr>
      </w:pPr>
      <w:r w:rsidRPr="00D57995">
        <w:rPr>
          <w:rFonts w:ascii="Arial" w:hAnsi="Arial" w:cs="Arial"/>
          <w:sz w:val="24"/>
          <w:szCs w:val="24"/>
        </w:rPr>
        <w:t>Technological advancement has emerged as a pivotal influence transforming labour marketplaces and human resource policies.</w:t>
      </w:r>
      <w:r w:rsidR="0080793A">
        <w:rPr>
          <w:rFonts w:ascii="Arial" w:hAnsi="Arial" w:cs="Arial"/>
          <w:sz w:val="24"/>
          <w:szCs w:val="24"/>
        </w:rPr>
        <w:t xml:space="preserve"> </w:t>
      </w:r>
      <w:r w:rsidRPr="00D57995">
        <w:rPr>
          <w:rFonts w:ascii="Arial" w:hAnsi="Arial" w:cs="Arial"/>
          <w:sz w:val="24"/>
          <w:szCs w:val="24"/>
        </w:rPr>
        <w:t>Schumpeter’s innovation theory, particularly the notion of creative destruction, serves as a valuable theoretical framework, illustrating how emerging technologies disrupt established business models, render current jobs obsolete, and compel organisations to reconfigure work structures (Investopedia, n.d.; Bodrožić &amp; Adler, 2022).</w:t>
      </w:r>
      <w:r w:rsidR="0080793A">
        <w:rPr>
          <w:rFonts w:ascii="Arial" w:hAnsi="Arial" w:cs="Arial"/>
          <w:sz w:val="24"/>
          <w:szCs w:val="24"/>
        </w:rPr>
        <w:t xml:space="preserve"> </w:t>
      </w:r>
      <w:r w:rsidRPr="00D57995">
        <w:rPr>
          <w:rFonts w:ascii="Arial" w:hAnsi="Arial" w:cs="Arial"/>
          <w:sz w:val="24"/>
          <w:szCs w:val="24"/>
        </w:rPr>
        <w:t>In Human Resource Management, this results in automation and artificial intelligence supplanting ordinary jobs while also generating new job categories, necessitating strategic responses from HR.  In addition, Digital HRM frameworks underscore the utilisation of HR data, cloud-based HR systems, AI-driven decision support, virtual collaboration tools, and digital learning platforms (</w:t>
      </w:r>
      <w:proofErr w:type="spellStart"/>
      <w:r w:rsidRPr="00D57995">
        <w:rPr>
          <w:rFonts w:ascii="Arial" w:hAnsi="Arial" w:cs="Arial"/>
          <w:sz w:val="24"/>
          <w:szCs w:val="24"/>
        </w:rPr>
        <w:t>Jotabá</w:t>
      </w:r>
      <w:proofErr w:type="spellEnd"/>
      <w:r w:rsidRPr="00D57995">
        <w:rPr>
          <w:rFonts w:ascii="Arial" w:hAnsi="Arial" w:cs="Arial"/>
          <w:sz w:val="24"/>
          <w:szCs w:val="24"/>
        </w:rPr>
        <w:t>, Fernandes, Gunkel &amp; Kraus, 2022).</w:t>
      </w:r>
    </w:p>
    <w:p w14:paraId="51BCE5B2" w14:textId="77777777" w:rsidR="00D57995" w:rsidRPr="003877EE" w:rsidRDefault="00D57995" w:rsidP="003877EE">
      <w:pPr>
        <w:pStyle w:val="NoSpacing"/>
        <w:spacing w:line="360" w:lineRule="auto"/>
        <w:jc w:val="both"/>
        <w:rPr>
          <w:rFonts w:ascii="Arial" w:hAnsi="Arial" w:cs="Arial"/>
          <w:sz w:val="24"/>
          <w:szCs w:val="24"/>
        </w:rPr>
      </w:pPr>
    </w:p>
    <w:p w14:paraId="3BBD114B" w14:textId="0D44615C" w:rsidR="00BA1FA5" w:rsidRPr="003877EE" w:rsidRDefault="002E7988" w:rsidP="003877EE">
      <w:pPr>
        <w:pStyle w:val="NoSpacing"/>
        <w:spacing w:line="360" w:lineRule="auto"/>
        <w:jc w:val="both"/>
        <w:rPr>
          <w:rFonts w:ascii="Arial" w:hAnsi="Arial" w:cs="Arial"/>
          <w:sz w:val="24"/>
          <w:szCs w:val="24"/>
        </w:rPr>
      </w:pPr>
      <w:r w:rsidRPr="002E7988">
        <w:rPr>
          <w:rFonts w:ascii="Arial" w:hAnsi="Arial" w:cs="Arial"/>
          <w:sz w:val="24"/>
          <w:szCs w:val="24"/>
        </w:rPr>
        <w:t>Automation and artificial intelligence are transforming employment frameworks by substituting repetitive and administrative tasks with algorithmic and robotic technologies. Repetitive HR processes</w:t>
      </w:r>
      <w:r>
        <w:rPr>
          <w:rFonts w:ascii="Arial" w:hAnsi="Arial" w:cs="Arial"/>
          <w:sz w:val="24"/>
          <w:szCs w:val="24"/>
        </w:rPr>
        <w:t xml:space="preserve"> </w:t>
      </w:r>
      <w:r w:rsidRPr="002E7988">
        <w:rPr>
          <w:rFonts w:ascii="Arial" w:hAnsi="Arial" w:cs="Arial"/>
          <w:sz w:val="24"/>
          <w:szCs w:val="24"/>
        </w:rPr>
        <w:t>such as payroll, initial candidate screening, and attendance management</w:t>
      </w:r>
      <w:r>
        <w:rPr>
          <w:rFonts w:ascii="Arial" w:hAnsi="Arial" w:cs="Arial"/>
          <w:sz w:val="24"/>
          <w:szCs w:val="24"/>
        </w:rPr>
        <w:t xml:space="preserve"> </w:t>
      </w:r>
      <w:r w:rsidRPr="002E7988">
        <w:rPr>
          <w:rFonts w:ascii="Arial" w:hAnsi="Arial" w:cs="Arial"/>
          <w:sz w:val="24"/>
          <w:szCs w:val="24"/>
        </w:rPr>
        <w:t xml:space="preserve">are now administered by intelligent technologies, allowing HR professionals to focus on strategic priorities such workforce planning, engagement, and culture development (De Alwis, </w:t>
      </w:r>
      <w:proofErr w:type="spellStart"/>
      <w:r w:rsidRPr="002E7988">
        <w:rPr>
          <w:rFonts w:ascii="Arial" w:hAnsi="Arial" w:cs="Arial"/>
          <w:sz w:val="24"/>
          <w:szCs w:val="24"/>
        </w:rPr>
        <w:t>Andrlić</w:t>
      </w:r>
      <w:proofErr w:type="spellEnd"/>
      <w:r w:rsidRPr="002E7988">
        <w:rPr>
          <w:rFonts w:ascii="Arial" w:hAnsi="Arial" w:cs="Arial"/>
          <w:sz w:val="24"/>
          <w:szCs w:val="24"/>
        </w:rPr>
        <w:t xml:space="preserve"> &amp; </w:t>
      </w:r>
      <w:proofErr w:type="spellStart"/>
      <w:r w:rsidRPr="002E7988">
        <w:rPr>
          <w:rFonts w:ascii="Arial" w:hAnsi="Arial" w:cs="Arial"/>
          <w:sz w:val="24"/>
          <w:szCs w:val="24"/>
        </w:rPr>
        <w:t>Šostar</w:t>
      </w:r>
      <w:proofErr w:type="spellEnd"/>
      <w:r w:rsidRPr="002E7988">
        <w:rPr>
          <w:rFonts w:ascii="Arial" w:hAnsi="Arial" w:cs="Arial"/>
          <w:sz w:val="24"/>
          <w:szCs w:val="24"/>
        </w:rPr>
        <w:t>, 2022). The swift proliferation of remote and hybrid work propels digital transformation:</w:t>
      </w:r>
      <w:r w:rsidR="0080793A">
        <w:rPr>
          <w:rFonts w:ascii="Arial" w:hAnsi="Arial" w:cs="Arial"/>
          <w:sz w:val="24"/>
          <w:szCs w:val="24"/>
        </w:rPr>
        <w:t xml:space="preserve"> </w:t>
      </w:r>
      <w:r w:rsidRPr="002E7988">
        <w:rPr>
          <w:rFonts w:ascii="Arial" w:hAnsi="Arial" w:cs="Arial"/>
          <w:sz w:val="24"/>
          <w:szCs w:val="24"/>
        </w:rPr>
        <w:t>Human Resources must adopt new methods for online onboarding, virtual performance evaluations, and remote employee wellness monitoring.</w:t>
      </w:r>
      <w:r w:rsidR="0080793A">
        <w:rPr>
          <w:rFonts w:ascii="Arial" w:hAnsi="Arial" w:cs="Arial"/>
          <w:sz w:val="24"/>
          <w:szCs w:val="24"/>
        </w:rPr>
        <w:t xml:space="preserve"> </w:t>
      </w:r>
      <w:r w:rsidRPr="002E7988">
        <w:rPr>
          <w:rFonts w:ascii="Arial" w:hAnsi="Arial" w:cs="Arial"/>
          <w:sz w:val="24"/>
          <w:szCs w:val="24"/>
        </w:rPr>
        <w:t>These advancements necessitate that HR managers adjust by reconfiguring job descriptions, restructuring workflows, and cultivating digital competences throughout the company.</w:t>
      </w:r>
    </w:p>
    <w:p w14:paraId="283F9319" w14:textId="61BA115E" w:rsidR="00756127" w:rsidRDefault="002E7988" w:rsidP="003877EE">
      <w:pPr>
        <w:pStyle w:val="NoSpacing"/>
        <w:spacing w:line="360" w:lineRule="auto"/>
        <w:jc w:val="both"/>
        <w:rPr>
          <w:rFonts w:ascii="Arial" w:hAnsi="Arial" w:cs="Arial"/>
          <w:sz w:val="24"/>
          <w:szCs w:val="24"/>
        </w:rPr>
      </w:pPr>
      <w:r w:rsidRPr="002E7988">
        <w:rPr>
          <w:rFonts w:ascii="Arial" w:hAnsi="Arial" w:cs="Arial"/>
          <w:sz w:val="24"/>
          <w:szCs w:val="24"/>
        </w:rPr>
        <w:lastRenderedPageBreak/>
        <w:t xml:space="preserve">Consequently, HRM must evolve through reskilling and upskilling initiatives, </w:t>
      </w:r>
      <w:r w:rsidR="00D76C33" w:rsidRPr="00D76C33">
        <w:rPr>
          <w:rFonts w:ascii="Arial" w:hAnsi="Arial" w:cs="Arial"/>
          <w:sz w:val="24"/>
          <w:szCs w:val="24"/>
        </w:rPr>
        <w:t>focusing</w:t>
      </w:r>
      <w:r w:rsidR="00D76C33">
        <w:rPr>
          <w:rFonts w:ascii="Arial" w:hAnsi="Arial" w:cs="Arial"/>
          <w:sz w:val="24"/>
          <w:szCs w:val="24"/>
        </w:rPr>
        <w:t xml:space="preserve"> </w:t>
      </w:r>
      <w:r w:rsidRPr="002E7988">
        <w:rPr>
          <w:rFonts w:ascii="Arial" w:hAnsi="Arial" w:cs="Arial"/>
          <w:sz w:val="24"/>
          <w:szCs w:val="24"/>
        </w:rPr>
        <w:t>on training employees in digital literacy, AI management, data analytics, virtual leadership, and remote collaboration. Organisations must integrate AI ethics and governance into their strategies.</w:t>
      </w:r>
      <w:r w:rsidR="0080793A">
        <w:rPr>
          <w:rFonts w:ascii="Arial" w:hAnsi="Arial" w:cs="Arial"/>
          <w:sz w:val="24"/>
          <w:szCs w:val="24"/>
        </w:rPr>
        <w:t xml:space="preserve"> </w:t>
      </w:r>
      <w:r w:rsidRPr="002E7988">
        <w:rPr>
          <w:rFonts w:ascii="Arial" w:hAnsi="Arial" w:cs="Arial"/>
          <w:sz w:val="24"/>
          <w:szCs w:val="24"/>
        </w:rPr>
        <w:t>Varma, Dawkins, and Chaudhuri (2023) critically evaluate the potential of AI applications in personnel management to perpetuate bias, undermine fairness, and diminish trust if not properly regulated. They assert that ethical frameworks for AI in human resources must prioritise transparency, accountability, and employee privacy to uphold equity and trust.  Ethical considerations encompass the mitigation of algorithmic bias, the protection of data privacy, the assurance of transparency, and the safeguarding of employees' dignity and agency across various demographic groups (Varma, Dawkins &amp; Chaudhuri, 2023).</w:t>
      </w:r>
    </w:p>
    <w:p w14:paraId="5172F392" w14:textId="77777777" w:rsidR="002E7988" w:rsidRPr="003877EE" w:rsidRDefault="002E7988" w:rsidP="003877EE">
      <w:pPr>
        <w:pStyle w:val="NoSpacing"/>
        <w:spacing w:line="360" w:lineRule="auto"/>
        <w:jc w:val="both"/>
        <w:rPr>
          <w:rFonts w:ascii="Arial" w:hAnsi="Arial" w:cs="Arial"/>
          <w:sz w:val="24"/>
          <w:szCs w:val="24"/>
        </w:rPr>
      </w:pPr>
    </w:p>
    <w:p w14:paraId="4CCBCFCC" w14:textId="20A09434" w:rsidR="003A2032" w:rsidRDefault="00B57FEF" w:rsidP="003877EE">
      <w:pPr>
        <w:pStyle w:val="NoSpacing"/>
        <w:spacing w:line="360" w:lineRule="auto"/>
        <w:jc w:val="both"/>
        <w:rPr>
          <w:rFonts w:ascii="Arial" w:hAnsi="Arial" w:cs="Arial"/>
          <w:sz w:val="24"/>
          <w:szCs w:val="24"/>
        </w:rPr>
      </w:pPr>
      <w:r w:rsidRPr="00B57FEF">
        <w:rPr>
          <w:rFonts w:ascii="Arial" w:hAnsi="Arial" w:cs="Arial"/>
          <w:sz w:val="24"/>
          <w:szCs w:val="24"/>
        </w:rPr>
        <w:t>Human Resource Management may also assist in educating individuals on becoming digital leaders.</w:t>
      </w:r>
      <w:r w:rsidR="0080793A">
        <w:rPr>
          <w:rFonts w:ascii="Arial" w:hAnsi="Arial" w:cs="Arial"/>
          <w:sz w:val="24"/>
          <w:szCs w:val="24"/>
        </w:rPr>
        <w:t xml:space="preserve"> </w:t>
      </w:r>
      <w:r w:rsidRPr="00B57FEF">
        <w:rPr>
          <w:rFonts w:ascii="Arial" w:hAnsi="Arial" w:cs="Arial"/>
          <w:sz w:val="24"/>
          <w:szCs w:val="24"/>
        </w:rPr>
        <w:t>Leaders must effectively guide teams operating from various locations, navigate the transformations induced by automation, communicate proficiently in digital environments, and ensure universal technological accessibility.</w:t>
      </w:r>
      <w:r w:rsidR="0080793A">
        <w:rPr>
          <w:rFonts w:ascii="Arial" w:hAnsi="Arial" w:cs="Arial"/>
          <w:sz w:val="24"/>
          <w:szCs w:val="24"/>
        </w:rPr>
        <w:t xml:space="preserve"> </w:t>
      </w:r>
      <w:r w:rsidRPr="00B57FEF">
        <w:rPr>
          <w:rFonts w:ascii="Arial" w:hAnsi="Arial" w:cs="Arial"/>
          <w:sz w:val="24"/>
          <w:szCs w:val="24"/>
        </w:rPr>
        <w:t>To expedite the recruitment process, corporations such as Amazon have invested in AI hiring tools, chatbots, and virtual assistants. However, these technologies require oversight and guidance to ensure that applicants have a positive experience and that any ethical concerns are addressed.</w:t>
      </w:r>
    </w:p>
    <w:p w14:paraId="45610FB2" w14:textId="77777777" w:rsidR="00B57FEF" w:rsidRPr="003877EE" w:rsidRDefault="00B57FEF" w:rsidP="003877EE">
      <w:pPr>
        <w:pStyle w:val="NoSpacing"/>
        <w:spacing w:line="360" w:lineRule="auto"/>
        <w:jc w:val="both"/>
        <w:rPr>
          <w:rFonts w:ascii="Arial" w:hAnsi="Arial" w:cs="Arial"/>
          <w:sz w:val="24"/>
          <w:szCs w:val="24"/>
        </w:rPr>
      </w:pPr>
    </w:p>
    <w:p w14:paraId="5EF61589" w14:textId="17FCCF42" w:rsidR="003A2032" w:rsidRDefault="00B57FEF" w:rsidP="003877EE">
      <w:pPr>
        <w:pStyle w:val="NoSpacing"/>
        <w:spacing w:line="360" w:lineRule="auto"/>
        <w:jc w:val="both"/>
        <w:rPr>
          <w:rFonts w:ascii="Arial" w:hAnsi="Arial" w:cs="Arial"/>
          <w:sz w:val="24"/>
          <w:szCs w:val="24"/>
        </w:rPr>
      </w:pPr>
      <w:r w:rsidRPr="00B57FEF">
        <w:rPr>
          <w:rFonts w:ascii="Arial" w:hAnsi="Arial" w:cs="Arial"/>
          <w:sz w:val="24"/>
          <w:szCs w:val="24"/>
        </w:rPr>
        <w:t>A recent poll in the UK called "Adopting HR Technologies: An Organisational Imperative" found that more than 80% of the companies that took part plan to use AI to hire new employees. There were also big increases in onboarding, training, performance management, and virtual assistants. This shows that a lot of businesses are using digital HR systems to meet market needs and be more responsive.</w:t>
      </w:r>
    </w:p>
    <w:p w14:paraId="7A7FBC29" w14:textId="77777777" w:rsidR="00B57FEF" w:rsidRPr="003877EE" w:rsidRDefault="00B57FEF" w:rsidP="003877EE">
      <w:pPr>
        <w:pStyle w:val="NoSpacing"/>
        <w:spacing w:line="360" w:lineRule="auto"/>
        <w:jc w:val="both"/>
        <w:rPr>
          <w:rFonts w:ascii="Arial" w:hAnsi="Arial" w:cs="Arial"/>
          <w:sz w:val="24"/>
          <w:szCs w:val="24"/>
        </w:rPr>
      </w:pPr>
    </w:p>
    <w:p w14:paraId="5627C0E4" w14:textId="5E249E72" w:rsidR="003A2032" w:rsidRDefault="00B57FEF" w:rsidP="003877EE">
      <w:pPr>
        <w:pStyle w:val="NoSpacing"/>
        <w:spacing w:line="360" w:lineRule="auto"/>
        <w:jc w:val="both"/>
        <w:rPr>
          <w:rFonts w:ascii="Arial" w:hAnsi="Arial" w:cs="Arial"/>
          <w:sz w:val="24"/>
          <w:szCs w:val="24"/>
        </w:rPr>
      </w:pPr>
      <w:r w:rsidRPr="00B57FEF">
        <w:rPr>
          <w:rFonts w:ascii="Arial" w:hAnsi="Arial" w:cs="Arial"/>
          <w:sz w:val="24"/>
          <w:szCs w:val="24"/>
        </w:rPr>
        <w:t>The Digital HRM frameworks put the most important things first: combining HR information systems (HRIS), people analytics, remote work tools, digital learning, and leadership alignment.</w:t>
      </w:r>
      <w:r w:rsidR="0080793A">
        <w:rPr>
          <w:rFonts w:ascii="Arial" w:hAnsi="Arial" w:cs="Arial"/>
          <w:sz w:val="24"/>
          <w:szCs w:val="24"/>
        </w:rPr>
        <w:t xml:space="preserve"> </w:t>
      </w:r>
      <w:r w:rsidRPr="00B57FEF">
        <w:rPr>
          <w:rFonts w:ascii="Arial" w:hAnsi="Arial" w:cs="Arial"/>
          <w:sz w:val="24"/>
          <w:szCs w:val="24"/>
        </w:rPr>
        <w:t>These frameworks help businesses plan their technology changes in a way that makes sure technology isn't just an afterthought but really changes how HR works.</w:t>
      </w:r>
    </w:p>
    <w:p w14:paraId="6F92AAB4" w14:textId="77777777" w:rsidR="00B57FEF" w:rsidRPr="003877EE" w:rsidRDefault="00B57FEF" w:rsidP="003877EE">
      <w:pPr>
        <w:pStyle w:val="NoSpacing"/>
        <w:spacing w:line="360" w:lineRule="auto"/>
        <w:jc w:val="both"/>
        <w:rPr>
          <w:rFonts w:ascii="Arial" w:hAnsi="Arial" w:cs="Arial"/>
          <w:sz w:val="24"/>
          <w:szCs w:val="24"/>
        </w:rPr>
      </w:pPr>
    </w:p>
    <w:p w14:paraId="32768023" w14:textId="1F10E7A6" w:rsidR="00421727" w:rsidRPr="00B57FEF" w:rsidRDefault="00B57FEF" w:rsidP="00B57FEF">
      <w:pPr>
        <w:pStyle w:val="NoSpacing"/>
        <w:spacing w:line="360" w:lineRule="auto"/>
        <w:jc w:val="both"/>
        <w:rPr>
          <w:rFonts w:ascii="Arial" w:hAnsi="Arial" w:cs="Arial"/>
          <w:sz w:val="24"/>
          <w:szCs w:val="24"/>
        </w:rPr>
      </w:pPr>
      <w:r w:rsidRPr="00B57FEF">
        <w:rPr>
          <w:rFonts w:ascii="Arial" w:hAnsi="Arial" w:cs="Arial"/>
          <w:sz w:val="24"/>
          <w:szCs w:val="24"/>
        </w:rPr>
        <w:lastRenderedPageBreak/>
        <w:t>International Human Resource Management: These issues are made worse when managing teams that are far away and from different countries. Companies have to deal with different data protection laws (like the GDPR in Europe vs. other places), different cultural views on automation and AI, different levels of access to digital infrastructure, and the ethics of AI in different situations. IHRM leaders need reskilling strategies that can be used in all areas, a global digital policy, and virtual leadership that respects cultural differences.</w:t>
      </w:r>
    </w:p>
    <w:p w14:paraId="0B67C44E" w14:textId="5F78360A" w:rsidR="00756127" w:rsidRPr="00421727" w:rsidRDefault="00B7094F" w:rsidP="00421727">
      <w:pPr>
        <w:pStyle w:val="Heading1"/>
        <w:rPr>
          <w:rFonts w:ascii="Arial" w:hAnsi="Arial" w:cs="Arial"/>
          <w:b/>
          <w:bCs/>
          <w:color w:val="000000" w:themeColor="text1"/>
          <w:sz w:val="30"/>
          <w:szCs w:val="30"/>
        </w:rPr>
      </w:pPr>
      <w:bookmarkStart w:id="2" w:name="_Toc211543310"/>
      <w:r>
        <w:rPr>
          <w:rFonts w:ascii="Arial" w:hAnsi="Arial" w:cs="Arial"/>
          <w:b/>
          <w:bCs/>
          <w:color w:val="000000" w:themeColor="text1"/>
          <w:sz w:val="30"/>
          <w:szCs w:val="30"/>
        </w:rPr>
        <w:t>2</w:t>
      </w:r>
      <w:r w:rsidR="00756127" w:rsidRPr="00421727">
        <w:rPr>
          <w:rFonts w:ascii="Arial" w:hAnsi="Arial" w:cs="Arial"/>
          <w:b/>
          <w:bCs/>
          <w:color w:val="000000" w:themeColor="text1"/>
          <w:sz w:val="30"/>
          <w:szCs w:val="30"/>
        </w:rPr>
        <w:t>. Demographic &amp; Geopolitical Factors</w:t>
      </w:r>
      <w:bookmarkEnd w:id="2"/>
    </w:p>
    <w:p w14:paraId="26E28D2C" w14:textId="77777777" w:rsidR="00756127" w:rsidRPr="00756127" w:rsidRDefault="00756127" w:rsidP="00756127">
      <w:pPr>
        <w:pStyle w:val="NoSpacing"/>
        <w:spacing w:line="360" w:lineRule="auto"/>
        <w:jc w:val="both"/>
        <w:rPr>
          <w:rFonts w:ascii="Arial" w:hAnsi="Arial" w:cs="Arial"/>
          <w:sz w:val="24"/>
          <w:szCs w:val="24"/>
        </w:rPr>
      </w:pPr>
    </w:p>
    <w:p w14:paraId="0A56E716" w14:textId="21ECEC0D" w:rsidR="00B57FEF" w:rsidRDefault="00BB4BFF" w:rsidP="00756127">
      <w:pPr>
        <w:pStyle w:val="NoSpacing"/>
        <w:spacing w:line="360" w:lineRule="auto"/>
        <w:jc w:val="both"/>
        <w:rPr>
          <w:rFonts w:ascii="Arial" w:hAnsi="Arial" w:cs="Arial"/>
          <w:sz w:val="24"/>
          <w:szCs w:val="24"/>
        </w:rPr>
      </w:pPr>
      <w:r w:rsidRPr="00BB4BFF">
        <w:rPr>
          <w:rFonts w:ascii="Arial" w:hAnsi="Arial" w:cs="Arial"/>
          <w:sz w:val="24"/>
          <w:szCs w:val="24"/>
        </w:rPr>
        <w:t>Demographic and geopolitical forces that are connected are changing global labour markets in ways that make things very hard for HR professionals.</w:t>
      </w:r>
      <w:r>
        <w:rPr>
          <w:rFonts w:ascii="Arial" w:hAnsi="Arial" w:cs="Arial"/>
          <w:sz w:val="24"/>
          <w:szCs w:val="24"/>
        </w:rPr>
        <w:t xml:space="preserve"> </w:t>
      </w:r>
      <w:r w:rsidRPr="00BB4BFF">
        <w:rPr>
          <w:rFonts w:ascii="Arial" w:hAnsi="Arial" w:cs="Arial"/>
          <w:sz w:val="24"/>
          <w:szCs w:val="24"/>
        </w:rPr>
        <w:t xml:space="preserve">In many OECD countries, the population is getting older and the number of people who can work is getting smaller. This makes it harder to find workers and puts more strain on healthcare and pension systems. This makes companies rethink how they plan their workforces, keep older workers, and offer flexible work arrangements to keep productivity high (André, Gal &amp; </w:t>
      </w:r>
      <w:proofErr w:type="spellStart"/>
      <w:r w:rsidRPr="00BB4BFF">
        <w:rPr>
          <w:rFonts w:ascii="Arial" w:hAnsi="Arial" w:cs="Arial"/>
          <w:sz w:val="24"/>
          <w:szCs w:val="24"/>
        </w:rPr>
        <w:t>Schief</w:t>
      </w:r>
      <w:proofErr w:type="spellEnd"/>
      <w:r w:rsidRPr="00BB4BFF">
        <w:rPr>
          <w:rFonts w:ascii="Arial" w:hAnsi="Arial" w:cs="Arial"/>
          <w:sz w:val="24"/>
          <w:szCs w:val="24"/>
        </w:rPr>
        <w:t>, 2024).</w:t>
      </w:r>
      <w:r>
        <w:rPr>
          <w:rFonts w:ascii="Arial" w:hAnsi="Arial" w:cs="Arial"/>
          <w:sz w:val="24"/>
          <w:szCs w:val="24"/>
        </w:rPr>
        <w:t xml:space="preserve"> </w:t>
      </w:r>
      <w:r w:rsidRPr="00BB4BFF">
        <w:rPr>
          <w:rFonts w:ascii="Arial" w:hAnsi="Arial" w:cs="Arial"/>
          <w:sz w:val="24"/>
          <w:szCs w:val="24"/>
        </w:rPr>
        <w:t>Employers need to use age-inclusive human resource strategies like phased retirement, flexible work design, and focused upskilling to keep institutional knowledge while making it easier to find skilled workers.</w:t>
      </w:r>
    </w:p>
    <w:p w14:paraId="7311EC9C" w14:textId="77777777" w:rsidR="00BB4BFF" w:rsidRPr="00756127" w:rsidRDefault="00BB4BFF" w:rsidP="00756127">
      <w:pPr>
        <w:pStyle w:val="NoSpacing"/>
        <w:spacing w:line="360" w:lineRule="auto"/>
        <w:jc w:val="both"/>
        <w:rPr>
          <w:rFonts w:ascii="Arial" w:hAnsi="Arial" w:cs="Arial"/>
          <w:sz w:val="24"/>
          <w:szCs w:val="24"/>
        </w:rPr>
      </w:pPr>
    </w:p>
    <w:p w14:paraId="7E22EEB3" w14:textId="6E3D9833" w:rsidR="00B57FEF" w:rsidRDefault="00BB4BFF" w:rsidP="00756127">
      <w:pPr>
        <w:pStyle w:val="NoSpacing"/>
        <w:spacing w:line="360" w:lineRule="auto"/>
        <w:jc w:val="both"/>
        <w:rPr>
          <w:rFonts w:ascii="Arial" w:hAnsi="Arial" w:cs="Arial"/>
          <w:sz w:val="24"/>
          <w:szCs w:val="24"/>
        </w:rPr>
      </w:pPr>
      <w:r w:rsidRPr="00BB4BFF">
        <w:rPr>
          <w:rFonts w:ascii="Arial" w:hAnsi="Arial" w:cs="Arial"/>
          <w:sz w:val="24"/>
          <w:szCs w:val="24"/>
        </w:rPr>
        <w:t>Migration dynamics are a significant force that instigates change.</w:t>
      </w:r>
      <w:r>
        <w:rPr>
          <w:rFonts w:ascii="Arial" w:hAnsi="Arial" w:cs="Arial"/>
          <w:sz w:val="24"/>
          <w:szCs w:val="24"/>
        </w:rPr>
        <w:t xml:space="preserve"> </w:t>
      </w:r>
      <w:r w:rsidRPr="00BB4BFF">
        <w:rPr>
          <w:rFonts w:ascii="Arial" w:hAnsi="Arial" w:cs="Arial"/>
          <w:sz w:val="24"/>
          <w:szCs w:val="24"/>
        </w:rPr>
        <w:t>The migration of workers throughout Europe persists in influencing the composition of the workforce and alleviating regional labour shortages.</w:t>
      </w:r>
      <w:r>
        <w:rPr>
          <w:rFonts w:ascii="Arial" w:hAnsi="Arial" w:cs="Arial"/>
          <w:sz w:val="24"/>
          <w:szCs w:val="24"/>
        </w:rPr>
        <w:t xml:space="preserve"> (</w:t>
      </w:r>
      <w:r w:rsidRPr="00BB4BFF">
        <w:rPr>
          <w:rFonts w:ascii="Arial" w:hAnsi="Arial" w:cs="Arial"/>
          <w:sz w:val="24"/>
          <w:szCs w:val="24"/>
        </w:rPr>
        <w:t>Mitze</w:t>
      </w:r>
      <w:r>
        <w:rPr>
          <w:rFonts w:ascii="Arial" w:hAnsi="Arial" w:cs="Arial"/>
          <w:sz w:val="24"/>
          <w:szCs w:val="24"/>
        </w:rPr>
        <w:t xml:space="preserve">., </w:t>
      </w:r>
      <w:r w:rsidRPr="00BB4BFF">
        <w:rPr>
          <w:rFonts w:ascii="Arial" w:hAnsi="Arial" w:cs="Arial"/>
          <w:sz w:val="24"/>
          <w:szCs w:val="24"/>
        </w:rPr>
        <w:t>2019) demonstrates that migration adapts in reaction to issues within the regional employment market. During the global economic crisis, EU regions with elevated unemployment experienced an influx of individuals from other nations, whilst regions with robust growth attracted foreign workers.</w:t>
      </w:r>
      <w:r>
        <w:rPr>
          <w:rFonts w:ascii="Arial" w:hAnsi="Arial" w:cs="Arial"/>
          <w:sz w:val="24"/>
          <w:szCs w:val="24"/>
        </w:rPr>
        <w:t xml:space="preserve"> </w:t>
      </w:r>
      <w:r w:rsidRPr="00BB4BFF">
        <w:rPr>
          <w:rFonts w:ascii="Arial" w:hAnsi="Arial" w:cs="Arial"/>
          <w:sz w:val="24"/>
          <w:szCs w:val="24"/>
        </w:rPr>
        <w:t>These trends illustrate how migration can mitigate economic disparities between regions; yet, they also complicate the management of populations, particularly for the maintenance of a stable and constant workforce.</w:t>
      </w:r>
      <w:r>
        <w:rPr>
          <w:rFonts w:ascii="Arial" w:hAnsi="Arial" w:cs="Arial"/>
          <w:sz w:val="24"/>
          <w:szCs w:val="24"/>
        </w:rPr>
        <w:t xml:space="preserve"> </w:t>
      </w:r>
      <w:r w:rsidRPr="00BB4BFF">
        <w:rPr>
          <w:rFonts w:ascii="Arial" w:hAnsi="Arial" w:cs="Arial"/>
          <w:sz w:val="24"/>
          <w:szCs w:val="24"/>
        </w:rPr>
        <w:t>From an HR perspective, evolving migration patterns necessitate adaptable policies for recruitment, workforce planning, and the assimilation of new employees into the organisational culture.</w:t>
      </w:r>
      <w:r>
        <w:rPr>
          <w:rFonts w:ascii="Arial" w:hAnsi="Arial" w:cs="Arial"/>
          <w:sz w:val="24"/>
          <w:szCs w:val="24"/>
        </w:rPr>
        <w:t xml:space="preserve"> </w:t>
      </w:r>
      <w:r w:rsidRPr="00BB4BFF">
        <w:rPr>
          <w:rFonts w:ascii="Arial" w:hAnsi="Arial" w:cs="Arial"/>
          <w:sz w:val="24"/>
          <w:szCs w:val="24"/>
        </w:rPr>
        <w:t>Organisations must ensure equitable recruiting practices, recognise international qualifications, and comply with all immigration and employment regulations.</w:t>
      </w:r>
      <w:r>
        <w:rPr>
          <w:rFonts w:ascii="Arial" w:hAnsi="Arial" w:cs="Arial"/>
          <w:sz w:val="24"/>
          <w:szCs w:val="24"/>
        </w:rPr>
        <w:t xml:space="preserve"> </w:t>
      </w:r>
      <w:r w:rsidRPr="00BB4BFF">
        <w:rPr>
          <w:rFonts w:ascii="Arial" w:hAnsi="Arial" w:cs="Arial"/>
          <w:sz w:val="24"/>
          <w:szCs w:val="24"/>
        </w:rPr>
        <w:t xml:space="preserve">Moreover, efficient onboarding and methods of cross-cultural </w:t>
      </w:r>
      <w:r w:rsidRPr="00BB4BFF">
        <w:rPr>
          <w:rFonts w:ascii="Arial" w:hAnsi="Arial" w:cs="Arial"/>
          <w:sz w:val="24"/>
          <w:szCs w:val="24"/>
        </w:rPr>
        <w:lastRenderedPageBreak/>
        <w:t>communication are essential for enhancing workforce inclusivity, reducing employee turnover, and fostering cohesion in increasingly varied work environments.</w:t>
      </w:r>
    </w:p>
    <w:p w14:paraId="78E49295" w14:textId="77777777" w:rsidR="00BB4BFF" w:rsidRPr="00756127" w:rsidRDefault="00BB4BFF" w:rsidP="00756127">
      <w:pPr>
        <w:pStyle w:val="NoSpacing"/>
        <w:spacing w:line="360" w:lineRule="auto"/>
        <w:jc w:val="both"/>
        <w:rPr>
          <w:rFonts w:ascii="Arial" w:hAnsi="Arial" w:cs="Arial"/>
          <w:sz w:val="24"/>
          <w:szCs w:val="24"/>
        </w:rPr>
      </w:pPr>
    </w:p>
    <w:p w14:paraId="74EF791C" w14:textId="6AA404C4" w:rsidR="00B57FEF" w:rsidRDefault="00BB4BFF" w:rsidP="00756127">
      <w:pPr>
        <w:pStyle w:val="NoSpacing"/>
        <w:spacing w:line="360" w:lineRule="auto"/>
        <w:jc w:val="both"/>
        <w:rPr>
          <w:rFonts w:ascii="Arial" w:hAnsi="Arial" w:cs="Arial"/>
          <w:sz w:val="24"/>
          <w:szCs w:val="24"/>
        </w:rPr>
      </w:pPr>
      <w:r w:rsidRPr="00BB4BFF">
        <w:rPr>
          <w:rFonts w:ascii="Arial" w:hAnsi="Arial" w:cs="Arial"/>
          <w:sz w:val="24"/>
          <w:szCs w:val="24"/>
        </w:rPr>
        <w:t>Labour markets are less stable when there are geopolitical shocks like disruptions from regional wars, stress in the supply chain, and changes in the rules after Brexit.   According to research, changes in the law caused by Brexit and less movement for workers have changed the way people move to the UK. This has caused shortages in certain areas that companies must fix by finding other suppliers, automating tasks, or boosting wages and keeping workers (Sargent, 202</w:t>
      </w:r>
      <w:r>
        <w:rPr>
          <w:rFonts w:ascii="Arial" w:hAnsi="Arial" w:cs="Arial"/>
          <w:sz w:val="24"/>
          <w:szCs w:val="24"/>
        </w:rPr>
        <w:t>3</w:t>
      </w:r>
      <w:r w:rsidRPr="00BB4BFF">
        <w:rPr>
          <w:rFonts w:ascii="Arial" w:hAnsi="Arial" w:cs="Arial"/>
          <w:sz w:val="24"/>
          <w:szCs w:val="24"/>
        </w:rPr>
        <w:t>).</w:t>
      </w:r>
      <w:r>
        <w:rPr>
          <w:rFonts w:ascii="Arial" w:hAnsi="Arial" w:cs="Arial"/>
          <w:sz w:val="24"/>
          <w:szCs w:val="24"/>
        </w:rPr>
        <w:t xml:space="preserve"> </w:t>
      </w:r>
      <w:r w:rsidRPr="00BB4BFF">
        <w:rPr>
          <w:rFonts w:ascii="Arial" w:hAnsi="Arial" w:cs="Arial"/>
          <w:sz w:val="24"/>
          <w:szCs w:val="24"/>
        </w:rPr>
        <w:t>So, HR leaders need to be ready for anything and have resource plans that can be changed quickly to keep up with changes in the market and policies.</w:t>
      </w:r>
    </w:p>
    <w:p w14:paraId="14DAD1A0" w14:textId="77777777" w:rsidR="00BB4BFF" w:rsidRPr="00756127" w:rsidRDefault="00BB4BFF" w:rsidP="00756127">
      <w:pPr>
        <w:pStyle w:val="NoSpacing"/>
        <w:spacing w:line="360" w:lineRule="auto"/>
        <w:jc w:val="both"/>
        <w:rPr>
          <w:rFonts w:ascii="Arial" w:hAnsi="Arial" w:cs="Arial"/>
          <w:sz w:val="24"/>
          <w:szCs w:val="24"/>
        </w:rPr>
      </w:pPr>
    </w:p>
    <w:p w14:paraId="7C19C58B" w14:textId="3BB40121" w:rsidR="0053277D" w:rsidRPr="00756127" w:rsidRDefault="00AC4A24" w:rsidP="00756127">
      <w:pPr>
        <w:pStyle w:val="NoSpacing"/>
        <w:spacing w:line="360" w:lineRule="auto"/>
        <w:jc w:val="both"/>
        <w:rPr>
          <w:rFonts w:ascii="Arial" w:hAnsi="Arial" w:cs="Arial"/>
          <w:sz w:val="24"/>
          <w:szCs w:val="24"/>
        </w:rPr>
      </w:pPr>
      <w:r w:rsidRPr="00AC4A24">
        <w:rPr>
          <w:rFonts w:ascii="Arial" w:hAnsi="Arial" w:cs="Arial"/>
          <w:sz w:val="24"/>
          <w:szCs w:val="24"/>
        </w:rPr>
        <w:t>A PESTLE analysis helps HR find outside pressures that affect the workplace, such as political (immigration and regulation), economic (the supply of workers and wages), social (ageing demographics and family structures), technological (automation replacing workers), legal (employment laws and cross-border data laws), and environmental (climate-induced displacement affecting worker mobility).</w:t>
      </w:r>
      <w:r w:rsidR="00BB4BFF">
        <w:rPr>
          <w:rFonts w:ascii="Arial" w:hAnsi="Arial" w:cs="Arial"/>
          <w:sz w:val="24"/>
          <w:szCs w:val="24"/>
        </w:rPr>
        <w:t xml:space="preserve"> </w:t>
      </w:r>
      <w:r w:rsidRPr="00AC4A24">
        <w:rPr>
          <w:rFonts w:ascii="Arial" w:hAnsi="Arial" w:cs="Arial"/>
          <w:sz w:val="24"/>
          <w:szCs w:val="24"/>
        </w:rPr>
        <w:t>PESTLE helps make sure that talent strategy is in line with macroeconomic trends and helps predict risks to the stability of the workforce and the reputation of the employer.   The strict use of PESTLE means that HR needs to include information about the demographics of the workforce in its plans for hiring and training new employees.</w:t>
      </w:r>
      <w:r w:rsidR="0053277D">
        <w:rPr>
          <w:noProof/>
        </w:rPr>
        <w:drawing>
          <wp:inline distT="0" distB="0" distL="0" distR="0" wp14:anchorId="01A9DCE4" wp14:editId="6F3A187E">
            <wp:extent cx="4173940" cy="2464779"/>
            <wp:effectExtent l="781050" t="114300" r="112395" b="183515"/>
            <wp:docPr id="720433017" name="Picture 1" descr="PESTLE Analysis: A Guide to Understanding Market Influ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LE Analysis: A Guide to Understanding Market Influenc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79817" cy="2468249"/>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12390EA4" w14:textId="2C7FBDD0" w:rsidR="00756127" w:rsidRPr="009720F5" w:rsidRDefault="009720F5" w:rsidP="00AC4A24">
      <w:pPr>
        <w:pStyle w:val="NoSpacing"/>
        <w:spacing w:line="360" w:lineRule="auto"/>
        <w:jc w:val="center"/>
        <w:rPr>
          <w:rFonts w:ascii="Arial" w:hAnsi="Arial" w:cs="Arial"/>
          <w:sz w:val="20"/>
          <w:szCs w:val="20"/>
        </w:rPr>
      </w:pPr>
      <w:hyperlink r:id="rId10" w:history="1">
        <w:r w:rsidRPr="009720F5">
          <w:rPr>
            <w:rStyle w:val="Hyperlink"/>
            <w:rFonts w:ascii="Arial" w:hAnsi="Arial" w:cs="Arial"/>
            <w:sz w:val="20"/>
            <w:szCs w:val="20"/>
          </w:rPr>
          <w:t>https://www.b2binternational.com/2025/04/03/pestle-analysis/</w:t>
        </w:r>
      </w:hyperlink>
    </w:p>
    <w:p w14:paraId="291DFC60" w14:textId="77777777" w:rsidR="009720F5" w:rsidRPr="00756127" w:rsidRDefault="009720F5" w:rsidP="00756127">
      <w:pPr>
        <w:pStyle w:val="NoSpacing"/>
        <w:spacing w:line="360" w:lineRule="auto"/>
        <w:jc w:val="both"/>
        <w:rPr>
          <w:rFonts w:ascii="Arial" w:hAnsi="Arial" w:cs="Arial"/>
          <w:sz w:val="24"/>
          <w:szCs w:val="24"/>
        </w:rPr>
      </w:pPr>
    </w:p>
    <w:p w14:paraId="1AC3A283" w14:textId="5BF8F216" w:rsidR="00756127" w:rsidRDefault="00AC4A24" w:rsidP="00756127">
      <w:pPr>
        <w:pStyle w:val="NoSpacing"/>
        <w:spacing w:line="360" w:lineRule="auto"/>
        <w:jc w:val="both"/>
        <w:rPr>
          <w:rFonts w:ascii="Arial" w:hAnsi="Arial" w:cs="Arial"/>
          <w:sz w:val="24"/>
          <w:szCs w:val="24"/>
        </w:rPr>
      </w:pPr>
      <w:r w:rsidRPr="00AC4A24">
        <w:rPr>
          <w:rFonts w:ascii="Arial" w:hAnsi="Arial" w:cs="Arial"/>
          <w:sz w:val="24"/>
          <w:szCs w:val="24"/>
        </w:rPr>
        <w:lastRenderedPageBreak/>
        <w:t>In multinational operations, HR must consider cultural differences that influence employee expectations and managerial practices.</w:t>
      </w:r>
      <w:r w:rsidR="00BB4BFF">
        <w:rPr>
          <w:rFonts w:ascii="Arial" w:hAnsi="Arial" w:cs="Arial"/>
          <w:sz w:val="24"/>
          <w:szCs w:val="24"/>
        </w:rPr>
        <w:t xml:space="preserve"> </w:t>
      </w:r>
      <w:r w:rsidRPr="00AC4A24">
        <w:rPr>
          <w:rFonts w:ascii="Arial" w:hAnsi="Arial" w:cs="Arial"/>
          <w:sz w:val="24"/>
          <w:szCs w:val="24"/>
        </w:rPr>
        <w:t>Hofstede’s cultural dimensions (e.g., power distance, individualism versus collectivism, uncertainty avoidance) serve as a valuable framework for formulating multinational HR strategies, such as customising leadership development and performance feedback methods to align with national cultural characteristics, thereby ensuring clarity and acceptance among subsidiaries.</w:t>
      </w:r>
      <w:r w:rsidR="00BB4BFF">
        <w:rPr>
          <w:rFonts w:ascii="Arial" w:hAnsi="Arial" w:cs="Arial"/>
          <w:sz w:val="24"/>
          <w:szCs w:val="24"/>
        </w:rPr>
        <w:t xml:space="preserve"> </w:t>
      </w:r>
      <w:r w:rsidRPr="00AC4A24">
        <w:rPr>
          <w:rFonts w:ascii="Arial" w:hAnsi="Arial" w:cs="Arial"/>
          <w:sz w:val="24"/>
          <w:szCs w:val="24"/>
        </w:rPr>
        <w:t>Misinterpreting cultural norms can jeopardise retention, engagement, and cross-border team cohesion.</w:t>
      </w:r>
    </w:p>
    <w:p w14:paraId="4844C1BB" w14:textId="77777777" w:rsidR="00AC4A24" w:rsidRPr="00756127" w:rsidRDefault="00AC4A24" w:rsidP="00756127">
      <w:pPr>
        <w:pStyle w:val="NoSpacing"/>
        <w:spacing w:line="360" w:lineRule="auto"/>
        <w:jc w:val="both"/>
        <w:rPr>
          <w:rFonts w:ascii="Arial" w:hAnsi="Arial" w:cs="Arial"/>
          <w:sz w:val="24"/>
          <w:szCs w:val="24"/>
        </w:rPr>
      </w:pPr>
    </w:p>
    <w:p w14:paraId="5C6083F1" w14:textId="2BF594FC" w:rsidR="0043130F" w:rsidRDefault="00AC4A24" w:rsidP="00756127">
      <w:pPr>
        <w:pStyle w:val="NoSpacing"/>
        <w:spacing w:line="360" w:lineRule="auto"/>
        <w:jc w:val="both"/>
        <w:rPr>
          <w:rFonts w:ascii="Arial" w:hAnsi="Arial" w:cs="Arial"/>
          <w:sz w:val="24"/>
          <w:szCs w:val="24"/>
        </w:rPr>
      </w:pPr>
      <w:r w:rsidRPr="00AC4A24">
        <w:rPr>
          <w:rFonts w:ascii="Arial" w:hAnsi="Arial" w:cs="Arial"/>
          <w:sz w:val="24"/>
          <w:szCs w:val="24"/>
        </w:rPr>
        <w:t>These demographic and geopolitical factors collectively generate ongoing HR challenges: retaining limited talent (particularly in the care and technology sectors), managing cultural integration and inclusion, ensuring legal and ethical compliance across jurisdictions, and developing adaptive reward and reskilling programs.  Strategic HR must integrate macroeconomic and demographic data with culturally attuned personnel initiatives to maintain organisational resilience in fluctuating labour markets.</w:t>
      </w:r>
    </w:p>
    <w:p w14:paraId="3E633ED1" w14:textId="77777777" w:rsidR="00AC4A24" w:rsidRDefault="00AC4A24" w:rsidP="00756127">
      <w:pPr>
        <w:pStyle w:val="NoSpacing"/>
        <w:spacing w:line="360" w:lineRule="auto"/>
        <w:jc w:val="both"/>
        <w:rPr>
          <w:rFonts w:ascii="Arial" w:hAnsi="Arial" w:cs="Arial"/>
          <w:sz w:val="24"/>
          <w:szCs w:val="24"/>
        </w:rPr>
      </w:pPr>
    </w:p>
    <w:p w14:paraId="7843EED1" w14:textId="11F505B3" w:rsidR="0043130F" w:rsidRPr="0043130F" w:rsidRDefault="00B7094F" w:rsidP="0043130F">
      <w:pPr>
        <w:pStyle w:val="Heading1"/>
        <w:rPr>
          <w:rFonts w:ascii="Arial" w:hAnsi="Arial" w:cs="Arial"/>
          <w:b/>
          <w:bCs/>
          <w:color w:val="000000" w:themeColor="text1"/>
          <w:sz w:val="30"/>
          <w:szCs w:val="30"/>
        </w:rPr>
      </w:pPr>
      <w:bookmarkStart w:id="3" w:name="_Toc211543311"/>
      <w:r>
        <w:rPr>
          <w:rFonts w:ascii="Arial" w:hAnsi="Arial" w:cs="Arial"/>
          <w:b/>
          <w:bCs/>
          <w:color w:val="000000" w:themeColor="text1"/>
          <w:sz w:val="30"/>
          <w:szCs w:val="30"/>
        </w:rPr>
        <w:t>3</w:t>
      </w:r>
      <w:r w:rsidR="0043130F" w:rsidRPr="0043130F">
        <w:rPr>
          <w:rFonts w:ascii="Arial" w:hAnsi="Arial" w:cs="Arial"/>
          <w:b/>
          <w:bCs/>
          <w:color w:val="000000" w:themeColor="text1"/>
          <w:sz w:val="30"/>
          <w:szCs w:val="30"/>
        </w:rPr>
        <w:t>. Skills Gaps &amp; Talent Shortages</w:t>
      </w:r>
      <w:bookmarkEnd w:id="3"/>
      <w:r w:rsidR="0043130F" w:rsidRPr="0043130F">
        <w:rPr>
          <w:rFonts w:ascii="Arial" w:hAnsi="Arial" w:cs="Arial"/>
          <w:b/>
          <w:bCs/>
          <w:color w:val="000000" w:themeColor="text1"/>
          <w:sz w:val="30"/>
          <w:szCs w:val="30"/>
        </w:rPr>
        <w:t xml:space="preserve"> </w:t>
      </w:r>
    </w:p>
    <w:p w14:paraId="612DC79A" w14:textId="77777777" w:rsidR="0043130F" w:rsidRPr="0043130F" w:rsidRDefault="0043130F" w:rsidP="0043130F">
      <w:pPr>
        <w:pStyle w:val="NoSpacing"/>
        <w:spacing w:line="360" w:lineRule="auto"/>
        <w:jc w:val="both"/>
        <w:rPr>
          <w:rFonts w:ascii="Arial" w:hAnsi="Arial" w:cs="Arial"/>
          <w:sz w:val="24"/>
          <w:szCs w:val="24"/>
        </w:rPr>
      </w:pPr>
    </w:p>
    <w:p w14:paraId="6139268C" w14:textId="05D50063" w:rsidR="0043130F" w:rsidRDefault="0038418C" w:rsidP="0043130F">
      <w:pPr>
        <w:pStyle w:val="NoSpacing"/>
        <w:spacing w:line="360" w:lineRule="auto"/>
        <w:jc w:val="both"/>
        <w:rPr>
          <w:rFonts w:ascii="Arial" w:hAnsi="Arial" w:cs="Arial"/>
          <w:sz w:val="24"/>
          <w:szCs w:val="24"/>
        </w:rPr>
      </w:pPr>
      <w:r w:rsidRPr="0038418C">
        <w:rPr>
          <w:rFonts w:ascii="Arial" w:hAnsi="Arial" w:cs="Arial"/>
          <w:sz w:val="24"/>
          <w:szCs w:val="24"/>
        </w:rPr>
        <w:t>A fundamental problem for HRM in both national and international settings is the ongoing shortage of skilled workers in important fields like technology, healthcare, and hospitality.</w:t>
      </w:r>
      <w:r>
        <w:rPr>
          <w:rFonts w:ascii="Arial" w:hAnsi="Arial" w:cs="Arial"/>
          <w:sz w:val="24"/>
          <w:szCs w:val="24"/>
        </w:rPr>
        <w:t xml:space="preserve"> </w:t>
      </w:r>
      <w:r w:rsidR="00794046" w:rsidRPr="00794046">
        <w:rPr>
          <w:rFonts w:ascii="Arial" w:hAnsi="Arial" w:cs="Arial"/>
          <w:sz w:val="24"/>
          <w:szCs w:val="24"/>
        </w:rPr>
        <w:t>Human Capital Theory, originally proposed by Becker (196</w:t>
      </w:r>
      <w:r w:rsidR="00794046">
        <w:rPr>
          <w:rFonts w:ascii="Arial" w:hAnsi="Arial" w:cs="Arial"/>
          <w:sz w:val="24"/>
          <w:szCs w:val="24"/>
        </w:rPr>
        <w:t>7</w:t>
      </w:r>
      <w:r w:rsidR="00794046" w:rsidRPr="00794046">
        <w:rPr>
          <w:rFonts w:ascii="Arial" w:hAnsi="Arial" w:cs="Arial"/>
          <w:sz w:val="24"/>
          <w:szCs w:val="24"/>
        </w:rPr>
        <w:t xml:space="preserve">, cited in </w:t>
      </w:r>
      <w:proofErr w:type="spellStart"/>
      <w:r w:rsidR="00794046" w:rsidRPr="00794046">
        <w:rPr>
          <w:rFonts w:ascii="Arial" w:hAnsi="Arial" w:cs="Arial"/>
          <w:sz w:val="24"/>
          <w:szCs w:val="24"/>
        </w:rPr>
        <w:t>Muhsam</w:t>
      </w:r>
      <w:proofErr w:type="spellEnd"/>
      <w:r w:rsidR="00794046" w:rsidRPr="00794046">
        <w:rPr>
          <w:rFonts w:ascii="Arial" w:hAnsi="Arial" w:cs="Arial"/>
          <w:sz w:val="24"/>
          <w:szCs w:val="24"/>
        </w:rPr>
        <w:t>, 1965), posits that an organisation’s productivity and innovation are contingent upon the skills, education, and experience of its workers</w:t>
      </w:r>
      <w:r w:rsidRPr="0038418C">
        <w:rPr>
          <w:rFonts w:ascii="Arial" w:hAnsi="Arial" w:cs="Arial"/>
          <w:sz w:val="24"/>
          <w:szCs w:val="24"/>
        </w:rPr>
        <w:t>.</w:t>
      </w:r>
      <w:r>
        <w:rPr>
          <w:rFonts w:ascii="Arial" w:hAnsi="Arial" w:cs="Arial"/>
          <w:sz w:val="24"/>
          <w:szCs w:val="24"/>
        </w:rPr>
        <w:t xml:space="preserve"> </w:t>
      </w:r>
      <w:r w:rsidRPr="0038418C">
        <w:rPr>
          <w:rFonts w:ascii="Arial" w:hAnsi="Arial" w:cs="Arial"/>
          <w:sz w:val="24"/>
          <w:szCs w:val="24"/>
        </w:rPr>
        <w:t>So, investing in learning and development isn't just an expense; it's a way to build capital that will benefit the company in the long run.</w:t>
      </w:r>
      <w:r>
        <w:rPr>
          <w:rFonts w:ascii="Arial" w:hAnsi="Arial" w:cs="Arial"/>
          <w:sz w:val="24"/>
          <w:szCs w:val="24"/>
        </w:rPr>
        <w:t xml:space="preserve"> </w:t>
      </w:r>
      <w:r w:rsidRPr="0038418C">
        <w:rPr>
          <w:rFonts w:ascii="Arial" w:hAnsi="Arial" w:cs="Arial"/>
          <w:sz w:val="24"/>
          <w:szCs w:val="24"/>
        </w:rPr>
        <w:t>The hypothesis suggests that to fix talent shortages, companies need to make a long-term commitment to training, development, and keeping employees as ways to stay ahead of the competition.</w:t>
      </w:r>
    </w:p>
    <w:p w14:paraId="48C66B9C" w14:textId="77777777" w:rsidR="0038418C" w:rsidRPr="0043130F" w:rsidRDefault="0038418C" w:rsidP="0043130F">
      <w:pPr>
        <w:pStyle w:val="NoSpacing"/>
        <w:spacing w:line="360" w:lineRule="auto"/>
        <w:jc w:val="both"/>
        <w:rPr>
          <w:rFonts w:ascii="Arial" w:hAnsi="Arial" w:cs="Arial"/>
          <w:sz w:val="24"/>
          <w:szCs w:val="24"/>
        </w:rPr>
      </w:pPr>
    </w:p>
    <w:p w14:paraId="6074150E" w14:textId="081A8CD8" w:rsidR="0043130F" w:rsidRDefault="0038418C" w:rsidP="0043130F">
      <w:pPr>
        <w:pStyle w:val="NoSpacing"/>
        <w:spacing w:line="360" w:lineRule="auto"/>
        <w:jc w:val="both"/>
        <w:rPr>
          <w:rFonts w:ascii="Arial" w:hAnsi="Arial" w:cs="Arial"/>
          <w:sz w:val="24"/>
          <w:szCs w:val="24"/>
        </w:rPr>
      </w:pPr>
      <w:r w:rsidRPr="0038418C">
        <w:rPr>
          <w:rFonts w:ascii="Arial" w:hAnsi="Arial" w:cs="Arial"/>
          <w:sz w:val="24"/>
          <w:szCs w:val="24"/>
        </w:rPr>
        <w:t xml:space="preserve">The CIPD's Talent Management Model offers a structured approach to tackling skills shortages through attraction, development, engagement, and retention (CIPD, 2021).   This model shows how important it is to combine workforce planning with employer branding and career development activities. This way, companies can not only hire </w:t>
      </w:r>
      <w:r w:rsidRPr="0038418C">
        <w:rPr>
          <w:rFonts w:ascii="Arial" w:hAnsi="Arial" w:cs="Arial"/>
          <w:sz w:val="24"/>
          <w:szCs w:val="24"/>
        </w:rPr>
        <w:lastRenderedPageBreak/>
        <w:t>new employees but also help them grow within the company. Companies in the tech industry are increasingly using AI-driven recruiting systems that use predictive analytics to match people with jobs based on their skills and how well they fit in with the company's culture (Black &amp; van Esch, 2020).</w:t>
      </w:r>
      <w:r>
        <w:rPr>
          <w:rFonts w:ascii="Arial" w:hAnsi="Arial" w:cs="Arial"/>
          <w:sz w:val="24"/>
          <w:szCs w:val="24"/>
        </w:rPr>
        <w:t xml:space="preserve"> </w:t>
      </w:r>
      <w:r w:rsidRPr="0038418C">
        <w:rPr>
          <w:rFonts w:ascii="Arial" w:hAnsi="Arial" w:cs="Arial"/>
          <w:sz w:val="24"/>
          <w:szCs w:val="24"/>
        </w:rPr>
        <w:t>This breakthrough allows companies to open up more global sourcing channels, make hiring decisions less biassed, and speed up the hiring process.</w:t>
      </w:r>
      <w:r>
        <w:rPr>
          <w:rFonts w:ascii="Arial" w:hAnsi="Arial" w:cs="Arial"/>
          <w:sz w:val="24"/>
          <w:szCs w:val="24"/>
        </w:rPr>
        <w:t xml:space="preserve"> </w:t>
      </w:r>
      <w:r w:rsidRPr="0038418C">
        <w:rPr>
          <w:rFonts w:ascii="Arial" w:hAnsi="Arial" w:cs="Arial"/>
          <w:sz w:val="24"/>
          <w:szCs w:val="24"/>
        </w:rPr>
        <w:t>However, an over-reliance on computational technologies may inadvertently sustain existing inequalities, necessitating transparent and ethical governance in HR practices (Varma, Dawkins &amp; Chaudhuri, 2023).</w:t>
      </w:r>
    </w:p>
    <w:p w14:paraId="16A33A93" w14:textId="77777777" w:rsidR="0038418C" w:rsidRPr="0043130F" w:rsidRDefault="0038418C" w:rsidP="0043130F">
      <w:pPr>
        <w:pStyle w:val="NoSpacing"/>
        <w:spacing w:line="360" w:lineRule="auto"/>
        <w:jc w:val="both"/>
        <w:rPr>
          <w:rFonts w:ascii="Arial" w:hAnsi="Arial" w:cs="Arial"/>
          <w:sz w:val="24"/>
          <w:szCs w:val="24"/>
        </w:rPr>
      </w:pPr>
    </w:p>
    <w:p w14:paraId="437A2263" w14:textId="0F6C8884" w:rsidR="0043130F" w:rsidRDefault="0038418C" w:rsidP="0043130F">
      <w:pPr>
        <w:pStyle w:val="NoSpacing"/>
        <w:spacing w:line="360" w:lineRule="auto"/>
        <w:jc w:val="both"/>
        <w:rPr>
          <w:rFonts w:ascii="Arial" w:hAnsi="Arial" w:cs="Arial"/>
          <w:sz w:val="24"/>
          <w:szCs w:val="24"/>
        </w:rPr>
      </w:pPr>
      <w:r w:rsidRPr="0038418C">
        <w:rPr>
          <w:rFonts w:ascii="Arial" w:hAnsi="Arial" w:cs="Arial"/>
          <w:sz w:val="24"/>
          <w:szCs w:val="24"/>
        </w:rPr>
        <w:t>Healthcare exemplifies the severe consequences of talent shortages.</w:t>
      </w:r>
      <w:r w:rsidR="00BB4BFF">
        <w:rPr>
          <w:rFonts w:ascii="Arial" w:hAnsi="Arial" w:cs="Arial"/>
          <w:sz w:val="24"/>
          <w:szCs w:val="24"/>
        </w:rPr>
        <w:t xml:space="preserve"> </w:t>
      </w:r>
      <w:r w:rsidRPr="0038418C">
        <w:rPr>
          <w:rFonts w:ascii="Arial" w:hAnsi="Arial" w:cs="Arial"/>
          <w:sz w:val="24"/>
          <w:szCs w:val="24"/>
        </w:rPr>
        <w:t>The UK's National Health Service (NHS) confronts substantial shortages in clinical and caregiving personnel, exacerbated by post-pandemic fatigue and global competition.  To address these shortfalls, the NHS has implemented a comprehensive HRM strategy that integrates worldwide recruitment initiatives, international collaborations, and workforce development programs emphasising apprenticeships and ongoing professional education (Klopper et al., 2022).</w:t>
      </w:r>
      <w:r w:rsidR="00D76C33">
        <w:rPr>
          <w:rFonts w:ascii="Arial" w:hAnsi="Arial" w:cs="Arial"/>
          <w:sz w:val="24"/>
          <w:szCs w:val="24"/>
        </w:rPr>
        <w:t xml:space="preserve"> </w:t>
      </w:r>
      <w:r w:rsidRPr="0038418C">
        <w:rPr>
          <w:rFonts w:ascii="Arial" w:hAnsi="Arial" w:cs="Arial"/>
          <w:sz w:val="24"/>
          <w:szCs w:val="24"/>
        </w:rPr>
        <w:t>These programs correspond with</w:t>
      </w:r>
      <w:r w:rsidR="00D76C33">
        <w:rPr>
          <w:rFonts w:ascii="Arial" w:hAnsi="Arial" w:cs="Arial"/>
          <w:sz w:val="24"/>
          <w:szCs w:val="24"/>
        </w:rPr>
        <w:t xml:space="preserve"> </w:t>
      </w:r>
      <w:r w:rsidRPr="0038418C">
        <w:rPr>
          <w:rFonts w:ascii="Arial" w:hAnsi="Arial" w:cs="Arial"/>
          <w:sz w:val="24"/>
          <w:szCs w:val="24"/>
        </w:rPr>
        <w:t>Becker’s concept by acknowledging training as an investment in human capital that improves service quality and retention.</w:t>
      </w:r>
      <w:r w:rsidR="00BB4BFF">
        <w:rPr>
          <w:rFonts w:ascii="Arial" w:hAnsi="Arial" w:cs="Arial"/>
          <w:sz w:val="24"/>
          <w:szCs w:val="24"/>
        </w:rPr>
        <w:t xml:space="preserve"> </w:t>
      </w:r>
      <w:r w:rsidRPr="0038418C">
        <w:rPr>
          <w:rFonts w:ascii="Arial" w:hAnsi="Arial" w:cs="Arial"/>
          <w:sz w:val="24"/>
          <w:szCs w:val="24"/>
        </w:rPr>
        <w:t>Nonetheless, dependence on overseas recruiting reveals susceptibilities to global labour market volatility and ethical issues about the poaching of personnel from developing nations.</w:t>
      </w:r>
    </w:p>
    <w:p w14:paraId="32A77D9D" w14:textId="77777777" w:rsidR="0038418C" w:rsidRPr="0043130F" w:rsidRDefault="0038418C" w:rsidP="0043130F">
      <w:pPr>
        <w:pStyle w:val="NoSpacing"/>
        <w:spacing w:line="360" w:lineRule="auto"/>
        <w:jc w:val="both"/>
        <w:rPr>
          <w:rFonts w:ascii="Arial" w:hAnsi="Arial" w:cs="Arial"/>
          <w:sz w:val="24"/>
          <w:szCs w:val="24"/>
        </w:rPr>
      </w:pPr>
    </w:p>
    <w:p w14:paraId="14A03099" w14:textId="6E07B0D3" w:rsidR="0043130F" w:rsidRDefault="0038418C" w:rsidP="0043130F">
      <w:pPr>
        <w:pStyle w:val="NoSpacing"/>
        <w:spacing w:line="360" w:lineRule="auto"/>
        <w:jc w:val="both"/>
        <w:rPr>
          <w:rFonts w:ascii="Arial" w:hAnsi="Arial" w:cs="Arial"/>
          <w:sz w:val="24"/>
          <w:szCs w:val="24"/>
        </w:rPr>
      </w:pPr>
      <w:r w:rsidRPr="0038418C">
        <w:rPr>
          <w:rFonts w:ascii="Arial" w:hAnsi="Arial" w:cs="Arial"/>
          <w:sz w:val="24"/>
          <w:szCs w:val="24"/>
        </w:rPr>
        <w:t xml:space="preserve">The hotel industry also has a lot of employee turnover and few opportunities for career growth. This is made worse by the fact that jobs are seasonal and migration is dropping because of Brexit. According to </w:t>
      </w:r>
      <w:r>
        <w:rPr>
          <w:rFonts w:ascii="Arial" w:hAnsi="Arial" w:cs="Arial"/>
          <w:sz w:val="24"/>
          <w:szCs w:val="24"/>
        </w:rPr>
        <w:t>(</w:t>
      </w:r>
      <w:r w:rsidRPr="0038418C">
        <w:rPr>
          <w:rFonts w:ascii="Arial" w:hAnsi="Arial" w:cs="Arial"/>
          <w:sz w:val="24"/>
          <w:szCs w:val="24"/>
        </w:rPr>
        <w:t>Baum et al.</w:t>
      </w:r>
      <w:r>
        <w:rPr>
          <w:rFonts w:ascii="Arial" w:hAnsi="Arial" w:cs="Arial"/>
          <w:sz w:val="24"/>
          <w:szCs w:val="24"/>
        </w:rPr>
        <w:t xml:space="preserve">, </w:t>
      </w:r>
      <w:r w:rsidRPr="0038418C">
        <w:rPr>
          <w:rFonts w:ascii="Arial" w:hAnsi="Arial" w:cs="Arial"/>
          <w:sz w:val="24"/>
          <w:szCs w:val="24"/>
        </w:rPr>
        <w:t>2020), HR managers are responding by reskilling programs and partnerships with colleges and apprenticeship providers to bring in local talent and make hospitality a skilled, long-term job choice again. These relationships support the CIPD's focus on strategic talent pipelines and show how important it is for businesses and schools to work together to keep the workforce supply going.</w:t>
      </w:r>
    </w:p>
    <w:p w14:paraId="41922EF5" w14:textId="77777777" w:rsidR="0038418C" w:rsidRPr="0043130F" w:rsidRDefault="0038418C" w:rsidP="0043130F">
      <w:pPr>
        <w:pStyle w:val="NoSpacing"/>
        <w:spacing w:line="360" w:lineRule="auto"/>
        <w:jc w:val="both"/>
        <w:rPr>
          <w:rFonts w:ascii="Arial" w:hAnsi="Arial" w:cs="Arial"/>
          <w:sz w:val="24"/>
          <w:szCs w:val="24"/>
        </w:rPr>
      </w:pPr>
    </w:p>
    <w:p w14:paraId="05924455" w14:textId="3B23FD98" w:rsidR="0043130F" w:rsidRDefault="0080793A" w:rsidP="0043130F">
      <w:pPr>
        <w:pStyle w:val="NoSpacing"/>
        <w:spacing w:line="360" w:lineRule="auto"/>
        <w:jc w:val="both"/>
        <w:rPr>
          <w:rFonts w:ascii="Arial" w:hAnsi="Arial" w:cs="Arial"/>
          <w:sz w:val="24"/>
          <w:szCs w:val="24"/>
        </w:rPr>
      </w:pPr>
      <w:r w:rsidRPr="0080793A">
        <w:rPr>
          <w:rFonts w:ascii="Arial" w:hAnsi="Arial" w:cs="Arial"/>
          <w:sz w:val="24"/>
          <w:szCs w:val="24"/>
        </w:rPr>
        <w:t xml:space="preserve">Deficiencies in digital skills also hinder competitiveness across various businesses.  Reports indicate that UK companies persistently underinvest in digital literacy, resulting in deficiencies in data analytics, cybersecurity, and artificial intelligence skills (McKinsey &amp; Company, 2023).  Effective HR strategies encompass the integration of </w:t>
      </w:r>
      <w:r w:rsidRPr="0080793A">
        <w:rPr>
          <w:rFonts w:ascii="Arial" w:hAnsi="Arial" w:cs="Arial"/>
          <w:sz w:val="24"/>
          <w:szCs w:val="24"/>
        </w:rPr>
        <w:lastRenderedPageBreak/>
        <w:t>lifelong learning cultures, the creation of corporate universities, and the use of e-learning systems that facilitate swift and scalable upskilling.</w:t>
      </w:r>
      <w:r w:rsidR="00BB4BFF">
        <w:rPr>
          <w:rFonts w:ascii="Arial" w:hAnsi="Arial" w:cs="Arial"/>
          <w:sz w:val="24"/>
          <w:szCs w:val="24"/>
        </w:rPr>
        <w:t xml:space="preserve"> </w:t>
      </w:r>
      <w:r w:rsidRPr="0080793A">
        <w:rPr>
          <w:rFonts w:ascii="Arial" w:hAnsi="Arial" w:cs="Arial"/>
          <w:sz w:val="24"/>
          <w:szCs w:val="24"/>
        </w:rPr>
        <w:t>This signifies a transition from reactive recruitment to proactive competence development, a characteristic of sophisticated human capital management.</w:t>
      </w:r>
    </w:p>
    <w:p w14:paraId="62631447" w14:textId="77777777" w:rsidR="0080793A" w:rsidRPr="0043130F" w:rsidRDefault="0080793A" w:rsidP="0043130F">
      <w:pPr>
        <w:pStyle w:val="NoSpacing"/>
        <w:spacing w:line="360" w:lineRule="auto"/>
        <w:jc w:val="both"/>
        <w:rPr>
          <w:rFonts w:ascii="Arial" w:hAnsi="Arial" w:cs="Arial"/>
          <w:sz w:val="24"/>
          <w:szCs w:val="24"/>
        </w:rPr>
      </w:pPr>
    </w:p>
    <w:p w14:paraId="084B4F22" w14:textId="77777777" w:rsidR="00CD06C6" w:rsidRDefault="0043130F" w:rsidP="0043130F">
      <w:pPr>
        <w:pStyle w:val="NoSpacing"/>
        <w:spacing w:line="360" w:lineRule="auto"/>
        <w:jc w:val="both"/>
        <w:rPr>
          <w:rFonts w:ascii="Arial" w:hAnsi="Arial" w:cs="Arial"/>
          <w:sz w:val="24"/>
          <w:szCs w:val="24"/>
        </w:rPr>
      </w:pPr>
      <w:r w:rsidRPr="0043130F">
        <w:rPr>
          <w:rFonts w:ascii="Arial" w:hAnsi="Arial" w:cs="Arial"/>
          <w:sz w:val="24"/>
          <w:szCs w:val="24"/>
        </w:rPr>
        <w:t>In conclusion, closing skills gaps and addressing talent shortages demands a sustainable HR strategy that integrates recruitment innovation, ethical AI, lifelong learning, and collaborative partnerships. By applying the principles of Human Capital Theory and the CIPD’s Talent Management Model, organisations can transform short-term labour shortages into opportunities for capability development and long-term competitiveness. Such an approach reinforces the strategic role of HRM in creating adaptive, inclusive, and resilient workforces suited to the evolving demands of the global economy.</w:t>
      </w:r>
    </w:p>
    <w:p w14:paraId="2005F60A" w14:textId="77777777" w:rsidR="00CD06C6" w:rsidRDefault="00CD06C6" w:rsidP="0043130F">
      <w:pPr>
        <w:pStyle w:val="NoSpacing"/>
        <w:spacing w:line="360" w:lineRule="auto"/>
        <w:jc w:val="both"/>
        <w:rPr>
          <w:rFonts w:ascii="Arial" w:hAnsi="Arial" w:cs="Arial"/>
          <w:sz w:val="24"/>
          <w:szCs w:val="24"/>
        </w:rPr>
      </w:pPr>
    </w:p>
    <w:p w14:paraId="5D69AAC8" w14:textId="10B3B30E" w:rsidR="00CD06C6" w:rsidRPr="00CD06C6" w:rsidRDefault="00B7094F" w:rsidP="00CD06C6">
      <w:pPr>
        <w:pStyle w:val="Heading1"/>
        <w:rPr>
          <w:rFonts w:ascii="Arial" w:hAnsi="Arial" w:cs="Arial"/>
          <w:b/>
          <w:bCs/>
          <w:color w:val="auto"/>
          <w:sz w:val="30"/>
          <w:szCs w:val="30"/>
        </w:rPr>
      </w:pPr>
      <w:bookmarkStart w:id="4" w:name="_Toc211543312"/>
      <w:r>
        <w:rPr>
          <w:rFonts w:ascii="Arial" w:hAnsi="Arial" w:cs="Arial"/>
          <w:b/>
          <w:bCs/>
          <w:color w:val="auto"/>
          <w:sz w:val="30"/>
          <w:szCs w:val="30"/>
        </w:rPr>
        <w:t>4</w:t>
      </w:r>
      <w:r w:rsidR="00CD06C6" w:rsidRPr="00CD06C6">
        <w:rPr>
          <w:rFonts w:ascii="Arial" w:hAnsi="Arial" w:cs="Arial"/>
          <w:b/>
          <w:bCs/>
          <w:color w:val="auto"/>
          <w:sz w:val="30"/>
          <w:szCs w:val="30"/>
        </w:rPr>
        <w:t>. Reflective Self-Assessment</w:t>
      </w:r>
      <w:bookmarkEnd w:id="4"/>
    </w:p>
    <w:p w14:paraId="52BBA09E" w14:textId="77777777" w:rsidR="00CD06C6" w:rsidRDefault="00CD06C6" w:rsidP="00CD06C6">
      <w:pPr>
        <w:pStyle w:val="NoSpacing"/>
        <w:spacing w:line="360" w:lineRule="auto"/>
        <w:jc w:val="both"/>
        <w:rPr>
          <w:rFonts w:ascii="Arial" w:hAnsi="Arial" w:cs="Arial"/>
          <w:b/>
          <w:bCs/>
          <w:sz w:val="24"/>
          <w:szCs w:val="24"/>
        </w:rPr>
      </w:pPr>
    </w:p>
    <w:p w14:paraId="08C7F5FB" w14:textId="030D9EC6" w:rsidR="00CD06C6" w:rsidRPr="00CD06C6" w:rsidRDefault="00CD06C6" w:rsidP="00CD06C6">
      <w:pPr>
        <w:pStyle w:val="NoSpacing"/>
        <w:spacing w:line="360" w:lineRule="auto"/>
        <w:jc w:val="both"/>
        <w:rPr>
          <w:rFonts w:ascii="Arial" w:hAnsi="Arial" w:cs="Arial"/>
          <w:b/>
          <w:bCs/>
          <w:sz w:val="24"/>
          <w:szCs w:val="24"/>
        </w:rPr>
      </w:pPr>
      <w:r w:rsidRPr="00CD06C6">
        <w:rPr>
          <w:rFonts w:ascii="Arial" w:hAnsi="Arial" w:cs="Arial"/>
          <w:b/>
          <w:bCs/>
          <w:sz w:val="24"/>
          <w:szCs w:val="24"/>
        </w:rPr>
        <w:t>Description</w:t>
      </w:r>
    </w:p>
    <w:p w14:paraId="439DD888" w14:textId="639064D3" w:rsidR="00CD06C6" w:rsidRDefault="00794046" w:rsidP="00CD06C6">
      <w:pPr>
        <w:pStyle w:val="NoSpacing"/>
        <w:spacing w:line="360" w:lineRule="auto"/>
        <w:jc w:val="both"/>
        <w:rPr>
          <w:rFonts w:ascii="Arial" w:hAnsi="Arial" w:cs="Arial"/>
          <w:sz w:val="24"/>
          <w:szCs w:val="24"/>
        </w:rPr>
      </w:pPr>
      <w:r w:rsidRPr="00794046">
        <w:rPr>
          <w:rFonts w:ascii="Arial" w:hAnsi="Arial" w:cs="Arial"/>
          <w:sz w:val="24"/>
          <w:szCs w:val="24"/>
        </w:rPr>
        <w:t>This process required the use of multiple digital tools, enhancing research and writing efficiency. Through structured planning, literature synthesis, and iterative feedback, my understanding of HRM concepts deepened</w:t>
      </w:r>
      <w:r w:rsidR="00AF2AD6" w:rsidRPr="00AF2AD6">
        <w:rPr>
          <w:rFonts w:ascii="Arial" w:hAnsi="Arial" w:cs="Arial"/>
          <w:sz w:val="24"/>
          <w:szCs w:val="24"/>
        </w:rPr>
        <w:t>. This process required me to adopt technology swiftly, manage complexity, and maintain clarity in academic writing. I structured my work plan, conducted literature reviews, synthesised empirical and conceptual data, and produced analytical sections with integrated theory and examples. Along the way, I communicated results to my supervisor, sought clarifications in seminars, and iterated drafts. This reflective process strengthened my ability to use technology effectively while improving the precision and organisation of my academic work.</w:t>
      </w:r>
    </w:p>
    <w:p w14:paraId="179E4A80" w14:textId="77777777" w:rsidR="00AF2AD6" w:rsidRPr="00CD06C6" w:rsidRDefault="00AF2AD6" w:rsidP="00CD06C6">
      <w:pPr>
        <w:pStyle w:val="NoSpacing"/>
        <w:spacing w:line="360" w:lineRule="auto"/>
        <w:jc w:val="both"/>
        <w:rPr>
          <w:rFonts w:ascii="Arial" w:hAnsi="Arial" w:cs="Arial"/>
          <w:sz w:val="24"/>
          <w:szCs w:val="24"/>
        </w:rPr>
      </w:pPr>
    </w:p>
    <w:p w14:paraId="2E6231C4" w14:textId="7CB8D055" w:rsidR="00CD06C6" w:rsidRPr="00CD06C6" w:rsidRDefault="00CD06C6" w:rsidP="00CD06C6">
      <w:pPr>
        <w:pStyle w:val="NoSpacing"/>
        <w:spacing w:line="360" w:lineRule="auto"/>
        <w:jc w:val="both"/>
        <w:rPr>
          <w:rFonts w:ascii="Arial" w:hAnsi="Arial" w:cs="Arial"/>
          <w:b/>
          <w:bCs/>
          <w:sz w:val="24"/>
          <w:szCs w:val="24"/>
        </w:rPr>
      </w:pPr>
      <w:r w:rsidRPr="00CD06C6">
        <w:rPr>
          <w:rFonts w:ascii="Arial" w:hAnsi="Arial" w:cs="Arial"/>
          <w:b/>
          <w:bCs/>
          <w:sz w:val="24"/>
          <w:szCs w:val="24"/>
        </w:rPr>
        <w:t>Feelings</w:t>
      </w:r>
    </w:p>
    <w:p w14:paraId="081BE839" w14:textId="77777777" w:rsidR="00CD06C6" w:rsidRPr="00CD06C6" w:rsidRDefault="00CD06C6" w:rsidP="00CD06C6">
      <w:pPr>
        <w:pStyle w:val="NoSpacing"/>
        <w:spacing w:line="360" w:lineRule="auto"/>
        <w:jc w:val="both"/>
        <w:rPr>
          <w:rFonts w:ascii="Arial" w:hAnsi="Arial" w:cs="Arial"/>
          <w:sz w:val="24"/>
          <w:szCs w:val="24"/>
        </w:rPr>
      </w:pPr>
      <w:r w:rsidRPr="00CD06C6">
        <w:rPr>
          <w:rFonts w:ascii="Arial" w:hAnsi="Arial" w:cs="Arial"/>
          <w:sz w:val="24"/>
          <w:szCs w:val="24"/>
        </w:rPr>
        <w:t xml:space="preserve">At the outset, I felt a mixture of excitement and apprehension. The technological tools were partially unfamiliar, and aligning theory with empirical data felt daunting. I was enthusiastic about improving my analytical capability but cautious about making errors. As I progressed, I became more assured; successfully visualising HR trends and </w:t>
      </w:r>
      <w:r w:rsidRPr="00CD06C6">
        <w:rPr>
          <w:rFonts w:ascii="Arial" w:hAnsi="Arial" w:cs="Arial"/>
          <w:sz w:val="24"/>
          <w:szCs w:val="24"/>
        </w:rPr>
        <w:lastRenderedPageBreak/>
        <w:t>integrating models into my narrative gave confidence. Some moments were stressful when deadlines approached, but seeing the coherence of the sections build over time brought satisfaction and motivation to refine further.</w:t>
      </w:r>
    </w:p>
    <w:p w14:paraId="31A89924" w14:textId="77777777" w:rsidR="00CD06C6" w:rsidRPr="00CD06C6" w:rsidRDefault="00CD06C6" w:rsidP="00CD06C6">
      <w:pPr>
        <w:pStyle w:val="NoSpacing"/>
        <w:spacing w:line="360" w:lineRule="auto"/>
        <w:jc w:val="both"/>
        <w:rPr>
          <w:rFonts w:ascii="Arial" w:hAnsi="Arial" w:cs="Arial"/>
          <w:sz w:val="24"/>
          <w:szCs w:val="24"/>
        </w:rPr>
      </w:pPr>
    </w:p>
    <w:p w14:paraId="41DE411D" w14:textId="3C90CF72" w:rsidR="00CD06C6" w:rsidRPr="00CD06C6" w:rsidRDefault="00CD06C6" w:rsidP="00CD06C6">
      <w:pPr>
        <w:pStyle w:val="NoSpacing"/>
        <w:spacing w:line="360" w:lineRule="auto"/>
        <w:jc w:val="both"/>
        <w:rPr>
          <w:rFonts w:ascii="Arial" w:hAnsi="Arial" w:cs="Arial"/>
          <w:b/>
          <w:bCs/>
          <w:sz w:val="24"/>
          <w:szCs w:val="24"/>
        </w:rPr>
      </w:pPr>
      <w:r w:rsidRPr="00CD06C6">
        <w:rPr>
          <w:rFonts w:ascii="Arial" w:hAnsi="Arial" w:cs="Arial"/>
          <w:b/>
          <w:bCs/>
          <w:sz w:val="24"/>
          <w:szCs w:val="24"/>
        </w:rPr>
        <w:t>Evaluation</w:t>
      </w:r>
    </w:p>
    <w:p w14:paraId="0674D5D2" w14:textId="4CD03B52" w:rsidR="00CD06C6" w:rsidRPr="00CD06C6" w:rsidRDefault="00CD06C6" w:rsidP="00CD06C6">
      <w:pPr>
        <w:pStyle w:val="NoSpacing"/>
        <w:spacing w:line="360" w:lineRule="auto"/>
        <w:jc w:val="both"/>
        <w:rPr>
          <w:rFonts w:ascii="Arial" w:hAnsi="Arial" w:cs="Arial"/>
          <w:sz w:val="24"/>
          <w:szCs w:val="24"/>
        </w:rPr>
      </w:pPr>
      <w:r w:rsidRPr="00CD06C6">
        <w:rPr>
          <w:rFonts w:ascii="Arial" w:hAnsi="Arial" w:cs="Arial"/>
          <w:sz w:val="24"/>
          <w:szCs w:val="24"/>
        </w:rPr>
        <w:t>What went well: I consistently met internal milestones, steadily improved clarity of argumentation, and managed tight integration between theory, evidence, and application. My referencing became more robust via UWTSD library databases and Google Scholar searches. I exploited feedback from tutors to enhance transitions and critique. What did not go so well</w:t>
      </w:r>
      <w:r w:rsidR="00AF2AD6">
        <w:rPr>
          <w:rFonts w:ascii="Arial" w:hAnsi="Arial" w:cs="Arial"/>
          <w:sz w:val="24"/>
          <w:szCs w:val="24"/>
        </w:rPr>
        <w:t>,</w:t>
      </w:r>
      <w:r w:rsidRPr="00CD06C6">
        <w:rPr>
          <w:rFonts w:ascii="Arial" w:hAnsi="Arial" w:cs="Arial"/>
          <w:sz w:val="24"/>
          <w:szCs w:val="24"/>
        </w:rPr>
        <w:t xml:space="preserve"> there were occasional lapses where I misinterpreted a model or inserted a citation incorrectly, requiring later correction. Also, during technological adoption, I delayed using some functionalities until late, which added pressure. The tension between exploring depth and maintaining coherence sometimes slowed progress.</w:t>
      </w:r>
    </w:p>
    <w:p w14:paraId="4B3B9C6D" w14:textId="77777777" w:rsidR="00CD06C6" w:rsidRPr="00CD06C6" w:rsidRDefault="00CD06C6" w:rsidP="00CD06C6">
      <w:pPr>
        <w:pStyle w:val="NoSpacing"/>
        <w:spacing w:line="360" w:lineRule="auto"/>
        <w:jc w:val="both"/>
        <w:rPr>
          <w:rFonts w:ascii="Arial" w:hAnsi="Arial" w:cs="Arial"/>
          <w:sz w:val="24"/>
          <w:szCs w:val="24"/>
        </w:rPr>
      </w:pPr>
    </w:p>
    <w:p w14:paraId="403B39EA" w14:textId="720E312A" w:rsidR="00CD06C6" w:rsidRPr="00CD06C6" w:rsidRDefault="00CD06C6" w:rsidP="00CD06C6">
      <w:pPr>
        <w:pStyle w:val="NoSpacing"/>
        <w:spacing w:line="360" w:lineRule="auto"/>
        <w:jc w:val="both"/>
        <w:rPr>
          <w:rFonts w:ascii="Arial" w:hAnsi="Arial" w:cs="Arial"/>
          <w:b/>
          <w:bCs/>
          <w:sz w:val="24"/>
          <w:szCs w:val="24"/>
        </w:rPr>
      </w:pPr>
      <w:r w:rsidRPr="00CD06C6">
        <w:rPr>
          <w:rFonts w:ascii="Arial" w:hAnsi="Arial" w:cs="Arial"/>
          <w:b/>
          <w:bCs/>
          <w:sz w:val="24"/>
          <w:szCs w:val="24"/>
        </w:rPr>
        <w:t>Analysis</w:t>
      </w:r>
    </w:p>
    <w:p w14:paraId="5D2E1419" w14:textId="06EC9CC1" w:rsidR="00CD06C6" w:rsidRDefault="00AF2AD6" w:rsidP="00CD06C6">
      <w:pPr>
        <w:pStyle w:val="NoSpacing"/>
        <w:spacing w:line="360" w:lineRule="auto"/>
        <w:jc w:val="both"/>
        <w:rPr>
          <w:rFonts w:ascii="Arial" w:hAnsi="Arial" w:cs="Arial"/>
          <w:sz w:val="24"/>
          <w:szCs w:val="24"/>
        </w:rPr>
      </w:pPr>
      <w:r w:rsidRPr="00AF2AD6">
        <w:rPr>
          <w:rFonts w:ascii="Arial" w:hAnsi="Arial" w:cs="Arial"/>
          <w:sz w:val="24"/>
          <w:szCs w:val="24"/>
        </w:rPr>
        <w:t>Utilising Moon’s (2013) model of reflective learning offered a systematic framework to analyse each phase of my academic and professional growth.</w:t>
      </w:r>
      <w:r>
        <w:rPr>
          <w:rFonts w:ascii="Arial" w:hAnsi="Arial" w:cs="Arial"/>
          <w:sz w:val="24"/>
          <w:szCs w:val="24"/>
        </w:rPr>
        <w:t xml:space="preserve"> </w:t>
      </w:r>
      <w:r w:rsidRPr="00AF2AD6">
        <w:rPr>
          <w:rFonts w:ascii="Arial" w:hAnsi="Arial" w:cs="Arial"/>
          <w:sz w:val="24"/>
          <w:szCs w:val="24"/>
        </w:rPr>
        <w:t>Moon asserts that contemplation facilitates profound learning by synthesising experience, emotional awareness, and conceptual comprehension.</w:t>
      </w:r>
      <w:r>
        <w:rPr>
          <w:rFonts w:ascii="Arial" w:hAnsi="Arial" w:cs="Arial"/>
          <w:sz w:val="24"/>
          <w:szCs w:val="24"/>
        </w:rPr>
        <w:t xml:space="preserve"> </w:t>
      </w:r>
      <w:r w:rsidRPr="00AF2AD6">
        <w:rPr>
          <w:rFonts w:ascii="Arial" w:hAnsi="Arial" w:cs="Arial"/>
          <w:sz w:val="24"/>
          <w:szCs w:val="24"/>
        </w:rPr>
        <w:t>This methodology enabled me to carefully examine my experiences, discerning what was effective, what was ineffective, and how enhancements could be executed.  Kolb’s Experiential Learning (2014) theoretically enhances this process through tangible experience (utilising digital tools and writing), reflective observation, abstract conceptualisation (connecting to theory), and active experimentation (implementing enhancements).</w:t>
      </w:r>
    </w:p>
    <w:p w14:paraId="0867F71B" w14:textId="77777777" w:rsidR="00AF2AD6" w:rsidRPr="00CD06C6" w:rsidRDefault="00AF2AD6" w:rsidP="00CD06C6">
      <w:pPr>
        <w:pStyle w:val="NoSpacing"/>
        <w:spacing w:line="360" w:lineRule="auto"/>
        <w:jc w:val="both"/>
        <w:rPr>
          <w:rFonts w:ascii="Arial" w:hAnsi="Arial" w:cs="Arial"/>
          <w:sz w:val="24"/>
          <w:szCs w:val="24"/>
        </w:rPr>
      </w:pPr>
    </w:p>
    <w:p w14:paraId="056D8539" w14:textId="6AB08593" w:rsidR="00CD06C6" w:rsidRDefault="00AF2AD6" w:rsidP="00CD06C6">
      <w:pPr>
        <w:pStyle w:val="NoSpacing"/>
        <w:spacing w:line="360" w:lineRule="auto"/>
        <w:jc w:val="both"/>
        <w:rPr>
          <w:rFonts w:ascii="Arial" w:hAnsi="Arial" w:cs="Arial"/>
          <w:sz w:val="24"/>
          <w:szCs w:val="24"/>
        </w:rPr>
      </w:pPr>
      <w:r w:rsidRPr="00AF2AD6">
        <w:rPr>
          <w:rFonts w:ascii="Arial" w:hAnsi="Arial" w:cs="Arial"/>
          <w:sz w:val="24"/>
          <w:szCs w:val="24"/>
        </w:rPr>
        <w:t>Concerning Emotional Intelligence (Goleman, 1998), I exercised self-awareness and self-regulation throughout stressful periods, effectively controlling irritation and sustaining motivation.</w:t>
      </w:r>
      <w:r>
        <w:rPr>
          <w:rFonts w:ascii="Arial" w:hAnsi="Arial" w:cs="Arial"/>
          <w:sz w:val="24"/>
          <w:szCs w:val="24"/>
        </w:rPr>
        <w:t xml:space="preserve"> </w:t>
      </w:r>
      <w:r w:rsidRPr="00AF2AD6">
        <w:rPr>
          <w:rFonts w:ascii="Arial" w:hAnsi="Arial" w:cs="Arial"/>
          <w:sz w:val="24"/>
          <w:szCs w:val="24"/>
        </w:rPr>
        <w:t>My reflective approach corresponds with the concepts of Transformational Leadership by establishing clear objectives and maintaining a commitment to continual growth. While not directed at guiding others, these acts exemplified self-leadership in my learning journey.</w:t>
      </w:r>
    </w:p>
    <w:p w14:paraId="261CEEEF" w14:textId="77777777" w:rsidR="00AF2AD6" w:rsidRPr="00CD06C6" w:rsidRDefault="00AF2AD6" w:rsidP="00CD06C6">
      <w:pPr>
        <w:pStyle w:val="NoSpacing"/>
        <w:spacing w:line="360" w:lineRule="auto"/>
        <w:jc w:val="both"/>
        <w:rPr>
          <w:rFonts w:ascii="Arial" w:hAnsi="Arial" w:cs="Arial"/>
          <w:sz w:val="24"/>
          <w:szCs w:val="24"/>
        </w:rPr>
      </w:pPr>
    </w:p>
    <w:p w14:paraId="6FF9BD82" w14:textId="6BF9D128" w:rsidR="00CD06C6" w:rsidRDefault="000366B2" w:rsidP="00CD06C6">
      <w:pPr>
        <w:pStyle w:val="NoSpacing"/>
        <w:spacing w:line="360" w:lineRule="auto"/>
        <w:jc w:val="both"/>
        <w:rPr>
          <w:rFonts w:ascii="Arial" w:hAnsi="Arial" w:cs="Arial"/>
          <w:sz w:val="24"/>
          <w:szCs w:val="24"/>
        </w:rPr>
      </w:pPr>
      <w:r w:rsidRPr="000366B2">
        <w:rPr>
          <w:rFonts w:ascii="Arial" w:hAnsi="Arial" w:cs="Arial"/>
          <w:sz w:val="24"/>
          <w:szCs w:val="24"/>
        </w:rPr>
        <w:lastRenderedPageBreak/>
        <w:t>Regarding technology adoption, Rogers’ (2003) Diffusion of Innovations theory was particularly relevant. Initially, I was cautious in using advanced analytics tools, but over time, through experimentation and feedback, I adopted them effectively. This enhanced my ability to use HR analytics and strengthened my confidence in integrating digital methods into academic work. The reflection highlighted the importance of adaptability and openness to change when engaging with new technologies, which are essential attributes for contemporary HR and business analytics professionals.</w:t>
      </w:r>
    </w:p>
    <w:p w14:paraId="6613359D" w14:textId="77777777" w:rsidR="000366B2" w:rsidRPr="00CD06C6" w:rsidRDefault="000366B2" w:rsidP="00CD06C6">
      <w:pPr>
        <w:pStyle w:val="NoSpacing"/>
        <w:spacing w:line="360" w:lineRule="auto"/>
        <w:jc w:val="both"/>
        <w:rPr>
          <w:rFonts w:ascii="Arial" w:hAnsi="Arial" w:cs="Arial"/>
          <w:sz w:val="24"/>
          <w:szCs w:val="24"/>
        </w:rPr>
      </w:pPr>
    </w:p>
    <w:p w14:paraId="5AE81AFD" w14:textId="77777777" w:rsidR="00CD06C6" w:rsidRPr="000366B2" w:rsidRDefault="00CD06C6" w:rsidP="000366B2">
      <w:pPr>
        <w:pStyle w:val="Heading1"/>
        <w:rPr>
          <w:rFonts w:ascii="Arial" w:hAnsi="Arial" w:cs="Arial"/>
          <w:b/>
          <w:bCs/>
          <w:color w:val="auto"/>
          <w:sz w:val="30"/>
          <w:szCs w:val="30"/>
        </w:rPr>
      </w:pPr>
      <w:bookmarkStart w:id="5" w:name="_Toc211543313"/>
      <w:r w:rsidRPr="000366B2">
        <w:rPr>
          <w:rFonts w:ascii="Arial" w:hAnsi="Arial" w:cs="Arial"/>
          <w:b/>
          <w:bCs/>
          <w:color w:val="auto"/>
          <w:sz w:val="30"/>
          <w:szCs w:val="30"/>
        </w:rPr>
        <w:t>Conclusion</w:t>
      </w:r>
      <w:bookmarkEnd w:id="5"/>
    </w:p>
    <w:p w14:paraId="15603201" w14:textId="77777777" w:rsidR="00CD06C6" w:rsidRPr="00CD06C6" w:rsidRDefault="00CD06C6" w:rsidP="00CD06C6">
      <w:pPr>
        <w:pStyle w:val="NoSpacing"/>
        <w:spacing w:line="360" w:lineRule="auto"/>
        <w:jc w:val="both"/>
        <w:rPr>
          <w:rFonts w:ascii="Arial" w:hAnsi="Arial" w:cs="Arial"/>
          <w:sz w:val="24"/>
          <w:szCs w:val="24"/>
        </w:rPr>
      </w:pPr>
    </w:p>
    <w:p w14:paraId="266B1EE4" w14:textId="4CC44B27" w:rsidR="00CD06C6" w:rsidRPr="00CD06C6" w:rsidRDefault="00CD06C6" w:rsidP="00CD06C6">
      <w:pPr>
        <w:pStyle w:val="NoSpacing"/>
        <w:spacing w:line="360" w:lineRule="auto"/>
        <w:jc w:val="both"/>
        <w:rPr>
          <w:rFonts w:ascii="Arial" w:hAnsi="Arial" w:cs="Arial"/>
          <w:sz w:val="24"/>
          <w:szCs w:val="24"/>
        </w:rPr>
      </w:pPr>
      <w:r w:rsidRPr="00CD06C6">
        <w:rPr>
          <w:rFonts w:ascii="Arial" w:hAnsi="Arial" w:cs="Arial"/>
          <w:sz w:val="24"/>
          <w:szCs w:val="24"/>
        </w:rPr>
        <w:t>This reflective exercise taught me that mastering an assignment entails more than content it demands emotional regulation, deliberate learning strategies, and adaptability. I learned to balance exploring theoretical depth with maintaining narrative clarity. My confidence in integrating technology and academic reasoning strengthened. Recognising my occasional delay in early adoption and occasional overcommitment of detail, I see the need for proactive planning and incremental experimentation.</w:t>
      </w:r>
    </w:p>
    <w:p w14:paraId="768CD216" w14:textId="77777777" w:rsidR="00CD06C6" w:rsidRPr="00CD06C6" w:rsidRDefault="00CD06C6" w:rsidP="00CD06C6">
      <w:pPr>
        <w:pStyle w:val="NoSpacing"/>
        <w:spacing w:line="360" w:lineRule="auto"/>
        <w:jc w:val="both"/>
        <w:rPr>
          <w:rFonts w:ascii="Arial" w:hAnsi="Arial" w:cs="Arial"/>
          <w:sz w:val="24"/>
          <w:szCs w:val="24"/>
        </w:rPr>
      </w:pPr>
    </w:p>
    <w:p w14:paraId="16166027" w14:textId="67DC8D42" w:rsidR="00CD06C6" w:rsidRDefault="00CD06C6" w:rsidP="00CD06C6">
      <w:pPr>
        <w:pStyle w:val="NoSpacing"/>
        <w:spacing w:line="360" w:lineRule="auto"/>
        <w:jc w:val="both"/>
        <w:rPr>
          <w:rFonts w:ascii="Arial" w:hAnsi="Arial" w:cs="Arial"/>
          <w:b/>
          <w:bCs/>
          <w:sz w:val="24"/>
          <w:szCs w:val="24"/>
        </w:rPr>
      </w:pPr>
      <w:r w:rsidRPr="000366B2">
        <w:rPr>
          <w:rFonts w:ascii="Arial" w:hAnsi="Arial" w:cs="Arial"/>
          <w:b/>
          <w:bCs/>
          <w:sz w:val="24"/>
          <w:szCs w:val="24"/>
        </w:rPr>
        <w:t>Action Plan</w:t>
      </w:r>
      <w:r w:rsidR="00855DBA">
        <w:rPr>
          <w:rFonts w:ascii="Arial" w:hAnsi="Arial" w:cs="Arial"/>
          <w:b/>
          <w:bCs/>
          <w:sz w:val="24"/>
          <w:szCs w:val="24"/>
        </w:rPr>
        <w:t>:</w:t>
      </w:r>
    </w:p>
    <w:p w14:paraId="1A5EE530" w14:textId="77777777" w:rsidR="00855DBA" w:rsidRPr="000366B2" w:rsidRDefault="00855DBA" w:rsidP="00CD06C6">
      <w:pPr>
        <w:pStyle w:val="NoSpacing"/>
        <w:spacing w:line="360" w:lineRule="auto"/>
        <w:jc w:val="both"/>
        <w:rPr>
          <w:rFonts w:ascii="Arial" w:hAnsi="Arial" w:cs="Arial"/>
          <w:b/>
          <w:bCs/>
          <w:sz w:val="24"/>
          <w:szCs w:val="24"/>
        </w:rPr>
      </w:pPr>
    </w:p>
    <w:p w14:paraId="2D23940E" w14:textId="610625C3" w:rsidR="00CD06C6" w:rsidRPr="00D76C33" w:rsidRDefault="00CD06C6" w:rsidP="00CD06C6">
      <w:pPr>
        <w:pStyle w:val="NoSpacing"/>
        <w:spacing w:line="360" w:lineRule="auto"/>
        <w:jc w:val="both"/>
        <w:rPr>
          <w:rFonts w:ascii="Arial" w:hAnsi="Arial" w:cs="Arial"/>
          <w:i/>
          <w:iCs/>
          <w:sz w:val="24"/>
          <w:szCs w:val="24"/>
        </w:rPr>
      </w:pPr>
      <w:r w:rsidRPr="00D76C33">
        <w:rPr>
          <w:rFonts w:ascii="Arial" w:hAnsi="Arial" w:cs="Arial"/>
          <w:i/>
          <w:iCs/>
          <w:sz w:val="24"/>
          <w:szCs w:val="24"/>
        </w:rPr>
        <w:t>To continue improving, I propose these SMART goals:</w:t>
      </w:r>
    </w:p>
    <w:p w14:paraId="48F3B07B" w14:textId="77777777" w:rsidR="00CD06C6" w:rsidRPr="00CD06C6" w:rsidRDefault="00CD06C6" w:rsidP="00CD06C6">
      <w:pPr>
        <w:pStyle w:val="NoSpacing"/>
        <w:spacing w:line="360" w:lineRule="auto"/>
        <w:jc w:val="both"/>
        <w:rPr>
          <w:rFonts w:ascii="Arial" w:hAnsi="Arial" w:cs="Arial"/>
          <w:sz w:val="24"/>
          <w:szCs w:val="24"/>
        </w:rPr>
      </w:pPr>
      <w:r w:rsidRPr="000366B2">
        <w:rPr>
          <w:rFonts w:ascii="Arial" w:hAnsi="Arial" w:cs="Arial"/>
          <w:b/>
          <w:bCs/>
          <w:sz w:val="24"/>
          <w:szCs w:val="24"/>
        </w:rPr>
        <w:t>Time management enhancement</w:t>
      </w:r>
      <w:r w:rsidRPr="00CD06C6">
        <w:rPr>
          <w:rFonts w:ascii="Arial" w:hAnsi="Arial" w:cs="Arial"/>
          <w:sz w:val="24"/>
          <w:szCs w:val="24"/>
        </w:rPr>
        <w:t xml:space="preserve"> – adopt a weekly time-boxing schedule using Trello or Notion for the next 10 weeks, assigning blocks for research, writing, and review, and reflect weekly on adherence.</w:t>
      </w:r>
    </w:p>
    <w:p w14:paraId="47C63EE4" w14:textId="77777777" w:rsidR="00CD06C6" w:rsidRPr="00CD06C6" w:rsidRDefault="00CD06C6" w:rsidP="00CD06C6">
      <w:pPr>
        <w:pStyle w:val="NoSpacing"/>
        <w:spacing w:line="360" w:lineRule="auto"/>
        <w:jc w:val="both"/>
        <w:rPr>
          <w:rFonts w:ascii="Arial" w:hAnsi="Arial" w:cs="Arial"/>
          <w:sz w:val="24"/>
          <w:szCs w:val="24"/>
        </w:rPr>
      </w:pPr>
    </w:p>
    <w:p w14:paraId="6F8D04CA" w14:textId="1C269462" w:rsidR="00CD06C6" w:rsidRDefault="00CD06C6" w:rsidP="00CD06C6">
      <w:pPr>
        <w:pStyle w:val="NoSpacing"/>
        <w:spacing w:line="360" w:lineRule="auto"/>
        <w:jc w:val="both"/>
        <w:rPr>
          <w:rFonts w:ascii="Arial" w:hAnsi="Arial" w:cs="Arial"/>
          <w:sz w:val="24"/>
          <w:szCs w:val="24"/>
        </w:rPr>
      </w:pPr>
      <w:r w:rsidRPr="000366B2">
        <w:rPr>
          <w:rFonts w:ascii="Arial" w:hAnsi="Arial" w:cs="Arial"/>
          <w:b/>
          <w:bCs/>
          <w:sz w:val="24"/>
          <w:szCs w:val="24"/>
        </w:rPr>
        <w:t>Advance analytical tool proficiency</w:t>
      </w:r>
      <w:r w:rsidRPr="00CD06C6">
        <w:rPr>
          <w:rFonts w:ascii="Arial" w:hAnsi="Arial" w:cs="Arial"/>
          <w:sz w:val="24"/>
          <w:szCs w:val="24"/>
        </w:rPr>
        <w:t xml:space="preserve"> – </w:t>
      </w:r>
      <w:r w:rsidR="00D76C33" w:rsidRPr="00D76C33">
        <w:rPr>
          <w:rFonts w:ascii="Arial" w:hAnsi="Arial" w:cs="Arial"/>
          <w:sz w:val="24"/>
          <w:szCs w:val="24"/>
        </w:rPr>
        <w:t xml:space="preserve">complete two online workshops or tutorials available through the UWTSD Library or Google Scholar guides on effective academic database searching and citation management using </w:t>
      </w:r>
      <w:proofErr w:type="spellStart"/>
      <w:r w:rsidR="00D76C33" w:rsidRPr="00D76C33">
        <w:rPr>
          <w:rFonts w:ascii="Arial" w:hAnsi="Arial" w:cs="Arial"/>
          <w:sz w:val="24"/>
          <w:szCs w:val="24"/>
        </w:rPr>
        <w:t>MyBib</w:t>
      </w:r>
      <w:proofErr w:type="spellEnd"/>
      <w:r w:rsidR="00D76C33" w:rsidRPr="00D76C33">
        <w:rPr>
          <w:rFonts w:ascii="Arial" w:hAnsi="Arial" w:cs="Arial"/>
          <w:sz w:val="24"/>
          <w:szCs w:val="24"/>
        </w:rPr>
        <w:t xml:space="preserve"> within the next semester, to enhance the accuracy, efficiency, and academic quality of future research projects.</w:t>
      </w:r>
    </w:p>
    <w:p w14:paraId="08092782" w14:textId="77777777" w:rsidR="00D76C33" w:rsidRPr="00CD06C6" w:rsidRDefault="00D76C33" w:rsidP="00CD06C6">
      <w:pPr>
        <w:pStyle w:val="NoSpacing"/>
        <w:spacing w:line="360" w:lineRule="auto"/>
        <w:jc w:val="both"/>
        <w:rPr>
          <w:rFonts w:ascii="Arial" w:hAnsi="Arial" w:cs="Arial"/>
          <w:sz w:val="24"/>
          <w:szCs w:val="24"/>
        </w:rPr>
      </w:pPr>
    </w:p>
    <w:p w14:paraId="0FFDA775" w14:textId="77777777" w:rsidR="00CD06C6" w:rsidRPr="00CD06C6" w:rsidRDefault="00CD06C6" w:rsidP="00CD06C6">
      <w:pPr>
        <w:pStyle w:val="NoSpacing"/>
        <w:spacing w:line="360" w:lineRule="auto"/>
        <w:jc w:val="both"/>
        <w:rPr>
          <w:rFonts w:ascii="Arial" w:hAnsi="Arial" w:cs="Arial"/>
          <w:sz w:val="24"/>
          <w:szCs w:val="24"/>
        </w:rPr>
      </w:pPr>
      <w:r w:rsidRPr="000366B2">
        <w:rPr>
          <w:rFonts w:ascii="Arial" w:hAnsi="Arial" w:cs="Arial"/>
          <w:b/>
          <w:bCs/>
          <w:sz w:val="24"/>
          <w:szCs w:val="24"/>
        </w:rPr>
        <w:t>Strengthen self-reflection practice</w:t>
      </w:r>
      <w:r w:rsidRPr="00CD06C6">
        <w:rPr>
          <w:rFonts w:ascii="Arial" w:hAnsi="Arial" w:cs="Arial"/>
          <w:sz w:val="24"/>
          <w:szCs w:val="24"/>
        </w:rPr>
        <w:t xml:space="preserve"> – maintain a brief reflective learning journal after each major assignment task, reviewing themes monthly to detect recurring challenges and monitor growth.</w:t>
      </w:r>
    </w:p>
    <w:p w14:paraId="110DE08A" w14:textId="77777777" w:rsidR="00CD06C6" w:rsidRPr="00CD06C6" w:rsidRDefault="00CD06C6" w:rsidP="00CD06C6">
      <w:pPr>
        <w:pStyle w:val="NoSpacing"/>
        <w:spacing w:line="360" w:lineRule="auto"/>
        <w:jc w:val="both"/>
        <w:rPr>
          <w:rFonts w:ascii="Arial" w:hAnsi="Arial" w:cs="Arial"/>
          <w:sz w:val="24"/>
          <w:szCs w:val="24"/>
        </w:rPr>
      </w:pPr>
    </w:p>
    <w:p w14:paraId="3FE75CDD" w14:textId="5C6BC7FA" w:rsidR="009B313B" w:rsidRPr="00756127" w:rsidRDefault="00CD06C6" w:rsidP="00CD06C6">
      <w:pPr>
        <w:pStyle w:val="NoSpacing"/>
        <w:spacing w:line="360" w:lineRule="auto"/>
        <w:jc w:val="both"/>
      </w:pPr>
      <w:r w:rsidRPr="00CD06C6">
        <w:rPr>
          <w:rFonts w:ascii="Arial" w:hAnsi="Arial" w:cs="Arial"/>
          <w:sz w:val="24"/>
          <w:szCs w:val="24"/>
        </w:rPr>
        <w:t>These measures aim to embed ongoing learning, emotional regulation, and technological fluency into my professional development journey.</w:t>
      </w:r>
      <w:r w:rsidR="009B313B" w:rsidRPr="00756127">
        <w:br w:type="page"/>
      </w:r>
    </w:p>
    <w:p w14:paraId="57E29343" w14:textId="3ABC2944" w:rsidR="00E10A6A" w:rsidRDefault="009B313B" w:rsidP="009B313B">
      <w:pPr>
        <w:pStyle w:val="Heading1"/>
        <w:rPr>
          <w:rFonts w:ascii="Arial" w:hAnsi="Arial" w:cs="Arial"/>
          <w:b/>
          <w:bCs/>
          <w:color w:val="000000" w:themeColor="text1"/>
          <w:sz w:val="30"/>
          <w:szCs w:val="30"/>
        </w:rPr>
      </w:pPr>
      <w:bookmarkStart w:id="6" w:name="_Toc211543314"/>
      <w:r w:rsidRPr="009B313B">
        <w:rPr>
          <w:rFonts w:ascii="Arial" w:hAnsi="Arial" w:cs="Arial"/>
          <w:b/>
          <w:bCs/>
          <w:color w:val="000000" w:themeColor="text1"/>
          <w:sz w:val="30"/>
          <w:szCs w:val="30"/>
        </w:rPr>
        <w:lastRenderedPageBreak/>
        <w:t>Reference</w:t>
      </w:r>
      <w:bookmarkEnd w:id="6"/>
    </w:p>
    <w:p w14:paraId="04CA3CFB" w14:textId="77777777" w:rsidR="009B313B" w:rsidRPr="00855DBA" w:rsidRDefault="009B313B" w:rsidP="00855DBA">
      <w:pPr>
        <w:pStyle w:val="NoSpacing"/>
        <w:jc w:val="both"/>
        <w:rPr>
          <w:rFonts w:ascii="Arial" w:hAnsi="Arial" w:cs="Arial"/>
          <w:sz w:val="24"/>
          <w:szCs w:val="24"/>
        </w:rPr>
      </w:pPr>
    </w:p>
    <w:p w14:paraId="58E9674B" w14:textId="77777777" w:rsidR="003A2032" w:rsidRPr="00855DBA" w:rsidRDefault="009B313B" w:rsidP="00855DBA">
      <w:pPr>
        <w:pStyle w:val="NoSpacing"/>
        <w:jc w:val="both"/>
        <w:rPr>
          <w:rFonts w:ascii="Arial" w:hAnsi="Arial" w:cs="Arial"/>
          <w:sz w:val="24"/>
          <w:szCs w:val="24"/>
        </w:rPr>
      </w:pPr>
      <w:proofErr w:type="spellStart"/>
      <w:r w:rsidRPr="00855DBA">
        <w:rPr>
          <w:rFonts w:ascii="Arial" w:hAnsi="Arial" w:cs="Arial"/>
          <w:sz w:val="24"/>
          <w:szCs w:val="24"/>
        </w:rPr>
        <w:t>Opatha</w:t>
      </w:r>
      <w:proofErr w:type="spellEnd"/>
      <w:r w:rsidRPr="00855DBA">
        <w:rPr>
          <w:rFonts w:ascii="Arial" w:hAnsi="Arial" w:cs="Arial"/>
          <w:sz w:val="24"/>
          <w:szCs w:val="24"/>
        </w:rPr>
        <w:t>, H.H.D.N.P., 2021. A simplified study of definitions of human resource management. Sri Lankan Journal of Human Resource Management, 11(1).</w:t>
      </w:r>
    </w:p>
    <w:p w14:paraId="02AA35FE" w14:textId="77777777" w:rsidR="00855DBA" w:rsidRPr="00855DBA" w:rsidRDefault="00855DBA" w:rsidP="00855DBA">
      <w:pPr>
        <w:pStyle w:val="NoSpacing"/>
        <w:jc w:val="both"/>
        <w:rPr>
          <w:rFonts w:ascii="Arial" w:hAnsi="Arial" w:cs="Arial"/>
          <w:sz w:val="24"/>
          <w:szCs w:val="24"/>
        </w:rPr>
      </w:pPr>
    </w:p>
    <w:p w14:paraId="183FDFE4" w14:textId="7FB8A870" w:rsidR="003A2032" w:rsidRPr="00855DBA" w:rsidRDefault="003A2032" w:rsidP="00855DBA">
      <w:pPr>
        <w:pStyle w:val="NoSpacing"/>
        <w:jc w:val="both"/>
        <w:rPr>
          <w:rFonts w:ascii="Arial" w:hAnsi="Arial" w:cs="Arial"/>
          <w:sz w:val="24"/>
          <w:szCs w:val="24"/>
        </w:rPr>
      </w:pPr>
      <w:r w:rsidRPr="00855DBA">
        <w:rPr>
          <w:rFonts w:ascii="Arial" w:hAnsi="Arial" w:cs="Arial"/>
          <w:sz w:val="24"/>
          <w:szCs w:val="24"/>
        </w:rPr>
        <w:t>Taylor, S., Beechler, S., &amp; Napier, N. (1996). Toward an Integrative Model of Strategic International Human Resource Management. </w:t>
      </w:r>
      <w:r w:rsidRPr="00855DBA">
        <w:rPr>
          <w:rFonts w:ascii="Arial" w:hAnsi="Arial" w:cs="Arial"/>
          <w:i/>
          <w:iCs/>
          <w:sz w:val="24"/>
          <w:szCs w:val="24"/>
        </w:rPr>
        <w:t>The Academy of Management Review</w:t>
      </w:r>
      <w:r w:rsidRPr="00855DBA">
        <w:rPr>
          <w:rFonts w:ascii="Arial" w:hAnsi="Arial" w:cs="Arial"/>
          <w:sz w:val="24"/>
          <w:szCs w:val="24"/>
        </w:rPr>
        <w:t>, </w:t>
      </w:r>
      <w:r w:rsidRPr="00855DBA">
        <w:rPr>
          <w:rFonts w:ascii="Arial" w:hAnsi="Arial" w:cs="Arial"/>
          <w:i/>
          <w:iCs/>
          <w:sz w:val="24"/>
          <w:szCs w:val="24"/>
        </w:rPr>
        <w:t>21</w:t>
      </w:r>
      <w:r w:rsidRPr="00855DBA">
        <w:rPr>
          <w:rFonts w:ascii="Arial" w:hAnsi="Arial" w:cs="Arial"/>
          <w:sz w:val="24"/>
          <w:szCs w:val="24"/>
        </w:rPr>
        <w:t xml:space="preserve">(4), 959–985. </w:t>
      </w:r>
      <w:hyperlink r:id="rId11" w:history="1">
        <w:r w:rsidRPr="00855DBA">
          <w:rPr>
            <w:rStyle w:val="Hyperlink"/>
            <w:rFonts w:ascii="Arial" w:hAnsi="Arial" w:cs="Arial"/>
            <w:sz w:val="24"/>
            <w:szCs w:val="24"/>
          </w:rPr>
          <w:t>https://doi.org/10.5465/amr.1996.9704071860</w:t>
        </w:r>
      </w:hyperlink>
      <w:r w:rsidRPr="00855DBA">
        <w:rPr>
          <w:rFonts w:ascii="Arial" w:hAnsi="Arial" w:cs="Arial"/>
          <w:sz w:val="24"/>
          <w:szCs w:val="24"/>
        </w:rPr>
        <w:t xml:space="preserve"> </w:t>
      </w:r>
    </w:p>
    <w:p w14:paraId="5333F5B2" w14:textId="77777777" w:rsidR="00855DBA" w:rsidRPr="00855DBA" w:rsidRDefault="00855DBA" w:rsidP="00855DBA">
      <w:pPr>
        <w:pStyle w:val="NoSpacing"/>
        <w:jc w:val="both"/>
        <w:rPr>
          <w:rFonts w:ascii="Arial" w:hAnsi="Arial" w:cs="Arial"/>
          <w:sz w:val="24"/>
          <w:szCs w:val="24"/>
        </w:rPr>
      </w:pPr>
    </w:p>
    <w:p w14:paraId="1049E52F" w14:textId="56E61156" w:rsidR="003A2032" w:rsidRPr="00855DBA" w:rsidRDefault="003A2032" w:rsidP="00855DBA">
      <w:pPr>
        <w:pStyle w:val="NoSpacing"/>
        <w:jc w:val="both"/>
        <w:rPr>
          <w:rFonts w:ascii="Arial" w:hAnsi="Arial" w:cs="Arial"/>
          <w:sz w:val="24"/>
          <w:szCs w:val="24"/>
        </w:rPr>
      </w:pPr>
      <w:r w:rsidRPr="00855DBA">
        <w:rPr>
          <w:rFonts w:ascii="Arial" w:hAnsi="Arial" w:cs="Arial"/>
          <w:sz w:val="24"/>
          <w:szCs w:val="24"/>
        </w:rPr>
        <w:t>Warner, M. (2005). [Rev. of </w:t>
      </w:r>
      <w:r w:rsidRPr="00855DBA">
        <w:rPr>
          <w:rFonts w:ascii="Arial" w:hAnsi="Arial" w:cs="Arial"/>
          <w:i/>
          <w:iCs/>
          <w:sz w:val="24"/>
          <w:szCs w:val="24"/>
        </w:rPr>
        <w:t>Human Resource Management at Work: People Management and Development; Globalizing Human Resource Management; The Global Evolution of Industrial Relations; International Comparative Industrial Relations</w:t>
      </w:r>
      <w:r w:rsidRPr="00855DBA">
        <w:rPr>
          <w:rFonts w:ascii="Arial" w:hAnsi="Arial" w:cs="Arial"/>
          <w:sz w:val="24"/>
          <w:szCs w:val="24"/>
        </w:rPr>
        <w:t>]. </w:t>
      </w:r>
      <w:r w:rsidRPr="00855DBA">
        <w:rPr>
          <w:rFonts w:ascii="Arial" w:hAnsi="Arial" w:cs="Arial"/>
          <w:i/>
          <w:iCs/>
          <w:sz w:val="24"/>
          <w:szCs w:val="24"/>
        </w:rPr>
        <w:t>Journal of General Management</w:t>
      </w:r>
      <w:r w:rsidRPr="00855DBA">
        <w:rPr>
          <w:rFonts w:ascii="Arial" w:hAnsi="Arial" w:cs="Arial"/>
          <w:sz w:val="24"/>
          <w:szCs w:val="24"/>
        </w:rPr>
        <w:t>, </w:t>
      </w:r>
      <w:r w:rsidRPr="00855DBA">
        <w:rPr>
          <w:rFonts w:ascii="Arial" w:hAnsi="Arial" w:cs="Arial"/>
          <w:i/>
          <w:iCs/>
          <w:sz w:val="24"/>
          <w:szCs w:val="24"/>
        </w:rPr>
        <w:t>31</w:t>
      </w:r>
      <w:r w:rsidRPr="00855DBA">
        <w:rPr>
          <w:rFonts w:ascii="Arial" w:hAnsi="Arial" w:cs="Arial"/>
          <w:sz w:val="24"/>
          <w:szCs w:val="24"/>
        </w:rPr>
        <w:t>(1), 107.</w:t>
      </w:r>
    </w:p>
    <w:p w14:paraId="54286DB6" w14:textId="77777777" w:rsidR="00855DBA" w:rsidRPr="00855DBA" w:rsidRDefault="00855DBA" w:rsidP="00855DBA">
      <w:pPr>
        <w:pStyle w:val="NoSpacing"/>
        <w:jc w:val="both"/>
        <w:rPr>
          <w:rFonts w:ascii="Arial" w:hAnsi="Arial" w:cs="Arial"/>
          <w:sz w:val="24"/>
          <w:szCs w:val="24"/>
        </w:rPr>
      </w:pPr>
    </w:p>
    <w:p w14:paraId="170E9AB2" w14:textId="0B659C43" w:rsidR="003A2032" w:rsidRPr="00855DBA" w:rsidRDefault="003A2032" w:rsidP="00855DBA">
      <w:pPr>
        <w:pStyle w:val="NoSpacing"/>
        <w:jc w:val="both"/>
        <w:rPr>
          <w:rFonts w:ascii="Arial" w:hAnsi="Arial" w:cs="Arial"/>
          <w:sz w:val="24"/>
          <w:szCs w:val="24"/>
        </w:rPr>
      </w:pPr>
      <w:r w:rsidRPr="00855DBA">
        <w:rPr>
          <w:rFonts w:ascii="Arial" w:hAnsi="Arial" w:cs="Arial"/>
          <w:sz w:val="24"/>
          <w:szCs w:val="24"/>
        </w:rPr>
        <w:t>Wikipedia Contributors (2025). Human resource management. Wikipedia.</w:t>
      </w:r>
    </w:p>
    <w:p w14:paraId="2DEB714A" w14:textId="77777777" w:rsidR="00855DBA" w:rsidRPr="00855DBA" w:rsidRDefault="00855DBA" w:rsidP="00855DBA">
      <w:pPr>
        <w:pStyle w:val="NoSpacing"/>
        <w:jc w:val="both"/>
        <w:rPr>
          <w:rFonts w:ascii="Arial" w:hAnsi="Arial" w:cs="Arial"/>
          <w:sz w:val="24"/>
          <w:szCs w:val="24"/>
        </w:rPr>
      </w:pPr>
    </w:p>
    <w:p w14:paraId="75F7C7ED" w14:textId="2E05C1E0" w:rsidR="003A2032" w:rsidRPr="00855DBA" w:rsidRDefault="003877EE" w:rsidP="00855DBA">
      <w:pPr>
        <w:pStyle w:val="NoSpacing"/>
        <w:jc w:val="both"/>
        <w:rPr>
          <w:rFonts w:ascii="Arial" w:hAnsi="Arial" w:cs="Arial"/>
          <w:sz w:val="24"/>
          <w:szCs w:val="24"/>
        </w:rPr>
      </w:pPr>
      <w:r w:rsidRPr="00855DBA">
        <w:rPr>
          <w:rFonts w:ascii="Arial" w:hAnsi="Arial" w:cs="Arial"/>
          <w:sz w:val="24"/>
          <w:szCs w:val="24"/>
        </w:rPr>
        <w:t>Bodrožić, Z., &amp; S. Adler, P. (2022). Alternative Futures for the Digital Transformation: A Macro-Level Schumpeterian Perspective. </w:t>
      </w:r>
      <w:r w:rsidRPr="00855DBA">
        <w:rPr>
          <w:rFonts w:ascii="Arial" w:hAnsi="Arial" w:cs="Arial"/>
          <w:i/>
          <w:iCs/>
          <w:sz w:val="24"/>
          <w:szCs w:val="24"/>
        </w:rPr>
        <w:t>Organization Science (Providence, R.I.)</w:t>
      </w:r>
      <w:r w:rsidRPr="00855DBA">
        <w:rPr>
          <w:rFonts w:ascii="Arial" w:hAnsi="Arial" w:cs="Arial"/>
          <w:sz w:val="24"/>
          <w:szCs w:val="24"/>
        </w:rPr>
        <w:t>, </w:t>
      </w:r>
      <w:r w:rsidRPr="00855DBA">
        <w:rPr>
          <w:rFonts w:ascii="Arial" w:hAnsi="Arial" w:cs="Arial"/>
          <w:i/>
          <w:iCs/>
          <w:sz w:val="24"/>
          <w:szCs w:val="24"/>
        </w:rPr>
        <w:t>33</w:t>
      </w:r>
      <w:r w:rsidRPr="00855DBA">
        <w:rPr>
          <w:rFonts w:ascii="Arial" w:hAnsi="Arial" w:cs="Arial"/>
          <w:sz w:val="24"/>
          <w:szCs w:val="24"/>
        </w:rPr>
        <w:t xml:space="preserve">(1), 105–125. </w:t>
      </w:r>
      <w:hyperlink r:id="rId12" w:history="1">
        <w:r w:rsidRPr="00855DBA">
          <w:rPr>
            <w:rStyle w:val="Hyperlink"/>
            <w:rFonts w:ascii="Arial" w:hAnsi="Arial" w:cs="Arial"/>
            <w:sz w:val="24"/>
            <w:szCs w:val="24"/>
          </w:rPr>
          <w:t>https://doi.org/10.1287/orsc.2021.1558</w:t>
        </w:r>
      </w:hyperlink>
    </w:p>
    <w:p w14:paraId="2B318884" w14:textId="77777777" w:rsidR="00855DBA" w:rsidRPr="00855DBA" w:rsidRDefault="00855DBA" w:rsidP="00855DBA">
      <w:pPr>
        <w:pStyle w:val="NoSpacing"/>
        <w:jc w:val="both"/>
        <w:rPr>
          <w:rFonts w:ascii="Arial" w:hAnsi="Arial" w:cs="Arial"/>
          <w:sz w:val="24"/>
          <w:szCs w:val="24"/>
        </w:rPr>
      </w:pPr>
    </w:p>
    <w:p w14:paraId="1B7722CA" w14:textId="3C65DF3A" w:rsidR="003877EE" w:rsidRPr="00855DBA" w:rsidRDefault="003877EE" w:rsidP="00855DBA">
      <w:pPr>
        <w:pStyle w:val="NoSpacing"/>
        <w:jc w:val="both"/>
        <w:rPr>
          <w:rFonts w:ascii="Arial" w:hAnsi="Arial" w:cs="Arial"/>
          <w:sz w:val="24"/>
          <w:szCs w:val="24"/>
        </w:rPr>
      </w:pPr>
      <w:r w:rsidRPr="00855DBA">
        <w:rPr>
          <w:rFonts w:ascii="Arial" w:hAnsi="Arial" w:cs="Arial"/>
          <w:sz w:val="24"/>
          <w:szCs w:val="24"/>
        </w:rPr>
        <w:t>Jotabá, M. N., Fernandes, C. I., Gunkel, M., &amp; Kraus, S. (2022). Innovation and human resource management: a systematic literature review. </w:t>
      </w:r>
      <w:r w:rsidRPr="00855DBA">
        <w:rPr>
          <w:rFonts w:ascii="Arial" w:hAnsi="Arial" w:cs="Arial"/>
          <w:i/>
          <w:iCs/>
          <w:sz w:val="24"/>
          <w:szCs w:val="24"/>
        </w:rPr>
        <w:t>European Journal of Innovation Management</w:t>
      </w:r>
      <w:r w:rsidRPr="00855DBA">
        <w:rPr>
          <w:rFonts w:ascii="Arial" w:hAnsi="Arial" w:cs="Arial"/>
          <w:sz w:val="24"/>
          <w:szCs w:val="24"/>
        </w:rPr>
        <w:t>, </w:t>
      </w:r>
      <w:r w:rsidRPr="00855DBA">
        <w:rPr>
          <w:rFonts w:ascii="Arial" w:hAnsi="Arial" w:cs="Arial"/>
          <w:i/>
          <w:iCs/>
          <w:sz w:val="24"/>
          <w:szCs w:val="24"/>
        </w:rPr>
        <w:t>25</w:t>
      </w:r>
      <w:r w:rsidRPr="00855DBA">
        <w:rPr>
          <w:rFonts w:ascii="Arial" w:hAnsi="Arial" w:cs="Arial"/>
          <w:sz w:val="24"/>
          <w:szCs w:val="24"/>
        </w:rPr>
        <w:t xml:space="preserve">(6), 1–18. </w:t>
      </w:r>
      <w:hyperlink r:id="rId13" w:history="1">
        <w:r w:rsidRPr="00855DBA">
          <w:rPr>
            <w:rStyle w:val="Hyperlink"/>
            <w:rFonts w:ascii="Arial" w:hAnsi="Arial" w:cs="Arial"/>
            <w:sz w:val="24"/>
            <w:szCs w:val="24"/>
          </w:rPr>
          <w:t>https://doi.org/10.1108/EJIM-07-2021-0330</w:t>
        </w:r>
      </w:hyperlink>
    </w:p>
    <w:p w14:paraId="3F8B35B0" w14:textId="77777777" w:rsidR="00855DBA" w:rsidRPr="00855DBA" w:rsidRDefault="00855DBA" w:rsidP="00855DBA">
      <w:pPr>
        <w:pStyle w:val="NoSpacing"/>
        <w:jc w:val="both"/>
        <w:rPr>
          <w:rFonts w:ascii="Arial" w:hAnsi="Arial" w:cs="Arial"/>
          <w:sz w:val="24"/>
          <w:szCs w:val="24"/>
        </w:rPr>
      </w:pPr>
    </w:p>
    <w:p w14:paraId="534D7A50" w14:textId="264EFEA1" w:rsidR="00016BFE" w:rsidRPr="00855DBA" w:rsidRDefault="00016BFE" w:rsidP="00855DBA">
      <w:pPr>
        <w:pStyle w:val="NoSpacing"/>
        <w:jc w:val="both"/>
        <w:rPr>
          <w:rFonts w:ascii="Arial" w:hAnsi="Arial" w:cs="Arial"/>
          <w:sz w:val="24"/>
          <w:szCs w:val="24"/>
        </w:rPr>
      </w:pPr>
      <w:r w:rsidRPr="00855DBA">
        <w:rPr>
          <w:rFonts w:ascii="Arial" w:hAnsi="Arial" w:cs="Arial"/>
          <w:sz w:val="24"/>
          <w:szCs w:val="24"/>
        </w:rPr>
        <w:t xml:space="preserve">De Alwis, A.C., </w:t>
      </w:r>
      <w:proofErr w:type="spellStart"/>
      <w:r w:rsidRPr="00855DBA">
        <w:rPr>
          <w:rFonts w:ascii="Arial" w:hAnsi="Arial" w:cs="Arial"/>
          <w:sz w:val="24"/>
          <w:szCs w:val="24"/>
        </w:rPr>
        <w:t>Andrlić</w:t>
      </w:r>
      <w:proofErr w:type="spellEnd"/>
      <w:r w:rsidRPr="00855DBA">
        <w:rPr>
          <w:rFonts w:ascii="Arial" w:hAnsi="Arial" w:cs="Arial"/>
          <w:sz w:val="24"/>
          <w:szCs w:val="24"/>
        </w:rPr>
        <w:t xml:space="preserve">, B. and </w:t>
      </w:r>
      <w:proofErr w:type="spellStart"/>
      <w:r w:rsidRPr="00855DBA">
        <w:rPr>
          <w:rFonts w:ascii="Arial" w:hAnsi="Arial" w:cs="Arial"/>
          <w:sz w:val="24"/>
          <w:szCs w:val="24"/>
        </w:rPr>
        <w:t>Šostar</w:t>
      </w:r>
      <w:proofErr w:type="spellEnd"/>
      <w:r w:rsidRPr="00855DBA">
        <w:rPr>
          <w:rFonts w:ascii="Arial" w:hAnsi="Arial" w:cs="Arial"/>
          <w:sz w:val="24"/>
          <w:szCs w:val="24"/>
        </w:rPr>
        <w:t>, M. (2022). The Influence of E-HRM on Modernizing the Role of HRM Context. </w:t>
      </w:r>
      <w:r w:rsidRPr="00855DBA">
        <w:rPr>
          <w:rFonts w:ascii="Arial" w:hAnsi="Arial" w:cs="Arial"/>
          <w:i/>
          <w:iCs/>
          <w:sz w:val="24"/>
          <w:szCs w:val="24"/>
        </w:rPr>
        <w:t>Economies</w:t>
      </w:r>
      <w:r w:rsidRPr="00855DBA">
        <w:rPr>
          <w:rFonts w:ascii="Arial" w:hAnsi="Arial" w:cs="Arial"/>
          <w:sz w:val="24"/>
          <w:szCs w:val="24"/>
        </w:rPr>
        <w:t xml:space="preserve">, 10(8), p.181. </w:t>
      </w:r>
    </w:p>
    <w:p w14:paraId="0045565B" w14:textId="77777777" w:rsidR="00855DBA" w:rsidRPr="00855DBA" w:rsidRDefault="00855DBA" w:rsidP="00855DBA">
      <w:pPr>
        <w:pStyle w:val="NoSpacing"/>
        <w:jc w:val="both"/>
        <w:rPr>
          <w:rFonts w:ascii="Arial" w:hAnsi="Arial" w:cs="Arial"/>
          <w:sz w:val="24"/>
          <w:szCs w:val="24"/>
        </w:rPr>
      </w:pPr>
    </w:p>
    <w:p w14:paraId="39BE968C" w14:textId="3E631C51" w:rsidR="00756127" w:rsidRPr="00855DBA" w:rsidRDefault="00756127" w:rsidP="00855DBA">
      <w:pPr>
        <w:pStyle w:val="NoSpacing"/>
        <w:jc w:val="both"/>
        <w:rPr>
          <w:rFonts w:ascii="Arial" w:hAnsi="Arial" w:cs="Arial"/>
          <w:sz w:val="24"/>
          <w:szCs w:val="24"/>
        </w:rPr>
      </w:pPr>
      <w:r w:rsidRPr="00855DBA">
        <w:rPr>
          <w:rFonts w:ascii="Arial" w:hAnsi="Arial" w:cs="Arial"/>
          <w:sz w:val="24"/>
          <w:szCs w:val="24"/>
        </w:rPr>
        <w:t>Varma, A., Dawkins, C., &amp; Chaudhuri, K. (2023). Artificial intelligence and people management: A critical assessment through the ethical lens. </w:t>
      </w:r>
      <w:r w:rsidRPr="00855DBA">
        <w:rPr>
          <w:rFonts w:ascii="Arial" w:hAnsi="Arial" w:cs="Arial"/>
          <w:i/>
          <w:iCs/>
          <w:sz w:val="24"/>
          <w:szCs w:val="24"/>
        </w:rPr>
        <w:t>Human Resource Management Review</w:t>
      </w:r>
      <w:r w:rsidRPr="00855DBA">
        <w:rPr>
          <w:rFonts w:ascii="Arial" w:hAnsi="Arial" w:cs="Arial"/>
          <w:sz w:val="24"/>
          <w:szCs w:val="24"/>
        </w:rPr>
        <w:t>, </w:t>
      </w:r>
      <w:r w:rsidRPr="00855DBA">
        <w:rPr>
          <w:rFonts w:ascii="Arial" w:hAnsi="Arial" w:cs="Arial"/>
          <w:i/>
          <w:iCs/>
          <w:sz w:val="24"/>
          <w:szCs w:val="24"/>
        </w:rPr>
        <w:t>33</w:t>
      </w:r>
      <w:r w:rsidRPr="00855DBA">
        <w:rPr>
          <w:rFonts w:ascii="Arial" w:hAnsi="Arial" w:cs="Arial"/>
          <w:sz w:val="24"/>
          <w:szCs w:val="24"/>
        </w:rPr>
        <w:t xml:space="preserve">(1), Article 100923. </w:t>
      </w:r>
      <w:hyperlink r:id="rId14" w:history="1">
        <w:r w:rsidR="00855DBA" w:rsidRPr="006D448A">
          <w:rPr>
            <w:rStyle w:val="Hyperlink"/>
            <w:rFonts w:ascii="Arial" w:hAnsi="Arial" w:cs="Arial"/>
            <w:sz w:val="24"/>
            <w:szCs w:val="24"/>
          </w:rPr>
          <w:t>https://doi.org/10.1016/j.hrmr.2022.100923</w:t>
        </w:r>
      </w:hyperlink>
      <w:r w:rsidR="00855DBA">
        <w:rPr>
          <w:rFonts w:ascii="Arial" w:hAnsi="Arial" w:cs="Arial"/>
          <w:sz w:val="24"/>
          <w:szCs w:val="24"/>
        </w:rPr>
        <w:t xml:space="preserve"> </w:t>
      </w:r>
    </w:p>
    <w:p w14:paraId="6F2E28E1" w14:textId="77777777" w:rsidR="00855DBA" w:rsidRPr="00855DBA" w:rsidRDefault="00855DBA" w:rsidP="00855DBA">
      <w:pPr>
        <w:pStyle w:val="NoSpacing"/>
        <w:jc w:val="both"/>
        <w:rPr>
          <w:rFonts w:ascii="Arial" w:hAnsi="Arial" w:cs="Arial"/>
          <w:sz w:val="24"/>
          <w:szCs w:val="24"/>
        </w:rPr>
      </w:pPr>
    </w:p>
    <w:p w14:paraId="6CB01DFC" w14:textId="245B372B" w:rsidR="0043130F" w:rsidRPr="00855DBA" w:rsidRDefault="0043130F" w:rsidP="00855DBA">
      <w:pPr>
        <w:pStyle w:val="NoSpacing"/>
        <w:jc w:val="both"/>
        <w:rPr>
          <w:rFonts w:ascii="Arial" w:hAnsi="Arial" w:cs="Arial"/>
          <w:sz w:val="24"/>
          <w:szCs w:val="24"/>
        </w:rPr>
      </w:pPr>
      <w:r w:rsidRPr="00855DBA">
        <w:rPr>
          <w:rFonts w:ascii="Arial" w:hAnsi="Arial" w:cs="Arial"/>
          <w:sz w:val="24"/>
          <w:szCs w:val="24"/>
        </w:rPr>
        <w:t xml:space="preserve">André, C., Gal, P., &amp; </w:t>
      </w:r>
      <w:proofErr w:type="spellStart"/>
      <w:r w:rsidRPr="00855DBA">
        <w:rPr>
          <w:rFonts w:ascii="Arial" w:hAnsi="Arial" w:cs="Arial"/>
          <w:sz w:val="24"/>
          <w:szCs w:val="24"/>
        </w:rPr>
        <w:t>Schief</w:t>
      </w:r>
      <w:proofErr w:type="spellEnd"/>
      <w:r w:rsidRPr="00855DBA">
        <w:rPr>
          <w:rFonts w:ascii="Arial" w:hAnsi="Arial" w:cs="Arial"/>
          <w:sz w:val="24"/>
          <w:szCs w:val="24"/>
        </w:rPr>
        <w:t xml:space="preserve">, M. (2024). Enhancing productivity and growth in an ageing society: Key mechanisms and policy options. </w:t>
      </w:r>
      <w:r w:rsidRPr="00855DBA">
        <w:rPr>
          <w:rFonts w:ascii="Arial" w:hAnsi="Arial" w:cs="Arial"/>
          <w:i/>
          <w:iCs/>
          <w:sz w:val="24"/>
          <w:szCs w:val="24"/>
        </w:rPr>
        <w:t>OECD Economics Department Working Papers</w:t>
      </w:r>
      <w:r w:rsidRPr="00855DBA">
        <w:rPr>
          <w:rFonts w:ascii="Arial" w:hAnsi="Arial" w:cs="Arial"/>
          <w:sz w:val="24"/>
          <w:szCs w:val="24"/>
        </w:rPr>
        <w:t xml:space="preserve">, </w:t>
      </w:r>
      <w:r w:rsidRPr="00855DBA">
        <w:rPr>
          <w:rFonts w:ascii="Arial" w:hAnsi="Arial" w:cs="Arial"/>
          <w:i/>
          <w:iCs/>
          <w:sz w:val="24"/>
          <w:szCs w:val="24"/>
        </w:rPr>
        <w:t>1807</w:t>
      </w:r>
      <w:r w:rsidRPr="00855DBA">
        <w:rPr>
          <w:rFonts w:ascii="Arial" w:hAnsi="Arial" w:cs="Arial"/>
          <w:sz w:val="24"/>
          <w:szCs w:val="24"/>
        </w:rPr>
        <w:t xml:space="preserve">. </w:t>
      </w:r>
      <w:hyperlink r:id="rId15" w:history="1">
        <w:r w:rsidR="00855DBA" w:rsidRPr="006D448A">
          <w:rPr>
            <w:rStyle w:val="Hyperlink"/>
            <w:rFonts w:ascii="Arial" w:hAnsi="Arial" w:cs="Arial"/>
            <w:sz w:val="24"/>
            <w:szCs w:val="24"/>
          </w:rPr>
          <w:t>https://doi.org/10.1787/605b0787-en</w:t>
        </w:r>
      </w:hyperlink>
      <w:r w:rsidR="00855DBA">
        <w:rPr>
          <w:rFonts w:ascii="Arial" w:hAnsi="Arial" w:cs="Arial"/>
          <w:sz w:val="24"/>
          <w:szCs w:val="24"/>
        </w:rPr>
        <w:t xml:space="preserve"> </w:t>
      </w:r>
    </w:p>
    <w:p w14:paraId="1CFCC1A2" w14:textId="77777777" w:rsidR="00855DBA" w:rsidRPr="00855DBA" w:rsidRDefault="00855DBA" w:rsidP="00855DBA">
      <w:pPr>
        <w:pStyle w:val="NoSpacing"/>
        <w:jc w:val="both"/>
        <w:rPr>
          <w:rFonts w:ascii="Arial" w:hAnsi="Arial" w:cs="Arial"/>
          <w:sz w:val="24"/>
          <w:szCs w:val="24"/>
        </w:rPr>
      </w:pPr>
    </w:p>
    <w:p w14:paraId="3B7B47BB" w14:textId="4055E3D6" w:rsidR="0043130F" w:rsidRPr="00855DBA" w:rsidRDefault="0043130F" w:rsidP="00855DBA">
      <w:pPr>
        <w:pStyle w:val="NoSpacing"/>
        <w:jc w:val="both"/>
        <w:rPr>
          <w:rFonts w:ascii="Arial" w:hAnsi="Arial" w:cs="Arial"/>
          <w:sz w:val="24"/>
          <w:szCs w:val="24"/>
        </w:rPr>
      </w:pPr>
      <w:r w:rsidRPr="00855DBA">
        <w:rPr>
          <w:rFonts w:ascii="Arial" w:hAnsi="Arial" w:cs="Arial"/>
          <w:sz w:val="24"/>
          <w:szCs w:val="24"/>
        </w:rPr>
        <w:t xml:space="preserve">Mitze, T. (2019). The migration response to local labour market shocks: Evidence from EU regions during the global economic crisis. </w:t>
      </w:r>
      <w:r w:rsidRPr="00855DBA">
        <w:rPr>
          <w:rFonts w:ascii="Arial" w:hAnsi="Arial" w:cs="Arial"/>
          <w:i/>
          <w:iCs/>
          <w:sz w:val="24"/>
          <w:szCs w:val="24"/>
        </w:rPr>
        <w:t>Oxford Bulletin of Economics and Statistics</w:t>
      </w:r>
      <w:r w:rsidRPr="00855DBA">
        <w:rPr>
          <w:rFonts w:ascii="Arial" w:hAnsi="Arial" w:cs="Arial"/>
          <w:sz w:val="24"/>
          <w:szCs w:val="24"/>
        </w:rPr>
        <w:t xml:space="preserve">, </w:t>
      </w:r>
      <w:r w:rsidRPr="00855DBA">
        <w:rPr>
          <w:rFonts w:ascii="Arial" w:hAnsi="Arial" w:cs="Arial"/>
          <w:i/>
          <w:iCs/>
          <w:sz w:val="24"/>
          <w:szCs w:val="24"/>
        </w:rPr>
        <w:t>81</w:t>
      </w:r>
      <w:r w:rsidRPr="00855DBA">
        <w:rPr>
          <w:rFonts w:ascii="Arial" w:hAnsi="Arial" w:cs="Arial"/>
          <w:sz w:val="24"/>
          <w:szCs w:val="24"/>
        </w:rPr>
        <w:t xml:space="preserve">(2), 271–298. </w:t>
      </w:r>
      <w:hyperlink r:id="rId16" w:history="1">
        <w:r w:rsidR="00855DBA" w:rsidRPr="006D448A">
          <w:rPr>
            <w:rStyle w:val="Hyperlink"/>
            <w:rFonts w:ascii="Arial" w:hAnsi="Arial" w:cs="Arial"/>
            <w:sz w:val="24"/>
            <w:szCs w:val="24"/>
          </w:rPr>
          <w:t>https://doi.org/10.1111/obes.12271</w:t>
        </w:r>
      </w:hyperlink>
      <w:r w:rsidR="00855DBA">
        <w:rPr>
          <w:rFonts w:ascii="Arial" w:hAnsi="Arial" w:cs="Arial"/>
          <w:sz w:val="24"/>
          <w:szCs w:val="24"/>
        </w:rPr>
        <w:t xml:space="preserve"> </w:t>
      </w:r>
    </w:p>
    <w:p w14:paraId="536082FC" w14:textId="77777777" w:rsidR="00855DBA" w:rsidRPr="00855DBA" w:rsidRDefault="00855DBA" w:rsidP="00855DBA">
      <w:pPr>
        <w:pStyle w:val="NoSpacing"/>
        <w:jc w:val="both"/>
        <w:rPr>
          <w:rFonts w:ascii="Arial" w:hAnsi="Arial" w:cs="Arial"/>
          <w:sz w:val="24"/>
          <w:szCs w:val="24"/>
        </w:rPr>
      </w:pPr>
    </w:p>
    <w:p w14:paraId="037B9C17" w14:textId="279D29FC" w:rsidR="0043130F" w:rsidRPr="00855DBA" w:rsidRDefault="0043130F" w:rsidP="00855DBA">
      <w:pPr>
        <w:pStyle w:val="NoSpacing"/>
        <w:jc w:val="both"/>
        <w:rPr>
          <w:rFonts w:ascii="Arial" w:hAnsi="Arial" w:cs="Arial"/>
          <w:sz w:val="24"/>
          <w:szCs w:val="24"/>
        </w:rPr>
      </w:pPr>
      <w:r w:rsidRPr="00855DBA">
        <w:rPr>
          <w:rFonts w:ascii="Arial" w:hAnsi="Arial" w:cs="Arial"/>
          <w:sz w:val="24"/>
          <w:szCs w:val="24"/>
        </w:rPr>
        <w:t xml:space="preserve">Sargent, K., 2023. The </w:t>
      </w:r>
      <w:proofErr w:type="spellStart"/>
      <w:r w:rsidRPr="00855DBA">
        <w:rPr>
          <w:rFonts w:ascii="Arial" w:hAnsi="Arial" w:cs="Arial"/>
          <w:sz w:val="24"/>
          <w:szCs w:val="24"/>
        </w:rPr>
        <w:t>labor</w:t>
      </w:r>
      <w:proofErr w:type="spellEnd"/>
      <w:r w:rsidRPr="00855DBA">
        <w:rPr>
          <w:rFonts w:ascii="Arial" w:hAnsi="Arial" w:cs="Arial"/>
          <w:sz w:val="24"/>
          <w:szCs w:val="24"/>
        </w:rPr>
        <w:t xml:space="preserve"> market impacts of Brexit: Migration and the European union. </w:t>
      </w:r>
      <w:r w:rsidRPr="00855DBA">
        <w:rPr>
          <w:rFonts w:ascii="Arial" w:hAnsi="Arial" w:cs="Arial"/>
          <w:i/>
          <w:iCs/>
          <w:sz w:val="24"/>
          <w:szCs w:val="24"/>
        </w:rPr>
        <w:t>Economic Modelling</w:t>
      </w:r>
      <w:r w:rsidRPr="00855DBA">
        <w:rPr>
          <w:rFonts w:ascii="Arial" w:hAnsi="Arial" w:cs="Arial"/>
          <w:sz w:val="24"/>
          <w:szCs w:val="24"/>
        </w:rPr>
        <w:t>, </w:t>
      </w:r>
      <w:r w:rsidRPr="00855DBA">
        <w:rPr>
          <w:rFonts w:ascii="Arial" w:hAnsi="Arial" w:cs="Arial"/>
          <w:i/>
          <w:iCs/>
          <w:sz w:val="24"/>
          <w:szCs w:val="24"/>
        </w:rPr>
        <w:t>121</w:t>
      </w:r>
      <w:r w:rsidRPr="00855DBA">
        <w:rPr>
          <w:rFonts w:ascii="Arial" w:hAnsi="Arial" w:cs="Arial"/>
          <w:sz w:val="24"/>
          <w:szCs w:val="24"/>
        </w:rPr>
        <w:t>, p.106196.</w:t>
      </w:r>
    </w:p>
    <w:p w14:paraId="35EE52BB" w14:textId="77777777" w:rsidR="00855DBA" w:rsidRPr="00855DBA" w:rsidRDefault="00855DBA" w:rsidP="00855DBA">
      <w:pPr>
        <w:pStyle w:val="NoSpacing"/>
        <w:jc w:val="both"/>
        <w:rPr>
          <w:rFonts w:ascii="Arial" w:hAnsi="Arial" w:cs="Arial"/>
          <w:sz w:val="24"/>
          <w:szCs w:val="24"/>
        </w:rPr>
      </w:pPr>
    </w:p>
    <w:p w14:paraId="11433EB1" w14:textId="388DE09A" w:rsidR="004C18C1" w:rsidRPr="00855DBA" w:rsidRDefault="004C18C1" w:rsidP="00855DBA">
      <w:pPr>
        <w:pStyle w:val="NoSpacing"/>
        <w:jc w:val="both"/>
        <w:rPr>
          <w:rFonts w:ascii="Arial" w:hAnsi="Arial" w:cs="Arial"/>
          <w:sz w:val="24"/>
          <w:szCs w:val="24"/>
        </w:rPr>
      </w:pPr>
      <w:r w:rsidRPr="00855DBA">
        <w:rPr>
          <w:rFonts w:ascii="Arial" w:hAnsi="Arial" w:cs="Arial"/>
          <w:sz w:val="24"/>
          <w:szCs w:val="24"/>
        </w:rPr>
        <w:t>Muhsam, H. V. (1965). [Rev. of </w:t>
      </w:r>
      <w:r w:rsidRPr="00855DBA">
        <w:rPr>
          <w:rFonts w:ascii="Arial" w:hAnsi="Arial" w:cs="Arial"/>
          <w:i/>
          <w:iCs/>
          <w:sz w:val="24"/>
          <w:szCs w:val="24"/>
        </w:rPr>
        <w:t>Human Capital. A Theoretical and Empirical Analysis, with Special Reference to Education</w:t>
      </w:r>
      <w:r w:rsidRPr="00855DBA">
        <w:rPr>
          <w:rFonts w:ascii="Arial" w:hAnsi="Arial" w:cs="Arial"/>
          <w:sz w:val="24"/>
          <w:szCs w:val="24"/>
        </w:rPr>
        <w:t>]. </w:t>
      </w:r>
      <w:r w:rsidRPr="00855DBA">
        <w:rPr>
          <w:rFonts w:ascii="Arial" w:hAnsi="Arial" w:cs="Arial"/>
          <w:i/>
          <w:iCs/>
          <w:sz w:val="24"/>
          <w:szCs w:val="24"/>
        </w:rPr>
        <w:t xml:space="preserve">Revue de </w:t>
      </w:r>
      <w:proofErr w:type="spellStart"/>
      <w:r w:rsidRPr="00855DBA">
        <w:rPr>
          <w:rFonts w:ascii="Arial" w:hAnsi="Arial" w:cs="Arial"/>
          <w:i/>
          <w:iCs/>
          <w:sz w:val="24"/>
          <w:szCs w:val="24"/>
        </w:rPr>
        <w:t>l’Institut</w:t>
      </w:r>
      <w:proofErr w:type="spellEnd"/>
      <w:r w:rsidRPr="00855DBA">
        <w:rPr>
          <w:rFonts w:ascii="Arial" w:hAnsi="Arial" w:cs="Arial"/>
          <w:i/>
          <w:iCs/>
          <w:sz w:val="24"/>
          <w:szCs w:val="24"/>
        </w:rPr>
        <w:t xml:space="preserve"> International de </w:t>
      </w:r>
      <w:proofErr w:type="spellStart"/>
      <w:r w:rsidRPr="00855DBA">
        <w:rPr>
          <w:rFonts w:ascii="Arial" w:hAnsi="Arial" w:cs="Arial"/>
          <w:i/>
          <w:iCs/>
          <w:sz w:val="24"/>
          <w:szCs w:val="24"/>
        </w:rPr>
        <w:t>Statistique</w:t>
      </w:r>
      <w:proofErr w:type="spellEnd"/>
      <w:r w:rsidRPr="00855DBA">
        <w:rPr>
          <w:rFonts w:ascii="Arial" w:hAnsi="Arial" w:cs="Arial"/>
          <w:sz w:val="24"/>
          <w:szCs w:val="24"/>
        </w:rPr>
        <w:t>, </w:t>
      </w:r>
      <w:r w:rsidRPr="00855DBA">
        <w:rPr>
          <w:rFonts w:ascii="Arial" w:hAnsi="Arial" w:cs="Arial"/>
          <w:i/>
          <w:iCs/>
          <w:sz w:val="24"/>
          <w:szCs w:val="24"/>
        </w:rPr>
        <w:t>33</w:t>
      </w:r>
      <w:r w:rsidRPr="00855DBA">
        <w:rPr>
          <w:rFonts w:ascii="Arial" w:hAnsi="Arial" w:cs="Arial"/>
          <w:sz w:val="24"/>
          <w:szCs w:val="24"/>
        </w:rPr>
        <w:t xml:space="preserve">(3), 556–557. </w:t>
      </w:r>
      <w:hyperlink r:id="rId17" w:history="1">
        <w:r w:rsidRPr="00855DBA">
          <w:rPr>
            <w:rStyle w:val="Hyperlink"/>
            <w:rFonts w:ascii="Arial" w:hAnsi="Arial" w:cs="Arial"/>
            <w:sz w:val="24"/>
            <w:szCs w:val="24"/>
          </w:rPr>
          <w:t>https://doi.org/10.2307/1401709</w:t>
        </w:r>
      </w:hyperlink>
      <w:r w:rsidRPr="00855DBA">
        <w:rPr>
          <w:rFonts w:ascii="Arial" w:hAnsi="Arial" w:cs="Arial"/>
          <w:sz w:val="24"/>
          <w:szCs w:val="24"/>
        </w:rPr>
        <w:t xml:space="preserve"> </w:t>
      </w:r>
    </w:p>
    <w:p w14:paraId="04AA47E0" w14:textId="77777777" w:rsidR="00855DBA" w:rsidRPr="00855DBA" w:rsidRDefault="00855DBA" w:rsidP="00855DBA">
      <w:pPr>
        <w:pStyle w:val="NoSpacing"/>
        <w:jc w:val="both"/>
        <w:rPr>
          <w:rFonts w:ascii="Arial" w:hAnsi="Arial" w:cs="Arial"/>
          <w:sz w:val="24"/>
          <w:szCs w:val="24"/>
        </w:rPr>
      </w:pPr>
    </w:p>
    <w:p w14:paraId="5BC8B642" w14:textId="61D00705" w:rsidR="004C18C1" w:rsidRPr="00855DBA" w:rsidRDefault="004C18C1" w:rsidP="00855DBA">
      <w:pPr>
        <w:pStyle w:val="NoSpacing"/>
        <w:jc w:val="both"/>
        <w:rPr>
          <w:rFonts w:ascii="Arial" w:hAnsi="Arial" w:cs="Arial"/>
          <w:sz w:val="24"/>
          <w:szCs w:val="24"/>
        </w:rPr>
      </w:pPr>
      <w:r w:rsidRPr="00855DBA">
        <w:rPr>
          <w:rFonts w:ascii="Arial" w:hAnsi="Arial" w:cs="Arial"/>
          <w:sz w:val="24"/>
          <w:szCs w:val="24"/>
        </w:rPr>
        <w:lastRenderedPageBreak/>
        <w:t xml:space="preserve">Caire, G., &amp; Becker, G. S. (1967). Human Capital, A Theoretical and Empirical Analysis with Special Reference to Education. </w:t>
      </w:r>
      <w:r w:rsidRPr="00855DBA">
        <w:rPr>
          <w:rFonts w:ascii="Arial" w:hAnsi="Arial" w:cs="Arial"/>
          <w:i/>
          <w:iCs/>
          <w:sz w:val="24"/>
          <w:szCs w:val="24"/>
        </w:rPr>
        <w:t xml:space="preserve">Revue </w:t>
      </w:r>
      <w:proofErr w:type="spellStart"/>
      <w:r w:rsidRPr="00855DBA">
        <w:rPr>
          <w:rFonts w:ascii="Arial" w:hAnsi="Arial" w:cs="Arial"/>
          <w:i/>
          <w:iCs/>
          <w:sz w:val="24"/>
          <w:szCs w:val="24"/>
        </w:rPr>
        <w:t>Économique</w:t>
      </w:r>
      <w:proofErr w:type="spellEnd"/>
      <w:r w:rsidRPr="00855DBA">
        <w:rPr>
          <w:rFonts w:ascii="Arial" w:hAnsi="Arial" w:cs="Arial"/>
          <w:sz w:val="24"/>
          <w:szCs w:val="24"/>
        </w:rPr>
        <w:t xml:space="preserve">, </w:t>
      </w:r>
      <w:r w:rsidRPr="00855DBA">
        <w:rPr>
          <w:rFonts w:ascii="Arial" w:hAnsi="Arial" w:cs="Arial"/>
          <w:i/>
          <w:iCs/>
          <w:sz w:val="24"/>
          <w:szCs w:val="24"/>
        </w:rPr>
        <w:t>18</w:t>
      </w:r>
      <w:r w:rsidRPr="00855DBA">
        <w:rPr>
          <w:rFonts w:ascii="Arial" w:hAnsi="Arial" w:cs="Arial"/>
          <w:sz w:val="24"/>
          <w:szCs w:val="24"/>
        </w:rPr>
        <w:t xml:space="preserve">(1), 132. </w:t>
      </w:r>
      <w:hyperlink r:id="rId18" w:history="1">
        <w:r w:rsidRPr="00855DBA">
          <w:rPr>
            <w:rStyle w:val="Hyperlink"/>
            <w:rFonts w:ascii="Arial" w:hAnsi="Arial" w:cs="Arial"/>
            <w:sz w:val="24"/>
            <w:szCs w:val="24"/>
          </w:rPr>
          <w:t>https://doi.org/10.2307/3499575</w:t>
        </w:r>
      </w:hyperlink>
      <w:r w:rsidRPr="00855DBA">
        <w:rPr>
          <w:rFonts w:ascii="Arial" w:hAnsi="Arial" w:cs="Arial"/>
          <w:sz w:val="24"/>
          <w:szCs w:val="24"/>
        </w:rPr>
        <w:t xml:space="preserve"> </w:t>
      </w:r>
    </w:p>
    <w:p w14:paraId="38473B48" w14:textId="77777777" w:rsidR="00855DBA" w:rsidRPr="00855DBA" w:rsidRDefault="00855DBA" w:rsidP="00855DBA">
      <w:pPr>
        <w:pStyle w:val="NoSpacing"/>
        <w:jc w:val="both"/>
        <w:rPr>
          <w:rFonts w:ascii="Arial" w:hAnsi="Arial" w:cs="Arial"/>
          <w:sz w:val="24"/>
          <w:szCs w:val="24"/>
        </w:rPr>
      </w:pPr>
    </w:p>
    <w:p w14:paraId="3E04F764" w14:textId="7EB6722E" w:rsidR="004C18C1" w:rsidRPr="00855DBA" w:rsidRDefault="004C18C1" w:rsidP="00855DBA">
      <w:pPr>
        <w:pStyle w:val="NoSpacing"/>
        <w:jc w:val="both"/>
        <w:rPr>
          <w:rFonts w:ascii="Arial" w:hAnsi="Arial" w:cs="Arial"/>
          <w:sz w:val="24"/>
          <w:szCs w:val="24"/>
        </w:rPr>
      </w:pPr>
      <w:r w:rsidRPr="00855DBA">
        <w:rPr>
          <w:rFonts w:ascii="Arial" w:hAnsi="Arial" w:cs="Arial"/>
          <w:sz w:val="24"/>
          <w:szCs w:val="24"/>
        </w:rPr>
        <w:t xml:space="preserve">Ballinger, C. (2012). Chartered Institute of Personnel and Development (CIPD) annual Recruitment, Resourcing and Talent Management conference, London, UK, 16 June 2011. </w:t>
      </w:r>
      <w:r w:rsidRPr="00855DBA">
        <w:rPr>
          <w:rFonts w:ascii="Arial" w:hAnsi="Arial" w:cs="Arial"/>
          <w:i/>
          <w:iCs/>
          <w:sz w:val="24"/>
          <w:szCs w:val="24"/>
        </w:rPr>
        <w:t>Strategic HR Review</w:t>
      </w:r>
      <w:r w:rsidRPr="00855DBA">
        <w:rPr>
          <w:rFonts w:ascii="Arial" w:hAnsi="Arial" w:cs="Arial"/>
          <w:sz w:val="24"/>
          <w:szCs w:val="24"/>
        </w:rPr>
        <w:t xml:space="preserve">, </w:t>
      </w:r>
      <w:r w:rsidRPr="00855DBA">
        <w:rPr>
          <w:rFonts w:ascii="Arial" w:hAnsi="Arial" w:cs="Arial"/>
          <w:i/>
          <w:iCs/>
          <w:sz w:val="24"/>
          <w:szCs w:val="24"/>
        </w:rPr>
        <w:t>11</w:t>
      </w:r>
      <w:r w:rsidRPr="00855DBA">
        <w:rPr>
          <w:rFonts w:ascii="Arial" w:hAnsi="Arial" w:cs="Arial"/>
          <w:sz w:val="24"/>
          <w:szCs w:val="24"/>
        </w:rPr>
        <w:t>(1), 59.</w:t>
      </w:r>
    </w:p>
    <w:p w14:paraId="419CC51E" w14:textId="77777777" w:rsidR="00855DBA" w:rsidRPr="00855DBA" w:rsidRDefault="00855DBA" w:rsidP="00855DBA">
      <w:pPr>
        <w:pStyle w:val="NoSpacing"/>
        <w:jc w:val="both"/>
        <w:rPr>
          <w:rFonts w:ascii="Arial" w:hAnsi="Arial" w:cs="Arial"/>
          <w:sz w:val="24"/>
          <w:szCs w:val="24"/>
        </w:rPr>
      </w:pPr>
    </w:p>
    <w:p w14:paraId="5F938301" w14:textId="1FBA1AA4" w:rsidR="004C18C1" w:rsidRPr="00855DBA" w:rsidRDefault="004C18C1" w:rsidP="00855DBA">
      <w:pPr>
        <w:pStyle w:val="NoSpacing"/>
        <w:jc w:val="both"/>
        <w:rPr>
          <w:rFonts w:ascii="Arial" w:hAnsi="Arial" w:cs="Arial"/>
          <w:sz w:val="24"/>
          <w:szCs w:val="24"/>
        </w:rPr>
      </w:pPr>
      <w:proofErr w:type="spellStart"/>
      <w:r w:rsidRPr="00855DBA">
        <w:rPr>
          <w:rFonts w:ascii="Arial" w:hAnsi="Arial" w:cs="Arial"/>
          <w:sz w:val="24"/>
          <w:szCs w:val="24"/>
        </w:rPr>
        <w:t>Aroles</w:t>
      </w:r>
      <w:proofErr w:type="spellEnd"/>
      <w:r w:rsidRPr="00855DBA">
        <w:rPr>
          <w:rFonts w:ascii="Arial" w:hAnsi="Arial" w:cs="Arial"/>
          <w:sz w:val="24"/>
          <w:szCs w:val="24"/>
        </w:rPr>
        <w:t xml:space="preserve">, J., Mitev, N., &amp; </w:t>
      </w:r>
      <w:proofErr w:type="spellStart"/>
      <w:r w:rsidRPr="00855DBA">
        <w:rPr>
          <w:rFonts w:ascii="Arial" w:hAnsi="Arial" w:cs="Arial"/>
          <w:sz w:val="24"/>
          <w:szCs w:val="24"/>
        </w:rPr>
        <w:t>Vaujany</w:t>
      </w:r>
      <w:proofErr w:type="spellEnd"/>
      <w:r w:rsidRPr="00855DBA">
        <w:rPr>
          <w:rFonts w:ascii="Arial" w:hAnsi="Arial" w:cs="Arial"/>
          <w:sz w:val="24"/>
          <w:szCs w:val="24"/>
        </w:rPr>
        <w:t xml:space="preserve">, F. (2019). Mapping themes in the study of new work practices. </w:t>
      </w:r>
      <w:r w:rsidRPr="00855DBA">
        <w:rPr>
          <w:rFonts w:ascii="Arial" w:hAnsi="Arial" w:cs="Arial"/>
          <w:i/>
          <w:iCs/>
          <w:sz w:val="24"/>
          <w:szCs w:val="24"/>
        </w:rPr>
        <w:t>New Technology, Work, and Employment</w:t>
      </w:r>
      <w:r w:rsidRPr="00855DBA">
        <w:rPr>
          <w:rFonts w:ascii="Arial" w:hAnsi="Arial" w:cs="Arial"/>
          <w:sz w:val="24"/>
          <w:szCs w:val="24"/>
        </w:rPr>
        <w:t xml:space="preserve">, </w:t>
      </w:r>
      <w:r w:rsidRPr="00855DBA">
        <w:rPr>
          <w:rFonts w:ascii="Arial" w:hAnsi="Arial" w:cs="Arial"/>
          <w:i/>
          <w:iCs/>
          <w:sz w:val="24"/>
          <w:szCs w:val="24"/>
        </w:rPr>
        <w:t>34</w:t>
      </w:r>
      <w:r w:rsidRPr="00855DBA">
        <w:rPr>
          <w:rFonts w:ascii="Arial" w:hAnsi="Arial" w:cs="Arial"/>
          <w:sz w:val="24"/>
          <w:szCs w:val="24"/>
        </w:rPr>
        <w:t xml:space="preserve">(3), 285–299. </w:t>
      </w:r>
      <w:hyperlink r:id="rId19" w:history="1">
        <w:r w:rsidRPr="00855DBA">
          <w:rPr>
            <w:rStyle w:val="Hyperlink"/>
            <w:rFonts w:ascii="Arial" w:hAnsi="Arial" w:cs="Arial"/>
            <w:sz w:val="24"/>
            <w:szCs w:val="24"/>
          </w:rPr>
          <w:t>https://doi.org/10.1111/ntwe.12146</w:t>
        </w:r>
      </w:hyperlink>
      <w:r w:rsidRPr="00855DBA">
        <w:rPr>
          <w:rFonts w:ascii="Arial" w:hAnsi="Arial" w:cs="Arial"/>
          <w:sz w:val="24"/>
          <w:szCs w:val="24"/>
        </w:rPr>
        <w:t xml:space="preserve"> </w:t>
      </w:r>
    </w:p>
    <w:p w14:paraId="403BC743" w14:textId="77777777" w:rsidR="00855DBA" w:rsidRPr="00855DBA" w:rsidRDefault="00855DBA" w:rsidP="00855DBA">
      <w:pPr>
        <w:pStyle w:val="NoSpacing"/>
        <w:jc w:val="both"/>
        <w:rPr>
          <w:rFonts w:ascii="Arial" w:hAnsi="Arial" w:cs="Arial"/>
          <w:sz w:val="24"/>
          <w:szCs w:val="24"/>
        </w:rPr>
      </w:pPr>
    </w:p>
    <w:p w14:paraId="3915A8BC" w14:textId="3642EAF0" w:rsidR="004C18C1" w:rsidRPr="00855DBA" w:rsidRDefault="004C18C1" w:rsidP="00855DBA">
      <w:pPr>
        <w:pStyle w:val="NoSpacing"/>
        <w:jc w:val="both"/>
        <w:rPr>
          <w:rFonts w:ascii="Arial" w:hAnsi="Arial" w:cs="Arial"/>
          <w:sz w:val="24"/>
          <w:szCs w:val="24"/>
        </w:rPr>
      </w:pPr>
      <w:r w:rsidRPr="00855DBA">
        <w:rPr>
          <w:rFonts w:ascii="Arial" w:hAnsi="Arial" w:cs="Arial"/>
          <w:sz w:val="24"/>
          <w:szCs w:val="24"/>
        </w:rPr>
        <w:t xml:space="preserve">Upadhyay, A. K., &amp; Khandelwal, K. (2018). Applying artificial intelligence: implications for recruitment. </w:t>
      </w:r>
      <w:r w:rsidRPr="00855DBA">
        <w:rPr>
          <w:rFonts w:ascii="Arial" w:hAnsi="Arial" w:cs="Arial"/>
          <w:i/>
          <w:iCs/>
          <w:sz w:val="24"/>
          <w:szCs w:val="24"/>
        </w:rPr>
        <w:t>Strategic HR Review</w:t>
      </w:r>
      <w:r w:rsidRPr="00855DBA">
        <w:rPr>
          <w:rFonts w:ascii="Arial" w:hAnsi="Arial" w:cs="Arial"/>
          <w:sz w:val="24"/>
          <w:szCs w:val="24"/>
        </w:rPr>
        <w:t xml:space="preserve">, </w:t>
      </w:r>
      <w:r w:rsidRPr="00855DBA">
        <w:rPr>
          <w:rFonts w:ascii="Arial" w:hAnsi="Arial" w:cs="Arial"/>
          <w:i/>
          <w:iCs/>
          <w:sz w:val="24"/>
          <w:szCs w:val="24"/>
        </w:rPr>
        <w:t>17</w:t>
      </w:r>
      <w:r w:rsidRPr="00855DBA">
        <w:rPr>
          <w:rFonts w:ascii="Arial" w:hAnsi="Arial" w:cs="Arial"/>
          <w:sz w:val="24"/>
          <w:szCs w:val="24"/>
        </w:rPr>
        <w:t xml:space="preserve">(5), 255–258. </w:t>
      </w:r>
      <w:hyperlink r:id="rId20" w:history="1">
        <w:r w:rsidRPr="00855DBA">
          <w:rPr>
            <w:rStyle w:val="Hyperlink"/>
            <w:rFonts w:ascii="Arial" w:hAnsi="Arial" w:cs="Arial"/>
            <w:sz w:val="24"/>
            <w:szCs w:val="24"/>
          </w:rPr>
          <w:t>https://doi.org/10.1108/SHR-07-2018-0051</w:t>
        </w:r>
      </w:hyperlink>
      <w:r w:rsidRPr="00855DBA">
        <w:rPr>
          <w:rFonts w:ascii="Arial" w:hAnsi="Arial" w:cs="Arial"/>
          <w:sz w:val="24"/>
          <w:szCs w:val="24"/>
        </w:rPr>
        <w:t xml:space="preserve"> </w:t>
      </w:r>
    </w:p>
    <w:p w14:paraId="63A37789" w14:textId="77777777" w:rsidR="00855DBA" w:rsidRPr="00855DBA" w:rsidRDefault="00855DBA" w:rsidP="00855DBA">
      <w:pPr>
        <w:pStyle w:val="NoSpacing"/>
        <w:jc w:val="both"/>
        <w:rPr>
          <w:rFonts w:ascii="Arial" w:hAnsi="Arial" w:cs="Arial"/>
          <w:sz w:val="24"/>
          <w:szCs w:val="24"/>
        </w:rPr>
      </w:pPr>
    </w:p>
    <w:p w14:paraId="0EF7194E" w14:textId="50583985" w:rsidR="004C18C1" w:rsidRPr="00855DBA" w:rsidRDefault="004C18C1" w:rsidP="00855DBA">
      <w:pPr>
        <w:pStyle w:val="NoSpacing"/>
        <w:jc w:val="both"/>
        <w:rPr>
          <w:rFonts w:ascii="Arial" w:hAnsi="Arial" w:cs="Arial"/>
          <w:sz w:val="24"/>
          <w:szCs w:val="24"/>
        </w:rPr>
      </w:pPr>
      <w:r w:rsidRPr="00855DBA">
        <w:rPr>
          <w:rFonts w:ascii="Arial" w:hAnsi="Arial" w:cs="Arial"/>
          <w:sz w:val="24"/>
          <w:szCs w:val="24"/>
        </w:rPr>
        <w:t>Oulton, J.A., 2006. The global nursing shortage: an overview of issues and actions. </w:t>
      </w:r>
      <w:r w:rsidRPr="00855DBA">
        <w:rPr>
          <w:rFonts w:ascii="Arial" w:hAnsi="Arial" w:cs="Arial"/>
          <w:i/>
          <w:iCs/>
          <w:sz w:val="24"/>
          <w:szCs w:val="24"/>
        </w:rPr>
        <w:t>Policy, Politics, &amp; Nursing Practice</w:t>
      </w:r>
      <w:r w:rsidRPr="00855DBA">
        <w:rPr>
          <w:rFonts w:ascii="Arial" w:hAnsi="Arial" w:cs="Arial"/>
          <w:sz w:val="24"/>
          <w:szCs w:val="24"/>
        </w:rPr>
        <w:t>, </w:t>
      </w:r>
      <w:r w:rsidRPr="00855DBA">
        <w:rPr>
          <w:rFonts w:ascii="Arial" w:hAnsi="Arial" w:cs="Arial"/>
          <w:i/>
          <w:iCs/>
          <w:sz w:val="24"/>
          <w:szCs w:val="24"/>
        </w:rPr>
        <w:t>7</w:t>
      </w:r>
      <w:r w:rsidRPr="00855DBA">
        <w:rPr>
          <w:rFonts w:ascii="Arial" w:hAnsi="Arial" w:cs="Arial"/>
          <w:sz w:val="24"/>
          <w:szCs w:val="24"/>
        </w:rPr>
        <w:t xml:space="preserve">(3_suppl), pp.34S-39S. </w:t>
      </w:r>
    </w:p>
    <w:p w14:paraId="1ECF537C" w14:textId="77777777" w:rsidR="00855DBA" w:rsidRPr="00855DBA" w:rsidRDefault="00855DBA" w:rsidP="00855DBA">
      <w:pPr>
        <w:pStyle w:val="NoSpacing"/>
        <w:jc w:val="both"/>
        <w:rPr>
          <w:rFonts w:ascii="Arial" w:hAnsi="Arial" w:cs="Arial"/>
          <w:sz w:val="24"/>
          <w:szCs w:val="24"/>
        </w:rPr>
      </w:pPr>
    </w:p>
    <w:p w14:paraId="3892731E" w14:textId="112DA2E8" w:rsidR="004C18C1" w:rsidRPr="00855DBA" w:rsidRDefault="004C18C1" w:rsidP="00855DBA">
      <w:pPr>
        <w:pStyle w:val="NoSpacing"/>
        <w:jc w:val="both"/>
        <w:rPr>
          <w:rFonts w:ascii="Arial" w:hAnsi="Arial" w:cs="Arial"/>
          <w:sz w:val="24"/>
          <w:szCs w:val="24"/>
        </w:rPr>
      </w:pPr>
      <w:r w:rsidRPr="00855DBA">
        <w:rPr>
          <w:rFonts w:ascii="Arial" w:hAnsi="Arial" w:cs="Arial"/>
          <w:sz w:val="24"/>
          <w:szCs w:val="24"/>
        </w:rPr>
        <w:t xml:space="preserve">Baum, T., Kralj, A., Robinson, R. N. S., &amp; </w:t>
      </w:r>
      <w:proofErr w:type="spellStart"/>
      <w:r w:rsidRPr="00855DBA">
        <w:rPr>
          <w:rFonts w:ascii="Arial" w:hAnsi="Arial" w:cs="Arial"/>
          <w:sz w:val="24"/>
          <w:szCs w:val="24"/>
        </w:rPr>
        <w:t>Solnet</w:t>
      </w:r>
      <w:proofErr w:type="spellEnd"/>
      <w:r w:rsidRPr="00855DBA">
        <w:rPr>
          <w:rFonts w:ascii="Arial" w:hAnsi="Arial" w:cs="Arial"/>
          <w:sz w:val="24"/>
          <w:szCs w:val="24"/>
        </w:rPr>
        <w:t xml:space="preserve">, D. J. (2016). Tourism workforce research: A review, taxonomy and agenda. </w:t>
      </w:r>
      <w:r w:rsidRPr="00855DBA">
        <w:rPr>
          <w:rFonts w:ascii="Arial" w:hAnsi="Arial" w:cs="Arial"/>
          <w:i/>
          <w:iCs/>
          <w:sz w:val="24"/>
          <w:szCs w:val="24"/>
        </w:rPr>
        <w:t>Annals of Tourism Research</w:t>
      </w:r>
      <w:r w:rsidRPr="00855DBA">
        <w:rPr>
          <w:rFonts w:ascii="Arial" w:hAnsi="Arial" w:cs="Arial"/>
          <w:sz w:val="24"/>
          <w:szCs w:val="24"/>
        </w:rPr>
        <w:t xml:space="preserve">, </w:t>
      </w:r>
      <w:r w:rsidRPr="00855DBA">
        <w:rPr>
          <w:rFonts w:ascii="Arial" w:hAnsi="Arial" w:cs="Arial"/>
          <w:i/>
          <w:iCs/>
          <w:sz w:val="24"/>
          <w:szCs w:val="24"/>
        </w:rPr>
        <w:t>60</w:t>
      </w:r>
      <w:r w:rsidRPr="00855DBA">
        <w:rPr>
          <w:rFonts w:ascii="Arial" w:hAnsi="Arial" w:cs="Arial"/>
          <w:sz w:val="24"/>
          <w:szCs w:val="24"/>
        </w:rPr>
        <w:t xml:space="preserve">, 1–22. </w:t>
      </w:r>
      <w:hyperlink r:id="rId21" w:history="1">
        <w:r w:rsidRPr="00855DBA">
          <w:rPr>
            <w:rStyle w:val="Hyperlink"/>
            <w:rFonts w:ascii="Arial" w:hAnsi="Arial" w:cs="Arial"/>
            <w:sz w:val="24"/>
            <w:szCs w:val="24"/>
          </w:rPr>
          <w:t>https://doi.org/10.1016/j.annals.2016.04.003</w:t>
        </w:r>
      </w:hyperlink>
      <w:r w:rsidRPr="00855DBA">
        <w:rPr>
          <w:rFonts w:ascii="Arial" w:hAnsi="Arial" w:cs="Arial"/>
          <w:sz w:val="24"/>
          <w:szCs w:val="24"/>
        </w:rPr>
        <w:t xml:space="preserve"> </w:t>
      </w:r>
      <w:r w:rsidRPr="00855DBA">
        <w:rPr>
          <w:rFonts w:ascii="Arial" w:hAnsi="Arial" w:cs="Arial"/>
          <w:sz w:val="24"/>
          <w:szCs w:val="24"/>
        </w:rPr>
        <w:tab/>
      </w:r>
    </w:p>
    <w:p w14:paraId="48097BAE" w14:textId="77777777" w:rsidR="00855DBA" w:rsidRPr="00855DBA" w:rsidRDefault="00855DBA" w:rsidP="00855DBA">
      <w:pPr>
        <w:pStyle w:val="NoSpacing"/>
        <w:jc w:val="both"/>
        <w:rPr>
          <w:rFonts w:ascii="Arial" w:hAnsi="Arial" w:cs="Arial"/>
          <w:sz w:val="24"/>
          <w:szCs w:val="24"/>
        </w:rPr>
      </w:pPr>
    </w:p>
    <w:p w14:paraId="65571F10" w14:textId="12C26E2D" w:rsidR="004C18C1" w:rsidRPr="00855DBA" w:rsidRDefault="004C18C1" w:rsidP="00855DBA">
      <w:pPr>
        <w:pStyle w:val="NoSpacing"/>
        <w:jc w:val="both"/>
        <w:rPr>
          <w:rFonts w:ascii="Arial" w:hAnsi="Arial" w:cs="Arial"/>
          <w:sz w:val="24"/>
          <w:szCs w:val="24"/>
        </w:rPr>
      </w:pPr>
      <w:r w:rsidRPr="00855DBA">
        <w:rPr>
          <w:rFonts w:ascii="Arial" w:hAnsi="Arial" w:cs="Arial"/>
          <w:sz w:val="24"/>
          <w:szCs w:val="24"/>
        </w:rPr>
        <w:t>Sweeney, A., Clarke, N., &amp; Higgs, M. (2019). Shared Leadership in Commercial Organizations: A Systematic Review of Definitions, Theoretical Frameworks and Organizational Outcomes. </w:t>
      </w:r>
      <w:r w:rsidRPr="00855DBA">
        <w:rPr>
          <w:rFonts w:ascii="Arial" w:hAnsi="Arial" w:cs="Arial"/>
          <w:i/>
          <w:iCs/>
          <w:sz w:val="24"/>
          <w:szCs w:val="24"/>
        </w:rPr>
        <w:t xml:space="preserve">International Journal of Management </w:t>
      </w:r>
      <w:proofErr w:type="gramStart"/>
      <w:r w:rsidRPr="00855DBA">
        <w:rPr>
          <w:rFonts w:ascii="Arial" w:hAnsi="Arial" w:cs="Arial"/>
          <w:i/>
          <w:iCs/>
          <w:sz w:val="24"/>
          <w:szCs w:val="24"/>
        </w:rPr>
        <w:t>Reviews :</w:t>
      </w:r>
      <w:proofErr w:type="gramEnd"/>
      <w:r w:rsidRPr="00855DBA">
        <w:rPr>
          <w:rFonts w:ascii="Arial" w:hAnsi="Arial" w:cs="Arial"/>
          <w:i/>
          <w:iCs/>
          <w:sz w:val="24"/>
          <w:szCs w:val="24"/>
        </w:rPr>
        <w:t xml:space="preserve"> IJMR</w:t>
      </w:r>
      <w:r w:rsidRPr="00855DBA">
        <w:rPr>
          <w:rFonts w:ascii="Arial" w:hAnsi="Arial" w:cs="Arial"/>
          <w:sz w:val="24"/>
          <w:szCs w:val="24"/>
        </w:rPr>
        <w:t>, </w:t>
      </w:r>
      <w:r w:rsidRPr="00855DBA">
        <w:rPr>
          <w:rFonts w:ascii="Arial" w:hAnsi="Arial" w:cs="Arial"/>
          <w:i/>
          <w:iCs/>
          <w:sz w:val="24"/>
          <w:szCs w:val="24"/>
        </w:rPr>
        <w:t>21</w:t>
      </w:r>
      <w:r w:rsidRPr="00855DBA">
        <w:rPr>
          <w:rFonts w:ascii="Arial" w:hAnsi="Arial" w:cs="Arial"/>
          <w:sz w:val="24"/>
          <w:szCs w:val="24"/>
        </w:rPr>
        <w:t xml:space="preserve">(1), 115–136. </w:t>
      </w:r>
      <w:hyperlink r:id="rId22" w:history="1">
        <w:r w:rsidRPr="00855DBA">
          <w:rPr>
            <w:rStyle w:val="Hyperlink"/>
            <w:rFonts w:ascii="Arial" w:hAnsi="Arial" w:cs="Arial"/>
            <w:sz w:val="24"/>
            <w:szCs w:val="24"/>
          </w:rPr>
          <w:t>https://doi.org/10.1111/ijmr.12181</w:t>
        </w:r>
      </w:hyperlink>
      <w:r w:rsidRPr="00855DBA">
        <w:rPr>
          <w:rFonts w:ascii="Arial" w:hAnsi="Arial" w:cs="Arial"/>
          <w:sz w:val="24"/>
          <w:szCs w:val="24"/>
        </w:rPr>
        <w:t xml:space="preserve"> </w:t>
      </w:r>
    </w:p>
    <w:p w14:paraId="132E7592" w14:textId="77777777" w:rsidR="00855DBA" w:rsidRPr="00855DBA" w:rsidRDefault="00855DBA" w:rsidP="00855DBA">
      <w:pPr>
        <w:pStyle w:val="NoSpacing"/>
        <w:jc w:val="both"/>
        <w:rPr>
          <w:rFonts w:ascii="Arial" w:hAnsi="Arial" w:cs="Arial"/>
          <w:sz w:val="24"/>
          <w:szCs w:val="24"/>
        </w:rPr>
      </w:pPr>
    </w:p>
    <w:p w14:paraId="73FE865C" w14:textId="2EDA990E" w:rsidR="00855DBA" w:rsidRPr="00855DBA" w:rsidRDefault="00855DBA" w:rsidP="00855DBA">
      <w:pPr>
        <w:pStyle w:val="NoSpacing"/>
        <w:jc w:val="both"/>
        <w:rPr>
          <w:rFonts w:ascii="Arial" w:hAnsi="Arial" w:cs="Arial"/>
          <w:sz w:val="24"/>
          <w:szCs w:val="24"/>
        </w:rPr>
      </w:pPr>
      <w:r w:rsidRPr="00855DBA">
        <w:rPr>
          <w:rFonts w:ascii="Arial" w:hAnsi="Arial" w:cs="Arial"/>
          <w:sz w:val="24"/>
          <w:szCs w:val="24"/>
        </w:rPr>
        <w:t>Moon, J.A., 2013. </w:t>
      </w:r>
      <w:r w:rsidRPr="00855DBA">
        <w:rPr>
          <w:rFonts w:ascii="Arial" w:hAnsi="Arial" w:cs="Arial"/>
          <w:i/>
          <w:iCs/>
          <w:sz w:val="24"/>
          <w:szCs w:val="24"/>
        </w:rPr>
        <w:t>A handbook of reflective and experiential learning: Theory and practice</w:t>
      </w:r>
      <w:r w:rsidRPr="00855DBA">
        <w:rPr>
          <w:rFonts w:ascii="Arial" w:hAnsi="Arial" w:cs="Arial"/>
          <w:sz w:val="24"/>
          <w:szCs w:val="24"/>
        </w:rPr>
        <w:t>. Routledge.</w:t>
      </w:r>
      <w:hyperlink r:id="rId23" w:history="1">
        <w:r w:rsidRPr="00855DBA">
          <w:rPr>
            <w:rStyle w:val="Hyperlink"/>
            <w:rFonts w:ascii="Arial" w:hAnsi="Arial" w:cs="Arial"/>
            <w:sz w:val="24"/>
            <w:szCs w:val="24"/>
          </w:rPr>
          <w:t>https://api.taylorfrancis.com/content/books/mono/download?identifierName=doi&amp;identifierValue=10.4324/9780203416150&amp;type=googlepdf</w:t>
        </w:r>
      </w:hyperlink>
    </w:p>
    <w:p w14:paraId="4126E7BE" w14:textId="77777777" w:rsidR="00855DBA" w:rsidRPr="00855DBA" w:rsidRDefault="00855DBA" w:rsidP="00855DBA">
      <w:pPr>
        <w:pStyle w:val="NoSpacing"/>
        <w:jc w:val="both"/>
        <w:rPr>
          <w:rFonts w:ascii="Arial" w:hAnsi="Arial" w:cs="Arial"/>
          <w:sz w:val="24"/>
          <w:szCs w:val="24"/>
        </w:rPr>
      </w:pPr>
    </w:p>
    <w:p w14:paraId="6386865A" w14:textId="78612074" w:rsidR="00855DBA" w:rsidRPr="00855DBA" w:rsidRDefault="00855DBA" w:rsidP="00855DBA">
      <w:pPr>
        <w:pStyle w:val="NoSpacing"/>
        <w:jc w:val="both"/>
        <w:rPr>
          <w:rFonts w:ascii="Arial" w:hAnsi="Arial" w:cs="Arial"/>
          <w:sz w:val="24"/>
          <w:szCs w:val="24"/>
        </w:rPr>
      </w:pPr>
      <w:r w:rsidRPr="00855DBA">
        <w:rPr>
          <w:rFonts w:ascii="Arial" w:hAnsi="Arial" w:cs="Arial"/>
          <w:sz w:val="24"/>
          <w:szCs w:val="24"/>
        </w:rPr>
        <w:t xml:space="preserve">Kolb, D.A. (2014) </w:t>
      </w:r>
      <w:r w:rsidRPr="00855DBA">
        <w:rPr>
          <w:rFonts w:ascii="Arial" w:hAnsi="Arial" w:cs="Arial"/>
          <w:i/>
          <w:iCs/>
          <w:sz w:val="24"/>
          <w:szCs w:val="24"/>
        </w:rPr>
        <w:t>Experiential Learning: Experience as the Source of Learning and Development.</w:t>
      </w:r>
      <w:r w:rsidRPr="00855DBA">
        <w:rPr>
          <w:rFonts w:ascii="Arial" w:hAnsi="Arial" w:cs="Arial"/>
          <w:sz w:val="24"/>
          <w:szCs w:val="24"/>
        </w:rPr>
        <w:t xml:space="preserve"> Upper Saddle River, NJ: FT Press.</w:t>
      </w:r>
      <w:hyperlink r:id="rId24" w:anchor="v=onepage&amp;q=Experiential%20Learning%3A%20Experience%20as%20the%20Source%20of%20Learning%20and%20Development.%20Englewood%20Cliffs%2C%20NJ%3A%20Prentice%20Hall.&amp;f=false" w:history="1">
        <w:r w:rsidRPr="00855DBA">
          <w:rPr>
            <w:rStyle w:val="Hyperlink"/>
            <w:rFonts w:ascii="Arial" w:hAnsi="Arial" w:cs="Arial"/>
            <w:sz w:val="24"/>
            <w:szCs w:val="24"/>
          </w:rPr>
          <w:t>https://books.google.co.uk/books?hl=en&amp;lr=&amp;id=jpbeBQAAQBAJ&amp;oi=fnd&amp;pg=PR7&amp;dq=Experiential+Learning:+Experience+as+the+Source+of+Learning+and+Development.+Englewood+Cliffs,+NJ:+Prentice+Hall.&amp;ots=Vp8NqT0TSi&amp;sig=BpIgp7VbxVeO8lirBhuEctONWgA#v=onepage&amp;q=Experiential%20Learning%3A%20Experience%20as%20the%20Source%20of%20Learning%20and%20Development.%20Englewood%20Cliffs%2C%20NJ%3A%20Prentice%20Hall.&amp;f=false</w:t>
        </w:r>
      </w:hyperlink>
      <w:r w:rsidRPr="00855DBA">
        <w:rPr>
          <w:rFonts w:ascii="Arial" w:hAnsi="Arial" w:cs="Arial"/>
          <w:sz w:val="24"/>
          <w:szCs w:val="24"/>
        </w:rPr>
        <w:t xml:space="preserve"> </w:t>
      </w:r>
    </w:p>
    <w:p w14:paraId="563384C8" w14:textId="77777777" w:rsidR="00855DBA" w:rsidRPr="00855DBA" w:rsidRDefault="00855DBA" w:rsidP="00855DBA">
      <w:pPr>
        <w:pStyle w:val="NoSpacing"/>
        <w:jc w:val="both"/>
        <w:rPr>
          <w:rFonts w:ascii="Arial" w:hAnsi="Arial" w:cs="Arial"/>
          <w:sz w:val="24"/>
          <w:szCs w:val="24"/>
        </w:rPr>
      </w:pPr>
    </w:p>
    <w:p w14:paraId="3ADD20EF" w14:textId="0C95498E" w:rsidR="00855DBA" w:rsidRPr="00855DBA" w:rsidRDefault="00855DBA" w:rsidP="00855DBA">
      <w:pPr>
        <w:pStyle w:val="NoSpacing"/>
        <w:jc w:val="both"/>
        <w:rPr>
          <w:rFonts w:ascii="Arial" w:hAnsi="Arial" w:cs="Arial"/>
          <w:sz w:val="24"/>
          <w:szCs w:val="24"/>
        </w:rPr>
      </w:pPr>
      <w:r w:rsidRPr="00855DBA">
        <w:rPr>
          <w:rFonts w:ascii="Arial" w:hAnsi="Arial" w:cs="Arial"/>
          <w:sz w:val="24"/>
          <w:szCs w:val="24"/>
        </w:rPr>
        <w:t>Goleman, D. (1998). </w:t>
      </w:r>
      <w:r w:rsidRPr="00855DBA">
        <w:rPr>
          <w:rFonts w:ascii="Arial" w:hAnsi="Arial" w:cs="Arial"/>
          <w:i/>
          <w:iCs/>
          <w:sz w:val="24"/>
          <w:szCs w:val="24"/>
        </w:rPr>
        <w:t>Working with Emotional Intelligence</w:t>
      </w:r>
      <w:r w:rsidRPr="00855DBA">
        <w:rPr>
          <w:rFonts w:ascii="Arial" w:hAnsi="Arial" w:cs="Arial"/>
          <w:sz w:val="24"/>
          <w:szCs w:val="24"/>
        </w:rPr>
        <w:t xml:space="preserve">. [online] Available at: </w:t>
      </w:r>
      <w:hyperlink r:id="rId25" w:history="1">
        <w:r w:rsidRPr="00855DBA">
          <w:rPr>
            <w:rStyle w:val="Hyperlink"/>
            <w:rFonts w:ascii="Arial" w:hAnsi="Arial" w:cs="Arial"/>
            <w:sz w:val="24"/>
            <w:szCs w:val="24"/>
          </w:rPr>
          <w:t>https://www.schoolofeducators.com/wp-content/uploads/2008/07/emotional-intelligence.pdf</w:t>
        </w:r>
      </w:hyperlink>
      <w:r w:rsidRPr="00855DBA">
        <w:rPr>
          <w:rFonts w:ascii="Arial" w:hAnsi="Arial" w:cs="Arial"/>
          <w:sz w:val="24"/>
          <w:szCs w:val="24"/>
        </w:rPr>
        <w:t xml:space="preserve">. </w:t>
      </w:r>
    </w:p>
    <w:p w14:paraId="0913F88D" w14:textId="77777777" w:rsidR="00855DBA" w:rsidRPr="00855DBA" w:rsidRDefault="00855DBA" w:rsidP="00855DBA">
      <w:pPr>
        <w:pStyle w:val="NoSpacing"/>
        <w:jc w:val="both"/>
        <w:rPr>
          <w:rFonts w:ascii="Arial" w:hAnsi="Arial" w:cs="Arial"/>
          <w:i/>
          <w:iCs/>
          <w:sz w:val="24"/>
          <w:szCs w:val="24"/>
        </w:rPr>
      </w:pPr>
    </w:p>
    <w:p w14:paraId="50453C6D" w14:textId="1179CF57" w:rsidR="00855DBA" w:rsidRPr="00855DBA" w:rsidRDefault="00855DBA" w:rsidP="00855DBA">
      <w:pPr>
        <w:pStyle w:val="NoSpacing"/>
        <w:jc w:val="both"/>
        <w:rPr>
          <w:rFonts w:ascii="Arial" w:hAnsi="Arial" w:cs="Arial"/>
          <w:sz w:val="24"/>
          <w:szCs w:val="24"/>
        </w:rPr>
      </w:pPr>
      <w:r w:rsidRPr="00855DBA">
        <w:rPr>
          <w:rFonts w:ascii="Arial" w:hAnsi="Arial" w:cs="Arial"/>
          <w:i/>
          <w:iCs/>
          <w:sz w:val="24"/>
          <w:szCs w:val="24"/>
        </w:rPr>
        <w:t>Rogers, E.M. (2003) Diffusion of Innovations, 5th Edition</w:t>
      </w:r>
      <w:r w:rsidRPr="00855DBA">
        <w:rPr>
          <w:rFonts w:ascii="Arial" w:hAnsi="Arial" w:cs="Arial"/>
          <w:sz w:val="24"/>
          <w:szCs w:val="24"/>
        </w:rPr>
        <w:t xml:space="preserve">. [online] Available at: </w:t>
      </w:r>
      <w:hyperlink r:id="rId26" w:history="1">
        <w:r w:rsidRPr="00855DBA">
          <w:rPr>
            <w:rStyle w:val="Hyperlink"/>
            <w:rFonts w:ascii="Arial" w:hAnsi="Arial" w:cs="Arial"/>
            <w:sz w:val="24"/>
            <w:szCs w:val="24"/>
          </w:rPr>
          <w:t>https://books.google.co.uk/books/about/Diffusion_of_Innovations_5th_Edition.html?hl=es&amp;id=9U1K5LjUOwEC&amp;redir_esc=y</w:t>
        </w:r>
      </w:hyperlink>
      <w:r w:rsidRPr="00855DBA">
        <w:rPr>
          <w:rFonts w:ascii="Arial" w:hAnsi="Arial" w:cs="Arial"/>
          <w:sz w:val="24"/>
          <w:szCs w:val="24"/>
        </w:rPr>
        <w:t xml:space="preserve">. </w:t>
      </w:r>
    </w:p>
    <w:p w14:paraId="6A88398F" w14:textId="77777777" w:rsidR="003877EE" w:rsidRPr="009B313B" w:rsidRDefault="003877EE" w:rsidP="00855DBA">
      <w:pPr>
        <w:ind w:left="360"/>
      </w:pPr>
    </w:p>
    <w:sectPr w:rsidR="003877EE" w:rsidRPr="009B313B" w:rsidSect="00E10A6A">
      <w:pgSz w:w="11906" w:h="16838"/>
      <w:pgMar w:top="1440" w:right="1440" w:bottom="1440" w:left="1440" w:header="720" w:footer="720" w:gutter="0"/>
      <w:pgBorders w:offsetFrom="page">
        <w:top w:val="single" w:sz="6" w:space="24" w:color="auto"/>
        <w:left w:val="single" w:sz="6" w:space="24" w:color="auto"/>
        <w:bottom w:val="single" w:sz="6" w:space="24" w:color="auto"/>
        <w:right w:val="single" w:sz="6"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4A16A6"/>
    <w:multiLevelType w:val="hybridMultilevel"/>
    <w:tmpl w:val="45DED8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036564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A6A"/>
    <w:rsid w:val="00016BFE"/>
    <w:rsid w:val="00017E02"/>
    <w:rsid w:val="000366B2"/>
    <w:rsid w:val="00040263"/>
    <w:rsid w:val="000616E2"/>
    <w:rsid w:val="002336DE"/>
    <w:rsid w:val="00236DCF"/>
    <w:rsid w:val="00257F93"/>
    <w:rsid w:val="002E0DEC"/>
    <w:rsid w:val="002E7988"/>
    <w:rsid w:val="0038418C"/>
    <w:rsid w:val="003877EE"/>
    <w:rsid w:val="003A2032"/>
    <w:rsid w:val="004005E4"/>
    <w:rsid w:val="00421727"/>
    <w:rsid w:val="00425CC5"/>
    <w:rsid w:val="0043130F"/>
    <w:rsid w:val="004936B4"/>
    <w:rsid w:val="004C18C1"/>
    <w:rsid w:val="0053277D"/>
    <w:rsid w:val="00756127"/>
    <w:rsid w:val="00794046"/>
    <w:rsid w:val="007A6336"/>
    <w:rsid w:val="0080793A"/>
    <w:rsid w:val="00855DBA"/>
    <w:rsid w:val="008C0F69"/>
    <w:rsid w:val="00910066"/>
    <w:rsid w:val="009720F5"/>
    <w:rsid w:val="009B313B"/>
    <w:rsid w:val="00AC4A24"/>
    <w:rsid w:val="00AF2AD6"/>
    <w:rsid w:val="00B57FEF"/>
    <w:rsid w:val="00B7094F"/>
    <w:rsid w:val="00BA1FA5"/>
    <w:rsid w:val="00BB4BFF"/>
    <w:rsid w:val="00C00B25"/>
    <w:rsid w:val="00CB2F49"/>
    <w:rsid w:val="00CD06C6"/>
    <w:rsid w:val="00D57995"/>
    <w:rsid w:val="00D76C33"/>
    <w:rsid w:val="00E03803"/>
    <w:rsid w:val="00E10A6A"/>
    <w:rsid w:val="00EE58F3"/>
    <w:rsid w:val="00F77E6D"/>
    <w:rsid w:val="00FC39B0"/>
    <w:rsid w:val="00FC68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DA876"/>
  <w15:chartTrackingRefBased/>
  <w15:docId w15:val="{B9168F65-6306-4429-AAFC-21FB291CB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A6A"/>
  </w:style>
  <w:style w:type="paragraph" w:styleId="Heading1">
    <w:name w:val="heading 1"/>
    <w:basedOn w:val="Normal"/>
    <w:next w:val="Normal"/>
    <w:link w:val="Heading1Char"/>
    <w:uiPriority w:val="9"/>
    <w:qFormat/>
    <w:rsid w:val="00E10A6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10A6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10A6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10A6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10A6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10A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0A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0A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0A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0A6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10A6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10A6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10A6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10A6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10A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0A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0A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0A6A"/>
    <w:rPr>
      <w:rFonts w:eastAsiaTheme="majorEastAsia" w:cstheme="majorBidi"/>
      <w:color w:val="272727" w:themeColor="text1" w:themeTint="D8"/>
    </w:rPr>
  </w:style>
  <w:style w:type="paragraph" w:styleId="Title">
    <w:name w:val="Title"/>
    <w:basedOn w:val="Normal"/>
    <w:next w:val="Normal"/>
    <w:link w:val="TitleChar"/>
    <w:uiPriority w:val="10"/>
    <w:qFormat/>
    <w:rsid w:val="00E10A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0A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0A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0A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0A6A"/>
    <w:pPr>
      <w:spacing w:before="160"/>
      <w:jc w:val="center"/>
    </w:pPr>
    <w:rPr>
      <w:i/>
      <w:iCs/>
      <w:color w:val="404040" w:themeColor="text1" w:themeTint="BF"/>
    </w:rPr>
  </w:style>
  <w:style w:type="character" w:customStyle="1" w:styleId="QuoteChar">
    <w:name w:val="Quote Char"/>
    <w:basedOn w:val="DefaultParagraphFont"/>
    <w:link w:val="Quote"/>
    <w:uiPriority w:val="29"/>
    <w:rsid w:val="00E10A6A"/>
    <w:rPr>
      <w:i/>
      <w:iCs/>
      <w:color w:val="404040" w:themeColor="text1" w:themeTint="BF"/>
    </w:rPr>
  </w:style>
  <w:style w:type="paragraph" w:styleId="ListParagraph">
    <w:name w:val="List Paragraph"/>
    <w:basedOn w:val="Normal"/>
    <w:uiPriority w:val="34"/>
    <w:qFormat/>
    <w:rsid w:val="00E10A6A"/>
    <w:pPr>
      <w:ind w:left="720"/>
      <w:contextualSpacing/>
    </w:pPr>
  </w:style>
  <w:style w:type="character" w:styleId="IntenseEmphasis">
    <w:name w:val="Intense Emphasis"/>
    <w:basedOn w:val="DefaultParagraphFont"/>
    <w:uiPriority w:val="21"/>
    <w:qFormat/>
    <w:rsid w:val="00E10A6A"/>
    <w:rPr>
      <w:i/>
      <w:iCs/>
      <w:color w:val="2F5496" w:themeColor="accent1" w:themeShade="BF"/>
    </w:rPr>
  </w:style>
  <w:style w:type="paragraph" w:styleId="IntenseQuote">
    <w:name w:val="Intense Quote"/>
    <w:basedOn w:val="Normal"/>
    <w:next w:val="Normal"/>
    <w:link w:val="IntenseQuoteChar"/>
    <w:uiPriority w:val="30"/>
    <w:qFormat/>
    <w:rsid w:val="00E10A6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10A6A"/>
    <w:rPr>
      <w:i/>
      <w:iCs/>
      <w:color w:val="2F5496" w:themeColor="accent1" w:themeShade="BF"/>
    </w:rPr>
  </w:style>
  <w:style w:type="character" w:styleId="IntenseReference">
    <w:name w:val="Intense Reference"/>
    <w:basedOn w:val="DefaultParagraphFont"/>
    <w:uiPriority w:val="32"/>
    <w:qFormat/>
    <w:rsid w:val="00E10A6A"/>
    <w:rPr>
      <w:b/>
      <w:bCs/>
      <w:smallCaps/>
      <w:color w:val="2F5496" w:themeColor="accent1" w:themeShade="BF"/>
      <w:spacing w:val="5"/>
    </w:rPr>
  </w:style>
  <w:style w:type="paragraph" w:styleId="NoSpacing">
    <w:name w:val="No Spacing"/>
    <w:uiPriority w:val="1"/>
    <w:qFormat/>
    <w:rsid w:val="00E10A6A"/>
    <w:pPr>
      <w:spacing w:after="0" w:line="240" w:lineRule="auto"/>
    </w:pPr>
  </w:style>
  <w:style w:type="paragraph" w:styleId="TOCHeading">
    <w:name w:val="TOC Heading"/>
    <w:basedOn w:val="Heading1"/>
    <w:next w:val="Normal"/>
    <w:uiPriority w:val="39"/>
    <w:unhideWhenUsed/>
    <w:qFormat/>
    <w:rsid w:val="00E10A6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3A2032"/>
    <w:pPr>
      <w:tabs>
        <w:tab w:val="right" w:leader="dot" w:pos="9016"/>
      </w:tabs>
      <w:spacing w:after="100"/>
    </w:pPr>
  </w:style>
  <w:style w:type="character" w:styleId="Hyperlink">
    <w:name w:val="Hyperlink"/>
    <w:basedOn w:val="DefaultParagraphFont"/>
    <w:uiPriority w:val="99"/>
    <w:unhideWhenUsed/>
    <w:rsid w:val="003A2032"/>
    <w:rPr>
      <w:color w:val="0563C1" w:themeColor="hyperlink"/>
      <w:u w:val="single"/>
    </w:rPr>
  </w:style>
  <w:style w:type="character" w:styleId="UnresolvedMention">
    <w:name w:val="Unresolved Mention"/>
    <w:basedOn w:val="DefaultParagraphFont"/>
    <w:uiPriority w:val="99"/>
    <w:semiHidden/>
    <w:unhideWhenUsed/>
    <w:rsid w:val="003A2032"/>
    <w:rPr>
      <w:color w:val="605E5C"/>
      <w:shd w:val="clear" w:color="auto" w:fill="E1DFDD"/>
    </w:rPr>
  </w:style>
  <w:style w:type="character" w:styleId="FollowedHyperlink">
    <w:name w:val="FollowedHyperlink"/>
    <w:basedOn w:val="DefaultParagraphFont"/>
    <w:uiPriority w:val="99"/>
    <w:semiHidden/>
    <w:unhideWhenUsed/>
    <w:rsid w:val="003877E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apid.one/blog/domestic-hrm-vs-international-hrm" TargetMode="External"/><Relationship Id="rId13" Type="http://schemas.openxmlformats.org/officeDocument/2006/relationships/hyperlink" Target="https://doi.org/10.1108/EJIM-07-2021-0330" TargetMode="External"/><Relationship Id="rId18" Type="http://schemas.openxmlformats.org/officeDocument/2006/relationships/hyperlink" Target="https://doi.org/10.2307/3499575" TargetMode="External"/><Relationship Id="rId26" Type="http://schemas.openxmlformats.org/officeDocument/2006/relationships/hyperlink" Target="https://books.google.co.uk/books/about/Diffusion_of_Innovations_5th_Edition.html?hl=es&amp;id=9U1K5LjUOwEC&amp;redir_esc=y" TargetMode="External"/><Relationship Id="rId3" Type="http://schemas.openxmlformats.org/officeDocument/2006/relationships/styles" Target="styles.xml"/><Relationship Id="rId21" Type="http://schemas.openxmlformats.org/officeDocument/2006/relationships/hyperlink" Target="https://doi.org/10.1016/j.annals.2016.04.003" TargetMode="External"/><Relationship Id="rId7" Type="http://schemas.openxmlformats.org/officeDocument/2006/relationships/image" Target="media/image2.jpeg"/><Relationship Id="rId12" Type="http://schemas.openxmlformats.org/officeDocument/2006/relationships/hyperlink" Target="https://doi.org/10.1287/orsc.2021.1558" TargetMode="External"/><Relationship Id="rId17" Type="http://schemas.openxmlformats.org/officeDocument/2006/relationships/hyperlink" Target="https://doi.org/10.2307/1401709" TargetMode="External"/><Relationship Id="rId25" Type="http://schemas.openxmlformats.org/officeDocument/2006/relationships/hyperlink" Target="https://www.schoolofeducators.com/wp-content/uploads/2008/07/emotional-intelligence.pdf" TargetMode="External"/><Relationship Id="rId2" Type="http://schemas.openxmlformats.org/officeDocument/2006/relationships/numbering" Target="numbering.xml"/><Relationship Id="rId16" Type="http://schemas.openxmlformats.org/officeDocument/2006/relationships/hyperlink" Target="https://doi.org/10.1111/obes.12271" TargetMode="External"/><Relationship Id="rId20" Type="http://schemas.openxmlformats.org/officeDocument/2006/relationships/hyperlink" Target="https://doi.org/10.1108/SHR-07-2018-0051"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5465/amr.1996.9704071860" TargetMode="External"/><Relationship Id="rId24" Type="http://schemas.openxmlformats.org/officeDocument/2006/relationships/hyperlink" Target="https://books.google.co.uk/books?hl=en&amp;lr=&amp;id=jpbeBQAAQBAJ&amp;oi=fnd&amp;pg=PR7&amp;dq=Experiential+Learning:+Experience+as+the+Source+of+Learning+and+Development.+Englewood+Cliffs,+NJ:+Prentice+Hall.&amp;ots=Vp8NqT0TSi&amp;sig=BpIgp7VbxVeO8lirBhuEctONWgA" TargetMode="External"/><Relationship Id="rId5" Type="http://schemas.openxmlformats.org/officeDocument/2006/relationships/webSettings" Target="webSettings.xml"/><Relationship Id="rId15" Type="http://schemas.openxmlformats.org/officeDocument/2006/relationships/hyperlink" Target="https://doi.org/10.1787/605b0787-en" TargetMode="External"/><Relationship Id="rId23" Type="http://schemas.openxmlformats.org/officeDocument/2006/relationships/hyperlink" Target="https://api.taylorfrancis.com/content/books/mono/download?identifierName=doi&amp;identifierValue=10.4324/9780203416150&amp;type=googlepdf" TargetMode="External"/><Relationship Id="rId28" Type="http://schemas.openxmlformats.org/officeDocument/2006/relationships/theme" Target="theme/theme1.xml"/><Relationship Id="rId10" Type="http://schemas.openxmlformats.org/officeDocument/2006/relationships/hyperlink" Target="https://www.b2binternational.com/2025/04/03/pestle-analysis/" TargetMode="External"/><Relationship Id="rId19" Type="http://schemas.openxmlformats.org/officeDocument/2006/relationships/hyperlink" Target="https://doi.org/10.1111/ntwe.12146"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doi.org/10.1016/j.hrmr.2022.100923" TargetMode="External"/><Relationship Id="rId22" Type="http://schemas.openxmlformats.org/officeDocument/2006/relationships/hyperlink" Target="https://doi.org/10.1111/ijmr.12181"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FF0421-4245-4C44-AE54-07EC58CAC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4662</TotalTime>
  <Pages>15</Pages>
  <Words>4206</Words>
  <Characters>23977</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Abhishek Chauhan</dc:creator>
  <cp:keywords/>
  <dc:description/>
  <cp:lastModifiedBy>Abhishek Chauhan</cp:lastModifiedBy>
  <cp:revision>21</cp:revision>
  <dcterms:created xsi:type="dcterms:W3CDTF">2025-10-09T19:04:00Z</dcterms:created>
  <dcterms:modified xsi:type="dcterms:W3CDTF">2025-10-16T20:43:00Z</dcterms:modified>
</cp:coreProperties>
</file>