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000000" w:themeColor="text1"/>
          <w:sz w:val="72"/>
          <w:szCs w:val="72"/>
          <w:lang w:val="en-GB"/>
        </w:rPr>
        <w:id w:val="61481601"/>
        <w:docPartObj>
          <w:docPartGallery w:val="Cover Pages"/>
          <w:docPartUnique/>
        </w:docPartObj>
      </w:sdtPr>
      <w:sdtEndPr>
        <w:rPr>
          <w:rFonts w:ascii="Times New Roman" w:eastAsiaTheme="minorEastAsia" w:hAnsi="Times New Roman" w:cstheme="minorBidi"/>
          <w:sz w:val="22"/>
          <w:szCs w:val="22"/>
        </w:rPr>
      </w:sdtEndPr>
      <w:sdtContent>
        <w:p w14:paraId="49B879AD" w14:textId="379BDAD5" w:rsidR="005B5A4D" w:rsidRDefault="005B5A4D">
          <w:pPr>
            <w:pStyle w:val="a7"/>
            <w:rPr>
              <w:rFonts w:asciiTheme="majorHAnsi" w:eastAsiaTheme="majorEastAsia" w:hAnsiTheme="majorHAnsi" w:cstheme="majorBidi"/>
              <w:color w:val="000000" w:themeColor="text1"/>
              <w:sz w:val="72"/>
              <w:szCs w:val="72"/>
              <w:lang w:val="en-GB"/>
            </w:rPr>
          </w:pPr>
        </w:p>
        <w:p w14:paraId="7AC4BB0D" w14:textId="77777777" w:rsidR="00D11634" w:rsidRPr="00D11634" w:rsidRDefault="00D11634" w:rsidP="00D11634"/>
        <w:p w14:paraId="4520B864" w14:textId="77777777" w:rsidR="005B5A4D" w:rsidRPr="00D11634" w:rsidRDefault="005B5A4D">
          <w:pPr>
            <w:pStyle w:val="a7"/>
            <w:rPr>
              <w:rFonts w:asciiTheme="majorHAnsi" w:eastAsiaTheme="majorEastAsia" w:hAnsiTheme="majorHAnsi" w:cstheme="majorBidi"/>
              <w:color w:val="000000" w:themeColor="text1"/>
              <w:sz w:val="72"/>
              <w:szCs w:val="72"/>
            </w:rPr>
          </w:pPr>
          <w:r w:rsidRPr="00D11634">
            <w:rPr>
              <w:rFonts w:ascii="Calibria" w:hAnsi="Calibria"/>
              <w:b/>
              <w:bCs/>
              <w:color w:val="000000" w:themeColor="text1"/>
              <w:sz w:val="56"/>
            </w:rPr>
            <w:t>Finance for Business Managers</w:t>
          </w:r>
        </w:p>
        <w:p w14:paraId="134EA64D" w14:textId="77777777" w:rsidR="005B5A4D" w:rsidRPr="00D11634" w:rsidRDefault="005B5A4D">
          <w:pPr>
            <w:pStyle w:val="a7"/>
            <w:rPr>
              <w:rFonts w:asciiTheme="majorHAnsi" w:eastAsiaTheme="majorEastAsia" w:hAnsiTheme="majorHAnsi" w:cstheme="majorBidi"/>
              <w:color w:val="000000" w:themeColor="text1"/>
              <w:sz w:val="36"/>
              <w:szCs w:val="36"/>
            </w:rPr>
          </w:pPr>
        </w:p>
        <w:p w14:paraId="4B4EA6DF" w14:textId="77777777" w:rsidR="005B5A4D" w:rsidRPr="00D11634" w:rsidRDefault="005B5A4D">
          <w:pPr>
            <w:pStyle w:val="a7"/>
            <w:rPr>
              <w:rFonts w:asciiTheme="majorHAnsi" w:eastAsiaTheme="majorEastAsia" w:hAnsiTheme="majorHAnsi" w:cstheme="majorBidi"/>
              <w:color w:val="000000" w:themeColor="text1"/>
              <w:sz w:val="36"/>
              <w:szCs w:val="36"/>
            </w:rPr>
          </w:pPr>
        </w:p>
        <w:p w14:paraId="23649D1E" w14:textId="77777777" w:rsidR="005B5A4D" w:rsidRPr="00D11634" w:rsidRDefault="005B5A4D">
          <w:pPr>
            <w:pStyle w:val="a7"/>
            <w:rPr>
              <w:rFonts w:asciiTheme="majorHAnsi" w:eastAsiaTheme="majorEastAsia" w:hAnsiTheme="majorHAnsi" w:cstheme="majorBidi"/>
              <w:color w:val="000000" w:themeColor="text1"/>
              <w:sz w:val="36"/>
              <w:szCs w:val="36"/>
            </w:rPr>
          </w:pPr>
        </w:p>
        <w:p w14:paraId="65EC5526" w14:textId="512AE89F" w:rsidR="005B5A4D" w:rsidRPr="00D11634" w:rsidRDefault="00D11634" w:rsidP="00D11634">
          <w:pPr>
            <w:pStyle w:val="a7"/>
            <w:jc w:val="center"/>
            <w:rPr>
              <w:color w:val="000000" w:themeColor="text1"/>
              <w:sz w:val="40"/>
              <w:szCs w:val="40"/>
              <w:lang w:eastAsia="zh-CN"/>
            </w:rPr>
          </w:pPr>
          <w:proofErr w:type="spellStart"/>
          <w:r>
            <w:rPr>
              <w:color w:val="000000" w:themeColor="text1"/>
              <w:sz w:val="40"/>
              <w:szCs w:val="40"/>
              <w:lang w:eastAsia="zh-CN"/>
            </w:rPr>
            <w:t>Shangyi</w:t>
          </w:r>
          <w:proofErr w:type="spellEnd"/>
          <w:r>
            <w:rPr>
              <w:color w:val="000000" w:themeColor="text1"/>
              <w:sz w:val="40"/>
              <w:szCs w:val="40"/>
              <w:lang w:eastAsia="zh-CN"/>
            </w:rPr>
            <w:t xml:space="preserve"> Bai (1904584)</w:t>
          </w:r>
        </w:p>
        <w:p w14:paraId="368B770F" w14:textId="77777777" w:rsidR="005B5A4D" w:rsidRPr="00D11634" w:rsidRDefault="005B5A4D">
          <w:pPr>
            <w:pStyle w:val="a7"/>
            <w:rPr>
              <w:color w:val="000000" w:themeColor="text1"/>
            </w:rPr>
          </w:pPr>
        </w:p>
        <w:p w14:paraId="1F6355A4" w14:textId="77777777" w:rsidR="005B5A4D" w:rsidRPr="00D11634" w:rsidRDefault="005B5A4D">
          <w:pPr>
            <w:pStyle w:val="a7"/>
            <w:rPr>
              <w:color w:val="000000" w:themeColor="text1"/>
            </w:rPr>
          </w:pPr>
        </w:p>
        <w:p w14:paraId="40D92A3A" w14:textId="77777777" w:rsidR="005B5A4D" w:rsidRPr="00D11634" w:rsidRDefault="005B5A4D">
          <w:pPr>
            <w:rPr>
              <w:color w:val="000000" w:themeColor="text1"/>
            </w:rPr>
          </w:pPr>
        </w:p>
        <w:p w14:paraId="6635CF01" w14:textId="77777777" w:rsidR="005B5A4D" w:rsidRPr="00D11634" w:rsidRDefault="005B5A4D">
          <w:pPr>
            <w:spacing w:line="259" w:lineRule="auto"/>
            <w:jc w:val="left"/>
            <w:rPr>
              <w:color w:val="000000" w:themeColor="text1"/>
            </w:rPr>
          </w:pPr>
          <w:r w:rsidRPr="00D11634">
            <w:rPr>
              <w:color w:val="000000" w:themeColor="text1"/>
            </w:rPr>
            <w:br w:type="page"/>
          </w:r>
        </w:p>
      </w:sdtContent>
    </w:sdt>
    <w:sdt>
      <w:sdtPr>
        <w:rPr>
          <w:rFonts w:ascii="Times New Roman" w:eastAsiaTheme="minorHAnsi" w:hAnsi="Times New Roman" w:cstheme="minorBidi"/>
          <w:color w:val="000000" w:themeColor="text1"/>
          <w:sz w:val="22"/>
          <w:szCs w:val="22"/>
          <w:lang w:val="en-GB"/>
        </w:rPr>
        <w:id w:val="61437313"/>
        <w:docPartObj>
          <w:docPartGallery w:val="Table of Contents"/>
          <w:docPartUnique/>
        </w:docPartObj>
      </w:sdtPr>
      <w:sdtEndPr>
        <w:rPr>
          <w:rFonts w:eastAsiaTheme="minorEastAsia"/>
        </w:rPr>
      </w:sdtEndPr>
      <w:sdtContent>
        <w:p w14:paraId="395354B2" w14:textId="44CCAAE4" w:rsidR="00712F93" w:rsidRPr="00D11634" w:rsidRDefault="00712F93" w:rsidP="007A6F62">
          <w:pPr>
            <w:pStyle w:val="TOC"/>
            <w:rPr>
              <w:color w:val="000000" w:themeColor="text1"/>
            </w:rPr>
          </w:pPr>
        </w:p>
        <w:p w14:paraId="64C6772A" w14:textId="74EDDD2B" w:rsidR="000102C8" w:rsidRPr="00D11634" w:rsidRDefault="00CB2B39">
          <w:pPr>
            <w:pStyle w:val="TOC1"/>
            <w:tabs>
              <w:tab w:val="left" w:pos="440"/>
              <w:tab w:val="right" w:leader="dot" w:pos="9350"/>
            </w:tabs>
            <w:rPr>
              <w:rFonts w:asciiTheme="minorHAnsi" w:hAnsiTheme="minorHAnsi"/>
              <w:noProof/>
              <w:color w:val="000000" w:themeColor="text1"/>
              <w:lang w:val="en-US"/>
            </w:rPr>
          </w:pPr>
          <w:r w:rsidRPr="00D11634">
            <w:rPr>
              <w:color w:val="000000" w:themeColor="text1"/>
            </w:rPr>
            <w:fldChar w:fldCharType="begin"/>
          </w:r>
          <w:r w:rsidR="00712F93" w:rsidRPr="00D11634">
            <w:rPr>
              <w:color w:val="000000" w:themeColor="text1"/>
            </w:rPr>
            <w:instrText xml:space="preserve"> TOC \o "1-3" \h \z \u </w:instrText>
          </w:r>
          <w:r w:rsidRPr="00D11634">
            <w:rPr>
              <w:color w:val="000000" w:themeColor="text1"/>
            </w:rPr>
            <w:fldChar w:fldCharType="separate"/>
          </w:r>
          <w:hyperlink w:anchor="_Toc41614030" w:history="1">
            <w:r w:rsidR="000102C8" w:rsidRPr="00D11634">
              <w:rPr>
                <w:rStyle w:val="a4"/>
                <w:noProof/>
                <w:color w:val="000000" w:themeColor="text1"/>
              </w:rPr>
              <w:t>1</w:t>
            </w:r>
            <w:r w:rsidR="000102C8" w:rsidRPr="00D11634">
              <w:rPr>
                <w:rFonts w:asciiTheme="minorHAnsi" w:hAnsiTheme="minorHAnsi"/>
                <w:noProof/>
                <w:color w:val="000000" w:themeColor="text1"/>
                <w:lang w:val="en-US"/>
              </w:rPr>
              <w:tab/>
            </w:r>
            <w:r w:rsidR="000102C8" w:rsidRPr="00D11634">
              <w:rPr>
                <w:rStyle w:val="a4"/>
                <w:noProof/>
                <w:color w:val="000000" w:themeColor="text1"/>
              </w:rPr>
              <w:t>Part I</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_Toc41614030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4</w:t>
            </w:r>
            <w:r w:rsidR="000102C8" w:rsidRPr="00D11634">
              <w:rPr>
                <w:noProof/>
                <w:webHidden/>
                <w:color w:val="000000" w:themeColor="text1"/>
              </w:rPr>
              <w:fldChar w:fldCharType="end"/>
            </w:r>
          </w:hyperlink>
        </w:p>
        <w:p w14:paraId="2CD68064" w14:textId="6D181A9C"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31" w:history="1">
            <w:r w:rsidR="000102C8" w:rsidRPr="00D11634">
              <w:rPr>
                <w:rStyle w:val="a4"/>
                <w:noProof/>
                <w:color w:val="000000" w:themeColor="text1"/>
              </w:rPr>
              <w:t>1.1</w:t>
            </w:r>
            <w:r w:rsidR="000102C8" w:rsidRPr="00D11634">
              <w:rPr>
                <w:rFonts w:asciiTheme="minorHAnsi" w:hAnsiTheme="minorHAnsi"/>
                <w:noProof/>
                <w:color w:val="000000" w:themeColor="text1"/>
                <w:lang w:val="en-US"/>
              </w:rPr>
              <w:tab/>
            </w:r>
            <w:r w:rsidR="000102C8" w:rsidRPr="00D11634">
              <w:rPr>
                <w:rStyle w:val="a4"/>
                <w:noProof/>
                <w:color w:val="000000" w:themeColor="text1"/>
              </w:rPr>
              <w:t>Introduction</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_Toc41614031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4</w:t>
            </w:r>
            <w:r w:rsidR="000102C8" w:rsidRPr="00D11634">
              <w:rPr>
                <w:noProof/>
                <w:webHidden/>
                <w:color w:val="000000" w:themeColor="text1"/>
              </w:rPr>
              <w:fldChar w:fldCharType="end"/>
            </w:r>
          </w:hyperlink>
        </w:p>
        <w:p w14:paraId="3C085904" w14:textId="4270FB8D"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2" w:history="1">
            <w:r w:rsidR="000102C8" w:rsidRPr="00D11634">
              <w:rPr>
                <w:rStyle w:val="a4"/>
                <w:noProof/>
                <w:color w:val="000000" w:themeColor="text1"/>
              </w:rPr>
              <w:t>1.1.1</w:t>
            </w:r>
            <w:r w:rsidR="000102C8" w:rsidRPr="00D11634">
              <w:rPr>
                <w:rFonts w:asciiTheme="minorHAnsi" w:hAnsiTheme="minorHAnsi"/>
                <w:noProof/>
                <w:color w:val="000000" w:themeColor="text1"/>
                <w:lang w:val="en-US"/>
              </w:rPr>
              <w:tab/>
            </w:r>
            <w:r w:rsidR="000102C8" w:rsidRPr="00D11634">
              <w:rPr>
                <w:rStyle w:val="a4"/>
                <w:noProof/>
                <w:color w:val="000000" w:themeColor="text1"/>
              </w:rPr>
              <w:t>Overview</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_Toc41614032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4</w:t>
            </w:r>
            <w:r w:rsidR="000102C8" w:rsidRPr="00D11634">
              <w:rPr>
                <w:noProof/>
                <w:webHidden/>
                <w:color w:val="000000" w:themeColor="text1"/>
              </w:rPr>
              <w:fldChar w:fldCharType="end"/>
            </w:r>
          </w:hyperlink>
        </w:p>
        <w:p w14:paraId="274BBC61" w14:textId="08B241A5"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3" w:history="1">
            <w:r w:rsidR="000102C8" w:rsidRPr="00D11634">
              <w:rPr>
                <w:rStyle w:val="a4"/>
                <w:noProof/>
                <w:color w:val="000000" w:themeColor="text1"/>
              </w:rPr>
              <w:t>1.1.2</w:t>
            </w:r>
            <w:r w:rsidR="000102C8" w:rsidRPr="00D11634">
              <w:rPr>
                <w:rFonts w:asciiTheme="minorHAnsi" w:hAnsiTheme="minorHAnsi"/>
                <w:noProof/>
                <w:color w:val="000000" w:themeColor="text1"/>
                <w:lang w:val="en-US"/>
              </w:rPr>
              <w:tab/>
            </w:r>
            <w:r w:rsidR="000102C8" w:rsidRPr="00D11634">
              <w:rPr>
                <w:rStyle w:val="a4"/>
                <w:noProof/>
                <w:color w:val="000000" w:themeColor="text1"/>
              </w:rPr>
              <w:t>About the Company</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_Toc41614033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4</w:t>
            </w:r>
            <w:r w:rsidR="000102C8" w:rsidRPr="00D11634">
              <w:rPr>
                <w:noProof/>
                <w:webHidden/>
                <w:color w:val="000000" w:themeColor="text1"/>
              </w:rPr>
              <w:fldChar w:fldCharType="end"/>
            </w:r>
          </w:hyperlink>
        </w:p>
        <w:p w14:paraId="1F86AB7C" w14:textId="0DE1FDBD"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34" w:history="1">
            <w:r w:rsidR="000102C8" w:rsidRPr="00D11634">
              <w:rPr>
                <w:rStyle w:val="a4"/>
                <w:noProof/>
                <w:color w:val="000000" w:themeColor="text1"/>
              </w:rPr>
              <w:t>1.2</w:t>
            </w:r>
            <w:r w:rsidR="000102C8" w:rsidRPr="00D11634">
              <w:rPr>
                <w:rFonts w:asciiTheme="minorHAnsi" w:hAnsiTheme="minorHAnsi"/>
                <w:noProof/>
                <w:color w:val="000000" w:themeColor="text1"/>
                <w:lang w:val="en-US"/>
              </w:rPr>
              <w:tab/>
            </w:r>
            <w:r w:rsidR="000102C8" w:rsidRPr="00D11634">
              <w:rPr>
                <w:rStyle w:val="a4"/>
                <w:noProof/>
                <w:color w:val="000000" w:themeColor="text1"/>
              </w:rPr>
              <w:t>Calculation of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_Toc41614034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5</w:t>
            </w:r>
            <w:r w:rsidR="000102C8" w:rsidRPr="00D11634">
              <w:rPr>
                <w:noProof/>
                <w:webHidden/>
                <w:color w:val="000000" w:themeColor="text1"/>
              </w:rPr>
              <w:fldChar w:fldCharType="end"/>
            </w:r>
          </w:hyperlink>
        </w:p>
        <w:p w14:paraId="0C6D6A26" w14:textId="4E742A5B"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5" w:history="1">
            <w:r w:rsidR="000102C8" w:rsidRPr="00D11634">
              <w:rPr>
                <w:rStyle w:val="a4"/>
                <w:noProof/>
                <w:color w:val="000000" w:themeColor="text1"/>
              </w:rPr>
              <w:t>1.2.1</w:t>
            </w:r>
            <w:r w:rsidR="000102C8" w:rsidRPr="00D11634">
              <w:rPr>
                <w:rFonts w:asciiTheme="minorHAnsi" w:hAnsiTheme="minorHAnsi"/>
                <w:noProof/>
                <w:color w:val="000000" w:themeColor="text1"/>
                <w:lang w:val="en-US"/>
              </w:rPr>
              <w:tab/>
            </w:r>
            <w:r w:rsidR="000102C8" w:rsidRPr="00D11634">
              <w:rPr>
                <w:rStyle w:val="a4"/>
                <w:noProof/>
                <w:color w:val="000000" w:themeColor="text1"/>
              </w:rPr>
              <w:t>Profitability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_Toc41614035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5</w:t>
            </w:r>
            <w:r w:rsidR="000102C8" w:rsidRPr="00D11634">
              <w:rPr>
                <w:noProof/>
                <w:webHidden/>
                <w:color w:val="000000" w:themeColor="text1"/>
              </w:rPr>
              <w:fldChar w:fldCharType="end"/>
            </w:r>
          </w:hyperlink>
        </w:p>
        <w:p w14:paraId="5C8DECD3" w14:textId="71046109"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6" w:history="1">
            <w:r w:rsidR="000102C8" w:rsidRPr="00D11634">
              <w:rPr>
                <w:rStyle w:val="a4"/>
                <w:noProof/>
                <w:color w:val="000000" w:themeColor="text1"/>
              </w:rPr>
              <w:t>1.2.2</w:t>
            </w:r>
            <w:r w:rsidR="000102C8" w:rsidRPr="00D11634">
              <w:rPr>
                <w:rFonts w:asciiTheme="minorHAnsi" w:hAnsiTheme="minorHAnsi"/>
                <w:noProof/>
                <w:color w:val="000000" w:themeColor="text1"/>
                <w:lang w:val="en-US"/>
              </w:rPr>
              <w:tab/>
            </w:r>
            <w:r w:rsidR="000102C8" w:rsidRPr="00D11634">
              <w:rPr>
                <w:rStyle w:val="a4"/>
                <w:noProof/>
                <w:color w:val="000000" w:themeColor="text1"/>
              </w:rPr>
              <w:t>Liquidity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_Toc41614036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7</w:t>
            </w:r>
            <w:r w:rsidR="000102C8" w:rsidRPr="00D11634">
              <w:rPr>
                <w:noProof/>
                <w:webHidden/>
                <w:color w:val="000000" w:themeColor="text1"/>
              </w:rPr>
              <w:fldChar w:fldCharType="end"/>
            </w:r>
          </w:hyperlink>
        </w:p>
        <w:p w14:paraId="4BC33D42" w14:textId="09BA454C"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7" w:history="1">
            <w:r w:rsidR="000102C8" w:rsidRPr="00D11634">
              <w:rPr>
                <w:rStyle w:val="a4"/>
                <w:noProof/>
                <w:color w:val="000000" w:themeColor="text1"/>
              </w:rPr>
              <w:t>1.2.3</w:t>
            </w:r>
            <w:r w:rsidR="000102C8" w:rsidRPr="00D11634">
              <w:rPr>
                <w:rFonts w:asciiTheme="minorHAnsi" w:hAnsiTheme="minorHAnsi"/>
                <w:noProof/>
                <w:color w:val="000000" w:themeColor="text1"/>
                <w:lang w:val="en-US"/>
              </w:rPr>
              <w:tab/>
            </w:r>
            <w:r w:rsidR="000102C8" w:rsidRPr="00D11634">
              <w:rPr>
                <w:rStyle w:val="a4"/>
                <w:noProof/>
                <w:color w:val="000000" w:themeColor="text1"/>
              </w:rPr>
              <w:t>Gearing</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_Toc41614037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8</w:t>
            </w:r>
            <w:r w:rsidR="000102C8" w:rsidRPr="00D11634">
              <w:rPr>
                <w:noProof/>
                <w:webHidden/>
                <w:color w:val="000000" w:themeColor="text1"/>
              </w:rPr>
              <w:fldChar w:fldCharType="end"/>
            </w:r>
          </w:hyperlink>
        </w:p>
        <w:p w14:paraId="1C11E851" w14:textId="42EA5017"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8" w:history="1">
            <w:r w:rsidR="000102C8" w:rsidRPr="00D11634">
              <w:rPr>
                <w:rStyle w:val="a4"/>
                <w:noProof/>
                <w:color w:val="000000" w:themeColor="text1"/>
              </w:rPr>
              <w:t>1.2.4</w:t>
            </w:r>
            <w:r w:rsidR="000102C8" w:rsidRPr="00D11634">
              <w:rPr>
                <w:rFonts w:asciiTheme="minorHAnsi" w:hAnsiTheme="minorHAnsi"/>
                <w:noProof/>
                <w:color w:val="000000" w:themeColor="text1"/>
                <w:lang w:val="en-US"/>
              </w:rPr>
              <w:tab/>
            </w:r>
            <w:r w:rsidR="000102C8" w:rsidRPr="00D11634">
              <w:rPr>
                <w:rStyle w:val="a4"/>
                <w:noProof/>
                <w:color w:val="000000" w:themeColor="text1"/>
              </w:rPr>
              <w:t>Efficiency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_Toc41614038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8</w:t>
            </w:r>
            <w:r w:rsidR="000102C8" w:rsidRPr="00D11634">
              <w:rPr>
                <w:noProof/>
                <w:webHidden/>
                <w:color w:val="000000" w:themeColor="text1"/>
              </w:rPr>
              <w:fldChar w:fldCharType="end"/>
            </w:r>
          </w:hyperlink>
        </w:p>
        <w:p w14:paraId="760A2F02" w14:textId="1A1C7531"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39" w:history="1">
            <w:r w:rsidR="000102C8" w:rsidRPr="00D11634">
              <w:rPr>
                <w:rStyle w:val="a4"/>
                <w:noProof/>
                <w:color w:val="000000" w:themeColor="text1"/>
              </w:rPr>
              <w:t>1.2.5</w:t>
            </w:r>
            <w:r w:rsidR="000102C8" w:rsidRPr="00D11634">
              <w:rPr>
                <w:rFonts w:asciiTheme="minorHAnsi" w:hAnsiTheme="minorHAnsi"/>
                <w:noProof/>
                <w:color w:val="000000" w:themeColor="text1"/>
                <w:lang w:val="en-US"/>
              </w:rPr>
              <w:tab/>
            </w:r>
            <w:r w:rsidR="000102C8" w:rsidRPr="00D11634">
              <w:rPr>
                <w:rStyle w:val="a4"/>
                <w:noProof/>
                <w:color w:val="000000" w:themeColor="text1"/>
              </w:rPr>
              <w:t>Investor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_Toc41614039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10</w:t>
            </w:r>
            <w:r w:rsidR="000102C8" w:rsidRPr="00D11634">
              <w:rPr>
                <w:noProof/>
                <w:webHidden/>
                <w:color w:val="000000" w:themeColor="text1"/>
              </w:rPr>
              <w:fldChar w:fldCharType="end"/>
            </w:r>
          </w:hyperlink>
        </w:p>
        <w:p w14:paraId="7FBA59C8" w14:textId="418608D5"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40" w:history="1">
            <w:r w:rsidR="000102C8" w:rsidRPr="00D11634">
              <w:rPr>
                <w:rStyle w:val="a4"/>
                <w:noProof/>
                <w:color w:val="000000" w:themeColor="text1"/>
              </w:rPr>
              <w:t>1.3</w:t>
            </w:r>
            <w:r w:rsidR="000102C8" w:rsidRPr="00D11634">
              <w:rPr>
                <w:rFonts w:asciiTheme="minorHAnsi" w:hAnsiTheme="minorHAnsi"/>
                <w:noProof/>
                <w:color w:val="000000" w:themeColor="text1"/>
                <w:lang w:val="en-US"/>
              </w:rPr>
              <w:tab/>
            </w:r>
            <w:r w:rsidR="000102C8" w:rsidRPr="00D11634">
              <w:rPr>
                <w:rStyle w:val="a4"/>
                <w:noProof/>
                <w:color w:val="000000" w:themeColor="text1"/>
              </w:rPr>
              <w:t>Critical Evaluation of Financial Ratios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_Toc41614040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12</w:t>
            </w:r>
            <w:r w:rsidR="000102C8" w:rsidRPr="00D11634">
              <w:rPr>
                <w:noProof/>
                <w:webHidden/>
                <w:color w:val="000000" w:themeColor="text1"/>
              </w:rPr>
              <w:fldChar w:fldCharType="end"/>
            </w:r>
          </w:hyperlink>
        </w:p>
        <w:p w14:paraId="2B1349D0" w14:textId="662DF328"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41" w:history="1">
            <w:r w:rsidR="000102C8" w:rsidRPr="00D11634">
              <w:rPr>
                <w:rStyle w:val="a4"/>
                <w:noProof/>
                <w:color w:val="000000" w:themeColor="text1"/>
              </w:rPr>
              <w:t>1.3.1</w:t>
            </w:r>
            <w:r w:rsidR="000102C8" w:rsidRPr="00D11634">
              <w:rPr>
                <w:rFonts w:asciiTheme="minorHAnsi" w:hAnsiTheme="minorHAnsi"/>
                <w:noProof/>
                <w:color w:val="000000" w:themeColor="text1"/>
                <w:lang w:val="en-US"/>
              </w:rPr>
              <w:tab/>
            </w:r>
            <w:r w:rsidR="000102C8" w:rsidRPr="00D11634">
              <w:rPr>
                <w:rStyle w:val="a4"/>
                <w:noProof/>
                <w:color w:val="000000" w:themeColor="text1"/>
              </w:rPr>
              <w:t>Profitability Ratio</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_Toc41614041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12</w:t>
            </w:r>
            <w:r w:rsidR="000102C8" w:rsidRPr="00D11634">
              <w:rPr>
                <w:noProof/>
                <w:webHidden/>
                <w:color w:val="000000" w:themeColor="text1"/>
              </w:rPr>
              <w:fldChar w:fldCharType="end"/>
            </w:r>
          </w:hyperlink>
        </w:p>
        <w:p w14:paraId="1E0389A8" w14:textId="1C58FBE0"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42" w:history="1">
            <w:r w:rsidR="000102C8" w:rsidRPr="00D11634">
              <w:rPr>
                <w:rStyle w:val="a4"/>
                <w:noProof/>
                <w:color w:val="000000" w:themeColor="text1"/>
              </w:rPr>
              <w:t>1.3.2</w:t>
            </w:r>
            <w:r w:rsidR="000102C8" w:rsidRPr="00D11634">
              <w:rPr>
                <w:rFonts w:asciiTheme="minorHAnsi" w:hAnsiTheme="minorHAnsi"/>
                <w:noProof/>
                <w:color w:val="000000" w:themeColor="text1"/>
                <w:lang w:val="en-US"/>
              </w:rPr>
              <w:tab/>
            </w:r>
            <w:r w:rsidR="000102C8" w:rsidRPr="00D11634">
              <w:rPr>
                <w:rStyle w:val="a4"/>
                <w:noProof/>
                <w:color w:val="000000" w:themeColor="text1"/>
              </w:rPr>
              <w:t>Liquidity Ratio</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_Toc41614042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13</w:t>
            </w:r>
            <w:r w:rsidR="000102C8" w:rsidRPr="00D11634">
              <w:rPr>
                <w:noProof/>
                <w:webHidden/>
                <w:color w:val="000000" w:themeColor="text1"/>
              </w:rPr>
              <w:fldChar w:fldCharType="end"/>
            </w:r>
          </w:hyperlink>
        </w:p>
        <w:p w14:paraId="08C4A463" w14:textId="1D3503DC"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43" w:history="1">
            <w:r w:rsidR="000102C8" w:rsidRPr="00D11634">
              <w:rPr>
                <w:rStyle w:val="a4"/>
                <w:noProof/>
                <w:color w:val="000000" w:themeColor="text1"/>
              </w:rPr>
              <w:t>1.3.3</w:t>
            </w:r>
            <w:r w:rsidR="000102C8" w:rsidRPr="00D11634">
              <w:rPr>
                <w:rFonts w:asciiTheme="minorHAnsi" w:hAnsiTheme="minorHAnsi"/>
                <w:noProof/>
                <w:color w:val="000000" w:themeColor="text1"/>
                <w:lang w:val="en-US"/>
              </w:rPr>
              <w:tab/>
            </w:r>
            <w:r w:rsidR="000102C8" w:rsidRPr="00D11634">
              <w:rPr>
                <w:rStyle w:val="a4"/>
                <w:noProof/>
                <w:color w:val="000000" w:themeColor="text1"/>
              </w:rPr>
              <w:t>Gearing Ratio</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_Toc41614043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13</w:t>
            </w:r>
            <w:r w:rsidR="000102C8" w:rsidRPr="00D11634">
              <w:rPr>
                <w:noProof/>
                <w:webHidden/>
                <w:color w:val="000000" w:themeColor="text1"/>
              </w:rPr>
              <w:fldChar w:fldCharType="end"/>
            </w:r>
          </w:hyperlink>
        </w:p>
        <w:p w14:paraId="7AE31FD6" w14:textId="3AF9F6C7"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44" w:history="1">
            <w:r w:rsidR="000102C8" w:rsidRPr="00D11634">
              <w:rPr>
                <w:rStyle w:val="a4"/>
                <w:noProof/>
                <w:color w:val="000000" w:themeColor="text1"/>
              </w:rPr>
              <w:t>1.3.4</w:t>
            </w:r>
            <w:r w:rsidR="000102C8" w:rsidRPr="00D11634">
              <w:rPr>
                <w:rFonts w:asciiTheme="minorHAnsi" w:hAnsiTheme="minorHAnsi"/>
                <w:noProof/>
                <w:color w:val="000000" w:themeColor="text1"/>
                <w:lang w:val="en-US"/>
              </w:rPr>
              <w:tab/>
            </w:r>
            <w:r w:rsidR="000102C8" w:rsidRPr="00D11634">
              <w:rPr>
                <w:rStyle w:val="a4"/>
                <w:noProof/>
                <w:color w:val="000000" w:themeColor="text1"/>
              </w:rPr>
              <w:t>Efficiency Ratio</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_Toc41614044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14</w:t>
            </w:r>
            <w:r w:rsidR="000102C8" w:rsidRPr="00D11634">
              <w:rPr>
                <w:noProof/>
                <w:webHidden/>
                <w:color w:val="000000" w:themeColor="text1"/>
              </w:rPr>
              <w:fldChar w:fldCharType="end"/>
            </w:r>
          </w:hyperlink>
        </w:p>
        <w:p w14:paraId="76494595" w14:textId="36CFD488"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45" w:history="1">
            <w:r w:rsidR="000102C8" w:rsidRPr="00D11634">
              <w:rPr>
                <w:rStyle w:val="a4"/>
                <w:noProof/>
                <w:color w:val="000000" w:themeColor="text1"/>
              </w:rPr>
              <w:t>1.3.5</w:t>
            </w:r>
            <w:r w:rsidR="000102C8" w:rsidRPr="00D11634">
              <w:rPr>
                <w:rFonts w:asciiTheme="minorHAnsi" w:hAnsiTheme="minorHAnsi"/>
                <w:noProof/>
                <w:color w:val="000000" w:themeColor="text1"/>
                <w:lang w:val="en-US"/>
              </w:rPr>
              <w:tab/>
            </w:r>
            <w:r w:rsidR="000102C8" w:rsidRPr="00D11634">
              <w:rPr>
                <w:rStyle w:val="a4"/>
                <w:noProof/>
                <w:color w:val="000000" w:themeColor="text1"/>
              </w:rPr>
              <w:t>Investor Ratio</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_Toc41614045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14</w:t>
            </w:r>
            <w:r w:rsidR="000102C8" w:rsidRPr="00D11634">
              <w:rPr>
                <w:noProof/>
                <w:webHidden/>
                <w:color w:val="000000" w:themeColor="text1"/>
              </w:rPr>
              <w:fldChar w:fldCharType="end"/>
            </w:r>
          </w:hyperlink>
        </w:p>
        <w:p w14:paraId="73FF543F" w14:textId="546A2CF9"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46" w:history="1">
            <w:r w:rsidR="000102C8" w:rsidRPr="00D11634">
              <w:rPr>
                <w:rStyle w:val="a4"/>
                <w:noProof/>
                <w:color w:val="000000" w:themeColor="text1"/>
              </w:rPr>
              <w:t>1.4</w:t>
            </w:r>
            <w:r w:rsidR="000102C8" w:rsidRPr="00D11634">
              <w:rPr>
                <w:rFonts w:asciiTheme="minorHAnsi" w:hAnsiTheme="minorHAnsi"/>
                <w:noProof/>
                <w:color w:val="000000" w:themeColor="text1"/>
                <w:lang w:val="en-US"/>
              </w:rPr>
              <w:tab/>
            </w:r>
            <w:r w:rsidR="000102C8" w:rsidRPr="00D11634">
              <w:rPr>
                <w:rStyle w:val="a4"/>
                <w:noProof/>
                <w:color w:val="000000" w:themeColor="text1"/>
              </w:rPr>
              <w:t>Limitations of ratio analysis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_Toc41614046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15</w:t>
            </w:r>
            <w:r w:rsidR="000102C8" w:rsidRPr="00D11634">
              <w:rPr>
                <w:noProof/>
                <w:webHidden/>
                <w:color w:val="000000" w:themeColor="text1"/>
              </w:rPr>
              <w:fldChar w:fldCharType="end"/>
            </w:r>
          </w:hyperlink>
        </w:p>
        <w:p w14:paraId="254FDD1D" w14:textId="4DB6FFA7"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47" w:history="1">
            <w:r w:rsidR="000102C8" w:rsidRPr="00D11634">
              <w:rPr>
                <w:rStyle w:val="a4"/>
                <w:noProof/>
                <w:color w:val="000000" w:themeColor="text1"/>
              </w:rPr>
              <w:t>1.5</w:t>
            </w:r>
            <w:r w:rsidR="000102C8" w:rsidRPr="00D11634">
              <w:rPr>
                <w:rFonts w:asciiTheme="minorHAnsi" w:hAnsiTheme="minorHAnsi"/>
                <w:noProof/>
                <w:color w:val="000000" w:themeColor="text1"/>
                <w:lang w:val="en-US"/>
              </w:rPr>
              <w:tab/>
            </w:r>
            <w:r w:rsidR="000102C8" w:rsidRPr="00D11634">
              <w:rPr>
                <w:rStyle w:val="a4"/>
                <w:noProof/>
                <w:color w:val="000000" w:themeColor="text1"/>
              </w:rPr>
              <w:t>Conclusion and Recommendations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_Toc41614047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16</w:t>
            </w:r>
            <w:r w:rsidR="000102C8" w:rsidRPr="00D11634">
              <w:rPr>
                <w:noProof/>
                <w:webHidden/>
                <w:color w:val="000000" w:themeColor="text1"/>
              </w:rPr>
              <w:fldChar w:fldCharType="end"/>
            </w:r>
          </w:hyperlink>
        </w:p>
        <w:p w14:paraId="03E26E7E" w14:textId="5BC8BF9B" w:rsidR="000102C8" w:rsidRPr="00D11634" w:rsidRDefault="00DE3766">
          <w:pPr>
            <w:pStyle w:val="TOC1"/>
            <w:tabs>
              <w:tab w:val="left" w:pos="440"/>
              <w:tab w:val="right" w:leader="dot" w:pos="9350"/>
            </w:tabs>
            <w:rPr>
              <w:rFonts w:asciiTheme="minorHAnsi" w:hAnsiTheme="minorHAnsi"/>
              <w:noProof/>
              <w:color w:val="000000" w:themeColor="text1"/>
              <w:lang w:val="en-US"/>
            </w:rPr>
          </w:pPr>
          <w:hyperlink w:anchor="_Toc41614048" w:history="1">
            <w:r w:rsidR="000102C8" w:rsidRPr="00D11634">
              <w:rPr>
                <w:rStyle w:val="a4"/>
                <w:noProof/>
                <w:color w:val="000000" w:themeColor="text1"/>
              </w:rPr>
              <w:t>2</w:t>
            </w:r>
            <w:r w:rsidR="000102C8" w:rsidRPr="00D11634">
              <w:rPr>
                <w:rFonts w:asciiTheme="minorHAnsi" w:hAnsiTheme="minorHAnsi"/>
                <w:noProof/>
                <w:color w:val="000000" w:themeColor="text1"/>
                <w:lang w:val="en-US"/>
              </w:rPr>
              <w:tab/>
            </w:r>
            <w:r w:rsidR="000102C8" w:rsidRPr="00D11634">
              <w:rPr>
                <w:rStyle w:val="a4"/>
                <w:noProof/>
                <w:color w:val="000000" w:themeColor="text1"/>
              </w:rPr>
              <w:t>Part 2</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_Toc41614048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17</w:t>
            </w:r>
            <w:r w:rsidR="000102C8" w:rsidRPr="00D11634">
              <w:rPr>
                <w:noProof/>
                <w:webHidden/>
                <w:color w:val="000000" w:themeColor="text1"/>
              </w:rPr>
              <w:fldChar w:fldCharType="end"/>
            </w:r>
          </w:hyperlink>
        </w:p>
        <w:p w14:paraId="20B579CB" w14:textId="3E042C3E"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49" w:history="1">
            <w:r w:rsidR="000102C8" w:rsidRPr="00D11634">
              <w:rPr>
                <w:rStyle w:val="a4"/>
                <w:noProof/>
                <w:color w:val="000000" w:themeColor="text1"/>
              </w:rPr>
              <w:t>2.1</w:t>
            </w:r>
            <w:r w:rsidR="000102C8" w:rsidRPr="00D11634">
              <w:rPr>
                <w:rFonts w:asciiTheme="minorHAnsi" w:hAnsiTheme="minorHAnsi"/>
                <w:noProof/>
                <w:color w:val="000000" w:themeColor="text1"/>
                <w:lang w:val="en-US"/>
              </w:rPr>
              <w:tab/>
            </w:r>
            <w:r w:rsidR="000102C8" w:rsidRPr="00D11634">
              <w:rPr>
                <w:rStyle w:val="a4"/>
                <w:noProof/>
                <w:color w:val="000000" w:themeColor="text1"/>
              </w:rPr>
              <w:t>Introduction</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_Toc41614049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17</w:t>
            </w:r>
            <w:r w:rsidR="000102C8" w:rsidRPr="00D11634">
              <w:rPr>
                <w:noProof/>
                <w:webHidden/>
                <w:color w:val="000000" w:themeColor="text1"/>
              </w:rPr>
              <w:fldChar w:fldCharType="end"/>
            </w:r>
          </w:hyperlink>
        </w:p>
        <w:p w14:paraId="6D0E260D" w14:textId="1A27F844"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50" w:history="1">
            <w:r w:rsidR="000102C8" w:rsidRPr="00D11634">
              <w:rPr>
                <w:rStyle w:val="a4"/>
                <w:noProof/>
                <w:color w:val="000000" w:themeColor="text1"/>
              </w:rPr>
              <w:t>2.2</w:t>
            </w:r>
            <w:r w:rsidR="000102C8" w:rsidRPr="00D11634">
              <w:rPr>
                <w:rFonts w:asciiTheme="minorHAnsi" w:hAnsiTheme="minorHAnsi"/>
                <w:noProof/>
                <w:color w:val="000000" w:themeColor="text1"/>
                <w:lang w:val="en-US"/>
              </w:rPr>
              <w:tab/>
            </w:r>
            <w:r w:rsidR="000102C8" w:rsidRPr="00D11634">
              <w:rPr>
                <w:rStyle w:val="a4"/>
                <w:noProof/>
                <w:color w:val="000000" w:themeColor="text1"/>
              </w:rPr>
              <w:t>Evaluation of Three Projects using NPV method</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_Toc41614050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17</w:t>
            </w:r>
            <w:r w:rsidR="000102C8" w:rsidRPr="00D11634">
              <w:rPr>
                <w:noProof/>
                <w:webHidden/>
                <w:color w:val="000000" w:themeColor="text1"/>
              </w:rPr>
              <w:fldChar w:fldCharType="end"/>
            </w:r>
          </w:hyperlink>
        </w:p>
        <w:p w14:paraId="52D6C199" w14:textId="71A73D9C"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1" w:history="1">
            <w:r w:rsidR="000102C8" w:rsidRPr="00D11634">
              <w:rPr>
                <w:rStyle w:val="a4"/>
                <w:noProof/>
                <w:color w:val="000000" w:themeColor="text1"/>
              </w:rPr>
              <w:t>2.2.1</w:t>
            </w:r>
            <w:r w:rsidR="000102C8" w:rsidRPr="00D11634">
              <w:rPr>
                <w:rFonts w:asciiTheme="minorHAnsi" w:hAnsiTheme="minorHAnsi"/>
                <w:noProof/>
                <w:color w:val="000000" w:themeColor="text1"/>
                <w:lang w:val="en-US"/>
              </w:rPr>
              <w:tab/>
            </w:r>
            <w:r w:rsidR="000102C8" w:rsidRPr="00D11634">
              <w:rPr>
                <w:rStyle w:val="a4"/>
                <w:noProof/>
                <w:color w:val="000000" w:themeColor="text1"/>
              </w:rPr>
              <w:t>Calculation of Capital Allowances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_Toc41614051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17</w:t>
            </w:r>
            <w:r w:rsidR="000102C8" w:rsidRPr="00D11634">
              <w:rPr>
                <w:noProof/>
                <w:webHidden/>
                <w:color w:val="000000" w:themeColor="text1"/>
              </w:rPr>
              <w:fldChar w:fldCharType="end"/>
            </w:r>
          </w:hyperlink>
        </w:p>
        <w:p w14:paraId="13CDF49C" w14:textId="01BC9356"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2" w:history="1">
            <w:r w:rsidR="000102C8" w:rsidRPr="00D11634">
              <w:rPr>
                <w:rStyle w:val="a4"/>
                <w:noProof/>
                <w:color w:val="000000" w:themeColor="text1"/>
              </w:rPr>
              <w:t>2.2.2</w:t>
            </w:r>
            <w:r w:rsidR="000102C8" w:rsidRPr="00D11634">
              <w:rPr>
                <w:rFonts w:asciiTheme="minorHAnsi" w:hAnsiTheme="minorHAnsi"/>
                <w:noProof/>
                <w:color w:val="000000" w:themeColor="text1"/>
                <w:lang w:val="en-US"/>
              </w:rPr>
              <w:tab/>
            </w:r>
            <w:r w:rsidR="000102C8" w:rsidRPr="00D11634">
              <w:rPr>
                <w:rStyle w:val="a4"/>
                <w:noProof/>
                <w:color w:val="000000" w:themeColor="text1"/>
              </w:rPr>
              <w:t>Option A Calculations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_Toc41614052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17</w:t>
            </w:r>
            <w:r w:rsidR="000102C8" w:rsidRPr="00D11634">
              <w:rPr>
                <w:noProof/>
                <w:webHidden/>
                <w:color w:val="000000" w:themeColor="text1"/>
              </w:rPr>
              <w:fldChar w:fldCharType="end"/>
            </w:r>
          </w:hyperlink>
        </w:p>
        <w:p w14:paraId="5F2DB8F8" w14:textId="604C4151"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3" w:history="1">
            <w:r w:rsidR="000102C8" w:rsidRPr="00D11634">
              <w:rPr>
                <w:rStyle w:val="a4"/>
                <w:noProof/>
                <w:color w:val="000000" w:themeColor="text1"/>
              </w:rPr>
              <w:t>2.2.3</w:t>
            </w:r>
            <w:r w:rsidR="000102C8" w:rsidRPr="00D11634">
              <w:rPr>
                <w:rFonts w:asciiTheme="minorHAnsi" w:hAnsiTheme="minorHAnsi"/>
                <w:noProof/>
                <w:color w:val="000000" w:themeColor="text1"/>
                <w:lang w:val="en-US"/>
              </w:rPr>
              <w:tab/>
            </w:r>
            <w:r w:rsidR="000102C8" w:rsidRPr="00D11634">
              <w:rPr>
                <w:rStyle w:val="a4"/>
                <w:noProof/>
                <w:color w:val="000000" w:themeColor="text1"/>
              </w:rPr>
              <w:t>Option B Calculations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_Toc41614053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18</w:t>
            </w:r>
            <w:r w:rsidR="000102C8" w:rsidRPr="00D11634">
              <w:rPr>
                <w:noProof/>
                <w:webHidden/>
                <w:color w:val="000000" w:themeColor="text1"/>
              </w:rPr>
              <w:fldChar w:fldCharType="end"/>
            </w:r>
          </w:hyperlink>
        </w:p>
        <w:p w14:paraId="781DFA0D" w14:textId="19A2DA46"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4" w:history="1">
            <w:r w:rsidR="000102C8" w:rsidRPr="00D11634">
              <w:rPr>
                <w:rStyle w:val="a4"/>
                <w:noProof/>
                <w:color w:val="000000" w:themeColor="text1"/>
              </w:rPr>
              <w:t>2.2.4</w:t>
            </w:r>
            <w:r w:rsidR="000102C8" w:rsidRPr="00D11634">
              <w:rPr>
                <w:rFonts w:asciiTheme="minorHAnsi" w:hAnsiTheme="minorHAnsi"/>
                <w:noProof/>
                <w:color w:val="000000" w:themeColor="text1"/>
                <w:lang w:val="en-US"/>
              </w:rPr>
              <w:tab/>
            </w:r>
            <w:r w:rsidR="000102C8" w:rsidRPr="00D11634">
              <w:rPr>
                <w:rStyle w:val="a4"/>
                <w:noProof/>
                <w:color w:val="000000" w:themeColor="text1"/>
              </w:rPr>
              <w:t>Option C Calculations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_Toc41614054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18</w:t>
            </w:r>
            <w:r w:rsidR="000102C8" w:rsidRPr="00D11634">
              <w:rPr>
                <w:noProof/>
                <w:webHidden/>
                <w:color w:val="000000" w:themeColor="text1"/>
              </w:rPr>
              <w:fldChar w:fldCharType="end"/>
            </w:r>
          </w:hyperlink>
        </w:p>
        <w:p w14:paraId="310EBD82" w14:textId="31B74605"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5" w:history="1">
            <w:r w:rsidR="000102C8" w:rsidRPr="00D11634">
              <w:rPr>
                <w:rStyle w:val="a4"/>
                <w:noProof/>
                <w:color w:val="000000" w:themeColor="text1"/>
              </w:rPr>
              <w:t>2.2.5</w:t>
            </w:r>
            <w:r w:rsidR="000102C8" w:rsidRPr="00D11634">
              <w:rPr>
                <w:rFonts w:asciiTheme="minorHAnsi" w:hAnsiTheme="minorHAnsi"/>
                <w:noProof/>
                <w:color w:val="000000" w:themeColor="text1"/>
                <w:lang w:val="en-US"/>
              </w:rPr>
              <w:tab/>
            </w:r>
            <w:r w:rsidR="000102C8" w:rsidRPr="00D11634">
              <w:rPr>
                <w:rStyle w:val="a4"/>
                <w:noProof/>
                <w:color w:val="000000" w:themeColor="text1"/>
              </w:rPr>
              <w:t>Internal Rate of Return</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_Toc41614055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18</w:t>
            </w:r>
            <w:r w:rsidR="000102C8" w:rsidRPr="00D11634">
              <w:rPr>
                <w:noProof/>
                <w:webHidden/>
                <w:color w:val="000000" w:themeColor="text1"/>
              </w:rPr>
              <w:fldChar w:fldCharType="end"/>
            </w:r>
          </w:hyperlink>
        </w:p>
        <w:p w14:paraId="1D88F693" w14:textId="65FCB92C"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56" w:history="1">
            <w:r w:rsidR="000102C8" w:rsidRPr="00D11634">
              <w:rPr>
                <w:rStyle w:val="a4"/>
                <w:noProof/>
                <w:color w:val="000000" w:themeColor="text1"/>
              </w:rPr>
              <w:t>2.3</w:t>
            </w:r>
            <w:r w:rsidR="000102C8" w:rsidRPr="00D11634">
              <w:rPr>
                <w:rFonts w:asciiTheme="minorHAnsi" w:hAnsiTheme="minorHAnsi"/>
                <w:noProof/>
                <w:color w:val="000000" w:themeColor="text1"/>
                <w:lang w:val="en-US"/>
              </w:rPr>
              <w:tab/>
            </w:r>
            <w:r w:rsidR="000102C8" w:rsidRPr="00D11634">
              <w:rPr>
                <w:rStyle w:val="a4"/>
                <w:noProof/>
                <w:color w:val="000000" w:themeColor="text1"/>
              </w:rPr>
              <w:t>Interpretation of Results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_Toc41614056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19</w:t>
            </w:r>
            <w:r w:rsidR="000102C8" w:rsidRPr="00D11634">
              <w:rPr>
                <w:noProof/>
                <w:webHidden/>
                <w:color w:val="000000" w:themeColor="text1"/>
              </w:rPr>
              <w:fldChar w:fldCharType="end"/>
            </w:r>
          </w:hyperlink>
        </w:p>
        <w:p w14:paraId="2A6830C8" w14:textId="658E01FC"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7" w:history="1">
            <w:r w:rsidR="000102C8" w:rsidRPr="00D11634">
              <w:rPr>
                <w:rStyle w:val="a4"/>
                <w:noProof/>
                <w:color w:val="000000" w:themeColor="text1"/>
              </w:rPr>
              <w:t>2.3.1</w:t>
            </w:r>
            <w:r w:rsidR="000102C8" w:rsidRPr="00D11634">
              <w:rPr>
                <w:rFonts w:asciiTheme="minorHAnsi" w:hAnsiTheme="minorHAnsi"/>
                <w:noProof/>
                <w:color w:val="000000" w:themeColor="text1"/>
                <w:lang w:val="en-US"/>
              </w:rPr>
              <w:tab/>
            </w:r>
            <w:r w:rsidR="000102C8" w:rsidRPr="00D11634">
              <w:rPr>
                <w:rStyle w:val="a4"/>
                <w:noProof/>
                <w:color w:val="000000" w:themeColor="text1"/>
              </w:rPr>
              <w:t>Choice of the NPV method</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_Toc41614057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19</w:t>
            </w:r>
            <w:r w:rsidR="000102C8" w:rsidRPr="00D11634">
              <w:rPr>
                <w:noProof/>
                <w:webHidden/>
                <w:color w:val="000000" w:themeColor="text1"/>
              </w:rPr>
              <w:fldChar w:fldCharType="end"/>
            </w:r>
          </w:hyperlink>
        </w:p>
        <w:p w14:paraId="7A243827" w14:textId="75832592"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8" w:history="1">
            <w:r w:rsidR="000102C8" w:rsidRPr="00D11634">
              <w:rPr>
                <w:rStyle w:val="a4"/>
                <w:noProof/>
                <w:color w:val="000000" w:themeColor="text1"/>
              </w:rPr>
              <w:t>2.3.2</w:t>
            </w:r>
            <w:r w:rsidR="000102C8" w:rsidRPr="00D11634">
              <w:rPr>
                <w:rFonts w:asciiTheme="minorHAnsi" w:hAnsiTheme="minorHAnsi"/>
                <w:noProof/>
                <w:color w:val="000000" w:themeColor="text1"/>
                <w:lang w:val="en-US"/>
              </w:rPr>
              <w:tab/>
            </w:r>
            <w:r w:rsidR="000102C8" w:rsidRPr="00D11634">
              <w:rPr>
                <w:rStyle w:val="a4"/>
                <w:noProof/>
                <w:color w:val="000000" w:themeColor="text1"/>
              </w:rPr>
              <w:t>Popularity of the non-discounting methods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_Toc41614058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21</w:t>
            </w:r>
            <w:r w:rsidR="000102C8" w:rsidRPr="00D11634">
              <w:rPr>
                <w:noProof/>
                <w:webHidden/>
                <w:color w:val="000000" w:themeColor="text1"/>
              </w:rPr>
              <w:fldChar w:fldCharType="end"/>
            </w:r>
          </w:hyperlink>
        </w:p>
        <w:p w14:paraId="5A8B25A7" w14:textId="7BF6A850" w:rsidR="000102C8" w:rsidRPr="00D11634" w:rsidRDefault="00DE3766">
          <w:pPr>
            <w:pStyle w:val="TOC3"/>
            <w:tabs>
              <w:tab w:val="left" w:pos="1320"/>
              <w:tab w:val="right" w:leader="dot" w:pos="9350"/>
            </w:tabs>
            <w:rPr>
              <w:rFonts w:asciiTheme="minorHAnsi" w:hAnsiTheme="minorHAnsi"/>
              <w:noProof/>
              <w:color w:val="000000" w:themeColor="text1"/>
              <w:lang w:val="en-US"/>
            </w:rPr>
          </w:pPr>
          <w:hyperlink w:anchor="_Toc41614059" w:history="1">
            <w:r w:rsidR="000102C8" w:rsidRPr="00D11634">
              <w:rPr>
                <w:rStyle w:val="a4"/>
                <w:noProof/>
                <w:color w:val="000000" w:themeColor="text1"/>
              </w:rPr>
              <w:t>2.3.3</w:t>
            </w:r>
            <w:r w:rsidR="000102C8" w:rsidRPr="00D11634">
              <w:rPr>
                <w:rFonts w:asciiTheme="minorHAnsi" w:hAnsiTheme="minorHAnsi"/>
                <w:noProof/>
                <w:color w:val="000000" w:themeColor="text1"/>
                <w:lang w:val="en-US"/>
              </w:rPr>
              <w:tab/>
            </w:r>
            <w:r w:rsidR="000102C8" w:rsidRPr="00D11634">
              <w:rPr>
                <w:rStyle w:val="a4"/>
                <w:noProof/>
                <w:color w:val="000000" w:themeColor="text1"/>
              </w:rPr>
              <w:t>Other important factors for investment decision making</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_Toc41614059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22</w:t>
            </w:r>
            <w:r w:rsidR="000102C8" w:rsidRPr="00D11634">
              <w:rPr>
                <w:noProof/>
                <w:webHidden/>
                <w:color w:val="000000" w:themeColor="text1"/>
              </w:rPr>
              <w:fldChar w:fldCharType="end"/>
            </w:r>
          </w:hyperlink>
        </w:p>
        <w:p w14:paraId="273070AE" w14:textId="2D1B704C"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60" w:history="1">
            <w:r w:rsidR="000102C8" w:rsidRPr="00D11634">
              <w:rPr>
                <w:rStyle w:val="a4"/>
                <w:noProof/>
                <w:color w:val="000000" w:themeColor="text1"/>
              </w:rPr>
              <w:t>2.4</w:t>
            </w:r>
            <w:r w:rsidR="000102C8" w:rsidRPr="00D11634">
              <w:rPr>
                <w:rFonts w:asciiTheme="minorHAnsi" w:hAnsiTheme="minorHAnsi"/>
                <w:noProof/>
                <w:color w:val="000000" w:themeColor="text1"/>
                <w:lang w:val="en-US"/>
              </w:rPr>
              <w:tab/>
            </w:r>
            <w:r w:rsidR="000102C8" w:rsidRPr="00D11634">
              <w:rPr>
                <w:rStyle w:val="a4"/>
                <w:noProof/>
                <w:color w:val="000000" w:themeColor="text1"/>
              </w:rPr>
              <w:t>Optimal Investment Policies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_Toc41614060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22</w:t>
            </w:r>
            <w:r w:rsidR="000102C8" w:rsidRPr="00D11634">
              <w:rPr>
                <w:noProof/>
                <w:webHidden/>
                <w:color w:val="000000" w:themeColor="text1"/>
              </w:rPr>
              <w:fldChar w:fldCharType="end"/>
            </w:r>
          </w:hyperlink>
        </w:p>
        <w:p w14:paraId="085F841A" w14:textId="471B60E4" w:rsidR="000102C8" w:rsidRPr="00D11634" w:rsidRDefault="00DE3766">
          <w:pPr>
            <w:pStyle w:val="TOC2"/>
            <w:tabs>
              <w:tab w:val="left" w:pos="880"/>
              <w:tab w:val="right" w:leader="dot" w:pos="9350"/>
            </w:tabs>
            <w:rPr>
              <w:rFonts w:asciiTheme="minorHAnsi" w:hAnsiTheme="minorHAnsi"/>
              <w:noProof/>
              <w:color w:val="000000" w:themeColor="text1"/>
              <w:lang w:val="en-US"/>
            </w:rPr>
          </w:pPr>
          <w:hyperlink w:anchor="_Toc41614061" w:history="1">
            <w:r w:rsidR="000102C8" w:rsidRPr="00D11634">
              <w:rPr>
                <w:rStyle w:val="a4"/>
                <w:noProof/>
                <w:color w:val="000000" w:themeColor="text1"/>
              </w:rPr>
              <w:t>2.5</w:t>
            </w:r>
            <w:r w:rsidR="000102C8" w:rsidRPr="00D11634">
              <w:rPr>
                <w:rFonts w:asciiTheme="minorHAnsi" w:hAnsiTheme="minorHAnsi"/>
                <w:noProof/>
                <w:color w:val="000000" w:themeColor="text1"/>
                <w:lang w:val="en-US"/>
              </w:rPr>
              <w:tab/>
            </w:r>
            <w:r w:rsidR="000102C8" w:rsidRPr="00D11634">
              <w:rPr>
                <w:rStyle w:val="a4"/>
                <w:noProof/>
                <w:color w:val="000000" w:themeColor="text1"/>
              </w:rPr>
              <w:t>Conclusion</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_Toc41614061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23</w:t>
            </w:r>
            <w:r w:rsidR="000102C8" w:rsidRPr="00D11634">
              <w:rPr>
                <w:noProof/>
                <w:webHidden/>
                <w:color w:val="000000" w:themeColor="text1"/>
              </w:rPr>
              <w:fldChar w:fldCharType="end"/>
            </w:r>
          </w:hyperlink>
        </w:p>
        <w:p w14:paraId="535B9876" w14:textId="66A7BE70" w:rsidR="000102C8" w:rsidRPr="00D11634" w:rsidRDefault="00DE3766">
          <w:pPr>
            <w:pStyle w:val="TOC1"/>
            <w:tabs>
              <w:tab w:val="left" w:pos="440"/>
              <w:tab w:val="right" w:leader="dot" w:pos="9350"/>
            </w:tabs>
            <w:rPr>
              <w:rFonts w:asciiTheme="minorHAnsi" w:hAnsiTheme="minorHAnsi"/>
              <w:noProof/>
              <w:color w:val="000000" w:themeColor="text1"/>
              <w:lang w:val="en-US"/>
            </w:rPr>
          </w:pPr>
          <w:hyperlink w:anchor="_Toc41614062" w:history="1">
            <w:r w:rsidR="000102C8" w:rsidRPr="00D11634">
              <w:rPr>
                <w:rStyle w:val="a4"/>
                <w:noProof/>
                <w:color w:val="000000" w:themeColor="text1"/>
              </w:rPr>
              <w:t>3</w:t>
            </w:r>
            <w:r w:rsidR="000102C8" w:rsidRPr="00D11634">
              <w:rPr>
                <w:rFonts w:asciiTheme="minorHAnsi" w:hAnsiTheme="minorHAnsi"/>
                <w:noProof/>
                <w:color w:val="000000" w:themeColor="text1"/>
                <w:lang w:val="en-US"/>
              </w:rPr>
              <w:tab/>
            </w:r>
            <w:r w:rsidR="000102C8" w:rsidRPr="00D11634">
              <w:rPr>
                <w:rStyle w:val="a4"/>
                <w:noProof/>
                <w:color w:val="000000" w:themeColor="text1"/>
              </w:rPr>
              <w:t>References</w:t>
            </w:r>
            <w:r w:rsidR="000102C8" w:rsidRPr="00D11634">
              <w:rPr>
                <w:noProof/>
                <w:webHidden/>
                <w:color w:val="000000" w:themeColor="text1"/>
              </w:rPr>
              <w:tab/>
            </w:r>
            <w:r w:rsidR="000102C8" w:rsidRPr="00D11634">
              <w:rPr>
                <w:noProof/>
                <w:webHidden/>
                <w:color w:val="000000" w:themeColor="text1"/>
              </w:rPr>
              <w:fldChar w:fldCharType="begin"/>
            </w:r>
            <w:r w:rsidR="000102C8" w:rsidRPr="00D11634">
              <w:rPr>
                <w:noProof/>
                <w:webHidden/>
                <w:color w:val="000000" w:themeColor="text1"/>
              </w:rPr>
              <w:instrText xml:space="preserve"> PAGEREF _Toc41614062 \h </w:instrText>
            </w:r>
            <w:r w:rsidR="000102C8" w:rsidRPr="00D11634">
              <w:rPr>
                <w:noProof/>
                <w:webHidden/>
                <w:color w:val="000000" w:themeColor="text1"/>
              </w:rPr>
            </w:r>
            <w:r w:rsidR="000102C8" w:rsidRPr="00D11634">
              <w:rPr>
                <w:noProof/>
                <w:webHidden/>
                <w:color w:val="000000" w:themeColor="text1"/>
              </w:rPr>
              <w:fldChar w:fldCharType="separate"/>
            </w:r>
            <w:r w:rsidR="000102C8" w:rsidRPr="00D11634">
              <w:rPr>
                <w:noProof/>
                <w:webHidden/>
                <w:color w:val="000000" w:themeColor="text1"/>
              </w:rPr>
              <w:t>25</w:t>
            </w:r>
            <w:r w:rsidR="000102C8" w:rsidRPr="00D11634">
              <w:rPr>
                <w:noProof/>
                <w:webHidden/>
                <w:color w:val="000000" w:themeColor="text1"/>
              </w:rPr>
              <w:fldChar w:fldCharType="end"/>
            </w:r>
          </w:hyperlink>
        </w:p>
        <w:p w14:paraId="6952C2F0" w14:textId="7BF4B77D" w:rsidR="00712F93" w:rsidRPr="00D11634" w:rsidRDefault="00CB2B39">
          <w:pPr>
            <w:rPr>
              <w:color w:val="000000" w:themeColor="text1"/>
            </w:rPr>
          </w:pPr>
          <w:r w:rsidRPr="00D11634">
            <w:rPr>
              <w:color w:val="000000" w:themeColor="text1"/>
            </w:rPr>
            <w:fldChar w:fldCharType="end"/>
          </w:r>
        </w:p>
      </w:sdtContent>
    </w:sdt>
    <w:p w14:paraId="270D555E" w14:textId="77777777" w:rsidR="006676BF" w:rsidRPr="00D11634" w:rsidRDefault="006676BF" w:rsidP="007A6F62">
      <w:pPr>
        <w:pStyle w:val="TOC"/>
        <w:rPr>
          <w:color w:val="000000" w:themeColor="text1"/>
        </w:rPr>
      </w:pPr>
    </w:p>
    <w:p w14:paraId="4590CB5E" w14:textId="77777777" w:rsidR="006676BF" w:rsidRPr="00D11634" w:rsidRDefault="006676BF">
      <w:pPr>
        <w:spacing w:line="259" w:lineRule="auto"/>
        <w:jc w:val="left"/>
        <w:rPr>
          <w:rFonts w:eastAsiaTheme="majorEastAsia" w:cs="Times New Roman"/>
          <w:b/>
          <w:color w:val="000000" w:themeColor="text1"/>
          <w:sz w:val="24"/>
          <w:szCs w:val="24"/>
        </w:rPr>
      </w:pPr>
      <w:r w:rsidRPr="00D11634">
        <w:rPr>
          <w:rFonts w:cs="Times New Roman"/>
          <w:color w:val="000000" w:themeColor="text1"/>
          <w:sz w:val="24"/>
          <w:szCs w:val="24"/>
        </w:rPr>
        <w:br w:type="page"/>
      </w:r>
    </w:p>
    <w:p w14:paraId="5ED6B548" w14:textId="77777777" w:rsidR="00D40016" w:rsidRPr="00D11634" w:rsidRDefault="00313214" w:rsidP="007A6F62">
      <w:pPr>
        <w:pStyle w:val="1"/>
        <w:rPr>
          <w:color w:val="000000" w:themeColor="text1"/>
        </w:rPr>
      </w:pPr>
      <w:bookmarkStart w:id="0" w:name="_Toc40997204"/>
      <w:bookmarkStart w:id="1" w:name="_Toc41614030"/>
      <w:r w:rsidRPr="00D11634">
        <w:rPr>
          <w:color w:val="000000" w:themeColor="text1"/>
        </w:rPr>
        <w:lastRenderedPageBreak/>
        <w:t>Part I</w:t>
      </w:r>
      <w:bookmarkEnd w:id="0"/>
      <w:bookmarkEnd w:id="1"/>
    </w:p>
    <w:p w14:paraId="6DF566B7" w14:textId="77777777" w:rsidR="00313214" w:rsidRPr="00D11634" w:rsidRDefault="00313214" w:rsidP="007A6F62">
      <w:pPr>
        <w:pStyle w:val="2"/>
        <w:rPr>
          <w:color w:val="000000" w:themeColor="text1"/>
        </w:rPr>
      </w:pPr>
      <w:bookmarkStart w:id="2" w:name="_Toc41614031"/>
      <w:bookmarkStart w:id="3" w:name="_Toc40997205"/>
      <w:r w:rsidRPr="00D11634">
        <w:rPr>
          <w:color w:val="000000" w:themeColor="text1"/>
        </w:rPr>
        <w:t>Introduction</w:t>
      </w:r>
      <w:bookmarkEnd w:id="2"/>
      <w:r w:rsidR="005E4155" w:rsidRPr="00D11634">
        <w:rPr>
          <w:color w:val="000000" w:themeColor="text1"/>
        </w:rPr>
        <w:t xml:space="preserve"> </w:t>
      </w:r>
      <w:bookmarkEnd w:id="3"/>
    </w:p>
    <w:p w14:paraId="7A727955" w14:textId="77777777" w:rsidR="007B03EA" w:rsidRPr="00D11634" w:rsidRDefault="007B03EA" w:rsidP="007A6F62">
      <w:pPr>
        <w:pStyle w:val="3"/>
        <w:rPr>
          <w:color w:val="000000" w:themeColor="text1"/>
        </w:rPr>
      </w:pPr>
      <w:bookmarkStart w:id="4" w:name="_Toc41614032"/>
      <w:bookmarkStart w:id="5" w:name="_Toc40997206"/>
      <w:r w:rsidRPr="00D11634">
        <w:rPr>
          <w:color w:val="000000" w:themeColor="text1"/>
        </w:rPr>
        <w:t>Overview</w:t>
      </w:r>
      <w:bookmarkEnd w:id="4"/>
      <w:r w:rsidRPr="00D11634">
        <w:rPr>
          <w:color w:val="000000" w:themeColor="text1"/>
        </w:rPr>
        <w:t xml:space="preserve"> </w:t>
      </w:r>
      <w:bookmarkEnd w:id="5"/>
    </w:p>
    <w:p w14:paraId="14A59FA7" w14:textId="77777777" w:rsidR="00D40016" w:rsidRPr="00D11634" w:rsidRDefault="00D40016" w:rsidP="007B03EA">
      <w:pPr>
        <w:ind w:firstLine="720"/>
        <w:rPr>
          <w:rFonts w:cs="Times New Roman"/>
          <w:color w:val="000000" w:themeColor="text1"/>
          <w:sz w:val="24"/>
          <w:szCs w:val="24"/>
        </w:rPr>
      </w:pPr>
      <w:r w:rsidRPr="00D11634">
        <w:rPr>
          <w:rFonts w:cs="Times New Roman"/>
          <w:color w:val="000000" w:themeColor="text1"/>
          <w:sz w:val="24"/>
          <w:szCs w:val="24"/>
        </w:rPr>
        <w:t xml:space="preserve">Financial performance is one of the main goals for any business. In order to evaluate whether the organization is performing properly or not, it is essential to conduct financial analysis. Especially for the </w:t>
      </w:r>
      <w:r w:rsidR="007B03EA" w:rsidRPr="00D11634">
        <w:rPr>
          <w:rFonts w:cs="Times New Roman"/>
          <w:color w:val="000000" w:themeColor="text1"/>
          <w:sz w:val="24"/>
          <w:szCs w:val="24"/>
        </w:rPr>
        <w:t>public listed companies, financial analysis is of extreme importance, as depending on that the investors will decide whether to invest on that stock or not.</w:t>
      </w:r>
    </w:p>
    <w:p w14:paraId="30EA8131" w14:textId="77777777" w:rsidR="00D40016" w:rsidRPr="00D11634" w:rsidRDefault="00D40016" w:rsidP="007B03EA">
      <w:pPr>
        <w:ind w:firstLine="720"/>
        <w:rPr>
          <w:rFonts w:cs="Times New Roman"/>
          <w:color w:val="000000" w:themeColor="text1"/>
          <w:sz w:val="24"/>
          <w:szCs w:val="24"/>
        </w:rPr>
      </w:pPr>
      <w:r w:rsidRPr="00D11634">
        <w:rPr>
          <w:rFonts w:cs="Times New Roman"/>
          <w:color w:val="000000" w:themeColor="text1"/>
          <w:sz w:val="24"/>
          <w:szCs w:val="24"/>
        </w:rPr>
        <w:t xml:space="preserve">In this discussion, the ratio analysis of Intertek Group PLC will be done.  </w:t>
      </w:r>
      <w:r w:rsidR="007B03EA" w:rsidRPr="00D11634">
        <w:rPr>
          <w:rFonts w:cs="Times New Roman"/>
          <w:color w:val="000000" w:themeColor="text1"/>
          <w:sz w:val="24"/>
          <w:szCs w:val="24"/>
        </w:rPr>
        <w:t>Intertek Group PLC is one of the FTSE 100 companies of London Stock Exchange.</w:t>
      </w:r>
    </w:p>
    <w:p w14:paraId="2F6AFF22" w14:textId="77777777" w:rsidR="007B03EA" w:rsidRPr="00D11634" w:rsidRDefault="007B03EA" w:rsidP="007A6F62">
      <w:pPr>
        <w:pStyle w:val="3"/>
        <w:rPr>
          <w:color w:val="000000" w:themeColor="text1"/>
        </w:rPr>
      </w:pPr>
      <w:bookmarkStart w:id="6" w:name="_Toc40997207"/>
      <w:bookmarkStart w:id="7" w:name="_Toc41614033"/>
      <w:r w:rsidRPr="00D11634">
        <w:rPr>
          <w:color w:val="000000" w:themeColor="text1"/>
        </w:rPr>
        <w:t>About the Company</w:t>
      </w:r>
      <w:bookmarkEnd w:id="6"/>
      <w:bookmarkEnd w:id="7"/>
    </w:p>
    <w:p w14:paraId="36CA7605" w14:textId="7D05B153" w:rsidR="007B03EA" w:rsidRPr="00D11634" w:rsidRDefault="007B03EA" w:rsidP="00695E36">
      <w:pPr>
        <w:ind w:firstLine="576"/>
        <w:rPr>
          <w:rFonts w:cs="Times New Roman"/>
          <w:color w:val="000000" w:themeColor="text1"/>
          <w:sz w:val="24"/>
          <w:szCs w:val="24"/>
        </w:rPr>
      </w:pPr>
      <w:r w:rsidRPr="00D11634">
        <w:rPr>
          <w:rFonts w:cs="Times New Roman"/>
          <w:color w:val="000000" w:themeColor="text1"/>
          <w:sz w:val="24"/>
          <w:szCs w:val="24"/>
        </w:rPr>
        <w:t>Intertek Group Plc</w:t>
      </w:r>
      <w:r w:rsidR="002949F0" w:rsidRPr="00D11634">
        <w:rPr>
          <w:rFonts w:cs="Times New Roman"/>
          <w:color w:val="000000" w:themeColor="text1"/>
          <w:sz w:val="24"/>
          <w:szCs w:val="24"/>
        </w:rPr>
        <w:t xml:space="preserve"> is multinational company whose main focus area are product testing, inspection, assurance, and certification.</w:t>
      </w:r>
      <w:r w:rsidR="00695E36" w:rsidRPr="00D11634">
        <w:rPr>
          <w:rFonts w:cs="Times New Roman"/>
          <w:color w:val="000000" w:themeColor="text1"/>
          <w:sz w:val="24"/>
          <w:szCs w:val="24"/>
        </w:rPr>
        <w:t xml:space="preserve"> It is the largest tester of consumer goods with a network of more than 1000 laboratories across the world.</w:t>
      </w:r>
      <w:r w:rsidR="00BA2492" w:rsidRPr="00D11634">
        <w:rPr>
          <w:rFonts w:cs="Times New Roman"/>
          <w:color w:val="000000" w:themeColor="text1"/>
          <w:sz w:val="24"/>
          <w:szCs w:val="24"/>
        </w:rPr>
        <w:t xml:space="preserve"> It operates in the industries such as healthcare, food, transport, construction, etc.</w:t>
      </w:r>
      <w:r w:rsidR="007A6F62" w:rsidRPr="00D11634">
        <w:rPr>
          <w:rFonts w:cs="Times New Roman"/>
          <w:color w:val="000000" w:themeColor="text1"/>
          <w:sz w:val="24"/>
          <w:szCs w:val="24"/>
        </w:rPr>
        <w:t xml:space="preserve"> </w:t>
      </w:r>
      <w:r w:rsidR="002949F0" w:rsidRPr="00D11634">
        <w:rPr>
          <w:rFonts w:cs="Times New Roman"/>
          <w:color w:val="000000" w:themeColor="text1"/>
          <w:sz w:val="24"/>
          <w:szCs w:val="24"/>
        </w:rPr>
        <w:t>It is one of the prestigious FTSE 100 companies of London Stock Exchange. It is an old company and originated way back in 1888 in a testing laboratory formed by Milton Hersey in Montreal. It is headquartered in London with more than 46,000 employees. The company has earned almost £3 billion revenue with an income of £333 million.</w:t>
      </w:r>
    </w:p>
    <w:p w14:paraId="101E8047" w14:textId="77777777" w:rsidR="002949F0" w:rsidRPr="00D11634" w:rsidRDefault="002949F0">
      <w:pPr>
        <w:spacing w:line="259" w:lineRule="auto"/>
        <w:jc w:val="left"/>
        <w:rPr>
          <w:rFonts w:eastAsiaTheme="majorEastAsia" w:cs="Times New Roman"/>
          <w:b/>
          <w:color w:val="000000" w:themeColor="text1"/>
          <w:sz w:val="24"/>
          <w:szCs w:val="24"/>
        </w:rPr>
      </w:pPr>
      <w:bookmarkStart w:id="8" w:name="_Toc40997208"/>
      <w:r w:rsidRPr="00D11634">
        <w:rPr>
          <w:rFonts w:cs="Times New Roman"/>
          <w:color w:val="000000" w:themeColor="text1"/>
          <w:sz w:val="24"/>
          <w:szCs w:val="24"/>
        </w:rPr>
        <w:br w:type="page"/>
      </w:r>
    </w:p>
    <w:p w14:paraId="7D2BCAD4" w14:textId="75E45F87" w:rsidR="004526F1" w:rsidRPr="00D11634" w:rsidRDefault="004526F1" w:rsidP="007A6F62">
      <w:pPr>
        <w:pStyle w:val="2"/>
        <w:rPr>
          <w:color w:val="000000" w:themeColor="text1"/>
        </w:rPr>
      </w:pPr>
      <w:bookmarkStart w:id="9" w:name="_Toc41614034"/>
      <w:bookmarkStart w:id="10" w:name="_Toc41605037"/>
      <w:bookmarkStart w:id="11" w:name="_Toc40997214"/>
      <w:bookmarkEnd w:id="8"/>
      <w:r w:rsidRPr="00D11634">
        <w:rPr>
          <w:color w:val="000000" w:themeColor="text1"/>
        </w:rPr>
        <w:lastRenderedPageBreak/>
        <w:t>Ratio</w:t>
      </w:r>
      <w:r w:rsidR="000102C8" w:rsidRPr="00D11634">
        <w:rPr>
          <w:color w:val="000000" w:themeColor="text1"/>
        </w:rPr>
        <w:t xml:space="preserve"> Analysi</w:t>
      </w:r>
      <w:r w:rsidRPr="00D11634">
        <w:rPr>
          <w:color w:val="000000" w:themeColor="text1"/>
        </w:rPr>
        <w:t>s</w:t>
      </w:r>
      <w:bookmarkEnd w:id="9"/>
      <w:r w:rsidRPr="00D11634">
        <w:rPr>
          <w:color w:val="000000" w:themeColor="text1"/>
        </w:rPr>
        <w:t xml:space="preserve"> </w:t>
      </w:r>
      <w:bookmarkEnd w:id="10"/>
    </w:p>
    <w:p w14:paraId="14111936" w14:textId="77777777" w:rsidR="004526F1" w:rsidRPr="00D11634" w:rsidRDefault="004526F1" w:rsidP="007A6F62">
      <w:pPr>
        <w:pStyle w:val="3"/>
        <w:rPr>
          <w:color w:val="000000" w:themeColor="text1"/>
        </w:rPr>
      </w:pPr>
      <w:bookmarkStart w:id="12" w:name="_Toc41605038"/>
      <w:bookmarkStart w:id="13" w:name="_Toc41614035"/>
      <w:r w:rsidRPr="00D11634">
        <w:rPr>
          <w:color w:val="000000" w:themeColor="text1"/>
        </w:rPr>
        <w:t>Profitability Ratios</w:t>
      </w:r>
      <w:bookmarkEnd w:id="12"/>
      <w:bookmarkEnd w:id="13"/>
    </w:p>
    <w:p w14:paraId="6F00D932" w14:textId="77777777" w:rsidR="004526F1" w:rsidRPr="00D11634" w:rsidRDefault="004526F1" w:rsidP="007A6F62">
      <w:pPr>
        <w:pStyle w:val="4"/>
        <w:rPr>
          <w:color w:val="000000" w:themeColor="text1"/>
        </w:rPr>
      </w:pPr>
      <w:r w:rsidRPr="00D11634">
        <w:rPr>
          <w:color w:val="000000" w:themeColor="text1"/>
        </w:rPr>
        <w:t>Net Profit Margin</w:t>
      </w:r>
    </w:p>
    <w:p w14:paraId="0E99564B" w14:textId="038B84C0" w:rsidR="004526F1" w:rsidRPr="00D11634" w:rsidRDefault="004526F1" w:rsidP="004526F1">
      <w:pPr>
        <w:rPr>
          <w:rFonts w:cs="Times New Roman"/>
          <w:color w:val="000000" w:themeColor="text1"/>
          <w:sz w:val="24"/>
          <w:szCs w:val="24"/>
        </w:rPr>
      </w:pPr>
      <w:bookmarkStart w:id="14" w:name="_Hlk40996037"/>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Net Profit margin = Net Profit/ Revenue*100</w:t>
      </w:r>
      <w:r w:rsidR="000102C8" w:rsidRPr="00D11634">
        <w:rPr>
          <w:rFonts w:cs="Times New Roman"/>
          <w:color w:val="000000" w:themeColor="text1"/>
          <w:sz w:val="24"/>
          <w:szCs w:val="24"/>
        </w:rPr>
        <w:t>”</w:t>
      </w:r>
    </w:p>
    <w:p w14:paraId="2B9029EE"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Net Profit margin of Intertek Group PLC in last 5 years</w:t>
      </w:r>
      <w:bookmarkEnd w:id="14"/>
    </w:p>
    <w:tbl>
      <w:tblPr>
        <w:tblStyle w:val="a3"/>
        <w:tblW w:w="10033" w:type="dxa"/>
        <w:tblLook w:val="04A0" w:firstRow="1" w:lastRow="0" w:firstColumn="1" w:lastColumn="0" w:noHBand="0" w:noVBand="1"/>
      </w:tblPr>
      <w:tblGrid>
        <w:gridCol w:w="1510"/>
        <w:gridCol w:w="1834"/>
        <w:gridCol w:w="1834"/>
        <w:gridCol w:w="1726"/>
        <w:gridCol w:w="1507"/>
        <w:gridCol w:w="1622"/>
      </w:tblGrid>
      <w:tr w:rsidR="00D11634" w:rsidRPr="00D11634" w14:paraId="24C3DE81" w14:textId="77777777" w:rsidTr="004526F1">
        <w:trPr>
          <w:trHeight w:val="385"/>
        </w:trPr>
        <w:tc>
          <w:tcPr>
            <w:tcW w:w="1510" w:type="dxa"/>
            <w:noWrap/>
            <w:hideMark/>
          </w:tcPr>
          <w:p w14:paraId="54A54928" w14:textId="77777777" w:rsidR="004526F1" w:rsidRPr="00D11634" w:rsidRDefault="004526F1" w:rsidP="004526F1">
            <w:pPr>
              <w:rPr>
                <w:rFonts w:cs="Times New Roman"/>
                <w:color w:val="000000" w:themeColor="text1"/>
                <w:sz w:val="24"/>
                <w:szCs w:val="24"/>
                <w:lang w:val="en-US"/>
              </w:rPr>
            </w:pPr>
          </w:p>
        </w:tc>
        <w:tc>
          <w:tcPr>
            <w:tcW w:w="1834" w:type="dxa"/>
            <w:noWrap/>
            <w:hideMark/>
          </w:tcPr>
          <w:p w14:paraId="63F45820" w14:textId="706068E6" w:rsidR="004526F1" w:rsidRPr="00D11634" w:rsidRDefault="00A96AD1" w:rsidP="004526F1">
            <w:pPr>
              <w:rPr>
                <w:rFonts w:cs="Times New Roman"/>
                <w:color w:val="000000" w:themeColor="text1"/>
                <w:sz w:val="24"/>
                <w:szCs w:val="24"/>
                <w:lang w:val="en-US"/>
              </w:rPr>
            </w:pPr>
            <w:r w:rsidRPr="00D11634">
              <w:rPr>
                <w:rFonts w:cs="Times New Roman"/>
                <w:color w:val="000000" w:themeColor="text1"/>
                <w:sz w:val="24"/>
                <w:szCs w:val="24"/>
                <w:lang w:val="en-US"/>
              </w:rPr>
              <w:t>2015</w:t>
            </w:r>
          </w:p>
        </w:tc>
        <w:tc>
          <w:tcPr>
            <w:tcW w:w="1834" w:type="dxa"/>
            <w:noWrap/>
            <w:hideMark/>
          </w:tcPr>
          <w:p w14:paraId="2FE5A03D" w14:textId="2A2C38E0" w:rsidR="004526F1" w:rsidRPr="00D11634" w:rsidRDefault="00A96AD1" w:rsidP="004526F1">
            <w:pPr>
              <w:rPr>
                <w:rFonts w:cs="Times New Roman"/>
                <w:color w:val="000000" w:themeColor="text1"/>
                <w:sz w:val="24"/>
                <w:szCs w:val="24"/>
                <w:lang w:val="en-US"/>
              </w:rPr>
            </w:pPr>
            <w:r w:rsidRPr="00D11634">
              <w:rPr>
                <w:rFonts w:cs="Times New Roman"/>
                <w:color w:val="000000" w:themeColor="text1"/>
                <w:sz w:val="24"/>
                <w:szCs w:val="24"/>
                <w:lang w:val="en-US"/>
              </w:rPr>
              <w:t>2016</w:t>
            </w:r>
          </w:p>
        </w:tc>
        <w:tc>
          <w:tcPr>
            <w:tcW w:w="1726" w:type="dxa"/>
            <w:noWrap/>
            <w:hideMark/>
          </w:tcPr>
          <w:p w14:paraId="17410B1F" w14:textId="5ABE8C37" w:rsidR="004526F1" w:rsidRPr="00D11634" w:rsidRDefault="00A96AD1" w:rsidP="004526F1">
            <w:pPr>
              <w:rPr>
                <w:rFonts w:cs="Times New Roman"/>
                <w:color w:val="000000" w:themeColor="text1"/>
                <w:sz w:val="24"/>
                <w:szCs w:val="24"/>
                <w:lang w:val="en-US"/>
              </w:rPr>
            </w:pPr>
            <w:r w:rsidRPr="00D11634">
              <w:rPr>
                <w:rFonts w:cs="Times New Roman"/>
                <w:color w:val="000000" w:themeColor="text1"/>
                <w:sz w:val="24"/>
                <w:szCs w:val="24"/>
                <w:lang w:val="en-US"/>
              </w:rPr>
              <w:t>2017</w:t>
            </w:r>
          </w:p>
        </w:tc>
        <w:tc>
          <w:tcPr>
            <w:tcW w:w="1507" w:type="dxa"/>
            <w:noWrap/>
            <w:hideMark/>
          </w:tcPr>
          <w:p w14:paraId="35545843" w14:textId="742FCB15" w:rsidR="004526F1" w:rsidRPr="00D11634" w:rsidRDefault="00A96AD1" w:rsidP="004526F1">
            <w:pPr>
              <w:rPr>
                <w:rFonts w:cs="Times New Roman"/>
                <w:color w:val="000000" w:themeColor="text1"/>
                <w:sz w:val="24"/>
                <w:szCs w:val="24"/>
                <w:lang w:val="en-US"/>
              </w:rPr>
            </w:pPr>
            <w:r w:rsidRPr="00D11634">
              <w:rPr>
                <w:rFonts w:cs="Times New Roman"/>
                <w:color w:val="000000" w:themeColor="text1"/>
                <w:sz w:val="24"/>
                <w:szCs w:val="24"/>
                <w:lang w:val="en-US"/>
              </w:rPr>
              <w:t>2018</w:t>
            </w:r>
          </w:p>
        </w:tc>
        <w:tc>
          <w:tcPr>
            <w:tcW w:w="1622" w:type="dxa"/>
            <w:noWrap/>
            <w:hideMark/>
          </w:tcPr>
          <w:p w14:paraId="7FCADE6C" w14:textId="150A03AC" w:rsidR="004526F1" w:rsidRPr="00D11634" w:rsidRDefault="00A96AD1" w:rsidP="004526F1">
            <w:pPr>
              <w:rPr>
                <w:rFonts w:cs="Times New Roman"/>
                <w:color w:val="000000" w:themeColor="text1"/>
                <w:sz w:val="24"/>
                <w:szCs w:val="24"/>
                <w:lang w:val="en-US"/>
              </w:rPr>
            </w:pPr>
            <w:r w:rsidRPr="00D11634">
              <w:rPr>
                <w:rFonts w:cs="Times New Roman"/>
                <w:color w:val="000000" w:themeColor="text1"/>
                <w:sz w:val="24"/>
                <w:szCs w:val="24"/>
                <w:lang w:val="en-US"/>
              </w:rPr>
              <w:t>2019</w:t>
            </w:r>
          </w:p>
        </w:tc>
      </w:tr>
      <w:tr w:rsidR="00D11634" w:rsidRPr="00D11634" w14:paraId="6F49DB3B" w14:textId="77777777" w:rsidTr="004526F1">
        <w:trPr>
          <w:trHeight w:val="385"/>
        </w:trPr>
        <w:tc>
          <w:tcPr>
            <w:tcW w:w="1510" w:type="dxa"/>
            <w:noWrap/>
            <w:hideMark/>
          </w:tcPr>
          <w:p w14:paraId="093BCBB7"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Net Profit Margin (%)</w:t>
            </w:r>
          </w:p>
        </w:tc>
        <w:tc>
          <w:tcPr>
            <w:tcW w:w="1834" w:type="dxa"/>
            <w:noWrap/>
            <w:hideMark/>
          </w:tcPr>
          <w:p w14:paraId="5602DE95"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-16.0181</w:t>
            </w:r>
          </w:p>
        </w:tc>
        <w:tc>
          <w:tcPr>
            <w:tcW w:w="1834" w:type="dxa"/>
            <w:noWrap/>
            <w:hideMark/>
          </w:tcPr>
          <w:p w14:paraId="4721CF52"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10.580444</w:t>
            </w:r>
          </w:p>
        </w:tc>
        <w:tc>
          <w:tcPr>
            <w:tcW w:w="1726" w:type="dxa"/>
            <w:noWrap/>
            <w:hideMark/>
          </w:tcPr>
          <w:p w14:paraId="771B6AC8"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11.064967</w:t>
            </w:r>
          </w:p>
        </w:tc>
        <w:tc>
          <w:tcPr>
            <w:tcW w:w="1507" w:type="dxa"/>
            <w:noWrap/>
            <w:hideMark/>
          </w:tcPr>
          <w:p w14:paraId="71DC6D5E"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10.895331</w:t>
            </w:r>
          </w:p>
        </w:tc>
        <w:tc>
          <w:tcPr>
            <w:tcW w:w="1622" w:type="dxa"/>
            <w:noWrap/>
            <w:hideMark/>
          </w:tcPr>
          <w:p w14:paraId="305CB2F3"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11.168396</w:t>
            </w:r>
          </w:p>
        </w:tc>
      </w:tr>
      <w:tr w:rsidR="004526F1" w:rsidRPr="00D11634" w14:paraId="5FC76CA1" w14:textId="77777777" w:rsidTr="004526F1">
        <w:trPr>
          <w:trHeight w:val="385"/>
        </w:trPr>
        <w:tc>
          <w:tcPr>
            <w:tcW w:w="1510" w:type="dxa"/>
            <w:noWrap/>
          </w:tcPr>
          <w:p w14:paraId="7F6C6728"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lang w:val="en-US"/>
              </w:rPr>
              <w:t>Calculations</w:t>
            </w:r>
          </w:p>
        </w:tc>
        <w:tc>
          <w:tcPr>
            <w:tcW w:w="1834" w:type="dxa"/>
            <w:noWrap/>
          </w:tcPr>
          <w:p w14:paraId="7CBE6C21"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rPr>
              <w:t xml:space="preserve">-347/ </w:t>
            </w:r>
            <w:r w:rsidRPr="00D11634">
              <w:rPr>
                <w:rFonts w:cs="Times New Roman"/>
                <w:color w:val="000000" w:themeColor="text1"/>
                <w:sz w:val="24"/>
                <w:szCs w:val="24"/>
                <w:lang w:val="en-US"/>
              </w:rPr>
              <w:t>2166.3 * 100</w:t>
            </w:r>
          </w:p>
        </w:tc>
        <w:tc>
          <w:tcPr>
            <w:tcW w:w="1834" w:type="dxa"/>
            <w:noWrap/>
          </w:tcPr>
          <w:p w14:paraId="30471EE8"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rPr>
              <w:t xml:space="preserve">271.6/ </w:t>
            </w:r>
            <w:r w:rsidRPr="00D11634">
              <w:rPr>
                <w:rFonts w:cs="Times New Roman"/>
                <w:color w:val="000000" w:themeColor="text1"/>
                <w:sz w:val="24"/>
                <w:szCs w:val="24"/>
                <w:lang w:val="en-US"/>
              </w:rPr>
              <w:t>2567 * 100</w:t>
            </w:r>
          </w:p>
        </w:tc>
        <w:tc>
          <w:tcPr>
            <w:tcW w:w="1726" w:type="dxa"/>
            <w:noWrap/>
          </w:tcPr>
          <w:p w14:paraId="337979EE"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rPr>
              <w:t xml:space="preserve">306.4/ </w:t>
            </w:r>
            <w:r w:rsidRPr="00D11634">
              <w:rPr>
                <w:rFonts w:cs="Times New Roman"/>
                <w:color w:val="000000" w:themeColor="text1"/>
                <w:sz w:val="24"/>
                <w:szCs w:val="24"/>
                <w:lang w:val="en-US"/>
              </w:rPr>
              <w:t>2769.1 * 100</w:t>
            </w:r>
          </w:p>
        </w:tc>
        <w:tc>
          <w:tcPr>
            <w:tcW w:w="1507" w:type="dxa"/>
            <w:noWrap/>
          </w:tcPr>
          <w:p w14:paraId="56477C85"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rPr>
              <w:t xml:space="preserve">305.2/ </w:t>
            </w:r>
            <w:r w:rsidRPr="00D11634">
              <w:rPr>
                <w:rFonts w:cs="Times New Roman"/>
                <w:color w:val="000000" w:themeColor="text1"/>
                <w:sz w:val="24"/>
                <w:szCs w:val="24"/>
                <w:lang w:val="en-US"/>
              </w:rPr>
              <w:t>2801.2 * 100</w:t>
            </w:r>
          </w:p>
        </w:tc>
        <w:tc>
          <w:tcPr>
            <w:tcW w:w="1622" w:type="dxa"/>
            <w:noWrap/>
          </w:tcPr>
          <w:p w14:paraId="0F80EB16" w14:textId="77777777" w:rsidR="004526F1" w:rsidRPr="00D11634" w:rsidRDefault="004526F1" w:rsidP="004526F1">
            <w:pPr>
              <w:rPr>
                <w:rFonts w:cs="Times New Roman"/>
                <w:color w:val="000000" w:themeColor="text1"/>
                <w:sz w:val="24"/>
                <w:szCs w:val="24"/>
                <w:lang w:val="en-US"/>
              </w:rPr>
            </w:pPr>
            <w:r w:rsidRPr="00D11634">
              <w:rPr>
                <w:rFonts w:cs="Times New Roman"/>
                <w:color w:val="000000" w:themeColor="text1"/>
                <w:sz w:val="24"/>
                <w:szCs w:val="24"/>
              </w:rPr>
              <w:t xml:space="preserve">333.6/ </w:t>
            </w:r>
            <w:r w:rsidRPr="00D11634">
              <w:rPr>
                <w:rFonts w:cs="Times New Roman"/>
                <w:color w:val="000000" w:themeColor="text1"/>
                <w:sz w:val="24"/>
                <w:szCs w:val="24"/>
                <w:lang w:val="en-US"/>
              </w:rPr>
              <w:t>2987 * 100</w:t>
            </w:r>
          </w:p>
        </w:tc>
      </w:tr>
    </w:tbl>
    <w:p w14:paraId="009F3AD4" w14:textId="77777777" w:rsidR="004526F1" w:rsidRPr="00D11634" w:rsidRDefault="004526F1" w:rsidP="004526F1">
      <w:pPr>
        <w:rPr>
          <w:rFonts w:cs="Times New Roman"/>
          <w:color w:val="000000" w:themeColor="text1"/>
          <w:sz w:val="24"/>
          <w:szCs w:val="24"/>
        </w:rPr>
      </w:pPr>
    </w:p>
    <w:p w14:paraId="77A07E6D" w14:textId="03A18133" w:rsidR="004526F1" w:rsidRPr="00D11634" w:rsidRDefault="006E2E3E"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776DE83C" wp14:editId="4BF15047">
            <wp:extent cx="4151630" cy="2334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51630" cy="2334895"/>
                    </a:xfrm>
                    <a:prstGeom prst="rect">
                      <a:avLst/>
                    </a:prstGeom>
                    <a:noFill/>
                  </pic:spPr>
                </pic:pic>
              </a:graphicData>
            </a:graphic>
          </wp:inline>
        </w:drawing>
      </w:r>
    </w:p>
    <w:p w14:paraId="631F0A44"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Return on Asset</w:t>
      </w:r>
    </w:p>
    <w:p w14:paraId="38D9C305" w14:textId="1EB89A48"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Return on Asset = Net Profit/ Total Asset*100</w:t>
      </w:r>
      <w:r w:rsidR="000102C8" w:rsidRPr="00D11634">
        <w:rPr>
          <w:rFonts w:cs="Times New Roman"/>
          <w:color w:val="000000" w:themeColor="text1"/>
          <w:sz w:val="24"/>
          <w:szCs w:val="24"/>
        </w:rPr>
        <w:t>”</w:t>
      </w:r>
    </w:p>
    <w:p w14:paraId="151B7B60" w14:textId="77777777" w:rsidR="004526F1" w:rsidRPr="00D11634" w:rsidRDefault="004526F1" w:rsidP="004526F1">
      <w:pPr>
        <w:rPr>
          <w:rFonts w:cs="Times New Roman"/>
          <w:b/>
          <w:bCs/>
          <w:color w:val="000000" w:themeColor="text1"/>
          <w:sz w:val="24"/>
          <w:szCs w:val="24"/>
        </w:rPr>
      </w:pPr>
      <w:r w:rsidRPr="00D11634">
        <w:rPr>
          <w:rFonts w:cs="Times New Roman"/>
          <w:color w:val="000000" w:themeColor="text1"/>
          <w:sz w:val="24"/>
          <w:szCs w:val="24"/>
        </w:rPr>
        <w:t>Return on Asset of Intertek Group PLC in last 5 years</w:t>
      </w:r>
    </w:p>
    <w:tbl>
      <w:tblPr>
        <w:tblStyle w:val="a3"/>
        <w:tblW w:w="10194" w:type="dxa"/>
        <w:tblLook w:val="04A0" w:firstRow="1" w:lastRow="0" w:firstColumn="1" w:lastColumn="0" w:noHBand="0" w:noVBand="1"/>
      </w:tblPr>
      <w:tblGrid>
        <w:gridCol w:w="2252"/>
        <w:gridCol w:w="1599"/>
        <w:gridCol w:w="1603"/>
        <w:gridCol w:w="1637"/>
        <w:gridCol w:w="1637"/>
        <w:gridCol w:w="1603"/>
      </w:tblGrid>
      <w:tr w:rsidR="00D11634" w:rsidRPr="00D11634" w14:paraId="36B5DB31" w14:textId="77777777" w:rsidTr="004526F1">
        <w:trPr>
          <w:trHeight w:val="426"/>
        </w:trPr>
        <w:tc>
          <w:tcPr>
            <w:tcW w:w="2252" w:type="dxa"/>
            <w:noWrap/>
            <w:hideMark/>
          </w:tcPr>
          <w:p w14:paraId="5A58BC35"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p>
        </w:tc>
        <w:tc>
          <w:tcPr>
            <w:tcW w:w="1599" w:type="dxa"/>
            <w:noWrap/>
            <w:hideMark/>
          </w:tcPr>
          <w:p w14:paraId="19392F26" w14:textId="75C3EC70"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599" w:type="dxa"/>
            <w:noWrap/>
            <w:hideMark/>
          </w:tcPr>
          <w:p w14:paraId="41D27BE1" w14:textId="04446CFE"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637" w:type="dxa"/>
            <w:noWrap/>
            <w:hideMark/>
          </w:tcPr>
          <w:p w14:paraId="42E72D9F" w14:textId="64F5D3EA"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637" w:type="dxa"/>
            <w:noWrap/>
            <w:hideMark/>
          </w:tcPr>
          <w:p w14:paraId="39CE0028" w14:textId="77314EB0"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70" w:type="dxa"/>
            <w:noWrap/>
            <w:hideMark/>
          </w:tcPr>
          <w:p w14:paraId="2EE8DEBE" w14:textId="4BD0FDDB"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3C8B245B" w14:textId="77777777" w:rsidTr="004526F1">
        <w:trPr>
          <w:trHeight w:val="426"/>
        </w:trPr>
        <w:tc>
          <w:tcPr>
            <w:tcW w:w="2252" w:type="dxa"/>
            <w:noWrap/>
            <w:hideMark/>
          </w:tcPr>
          <w:p w14:paraId="79A6BB2B"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Return on Asset</w:t>
            </w:r>
          </w:p>
        </w:tc>
        <w:tc>
          <w:tcPr>
            <w:tcW w:w="1599" w:type="dxa"/>
            <w:noWrap/>
            <w:hideMark/>
          </w:tcPr>
          <w:p w14:paraId="0C674EB2"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-19.59345003</w:t>
            </w:r>
          </w:p>
        </w:tc>
        <w:tc>
          <w:tcPr>
            <w:tcW w:w="1599" w:type="dxa"/>
            <w:noWrap/>
            <w:hideMark/>
          </w:tcPr>
          <w:p w14:paraId="7242AFB1"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12.65433537</w:t>
            </w:r>
          </w:p>
        </w:tc>
        <w:tc>
          <w:tcPr>
            <w:tcW w:w="1637" w:type="dxa"/>
            <w:noWrap/>
            <w:hideMark/>
          </w:tcPr>
          <w:p w14:paraId="035B1FE0"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14.92886377</w:t>
            </w:r>
          </w:p>
        </w:tc>
        <w:tc>
          <w:tcPr>
            <w:tcW w:w="1637" w:type="dxa"/>
            <w:noWrap/>
            <w:hideMark/>
          </w:tcPr>
          <w:p w14:paraId="59E2908B"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11.58869988</w:t>
            </w:r>
          </w:p>
        </w:tc>
        <w:tc>
          <w:tcPr>
            <w:tcW w:w="1470" w:type="dxa"/>
            <w:noWrap/>
            <w:hideMark/>
          </w:tcPr>
          <w:p w14:paraId="63CFF8DD"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11.83650298</w:t>
            </w:r>
          </w:p>
        </w:tc>
      </w:tr>
      <w:tr w:rsidR="004526F1" w:rsidRPr="00D11634" w14:paraId="6A307368" w14:textId="77777777" w:rsidTr="004526F1">
        <w:trPr>
          <w:trHeight w:val="426"/>
        </w:trPr>
        <w:tc>
          <w:tcPr>
            <w:tcW w:w="2252" w:type="dxa"/>
            <w:noWrap/>
          </w:tcPr>
          <w:p w14:paraId="40FE8A61"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Calculations</w:t>
            </w:r>
          </w:p>
        </w:tc>
        <w:tc>
          <w:tcPr>
            <w:tcW w:w="1599" w:type="dxa"/>
            <w:noWrap/>
            <w:vAlign w:val="bottom"/>
          </w:tcPr>
          <w:p w14:paraId="000F847B" w14:textId="77777777" w:rsidR="004526F1" w:rsidRPr="00D11634" w:rsidRDefault="004526F1" w:rsidP="004526F1">
            <w:pPr>
              <w:spacing w:line="240" w:lineRule="auto"/>
              <w:jc w:val="right"/>
              <w:rPr>
                <w:rFonts w:cs="Times New Roman"/>
                <w:color w:val="000000" w:themeColor="text1"/>
                <w:sz w:val="24"/>
                <w:szCs w:val="24"/>
              </w:rPr>
            </w:pPr>
            <w:r w:rsidRPr="00D11634">
              <w:rPr>
                <w:rFonts w:cs="Times New Roman"/>
                <w:color w:val="000000" w:themeColor="text1"/>
                <w:sz w:val="24"/>
                <w:szCs w:val="24"/>
              </w:rPr>
              <w:t>-347/1771* 100</w:t>
            </w:r>
          </w:p>
        </w:tc>
        <w:tc>
          <w:tcPr>
            <w:tcW w:w="1599" w:type="dxa"/>
            <w:noWrap/>
            <w:vAlign w:val="bottom"/>
          </w:tcPr>
          <w:p w14:paraId="6E5A22F8" w14:textId="77777777" w:rsidR="004526F1" w:rsidRPr="00D11634" w:rsidRDefault="004526F1" w:rsidP="004526F1">
            <w:pPr>
              <w:spacing w:line="240" w:lineRule="auto"/>
              <w:jc w:val="right"/>
              <w:rPr>
                <w:rFonts w:cs="Times New Roman"/>
                <w:color w:val="000000" w:themeColor="text1"/>
                <w:sz w:val="24"/>
                <w:szCs w:val="24"/>
              </w:rPr>
            </w:pPr>
            <w:r w:rsidRPr="00D11634">
              <w:rPr>
                <w:rFonts w:cs="Times New Roman"/>
                <w:color w:val="000000" w:themeColor="text1"/>
                <w:sz w:val="24"/>
                <w:szCs w:val="24"/>
              </w:rPr>
              <w:t>271.6/2146.3* 100</w:t>
            </w:r>
          </w:p>
        </w:tc>
        <w:tc>
          <w:tcPr>
            <w:tcW w:w="1637" w:type="dxa"/>
            <w:noWrap/>
            <w:vAlign w:val="bottom"/>
          </w:tcPr>
          <w:p w14:paraId="12FC7E75" w14:textId="77777777" w:rsidR="004526F1" w:rsidRPr="00D11634" w:rsidRDefault="004526F1" w:rsidP="004526F1">
            <w:pPr>
              <w:spacing w:line="240" w:lineRule="auto"/>
              <w:jc w:val="right"/>
              <w:rPr>
                <w:rFonts w:cs="Times New Roman"/>
                <w:color w:val="000000" w:themeColor="text1"/>
                <w:sz w:val="24"/>
                <w:szCs w:val="24"/>
              </w:rPr>
            </w:pPr>
            <w:r w:rsidRPr="00D11634">
              <w:rPr>
                <w:rFonts w:cs="Times New Roman"/>
                <w:color w:val="000000" w:themeColor="text1"/>
                <w:sz w:val="24"/>
                <w:szCs w:val="24"/>
              </w:rPr>
              <w:t>306.4/2052.4* 100</w:t>
            </w:r>
          </w:p>
        </w:tc>
        <w:tc>
          <w:tcPr>
            <w:tcW w:w="1637" w:type="dxa"/>
            <w:noWrap/>
            <w:vAlign w:val="bottom"/>
          </w:tcPr>
          <w:p w14:paraId="7B8C0114" w14:textId="77777777" w:rsidR="004526F1" w:rsidRPr="00D11634" w:rsidRDefault="004526F1" w:rsidP="004526F1">
            <w:pPr>
              <w:spacing w:line="240" w:lineRule="auto"/>
              <w:jc w:val="right"/>
              <w:rPr>
                <w:rFonts w:cs="Times New Roman"/>
                <w:color w:val="000000" w:themeColor="text1"/>
                <w:sz w:val="24"/>
                <w:szCs w:val="24"/>
              </w:rPr>
            </w:pPr>
            <w:r w:rsidRPr="00D11634">
              <w:rPr>
                <w:rFonts w:cs="Times New Roman"/>
                <w:color w:val="000000" w:themeColor="text1"/>
                <w:sz w:val="24"/>
                <w:szCs w:val="24"/>
              </w:rPr>
              <w:t>305.2/2633.6* 100</w:t>
            </w:r>
          </w:p>
        </w:tc>
        <w:tc>
          <w:tcPr>
            <w:tcW w:w="1470" w:type="dxa"/>
            <w:noWrap/>
            <w:vAlign w:val="bottom"/>
          </w:tcPr>
          <w:p w14:paraId="45124D68" w14:textId="77777777" w:rsidR="004526F1" w:rsidRPr="00D11634" w:rsidRDefault="004526F1" w:rsidP="004526F1">
            <w:pPr>
              <w:spacing w:line="240" w:lineRule="auto"/>
              <w:jc w:val="right"/>
              <w:rPr>
                <w:rFonts w:cs="Times New Roman"/>
                <w:color w:val="000000" w:themeColor="text1"/>
                <w:sz w:val="24"/>
                <w:szCs w:val="24"/>
              </w:rPr>
            </w:pPr>
            <w:r w:rsidRPr="00D11634">
              <w:rPr>
                <w:rFonts w:cs="Times New Roman"/>
                <w:color w:val="000000" w:themeColor="text1"/>
                <w:sz w:val="24"/>
                <w:szCs w:val="24"/>
              </w:rPr>
              <w:t>333.6/2818.4* 100</w:t>
            </w:r>
          </w:p>
        </w:tc>
      </w:tr>
    </w:tbl>
    <w:p w14:paraId="5FC85ACF" w14:textId="77777777" w:rsidR="004526F1" w:rsidRPr="00D11634" w:rsidRDefault="004526F1" w:rsidP="004526F1">
      <w:pPr>
        <w:rPr>
          <w:rFonts w:cs="Times New Roman"/>
          <w:color w:val="000000" w:themeColor="text1"/>
          <w:sz w:val="24"/>
          <w:szCs w:val="24"/>
        </w:rPr>
      </w:pPr>
    </w:p>
    <w:p w14:paraId="2450A4F9" w14:textId="2B2240CA"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lastRenderedPageBreak/>
        <w:drawing>
          <wp:inline distT="0" distB="0" distL="0" distR="0" wp14:anchorId="632D60F1" wp14:editId="7B6D4CA5">
            <wp:extent cx="4243070" cy="2468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3070" cy="2468880"/>
                    </a:xfrm>
                    <a:prstGeom prst="rect">
                      <a:avLst/>
                    </a:prstGeom>
                    <a:noFill/>
                  </pic:spPr>
                </pic:pic>
              </a:graphicData>
            </a:graphic>
          </wp:inline>
        </w:drawing>
      </w:r>
    </w:p>
    <w:p w14:paraId="44D59BE7" w14:textId="77777777" w:rsidR="004526F1" w:rsidRPr="00D11634" w:rsidRDefault="004526F1" w:rsidP="004526F1">
      <w:pPr>
        <w:rPr>
          <w:rFonts w:cs="Times New Roman"/>
          <w:color w:val="000000" w:themeColor="text1"/>
          <w:sz w:val="24"/>
          <w:szCs w:val="24"/>
        </w:rPr>
      </w:pPr>
    </w:p>
    <w:p w14:paraId="51CAD6A4"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Operating Profit Margin</w:t>
      </w:r>
    </w:p>
    <w:p w14:paraId="6D9936BB" w14:textId="5B9A574D"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Operating Profit margin = Net Profit/ Revenue*100</w:t>
      </w:r>
      <w:r w:rsidR="000102C8" w:rsidRPr="00D11634">
        <w:rPr>
          <w:rFonts w:cs="Times New Roman"/>
          <w:color w:val="000000" w:themeColor="text1"/>
          <w:sz w:val="24"/>
          <w:szCs w:val="24"/>
        </w:rPr>
        <w:t>”</w:t>
      </w:r>
    </w:p>
    <w:p w14:paraId="29D58604"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Operating Profit margin of Intertek Group PLC in last 5 years</w:t>
      </w:r>
    </w:p>
    <w:tbl>
      <w:tblPr>
        <w:tblStyle w:val="a3"/>
        <w:tblW w:w="5000" w:type="pct"/>
        <w:tblLook w:val="04A0" w:firstRow="1" w:lastRow="0" w:firstColumn="1" w:lastColumn="0" w:noHBand="0" w:noVBand="1"/>
      </w:tblPr>
      <w:tblGrid>
        <w:gridCol w:w="2006"/>
        <w:gridCol w:w="1618"/>
        <w:gridCol w:w="1419"/>
        <w:gridCol w:w="1557"/>
        <w:gridCol w:w="1557"/>
        <w:gridCol w:w="1419"/>
      </w:tblGrid>
      <w:tr w:rsidR="00D11634" w:rsidRPr="00D11634" w14:paraId="7F14A657" w14:textId="77777777" w:rsidTr="00AB0CB0">
        <w:trPr>
          <w:trHeight w:val="290"/>
        </w:trPr>
        <w:tc>
          <w:tcPr>
            <w:tcW w:w="664" w:type="pct"/>
            <w:noWrap/>
            <w:hideMark/>
          </w:tcPr>
          <w:p w14:paraId="7F831872"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p>
        </w:tc>
        <w:tc>
          <w:tcPr>
            <w:tcW w:w="900" w:type="pct"/>
            <w:noWrap/>
            <w:hideMark/>
          </w:tcPr>
          <w:p w14:paraId="634DDB2D" w14:textId="0D87F59F"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818" w:type="pct"/>
            <w:noWrap/>
            <w:hideMark/>
          </w:tcPr>
          <w:p w14:paraId="3CDE40AA" w14:textId="7457F912"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900" w:type="pct"/>
            <w:noWrap/>
            <w:hideMark/>
          </w:tcPr>
          <w:p w14:paraId="35638224" w14:textId="4A795CB5"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900" w:type="pct"/>
            <w:noWrap/>
            <w:hideMark/>
          </w:tcPr>
          <w:p w14:paraId="45846463" w14:textId="7C2C1495"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818" w:type="pct"/>
            <w:noWrap/>
            <w:hideMark/>
          </w:tcPr>
          <w:p w14:paraId="030C047B" w14:textId="54CA17AF"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36B98C58" w14:textId="77777777" w:rsidTr="00AB0CB0">
        <w:trPr>
          <w:trHeight w:val="290"/>
        </w:trPr>
        <w:tc>
          <w:tcPr>
            <w:tcW w:w="664" w:type="pct"/>
            <w:noWrap/>
            <w:hideMark/>
          </w:tcPr>
          <w:p w14:paraId="563E58A2"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Operating Profit Margin</w:t>
            </w:r>
          </w:p>
        </w:tc>
        <w:tc>
          <w:tcPr>
            <w:tcW w:w="900" w:type="pct"/>
            <w:noWrap/>
            <w:hideMark/>
          </w:tcPr>
          <w:p w14:paraId="30DB2787"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-13.08683</w:t>
            </w:r>
          </w:p>
        </w:tc>
        <w:tc>
          <w:tcPr>
            <w:tcW w:w="818" w:type="pct"/>
            <w:noWrap/>
            <w:hideMark/>
          </w:tcPr>
          <w:p w14:paraId="6288365D"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14.394235</w:t>
            </w:r>
          </w:p>
        </w:tc>
        <w:tc>
          <w:tcPr>
            <w:tcW w:w="900" w:type="pct"/>
            <w:noWrap/>
            <w:hideMark/>
          </w:tcPr>
          <w:p w14:paraId="1E9A8333"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15.264888</w:t>
            </w:r>
          </w:p>
        </w:tc>
        <w:tc>
          <w:tcPr>
            <w:tcW w:w="900" w:type="pct"/>
            <w:noWrap/>
            <w:hideMark/>
          </w:tcPr>
          <w:p w14:paraId="28A80735"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15.571898</w:t>
            </w:r>
          </w:p>
        </w:tc>
        <w:tc>
          <w:tcPr>
            <w:tcW w:w="818" w:type="pct"/>
            <w:noWrap/>
            <w:hideMark/>
          </w:tcPr>
          <w:p w14:paraId="51294143"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16.26381</w:t>
            </w:r>
          </w:p>
        </w:tc>
      </w:tr>
      <w:tr w:rsidR="004526F1" w:rsidRPr="00D11634" w14:paraId="3B249DB9" w14:textId="77777777" w:rsidTr="00AB0CB0">
        <w:trPr>
          <w:trHeight w:val="290"/>
        </w:trPr>
        <w:tc>
          <w:tcPr>
            <w:tcW w:w="664" w:type="pct"/>
            <w:noWrap/>
            <w:hideMark/>
          </w:tcPr>
          <w:p w14:paraId="0749E01E"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900" w:type="pct"/>
            <w:noWrap/>
            <w:hideMark/>
          </w:tcPr>
          <w:p w14:paraId="382791B3"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-283.5/2166.3*100</w:t>
            </w:r>
          </w:p>
        </w:tc>
        <w:tc>
          <w:tcPr>
            <w:tcW w:w="818" w:type="pct"/>
            <w:noWrap/>
            <w:hideMark/>
          </w:tcPr>
          <w:p w14:paraId="610D5FB6"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369.5/2567*100</w:t>
            </w:r>
          </w:p>
        </w:tc>
        <w:tc>
          <w:tcPr>
            <w:tcW w:w="900" w:type="pct"/>
            <w:noWrap/>
            <w:hideMark/>
          </w:tcPr>
          <w:p w14:paraId="591DA13B"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422.7/2769.1*100</w:t>
            </w:r>
          </w:p>
        </w:tc>
        <w:tc>
          <w:tcPr>
            <w:tcW w:w="900" w:type="pct"/>
            <w:noWrap/>
            <w:hideMark/>
          </w:tcPr>
          <w:p w14:paraId="60BF45A6"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436.2/2801.2*100</w:t>
            </w:r>
          </w:p>
        </w:tc>
        <w:tc>
          <w:tcPr>
            <w:tcW w:w="818" w:type="pct"/>
            <w:noWrap/>
            <w:hideMark/>
          </w:tcPr>
          <w:p w14:paraId="24DFDCC1"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485.8/2987*100</w:t>
            </w:r>
          </w:p>
        </w:tc>
      </w:tr>
    </w:tbl>
    <w:p w14:paraId="06C3923C" w14:textId="77777777" w:rsidR="004526F1" w:rsidRPr="00D11634" w:rsidRDefault="004526F1" w:rsidP="004526F1">
      <w:pPr>
        <w:rPr>
          <w:rFonts w:cs="Times New Roman"/>
          <w:color w:val="000000" w:themeColor="text1"/>
          <w:sz w:val="24"/>
          <w:szCs w:val="24"/>
        </w:rPr>
      </w:pPr>
    </w:p>
    <w:p w14:paraId="17CDBAFA" w14:textId="29F7A0C8"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726684D8" wp14:editId="6A326272">
            <wp:extent cx="4584700" cy="275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A8ABE9E" w14:textId="77777777" w:rsidR="004526F1" w:rsidRPr="00D11634" w:rsidRDefault="004526F1" w:rsidP="007A6F62">
      <w:pPr>
        <w:pStyle w:val="3"/>
        <w:rPr>
          <w:color w:val="000000" w:themeColor="text1"/>
        </w:rPr>
      </w:pPr>
      <w:bookmarkStart w:id="15" w:name="_Toc41605039"/>
      <w:bookmarkStart w:id="16" w:name="_Toc41614036"/>
      <w:r w:rsidRPr="00D11634">
        <w:rPr>
          <w:color w:val="000000" w:themeColor="text1"/>
        </w:rPr>
        <w:lastRenderedPageBreak/>
        <w:t>Liquidity Ratios</w:t>
      </w:r>
      <w:bookmarkEnd w:id="15"/>
      <w:bookmarkEnd w:id="16"/>
    </w:p>
    <w:p w14:paraId="47BF9D46"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Current Ratio</w:t>
      </w:r>
    </w:p>
    <w:p w14:paraId="1D015329" w14:textId="264DD4CE"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Current Ratio = Current Asset/ Current Liabilities</w:t>
      </w:r>
      <w:r w:rsidR="000102C8" w:rsidRPr="00D11634">
        <w:rPr>
          <w:rFonts w:cs="Times New Roman"/>
          <w:color w:val="000000" w:themeColor="text1"/>
          <w:sz w:val="24"/>
          <w:szCs w:val="24"/>
        </w:rPr>
        <w:t>”</w:t>
      </w:r>
    </w:p>
    <w:p w14:paraId="56DFFF5F" w14:textId="77777777" w:rsidR="004526F1" w:rsidRPr="00D11634" w:rsidRDefault="004526F1" w:rsidP="004526F1">
      <w:pPr>
        <w:rPr>
          <w:rFonts w:cs="Times New Roman"/>
          <w:b/>
          <w:bCs/>
          <w:color w:val="000000" w:themeColor="text1"/>
          <w:sz w:val="24"/>
          <w:szCs w:val="24"/>
        </w:rPr>
      </w:pPr>
      <w:r w:rsidRPr="00D11634">
        <w:rPr>
          <w:rFonts w:cs="Times New Roman"/>
          <w:color w:val="000000" w:themeColor="text1"/>
          <w:sz w:val="24"/>
          <w:szCs w:val="24"/>
        </w:rPr>
        <w:t>Return on Asset of Intertek Group PLC in last 5 years</w:t>
      </w:r>
    </w:p>
    <w:tbl>
      <w:tblPr>
        <w:tblStyle w:val="a3"/>
        <w:tblW w:w="9803" w:type="dxa"/>
        <w:tblInd w:w="-5" w:type="dxa"/>
        <w:tblLook w:val="04A0" w:firstRow="1" w:lastRow="0" w:firstColumn="1" w:lastColumn="0" w:noHBand="0" w:noVBand="1"/>
      </w:tblPr>
      <w:tblGrid>
        <w:gridCol w:w="2523"/>
        <w:gridCol w:w="1456"/>
        <w:gridCol w:w="1456"/>
        <w:gridCol w:w="1456"/>
        <w:gridCol w:w="1456"/>
        <w:gridCol w:w="1456"/>
      </w:tblGrid>
      <w:tr w:rsidR="00D11634" w:rsidRPr="00D11634" w14:paraId="6EE4DB3D" w14:textId="77777777" w:rsidTr="004526F1">
        <w:trPr>
          <w:trHeight w:val="305"/>
        </w:trPr>
        <w:tc>
          <w:tcPr>
            <w:tcW w:w="2523" w:type="dxa"/>
            <w:noWrap/>
            <w:hideMark/>
          </w:tcPr>
          <w:p w14:paraId="6A54B12E"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p>
        </w:tc>
        <w:tc>
          <w:tcPr>
            <w:tcW w:w="1456" w:type="dxa"/>
            <w:noWrap/>
            <w:hideMark/>
          </w:tcPr>
          <w:p w14:paraId="4E1E3177" w14:textId="2CFCE9BB"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56" w:type="dxa"/>
            <w:noWrap/>
            <w:hideMark/>
          </w:tcPr>
          <w:p w14:paraId="775C7074" w14:textId="5402FA4B"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456" w:type="dxa"/>
            <w:noWrap/>
            <w:hideMark/>
          </w:tcPr>
          <w:p w14:paraId="30530442" w14:textId="1C7599AC"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56" w:type="dxa"/>
            <w:noWrap/>
            <w:hideMark/>
          </w:tcPr>
          <w:p w14:paraId="7BD72407" w14:textId="28E0FC8F"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56" w:type="dxa"/>
            <w:noWrap/>
            <w:hideMark/>
          </w:tcPr>
          <w:p w14:paraId="078E0866" w14:textId="37EC5A76"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44BAF1BF" w14:textId="77777777" w:rsidTr="004526F1">
        <w:trPr>
          <w:trHeight w:val="305"/>
        </w:trPr>
        <w:tc>
          <w:tcPr>
            <w:tcW w:w="2523" w:type="dxa"/>
            <w:noWrap/>
            <w:hideMark/>
          </w:tcPr>
          <w:p w14:paraId="5CBB971D"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Current Ratio</w:t>
            </w:r>
          </w:p>
        </w:tc>
        <w:tc>
          <w:tcPr>
            <w:tcW w:w="1456" w:type="dxa"/>
            <w:noWrap/>
            <w:hideMark/>
          </w:tcPr>
          <w:p w14:paraId="23A1195D"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1.3626537</w:t>
            </w:r>
          </w:p>
        </w:tc>
        <w:tc>
          <w:tcPr>
            <w:tcW w:w="1456" w:type="dxa"/>
            <w:noWrap/>
            <w:hideMark/>
          </w:tcPr>
          <w:p w14:paraId="7656D8DA"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1.4491667</w:t>
            </w:r>
          </w:p>
        </w:tc>
        <w:tc>
          <w:tcPr>
            <w:tcW w:w="1456" w:type="dxa"/>
            <w:noWrap/>
            <w:hideMark/>
          </w:tcPr>
          <w:p w14:paraId="7CCA1BC0"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1.3386487</w:t>
            </w:r>
          </w:p>
        </w:tc>
        <w:tc>
          <w:tcPr>
            <w:tcW w:w="1456" w:type="dxa"/>
            <w:noWrap/>
            <w:hideMark/>
          </w:tcPr>
          <w:p w14:paraId="70979EFD"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1.2512455</w:t>
            </w:r>
          </w:p>
        </w:tc>
        <w:tc>
          <w:tcPr>
            <w:tcW w:w="1456" w:type="dxa"/>
            <w:noWrap/>
            <w:hideMark/>
          </w:tcPr>
          <w:p w14:paraId="03BB5510"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1.0667778</w:t>
            </w:r>
          </w:p>
        </w:tc>
      </w:tr>
      <w:tr w:rsidR="00D11634" w:rsidRPr="00D11634" w14:paraId="49212AB9" w14:textId="77777777" w:rsidTr="004526F1">
        <w:trPr>
          <w:trHeight w:val="305"/>
        </w:trPr>
        <w:tc>
          <w:tcPr>
            <w:tcW w:w="2523" w:type="dxa"/>
            <w:noWrap/>
          </w:tcPr>
          <w:p w14:paraId="52D9094C"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456" w:type="dxa"/>
            <w:noWrap/>
          </w:tcPr>
          <w:p w14:paraId="6B468B70" w14:textId="77777777" w:rsidR="004526F1" w:rsidRPr="00D11634" w:rsidRDefault="004526F1" w:rsidP="004526F1">
            <w:pPr>
              <w:spacing w:line="240" w:lineRule="auto"/>
              <w:jc w:val="right"/>
              <w:rPr>
                <w:rFonts w:eastAsia="Times New Roman" w:cs="Times New Roman"/>
                <w:b/>
                <w:bCs/>
                <w:color w:val="000000" w:themeColor="text1"/>
                <w:sz w:val="24"/>
                <w:szCs w:val="24"/>
                <w:lang w:val="en-US"/>
              </w:rPr>
            </w:pPr>
            <w:r w:rsidRPr="00D11634">
              <w:rPr>
                <w:rFonts w:cs="Times New Roman"/>
                <w:color w:val="000000" w:themeColor="text1"/>
                <w:sz w:val="24"/>
                <w:szCs w:val="24"/>
              </w:rPr>
              <w:t>731.2/536.6</w:t>
            </w:r>
          </w:p>
        </w:tc>
        <w:tc>
          <w:tcPr>
            <w:tcW w:w="1456" w:type="dxa"/>
            <w:noWrap/>
          </w:tcPr>
          <w:p w14:paraId="0C6037EF" w14:textId="77777777" w:rsidR="004526F1" w:rsidRPr="00D11634" w:rsidRDefault="004526F1" w:rsidP="004526F1">
            <w:pPr>
              <w:spacing w:line="240" w:lineRule="auto"/>
              <w:jc w:val="right"/>
              <w:rPr>
                <w:rFonts w:eastAsia="Times New Roman" w:cs="Times New Roman"/>
                <w:b/>
                <w:bCs/>
                <w:color w:val="000000" w:themeColor="text1"/>
                <w:sz w:val="24"/>
                <w:szCs w:val="24"/>
                <w:lang w:val="en-US"/>
              </w:rPr>
            </w:pPr>
            <w:r w:rsidRPr="00D11634">
              <w:rPr>
                <w:rFonts w:cs="Times New Roman"/>
                <w:color w:val="000000" w:themeColor="text1"/>
                <w:sz w:val="24"/>
                <w:szCs w:val="24"/>
              </w:rPr>
              <w:t>869.5/600</w:t>
            </w:r>
          </w:p>
        </w:tc>
        <w:tc>
          <w:tcPr>
            <w:tcW w:w="1456" w:type="dxa"/>
            <w:noWrap/>
          </w:tcPr>
          <w:p w14:paraId="624E8332" w14:textId="77777777" w:rsidR="004526F1" w:rsidRPr="00D11634" w:rsidRDefault="004526F1" w:rsidP="004526F1">
            <w:pPr>
              <w:spacing w:line="240" w:lineRule="auto"/>
              <w:jc w:val="right"/>
              <w:rPr>
                <w:rFonts w:eastAsia="Times New Roman" w:cs="Times New Roman"/>
                <w:b/>
                <w:bCs/>
                <w:color w:val="000000" w:themeColor="text1"/>
                <w:sz w:val="24"/>
                <w:szCs w:val="24"/>
                <w:lang w:val="en-US"/>
              </w:rPr>
            </w:pPr>
            <w:r w:rsidRPr="00D11634">
              <w:rPr>
                <w:rFonts w:cs="Times New Roman"/>
                <w:color w:val="000000" w:themeColor="text1"/>
                <w:sz w:val="24"/>
                <w:szCs w:val="24"/>
              </w:rPr>
              <w:t>814.3/608.3</w:t>
            </w:r>
          </w:p>
        </w:tc>
        <w:tc>
          <w:tcPr>
            <w:tcW w:w="1456" w:type="dxa"/>
            <w:noWrap/>
          </w:tcPr>
          <w:p w14:paraId="790BF7EB" w14:textId="77777777" w:rsidR="004526F1" w:rsidRPr="00D11634" w:rsidRDefault="004526F1" w:rsidP="004526F1">
            <w:pPr>
              <w:spacing w:line="240" w:lineRule="auto"/>
              <w:jc w:val="right"/>
              <w:rPr>
                <w:rFonts w:eastAsia="Times New Roman" w:cs="Times New Roman"/>
                <w:b/>
                <w:bCs/>
                <w:color w:val="000000" w:themeColor="text1"/>
                <w:sz w:val="24"/>
                <w:szCs w:val="24"/>
                <w:lang w:val="en-US"/>
              </w:rPr>
            </w:pPr>
            <w:r w:rsidRPr="00D11634">
              <w:rPr>
                <w:rFonts w:cs="Times New Roman"/>
                <w:color w:val="000000" w:themeColor="text1"/>
                <w:sz w:val="24"/>
                <w:szCs w:val="24"/>
              </w:rPr>
              <w:t>929.3/742.7</w:t>
            </w:r>
          </w:p>
        </w:tc>
        <w:tc>
          <w:tcPr>
            <w:tcW w:w="1456" w:type="dxa"/>
            <w:noWrap/>
          </w:tcPr>
          <w:p w14:paraId="5B32DBA5" w14:textId="77777777" w:rsidR="004526F1" w:rsidRPr="00D11634" w:rsidRDefault="004526F1" w:rsidP="004526F1">
            <w:pPr>
              <w:spacing w:line="240" w:lineRule="auto"/>
              <w:jc w:val="right"/>
              <w:rPr>
                <w:rFonts w:eastAsia="Times New Roman" w:cs="Times New Roman"/>
                <w:b/>
                <w:bCs/>
                <w:color w:val="000000" w:themeColor="text1"/>
                <w:sz w:val="24"/>
                <w:szCs w:val="24"/>
                <w:lang w:val="en-US"/>
              </w:rPr>
            </w:pPr>
            <w:r w:rsidRPr="00D11634">
              <w:rPr>
                <w:rFonts w:cs="Times New Roman"/>
                <w:color w:val="000000" w:themeColor="text1"/>
                <w:sz w:val="24"/>
                <w:szCs w:val="24"/>
              </w:rPr>
              <w:t>960.1/900</w:t>
            </w:r>
          </w:p>
        </w:tc>
      </w:tr>
    </w:tbl>
    <w:p w14:paraId="1870D69F" w14:textId="77777777" w:rsidR="004526F1" w:rsidRPr="00D11634" w:rsidRDefault="004526F1" w:rsidP="004526F1">
      <w:pPr>
        <w:rPr>
          <w:rFonts w:cs="Times New Roman"/>
          <w:b/>
          <w:bCs/>
          <w:color w:val="000000" w:themeColor="text1"/>
          <w:sz w:val="24"/>
          <w:szCs w:val="24"/>
        </w:rPr>
      </w:pPr>
    </w:p>
    <w:p w14:paraId="3BE65C51" w14:textId="2CE49EC6" w:rsidR="004526F1" w:rsidRPr="00D11634" w:rsidRDefault="00F41D74" w:rsidP="004526F1">
      <w:pPr>
        <w:jc w:val="center"/>
        <w:rPr>
          <w:rFonts w:cs="Times New Roman"/>
          <w:b/>
          <w:bCs/>
          <w:color w:val="000000" w:themeColor="text1"/>
          <w:sz w:val="24"/>
          <w:szCs w:val="24"/>
        </w:rPr>
      </w:pPr>
      <w:r w:rsidRPr="00D11634">
        <w:rPr>
          <w:rFonts w:cs="Times New Roman"/>
          <w:b/>
          <w:bCs/>
          <w:noProof/>
          <w:color w:val="000000" w:themeColor="text1"/>
          <w:sz w:val="24"/>
          <w:szCs w:val="24"/>
        </w:rPr>
        <w:drawing>
          <wp:inline distT="0" distB="0" distL="0" distR="0" wp14:anchorId="0803E4EA" wp14:editId="363BBD94">
            <wp:extent cx="3883660" cy="2383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3660" cy="2383790"/>
                    </a:xfrm>
                    <a:prstGeom prst="rect">
                      <a:avLst/>
                    </a:prstGeom>
                    <a:noFill/>
                  </pic:spPr>
                </pic:pic>
              </a:graphicData>
            </a:graphic>
          </wp:inline>
        </w:drawing>
      </w:r>
    </w:p>
    <w:p w14:paraId="64F95917"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Cash Ratio</w:t>
      </w:r>
    </w:p>
    <w:p w14:paraId="4CDBBC3E" w14:textId="2C98C209"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Cash Ratio = Cash and cash equivalent / Current liabilities</w:t>
      </w:r>
      <w:r w:rsidR="000102C8" w:rsidRPr="00D11634">
        <w:rPr>
          <w:rFonts w:cs="Times New Roman"/>
          <w:color w:val="000000" w:themeColor="text1"/>
          <w:sz w:val="24"/>
          <w:szCs w:val="24"/>
        </w:rPr>
        <w:t>”</w:t>
      </w:r>
    </w:p>
    <w:p w14:paraId="24D17E27"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Cash ratio of Intertek Group PLC in last 5 years</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0"/>
        <w:gridCol w:w="1440"/>
        <w:gridCol w:w="1440"/>
        <w:gridCol w:w="1530"/>
        <w:gridCol w:w="1440"/>
        <w:gridCol w:w="1440"/>
      </w:tblGrid>
      <w:tr w:rsidR="00D11634" w:rsidRPr="00D11634" w14:paraId="078F61E4" w14:textId="77777777" w:rsidTr="004526F1">
        <w:trPr>
          <w:trHeight w:val="300"/>
        </w:trPr>
        <w:tc>
          <w:tcPr>
            <w:tcW w:w="2430" w:type="dxa"/>
            <w:shd w:val="clear" w:color="auto" w:fill="auto"/>
            <w:noWrap/>
            <w:vAlign w:val="bottom"/>
            <w:hideMark/>
          </w:tcPr>
          <w:p w14:paraId="13E159AA"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1440" w:type="dxa"/>
            <w:shd w:val="clear" w:color="auto" w:fill="auto"/>
            <w:noWrap/>
            <w:vAlign w:val="bottom"/>
            <w:hideMark/>
          </w:tcPr>
          <w:p w14:paraId="47398AC6" w14:textId="6AF7BA22"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40" w:type="dxa"/>
            <w:shd w:val="clear" w:color="auto" w:fill="auto"/>
            <w:noWrap/>
            <w:vAlign w:val="bottom"/>
            <w:hideMark/>
          </w:tcPr>
          <w:p w14:paraId="058DBABB" w14:textId="3761A8CD"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530" w:type="dxa"/>
            <w:shd w:val="clear" w:color="auto" w:fill="auto"/>
            <w:noWrap/>
            <w:vAlign w:val="bottom"/>
            <w:hideMark/>
          </w:tcPr>
          <w:p w14:paraId="29414185" w14:textId="7FF5BED4"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40" w:type="dxa"/>
            <w:shd w:val="clear" w:color="auto" w:fill="auto"/>
            <w:noWrap/>
            <w:vAlign w:val="bottom"/>
            <w:hideMark/>
          </w:tcPr>
          <w:p w14:paraId="477B5DE3" w14:textId="41037EC6"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40" w:type="dxa"/>
            <w:shd w:val="clear" w:color="auto" w:fill="auto"/>
            <w:noWrap/>
            <w:vAlign w:val="bottom"/>
            <w:hideMark/>
          </w:tcPr>
          <w:p w14:paraId="62CDADBF" w14:textId="06B6CE7F"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61DDFF17" w14:textId="77777777" w:rsidTr="004526F1">
        <w:trPr>
          <w:trHeight w:val="300"/>
        </w:trPr>
        <w:tc>
          <w:tcPr>
            <w:tcW w:w="2430" w:type="dxa"/>
            <w:shd w:val="clear" w:color="auto" w:fill="auto"/>
            <w:noWrap/>
            <w:vAlign w:val="bottom"/>
            <w:hideMark/>
          </w:tcPr>
          <w:p w14:paraId="22AB11B7"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Cash ratio</w:t>
            </w:r>
          </w:p>
        </w:tc>
        <w:tc>
          <w:tcPr>
            <w:tcW w:w="1440" w:type="dxa"/>
            <w:shd w:val="clear" w:color="auto" w:fill="auto"/>
            <w:noWrap/>
            <w:vAlign w:val="bottom"/>
            <w:hideMark/>
          </w:tcPr>
          <w:p w14:paraId="17D36190"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0.22</w:t>
            </w:r>
          </w:p>
        </w:tc>
        <w:tc>
          <w:tcPr>
            <w:tcW w:w="1440" w:type="dxa"/>
            <w:shd w:val="clear" w:color="auto" w:fill="auto"/>
            <w:noWrap/>
            <w:vAlign w:val="bottom"/>
            <w:hideMark/>
          </w:tcPr>
          <w:p w14:paraId="2352A11D"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0.29</w:t>
            </w:r>
          </w:p>
        </w:tc>
        <w:tc>
          <w:tcPr>
            <w:tcW w:w="1530" w:type="dxa"/>
            <w:shd w:val="clear" w:color="auto" w:fill="auto"/>
            <w:noWrap/>
            <w:vAlign w:val="bottom"/>
            <w:hideMark/>
          </w:tcPr>
          <w:p w14:paraId="33FB9A2C"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0.23</w:t>
            </w:r>
          </w:p>
        </w:tc>
        <w:tc>
          <w:tcPr>
            <w:tcW w:w="1440" w:type="dxa"/>
            <w:shd w:val="clear" w:color="auto" w:fill="auto"/>
            <w:noWrap/>
            <w:vAlign w:val="bottom"/>
            <w:hideMark/>
          </w:tcPr>
          <w:p w14:paraId="56564C25"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0.28</w:t>
            </w:r>
          </w:p>
        </w:tc>
        <w:tc>
          <w:tcPr>
            <w:tcW w:w="1440" w:type="dxa"/>
            <w:shd w:val="clear" w:color="auto" w:fill="auto"/>
            <w:noWrap/>
            <w:vAlign w:val="bottom"/>
            <w:hideMark/>
          </w:tcPr>
          <w:p w14:paraId="47B41031"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0.25</w:t>
            </w:r>
          </w:p>
        </w:tc>
      </w:tr>
      <w:tr w:rsidR="004526F1" w:rsidRPr="00D11634" w14:paraId="0192F47A" w14:textId="77777777" w:rsidTr="004526F1">
        <w:trPr>
          <w:trHeight w:val="300"/>
        </w:trPr>
        <w:tc>
          <w:tcPr>
            <w:tcW w:w="2430" w:type="dxa"/>
            <w:shd w:val="clear" w:color="auto" w:fill="auto"/>
            <w:noWrap/>
            <w:vAlign w:val="bottom"/>
          </w:tcPr>
          <w:p w14:paraId="1C9006A6"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440" w:type="dxa"/>
            <w:shd w:val="clear" w:color="auto" w:fill="auto"/>
            <w:noWrap/>
          </w:tcPr>
          <w:p w14:paraId="5C5BDA5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116/536.6</w:t>
            </w:r>
          </w:p>
        </w:tc>
        <w:tc>
          <w:tcPr>
            <w:tcW w:w="1440" w:type="dxa"/>
            <w:shd w:val="clear" w:color="auto" w:fill="auto"/>
            <w:noWrap/>
          </w:tcPr>
          <w:p w14:paraId="4AD4BCE9"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175.6/600</w:t>
            </w:r>
          </w:p>
        </w:tc>
        <w:tc>
          <w:tcPr>
            <w:tcW w:w="1530" w:type="dxa"/>
            <w:shd w:val="clear" w:color="auto" w:fill="auto"/>
            <w:noWrap/>
          </w:tcPr>
          <w:p w14:paraId="5E60070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137/608.3</w:t>
            </w:r>
          </w:p>
        </w:tc>
        <w:tc>
          <w:tcPr>
            <w:tcW w:w="1440" w:type="dxa"/>
            <w:shd w:val="clear" w:color="auto" w:fill="auto"/>
            <w:noWrap/>
          </w:tcPr>
          <w:p w14:paraId="24FB0704"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206.9/742.7</w:t>
            </w:r>
          </w:p>
        </w:tc>
        <w:tc>
          <w:tcPr>
            <w:tcW w:w="1440" w:type="dxa"/>
            <w:shd w:val="clear" w:color="auto" w:fill="auto"/>
            <w:noWrap/>
          </w:tcPr>
          <w:p w14:paraId="4D48EC0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227.4/900</w:t>
            </w:r>
          </w:p>
        </w:tc>
      </w:tr>
    </w:tbl>
    <w:p w14:paraId="7DB9A76F" w14:textId="77777777" w:rsidR="004526F1" w:rsidRPr="00D11634" w:rsidRDefault="004526F1" w:rsidP="004526F1">
      <w:pPr>
        <w:jc w:val="center"/>
        <w:rPr>
          <w:rFonts w:cs="Times New Roman"/>
          <w:color w:val="000000" w:themeColor="text1"/>
          <w:sz w:val="24"/>
          <w:szCs w:val="24"/>
        </w:rPr>
      </w:pPr>
    </w:p>
    <w:p w14:paraId="56595997" w14:textId="1FEEF5DB"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lastRenderedPageBreak/>
        <w:drawing>
          <wp:inline distT="0" distB="0" distL="0" distR="0" wp14:anchorId="087BE942" wp14:editId="1C165606">
            <wp:extent cx="3956685" cy="24022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6685" cy="2402205"/>
                    </a:xfrm>
                    <a:prstGeom prst="rect">
                      <a:avLst/>
                    </a:prstGeom>
                    <a:noFill/>
                  </pic:spPr>
                </pic:pic>
              </a:graphicData>
            </a:graphic>
          </wp:inline>
        </w:drawing>
      </w:r>
    </w:p>
    <w:p w14:paraId="3CCEDC6F" w14:textId="77777777" w:rsidR="004526F1" w:rsidRPr="00D11634" w:rsidRDefault="004526F1" w:rsidP="007A6F62">
      <w:pPr>
        <w:pStyle w:val="3"/>
        <w:rPr>
          <w:color w:val="000000" w:themeColor="text1"/>
        </w:rPr>
      </w:pPr>
      <w:bookmarkStart w:id="17" w:name="_Toc41605040"/>
      <w:bookmarkStart w:id="18" w:name="_Toc41614037"/>
      <w:r w:rsidRPr="00D11634">
        <w:rPr>
          <w:color w:val="000000" w:themeColor="text1"/>
        </w:rPr>
        <w:t>Gearing</w:t>
      </w:r>
      <w:bookmarkEnd w:id="17"/>
      <w:bookmarkEnd w:id="18"/>
    </w:p>
    <w:p w14:paraId="66EB5B59" w14:textId="50C003F5"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Gearing ratio = Total debt / Total equity</w:t>
      </w:r>
      <w:r w:rsidR="000102C8" w:rsidRPr="00D11634">
        <w:rPr>
          <w:rFonts w:cs="Times New Roman"/>
          <w:color w:val="000000" w:themeColor="text1"/>
          <w:sz w:val="24"/>
          <w:szCs w:val="24"/>
        </w:rPr>
        <w:t>”</w:t>
      </w:r>
    </w:p>
    <w:p w14:paraId="6E1C5B0B"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Gearing ratio of Intertek Group PLC in last 5 years</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0"/>
        <w:gridCol w:w="1440"/>
        <w:gridCol w:w="1440"/>
        <w:gridCol w:w="1530"/>
        <w:gridCol w:w="1440"/>
        <w:gridCol w:w="1440"/>
      </w:tblGrid>
      <w:tr w:rsidR="00D11634" w:rsidRPr="00D11634" w14:paraId="4D9D06FC" w14:textId="77777777" w:rsidTr="004526F1">
        <w:trPr>
          <w:trHeight w:val="300"/>
        </w:trPr>
        <w:tc>
          <w:tcPr>
            <w:tcW w:w="2430" w:type="dxa"/>
            <w:shd w:val="clear" w:color="auto" w:fill="auto"/>
            <w:noWrap/>
            <w:vAlign w:val="bottom"/>
            <w:hideMark/>
          </w:tcPr>
          <w:p w14:paraId="50DD9C8C"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1440" w:type="dxa"/>
            <w:shd w:val="clear" w:color="auto" w:fill="auto"/>
            <w:noWrap/>
            <w:vAlign w:val="bottom"/>
            <w:hideMark/>
          </w:tcPr>
          <w:p w14:paraId="60CB81E5" w14:textId="478AD629"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40" w:type="dxa"/>
            <w:shd w:val="clear" w:color="auto" w:fill="auto"/>
            <w:noWrap/>
            <w:vAlign w:val="bottom"/>
            <w:hideMark/>
          </w:tcPr>
          <w:p w14:paraId="7A4322A0" w14:textId="5B73A195"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530" w:type="dxa"/>
            <w:shd w:val="clear" w:color="auto" w:fill="auto"/>
            <w:noWrap/>
            <w:vAlign w:val="bottom"/>
            <w:hideMark/>
          </w:tcPr>
          <w:p w14:paraId="7C945EAA" w14:textId="45D7C036"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40" w:type="dxa"/>
            <w:shd w:val="clear" w:color="auto" w:fill="auto"/>
            <w:noWrap/>
            <w:vAlign w:val="bottom"/>
            <w:hideMark/>
          </w:tcPr>
          <w:p w14:paraId="63009A6A" w14:textId="6C12EB3E"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40" w:type="dxa"/>
            <w:shd w:val="clear" w:color="auto" w:fill="auto"/>
            <w:noWrap/>
            <w:vAlign w:val="bottom"/>
            <w:hideMark/>
          </w:tcPr>
          <w:p w14:paraId="2930BBB0" w14:textId="17A9811E"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3D4C4A69" w14:textId="77777777" w:rsidTr="004526F1">
        <w:trPr>
          <w:trHeight w:val="300"/>
        </w:trPr>
        <w:tc>
          <w:tcPr>
            <w:tcW w:w="2430" w:type="dxa"/>
            <w:shd w:val="clear" w:color="auto" w:fill="auto"/>
            <w:noWrap/>
            <w:vAlign w:val="bottom"/>
            <w:hideMark/>
          </w:tcPr>
          <w:p w14:paraId="1C21C64B"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Gearing ratio</w:t>
            </w:r>
          </w:p>
        </w:tc>
        <w:tc>
          <w:tcPr>
            <w:tcW w:w="1440" w:type="dxa"/>
            <w:shd w:val="clear" w:color="auto" w:fill="auto"/>
            <w:noWrap/>
            <w:vAlign w:val="bottom"/>
            <w:hideMark/>
          </w:tcPr>
          <w:p w14:paraId="56C0EF6E"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2.64</w:t>
            </w:r>
          </w:p>
        </w:tc>
        <w:tc>
          <w:tcPr>
            <w:tcW w:w="1440" w:type="dxa"/>
            <w:shd w:val="clear" w:color="auto" w:fill="auto"/>
            <w:noWrap/>
            <w:vAlign w:val="bottom"/>
            <w:hideMark/>
          </w:tcPr>
          <w:p w14:paraId="42AE340A"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1.57</w:t>
            </w:r>
          </w:p>
        </w:tc>
        <w:tc>
          <w:tcPr>
            <w:tcW w:w="1530" w:type="dxa"/>
            <w:shd w:val="clear" w:color="auto" w:fill="auto"/>
            <w:noWrap/>
            <w:vAlign w:val="bottom"/>
            <w:hideMark/>
          </w:tcPr>
          <w:p w14:paraId="300F3EBF"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0.94</w:t>
            </w:r>
          </w:p>
        </w:tc>
        <w:tc>
          <w:tcPr>
            <w:tcW w:w="1440" w:type="dxa"/>
            <w:shd w:val="clear" w:color="auto" w:fill="auto"/>
            <w:noWrap/>
            <w:vAlign w:val="bottom"/>
            <w:hideMark/>
          </w:tcPr>
          <w:p w14:paraId="53E6FA6E"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1.08</w:t>
            </w:r>
          </w:p>
        </w:tc>
        <w:tc>
          <w:tcPr>
            <w:tcW w:w="1440" w:type="dxa"/>
            <w:shd w:val="clear" w:color="auto" w:fill="auto"/>
            <w:noWrap/>
            <w:vAlign w:val="bottom"/>
            <w:hideMark/>
          </w:tcPr>
          <w:p w14:paraId="5F222E04"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0.95</w:t>
            </w:r>
          </w:p>
        </w:tc>
      </w:tr>
      <w:tr w:rsidR="004526F1" w:rsidRPr="00D11634" w14:paraId="237E4592" w14:textId="77777777" w:rsidTr="004526F1">
        <w:trPr>
          <w:trHeight w:val="300"/>
        </w:trPr>
        <w:tc>
          <w:tcPr>
            <w:tcW w:w="2430" w:type="dxa"/>
            <w:shd w:val="clear" w:color="auto" w:fill="auto"/>
            <w:noWrap/>
            <w:vAlign w:val="bottom"/>
          </w:tcPr>
          <w:p w14:paraId="32CF7AC2"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440" w:type="dxa"/>
            <w:shd w:val="clear" w:color="auto" w:fill="auto"/>
            <w:noWrap/>
          </w:tcPr>
          <w:p w14:paraId="5CA52B6F"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895/339.4</w:t>
            </w:r>
          </w:p>
        </w:tc>
        <w:tc>
          <w:tcPr>
            <w:tcW w:w="1440" w:type="dxa"/>
            <w:shd w:val="clear" w:color="auto" w:fill="auto"/>
            <w:noWrap/>
          </w:tcPr>
          <w:p w14:paraId="47801BB0"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943.9/602.4</w:t>
            </w:r>
          </w:p>
        </w:tc>
        <w:tc>
          <w:tcPr>
            <w:tcW w:w="1530" w:type="dxa"/>
            <w:shd w:val="clear" w:color="auto" w:fill="auto"/>
            <w:noWrap/>
          </w:tcPr>
          <w:p w14:paraId="18B30B07"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699.9/744.2</w:t>
            </w:r>
          </w:p>
        </w:tc>
        <w:tc>
          <w:tcPr>
            <w:tcW w:w="1440" w:type="dxa"/>
            <w:shd w:val="clear" w:color="auto" w:fill="auto"/>
            <w:noWrap/>
          </w:tcPr>
          <w:p w14:paraId="27BAC816"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982.6/908.3</w:t>
            </w:r>
          </w:p>
        </w:tc>
        <w:tc>
          <w:tcPr>
            <w:tcW w:w="1440" w:type="dxa"/>
            <w:shd w:val="clear" w:color="auto" w:fill="auto"/>
            <w:noWrap/>
          </w:tcPr>
          <w:p w14:paraId="439AC4D7"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933.1/985.3</w:t>
            </w:r>
          </w:p>
        </w:tc>
      </w:tr>
    </w:tbl>
    <w:p w14:paraId="3E3FC73C" w14:textId="77777777" w:rsidR="004526F1" w:rsidRPr="00D11634" w:rsidRDefault="004526F1" w:rsidP="004526F1">
      <w:pPr>
        <w:rPr>
          <w:rFonts w:cs="Times New Roman"/>
          <w:color w:val="000000" w:themeColor="text1"/>
          <w:sz w:val="24"/>
          <w:szCs w:val="24"/>
        </w:rPr>
      </w:pPr>
    </w:p>
    <w:p w14:paraId="2FCB106E" w14:textId="4FCCDEC6"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7304454B" wp14:editId="390D56EF">
            <wp:extent cx="3834765" cy="24142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34765" cy="2414270"/>
                    </a:xfrm>
                    <a:prstGeom prst="rect">
                      <a:avLst/>
                    </a:prstGeom>
                    <a:noFill/>
                  </pic:spPr>
                </pic:pic>
              </a:graphicData>
            </a:graphic>
          </wp:inline>
        </w:drawing>
      </w:r>
    </w:p>
    <w:p w14:paraId="1C421851" w14:textId="77777777" w:rsidR="004526F1" w:rsidRPr="00D11634" w:rsidRDefault="004526F1" w:rsidP="007A6F62">
      <w:pPr>
        <w:pStyle w:val="3"/>
        <w:rPr>
          <w:color w:val="000000" w:themeColor="text1"/>
        </w:rPr>
      </w:pPr>
      <w:bookmarkStart w:id="19" w:name="_Toc41605041"/>
      <w:bookmarkStart w:id="20" w:name="_Toc41614038"/>
      <w:r w:rsidRPr="00D11634">
        <w:rPr>
          <w:color w:val="000000" w:themeColor="text1"/>
        </w:rPr>
        <w:t>Efficiency Ratios</w:t>
      </w:r>
      <w:bookmarkEnd w:id="19"/>
      <w:bookmarkEnd w:id="20"/>
    </w:p>
    <w:p w14:paraId="2EAB926D"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Inventory turnover ratio</w:t>
      </w:r>
    </w:p>
    <w:p w14:paraId="071D1F84" w14:textId="0B7E4875"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Inventory turnover ratio = COGS / Average inventory</w:t>
      </w:r>
      <w:r w:rsidR="000102C8" w:rsidRPr="00D11634">
        <w:rPr>
          <w:rFonts w:cs="Times New Roman"/>
          <w:color w:val="000000" w:themeColor="text1"/>
          <w:sz w:val="24"/>
          <w:szCs w:val="24"/>
        </w:rPr>
        <w:t>”</w:t>
      </w:r>
    </w:p>
    <w:p w14:paraId="034EBC1C"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Inventory turnover ratio of Intertek Group PLC in last 5 years</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0"/>
        <w:gridCol w:w="1363"/>
        <w:gridCol w:w="1440"/>
        <w:gridCol w:w="1530"/>
        <w:gridCol w:w="1440"/>
        <w:gridCol w:w="1440"/>
      </w:tblGrid>
      <w:tr w:rsidR="00D11634" w:rsidRPr="00D11634" w14:paraId="27133BAB" w14:textId="77777777" w:rsidTr="004526F1">
        <w:trPr>
          <w:trHeight w:val="300"/>
        </w:trPr>
        <w:tc>
          <w:tcPr>
            <w:tcW w:w="2610" w:type="dxa"/>
            <w:shd w:val="clear" w:color="auto" w:fill="auto"/>
            <w:noWrap/>
            <w:vAlign w:val="bottom"/>
            <w:hideMark/>
          </w:tcPr>
          <w:p w14:paraId="7E9337A3"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1260" w:type="dxa"/>
            <w:shd w:val="clear" w:color="auto" w:fill="auto"/>
            <w:noWrap/>
            <w:vAlign w:val="bottom"/>
            <w:hideMark/>
          </w:tcPr>
          <w:p w14:paraId="70CA74A1" w14:textId="18087261"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40" w:type="dxa"/>
            <w:shd w:val="clear" w:color="auto" w:fill="auto"/>
            <w:noWrap/>
            <w:vAlign w:val="bottom"/>
            <w:hideMark/>
          </w:tcPr>
          <w:p w14:paraId="21E9448B" w14:textId="7BE02BA8"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530" w:type="dxa"/>
            <w:shd w:val="clear" w:color="auto" w:fill="auto"/>
            <w:noWrap/>
            <w:vAlign w:val="bottom"/>
            <w:hideMark/>
          </w:tcPr>
          <w:p w14:paraId="0CF74C4F" w14:textId="6EFE6C25"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40" w:type="dxa"/>
            <w:shd w:val="clear" w:color="auto" w:fill="auto"/>
            <w:noWrap/>
            <w:vAlign w:val="bottom"/>
            <w:hideMark/>
          </w:tcPr>
          <w:p w14:paraId="063734F1" w14:textId="67C53FD5"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40" w:type="dxa"/>
            <w:shd w:val="clear" w:color="auto" w:fill="auto"/>
            <w:noWrap/>
            <w:vAlign w:val="bottom"/>
            <w:hideMark/>
          </w:tcPr>
          <w:p w14:paraId="0EF6A48C" w14:textId="7873B0F1"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588CEA40" w14:textId="77777777" w:rsidTr="004526F1">
        <w:trPr>
          <w:trHeight w:val="300"/>
        </w:trPr>
        <w:tc>
          <w:tcPr>
            <w:tcW w:w="2610" w:type="dxa"/>
            <w:shd w:val="clear" w:color="auto" w:fill="auto"/>
            <w:noWrap/>
            <w:vAlign w:val="bottom"/>
            <w:hideMark/>
          </w:tcPr>
          <w:p w14:paraId="27E4DA6D"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Inventory turnover ratio</w:t>
            </w:r>
          </w:p>
        </w:tc>
        <w:tc>
          <w:tcPr>
            <w:tcW w:w="1260" w:type="dxa"/>
            <w:shd w:val="clear" w:color="auto" w:fill="auto"/>
            <w:noWrap/>
            <w:vAlign w:val="bottom"/>
            <w:hideMark/>
          </w:tcPr>
          <w:p w14:paraId="119C502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116.94</w:t>
            </w:r>
          </w:p>
        </w:tc>
        <w:tc>
          <w:tcPr>
            <w:tcW w:w="1440" w:type="dxa"/>
            <w:shd w:val="clear" w:color="auto" w:fill="auto"/>
            <w:noWrap/>
            <w:vAlign w:val="bottom"/>
            <w:hideMark/>
          </w:tcPr>
          <w:p w14:paraId="34BAD53C"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115.05</w:t>
            </w:r>
          </w:p>
        </w:tc>
        <w:tc>
          <w:tcPr>
            <w:tcW w:w="1530" w:type="dxa"/>
            <w:shd w:val="clear" w:color="auto" w:fill="auto"/>
            <w:noWrap/>
            <w:vAlign w:val="bottom"/>
            <w:hideMark/>
          </w:tcPr>
          <w:p w14:paraId="7E933111"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128.22</w:t>
            </w:r>
          </w:p>
        </w:tc>
        <w:tc>
          <w:tcPr>
            <w:tcW w:w="1440" w:type="dxa"/>
            <w:shd w:val="clear" w:color="auto" w:fill="auto"/>
            <w:noWrap/>
            <w:vAlign w:val="bottom"/>
            <w:hideMark/>
          </w:tcPr>
          <w:p w14:paraId="6FCE43F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129.23</w:t>
            </w:r>
          </w:p>
        </w:tc>
        <w:tc>
          <w:tcPr>
            <w:tcW w:w="1440" w:type="dxa"/>
            <w:shd w:val="clear" w:color="auto" w:fill="auto"/>
            <w:noWrap/>
            <w:vAlign w:val="bottom"/>
            <w:hideMark/>
          </w:tcPr>
          <w:p w14:paraId="571194F9"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130.27</w:t>
            </w:r>
          </w:p>
        </w:tc>
      </w:tr>
      <w:tr w:rsidR="004526F1" w:rsidRPr="00D11634" w14:paraId="0C99BE18" w14:textId="77777777" w:rsidTr="004526F1">
        <w:trPr>
          <w:trHeight w:val="300"/>
        </w:trPr>
        <w:tc>
          <w:tcPr>
            <w:tcW w:w="2610" w:type="dxa"/>
            <w:shd w:val="clear" w:color="auto" w:fill="auto"/>
            <w:noWrap/>
            <w:vAlign w:val="bottom"/>
          </w:tcPr>
          <w:p w14:paraId="31037244"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260" w:type="dxa"/>
            <w:shd w:val="clear" w:color="auto" w:fill="auto"/>
            <w:noWrap/>
          </w:tcPr>
          <w:p w14:paraId="6C436C73"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1882.8/16.1</w:t>
            </w:r>
          </w:p>
        </w:tc>
        <w:tc>
          <w:tcPr>
            <w:tcW w:w="1440" w:type="dxa"/>
            <w:shd w:val="clear" w:color="auto" w:fill="auto"/>
            <w:noWrap/>
          </w:tcPr>
          <w:p w14:paraId="71A4582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2197.5/19.1</w:t>
            </w:r>
          </w:p>
        </w:tc>
        <w:tc>
          <w:tcPr>
            <w:tcW w:w="1530" w:type="dxa"/>
            <w:shd w:val="clear" w:color="auto" w:fill="auto"/>
            <w:noWrap/>
          </w:tcPr>
          <w:p w14:paraId="48D600F8"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2346.4/18.3</w:t>
            </w:r>
          </w:p>
        </w:tc>
        <w:tc>
          <w:tcPr>
            <w:tcW w:w="1440" w:type="dxa"/>
            <w:shd w:val="clear" w:color="auto" w:fill="auto"/>
            <w:noWrap/>
          </w:tcPr>
          <w:p w14:paraId="54F0043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2365/18.3</w:t>
            </w:r>
          </w:p>
        </w:tc>
        <w:tc>
          <w:tcPr>
            <w:tcW w:w="1440" w:type="dxa"/>
            <w:shd w:val="clear" w:color="auto" w:fill="auto"/>
            <w:noWrap/>
          </w:tcPr>
          <w:p w14:paraId="16DF38F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2501.2/19.2</w:t>
            </w:r>
          </w:p>
        </w:tc>
      </w:tr>
    </w:tbl>
    <w:p w14:paraId="011E4815" w14:textId="77777777" w:rsidR="004526F1" w:rsidRPr="00D11634" w:rsidRDefault="004526F1" w:rsidP="004526F1">
      <w:pPr>
        <w:rPr>
          <w:rFonts w:cs="Times New Roman"/>
          <w:color w:val="000000" w:themeColor="text1"/>
          <w:sz w:val="24"/>
          <w:szCs w:val="24"/>
        </w:rPr>
      </w:pPr>
    </w:p>
    <w:p w14:paraId="01C00B4D" w14:textId="2F872549"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6FE76D9D" wp14:editId="1E79538E">
            <wp:extent cx="4060190" cy="24326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0190" cy="2432685"/>
                    </a:xfrm>
                    <a:prstGeom prst="rect">
                      <a:avLst/>
                    </a:prstGeom>
                    <a:noFill/>
                  </pic:spPr>
                </pic:pic>
              </a:graphicData>
            </a:graphic>
          </wp:inline>
        </w:drawing>
      </w:r>
    </w:p>
    <w:p w14:paraId="3F7E28E5"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Receivable days</w:t>
      </w:r>
    </w:p>
    <w:p w14:paraId="65F3A6B3" w14:textId="4B4684D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Receivable days = Account receivable / Credit sales * 365</w:t>
      </w:r>
      <w:r w:rsidR="000102C8" w:rsidRPr="00D11634">
        <w:rPr>
          <w:rFonts w:cs="Times New Roman"/>
          <w:color w:val="000000" w:themeColor="text1"/>
          <w:sz w:val="24"/>
          <w:szCs w:val="24"/>
        </w:rPr>
        <w:t>”</w:t>
      </w:r>
    </w:p>
    <w:p w14:paraId="4F4F19E3"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Receivable days of Intertek Group PLC in last 5 years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1"/>
        <w:gridCol w:w="1671"/>
        <w:gridCol w:w="1521"/>
        <w:gridCol w:w="1671"/>
        <w:gridCol w:w="1671"/>
        <w:gridCol w:w="1521"/>
      </w:tblGrid>
      <w:tr w:rsidR="00D11634" w:rsidRPr="00D11634" w14:paraId="1B2EE9C9" w14:textId="77777777" w:rsidTr="003A3508">
        <w:trPr>
          <w:trHeight w:val="282"/>
        </w:trPr>
        <w:tc>
          <w:tcPr>
            <w:tcW w:w="907" w:type="pct"/>
            <w:shd w:val="clear" w:color="auto" w:fill="auto"/>
            <w:noWrap/>
            <w:vAlign w:val="bottom"/>
            <w:hideMark/>
          </w:tcPr>
          <w:p w14:paraId="28A0F2C8"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850" w:type="pct"/>
            <w:shd w:val="clear" w:color="auto" w:fill="auto"/>
            <w:noWrap/>
            <w:vAlign w:val="bottom"/>
            <w:hideMark/>
          </w:tcPr>
          <w:p w14:paraId="418EA9EA" w14:textId="27956E18"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772" w:type="pct"/>
            <w:shd w:val="clear" w:color="auto" w:fill="auto"/>
            <w:noWrap/>
            <w:vAlign w:val="bottom"/>
            <w:hideMark/>
          </w:tcPr>
          <w:p w14:paraId="191945E2" w14:textId="7A1DEEA5"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850" w:type="pct"/>
            <w:shd w:val="clear" w:color="auto" w:fill="auto"/>
            <w:noWrap/>
            <w:vAlign w:val="bottom"/>
            <w:hideMark/>
          </w:tcPr>
          <w:p w14:paraId="799ABAB3" w14:textId="3E59A0CE"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850" w:type="pct"/>
            <w:shd w:val="clear" w:color="auto" w:fill="auto"/>
            <w:noWrap/>
            <w:vAlign w:val="bottom"/>
            <w:hideMark/>
          </w:tcPr>
          <w:p w14:paraId="3FF96FCB" w14:textId="3B14D137"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772" w:type="pct"/>
            <w:shd w:val="clear" w:color="auto" w:fill="auto"/>
            <w:noWrap/>
            <w:vAlign w:val="bottom"/>
            <w:hideMark/>
          </w:tcPr>
          <w:p w14:paraId="5F42A7DE" w14:textId="0EC47CF1"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27DB4977" w14:textId="77777777" w:rsidTr="003A3508">
        <w:trPr>
          <w:trHeight w:val="282"/>
        </w:trPr>
        <w:tc>
          <w:tcPr>
            <w:tcW w:w="907" w:type="pct"/>
            <w:shd w:val="clear" w:color="auto" w:fill="auto"/>
            <w:noWrap/>
            <w:vAlign w:val="bottom"/>
            <w:hideMark/>
          </w:tcPr>
          <w:p w14:paraId="71CB7A57"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 xml:space="preserve">Receivable days </w:t>
            </w:r>
          </w:p>
        </w:tc>
        <w:tc>
          <w:tcPr>
            <w:tcW w:w="850" w:type="pct"/>
            <w:shd w:val="clear" w:color="auto" w:fill="auto"/>
            <w:noWrap/>
            <w:vAlign w:val="bottom"/>
            <w:hideMark/>
          </w:tcPr>
          <w:p w14:paraId="26214FE5"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98</w:t>
            </w:r>
          </w:p>
        </w:tc>
        <w:tc>
          <w:tcPr>
            <w:tcW w:w="772" w:type="pct"/>
            <w:shd w:val="clear" w:color="auto" w:fill="auto"/>
            <w:noWrap/>
            <w:vAlign w:val="bottom"/>
            <w:hideMark/>
          </w:tcPr>
          <w:p w14:paraId="6702DA6F"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93</w:t>
            </w:r>
          </w:p>
        </w:tc>
        <w:tc>
          <w:tcPr>
            <w:tcW w:w="850" w:type="pct"/>
            <w:shd w:val="clear" w:color="auto" w:fill="auto"/>
            <w:noWrap/>
            <w:vAlign w:val="bottom"/>
            <w:hideMark/>
          </w:tcPr>
          <w:p w14:paraId="7382B0C8"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85</w:t>
            </w:r>
          </w:p>
        </w:tc>
        <w:tc>
          <w:tcPr>
            <w:tcW w:w="850" w:type="pct"/>
            <w:shd w:val="clear" w:color="auto" w:fill="auto"/>
            <w:noWrap/>
            <w:vAlign w:val="bottom"/>
            <w:hideMark/>
          </w:tcPr>
          <w:p w14:paraId="77C4EE66"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84</w:t>
            </w:r>
          </w:p>
        </w:tc>
        <w:tc>
          <w:tcPr>
            <w:tcW w:w="772" w:type="pct"/>
            <w:shd w:val="clear" w:color="auto" w:fill="auto"/>
            <w:noWrap/>
            <w:vAlign w:val="bottom"/>
            <w:hideMark/>
          </w:tcPr>
          <w:p w14:paraId="58FAC819"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80</w:t>
            </w:r>
          </w:p>
        </w:tc>
      </w:tr>
      <w:tr w:rsidR="004526F1" w:rsidRPr="00D11634" w14:paraId="6536BFE3" w14:textId="77777777" w:rsidTr="003A3508">
        <w:trPr>
          <w:trHeight w:val="282"/>
        </w:trPr>
        <w:tc>
          <w:tcPr>
            <w:tcW w:w="907" w:type="pct"/>
            <w:shd w:val="clear" w:color="auto" w:fill="auto"/>
            <w:noWrap/>
            <w:vAlign w:val="bottom"/>
          </w:tcPr>
          <w:p w14:paraId="229E20AA"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850" w:type="pct"/>
            <w:shd w:val="clear" w:color="auto" w:fill="auto"/>
            <w:noWrap/>
          </w:tcPr>
          <w:p w14:paraId="2757E9B5"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583.5/2166.3*365</w:t>
            </w:r>
          </w:p>
        </w:tc>
        <w:tc>
          <w:tcPr>
            <w:tcW w:w="772" w:type="pct"/>
            <w:shd w:val="clear" w:color="auto" w:fill="auto"/>
            <w:noWrap/>
          </w:tcPr>
          <w:p w14:paraId="72AD975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651.8/2567*365</w:t>
            </w:r>
          </w:p>
        </w:tc>
        <w:tc>
          <w:tcPr>
            <w:tcW w:w="850" w:type="pct"/>
            <w:shd w:val="clear" w:color="auto" w:fill="auto"/>
            <w:noWrap/>
          </w:tcPr>
          <w:p w14:paraId="08932B70"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641.7/2769.1*365</w:t>
            </w:r>
          </w:p>
        </w:tc>
        <w:tc>
          <w:tcPr>
            <w:tcW w:w="850" w:type="pct"/>
            <w:shd w:val="clear" w:color="auto" w:fill="auto"/>
            <w:noWrap/>
          </w:tcPr>
          <w:p w14:paraId="10F62AE7"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647.6/2801.2*365</w:t>
            </w:r>
          </w:p>
        </w:tc>
        <w:tc>
          <w:tcPr>
            <w:tcW w:w="772" w:type="pct"/>
            <w:shd w:val="clear" w:color="auto" w:fill="auto"/>
            <w:noWrap/>
          </w:tcPr>
          <w:p w14:paraId="4ED890C5"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650.6/2987*365</w:t>
            </w:r>
          </w:p>
        </w:tc>
      </w:tr>
    </w:tbl>
    <w:p w14:paraId="006C5E01" w14:textId="77777777" w:rsidR="004526F1" w:rsidRPr="00D11634" w:rsidRDefault="004526F1" w:rsidP="004526F1">
      <w:pPr>
        <w:rPr>
          <w:rFonts w:cs="Times New Roman"/>
          <w:color w:val="000000" w:themeColor="text1"/>
          <w:sz w:val="24"/>
          <w:szCs w:val="24"/>
        </w:rPr>
      </w:pPr>
    </w:p>
    <w:p w14:paraId="585F0D7A" w14:textId="352554B6"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5C95CE96" wp14:editId="29EE46F8">
            <wp:extent cx="3938270" cy="23653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38270" cy="2365375"/>
                    </a:xfrm>
                    <a:prstGeom prst="rect">
                      <a:avLst/>
                    </a:prstGeom>
                    <a:noFill/>
                  </pic:spPr>
                </pic:pic>
              </a:graphicData>
            </a:graphic>
          </wp:inline>
        </w:drawing>
      </w:r>
    </w:p>
    <w:p w14:paraId="5194D53E" w14:textId="77777777" w:rsidR="004526F1" w:rsidRPr="00D11634" w:rsidRDefault="004526F1" w:rsidP="007A6F62">
      <w:pPr>
        <w:pStyle w:val="3"/>
        <w:rPr>
          <w:color w:val="000000" w:themeColor="text1"/>
        </w:rPr>
      </w:pPr>
      <w:bookmarkStart w:id="21" w:name="_Toc41605042"/>
      <w:bookmarkStart w:id="22" w:name="_Toc41614039"/>
      <w:r w:rsidRPr="00D11634">
        <w:rPr>
          <w:color w:val="000000" w:themeColor="text1"/>
        </w:rPr>
        <w:lastRenderedPageBreak/>
        <w:t>Investor Ratios</w:t>
      </w:r>
      <w:bookmarkEnd w:id="21"/>
      <w:bookmarkEnd w:id="22"/>
    </w:p>
    <w:p w14:paraId="55C57B3F"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P/E ratio</w:t>
      </w:r>
    </w:p>
    <w:p w14:paraId="141603EB" w14:textId="37501119"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Formula:</w:t>
      </w:r>
      <w:r w:rsidR="007A6F62" w:rsidRPr="00D11634">
        <w:rPr>
          <w:rFonts w:cs="Times New Roman"/>
          <w:color w:val="000000" w:themeColor="text1"/>
          <w:sz w:val="24"/>
          <w:szCs w:val="24"/>
        </w:rPr>
        <w:t xml:space="preserve"> </w:t>
      </w:r>
      <w:r w:rsidR="000102C8" w:rsidRPr="00D11634">
        <w:rPr>
          <w:rFonts w:cs="Times New Roman"/>
          <w:color w:val="000000" w:themeColor="text1"/>
          <w:sz w:val="24"/>
          <w:szCs w:val="24"/>
        </w:rPr>
        <w:t>“</w:t>
      </w:r>
      <w:r w:rsidRPr="00D11634">
        <w:rPr>
          <w:rFonts w:cs="Times New Roman"/>
          <w:color w:val="000000" w:themeColor="text1"/>
          <w:sz w:val="24"/>
          <w:szCs w:val="24"/>
        </w:rPr>
        <w:t>P/E ratio = Price per share / EPS</w:t>
      </w:r>
      <w:r w:rsidR="000102C8" w:rsidRPr="00D11634">
        <w:rPr>
          <w:rFonts w:cs="Times New Roman"/>
          <w:color w:val="000000" w:themeColor="text1"/>
          <w:sz w:val="24"/>
          <w:szCs w:val="24"/>
        </w:rPr>
        <w:t>”</w:t>
      </w:r>
    </w:p>
    <w:p w14:paraId="2BA114A8"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P/E ratio of Intertek Group PLC in last 5 years</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0"/>
        <w:gridCol w:w="1440"/>
        <w:gridCol w:w="1440"/>
        <w:gridCol w:w="1530"/>
        <w:gridCol w:w="1440"/>
        <w:gridCol w:w="1440"/>
      </w:tblGrid>
      <w:tr w:rsidR="00D11634" w:rsidRPr="00D11634" w14:paraId="6395D6E7" w14:textId="77777777" w:rsidTr="004526F1">
        <w:trPr>
          <w:trHeight w:val="300"/>
        </w:trPr>
        <w:tc>
          <w:tcPr>
            <w:tcW w:w="2430" w:type="dxa"/>
            <w:shd w:val="clear" w:color="auto" w:fill="auto"/>
            <w:noWrap/>
            <w:vAlign w:val="bottom"/>
            <w:hideMark/>
          </w:tcPr>
          <w:p w14:paraId="5DA2330B"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1440" w:type="dxa"/>
            <w:shd w:val="clear" w:color="auto" w:fill="auto"/>
            <w:noWrap/>
            <w:vAlign w:val="bottom"/>
            <w:hideMark/>
          </w:tcPr>
          <w:p w14:paraId="328D07CF" w14:textId="5743C222"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40" w:type="dxa"/>
            <w:shd w:val="clear" w:color="auto" w:fill="auto"/>
            <w:noWrap/>
            <w:vAlign w:val="bottom"/>
            <w:hideMark/>
          </w:tcPr>
          <w:p w14:paraId="67716FBB" w14:textId="1C25FDF3"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530" w:type="dxa"/>
            <w:shd w:val="clear" w:color="auto" w:fill="auto"/>
            <w:noWrap/>
            <w:vAlign w:val="bottom"/>
            <w:hideMark/>
          </w:tcPr>
          <w:p w14:paraId="05D8497B" w14:textId="73817CED"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40" w:type="dxa"/>
            <w:shd w:val="clear" w:color="auto" w:fill="auto"/>
            <w:noWrap/>
            <w:vAlign w:val="bottom"/>
            <w:hideMark/>
          </w:tcPr>
          <w:p w14:paraId="5587A06A" w14:textId="402D48C5"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40" w:type="dxa"/>
            <w:shd w:val="clear" w:color="auto" w:fill="auto"/>
            <w:noWrap/>
            <w:vAlign w:val="bottom"/>
            <w:hideMark/>
          </w:tcPr>
          <w:p w14:paraId="4F21ED35" w14:textId="64C6DC8D"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0FDE28BA" w14:textId="77777777" w:rsidTr="004526F1">
        <w:trPr>
          <w:trHeight w:val="300"/>
        </w:trPr>
        <w:tc>
          <w:tcPr>
            <w:tcW w:w="2430" w:type="dxa"/>
            <w:shd w:val="clear" w:color="auto" w:fill="auto"/>
            <w:noWrap/>
            <w:vAlign w:val="bottom"/>
            <w:hideMark/>
          </w:tcPr>
          <w:p w14:paraId="06625528"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P/E ratio</w:t>
            </w:r>
          </w:p>
        </w:tc>
        <w:tc>
          <w:tcPr>
            <w:tcW w:w="1440" w:type="dxa"/>
            <w:shd w:val="clear" w:color="auto" w:fill="auto"/>
            <w:noWrap/>
            <w:vAlign w:val="bottom"/>
            <w:hideMark/>
          </w:tcPr>
          <w:p w14:paraId="05698EF7"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-11.16</w:t>
            </w:r>
          </w:p>
        </w:tc>
        <w:tc>
          <w:tcPr>
            <w:tcW w:w="1440" w:type="dxa"/>
            <w:shd w:val="clear" w:color="auto" w:fill="auto"/>
            <w:noWrap/>
            <w:vAlign w:val="bottom"/>
            <w:hideMark/>
          </w:tcPr>
          <w:p w14:paraId="3D9E4C62"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20.73</w:t>
            </w:r>
          </w:p>
        </w:tc>
        <w:tc>
          <w:tcPr>
            <w:tcW w:w="1530" w:type="dxa"/>
            <w:shd w:val="clear" w:color="auto" w:fill="auto"/>
            <w:noWrap/>
            <w:vAlign w:val="bottom"/>
            <w:hideMark/>
          </w:tcPr>
          <w:p w14:paraId="7CE51D58"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23.29</w:t>
            </w:r>
          </w:p>
        </w:tc>
        <w:tc>
          <w:tcPr>
            <w:tcW w:w="1440" w:type="dxa"/>
            <w:shd w:val="clear" w:color="auto" w:fill="auto"/>
            <w:noWrap/>
            <w:vAlign w:val="bottom"/>
            <w:hideMark/>
          </w:tcPr>
          <w:p w14:paraId="7CA3BFB0"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28.88</w:t>
            </w:r>
          </w:p>
        </w:tc>
        <w:tc>
          <w:tcPr>
            <w:tcW w:w="1440" w:type="dxa"/>
            <w:shd w:val="clear" w:color="auto" w:fill="auto"/>
            <w:noWrap/>
            <w:vAlign w:val="bottom"/>
            <w:hideMark/>
          </w:tcPr>
          <w:p w14:paraId="30FDB38E"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26.95</w:t>
            </w:r>
          </w:p>
        </w:tc>
      </w:tr>
      <w:tr w:rsidR="004526F1" w:rsidRPr="00D11634" w14:paraId="0D61D51E" w14:textId="77777777" w:rsidTr="004526F1">
        <w:trPr>
          <w:trHeight w:val="300"/>
        </w:trPr>
        <w:tc>
          <w:tcPr>
            <w:tcW w:w="2430" w:type="dxa"/>
            <w:shd w:val="clear" w:color="auto" w:fill="auto"/>
            <w:noWrap/>
            <w:vAlign w:val="bottom"/>
          </w:tcPr>
          <w:p w14:paraId="58CD2EC0"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440" w:type="dxa"/>
            <w:shd w:val="clear" w:color="auto" w:fill="auto"/>
            <w:noWrap/>
          </w:tcPr>
          <w:p w14:paraId="52876B05"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2501/-224.2</w:t>
            </w:r>
          </w:p>
        </w:tc>
        <w:tc>
          <w:tcPr>
            <w:tcW w:w="1440" w:type="dxa"/>
            <w:shd w:val="clear" w:color="auto" w:fill="auto"/>
            <w:noWrap/>
          </w:tcPr>
          <w:p w14:paraId="30216E8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3286/158.5</w:t>
            </w:r>
          </w:p>
        </w:tc>
        <w:tc>
          <w:tcPr>
            <w:tcW w:w="1530" w:type="dxa"/>
            <w:shd w:val="clear" w:color="auto" w:fill="auto"/>
            <w:noWrap/>
          </w:tcPr>
          <w:p w14:paraId="0D9A882A"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4160/178.6</w:t>
            </w:r>
          </w:p>
        </w:tc>
        <w:tc>
          <w:tcPr>
            <w:tcW w:w="1440" w:type="dxa"/>
            <w:shd w:val="clear" w:color="auto" w:fill="auto"/>
            <w:noWrap/>
          </w:tcPr>
          <w:p w14:paraId="7C66798A"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5106/176.8</w:t>
            </w:r>
          </w:p>
        </w:tc>
        <w:tc>
          <w:tcPr>
            <w:tcW w:w="1440" w:type="dxa"/>
            <w:shd w:val="clear" w:color="auto" w:fill="auto"/>
            <w:noWrap/>
          </w:tcPr>
          <w:p w14:paraId="02518B83"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5242/194.5</w:t>
            </w:r>
          </w:p>
        </w:tc>
      </w:tr>
    </w:tbl>
    <w:p w14:paraId="7D39A009" w14:textId="77777777" w:rsidR="004526F1" w:rsidRPr="00D11634" w:rsidRDefault="004526F1" w:rsidP="004526F1">
      <w:pPr>
        <w:rPr>
          <w:rFonts w:cs="Times New Roman"/>
          <w:color w:val="000000" w:themeColor="text1"/>
          <w:sz w:val="24"/>
          <w:szCs w:val="24"/>
        </w:rPr>
      </w:pPr>
    </w:p>
    <w:p w14:paraId="26BD7CB2" w14:textId="77777777" w:rsidR="004526F1" w:rsidRPr="00D11634" w:rsidRDefault="004526F1" w:rsidP="004526F1">
      <w:pPr>
        <w:rPr>
          <w:rFonts w:cs="Times New Roman"/>
          <w:color w:val="000000" w:themeColor="text1"/>
          <w:sz w:val="24"/>
          <w:szCs w:val="24"/>
        </w:rPr>
      </w:pPr>
    </w:p>
    <w:p w14:paraId="4E658338" w14:textId="5684763F"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46CFFCFD" wp14:editId="07EAD1EF">
            <wp:extent cx="3938270" cy="25057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38270" cy="2505710"/>
                    </a:xfrm>
                    <a:prstGeom prst="rect">
                      <a:avLst/>
                    </a:prstGeom>
                    <a:noFill/>
                  </pic:spPr>
                </pic:pic>
              </a:graphicData>
            </a:graphic>
          </wp:inline>
        </w:drawing>
      </w:r>
    </w:p>
    <w:p w14:paraId="2767CAEB"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t>Earnings yield</w:t>
      </w:r>
    </w:p>
    <w:p w14:paraId="53E06F76" w14:textId="2563DE46"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Earnings yield = EPS / Price per share</w:t>
      </w:r>
      <w:r w:rsidR="000102C8" w:rsidRPr="00D11634">
        <w:rPr>
          <w:rFonts w:cs="Times New Roman"/>
          <w:color w:val="000000" w:themeColor="text1"/>
          <w:sz w:val="24"/>
          <w:szCs w:val="24"/>
        </w:rPr>
        <w:t>”</w:t>
      </w:r>
    </w:p>
    <w:p w14:paraId="6420F6C1"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P/E ratio of Intertek Group PLC in last 5 years</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0"/>
        <w:gridCol w:w="1440"/>
        <w:gridCol w:w="1440"/>
        <w:gridCol w:w="1530"/>
        <w:gridCol w:w="1440"/>
        <w:gridCol w:w="1440"/>
      </w:tblGrid>
      <w:tr w:rsidR="00D11634" w:rsidRPr="00D11634" w14:paraId="6509E77E" w14:textId="77777777" w:rsidTr="004526F1">
        <w:trPr>
          <w:trHeight w:val="300"/>
        </w:trPr>
        <w:tc>
          <w:tcPr>
            <w:tcW w:w="2430" w:type="dxa"/>
            <w:shd w:val="clear" w:color="auto" w:fill="auto"/>
            <w:noWrap/>
            <w:vAlign w:val="bottom"/>
            <w:hideMark/>
          </w:tcPr>
          <w:p w14:paraId="5FA731BD"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p>
        </w:tc>
        <w:tc>
          <w:tcPr>
            <w:tcW w:w="1440" w:type="dxa"/>
            <w:shd w:val="clear" w:color="auto" w:fill="auto"/>
            <w:noWrap/>
            <w:vAlign w:val="bottom"/>
            <w:hideMark/>
          </w:tcPr>
          <w:p w14:paraId="2C2C0185" w14:textId="6300C4D3"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40" w:type="dxa"/>
            <w:shd w:val="clear" w:color="auto" w:fill="auto"/>
            <w:noWrap/>
            <w:vAlign w:val="bottom"/>
            <w:hideMark/>
          </w:tcPr>
          <w:p w14:paraId="2F430756" w14:textId="301F7DF3"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530" w:type="dxa"/>
            <w:shd w:val="clear" w:color="auto" w:fill="auto"/>
            <w:noWrap/>
            <w:vAlign w:val="bottom"/>
            <w:hideMark/>
          </w:tcPr>
          <w:p w14:paraId="397D34AD" w14:textId="7BE892C1"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40" w:type="dxa"/>
            <w:shd w:val="clear" w:color="auto" w:fill="auto"/>
            <w:noWrap/>
            <w:vAlign w:val="bottom"/>
            <w:hideMark/>
          </w:tcPr>
          <w:p w14:paraId="135AA0CD" w14:textId="4AB2B096"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440" w:type="dxa"/>
            <w:shd w:val="clear" w:color="auto" w:fill="auto"/>
            <w:noWrap/>
            <w:vAlign w:val="bottom"/>
            <w:hideMark/>
          </w:tcPr>
          <w:p w14:paraId="16D784AF" w14:textId="1A515348" w:rsidR="004526F1" w:rsidRPr="00D11634" w:rsidRDefault="00A96AD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02F6BDDD" w14:textId="77777777" w:rsidTr="004526F1">
        <w:trPr>
          <w:trHeight w:val="300"/>
        </w:trPr>
        <w:tc>
          <w:tcPr>
            <w:tcW w:w="2430" w:type="dxa"/>
            <w:shd w:val="clear" w:color="auto" w:fill="auto"/>
            <w:noWrap/>
            <w:vAlign w:val="bottom"/>
            <w:hideMark/>
          </w:tcPr>
          <w:p w14:paraId="4802B646"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Earnings yield</w:t>
            </w:r>
          </w:p>
        </w:tc>
        <w:tc>
          <w:tcPr>
            <w:tcW w:w="1440" w:type="dxa"/>
            <w:shd w:val="clear" w:color="auto" w:fill="auto"/>
            <w:noWrap/>
            <w:vAlign w:val="bottom"/>
            <w:hideMark/>
          </w:tcPr>
          <w:p w14:paraId="2B176BAE"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-0.09</w:t>
            </w:r>
          </w:p>
        </w:tc>
        <w:tc>
          <w:tcPr>
            <w:tcW w:w="1440" w:type="dxa"/>
            <w:shd w:val="clear" w:color="auto" w:fill="auto"/>
            <w:noWrap/>
            <w:vAlign w:val="bottom"/>
            <w:hideMark/>
          </w:tcPr>
          <w:p w14:paraId="3C8ABA4B"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0.05</w:t>
            </w:r>
          </w:p>
        </w:tc>
        <w:tc>
          <w:tcPr>
            <w:tcW w:w="1530" w:type="dxa"/>
            <w:shd w:val="clear" w:color="auto" w:fill="auto"/>
            <w:noWrap/>
            <w:vAlign w:val="bottom"/>
            <w:hideMark/>
          </w:tcPr>
          <w:p w14:paraId="31199F0C"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0.04</w:t>
            </w:r>
          </w:p>
        </w:tc>
        <w:tc>
          <w:tcPr>
            <w:tcW w:w="1440" w:type="dxa"/>
            <w:shd w:val="clear" w:color="auto" w:fill="auto"/>
            <w:noWrap/>
            <w:vAlign w:val="bottom"/>
            <w:hideMark/>
          </w:tcPr>
          <w:p w14:paraId="3EF753FE"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0.03</w:t>
            </w:r>
          </w:p>
        </w:tc>
        <w:tc>
          <w:tcPr>
            <w:tcW w:w="1440" w:type="dxa"/>
            <w:shd w:val="clear" w:color="auto" w:fill="auto"/>
            <w:noWrap/>
            <w:vAlign w:val="bottom"/>
            <w:hideMark/>
          </w:tcPr>
          <w:p w14:paraId="315E1FCD"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0.04</w:t>
            </w:r>
          </w:p>
        </w:tc>
      </w:tr>
      <w:tr w:rsidR="004526F1" w:rsidRPr="00D11634" w14:paraId="68BB3651" w14:textId="77777777" w:rsidTr="004526F1">
        <w:trPr>
          <w:trHeight w:val="300"/>
        </w:trPr>
        <w:tc>
          <w:tcPr>
            <w:tcW w:w="2430" w:type="dxa"/>
            <w:shd w:val="clear" w:color="auto" w:fill="auto"/>
            <w:noWrap/>
            <w:vAlign w:val="bottom"/>
          </w:tcPr>
          <w:p w14:paraId="4EDE7836" w14:textId="77777777" w:rsidR="004526F1" w:rsidRPr="00D11634" w:rsidRDefault="004526F1" w:rsidP="004526F1">
            <w:pPr>
              <w:spacing w:after="0"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440" w:type="dxa"/>
            <w:shd w:val="clear" w:color="auto" w:fill="auto"/>
            <w:noWrap/>
          </w:tcPr>
          <w:p w14:paraId="47B6A0E9"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-224.2/2501</w:t>
            </w:r>
          </w:p>
        </w:tc>
        <w:tc>
          <w:tcPr>
            <w:tcW w:w="1440" w:type="dxa"/>
            <w:shd w:val="clear" w:color="auto" w:fill="auto"/>
            <w:noWrap/>
          </w:tcPr>
          <w:p w14:paraId="4447EDB3"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158.5/3286</w:t>
            </w:r>
          </w:p>
        </w:tc>
        <w:tc>
          <w:tcPr>
            <w:tcW w:w="1530" w:type="dxa"/>
            <w:shd w:val="clear" w:color="auto" w:fill="auto"/>
            <w:noWrap/>
          </w:tcPr>
          <w:p w14:paraId="1676CAD1"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178.6/4160</w:t>
            </w:r>
          </w:p>
        </w:tc>
        <w:tc>
          <w:tcPr>
            <w:tcW w:w="1440" w:type="dxa"/>
            <w:shd w:val="clear" w:color="auto" w:fill="auto"/>
            <w:noWrap/>
          </w:tcPr>
          <w:p w14:paraId="664F5EC8"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176.8/5106</w:t>
            </w:r>
          </w:p>
        </w:tc>
        <w:tc>
          <w:tcPr>
            <w:tcW w:w="1440" w:type="dxa"/>
            <w:shd w:val="clear" w:color="auto" w:fill="auto"/>
            <w:noWrap/>
          </w:tcPr>
          <w:p w14:paraId="0DF41AF7" w14:textId="77777777" w:rsidR="004526F1" w:rsidRPr="00D11634" w:rsidRDefault="004526F1" w:rsidP="004526F1">
            <w:pPr>
              <w:spacing w:after="0" w:line="240" w:lineRule="auto"/>
              <w:jc w:val="right"/>
              <w:rPr>
                <w:rFonts w:eastAsia="Times New Roman" w:cs="Times New Roman"/>
                <w:color w:val="000000" w:themeColor="text1"/>
                <w:sz w:val="24"/>
                <w:szCs w:val="24"/>
                <w:lang w:val="en-US"/>
              </w:rPr>
            </w:pPr>
            <w:r w:rsidRPr="00D11634">
              <w:rPr>
                <w:rFonts w:cs="Times New Roman"/>
                <w:color w:val="000000" w:themeColor="text1"/>
                <w:sz w:val="24"/>
                <w:szCs w:val="24"/>
              </w:rPr>
              <w:t>194.5/5242</w:t>
            </w:r>
          </w:p>
        </w:tc>
      </w:tr>
    </w:tbl>
    <w:p w14:paraId="711FB14B" w14:textId="77777777" w:rsidR="004526F1" w:rsidRPr="00D11634" w:rsidRDefault="004526F1" w:rsidP="004526F1">
      <w:pPr>
        <w:rPr>
          <w:rFonts w:cs="Times New Roman"/>
          <w:color w:val="000000" w:themeColor="text1"/>
          <w:sz w:val="24"/>
          <w:szCs w:val="24"/>
        </w:rPr>
      </w:pPr>
    </w:p>
    <w:p w14:paraId="67E16B5A" w14:textId="7F63ADDD"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lastRenderedPageBreak/>
        <w:drawing>
          <wp:inline distT="0" distB="0" distL="0" distR="0" wp14:anchorId="163345EC" wp14:editId="0481B75A">
            <wp:extent cx="4072255"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2255" cy="2438400"/>
                    </a:xfrm>
                    <a:prstGeom prst="rect">
                      <a:avLst/>
                    </a:prstGeom>
                    <a:noFill/>
                  </pic:spPr>
                </pic:pic>
              </a:graphicData>
            </a:graphic>
          </wp:inline>
        </w:drawing>
      </w:r>
    </w:p>
    <w:p w14:paraId="4DE0451E" w14:textId="77777777" w:rsidR="004526F1" w:rsidRPr="00D11634" w:rsidRDefault="004526F1" w:rsidP="004526F1">
      <w:pPr>
        <w:spacing w:line="259" w:lineRule="auto"/>
        <w:jc w:val="left"/>
        <w:rPr>
          <w:rFonts w:eastAsiaTheme="majorEastAsia" w:cs="Times New Roman"/>
          <w:iCs/>
          <w:color w:val="000000" w:themeColor="text1"/>
          <w:sz w:val="24"/>
          <w:szCs w:val="24"/>
        </w:rPr>
      </w:pPr>
      <w:r w:rsidRPr="00D11634">
        <w:rPr>
          <w:rFonts w:cs="Times New Roman"/>
          <w:color w:val="000000" w:themeColor="text1"/>
          <w:sz w:val="24"/>
          <w:szCs w:val="24"/>
        </w:rPr>
        <w:br w:type="page"/>
      </w:r>
    </w:p>
    <w:p w14:paraId="2FC87F8B" w14:textId="77777777" w:rsidR="004526F1" w:rsidRPr="00D11634" w:rsidRDefault="004526F1" w:rsidP="004526F1">
      <w:pPr>
        <w:pStyle w:val="4"/>
        <w:rPr>
          <w:rFonts w:cs="Times New Roman"/>
          <w:color w:val="000000" w:themeColor="text1"/>
          <w:sz w:val="24"/>
          <w:szCs w:val="24"/>
        </w:rPr>
      </w:pPr>
      <w:r w:rsidRPr="00D11634">
        <w:rPr>
          <w:rFonts w:cs="Times New Roman"/>
          <w:color w:val="000000" w:themeColor="text1"/>
          <w:sz w:val="24"/>
          <w:szCs w:val="24"/>
        </w:rPr>
        <w:lastRenderedPageBreak/>
        <w:t>Dividend Pay-out Ratio</w:t>
      </w:r>
    </w:p>
    <w:p w14:paraId="39D1C3B3" w14:textId="5E973D71"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 xml:space="preserve">Formula: </w:t>
      </w:r>
      <w:r w:rsidR="000102C8" w:rsidRPr="00D11634">
        <w:rPr>
          <w:rFonts w:cs="Times New Roman"/>
          <w:color w:val="000000" w:themeColor="text1"/>
          <w:sz w:val="24"/>
          <w:szCs w:val="24"/>
        </w:rPr>
        <w:t>“</w:t>
      </w:r>
      <w:r w:rsidRPr="00D11634">
        <w:rPr>
          <w:rFonts w:cs="Times New Roman"/>
          <w:color w:val="000000" w:themeColor="text1"/>
          <w:sz w:val="24"/>
          <w:szCs w:val="24"/>
        </w:rPr>
        <w:t>Dividend Pay-out Ratio = Dividend per share / Earnings per share</w:t>
      </w:r>
      <w:r w:rsidR="000102C8" w:rsidRPr="00D11634">
        <w:rPr>
          <w:rFonts w:cs="Times New Roman"/>
          <w:color w:val="000000" w:themeColor="text1"/>
          <w:sz w:val="24"/>
          <w:szCs w:val="24"/>
        </w:rPr>
        <w:t>”</w:t>
      </w:r>
    </w:p>
    <w:p w14:paraId="3F4D7974" w14:textId="77777777" w:rsidR="004526F1" w:rsidRPr="00D11634" w:rsidRDefault="004526F1" w:rsidP="004526F1">
      <w:pPr>
        <w:rPr>
          <w:rFonts w:cs="Times New Roman"/>
          <w:color w:val="000000" w:themeColor="text1"/>
          <w:sz w:val="24"/>
          <w:szCs w:val="24"/>
        </w:rPr>
      </w:pPr>
      <w:r w:rsidRPr="00D11634">
        <w:rPr>
          <w:rFonts w:cs="Times New Roman"/>
          <w:color w:val="000000" w:themeColor="text1"/>
          <w:sz w:val="24"/>
          <w:szCs w:val="24"/>
        </w:rPr>
        <w:t>Dividend Pay-out Ratio of Intertek Group PLC in last 5 years</w:t>
      </w:r>
    </w:p>
    <w:tbl>
      <w:tblPr>
        <w:tblStyle w:val="a3"/>
        <w:tblW w:w="9947" w:type="dxa"/>
        <w:tblLook w:val="04A0" w:firstRow="1" w:lastRow="0" w:firstColumn="1" w:lastColumn="0" w:noHBand="0" w:noVBand="1"/>
      </w:tblPr>
      <w:tblGrid>
        <w:gridCol w:w="2821"/>
        <w:gridCol w:w="1316"/>
        <w:gridCol w:w="1419"/>
        <w:gridCol w:w="1419"/>
        <w:gridCol w:w="1419"/>
        <w:gridCol w:w="1553"/>
      </w:tblGrid>
      <w:tr w:rsidR="00D11634" w:rsidRPr="00D11634" w14:paraId="327A9C4E" w14:textId="77777777" w:rsidTr="004526F1">
        <w:trPr>
          <w:trHeight w:val="80"/>
        </w:trPr>
        <w:tc>
          <w:tcPr>
            <w:tcW w:w="2821" w:type="dxa"/>
            <w:noWrap/>
            <w:hideMark/>
          </w:tcPr>
          <w:p w14:paraId="1A391F4D"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p>
        </w:tc>
        <w:tc>
          <w:tcPr>
            <w:tcW w:w="1316" w:type="dxa"/>
            <w:noWrap/>
            <w:hideMark/>
          </w:tcPr>
          <w:p w14:paraId="1C727D61" w14:textId="1EFD3193"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2015</w:t>
            </w:r>
          </w:p>
        </w:tc>
        <w:tc>
          <w:tcPr>
            <w:tcW w:w="1419" w:type="dxa"/>
            <w:noWrap/>
            <w:hideMark/>
          </w:tcPr>
          <w:p w14:paraId="6F40B2C0" w14:textId="142B8AF0"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2016</w:t>
            </w:r>
          </w:p>
        </w:tc>
        <w:tc>
          <w:tcPr>
            <w:tcW w:w="1419" w:type="dxa"/>
            <w:noWrap/>
            <w:hideMark/>
          </w:tcPr>
          <w:p w14:paraId="201658A7" w14:textId="1D27FA1B"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2017</w:t>
            </w:r>
          </w:p>
        </w:tc>
        <w:tc>
          <w:tcPr>
            <w:tcW w:w="1419" w:type="dxa"/>
            <w:noWrap/>
            <w:hideMark/>
          </w:tcPr>
          <w:p w14:paraId="1453BD89" w14:textId="17BD2164"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2018</w:t>
            </w:r>
          </w:p>
        </w:tc>
        <w:tc>
          <w:tcPr>
            <w:tcW w:w="1553" w:type="dxa"/>
            <w:noWrap/>
            <w:hideMark/>
          </w:tcPr>
          <w:p w14:paraId="6B9AF374" w14:textId="14D798ED" w:rsidR="004526F1" w:rsidRPr="00D11634" w:rsidRDefault="00A96AD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2019</w:t>
            </w:r>
          </w:p>
        </w:tc>
      </w:tr>
      <w:tr w:rsidR="00D11634" w:rsidRPr="00D11634" w14:paraId="12AF712A" w14:textId="77777777" w:rsidTr="004526F1">
        <w:trPr>
          <w:trHeight w:val="70"/>
        </w:trPr>
        <w:tc>
          <w:tcPr>
            <w:tcW w:w="2821" w:type="dxa"/>
            <w:noWrap/>
            <w:hideMark/>
          </w:tcPr>
          <w:p w14:paraId="24CB3D38"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Dividend Payout Ratio</w:t>
            </w:r>
          </w:p>
        </w:tc>
        <w:tc>
          <w:tcPr>
            <w:tcW w:w="1316" w:type="dxa"/>
            <w:noWrap/>
            <w:hideMark/>
          </w:tcPr>
          <w:p w14:paraId="23F861DD"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-0.233274</w:t>
            </w:r>
          </w:p>
        </w:tc>
        <w:tc>
          <w:tcPr>
            <w:tcW w:w="1419" w:type="dxa"/>
            <w:noWrap/>
            <w:hideMark/>
          </w:tcPr>
          <w:p w14:paraId="0ACF30EF"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0.3936909</w:t>
            </w:r>
          </w:p>
        </w:tc>
        <w:tc>
          <w:tcPr>
            <w:tcW w:w="1419" w:type="dxa"/>
            <w:noWrap/>
            <w:hideMark/>
          </w:tcPr>
          <w:p w14:paraId="4994E58A"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0.3992161</w:t>
            </w:r>
          </w:p>
        </w:tc>
        <w:tc>
          <w:tcPr>
            <w:tcW w:w="1419" w:type="dxa"/>
            <w:noWrap/>
            <w:hideMark/>
          </w:tcPr>
          <w:p w14:paraId="7036B91E"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0.5605204</w:t>
            </w:r>
          </w:p>
        </w:tc>
        <w:tc>
          <w:tcPr>
            <w:tcW w:w="1553" w:type="dxa"/>
            <w:noWrap/>
            <w:hideMark/>
          </w:tcPr>
          <w:p w14:paraId="7E68B9DE" w14:textId="77777777" w:rsidR="004526F1" w:rsidRPr="00D11634" w:rsidRDefault="004526F1"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0.5439589</w:t>
            </w:r>
          </w:p>
        </w:tc>
      </w:tr>
      <w:tr w:rsidR="004526F1" w:rsidRPr="00D11634" w14:paraId="652B8619" w14:textId="77777777" w:rsidTr="004526F1">
        <w:trPr>
          <w:trHeight w:val="70"/>
        </w:trPr>
        <w:tc>
          <w:tcPr>
            <w:tcW w:w="2821" w:type="dxa"/>
            <w:noWrap/>
            <w:hideMark/>
          </w:tcPr>
          <w:p w14:paraId="6F9500F1"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Calculations</w:t>
            </w:r>
          </w:p>
        </w:tc>
        <w:tc>
          <w:tcPr>
            <w:tcW w:w="1316" w:type="dxa"/>
            <w:noWrap/>
            <w:hideMark/>
          </w:tcPr>
          <w:p w14:paraId="42520F98"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52.3/-224.2</w:t>
            </w:r>
          </w:p>
        </w:tc>
        <w:tc>
          <w:tcPr>
            <w:tcW w:w="1419" w:type="dxa"/>
            <w:noWrap/>
            <w:hideMark/>
          </w:tcPr>
          <w:p w14:paraId="612CFF60"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62.4/158.5</w:t>
            </w:r>
          </w:p>
        </w:tc>
        <w:tc>
          <w:tcPr>
            <w:tcW w:w="1419" w:type="dxa"/>
            <w:noWrap/>
            <w:hideMark/>
          </w:tcPr>
          <w:p w14:paraId="164DF8D1"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71.3/178.6</w:t>
            </w:r>
          </w:p>
        </w:tc>
        <w:tc>
          <w:tcPr>
            <w:tcW w:w="1419" w:type="dxa"/>
            <w:noWrap/>
            <w:hideMark/>
          </w:tcPr>
          <w:p w14:paraId="484F35D4"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99.1/176.8</w:t>
            </w:r>
          </w:p>
        </w:tc>
        <w:tc>
          <w:tcPr>
            <w:tcW w:w="1553" w:type="dxa"/>
            <w:noWrap/>
            <w:hideMark/>
          </w:tcPr>
          <w:p w14:paraId="21D0DFEF" w14:textId="77777777" w:rsidR="004526F1" w:rsidRPr="00D11634" w:rsidRDefault="004526F1" w:rsidP="004526F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105.8/194.5</w:t>
            </w:r>
          </w:p>
        </w:tc>
      </w:tr>
    </w:tbl>
    <w:p w14:paraId="51C468B7" w14:textId="77777777" w:rsidR="004526F1" w:rsidRPr="00D11634" w:rsidRDefault="004526F1" w:rsidP="004526F1">
      <w:pPr>
        <w:rPr>
          <w:rFonts w:cs="Times New Roman"/>
          <w:color w:val="000000" w:themeColor="text1"/>
          <w:sz w:val="24"/>
          <w:szCs w:val="24"/>
        </w:rPr>
      </w:pPr>
    </w:p>
    <w:p w14:paraId="76F20314" w14:textId="4B101D09" w:rsidR="004526F1" w:rsidRPr="00D11634" w:rsidRDefault="00F41D74" w:rsidP="004526F1">
      <w:pPr>
        <w:jc w:val="center"/>
        <w:rPr>
          <w:rFonts w:cs="Times New Roman"/>
          <w:color w:val="000000" w:themeColor="text1"/>
          <w:sz w:val="24"/>
          <w:szCs w:val="24"/>
        </w:rPr>
      </w:pPr>
      <w:r w:rsidRPr="00D11634">
        <w:rPr>
          <w:rFonts w:cs="Times New Roman"/>
          <w:noProof/>
          <w:color w:val="000000" w:themeColor="text1"/>
          <w:sz w:val="24"/>
          <w:szCs w:val="24"/>
        </w:rPr>
        <w:drawing>
          <wp:inline distT="0" distB="0" distL="0" distR="0" wp14:anchorId="385CE3DD" wp14:editId="1F3839DA">
            <wp:extent cx="4584700" cy="2755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A6049A9" w14:textId="463D7B81" w:rsidR="004526F1" w:rsidRPr="00D11634" w:rsidRDefault="004526F1" w:rsidP="007A6F62">
      <w:pPr>
        <w:pStyle w:val="2"/>
        <w:rPr>
          <w:color w:val="000000" w:themeColor="text1"/>
        </w:rPr>
      </w:pPr>
      <w:bookmarkStart w:id="23" w:name="_Toc41605043"/>
      <w:bookmarkStart w:id="24" w:name="_Toc41614040"/>
      <w:bookmarkEnd w:id="11"/>
      <w:r w:rsidRPr="00D11634">
        <w:rPr>
          <w:color w:val="000000" w:themeColor="text1"/>
        </w:rPr>
        <w:t>Critical Evaluation of Financial Ratios</w:t>
      </w:r>
      <w:bookmarkEnd w:id="23"/>
      <w:bookmarkEnd w:id="24"/>
    </w:p>
    <w:p w14:paraId="7AF694C9" w14:textId="77777777" w:rsidR="004526F1" w:rsidRPr="00D11634" w:rsidRDefault="004526F1" w:rsidP="007A6F62">
      <w:pPr>
        <w:pStyle w:val="3"/>
        <w:rPr>
          <w:color w:val="000000" w:themeColor="text1"/>
        </w:rPr>
      </w:pPr>
      <w:bookmarkStart w:id="25" w:name="_Toc41605044"/>
      <w:bookmarkStart w:id="26" w:name="_Toc41614041"/>
      <w:r w:rsidRPr="00D11634">
        <w:rPr>
          <w:color w:val="000000" w:themeColor="text1"/>
        </w:rPr>
        <w:t>Profitability Ratio</w:t>
      </w:r>
      <w:bookmarkEnd w:id="25"/>
      <w:bookmarkEnd w:id="26"/>
    </w:p>
    <w:p w14:paraId="60B6CC4B" w14:textId="1AC41B79" w:rsidR="004526F1" w:rsidRPr="00D11634" w:rsidRDefault="004526F1" w:rsidP="004526F1">
      <w:pPr>
        <w:tabs>
          <w:tab w:val="left" w:pos="0"/>
          <w:tab w:val="left" w:pos="540"/>
        </w:tabs>
        <w:rPr>
          <w:rFonts w:cs="Times New Roman"/>
          <w:color w:val="000000" w:themeColor="text1"/>
          <w:sz w:val="24"/>
          <w:szCs w:val="24"/>
        </w:rPr>
      </w:pPr>
      <w:r w:rsidRPr="00D11634">
        <w:rPr>
          <w:rFonts w:cs="Times New Roman"/>
          <w:color w:val="000000" w:themeColor="text1"/>
          <w:sz w:val="24"/>
          <w:szCs w:val="24"/>
        </w:rPr>
        <w:tab/>
      </w:r>
      <w:r w:rsidR="00577773" w:rsidRPr="00D11634">
        <w:rPr>
          <w:rFonts w:cs="Times New Roman"/>
          <w:color w:val="000000" w:themeColor="text1"/>
          <w:sz w:val="24"/>
          <w:szCs w:val="24"/>
        </w:rPr>
        <w:t>Profitability ratios indicate the profit generating capacity of the business during a particular period (</w:t>
      </w:r>
      <w:r w:rsidR="00577773" w:rsidRPr="00D11634">
        <w:rPr>
          <w:color w:val="000000" w:themeColor="text1"/>
        </w:rPr>
        <w:t>Kumbirai and Webb, 2010</w:t>
      </w:r>
      <w:r w:rsidR="00577773" w:rsidRPr="00D11634">
        <w:rPr>
          <w:rFonts w:cs="Times New Roman"/>
          <w:color w:val="000000" w:themeColor="text1"/>
          <w:sz w:val="24"/>
          <w:szCs w:val="24"/>
        </w:rPr>
        <w:t xml:space="preserve">). </w:t>
      </w:r>
      <w:r w:rsidRPr="00D11634">
        <w:rPr>
          <w:rFonts w:cs="Times New Roman"/>
          <w:color w:val="000000" w:themeColor="text1"/>
          <w:sz w:val="24"/>
          <w:szCs w:val="24"/>
        </w:rPr>
        <w:t xml:space="preserve">The profitability ratios of Intertek Group PLC for the last five years are showing bit improvements in terms of the net profit margin. The </w:t>
      </w:r>
      <w:proofErr w:type="spellStart"/>
      <w:r w:rsidR="00F41D74" w:rsidRPr="00D11634">
        <w:rPr>
          <w:rFonts w:cs="Times New Roman"/>
          <w:color w:val="000000" w:themeColor="text1"/>
          <w:sz w:val="24"/>
          <w:szCs w:val="24"/>
        </w:rPr>
        <w:t>RoA</w:t>
      </w:r>
      <w:proofErr w:type="spellEnd"/>
      <w:r w:rsidRPr="00D11634">
        <w:rPr>
          <w:rFonts w:cs="Times New Roman"/>
          <w:color w:val="000000" w:themeColor="text1"/>
          <w:sz w:val="24"/>
          <w:szCs w:val="24"/>
        </w:rPr>
        <w:t xml:space="preserve"> of the business has improved from 2015, but after 217, the return has reduced again. If the comparison is made with its close competitor SGS, not much difference can be noticed. However, the performance of the close competitor was better in last five years as its average net profit margin was 11.76% (</w:t>
      </w:r>
      <w:r w:rsidRPr="00D11634">
        <w:rPr>
          <w:rFonts w:cs="Times New Roman"/>
          <w:color w:val="000000" w:themeColor="text1"/>
          <w:sz w:val="24"/>
          <w:szCs w:val="24"/>
          <w:shd w:val="clear" w:color="auto" w:fill="FFFFFF"/>
        </w:rPr>
        <w:t>SGSN, 2019</w:t>
      </w:r>
      <w:r w:rsidRPr="00D11634">
        <w:rPr>
          <w:rFonts w:cs="Times New Roman"/>
          <w:color w:val="000000" w:themeColor="text1"/>
          <w:sz w:val="24"/>
          <w:szCs w:val="24"/>
        </w:rPr>
        <w:t>). however, in comparison to the overall industry, the net profit margin of Intertek was standard. The industry average in the last five years for net profit margin was 6.81% (</w:t>
      </w:r>
      <w:r w:rsidRPr="00D11634">
        <w:rPr>
          <w:rFonts w:cs="Times New Roman"/>
          <w:color w:val="000000" w:themeColor="text1"/>
          <w:sz w:val="24"/>
          <w:szCs w:val="24"/>
          <w:shd w:val="clear" w:color="auto" w:fill="FFFFFF"/>
        </w:rPr>
        <w:t>SGSN, 2019</w:t>
      </w:r>
      <w:r w:rsidRPr="00D11634">
        <w:rPr>
          <w:rFonts w:cs="Times New Roman"/>
          <w:color w:val="000000" w:themeColor="text1"/>
          <w:sz w:val="24"/>
          <w:szCs w:val="24"/>
        </w:rPr>
        <w:t xml:space="preserve">). on the other hand, the average return on assets of Intertek was also bit low than its competitor SGS in the last five years, but the performance was standard in comparison to the industry average. </w:t>
      </w:r>
      <w:r w:rsidR="00672392" w:rsidRPr="00D11634">
        <w:rPr>
          <w:rFonts w:cs="Times New Roman"/>
          <w:color w:val="000000" w:themeColor="text1"/>
          <w:sz w:val="24"/>
          <w:szCs w:val="24"/>
        </w:rPr>
        <w:t xml:space="preserve">The operating profit ratio of the company indicated a standard performance </w:t>
      </w:r>
      <w:r w:rsidR="00672392" w:rsidRPr="00D11634">
        <w:rPr>
          <w:rFonts w:cs="Times New Roman"/>
          <w:color w:val="000000" w:themeColor="text1"/>
          <w:sz w:val="24"/>
          <w:szCs w:val="24"/>
        </w:rPr>
        <w:lastRenderedPageBreak/>
        <w:t xml:space="preserve">during 2016 to 2019. Like the other profitability ratios, the operating margin was negative in 2015. However, after 2015, a stability was maintained in the operating income of the business. </w:t>
      </w:r>
      <w:r w:rsidR="00977B40" w:rsidRPr="00D11634">
        <w:rPr>
          <w:rFonts w:cs="Times New Roman"/>
          <w:color w:val="000000" w:themeColor="text1"/>
          <w:sz w:val="24"/>
          <w:szCs w:val="24"/>
        </w:rPr>
        <w:t xml:space="preserve">Though in comparison to SGS the operating margin standard was bit low, compared to the industry standard, it was not bad. </w:t>
      </w:r>
      <w:r w:rsidRPr="00D11634">
        <w:rPr>
          <w:rFonts w:cs="Times New Roman"/>
          <w:color w:val="000000" w:themeColor="text1"/>
          <w:sz w:val="24"/>
          <w:szCs w:val="24"/>
        </w:rPr>
        <w:t xml:space="preserve">The profitability ratios of </w:t>
      </w:r>
      <w:r w:rsidR="00F41D74" w:rsidRPr="00D11634">
        <w:rPr>
          <w:rFonts w:cs="Times New Roman"/>
          <w:color w:val="000000" w:themeColor="text1"/>
          <w:sz w:val="24"/>
          <w:szCs w:val="24"/>
        </w:rPr>
        <w:t xml:space="preserve">Intertek </w:t>
      </w:r>
      <w:r w:rsidRPr="00D11634">
        <w:rPr>
          <w:rFonts w:cs="Times New Roman"/>
          <w:color w:val="000000" w:themeColor="text1"/>
          <w:sz w:val="24"/>
          <w:szCs w:val="24"/>
        </w:rPr>
        <w:t xml:space="preserve">are showing that the company has improved its income generating capacity. In 2015, the performance was low because of the difficulties in the oil market during that year. </w:t>
      </w:r>
      <w:r w:rsidR="00DE1F7A" w:rsidRPr="00D11634">
        <w:rPr>
          <w:rFonts w:cs="Times New Roman"/>
          <w:color w:val="000000" w:themeColor="text1"/>
          <w:sz w:val="24"/>
          <w:szCs w:val="24"/>
        </w:rPr>
        <w:t xml:space="preserve">The oil price downturn cause loss of revenue and profitability in the international market. </w:t>
      </w:r>
      <w:r w:rsidRPr="00D11634">
        <w:rPr>
          <w:rFonts w:cs="Times New Roman"/>
          <w:color w:val="000000" w:themeColor="text1"/>
          <w:sz w:val="24"/>
          <w:szCs w:val="24"/>
        </w:rPr>
        <w:t>However, in the next year onwards the company maintained a standard level of performance.</w:t>
      </w:r>
    </w:p>
    <w:p w14:paraId="5FC83B07" w14:textId="77777777" w:rsidR="004526F1" w:rsidRPr="00D11634" w:rsidRDefault="004526F1" w:rsidP="007A6F62">
      <w:pPr>
        <w:pStyle w:val="3"/>
        <w:rPr>
          <w:color w:val="000000" w:themeColor="text1"/>
        </w:rPr>
      </w:pPr>
      <w:bookmarkStart w:id="27" w:name="_Toc41605045"/>
      <w:bookmarkStart w:id="28" w:name="_Toc41614042"/>
      <w:r w:rsidRPr="00D11634">
        <w:rPr>
          <w:color w:val="000000" w:themeColor="text1"/>
        </w:rPr>
        <w:t>Liquidity Ratio</w:t>
      </w:r>
      <w:bookmarkEnd w:id="27"/>
      <w:bookmarkEnd w:id="28"/>
    </w:p>
    <w:p w14:paraId="1F8D56F5" w14:textId="0B4299C2" w:rsidR="004526F1" w:rsidRPr="00D11634" w:rsidRDefault="008738E8" w:rsidP="004526F1">
      <w:pPr>
        <w:tabs>
          <w:tab w:val="left" w:pos="0"/>
          <w:tab w:val="left" w:pos="540"/>
        </w:tabs>
        <w:rPr>
          <w:rFonts w:cs="Times New Roman"/>
          <w:color w:val="000000" w:themeColor="text1"/>
          <w:sz w:val="24"/>
          <w:szCs w:val="24"/>
        </w:rPr>
      </w:pPr>
      <w:r w:rsidRPr="00D11634">
        <w:rPr>
          <w:rFonts w:cs="Times New Roman"/>
          <w:color w:val="000000" w:themeColor="text1"/>
          <w:sz w:val="24"/>
          <w:szCs w:val="24"/>
        </w:rPr>
        <w:tab/>
      </w:r>
      <w:r w:rsidR="00577773" w:rsidRPr="00D11634">
        <w:rPr>
          <w:rFonts w:cs="Times New Roman"/>
          <w:color w:val="000000" w:themeColor="text1"/>
          <w:sz w:val="24"/>
          <w:szCs w:val="24"/>
        </w:rPr>
        <w:t>Liquidity ratio indicates how efficiently the short-term feasibility of the business is maintained (</w:t>
      </w:r>
      <w:r w:rsidR="00577773" w:rsidRPr="00D11634">
        <w:rPr>
          <w:color w:val="000000" w:themeColor="text1"/>
        </w:rPr>
        <w:t>Tamari, 1978</w:t>
      </w:r>
      <w:r w:rsidR="00577773" w:rsidRPr="00D11634">
        <w:rPr>
          <w:rFonts w:cs="Times New Roman"/>
          <w:color w:val="000000" w:themeColor="text1"/>
          <w:sz w:val="24"/>
          <w:szCs w:val="24"/>
        </w:rPr>
        <w:t xml:space="preserve">). </w:t>
      </w:r>
      <w:r w:rsidR="004526F1" w:rsidRPr="00D11634">
        <w:rPr>
          <w:rFonts w:cs="Times New Roman"/>
          <w:color w:val="000000" w:themeColor="text1"/>
          <w:sz w:val="24"/>
          <w:szCs w:val="24"/>
        </w:rPr>
        <w:t>The liquidity position of the company was bit low during the last five years. Though the current ratio was above 1, the standard was low in comparison to the last five years' industry average, which was 1.95 (</w:t>
      </w:r>
      <w:r w:rsidR="004526F1" w:rsidRPr="00D11634">
        <w:rPr>
          <w:rFonts w:cs="Times New Roman"/>
          <w:color w:val="000000" w:themeColor="text1"/>
          <w:sz w:val="24"/>
          <w:szCs w:val="24"/>
          <w:shd w:val="clear" w:color="auto" w:fill="FFFFFF"/>
        </w:rPr>
        <w:t>SGSN, 2019</w:t>
      </w:r>
      <w:r w:rsidR="004526F1" w:rsidRPr="00D11634">
        <w:rPr>
          <w:rFonts w:cs="Times New Roman"/>
          <w:color w:val="000000" w:themeColor="text1"/>
          <w:sz w:val="24"/>
          <w:szCs w:val="24"/>
        </w:rPr>
        <w:t xml:space="preserve">). The average current ratio of its competitor SGS was 1.49 during the last five years and it was more or less equal to the current ratio of Intertek. The current ratios of Intertek </w:t>
      </w:r>
      <w:r w:rsidR="007A6F62" w:rsidRPr="00D11634">
        <w:rPr>
          <w:rFonts w:cs="Times New Roman"/>
          <w:color w:val="000000" w:themeColor="text1"/>
          <w:sz w:val="24"/>
          <w:szCs w:val="24"/>
        </w:rPr>
        <w:t>indicate</w:t>
      </w:r>
      <w:r w:rsidR="004526F1" w:rsidRPr="00D11634">
        <w:rPr>
          <w:rFonts w:cs="Times New Roman"/>
          <w:color w:val="000000" w:themeColor="text1"/>
          <w:sz w:val="24"/>
          <w:szCs w:val="24"/>
        </w:rPr>
        <w:t xml:space="preserve"> that the company faced difficulties in terms of managing its current assets during these years. The difference between the liquid assets and liquid liabilities was not much large. </w:t>
      </w:r>
      <w:r w:rsidR="00EE12F9" w:rsidRPr="00D11634">
        <w:rPr>
          <w:rFonts w:cs="Times New Roman"/>
          <w:color w:val="000000" w:themeColor="text1"/>
          <w:sz w:val="24"/>
          <w:szCs w:val="24"/>
        </w:rPr>
        <w:t xml:space="preserve">The liquidity </w:t>
      </w:r>
      <w:r w:rsidR="003A3508" w:rsidRPr="00D11634">
        <w:rPr>
          <w:rFonts w:cs="Times New Roman"/>
          <w:color w:val="000000" w:themeColor="text1"/>
          <w:sz w:val="24"/>
          <w:szCs w:val="24"/>
        </w:rPr>
        <w:t>position</w:t>
      </w:r>
      <w:r w:rsidR="00EE12F9" w:rsidRPr="00D11634">
        <w:rPr>
          <w:rFonts w:cs="Times New Roman"/>
          <w:color w:val="000000" w:themeColor="text1"/>
          <w:sz w:val="24"/>
          <w:szCs w:val="24"/>
        </w:rPr>
        <w:t xml:space="preserve"> of the company was hampered because of the continuous increase in the short-term borrowings; whereas, the short-term asse</w:t>
      </w:r>
      <w:r w:rsidR="003A3508" w:rsidRPr="00D11634">
        <w:rPr>
          <w:rFonts w:cs="Times New Roman"/>
          <w:color w:val="000000" w:themeColor="text1"/>
          <w:sz w:val="24"/>
          <w:szCs w:val="24"/>
        </w:rPr>
        <w:t>ts of the company was growing sl</w:t>
      </w:r>
      <w:r w:rsidR="00EE12F9" w:rsidRPr="00D11634">
        <w:rPr>
          <w:rFonts w:cs="Times New Roman"/>
          <w:color w:val="000000" w:themeColor="text1"/>
          <w:sz w:val="24"/>
          <w:szCs w:val="24"/>
        </w:rPr>
        <w:t>owly.</w:t>
      </w:r>
      <w:r w:rsidR="004526F1" w:rsidRPr="00D11634">
        <w:rPr>
          <w:rFonts w:cs="Times New Roman"/>
          <w:color w:val="000000" w:themeColor="text1"/>
          <w:sz w:val="24"/>
          <w:szCs w:val="24"/>
        </w:rPr>
        <w:t xml:space="preserve"> However, the industry experts believe that Intertek has maintained a standard level of liquidity in its business (Ft.com, 2019). </w:t>
      </w:r>
    </w:p>
    <w:p w14:paraId="65B10F4A" w14:textId="77777777" w:rsidR="0085128B" w:rsidRPr="00D11634" w:rsidRDefault="008738E8" w:rsidP="004526F1">
      <w:pPr>
        <w:tabs>
          <w:tab w:val="left" w:pos="0"/>
          <w:tab w:val="left" w:pos="540"/>
        </w:tabs>
        <w:rPr>
          <w:rFonts w:cs="Times New Roman"/>
          <w:color w:val="000000" w:themeColor="text1"/>
          <w:sz w:val="24"/>
          <w:szCs w:val="24"/>
        </w:rPr>
      </w:pPr>
      <w:r w:rsidRPr="00D11634">
        <w:rPr>
          <w:rFonts w:cs="Times New Roman"/>
          <w:color w:val="000000" w:themeColor="text1"/>
          <w:sz w:val="24"/>
          <w:szCs w:val="24"/>
        </w:rPr>
        <w:tab/>
      </w:r>
      <w:r w:rsidR="004526F1" w:rsidRPr="00D11634">
        <w:rPr>
          <w:rFonts w:cs="Times New Roman"/>
          <w:color w:val="000000" w:themeColor="text1"/>
          <w:sz w:val="24"/>
          <w:szCs w:val="24"/>
        </w:rPr>
        <w:t xml:space="preserve">During the last five years, the cash ratio of Intertek was not very high, which denotes high capacity of the company to pay its short-term debts by using its cash flows or operating cash. The average cash ratio of the company was above 0.20. however, the experts in the industry believe that the cash ratio of the company was standard as the total debt including the short-term debts of the business has declined. The experts and the management believe that the company will be able to cover its short-term obligations by its operating cash. </w:t>
      </w:r>
    </w:p>
    <w:p w14:paraId="42531937" w14:textId="7D9FBA2C" w:rsidR="0085128B" w:rsidRPr="00D11634" w:rsidRDefault="0085128B" w:rsidP="0085128B">
      <w:pPr>
        <w:pStyle w:val="3"/>
        <w:rPr>
          <w:color w:val="000000" w:themeColor="text1"/>
        </w:rPr>
      </w:pPr>
      <w:bookmarkStart w:id="29" w:name="_Toc41614043"/>
      <w:r w:rsidRPr="00D11634">
        <w:rPr>
          <w:color w:val="000000" w:themeColor="text1"/>
        </w:rPr>
        <w:t>Gearing Ratio</w:t>
      </w:r>
      <w:bookmarkEnd w:id="29"/>
    </w:p>
    <w:p w14:paraId="0C4DBF90" w14:textId="6D80B431" w:rsidR="004526F1" w:rsidRPr="00D11634" w:rsidRDefault="00F41D74" w:rsidP="004526F1">
      <w:pPr>
        <w:tabs>
          <w:tab w:val="left" w:pos="0"/>
          <w:tab w:val="left" w:pos="540"/>
        </w:tabs>
        <w:rPr>
          <w:rFonts w:cs="Times New Roman"/>
          <w:color w:val="000000" w:themeColor="text1"/>
          <w:sz w:val="24"/>
          <w:szCs w:val="24"/>
        </w:rPr>
      </w:pPr>
      <w:r w:rsidRPr="00D11634">
        <w:rPr>
          <w:rFonts w:cs="Times New Roman"/>
          <w:color w:val="000000" w:themeColor="text1"/>
          <w:sz w:val="24"/>
          <w:szCs w:val="24"/>
        </w:rPr>
        <w:t>The Gearing Ratio shows the long-term leverage of the company. It</w:t>
      </w:r>
      <w:r w:rsidR="004526F1" w:rsidRPr="00D11634">
        <w:rPr>
          <w:rFonts w:cs="Times New Roman"/>
          <w:color w:val="000000" w:themeColor="text1"/>
          <w:sz w:val="24"/>
          <w:szCs w:val="24"/>
        </w:rPr>
        <w:t xml:space="preserve"> shows that the company reduced its debt capital by large proportion from 2015 to 2019. Reduction in the debt capital helped the company reducing the risk level of its capital structure. However, compared to the industry average, which was 0.80, the gearing of the company was high. It means the capital </w:t>
      </w:r>
      <w:r w:rsidR="004526F1" w:rsidRPr="00D11634">
        <w:rPr>
          <w:rFonts w:cs="Times New Roman"/>
          <w:color w:val="000000" w:themeColor="text1"/>
          <w:sz w:val="24"/>
          <w:szCs w:val="24"/>
        </w:rPr>
        <w:lastRenderedPageBreak/>
        <w:t xml:space="preserve">structure of </w:t>
      </w:r>
      <w:r w:rsidRPr="00D11634">
        <w:rPr>
          <w:rFonts w:cs="Times New Roman"/>
          <w:color w:val="000000" w:themeColor="text1"/>
          <w:sz w:val="24"/>
          <w:szCs w:val="24"/>
        </w:rPr>
        <w:t xml:space="preserve">Intertek Group Plc </w:t>
      </w:r>
      <w:r w:rsidR="004526F1" w:rsidRPr="00D11634">
        <w:rPr>
          <w:rFonts w:cs="Times New Roman"/>
          <w:color w:val="000000" w:themeColor="text1"/>
          <w:sz w:val="24"/>
          <w:szCs w:val="24"/>
        </w:rPr>
        <w:t>includes high risk than the average industry standard. Though the debt ratio of its competitor SGS was more than 202.64 on average (</w:t>
      </w:r>
      <w:r w:rsidR="004526F1" w:rsidRPr="00D11634">
        <w:rPr>
          <w:rFonts w:cs="Times New Roman"/>
          <w:color w:val="000000" w:themeColor="text1"/>
          <w:sz w:val="24"/>
          <w:szCs w:val="24"/>
          <w:shd w:val="clear" w:color="auto" w:fill="FFFFFF"/>
        </w:rPr>
        <w:t>SGSN, 2019</w:t>
      </w:r>
      <w:r w:rsidR="004526F1" w:rsidRPr="00D11634">
        <w:rPr>
          <w:rFonts w:cs="Times New Roman"/>
          <w:color w:val="000000" w:themeColor="text1"/>
          <w:sz w:val="24"/>
          <w:szCs w:val="24"/>
        </w:rPr>
        <w:t>).</w:t>
      </w:r>
    </w:p>
    <w:p w14:paraId="1DBAA087" w14:textId="77777777" w:rsidR="004526F1" w:rsidRPr="00D11634" w:rsidRDefault="004526F1" w:rsidP="007A6F62">
      <w:pPr>
        <w:pStyle w:val="3"/>
        <w:rPr>
          <w:color w:val="000000" w:themeColor="text1"/>
        </w:rPr>
      </w:pPr>
      <w:bookmarkStart w:id="30" w:name="_Toc41605046"/>
      <w:bookmarkStart w:id="31" w:name="_Toc41614044"/>
      <w:r w:rsidRPr="00D11634">
        <w:rPr>
          <w:color w:val="000000" w:themeColor="text1"/>
        </w:rPr>
        <w:t>Efficiency Ratio</w:t>
      </w:r>
      <w:bookmarkEnd w:id="30"/>
      <w:bookmarkEnd w:id="31"/>
    </w:p>
    <w:p w14:paraId="1BAD0AC6" w14:textId="77777777" w:rsidR="004526F1" w:rsidRPr="00D11634" w:rsidRDefault="008738E8" w:rsidP="004526F1">
      <w:pPr>
        <w:tabs>
          <w:tab w:val="left" w:pos="0"/>
          <w:tab w:val="left" w:pos="540"/>
        </w:tabs>
        <w:rPr>
          <w:rFonts w:cs="Times New Roman"/>
          <w:color w:val="000000" w:themeColor="text1"/>
          <w:sz w:val="24"/>
          <w:szCs w:val="24"/>
        </w:rPr>
      </w:pPr>
      <w:r w:rsidRPr="00D11634">
        <w:rPr>
          <w:rFonts w:cs="Times New Roman"/>
          <w:color w:val="000000" w:themeColor="text1"/>
          <w:sz w:val="24"/>
          <w:szCs w:val="24"/>
        </w:rPr>
        <w:tab/>
      </w:r>
      <w:r w:rsidR="00577773" w:rsidRPr="00D11634">
        <w:rPr>
          <w:rFonts w:cs="Times New Roman"/>
          <w:color w:val="000000" w:themeColor="text1"/>
          <w:sz w:val="24"/>
          <w:szCs w:val="24"/>
        </w:rPr>
        <w:t>The efficiency ratios show how efficiently the company has utilized its short-term assets in the business (</w:t>
      </w:r>
      <w:r w:rsidR="00577773" w:rsidRPr="00D11634">
        <w:rPr>
          <w:color w:val="000000" w:themeColor="text1"/>
        </w:rPr>
        <w:t>Bird and McHugh, 1977</w:t>
      </w:r>
      <w:r w:rsidR="00577773" w:rsidRPr="00D11634">
        <w:rPr>
          <w:rFonts w:cs="Times New Roman"/>
          <w:color w:val="000000" w:themeColor="text1"/>
          <w:sz w:val="24"/>
          <w:szCs w:val="24"/>
        </w:rPr>
        <w:t xml:space="preserve">). </w:t>
      </w:r>
      <w:r w:rsidR="004526F1" w:rsidRPr="00D11634">
        <w:rPr>
          <w:rFonts w:cs="Times New Roman"/>
          <w:color w:val="000000" w:themeColor="text1"/>
          <w:sz w:val="24"/>
          <w:szCs w:val="24"/>
        </w:rPr>
        <w:t>The performance of Intertek was much better in terms of efficiency ratios. The inventory turnover ratio of the company improved gradually from 2015 to 2019. This improvement indicates that the company has utilized and managed its inventory in much better way during these years. Compared to its competitor SGS and the industry average, the performance of the company was much better. The average inventory turnover ratio of SGS was 1.43 and industry average was 10.16 (</w:t>
      </w:r>
      <w:r w:rsidR="004526F1" w:rsidRPr="00D11634">
        <w:rPr>
          <w:rFonts w:cs="Times New Roman"/>
          <w:color w:val="000000" w:themeColor="text1"/>
          <w:sz w:val="24"/>
          <w:szCs w:val="24"/>
          <w:shd w:val="clear" w:color="auto" w:fill="FFFFFF"/>
        </w:rPr>
        <w:t>SGSN, 2019</w:t>
      </w:r>
      <w:r w:rsidR="004526F1" w:rsidRPr="00D11634">
        <w:rPr>
          <w:rFonts w:cs="Times New Roman"/>
          <w:color w:val="000000" w:themeColor="text1"/>
          <w:sz w:val="24"/>
          <w:szCs w:val="24"/>
        </w:rPr>
        <w:t>). Therefore, the performance of Intertek was much better. With respect to the receivable days, it can be mentioned that the company maintained a standard number of days for collecting money from its debtors. However, further improvements can be done for liquidity position betterment.</w:t>
      </w:r>
      <w:r w:rsidR="006F15BB" w:rsidRPr="00D11634">
        <w:rPr>
          <w:rFonts w:cs="Times New Roman"/>
          <w:color w:val="000000" w:themeColor="text1"/>
          <w:sz w:val="24"/>
          <w:szCs w:val="24"/>
        </w:rPr>
        <w:t xml:space="preserve"> The company managed to maintained the efficiency a</w:t>
      </w:r>
      <w:r w:rsidR="0066118C" w:rsidRPr="00D11634">
        <w:rPr>
          <w:rFonts w:cs="Times New Roman"/>
          <w:color w:val="000000" w:themeColor="text1"/>
          <w:sz w:val="24"/>
          <w:szCs w:val="24"/>
        </w:rPr>
        <w:t>t the standard level because the demand for Intertek's products and services was at the standard level, which helped the company converting the inventory into sales.</w:t>
      </w:r>
    </w:p>
    <w:p w14:paraId="58831C74" w14:textId="77777777" w:rsidR="004526F1" w:rsidRPr="00D11634" w:rsidRDefault="004526F1" w:rsidP="007A6F62">
      <w:pPr>
        <w:pStyle w:val="3"/>
        <w:rPr>
          <w:color w:val="000000" w:themeColor="text1"/>
        </w:rPr>
      </w:pPr>
      <w:bookmarkStart w:id="32" w:name="_Toc41605047"/>
      <w:bookmarkStart w:id="33" w:name="_Toc41614045"/>
      <w:r w:rsidRPr="00D11634">
        <w:rPr>
          <w:color w:val="000000" w:themeColor="text1"/>
        </w:rPr>
        <w:t>Investor Ratio</w:t>
      </w:r>
      <w:bookmarkEnd w:id="32"/>
      <w:bookmarkEnd w:id="33"/>
    </w:p>
    <w:p w14:paraId="38E775C4" w14:textId="54376731" w:rsidR="00415C03" w:rsidRPr="00D11634" w:rsidRDefault="008738E8" w:rsidP="00415C03">
      <w:pPr>
        <w:rPr>
          <w:rFonts w:cs="Times New Roman"/>
          <w:color w:val="000000" w:themeColor="text1"/>
          <w:sz w:val="24"/>
          <w:szCs w:val="24"/>
        </w:rPr>
      </w:pPr>
      <w:r w:rsidRPr="00D11634">
        <w:rPr>
          <w:rFonts w:cs="Times New Roman"/>
          <w:color w:val="000000" w:themeColor="text1"/>
          <w:sz w:val="24"/>
          <w:szCs w:val="24"/>
        </w:rPr>
        <w:tab/>
      </w:r>
      <w:r w:rsidR="004526F1" w:rsidRPr="00D11634">
        <w:rPr>
          <w:rFonts w:cs="Times New Roman"/>
          <w:color w:val="000000" w:themeColor="text1"/>
          <w:sz w:val="24"/>
          <w:szCs w:val="24"/>
        </w:rPr>
        <w:t>The investors ratios of the company are showing that the company has gained the confidence of the investors during these years</w:t>
      </w:r>
      <w:r w:rsidR="00496F0C" w:rsidRPr="00D11634">
        <w:rPr>
          <w:rFonts w:cs="Times New Roman"/>
          <w:color w:val="000000" w:themeColor="text1"/>
          <w:sz w:val="24"/>
          <w:szCs w:val="24"/>
        </w:rPr>
        <w:t xml:space="preserve"> (</w:t>
      </w:r>
      <w:r w:rsidR="00496F0C" w:rsidRPr="00D11634">
        <w:rPr>
          <w:color w:val="000000" w:themeColor="text1"/>
        </w:rPr>
        <w:t>Lee and Wu, 1988</w:t>
      </w:r>
      <w:r w:rsidR="00496F0C" w:rsidRPr="00D11634">
        <w:rPr>
          <w:rFonts w:cs="Times New Roman"/>
          <w:color w:val="000000" w:themeColor="text1"/>
          <w:sz w:val="24"/>
          <w:szCs w:val="24"/>
        </w:rPr>
        <w:t>)</w:t>
      </w:r>
      <w:r w:rsidR="004526F1" w:rsidRPr="00D11634">
        <w:rPr>
          <w:rFonts w:cs="Times New Roman"/>
          <w:color w:val="000000" w:themeColor="text1"/>
          <w:sz w:val="24"/>
          <w:szCs w:val="24"/>
        </w:rPr>
        <w:t>. The P/E ratio during the last 5 years are showing that the company has made improvements in gaining the trust of the investors. However, the earnings yield of the company is not showing very high-performance standard for the business. If the P/E ratio of Intertek is compared with the P/E ratio of SGS, bit difference can be noted. The performance of SGS was bit better than Intertek. The comparison with the industry average also shows the same. This implies that though the company has gained the trust of the investors, it requires more improvements in the share market</w:t>
      </w:r>
      <w:r w:rsidR="00496F0C" w:rsidRPr="00D11634">
        <w:rPr>
          <w:rFonts w:cs="Times New Roman"/>
          <w:color w:val="000000" w:themeColor="text1"/>
          <w:sz w:val="24"/>
          <w:szCs w:val="24"/>
        </w:rPr>
        <w:t xml:space="preserve"> (</w:t>
      </w:r>
      <w:r w:rsidR="00496F0C" w:rsidRPr="00D11634">
        <w:rPr>
          <w:color w:val="000000" w:themeColor="text1"/>
        </w:rPr>
        <w:t>Linares-</w:t>
      </w:r>
      <w:proofErr w:type="spellStart"/>
      <w:r w:rsidR="00496F0C" w:rsidRPr="00D11634">
        <w:rPr>
          <w:color w:val="000000" w:themeColor="text1"/>
        </w:rPr>
        <w:t>Mustarós</w:t>
      </w:r>
      <w:proofErr w:type="spellEnd"/>
      <w:r w:rsidR="00496F0C" w:rsidRPr="00D11634">
        <w:rPr>
          <w:color w:val="000000" w:themeColor="text1"/>
        </w:rPr>
        <w:t xml:space="preserve"> </w:t>
      </w:r>
      <w:r w:rsidR="00496F0C" w:rsidRPr="00D11634">
        <w:rPr>
          <w:i/>
          <w:color w:val="000000" w:themeColor="text1"/>
        </w:rPr>
        <w:t>et al.,</w:t>
      </w:r>
      <w:r w:rsidR="00496F0C" w:rsidRPr="00D11634">
        <w:rPr>
          <w:color w:val="000000" w:themeColor="text1"/>
        </w:rPr>
        <w:t xml:space="preserve"> 2018</w:t>
      </w:r>
      <w:r w:rsidR="00496F0C" w:rsidRPr="00D11634">
        <w:rPr>
          <w:rFonts w:cs="Times New Roman"/>
          <w:color w:val="000000" w:themeColor="text1"/>
          <w:sz w:val="24"/>
          <w:szCs w:val="24"/>
        </w:rPr>
        <w:t>)</w:t>
      </w:r>
      <w:r w:rsidR="004526F1" w:rsidRPr="00D11634">
        <w:rPr>
          <w:rFonts w:cs="Times New Roman"/>
          <w:color w:val="000000" w:themeColor="text1"/>
          <w:sz w:val="24"/>
          <w:szCs w:val="24"/>
        </w:rPr>
        <w:t>.</w:t>
      </w:r>
      <w:r w:rsidR="004D7D9E" w:rsidRPr="00D11634">
        <w:rPr>
          <w:rFonts w:cs="Times New Roman"/>
          <w:color w:val="000000" w:themeColor="text1"/>
          <w:sz w:val="24"/>
          <w:szCs w:val="24"/>
        </w:rPr>
        <w:t xml:space="preserve"> The dividend pay</w:t>
      </w:r>
      <w:r w:rsidR="007A6F62" w:rsidRPr="00D11634">
        <w:rPr>
          <w:rFonts w:cs="Times New Roman"/>
          <w:color w:val="000000" w:themeColor="text1"/>
          <w:sz w:val="24"/>
          <w:szCs w:val="24"/>
        </w:rPr>
        <w:t>-</w:t>
      </w:r>
      <w:r w:rsidR="004D7D9E" w:rsidRPr="00D11634">
        <w:rPr>
          <w:rFonts w:cs="Times New Roman"/>
          <w:color w:val="000000" w:themeColor="text1"/>
          <w:sz w:val="24"/>
          <w:szCs w:val="24"/>
        </w:rPr>
        <w:t>out ratio of the company indicated that there was stability in the dividend payment from company's end. The main reason was during the last 4 financial years the company was successful in earning positive income. As in 2015 Intertek faced huge loss, the management was careful about satisfying the investors. The dividend pay</w:t>
      </w:r>
      <w:r w:rsidR="007A6F62" w:rsidRPr="00D11634">
        <w:rPr>
          <w:rFonts w:cs="Times New Roman"/>
          <w:color w:val="000000" w:themeColor="text1"/>
          <w:sz w:val="24"/>
          <w:szCs w:val="24"/>
        </w:rPr>
        <w:t>-</w:t>
      </w:r>
      <w:r w:rsidR="004D7D9E" w:rsidRPr="00D11634">
        <w:rPr>
          <w:rFonts w:cs="Times New Roman"/>
          <w:color w:val="000000" w:themeColor="text1"/>
          <w:sz w:val="24"/>
          <w:szCs w:val="24"/>
        </w:rPr>
        <w:t>out ratio indicated how efficiently the company satisfied its investors.</w:t>
      </w:r>
    </w:p>
    <w:p w14:paraId="229DC210" w14:textId="3B5F1AE5" w:rsidR="007D5CE1" w:rsidRPr="00D11634" w:rsidRDefault="00F41D74" w:rsidP="007A6F62">
      <w:pPr>
        <w:pStyle w:val="2"/>
        <w:rPr>
          <w:color w:val="000000" w:themeColor="text1"/>
        </w:rPr>
      </w:pPr>
      <w:bookmarkStart w:id="34" w:name="_Toc41614046"/>
      <w:r w:rsidRPr="00D11634">
        <w:rPr>
          <w:color w:val="000000" w:themeColor="text1"/>
        </w:rPr>
        <w:lastRenderedPageBreak/>
        <w:t xml:space="preserve">Ratio Analysis: </w:t>
      </w:r>
      <w:r w:rsidR="007D5CE1" w:rsidRPr="00D11634">
        <w:rPr>
          <w:color w:val="000000" w:themeColor="text1"/>
        </w:rPr>
        <w:t>Limitations</w:t>
      </w:r>
      <w:bookmarkStart w:id="35" w:name="_Toc40997215"/>
      <w:bookmarkEnd w:id="34"/>
    </w:p>
    <w:p w14:paraId="192A9BD5" w14:textId="77777777" w:rsidR="007D5CE1" w:rsidRPr="00D11634" w:rsidRDefault="008738E8" w:rsidP="007D5CE1">
      <w:pPr>
        <w:rPr>
          <w:rFonts w:cs="Times New Roman"/>
          <w:color w:val="000000" w:themeColor="text1"/>
          <w:sz w:val="24"/>
          <w:szCs w:val="24"/>
        </w:rPr>
      </w:pPr>
      <w:r w:rsidRPr="00D11634">
        <w:rPr>
          <w:rFonts w:cs="Times New Roman"/>
          <w:color w:val="000000" w:themeColor="text1"/>
          <w:sz w:val="24"/>
          <w:szCs w:val="24"/>
        </w:rPr>
        <w:tab/>
      </w:r>
      <w:r w:rsidR="007D2FC6" w:rsidRPr="00D11634">
        <w:rPr>
          <w:rFonts w:cs="Times New Roman"/>
          <w:color w:val="000000" w:themeColor="text1"/>
          <w:sz w:val="24"/>
          <w:szCs w:val="24"/>
        </w:rPr>
        <w:t>Financial ratios are used as the most important tool for understanding the actual financial health of the business during a particular time span</w:t>
      </w:r>
      <w:r w:rsidR="00496F0C" w:rsidRPr="00D11634">
        <w:rPr>
          <w:rFonts w:cs="Times New Roman"/>
          <w:color w:val="000000" w:themeColor="text1"/>
          <w:sz w:val="24"/>
          <w:szCs w:val="24"/>
        </w:rPr>
        <w:t xml:space="preserve"> (</w:t>
      </w:r>
      <w:proofErr w:type="spellStart"/>
      <w:r w:rsidR="00496F0C" w:rsidRPr="00D11634">
        <w:rPr>
          <w:color w:val="000000" w:themeColor="text1"/>
        </w:rPr>
        <w:t>Massardi</w:t>
      </w:r>
      <w:proofErr w:type="spellEnd"/>
      <w:r w:rsidR="00496F0C" w:rsidRPr="00D11634">
        <w:rPr>
          <w:color w:val="000000" w:themeColor="text1"/>
        </w:rPr>
        <w:t xml:space="preserve"> and Utama, 2018</w:t>
      </w:r>
      <w:r w:rsidR="00496F0C" w:rsidRPr="00D11634">
        <w:rPr>
          <w:rFonts w:cs="Times New Roman"/>
          <w:color w:val="000000" w:themeColor="text1"/>
          <w:sz w:val="24"/>
          <w:szCs w:val="24"/>
        </w:rPr>
        <w:t>)</w:t>
      </w:r>
      <w:r w:rsidR="007D2FC6" w:rsidRPr="00D11634">
        <w:rPr>
          <w:rFonts w:cs="Times New Roman"/>
          <w:color w:val="000000" w:themeColor="text1"/>
          <w:sz w:val="24"/>
          <w:szCs w:val="24"/>
        </w:rPr>
        <w:t>. However, many scholars have criticised the financial ratios from different perspectives, which indicates the loopholes in the tool. Some of these loopholes associated with the financial ratio analysis are discussed below:</w:t>
      </w:r>
    </w:p>
    <w:p w14:paraId="12A900D1" w14:textId="77777777" w:rsidR="00670F1B" w:rsidRPr="00D11634" w:rsidRDefault="00941DF6" w:rsidP="00B407F1">
      <w:pPr>
        <w:pStyle w:val="a9"/>
        <w:numPr>
          <w:ilvl w:val="0"/>
          <w:numId w:val="3"/>
        </w:numPr>
        <w:rPr>
          <w:rFonts w:cs="Times New Roman"/>
          <w:color w:val="000000" w:themeColor="text1"/>
          <w:sz w:val="24"/>
          <w:szCs w:val="24"/>
        </w:rPr>
      </w:pPr>
      <w:r w:rsidRPr="00D11634">
        <w:rPr>
          <w:rFonts w:cs="Times New Roman"/>
          <w:color w:val="000000" w:themeColor="text1"/>
          <w:sz w:val="24"/>
          <w:szCs w:val="24"/>
        </w:rPr>
        <w:t xml:space="preserve">The major loophole in the financial ratio analysis </w:t>
      </w:r>
      <w:r w:rsidR="009341A3" w:rsidRPr="00D11634">
        <w:rPr>
          <w:rFonts w:cs="Times New Roman"/>
          <w:color w:val="000000" w:themeColor="text1"/>
          <w:sz w:val="24"/>
          <w:szCs w:val="24"/>
        </w:rPr>
        <w:t>its dependence on the past information. The tool always considers the past years' financial information for understanding the present financial situation and determining the future decision</w:t>
      </w:r>
      <w:r w:rsidR="003A3508" w:rsidRPr="00D11634">
        <w:rPr>
          <w:rFonts w:cs="Times New Roman"/>
          <w:color w:val="000000" w:themeColor="text1"/>
          <w:sz w:val="24"/>
          <w:szCs w:val="24"/>
        </w:rPr>
        <w:t xml:space="preserve"> (</w:t>
      </w:r>
      <w:proofErr w:type="spellStart"/>
      <w:r w:rsidR="003A3508" w:rsidRPr="00D11634">
        <w:rPr>
          <w:color w:val="000000" w:themeColor="text1"/>
        </w:rPr>
        <w:t>Faello</w:t>
      </w:r>
      <w:proofErr w:type="spellEnd"/>
      <w:r w:rsidR="003A3508" w:rsidRPr="00D11634">
        <w:rPr>
          <w:color w:val="000000" w:themeColor="text1"/>
        </w:rPr>
        <w:t>, 2015</w:t>
      </w:r>
      <w:r w:rsidR="003A3508" w:rsidRPr="00D11634">
        <w:rPr>
          <w:rFonts w:cs="Times New Roman"/>
          <w:color w:val="000000" w:themeColor="text1"/>
          <w:sz w:val="24"/>
          <w:szCs w:val="24"/>
        </w:rPr>
        <w:t>)</w:t>
      </w:r>
      <w:r w:rsidR="009341A3" w:rsidRPr="00D11634">
        <w:rPr>
          <w:rFonts w:cs="Times New Roman"/>
          <w:color w:val="000000" w:themeColor="text1"/>
          <w:sz w:val="24"/>
          <w:szCs w:val="24"/>
        </w:rPr>
        <w:t>. However, some scholars believe that determining the present and future based on the past information is not always valid. The situations in the short run changes and due to that the performance of the company also changes. Hence, making the future decision and understanding the present performance standard based on the past years' data is not viable.</w:t>
      </w:r>
    </w:p>
    <w:p w14:paraId="7890FB82" w14:textId="77777777" w:rsidR="002D2CA2" w:rsidRPr="00D11634" w:rsidRDefault="002D2CA2" w:rsidP="002D2CA2">
      <w:pPr>
        <w:pStyle w:val="a9"/>
        <w:numPr>
          <w:ilvl w:val="0"/>
          <w:numId w:val="3"/>
        </w:numPr>
        <w:rPr>
          <w:rFonts w:cs="Times New Roman"/>
          <w:color w:val="000000" w:themeColor="text1"/>
          <w:sz w:val="24"/>
          <w:szCs w:val="24"/>
        </w:rPr>
      </w:pPr>
      <w:r w:rsidRPr="00D11634">
        <w:rPr>
          <w:rFonts w:cs="Times New Roman"/>
          <w:color w:val="000000" w:themeColor="text1"/>
          <w:sz w:val="24"/>
          <w:szCs w:val="24"/>
        </w:rPr>
        <w:t>Another limitation of the financial ratio is that it ignores the seasonal effects on the business. Sometimes, in some seasons the companies perform better than the other times in the year</w:t>
      </w:r>
      <w:r w:rsidR="003A3508" w:rsidRPr="00D11634">
        <w:rPr>
          <w:rFonts w:cs="Times New Roman"/>
          <w:color w:val="000000" w:themeColor="text1"/>
          <w:sz w:val="24"/>
          <w:szCs w:val="24"/>
        </w:rPr>
        <w:t xml:space="preserve"> (</w:t>
      </w:r>
      <w:proofErr w:type="spellStart"/>
      <w:r w:rsidR="003A3508" w:rsidRPr="00D11634">
        <w:rPr>
          <w:color w:val="000000" w:themeColor="text1"/>
        </w:rPr>
        <w:t>Lesakova</w:t>
      </w:r>
      <w:proofErr w:type="spellEnd"/>
      <w:r w:rsidR="003A3508" w:rsidRPr="00D11634">
        <w:rPr>
          <w:color w:val="000000" w:themeColor="text1"/>
        </w:rPr>
        <w:t>, 2007</w:t>
      </w:r>
      <w:r w:rsidR="003A3508" w:rsidRPr="00D11634">
        <w:rPr>
          <w:rFonts w:cs="Times New Roman"/>
          <w:color w:val="000000" w:themeColor="text1"/>
          <w:sz w:val="24"/>
          <w:szCs w:val="24"/>
        </w:rPr>
        <w:t>)</w:t>
      </w:r>
      <w:r w:rsidRPr="00D11634">
        <w:rPr>
          <w:rFonts w:cs="Times New Roman"/>
          <w:color w:val="000000" w:themeColor="text1"/>
          <w:sz w:val="24"/>
          <w:szCs w:val="24"/>
        </w:rPr>
        <w:t xml:space="preserve">. However, this variation is not considered under this particular tool of financial decision making. It means the </w:t>
      </w:r>
      <w:r w:rsidR="00055AD7" w:rsidRPr="00D11634">
        <w:rPr>
          <w:rFonts w:cs="Times New Roman"/>
          <w:color w:val="000000" w:themeColor="text1"/>
          <w:sz w:val="24"/>
          <w:szCs w:val="24"/>
        </w:rPr>
        <w:t>true view of the financial health of the company may not get disclosed under this method.</w:t>
      </w:r>
    </w:p>
    <w:p w14:paraId="6D0DA329" w14:textId="75E33A61" w:rsidR="00E86776" w:rsidRPr="00D11634" w:rsidRDefault="00E86776" w:rsidP="002D2CA2">
      <w:pPr>
        <w:pStyle w:val="a9"/>
        <w:numPr>
          <w:ilvl w:val="0"/>
          <w:numId w:val="3"/>
        </w:numPr>
        <w:rPr>
          <w:rFonts w:cs="Times New Roman"/>
          <w:color w:val="000000" w:themeColor="text1"/>
          <w:sz w:val="24"/>
          <w:szCs w:val="24"/>
        </w:rPr>
      </w:pPr>
      <w:r w:rsidRPr="00D11634">
        <w:rPr>
          <w:rFonts w:cs="Times New Roman"/>
          <w:color w:val="000000" w:themeColor="text1"/>
          <w:sz w:val="24"/>
          <w:szCs w:val="24"/>
        </w:rPr>
        <w:t xml:space="preserve">Financial ratios do not </w:t>
      </w:r>
      <w:r w:rsidR="00F41D74" w:rsidRPr="00D11634">
        <w:rPr>
          <w:rFonts w:cs="Times New Roman"/>
          <w:color w:val="000000" w:themeColor="text1"/>
          <w:sz w:val="24"/>
          <w:szCs w:val="24"/>
        </w:rPr>
        <w:t>deliberate</w:t>
      </w:r>
      <w:r w:rsidRPr="00D11634">
        <w:rPr>
          <w:rFonts w:cs="Times New Roman"/>
          <w:color w:val="000000" w:themeColor="text1"/>
          <w:sz w:val="24"/>
          <w:szCs w:val="24"/>
        </w:rPr>
        <w:t xml:space="preserve"> the variations in the financial methods or accounting methods that the companies adopt. Sometimes, the accounting methods of the two companies differ from each other</w:t>
      </w:r>
      <w:r w:rsidR="003A3508" w:rsidRPr="00D11634">
        <w:rPr>
          <w:rFonts w:cs="Times New Roman"/>
          <w:color w:val="000000" w:themeColor="text1"/>
          <w:sz w:val="24"/>
          <w:szCs w:val="24"/>
        </w:rPr>
        <w:t xml:space="preserve"> (</w:t>
      </w:r>
      <w:proofErr w:type="spellStart"/>
      <w:r w:rsidR="003A3508" w:rsidRPr="00D11634">
        <w:rPr>
          <w:color w:val="000000" w:themeColor="text1"/>
        </w:rPr>
        <w:t>Gadoiu</w:t>
      </w:r>
      <w:proofErr w:type="spellEnd"/>
      <w:r w:rsidR="003A3508" w:rsidRPr="00D11634">
        <w:rPr>
          <w:color w:val="000000" w:themeColor="text1"/>
        </w:rPr>
        <w:t>, 2014</w:t>
      </w:r>
      <w:r w:rsidR="003A3508" w:rsidRPr="00D11634">
        <w:rPr>
          <w:rFonts w:cs="Times New Roman"/>
          <w:color w:val="000000" w:themeColor="text1"/>
          <w:sz w:val="24"/>
          <w:szCs w:val="24"/>
        </w:rPr>
        <w:t>)</w:t>
      </w:r>
      <w:r w:rsidRPr="00D11634">
        <w:rPr>
          <w:rFonts w:cs="Times New Roman"/>
          <w:color w:val="000000" w:themeColor="text1"/>
          <w:sz w:val="24"/>
          <w:szCs w:val="24"/>
        </w:rPr>
        <w:t>. For example, the assets valuation method may differ between two companies; however, at the time of making decision bas</w:t>
      </w:r>
      <w:r w:rsidR="00A609CF" w:rsidRPr="00D11634">
        <w:rPr>
          <w:rFonts w:cs="Times New Roman"/>
          <w:color w:val="000000" w:themeColor="text1"/>
          <w:sz w:val="24"/>
          <w:szCs w:val="24"/>
        </w:rPr>
        <w:t xml:space="preserve">ed on the financial ratios, this important factor is ignored completely. </w:t>
      </w:r>
    </w:p>
    <w:p w14:paraId="3F393C54" w14:textId="77777777" w:rsidR="007D5CE1" w:rsidRPr="00D11634" w:rsidRDefault="008738E8" w:rsidP="007D5CE1">
      <w:pPr>
        <w:rPr>
          <w:rFonts w:cs="Times New Roman"/>
          <w:color w:val="000000" w:themeColor="text1"/>
          <w:sz w:val="24"/>
          <w:szCs w:val="24"/>
        </w:rPr>
      </w:pPr>
      <w:r w:rsidRPr="00D11634">
        <w:rPr>
          <w:rFonts w:cs="Times New Roman"/>
          <w:color w:val="000000" w:themeColor="text1"/>
          <w:sz w:val="24"/>
          <w:szCs w:val="24"/>
        </w:rPr>
        <w:tab/>
      </w:r>
      <w:r w:rsidR="00A609CF" w:rsidRPr="00D11634">
        <w:rPr>
          <w:rFonts w:cs="Times New Roman"/>
          <w:color w:val="000000" w:themeColor="text1"/>
          <w:sz w:val="24"/>
          <w:szCs w:val="24"/>
        </w:rPr>
        <w:t>Therefore, on the basis of the above discussion, it is understandable that the financial ratios have several drawbacks, which the companies are required to be considered at the time of using the same for financial decision making.</w:t>
      </w:r>
    </w:p>
    <w:p w14:paraId="11CC33AB" w14:textId="77777777" w:rsidR="00313214" w:rsidRPr="00D11634" w:rsidRDefault="00313214" w:rsidP="007A6F62">
      <w:pPr>
        <w:pStyle w:val="2"/>
        <w:rPr>
          <w:color w:val="000000" w:themeColor="text1"/>
        </w:rPr>
      </w:pPr>
      <w:bookmarkStart w:id="36" w:name="_Toc41614047"/>
      <w:r w:rsidRPr="00D11634">
        <w:rPr>
          <w:color w:val="000000" w:themeColor="text1"/>
        </w:rPr>
        <w:t>Conclusion and Recommendations</w:t>
      </w:r>
      <w:bookmarkEnd w:id="36"/>
      <w:r w:rsidR="005E4155" w:rsidRPr="00D11634">
        <w:rPr>
          <w:color w:val="000000" w:themeColor="text1"/>
        </w:rPr>
        <w:t xml:space="preserve"> </w:t>
      </w:r>
      <w:bookmarkEnd w:id="35"/>
    </w:p>
    <w:p w14:paraId="61E6CFBB" w14:textId="169A2089" w:rsidR="00A42F91" w:rsidRPr="00D11634" w:rsidRDefault="008738E8" w:rsidP="00415C03">
      <w:pPr>
        <w:rPr>
          <w:rFonts w:cs="Times New Roman"/>
          <w:color w:val="000000" w:themeColor="text1"/>
          <w:sz w:val="24"/>
          <w:szCs w:val="24"/>
          <w:lang w:val="en-US"/>
        </w:rPr>
      </w:pPr>
      <w:bookmarkStart w:id="37" w:name="_Toc40997216"/>
      <w:r w:rsidRPr="00D11634">
        <w:rPr>
          <w:rFonts w:cs="Times New Roman"/>
          <w:color w:val="000000" w:themeColor="text1"/>
          <w:sz w:val="24"/>
          <w:szCs w:val="24"/>
          <w:lang w:val="en-US"/>
        </w:rPr>
        <w:tab/>
      </w:r>
      <w:r w:rsidR="00415C03" w:rsidRPr="00D11634">
        <w:rPr>
          <w:rFonts w:cs="Times New Roman"/>
          <w:color w:val="000000" w:themeColor="text1"/>
          <w:sz w:val="24"/>
          <w:szCs w:val="24"/>
          <w:lang w:val="en-US"/>
        </w:rPr>
        <w:t>With respect to the above analysis of the financial ratios, a clear view of the financial performance standard of Intertek has been gained. The company has improved its standard of performance, but improvements are required in terms of liquidity, profitability and investor ratios.</w:t>
      </w:r>
      <w:r w:rsidR="00606FA9" w:rsidRPr="00D11634">
        <w:rPr>
          <w:rFonts w:cs="Times New Roman"/>
          <w:color w:val="000000" w:themeColor="text1"/>
          <w:sz w:val="24"/>
          <w:szCs w:val="24"/>
          <w:lang w:val="en-US"/>
        </w:rPr>
        <w:t xml:space="preserve"> Comparison on the basis of the industry average standard and one of its major competitors, it is </w:t>
      </w:r>
      <w:r w:rsidR="00606FA9" w:rsidRPr="00D11634">
        <w:rPr>
          <w:rFonts w:cs="Times New Roman"/>
          <w:color w:val="000000" w:themeColor="text1"/>
          <w:sz w:val="24"/>
          <w:szCs w:val="24"/>
          <w:lang w:val="en-US"/>
        </w:rPr>
        <w:lastRenderedPageBreak/>
        <w:t>realized that the performance improvements are required.</w:t>
      </w:r>
      <w:r w:rsidR="005D7DB3" w:rsidRPr="00D11634">
        <w:rPr>
          <w:rFonts w:cs="Times New Roman"/>
          <w:color w:val="000000" w:themeColor="text1"/>
          <w:sz w:val="24"/>
          <w:szCs w:val="24"/>
          <w:lang w:val="en-US"/>
        </w:rPr>
        <w:t xml:space="preserve"> There are some ratios, in which the company is lacking behind and due to that the company needs to be more careful</w:t>
      </w:r>
      <w:r w:rsidR="00A11A4A" w:rsidRPr="00D11634">
        <w:rPr>
          <w:rFonts w:cs="Times New Roman"/>
          <w:color w:val="000000" w:themeColor="text1"/>
          <w:sz w:val="24"/>
          <w:szCs w:val="24"/>
          <w:lang w:val="en-US"/>
        </w:rPr>
        <w:t xml:space="preserve"> while operating in the market.</w:t>
      </w:r>
      <w:r w:rsidR="00A42F91" w:rsidRPr="00D11634">
        <w:rPr>
          <w:rFonts w:cs="Times New Roman"/>
          <w:color w:val="000000" w:themeColor="text1"/>
          <w:sz w:val="24"/>
          <w:szCs w:val="24"/>
          <w:lang w:val="en-US"/>
        </w:rPr>
        <w:t xml:space="preserve"> Here, some recommendations have been developed that can help the company improving its financial performance in future:</w:t>
      </w:r>
    </w:p>
    <w:p w14:paraId="6EBC2401" w14:textId="77777777" w:rsidR="00A42F91" w:rsidRPr="00D11634" w:rsidRDefault="00A42F91" w:rsidP="000804FB">
      <w:pPr>
        <w:pStyle w:val="a9"/>
        <w:numPr>
          <w:ilvl w:val="0"/>
          <w:numId w:val="2"/>
        </w:numPr>
        <w:rPr>
          <w:rFonts w:cs="Times New Roman"/>
          <w:color w:val="000000" w:themeColor="text1"/>
          <w:sz w:val="24"/>
          <w:szCs w:val="24"/>
          <w:lang w:val="en-US"/>
        </w:rPr>
      </w:pPr>
      <w:r w:rsidRPr="00D11634">
        <w:rPr>
          <w:rFonts w:cs="Times New Roman"/>
          <w:color w:val="000000" w:themeColor="text1"/>
          <w:sz w:val="24"/>
          <w:szCs w:val="24"/>
          <w:lang w:val="en-US"/>
        </w:rPr>
        <w:t>The company needs to have better control over its COGS. The financial information has shown continuous growth in the COGS. Adoption of the modern cost management technique like Activity-based costing can help the company in managing and controlling the cost level to some extent. This will help to improve the profitability of the business.</w:t>
      </w:r>
    </w:p>
    <w:p w14:paraId="42BE29DB" w14:textId="77777777" w:rsidR="00B479C3" w:rsidRPr="00D11634" w:rsidRDefault="00A42F91" w:rsidP="000804FB">
      <w:pPr>
        <w:pStyle w:val="a9"/>
        <w:numPr>
          <w:ilvl w:val="0"/>
          <w:numId w:val="2"/>
        </w:numPr>
        <w:rPr>
          <w:rFonts w:eastAsiaTheme="majorEastAsia" w:cs="Times New Roman"/>
          <w:b/>
          <w:color w:val="000000" w:themeColor="text1"/>
          <w:sz w:val="24"/>
          <w:szCs w:val="24"/>
        </w:rPr>
      </w:pPr>
      <w:r w:rsidRPr="00D11634">
        <w:rPr>
          <w:rFonts w:cs="Times New Roman"/>
          <w:color w:val="000000" w:themeColor="text1"/>
          <w:sz w:val="24"/>
          <w:szCs w:val="24"/>
          <w:lang w:val="en-US"/>
        </w:rPr>
        <w:t xml:space="preserve">For improving the </w:t>
      </w:r>
      <w:r w:rsidR="00830610" w:rsidRPr="00D11634">
        <w:rPr>
          <w:rFonts w:cs="Times New Roman"/>
          <w:color w:val="000000" w:themeColor="text1"/>
          <w:sz w:val="24"/>
          <w:szCs w:val="24"/>
          <w:lang w:val="en-US"/>
        </w:rPr>
        <w:t xml:space="preserve">liquidity position of the company focus is required to be made on the </w:t>
      </w:r>
      <w:r w:rsidR="001A3DA3" w:rsidRPr="00D11634">
        <w:rPr>
          <w:rFonts w:cs="Times New Roman"/>
          <w:color w:val="000000" w:themeColor="text1"/>
          <w:sz w:val="24"/>
          <w:szCs w:val="24"/>
          <w:lang w:val="en-US"/>
        </w:rPr>
        <w:t>current liability of the business. The amount of short-term borrowings is required to be reduced for controlling the current obligations of the business. At the same time, the company needs to enhance its inventories for managing the liquidity in a better way.</w:t>
      </w:r>
    </w:p>
    <w:p w14:paraId="50CA41B5" w14:textId="63D04611" w:rsidR="007144EF" w:rsidRPr="007144EF" w:rsidRDefault="00F411EC" w:rsidP="000804FB">
      <w:pPr>
        <w:pStyle w:val="a9"/>
        <w:numPr>
          <w:ilvl w:val="0"/>
          <w:numId w:val="2"/>
        </w:numPr>
        <w:rPr>
          <w:rFonts w:eastAsiaTheme="majorEastAsia" w:cs="Times New Roman"/>
          <w:b/>
          <w:color w:val="000000" w:themeColor="text1"/>
          <w:sz w:val="24"/>
          <w:szCs w:val="24"/>
        </w:rPr>
      </w:pPr>
      <w:r w:rsidRPr="00D11634">
        <w:rPr>
          <w:rFonts w:cs="Times New Roman"/>
          <w:color w:val="000000" w:themeColor="text1"/>
          <w:sz w:val="24"/>
          <w:szCs w:val="24"/>
          <w:lang w:val="en-US"/>
        </w:rPr>
        <w:t xml:space="preserve">The capital structure of Intertek indicates inclusion of high debt capital in the business. However, for making the </w:t>
      </w:r>
      <w:r w:rsidR="0077008C" w:rsidRPr="00D11634">
        <w:rPr>
          <w:rFonts w:cs="Times New Roman"/>
          <w:color w:val="000000" w:themeColor="text1"/>
          <w:sz w:val="24"/>
          <w:szCs w:val="24"/>
          <w:lang w:val="en-US"/>
        </w:rPr>
        <w:t xml:space="preserve">financial health stronger, the company needs to bring a balance between the </w:t>
      </w:r>
      <w:r w:rsidR="00F71393" w:rsidRPr="00D11634">
        <w:rPr>
          <w:rFonts w:cs="Times New Roman"/>
          <w:color w:val="000000" w:themeColor="text1"/>
          <w:sz w:val="24"/>
          <w:szCs w:val="24"/>
          <w:lang w:val="en-US"/>
        </w:rPr>
        <w:t xml:space="preserve">debt capital and equity capital of the business. </w:t>
      </w:r>
      <w:r w:rsidR="0000626A" w:rsidRPr="00D11634">
        <w:rPr>
          <w:rFonts w:cs="Times New Roman"/>
          <w:color w:val="000000" w:themeColor="text1"/>
          <w:sz w:val="24"/>
          <w:szCs w:val="24"/>
          <w:lang w:val="en-US"/>
        </w:rPr>
        <w:t xml:space="preserve">The </w:t>
      </w:r>
      <w:r w:rsidR="0090428D" w:rsidRPr="00D11634">
        <w:rPr>
          <w:rFonts w:cs="Times New Roman"/>
          <w:color w:val="000000" w:themeColor="text1"/>
          <w:sz w:val="24"/>
          <w:szCs w:val="24"/>
          <w:lang w:val="en-US"/>
        </w:rPr>
        <w:t xml:space="preserve">proportion of debt capital is required to be reduced, whereas, the equity capital needs to be </w:t>
      </w:r>
      <w:r w:rsidR="00DE1C84" w:rsidRPr="00D11634">
        <w:rPr>
          <w:rFonts w:cs="Times New Roman"/>
          <w:color w:val="000000" w:themeColor="text1"/>
          <w:sz w:val="24"/>
          <w:szCs w:val="24"/>
          <w:lang w:val="en-US"/>
        </w:rPr>
        <w:t>increased</w:t>
      </w:r>
      <w:r w:rsidR="0090428D" w:rsidRPr="00D11634">
        <w:rPr>
          <w:rFonts w:cs="Times New Roman"/>
          <w:color w:val="000000" w:themeColor="text1"/>
          <w:sz w:val="24"/>
          <w:szCs w:val="24"/>
          <w:lang w:val="en-US"/>
        </w:rPr>
        <w:t>.</w:t>
      </w:r>
    </w:p>
    <w:p w14:paraId="410561FF" w14:textId="7E5D3250" w:rsidR="007144EF" w:rsidRDefault="007144EF" w:rsidP="007144EF">
      <w:pPr>
        <w:rPr>
          <w:rFonts w:cs="Times New Roman"/>
          <w:color w:val="000000" w:themeColor="text1"/>
          <w:sz w:val="24"/>
          <w:szCs w:val="24"/>
        </w:rPr>
      </w:pPr>
    </w:p>
    <w:p w14:paraId="4F6E4A7A" w14:textId="77777777" w:rsidR="007144EF" w:rsidRDefault="007144EF" w:rsidP="007144EF">
      <w:pPr>
        <w:rPr>
          <w:rFonts w:cs="Times New Roman"/>
          <w:color w:val="000000" w:themeColor="text1"/>
          <w:sz w:val="24"/>
          <w:szCs w:val="24"/>
        </w:rPr>
      </w:pPr>
    </w:p>
    <w:p w14:paraId="068D50A0" w14:textId="4E9085EB" w:rsidR="007144EF" w:rsidRDefault="00051CB9" w:rsidP="007144EF">
      <w:pPr>
        <w:rPr>
          <w:rFonts w:cs="Times New Roman"/>
          <w:color w:val="000000" w:themeColor="text1"/>
          <w:sz w:val="24"/>
          <w:szCs w:val="24"/>
        </w:rPr>
      </w:pPr>
      <w:bookmarkStart w:id="38" w:name="_GoBack"/>
      <w:bookmarkEnd w:id="38"/>
      <w:r>
        <w:rPr>
          <w:rFonts w:cs="Times New Roman"/>
          <w:noProof/>
          <w:color w:val="000000" w:themeColor="text1"/>
          <w:sz w:val="24"/>
          <w:szCs w:val="24"/>
          <w:lang w:val="en-US"/>
        </w:rPr>
        <w:drawing>
          <wp:anchor distT="0" distB="0" distL="114300" distR="114300" simplePos="0" relativeHeight="251659264" behindDoc="0" locked="0" layoutInCell="1" allowOverlap="1" wp14:anchorId="17320866" wp14:editId="196E6E80">
            <wp:simplePos x="0" y="0"/>
            <wp:positionH relativeFrom="column">
              <wp:posOffset>1164590</wp:posOffset>
            </wp:positionH>
            <wp:positionV relativeFrom="paragraph">
              <wp:posOffset>304546</wp:posOffset>
            </wp:positionV>
            <wp:extent cx="1524000" cy="698500"/>
            <wp:effectExtent l="0" t="0" r="0" b="0"/>
            <wp:wrapSquare wrapText="bothSides"/>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udio.m4a" descr="movie::/Users/Baishangyi/Music/iTunes/iTunes Media/Music/Unknown Artist/Unknown Album/Audio.m4a"/>
                    <pic:cNvPicPr/>
                  </pic:nvPicPr>
                  <pic:blipFill>
                    <a:blip r:embed="rId18">
                      <a:extLst>
                        <a:ext uri="{28A0092B-C50C-407E-A947-70E740481C1C}">
                          <a14:useLocalDpi xmlns:a14="http://schemas.microsoft.com/office/drawing/2010/main" val="0"/>
                        </a:ext>
                      </a:extLst>
                    </a:blip>
                    <a:stretch>
                      <a:fillRect/>
                    </a:stretch>
                  </pic:blipFill>
                  <pic:spPr>
                    <a:xfrm>
                      <a:off x="0" y="0"/>
                      <a:ext cx="1524000" cy="698500"/>
                    </a:xfrm>
                    <a:prstGeom prst="rect">
                      <a:avLst/>
                    </a:prstGeom>
                  </pic:spPr>
                </pic:pic>
              </a:graphicData>
            </a:graphic>
          </wp:anchor>
        </w:drawing>
      </w:r>
    </w:p>
    <w:p w14:paraId="14589B31" w14:textId="50C89CF0" w:rsidR="007A14AF" w:rsidRPr="007144EF" w:rsidRDefault="007144EF" w:rsidP="007144EF">
      <w:pPr>
        <w:jc w:val="left"/>
        <w:rPr>
          <w:rFonts w:eastAsiaTheme="majorEastAsia" w:cs="Times New Roman"/>
          <w:b/>
          <w:color w:val="000000" w:themeColor="text1"/>
          <w:sz w:val="24"/>
          <w:szCs w:val="24"/>
        </w:rPr>
      </w:pPr>
      <w:r>
        <w:rPr>
          <w:rFonts w:cs="Times New Roman"/>
          <w:b/>
          <w:color w:val="000000" w:themeColor="text1"/>
          <w:sz w:val="24"/>
          <w:szCs w:val="24"/>
        </w:rPr>
        <w:t xml:space="preserve">Part 1 </w:t>
      </w:r>
      <w:r w:rsidRPr="007144EF">
        <w:rPr>
          <w:rFonts w:cs="Times New Roman"/>
          <w:b/>
          <w:color w:val="000000" w:themeColor="text1"/>
          <w:sz w:val="24"/>
          <w:szCs w:val="24"/>
        </w:rPr>
        <w:t>Audio:</w:t>
      </w:r>
      <w:r>
        <w:rPr>
          <w:rFonts w:cs="Times New Roman"/>
          <w:b/>
          <w:color w:val="000000" w:themeColor="text1"/>
          <w:sz w:val="24"/>
          <w:szCs w:val="24"/>
        </w:rPr>
        <w:t xml:space="preserve"> </w:t>
      </w:r>
      <w:r w:rsidR="007A14AF" w:rsidRPr="007144EF">
        <w:rPr>
          <w:rFonts w:cs="Times New Roman"/>
          <w:b/>
          <w:color w:val="000000" w:themeColor="text1"/>
          <w:sz w:val="24"/>
          <w:szCs w:val="24"/>
        </w:rPr>
        <w:br w:type="page"/>
      </w:r>
    </w:p>
    <w:p w14:paraId="2646581B" w14:textId="77777777" w:rsidR="00313214" w:rsidRPr="00D11634" w:rsidRDefault="00313214" w:rsidP="007A6F62">
      <w:pPr>
        <w:pStyle w:val="1"/>
        <w:rPr>
          <w:color w:val="000000" w:themeColor="text1"/>
        </w:rPr>
      </w:pPr>
      <w:bookmarkStart w:id="39" w:name="_Toc41614048"/>
      <w:r w:rsidRPr="00D11634">
        <w:rPr>
          <w:color w:val="000000" w:themeColor="text1"/>
        </w:rPr>
        <w:lastRenderedPageBreak/>
        <w:t>Part 2</w:t>
      </w:r>
      <w:bookmarkEnd w:id="37"/>
      <w:bookmarkEnd w:id="39"/>
    </w:p>
    <w:p w14:paraId="73AECB36" w14:textId="77777777" w:rsidR="00AA65E2" w:rsidRPr="00D11634" w:rsidRDefault="00AA65E2" w:rsidP="007A6F62">
      <w:pPr>
        <w:pStyle w:val="2"/>
        <w:rPr>
          <w:color w:val="000000" w:themeColor="text1"/>
        </w:rPr>
      </w:pPr>
      <w:bookmarkStart w:id="40" w:name="_Toc41614049"/>
      <w:bookmarkStart w:id="41" w:name="_Toc40997217"/>
      <w:r w:rsidRPr="00D11634">
        <w:rPr>
          <w:color w:val="000000" w:themeColor="text1"/>
        </w:rPr>
        <w:t>Introduction</w:t>
      </w:r>
      <w:bookmarkEnd w:id="40"/>
      <w:r w:rsidR="005E4155" w:rsidRPr="00D11634">
        <w:rPr>
          <w:color w:val="000000" w:themeColor="text1"/>
        </w:rPr>
        <w:t xml:space="preserve"> </w:t>
      </w:r>
      <w:bookmarkEnd w:id="41"/>
    </w:p>
    <w:p w14:paraId="13B6DACB" w14:textId="5CF8B9F2" w:rsidR="000804FB" w:rsidRPr="00D11634" w:rsidRDefault="008738E8" w:rsidP="000804FB">
      <w:pPr>
        <w:rPr>
          <w:rFonts w:cs="Times New Roman"/>
          <w:color w:val="000000" w:themeColor="text1"/>
          <w:sz w:val="24"/>
          <w:szCs w:val="24"/>
        </w:rPr>
      </w:pPr>
      <w:r w:rsidRPr="00D11634">
        <w:rPr>
          <w:rFonts w:cs="Times New Roman"/>
          <w:color w:val="000000" w:themeColor="text1"/>
          <w:sz w:val="24"/>
          <w:szCs w:val="24"/>
        </w:rPr>
        <w:tab/>
      </w:r>
      <w:r w:rsidR="007D1885" w:rsidRPr="00D11634">
        <w:rPr>
          <w:rFonts w:cs="Times New Roman"/>
          <w:color w:val="000000" w:themeColor="text1"/>
          <w:sz w:val="24"/>
          <w:szCs w:val="24"/>
        </w:rPr>
        <w:t xml:space="preserve">For growing any business, a company must make different types of investments. Making the right choice of investment is very complicated. Companies need to consider several factors while making the final decision for an investment. In order to simplify the investment decision, companies adopt different methods, which are known as the investment appraisal methods. Some of the most popular investment </w:t>
      </w:r>
      <w:r w:rsidR="003D4E4B" w:rsidRPr="00D11634">
        <w:rPr>
          <w:rFonts w:cs="Times New Roman"/>
          <w:color w:val="000000" w:themeColor="text1"/>
          <w:sz w:val="24"/>
          <w:szCs w:val="24"/>
        </w:rPr>
        <w:t>evaluation</w:t>
      </w:r>
      <w:r w:rsidR="007D1885" w:rsidRPr="00D11634">
        <w:rPr>
          <w:rFonts w:cs="Times New Roman"/>
          <w:color w:val="000000" w:themeColor="text1"/>
          <w:sz w:val="24"/>
          <w:szCs w:val="24"/>
        </w:rPr>
        <w:t xml:space="preserve"> methods are - Net Present Value</w:t>
      </w:r>
      <w:r w:rsidR="003D4E4B" w:rsidRPr="00D11634">
        <w:rPr>
          <w:rFonts w:cs="Times New Roman"/>
          <w:color w:val="000000" w:themeColor="text1"/>
          <w:sz w:val="24"/>
          <w:szCs w:val="24"/>
        </w:rPr>
        <w:t xml:space="preserve"> (NPV)</w:t>
      </w:r>
      <w:r w:rsidR="007D1885" w:rsidRPr="00D11634">
        <w:rPr>
          <w:rFonts w:cs="Times New Roman"/>
          <w:color w:val="000000" w:themeColor="text1"/>
          <w:sz w:val="24"/>
          <w:szCs w:val="24"/>
        </w:rPr>
        <w:t xml:space="preserve"> and Internal Rate of Return </w:t>
      </w:r>
      <w:r w:rsidR="003D4E4B" w:rsidRPr="00D11634">
        <w:rPr>
          <w:rFonts w:cs="Times New Roman"/>
          <w:color w:val="000000" w:themeColor="text1"/>
          <w:sz w:val="24"/>
          <w:szCs w:val="24"/>
        </w:rPr>
        <w:t>(</w:t>
      </w:r>
      <w:r w:rsidR="007D1885" w:rsidRPr="00D11634">
        <w:rPr>
          <w:rFonts w:cs="Times New Roman"/>
          <w:color w:val="000000" w:themeColor="text1"/>
          <w:sz w:val="24"/>
          <w:szCs w:val="24"/>
        </w:rPr>
        <w:t>IRR</w:t>
      </w:r>
      <w:r w:rsidR="003D4E4B" w:rsidRPr="00D11634">
        <w:rPr>
          <w:rFonts w:cs="Times New Roman"/>
          <w:color w:val="000000" w:themeColor="text1"/>
          <w:sz w:val="24"/>
          <w:szCs w:val="24"/>
        </w:rPr>
        <w:t>)</w:t>
      </w:r>
      <w:r w:rsidR="007D1885" w:rsidRPr="00D11634">
        <w:rPr>
          <w:rFonts w:cs="Times New Roman"/>
          <w:color w:val="000000" w:themeColor="text1"/>
          <w:sz w:val="24"/>
          <w:szCs w:val="24"/>
        </w:rPr>
        <w:t xml:space="preserve">. These two methods are used by most of the firms for </w:t>
      </w:r>
      <w:r w:rsidR="00307DFE" w:rsidRPr="00D11634">
        <w:rPr>
          <w:rFonts w:cs="Times New Roman"/>
          <w:color w:val="000000" w:themeColor="text1"/>
          <w:sz w:val="24"/>
          <w:szCs w:val="24"/>
        </w:rPr>
        <w:t xml:space="preserve">critically </w:t>
      </w:r>
      <w:r w:rsidR="00CD5685" w:rsidRPr="00D11634">
        <w:rPr>
          <w:rFonts w:cs="Times New Roman"/>
          <w:color w:val="000000" w:themeColor="text1"/>
          <w:sz w:val="24"/>
          <w:szCs w:val="24"/>
        </w:rPr>
        <w:t>analysing</w:t>
      </w:r>
      <w:r w:rsidR="00307DFE" w:rsidRPr="00D11634">
        <w:rPr>
          <w:rFonts w:cs="Times New Roman"/>
          <w:color w:val="000000" w:themeColor="text1"/>
          <w:sz w:val="24"/>
          <w:szCs w:val="24"/>
        </w:rPr>
        <w:t xml:space="preserve"> their investment decisions. These two methods help to evaluate the investment options by considering the</w:t>
      </w:r>
      <w:r w:rsidR="008A110B" w:rsidRPr="00D11634">
        <w:rPr>
          <w:rFonts w:cs="Times New Roman"/>
          <w:color w:val="000000" w:themeColor="text1"/>
          <w:sz w:val="24"/>
          <w:szCs w:val="24"/>
        </w:rPr>
        <w:t xml:space="preserve"> key factors like profitability, future cash flow and others.</w:t>
      </w:r>
    </w:p>
    <w:p w14:paraId="68F4611B" w14:textId="77777777" w:rsidR="008A110B" w:rsidRPr="00D11634" w:rsidRDefault="008738E8" w:rsidP="000804FB">
      <w:pPr>
        <w:rPr>
          <w:rFonts w:cs="Times New Roman"/>
          <w:color w:val="000000" w:themeColor="text1"/>
          <w:sz w:val="24"/>
          <w:szCs w:val="24"/>
        </w:rPr>
      </w:pPr>
      <w:r w:rsidRPr="00D11634">
        <w:rPr>
          <w:rFonts w:cs="Times New Roman"/>
          <w:color w:val="000000" w:themeColor="text1"/>
          <w:sz w:val="24"/>
          <w:szCs w:val="24"/>
        </w:rPr>
        <w:tab/>
      </w:r>
      <w:r w:rsidR="008A110B" w:rsidRPr="00D11634">
        <w:rPr>
          <w:rFonts w:cs="Times New Roman"/>
          <w:color w:val="000000" w:themeColor="text1"/>
          <w:sz w:val="24"/>
          <w:szCs w:val="24"/>
        </w:rPr>
        <w:t xml:space="preserve">In this </w:t>
      </w:r>
      <w:r w:rsidR="00901D0F" w:rsidRPr="00D11634">
        <w:rPr>
          <w:rFonts w:cs="Times New Roman"/>
          <w:color w:val="000000" w:themeColor="text1"/>
          <w:sz w:val="24"/>
          <w:szCs w:val="24"/>
        </w:rPr>
        <w:t xml:space="preserve">report, three investment options available to Jefferson Plc have been evaluated </w:t>
      </w:r>
      <w:r w:rsidR="00473FA8" w:rsidRPr="00D11634">
        <w:rPr>
          <w:rFonts w:cs="Times New Roman"/>
          <w:color w:val="000000" w:themeColor="text1"/>
          <w:sz w:val="24"/>
          <w:szCs w:val="24"/>
        </w:rPr>
        <w:t>by using two methods - NPV and IRR. The report will show the detailed calculations for each of the investment option available to the company. Based on the results of NPV and IRR the evaluation will be made critically for each option and finally the recommendation will be provided to the management of the company. The report will emphasize on the theoretical backgrounds of the two methods, NPV and IRR while evaluating the investment options of Jefferson Plc.</w:t>
      </w:r>
      <w:r w:rsidR="00901D0F" w:rsidRPr="00D11634">
        <w:rPr>
          <w:rFonts w:cs="Times New Roman"/>
          <w:color w:val="000000" w:themeColor="text1"/>
          <w:sz w:val="24"/>
          <w:szCs w:val="24"/>
        </w:rPr>
        <w:t xml:space="preserve"> </w:t>
      </w:r>
    </w:p>
    <w:p w14:paraId="023E2DF7" w14:textId="0816C109" w:rsidR="00313214" w:rsidRPr="00D11634" w:rsidRDefault="00AA65E2" w:rsidP="007A6F62">
      <w:pPr>
        <w:pStyle w:val="2"/>
        <w:rPr>
          <w:color w:val="000000" w:themeColor="text1"/>
        </w:rPr>
      </w:pPr>
      <w:bookmarkStart w:id="42" w:name="_Toc41614050"/>
      <w:bookmarkStart w:id="43" w:name="_Toc40997218"/>
      <w:r w:rsidRPr="00D11634">
        <w:rPr>
          <w:color w:val="000000" w:themeColor="text1"/>
        </w:rPr>
        <w:t xml:space="preserve">Evaluation of Three </w:t>
      </w:r>
      <w:r w:rsidR="00A96AD1" w:rsidRPr="00D11634">
        <w:rPr>
          <w:color w:val="000000" w:themeColor="text1"/>
        </w:rPr>
        <w:t>Projects</w:t>
      </w:r>
      <w:r w:rsidRPr="00D11634">
        <w:rPr>
          <w:color w:val="000000" w:themeColor="text1"/>
        </w:rPr>
        <w:t xml:space="preserve"> using NPV </w:t>
      </w:r>
      <w:r w:rsidR="00A96AD1" w:rsidRPr="00D11634">
        <w:rPr>
          <w:color w:val="000000" w:themeColor="text1"/>
        </w:rPr>
        <w:t>method</w:t>
      </w:r>
      <w:bookmarkEnd w:id="42"/>
      <w:r w:rsidR="005E4155" w:rsidRPr="00D11634">
        <w:rPr>
          <w:color w:val="000000" w:themeColor="text1"/>
        </w:rPr>
        <w:t xml:space="preserve"> </w:t>
      </w:r>
      <w:bookmarkEnd w:id="43"/>
    </w:p>
    <w:p w14:paraId="6BAFB158" w14:textId="261F8C49" w:rsidR="00031233" w:rsidRPr="00D11634" w:rsidRDefault="00031233" w:rsidP="00031233">
      <w:pPr>
        <w:pStyle w:val="3"/>
        <w:rPr>
          <w:color w:val="000000" w:themeColor="text1"/>
        </w:rPr>
      </w:pPr>
      <w:bookmarkStart w:id="44" w:name="_Toc41614051"/>
      <w:r w:rsidRPr="00D11634">
        <w:rPr>
          <w:color w:val="000000" w:themeColor="text1"/>
        </w:rPr>
        <w:t>Calculation of Capital Allowances</w:t>
      </w:r>
      <w:bookmarkEnd w:id="44"/>
    </w:p>
    <w:tbl>
      <w:tblPr>
        <w:tblStyle w:val="a3"/>
        <w:tblW w:w="3500" w:type="dxa"/>
        <w:tblLook w:val="04A0" w:firstRow="1" w:lastRow="0" w:firstColumn="1" w:lastColumn="0" w:noHBand="0" w:noVBand="1"/>
      </w:tblPr>
      <w:tblGrid>
        <w:gridCol w:w="2540"/>
        <w:gridCol w:w="960"/>
      </w:tblGrid>
      <w:tr w:rsidR="00D11634" w:rsidRPr="00D11634" w14:paraId="1910E33D" w14:textId="77777777" w:rsidTr="006D2740">
        <w:trPr>
          <w:trHeight w:val="300"/>
        </w:trPr>
        <w:tc>
          <w:tcPr>
            <w:tcW w:w="2540" w:type="dxa"/>
            <w:noWrap/>
            <w:hideMark/>
          </w:tcPr>
          <w:p w14:paraId="1B94C4B4"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Capital Allowance (A)</w:t>
            </w:r>
          </w:p>
        </w:tc>
        <w:tc>
          <w:tcPr>
            <w:tcW w:w="960" w:type="dxa"/>
            <w:noWrap/>
            <w:hideMark/>
          </w:tcPr>
          <w:p w14:paraId="354AFE77"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187.5</w:t>
            </w:r>
          </w:p>
        </w:tc>
      </w:tr>
      <w:tr w:rsidR="00D11634" w:rsidRPr="00D11634" w14:paraId="57DB84B1" w14:textId="77777777" w:rsidTr="006D2740">
        <w:trPr>
          <w:trHeight w:val="300"/>
        </w:trPr>
        <w:tc>
          <w:tcPr>
            <w:tcW w:w="2540" w:type="dxa"/>
            <w:noWrap/>
            <w:hideMark/>
          </w:tcPr>
          <w:p w14:paraId="37EA63FE"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Capital Allowance (B)</w:t>
            </w:r>
          </w:p>
        </w:tc>
        <w:tc>
          <w:tcPr>
            <w:tcW w:w="960" w:type="dxa"/>
            <w:noWrap/>
            <w:hideMark/>
          </w:tcPr>
          <w:p w14:paraId="360AD008"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300</w:t>
            </w:r>
          </w:p>
        </w:tc>
      </w:tr>
      <w:tr w:rsidR="00D11634" w:rsidRPr="00D11634" w14:paraId="22A8F23F" w14:textId="77777777" w:rsidTr="006D2740">
        <w:trPr>
          <w:trHeight w:val="300"/>
        </w:trPr>
        <w:tc>
          <w:tcPr>
            <w:tcW w:w="2540" w:type="dxa"/>
            <w:noWrap/>
            <w:hideMark/>
          </w:tcPr>
          <w:p w14:paraId="1B7E6693"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Capital Allowance (C)</w:t>
            </w:r>
          </w:p>
        </w:tc>
        <w:tc>
          <w:tcPr>
            <w:tcW w:w="960" w:type="dxa"/>
            <w:noWrap/>
            <w:hideMark/>
          </w:tcPr>
          <w:p w14:paraId="5B31DAEF" w14:textId="77777777" w:rsidR="006D2740" w:rsidRPr="00D11634" w:rsidRDefault="006D2740" w:rsidP="00031233">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500</w:t>
            </w:r>
          </w:p>
        </w:tc>
      </w:tr>
    </w:tbl>
    <w:p w14:paraId="3B6070DD" w14:textId="77777777" w:rsidR="006D2740" w:rsidRPr="00D11634" w:rsidRDefault="006D2740" w:rsidP="00BA74D8">
      <w:pPr>
        <w:pStyle w:val="3"/>
        <w:spacing w:before="120"/>
        <w:rPr>
          <w:color w:val="000000" w:themeColor="text1"/>
        </w:rPr>
      </w:pPr>
      <w:bookmarkStart w:id="45" w:name="_Toc40997219"/>
      <w:bookmarkStart w:id="46" w:name="_Toc41614052"/>
      <w:r w:rsidRPr="00D11634">
        <w:rPr>
          <w:color w:val="000000" w:themeColor="text1"/>
        </w:rPr>
        <w:t>Option A Calculations</w:t>
      </w:r>
      <w:bookmarkEnd w:id="45"/>
      <w:bookmarkEnd w:id="46"/>
    </w:p>
    <w:tbl>
      <w:tblPr>
        <w:tblStyle w:val="a3"/>
        <w:tblW w:w="9815" w:type="dxa"/>
        <w:tblLook w:val="04A0" w:firstRow="1" w:lastRow="0" w:firstColumn="1" w:lastColumn="0" w:noHBand="0" w:noVBand="1"/>
      </w:tblPr>
      <w:tblGrid>
        <w:gridCol w:w="3220"/>
        <w:gridCol w:w="1319"/>
        <w:gridCol w:w="1319"/>
        <w:gridCol w:w="1319"/>
        <w:gridCol w:w="1319"/>
        <w:gridCol w:w="1319"/>
      </w:tblGrid>
      <w:tr w:rsidR="00D11634" w:rsidRPr="00D11634" w14:paraId="104BE3F9" w14:textId="77777777" w:rsidTr="00031233">
        <w:trPr>
          <w:trHeight w:val="220"/>
        </w:trPr>
        <w:tc>
          <w:tcPr>
            <w:tcW w:w="3220" w:type="dxa"/>
            <w:noWrap/>
            <w:hideMark/>
          </w:tcPr>
          <w:p w14:paraId="7DD69550" w14:textId="77777777" w:rsidR="00656CE2" w:rsidRPr="00D11634" w:rsidRDefault="00656CE2" w:rsidP="00BA74D8">
            <w:pPr>
              <w:spacing w:line="240" w:lineRule="auto"/>
              <w:rPr>
                <w:rFonts w:cs="Times New Roman"/>
                <w:b/>
                <w:bCs/>
                <w:color w:val="000000" w:themeColor="text1"/>
                <w:sz w:val="24"/>
                <w:szCs w:val="24"/>
                <w:lang w:val="en-US"/>
              </w:rPr>
            </w:pPr>
          </w:p>
        </w:tc>
        <w:tc>
          <w:tcPr>
            <w:tcW w:w="1319" w:type="dxa"/>
            <w:noWrap/>
            <w:hideMark/>
          </w:tcPr>
          <w:p w14:paraId="2C2B25C2" w14:textId="20353F36" w:rsidR="00656CE2" w:rsidRPr="00D11634" w:rsidRDefault="00656CE2" w:rsidP="00A96AD1">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lang w:val="en-US"/>
              </w:rPr>
              <w:t>Y0</w:t>
            </w:r>
            <w:r w:rsidR="00A96AD1" w:rsidRPr="00D11634">
              <w:rPr>
                <w:rFonts w:cs="Times New Roman"/>
                <w:b/>
                <w:bCs/>
                <w:color w:val="000000" w:themeColor="text1"/>
                <w:sz w:val="24"/>
                <w:szCs w:val="24"/>
                <w:lang w:val="en-US"/>
              </w:rPr>
              <w:t xml:space="preserve"> </w:t>
            </w:r>
          </w:p>
        </w:tc>
        <w:tc>
          <w:tcPr>
            <w:tcW w:w="1319" w:type="dxa"/>
            <w:noWrap/>
            <w:hideMark/>
          </w:tcPr>
          <w:p w14:paraId="0E545B85" w14:textId="6085F0C0" w:rsidR="00656CE2" w:rsidRPr="00D11634" w:rsidRDefault="00656CE2" w:rsidP="00A96AD1">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Y1</w:t>
            </w:r>
            <w:r w:rsidR="00A96AD1" w:rsidRPr="00D11634">
              <w:rPr>
                <w:rFonts w:cs="Times New Roman"/>
                <w:b/>
                <w:bCs/>
                <w:color w:val="000000" w:themeColor="text1"/>
                <w:sz w:val="24"/>
                <w:szCs w:val="24"/>
              </w:rPr>
              <w:t xml:space="preserve"> </w:t>
            </w:r>
          </w:p>
        </w:tc>
        <w:tc>
          <w:tcPr>
            <w:tcW w:w="1319" w:type="dxa"/>
            <w:noWrap/>
            <w:hideMark/>
          </w:tcPr>
          <w:p w14:paraId="5547C133" w14:textId="2E0CCF90" w:rsidR="00656CE2" w:rsidRPr="00D11634" w:rsidRDefault="00656CE2" w:rsidP="00A96AD1">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Y2</w:t>
            </w:r>
          </w:p>
        </w:tc>
        <w:tc>
          <w:tcPr>
            <w:tcW w:w="1319" w:type="dxa"/>
            <w:noWrap/>
            <w:hideMark/>
          </w:tcPr>
          <w:p w14:paraId="3CCBB119" w14:textId="122DF557" w:rsidR="00656CE2" w:rsidRPr="00D11634" w:rsidRDefault="00656CE2" w:rsidP="00A96AD1">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w:t>
            </w:r>
            <w:r w:rsidR="003D4E4B" w:rsidRPr="00D11634">
              <w:rPr>
                <w:rFonts w:cs="Times New Roman"/>
                <w:b/>
                <w:bCs/>
                <w:color w:val="000000" w:themeColor="text1"/>
                <w:sz w:val="24"/>
                <w:szCs w:val="24"/>
              </w:rPr>
              <w:t>3</w:t>
            </w:r>
          </w:p>
        </w:tc>
        <w:tc>
          <w:tcPr>
            <w:tcW w:w="1319" w:type="dxa"/>
            <w:noWrap/>
            <w:hideMark/>
          </w:tcPr>
          <w:p w14:paraId="6D55D150" w14:textId="26EE0856" w:rsidR="00656CE2" w:rsidRPr="00D11634" w:rsidRDefault="00656CE2" w:rsidP="00A96AD1">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Y4</w:t>
            </w:r>
            <w:r w:rsidR="00A96AD1" w:rsidRPr="00D11634">
              <w:rPr>
                <w:rFonts w:cs="Times New Roman"/>
                <w:b/>
                <w:bCs/>
                <w:color w:val="000000" w:themeColor="text1"/>
                <w:sz w:val="24"/>
                <w:szCs w:val="24"/>
              </w:rPr>
              <w:t xml:space="preserve"> </w:t>
            </w:r>
          </w:p>
        </w:tc>
      </w:tr>
      <w:tr w:rsidR="00D11634" w:rsidRPr="00D11634" w14:paraId="1CFA01D8" w14:textId="77777777" w:rsidTr="00031233">
        <w:trPr>
          <w:trHeight w:val="220"/>
        </w:trPr>
        <w:tc>
          <w:tcPr>
            <w:tcW w:w="3220" w:type="dxa"/>
            <w:noWrap/>
            <w:hideMark/>
          </w:tcPr>
          <w:p w14:paraId="35B07ED6"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rPr>
              <w:t>Option A Cash Flow</w:t>
            </w:r>
          </w:p>
        </w:tc>
        <w:tc>
          <w:tcPr>
            <w:tcW w:w="1319" w:type="dxa"/>
            <w:noWrap/>
            <w:hideMark/>
          </w:tcPr>
          <w:p w14:paraId="4EFEB9AC"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-750</w:t>
            </w:r>
          </w:p>
        </w:tc>
        <w:tc>
          <w:tcPr>
            <w:tcW w:w="1319" w:type="dxa"/>
            <w:noWrap/>
            <w:hideMark/>
          </w:tcPr>
          <w:p w14:paraId="1D25E4D6"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rPr>
              <w:t>400</w:t>
            </w:r>
          </w:p>
        </w:tc>
        <w:tc>
          <w:tcPr>
            <w:tcW w:w="1319" w:type="dxa"/>
            <w:noWrap/>
            <w:hideMark/>
          </w:tcPr>
          <w:p w14:paraId="51C8A80E"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rPr>
              <w:t>500</w:t>
            </w:r>
          </w:p>
        </w:tc>
        <w:tc>
          <w:tcPr>
            <w:tcW w:w="1319" w:type="dxa"/>
            <w:noWrap/>
            <w:hideMark/>
          </w:tcPr>
          <w:p w14:paraId="19E3F169"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rPr>
              <w:t>500</w:t>
            </w:r>
          </w:p>
        </w:tc>
        <w:tc>
          <w:tcPr>
            <w:tcW w:w="1319" w:type="dxa"/>
            <w:noWrap/>
            <w:hideMark/>
          </w:tcPr>
          <w:p w14:paraId="58B11831"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rPr>
              <w:t>500</w:t>
            </w:r>
          </w:p>
        </w:tc>
      </w:tr>
      <w:tr w:rsidR="00D11634" w:rsidRPr="00D11634" w14:paraId="0113AE9D" w14:textId="77777777" w:rsidTr="00031233">
        <w:trPr>
          <w:trHeight w:val="220"/>
        </w:trPr>
        <w:tc>
          <w:tcPr>
            <w:tcW w:w="3220" w:type="dxa"/>
            <w:noWrap/>
          </w:tcPr>
          <w:p w14:paraId="6FB0CDE1" w14:textId="5171D9D7" w:rsidR="00031233" w:rsidRPr="00D11634" w:rsidRDefault="00031233" w:rsidP="00031233">
            <w:pPr>
              <w:spacing w:line="240" w:lineRule="auto"/>
              <w:rPr>
                <w:rFonts w:cs="Times New Roman"/>
                <w:color w:val="000000" w:themeColor="text1"/>
                <w:sz w:val="24"/>
                <w:szCs w:val="24"/>
              </w:rPr>
            </w:pPr>
            <w:r w:rsidRPr="00D11634">
              <w:rPr>
                <w:rFonts w:cs="Times New Roman"/>
                <w:color w:val="000000" w:themeColor="text1"/>
              </w:rPr>
              <w:t>Calculation of Corporation Tax</w:t>
            </w:r>
          </w:p>
        </w:tc>
        <w:tc>
          <w:tcPr>
            <w:tcW w:w="1319" w:type="dxa"/>
            <w:noWrap/>
          </w:tcPr>
          <w:p w14:paraId="6CD711C5" w14:textId="77777777" w:rsidR="00031233" w:rsidRPr="00D11634" w:rsidRDefault="00031233" w:rsidP="00031233">
            <w:pPr>
              <w:spacing w:line="240" w:lineRule="auto"/>
              <w:rPr>
                <w:rFonts w:cs="Times New Roman"/>
                <w:color w:val="000000" w:themeColor="text1"/>
                <w:sz w:val="24"/>
                <w:szCs w:val="24"/>
                <w:lang w:val="en-US"/>
              </w:rPr>
            </w:pPr>
          </w:p>
        </w:tc>
        <w:tc>
          <w:tcPr>
            <w:tcW w:w="1319" w:type="dxa"/>
            <w:noWrap/>
          </w:tcPr>
          <w:p w14:paraId="11D1951A" w14:textId="17BEF0B0" w:rsidR="00031233" w:rsidRPr="00D11634" w:rsidRDefault="00031233" w:rsidP="00031233">
            <w:pPr>
              <w:spacing w:line="240" w:lineRule="auto"/>
              <w:rPr>
                <w:rFonts w:cs="Times New Roman"/>
                <w:color w:val="000000" w:themeColor="text1"/>
                <w:sz w:val="24"/>
                <w:szCs w:val="24"/>
              </w:rPr>
            </w:pPr>
            <w:r w:rsidRPr="00D11634">
              <w:rPr>
                <w:rFonts w:cs="Times New Roman"/>
                <w:color w:val="000000" w:themeColor="text1"/>
              </w:rPr>
              <w:t>(400-187.</w:t>
            </w:r>
            <w:proofErr w:type="gramStart"/>
            <w:r w:rsidRPr="00D11634">
              <w:rPr>
                <w:rFonts w:cs="Times New Roman"/>
                <w:color w:val="000000" w:themeColor="text1"/>
              </w:rPr>
              <w:t>5)*</w:t>
            </w:r>
            <w:proofErr w:type="gramEnd"/>
            <w:r w:rsidRPr="00D11634">
              <w:rPr>
                <w:rFonts w:cs="Times New Roman"/>
                <w:color w:val="000000" w:themeColor="text1"/>
              </w:rPr>
              <w:t>0.2</w:t>
            </w:r>
          </w:p>
        </w:tc>
        <w:tc>
          <w:tcPr>
            <w:tcW w:w="1319" w:type="dxa"/>
            <w:noWrap/>
          </w:tcPr>
          <w:p w14:paraId="3051B487" w14:textId="132452C7" w:rsidR="00031233" w:rsidRPr="00D11634" w:rsidRDefault="00031233" w:rsidP="00031233">
            <w:pPr>
              <w:spacing w:line="240" w:lineRule="auto"/>
              <w:rPr>
                <w:rFonts w:cs="Times New Roman"/>
                <w:color w:val="000000" w:themeColor="text1"/>
                <w:sz w:val="24"/>
                <w:szCs w:val="24"/>
              </w:rPr>
            </w:pPr>
            <w:r w:rsidRPr="00D11634">
              <w:rPr>
                <w:rFonts w:cs="Times New Roman"/>
                <w:color w:val="000000" w:themeColor="text1"/>
              </w:rPr>
              <w:t>(500-187.</w:t>
            </w:r>
            <w:proofErr w:type="gramStart"/>
            <w:r w:rsidRPr="00D11634">
              <w:rPr>
                <w:rFonts w:cs="Times New Roman"/>
                <w:color w:val="000000" w:themeColor="text1"/>
              </w:rPr>
              <w:t>5)*</w:t>
            </w:r>
            <w:proofErr w:type="gramEnd"/>
            <w:r w:rsidRPr="00D11634">
              <w:rPr>
                <w:rFonts w:cs="Times New Roman"/>
                <w:color w:val="000000" w:themeColor="text1"/>
              </w:rPr>
              <w:t>0.2</w:t>
            </w:r>
          </w:p>
        </w:tc>
        <w:tc>
          <w:tcPr>
            <w:tcW w:w="1319" w:type="dxa"/>
            <w:noWrap/>
          </w:tcPr>
          <w:p w14:paraId="49876DB8" w14:textId="738850AA" w:rsidR="00031233" w:rsidRPr="00D11634" w:rsidRDefault="00031233" w:rsidP="00031233">
            <w:pPr>
              <w:spacing w:line="240" w:lineRule="auto"/>
              <w:rPr>
                <w:rFonts w:cs="Times New Roman"/>
                <w:color w:val="000000" w:themeColor="text1"/>
                <w:sz w:val="24"/>
                <w:szCs w:val="24"/>
              </w:rPr>
            </w:pPr>
            <w:r w:rsidRPr="00D11634">
              <w:rPr>
                <w:rFonts w:cs="Times New Roman"/>
                <w:color w:val="000000" w:themeColor="text1"/>
              </w:rPr>
              <w:t>(500-187.</w:t>
            </w:r>
            <w:proofErr w:type="gramStart"/>
            <w:r w:rsidRPr="00D11634">
              <w:rPr>
                <w:rFonts w:cs="Times New Roman"/>
                <w:color w:val="000000" w:themeColor="text1"/>
              </w:rPr>
              <w:t>5)*</w:t>
            </w:r>
            <w:proofErr w:type="gramEnd"/>
            <w:r w:rsidRPr="00D11634">
              <w:rPr>
                <w:rFonts w:cs="Times New Roman"/>
                <w:color w:val="000000" w:themeColor="text1"/>
              </w:rPr>
              <w:t>0.2</w:t>
            </w:r>
          </w:p>
        </w:tc>
        <w:tc>
          <w:tcPr>
            <w:tcW w:w="1319" w:type="dxa"/>
            <w:noWrap/>
          </w:tcPr>
          <w:p w14:paraId="6B88FB0A" w14:textId="4F8B88B0" w:rsidR="00031233" w:rsidRPr="00D11634" w:rsidRDefault="00031233" w:rsidP="00031233">
            <w:pPr>
              <w:spacing w:line="240" w:lineRule="auto"/>
              <w:rPr>
                <w:rFonts w:cs="Times New Roman"/>
                <w:color w:val="000000" w:themeColor="text1"/>
                <w:sz w:val="24"/>
                <w:szCs w:val="24"/>
              </w:rPr>
            </w:pPr>
            <w:r w:rsidRPr="00D11634">
              <w:rPr>
                <w:rFonts w:cs="Times New Roman"/>
                <w:color w:val="000000" w:themeColor="text1"/>
              </w:rPr>
              <w:t>(500-187.</w:t>
            </w:r>
            <w:proofErr w:type="gramStart"/>
            <w:r w:rsidRPr="00D11634">
              <w:rPr>
                <w:rFonts w:cs="Times New Roman"/>
                <w:color w:val="000000" w:themeColor="text1"/>
              </w:rPr>
              <w:t>5)*</w:t>
            </w:r>
            <w:proofErr w:type="gramEnd"/>
            <w:r w:rsidRPr="00D11634">
              <w:rPr>
                <w:rFonts w:cs="Times New Roman"/>
                <w:color w:val="000000" w:themeColor="text1"/>
              </w:rPr>
              <w:t>0.2</w:t>
            </w:r>
          </w:p>
        </w:tc>
      </w:tr>
      <w:tr w:rsidR="00D11634" w:rsidRPr="00D11634" w14:paraId="24512207" w14:textId="77777777" w:rsidTr="00031233">
        <w:trPr>
          <w:trHeight w:val="138"/>
        </w:trPr>
        <w:tc>
          <w:tcPr>
            <w:tcW w:w="3220" w:type="dxa"/>
            <w:noWrap/>
            <w:hideMark/>
          </w:tcPr>
          <w:p w14:paraId="3E25807A"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Corporation Tax</w:t>
            </w:r>
          </w:p>
        </w:tc>
        <w:tc>
          <w:tcPr>
            <w:tcW w:w="1319" w:type="dxa"/>
            <w:noWrap/>
            <w:hideMark/>
          </w:tcPr>
          <w:p w14:paraId="3FBEAD53"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noWrap/>
            <w:hideMark/>
          </w:tcPr>
          <w:p w14:paraId="110C1D4D"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42.5</w:t>
            </w:r>
          </w:p>
        </w:tc>
        <w:tc>
          <w:tcPr>
            <w:tcW w:w="1319" w:type="dxa"/>
            <w:noWrap/>
            <w:hideMark/>
          </w:tcPr>
          <w:p w14:paraId="18CCC5C7"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62.5</w:t>
            </w:r>
          </w:p>
        </w:tc>
        <w:tc>
          <w:tcPr>
            <w:tcW w:w="1319" w:type="dxa"/>
            <w:noWrap/>
            <w:hideMark/>
          </w:tcPr>
          <w:p w14:paraId="02CC1C9E"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62.5</w:t>
            </w:r>
          </w:p>
        </w:tc>
        <w:tc>
          <w:tcPr>
            <w:tcW w:w="1319" w:type="dxa"/>
            <w:noWrap/>
            <w:hideMark/>
          </w:tcPr>
          <w:p w14:paraId="6B728B26"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62.5</w:t>
            </w:r>
          </w:p>
        </w:tc>
      </w:tr>
      <w:tr w:rsidR="00D11634" w:rsidRPr="00D11634" w14:paraId="2B5C275F" w14:textId="77777777" w:rsidTr="00031233">
        <w:trPr>
          <w:trHeight w:val="220"/>
        </w:trPr>
        <w:tc>
          <w:tcPr>
            <w:tcW w:w="3220" w:type="dxa"/>
            <w:noWrap/>
            <w:hideMark/>
          </w:tcPr>
          <w:p w14:paraId="57931C44" w14:textId="135D2EB3"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Cash Flow</w:t>
            </w:r>
            <w:r w:rsidR="00031233" w:rsidRPr="00D11634">
              <w:rPr>
                <w:rFonts w:cs="Times New Roman"/>
                <w:color w:val="000000" w:themeColor="text1"/>
                <w:sz w:val="24"/>
                <w:szCs w:val="24"/>
                <w:lang w:val="en-US"/>
              </w:rPr>
              <w:t xml:space="preserve"> </w:t>
            </w:r>
            <w:r w:rsidRPr="00D11634">
              <w:rPr>
                <w:rFonts w:cs="Times New Roman"/>
                <w:color w:val="000000" w:themeColor="text1"/>
                <w:sz w:val="24"/>
                <w:szCs w:val="24"/>
                <w:lang w:val="en-US"/>
              </w:rPr>
              <w:t>-</w:t>
            </w:r>
            <w:r w:rsidR="00031233" w:rsidRPr="00D11634">
              <w:rPr>
                <w:rFonts w:cs="Times New Roman"/>
                <w:color w:val="000000" w:themeColor="text1"/>
                <w:sz w:val="24"/>
                <w:szCs w:val="24"/>
                <w:lang w:val="en-US"/>
              </w:rPr>
              <w:t xml:space="preserve"> </w:t>
            </w:r>
            <w:r w:rsidRPr="00D11634">
              <w:rPr>
                <w:rFonts w:cs="Times New Roman"/>
                <w:color w:val="000000" w:themeColor="text1"/>
                <w:sz w:val="24"/>
                <w:szCs w:val="24"/>
                <w:lang w:val="en-US"/>
              </w:rPr>
              <w:t>Tax</w:t>
            </w:r>
          </w:p>
        </w:tc>
        <w:tc>
          <w:tcPr>
            <w:tcW w:w="1319" w:type="dxa"/>
            <w:noWrap/>
            <w:hideMark/>
          </w:tcPr>
          <w:p w14:paraId="41B03F9C"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-750</w:t>
            </w:r>
          </w:p>
        </w:tc>
        <w:tc>
          <w:tcPr>
            <w:tcW w:w="1319" w:type="dxa"/>
            <w:noWrap/>
            <w:hideMark/>
          </w:tcPr>
          <w:p w14:paraId="21851486"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357.5</w:t>
            </w:r>
          </w:p>
        </w:tc>
        <w:tc>
          <w:tcPr>
            <w:tcW w:w="1319" w:type="dxa"/>
            <w:noWrap/>
            <w:hideMark/>
          </w:tcPr>
          <w:p w14:paraId="09710BC9"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437.5</w:t>
            </w:r>
          </w:p>
        </w:tc>
        <w:tc>
          <w:tcPr>
            <w:tcW w:w="1319" w:type="dxa"/>
            <w:noWrap/>
            <w:hideMark/>
          </w:tcPr>
          <w:p w14:paraId="50DDCCD9"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437.5</w:t>
            </w:r>
          </w:p>
        </w:tc>
        <w:tc>
          <w:tcPr>
            <w:tcW w:w="1319" w:type="dxa"/>
            <w:noWrap/>
            <w:hideMark/>
          </w:tcPr>
          <w:p w14:paraId="68088ED3"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437.5</w:t>
            </w:r>
          </w:p>
        </w:tc>
      </w:tr>
      <w:tr w:rsidR="00D11634" w:rsidRPr="00D11634" w14:paraId="164A8237" w14:textId="77777777" w:rsidTr="00031233">
        <w:trPr>
          <w:trHeight w:val="220"/>
        </w:trPr>
        <w:tc>
          <w:tcPr>
            <w:tcW w:w="3220" w:type="dxa"/>
            <w:noWrap/>
            <w:hideMark/>
          </w:tcPr>
          <w:p w14:paraId="095F1E83"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Discount Factor</w:t>
            </w:r>
          </w:p>
        </w:tc>
        <w:tc>
          <w:tcPr>
            <w:tcW w:w="1319" w:type="dxa"/>
            <w:noWrap/>
            <w:hideMark/>
          </w:tcPr>
          <w:p w14:paraId="21224782"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1</w:t>
            </w:r>
          </w:p>
        </w:tc>
        <w:tc>
          <w:tcPr>
            <w:tcW w:w="1319" w:type="dxa"/>
            <w:noWrap/>
            <w:hideMark/>
          </w:tcPr>
          <w:p w14:paraId="3B1DF761"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0.925926</w:t>
            </w:r>
          </w:p>
        </w:tc>
        <w:tc>
          <w:tcPr>
            <w:tcW w:w="1319" w:type="dxa"/>
            <w:noWrap/>
            <w:hideMark/>
          </w:tcPr>
          <w:p w14:paraId="07A82413"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0.857339</w:t>
            </w:r>
          </w:p>
        </w:tc>
        <w:tc>
          <w:tcPr>
            <w:tcW w:w="1319" w:type="dxa"/>
            <w:noWrap/>
            <w:hideMark/>
          </w:tcPr>
          <w:p w14:paraId="587CAC97"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0.793832</w:t>
            </w:r>
          </w:p>
        </w:tc>
        <w:tc>
          <w:tcPr>
            <w:tcW w:w="1319" w:type="dxa"/>
            <w:noWrap/>
            <w:hideMark/>
          </w:tcPr>
          <w:p w14:paraId="41F605D5"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0.73503</w:t>
            </w:r>
          </w:p>
        </w:tc>
      </w:tr>
      <w:tr w:rsidR="00D11634" w:rsidRPr="00D11634" w14:paraId="7D106D87" w14:textId="77777777" w:rsidTr="00031233">
        <w:trPr>
          <w:trHeight w:val="220"/>
        </w:trPr>
        <w:tc>
          <w:tcPr>
            <w:tcW w:w="3220" w:type="dxa"/>
            <w:tcBorders>
              <w:bottom w:val="single" w:sz="4" w:space="0" w:color="auto"/>
            </w:tcBorders>
            <w:noWrap/>
            <w:hideMark/>
          </w:tcPr>
          <w:p w14:paraId="4372368C"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 xml:space="preserve">Option </w:t>
            </w:r>
            <w:proofErr w:type="gramStart"/>
            <w:r w:rsidRPr="00D11634">
              <w:rPr>
                <w:rFonts w:cs="Times New Roman"/>
                <w:color w:val="000000" w:themeColor="text1"/>
                <w:sz w:val="24"/>
                <w:szCs w:val="24"/>
                <w:lang w:val="en-US"/>
              </w:rPr>
              <w:t>A</w:t>
            </w:r>
            <w:proofErr w:type="gramEnd"/>
            <w:r w:rsidRPr="00D11634">
              <w:rPr>
                <w:rFonts w:cs="Times New Roman"/>
                <w:color w:val="000000" w:themeColor="text1"/>
                <w:sz w:val="24"/>
                <w:szCs w:val="24"/>
                <w:lang w:val="en-US"/>
              </w:rPr>
              <w:t xml:space="preserve"> Adjusted Values</w:t>
            </w:r>
          </w:p>
        </w:tc>
        <w:tc>
          <w:tcPr>
            <w:tcW w:w="1319" w:type="dxa"/>
            <w:tcBorders>
              <w:bottom w:val="single" w:sz="4" w:space="0" w:color="auto"/>
            </w:tcBorders>
            <w:noWrap/>
            <w:hideMark/>
          </w:tcPr>
          <w:p w14:paraId="0FA3660A"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-750</w:t>
            </w:r>
          </w:p>
        </w:tc>
        <w:tc>
          <w:tcPr>
            <w:tcW w:w="1319" w:type="dxa"/>
            <w:tcBorders>
              <w:bottom w:val="single" w:sz="4" w:space="0" w:color="auto"/>
            </w:tcBorders>
            <w:noWrap/>
            <w:hideMark/>
          </w:tcPr>
          <w:p w14:paraId="0A8E448F"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331.0185</w:t>
            </w:r>
          </w:p>
        </w:tc>
        <w:tc>
          <w:tcPr>
            <w:tcW w:w="1319" w:type="dxa"/>
            <w:tcBorders>
              <w:bottom w:val="single" w:sz="4" w:space="0" w:color="auto"/>
            </w:tcBorders>
            <w:noWrap/>
            <w:hideMark/>
          </w:tcPr>
          <w:p w14:paraId="0EE8DAE6"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375.0857</w:t>
            </w:r>
          </w:p>
        </w:tc>
        <w:tc>
          <w:tcPr>
            <w:tcW w:w="1319" w:type="dxa"/>
            <w:tcBorders>
              <w:bottom w:val="single" w:sz="4" w:space="0" w:color="auto"/>
            </w:tcBorders>
            <w:noWrap/>
            <w:hideMark/>
          </w:tcPr>
          <w:p w14:paraId="16225ED5"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347.3016</w:t>
            </w:r>
          </w:p>
        </w:tc>
        <w:tc>
          <w:tcPr>
            <w:tcW w:w="1319" w:type="dxa"/>
            <w:tcBorders>
              <w:bottom w:val="single" w:sz="4" w:space="0" w:color="auto"/>
            </w:tcBorders>
            <w:noWrap/>
            <w:hideMark/>
          </w:tcPr>
          <w:p w14:paraId="3F9CCA7A" w14:textId="77777777" w:rsidR="00656CE2" w:rsidRPr="00D11634" w:rsidRDefault="00656CE2"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321.5756</w:t>
            </w:r>
          </w:p>
        </w:tc>
      </w:tr>
      <w:tr w:rsidR="00D11634" w:rsidRPr="00D11634" w14:paraId="54B9643B" w14:textId="77777777" w:rsidTr="00031233">
        <w:trPr>
          <w:trHeight w:val="220"/>
        </w:trPr>
        <w:tc>
          <w:tcPr>
            <w:tcW w:w="3220" w:type="dxa"/>
            <w:tcBorders>
              <w:top w:val="single" w:sz="4" w:space="0" w:color="auto"/>
              <w:left w:val="nil"/>
              <w:bottom w:val="single" w:sz="4" w:space="0" w:color="auto"/>
              <w:right w:val="nil"/>
            </w:tcBorders>
            <w:noWrap/>
          </w:tcPr>
          <w:p w14:paraId="7A46D19F"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tcBorders>
              <w:top w:val="single" w:sz="4" w:space="0" w:color="auto"/>
              <w:left w:val="nil"/>
              <w:bottom w:val="single" w:sz="4" w:space="0" w:color="auto"/>
              <w:right w:val="nil"/>
            </w:tcBorders>
            <w:noWrap/>
          </w:tcPr>
          <w:p w14:paraId="09E4AB17"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tcBorders>
              <w:top w:val="single" w:sz="4" w:space="0" w:color="auto"/>
              <w:left w:val="nil"/>
              <w:bottom w:val="nil"/>
              <w:right w:val="nil"/>
            </w:tcBorders>
            <w:noWrap/>
          </w:tcPr>
          <w:p w14:paraId="24843B3E"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tcBorders>
              <w:top w:val="single" w:sz="4" w:space="0" w:color="auto"/>
              <w:left w:val="nil"/>
              <w:bottom w:val="nil"/>
              <w:right w:val="nil"/>
            </w:tcBorders>
            <w:noWrap/>
          </w:tcPr>
          <w:p w14:paraId="7FE1819A"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tcBorders>
              <w:top w:val="single" w:sz="4" w:space="0" w:color="auto"/>
              <w:left w:val="nil"/>
              <w:bottom w:val="nil"/>
              <w:right w:val="nil"/>
            </w:tcBorders>
            <w:noWrap/>
          </w:tcPr>
          <w:p w14:paraId="0935E71C" w14:textId="77777777" w:rsidR="00656CE2" w:rsidRPr="00D11634" w:rsidRDefault="00656CE2" w:rsidP="00BA74D8">
            <w:pPr>
              <w:spacing w:line="240" w:lineRule="auto"/>
              <w:rPr>
                <w:rFonts w:cs="Times New Roman"/>
                <w:color w:val="000000" w:themeColor="text1"/>
                <w:sz w:val="24"/>
                <w:szCs w:val="24"/>
                <w:lang w:val="en-US"/>
              </w:rPr>
            </w:pPr>
          </w:p>
        </w:tc>
        <w:tc>
          <w:tcPr>
            <w:tcW w:w="1319" w:type="dxa"/>
            <w:tcBorders>
              <w:top w:val="single" w:sz="4" w:space="0" w:color="auto"/>
              <w:left w:val="nil"/>
              <w:bottom w:val="nil"/>
              <w:right w:val="nil"/>
            </w:tcBorders>
            <w:noWrap/>
          </w:tcPr>
          <w:p w14:paraId="73EFE1E1" w14:textId="77777777" w:rsidR="00656CE2" w:rsidRPr="00D11634" w:rsidRDefault="00656CE2" w:rsidP="00BA74D8">
            <w:pPr>
              <w:spacing w:line="240" w:lineRule="auto"/>
              <w:rPr>
                <w:rFonts w:cs="Times New Roman"/>
                <w:color w:val="000000" w:themeColor="text1"/>
                <w:sz w:val="24"/>
                <w:szCs w:val="24"/>
                <w:lang w:val="en-US"/>
              </w:rPr>
            </w:pPr>
          </w:p>
        </w:tc>
      </w:tr>
      <w:tr w:rsidR="003D4E4B" w:rsidRPr="00D11634" w14:paraId="37158253" w14:textId="77777777" w:rsidTr="00DB2E3E">
        <w:trPr>
          <w:trHeight w:val="220"/>
        </w:trPr>
        <w:tc>
          <w:tcPr>
            <w:tcW w:w="3220" w:type="dxa"/>
            <w:tcBorders>
              <w:top w:val="single" w:sz="4" w:space="0" w:color="auto"/>
            </w:tcBorders>
            <w:noWrap/>
            <w:hideMark/>
          </w:tcPr>
          <w:p w14:paraId="6747100F" w14:textId="77777777" w:rsidR="003D4E4B" w:rsidRPr="00D11634" w:rsidRDefault="003D4E4B"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NPV (A)</w:t>
            </w:r>
          </w:p>
        </w:tc>
        <w:tc>
          <w:tcPr>
            <w:tcW w:w="1319" w:type="dxa"/>
            <w:tcBorders>
              <w:top w:val="single" w:sz="4" w:space="0" w:color="auto"/>
              <w:right w:val="single" w:sz="4" w:space="0" w:color="auto"/>
            </w:tcBorders>
            <w:noWrap/>
            <w:hideMark/>
          </w:tcPr>
          <w:p w14:paraId="2C400D7B" w14:textId="77777777" w:rsidR="003D4E4B" w:rsidRPr="00D11634" w:rsidRDefault="003D4E4B" w:rsidP="00BA74D8">
            <w:pPr>
              <w:spacing w:line="240" w:lineRule="auto"/>
              <w:rPr>
                <w:rFonts w:cs="Times New Roman"/>
                <w:color w:val="000000" w:themeColor="text1"/>
                <w:sz w:val="24"/>
                <w:szCs w:val="24"/>
                <w:lang w:val="en-US"/>
              </w:rPr>
            </w:pPr>
            <w:r w:rsidRPr="00D11634">
              <w:rPr>
                <w:rFonts w:cs="Times New Roman"/>
                <w:b/>
                <w:bCs/>
                <w:color w:val="000000" w:themeColor="text1"/>
                <w:sz w:val="24"/>
                <w:szCs w:val="24"/>
                <w:lang w:val="en-US"/>
              </w:rPr>
              <w:t>624.9814</w:t>
            </w:r>
          </w:p>
        </w:tc>
        <w:tc>
          <w:tcPr>
            <w:tcW w:w="5276" w:type="dxa"/>
            <w:gridSpan w:val="4"/>
            <w:tcBorders>
              <w:top w:val="nil"/>
              <w:left w:val="single" w:sz="4" w:space="0" w:color="auto"/>
              <w:bottom w:val="nil"/>
            </w:tcBorders>
            <w:noWrap/>
            <w:hideMark/>
          </w:tcPr>
          <w:p w14:paraId="3714E156" w14:textId="0217B0AC" w:rsidR="003D4E4B" w:rsidRPr="00D11634" w:rsidRDefault="003D4E4B" w:rsidP="00BA74D8">
            <w:pPr>
              <w:spacing w:line="240" w:lineRule="auto"/>
              <w:rPr>
                <w:rFonts w:cs="Times New Roman"/>
                <w:color w:val="000000" w:themeColor="text1"/>
                <w:sz w:val="24"/>
                <w:szCs w:val="24"/>
                <w:lang w:val="en-US"/>
              </w:rPr>
            </w:pPr>
            <w:r w:rsidRPr="00D11634">
              <w:rPr>
                <w:rFonts w:cs="Times New Roman"/>
                <w:color w:val="000000" w:themeColor="text1"/>
                <w:sz w:val="24"/>
                <w:szCs w:val="24"/>
                <w:lang w:val="en-US"/>
              </w:rPr>
              <w:t xml:space="preserve"> “All values are in (£’000)”</w:t>
            </w:r>
          </w:p>
        </w:tc>
      </w:tr>
    </w:tbl>
    <w:p w14:paraId="4F357B13" w14:textId="77777777" w:rsidR="006D2740" w:rsidRPr="00D11634" w:rsidRDefault="006D2740" w:rsidP="006D2740">
      <w:pPr>
        <w:rPr>
          <w:rFonts w:cs="Times New Roman"/>
          <w:color w:val="000000" w:themeColor="text1"/>
          <w:sz w:val="24"/>
          <w:szCs w:val="24"/>
        </w:rPr>
      </w:pPr>
    </w:p>
    <w:p w14:paraId="51BF6856" w14:textId="77777777" w:rsidR="006D2740" w:rsidRPr="00D11634" w:rsidRDefault="006D2740" w:rsidP="007A6F62">
      <w:pPr>
        <w:pStyle w:val="3"/>
        <w:rPr>
          <w:color w:val="000000" w:themeColor="text1"/>
        </w:rPr>
      </w:pPr>
      <w:bookmarkStart w:id="47" w:name="_Toc40997220"/>
      <w:bookmarkStart w:id="48" w:name="_Toc41614053"/>
      <w:r w:rsidRPr="00D11634">
        <w:rPr>
          <w:color w:val="000000" w:themeColor="text1"/>
        </w:rPr>
        <w:lastRenderedPageBreak/>
        <w:t>Option B Calculations</w:t>
      </w:r>
      <w:bookmarkEnd w:id="47"/>
      <w:bookmarkEnd w:id="48"/>
    </w:p>
    <w:tbl>
      <w:tblPr>
        <w:tblStyle w:val="a3"/>
        <w:tblW w:w="9777" w:type="dxa"/>
        <w:tblLook w:val="04A0" w:firstRow="1" w:lastRow="0" w:firstColumn="1" w:lastColumn="0" w:noHBand="0" w:noVBand="1"/>
      </w:tblPr>
      <w:tblGrid>
        <w:gridCol w:w="3207"/>
        <w:gridCol w:w="1314"/>
        <w:gridCol w:w="1314"/>
        <w:gridCol w:w="1314"/>
        <w:gridCol w:w="1314"/>
        <w:gridCol w:w="1314"/>
      </w:tblGrid>
      <w:tr w:rsidR="00D11634" w:rsidRPr="00D11634" w14:paraId="3830453A" w14:textId="77777777" w:rsidTr="003D4E4B">
        <w:trPr>
          <w:trHeight w:val="305"/>
        </w:trPr>
        <w:tc>
          <w:tcPr>
            <w:tcW w:w="3207" w:type="dxa"/>
            <w:noWrap/>
            <w:hideMark/>
          </w:tcPr>
          <w:p w14:paraId="37127C51" w14:textId="77777777" w:rsidR="003D4E4B" w:rsidRPr="00D11634" w:rsidRDefault="003D4E4B" w:rsidP="003D4E4B">
            <w:pPr>
              <w:spacing w:line="240" w:lineRule="auto"/>
              <w:jc w:val="left"/>
              <w:rPr>
                <w:rFonts w:eastAsia="Times New Roman" w:cs="Times New Roman"/>
                <w:color w:val="000000" w:themeColor="text1"/>
                <w:sz w:val="24"/>
                <w:szCs w:val="24"/>
                <w:lang w:val="en-US"/>
              </w:rPr>
            </w:pPr>
          </w:p>
        </w:tc>
        <w:tc>
          <w:tcPr>
            <w:tcW w:w="1314" w:type="dxa"/>
            <w:noWrap/>
            <w:hideMark/>
          </w:tcPr>
          <w:p w14:paraId="5B37F76E" w14:textId="10F58375"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lang w:val="en-US"/>
              </w:rPr>
              <w:t xml:space="preserve">Y0 </w:t>
            </w:r>
          </w:p>
        </w:tc>
        <w:tc>
          <w:tcPr>
            <w:tcW w:w="1314" w:type="dxa"/>
            <w:noWrap/>
            <w:hideMark/>
          </w:tcPr>
          <w:p w14:paraId="0D1C2628" w14:textId="35C0DDC5"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 xml:space="preserve">Y1 </w:t>
            </w:r>
          </w:p>
        </w:tc>
        <w:tc>
          <w:tcPr>
            <w:tcW w:w="1314" w:type="dxa"/>
            <w:noWrap/>
            <w:hideMark/>
          </w:tcPr>
          <w:p w14:paraId="0BF0954A" w14:textId="3DDE1334"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Y2</w:t>
            </w:r>
          </w:p>
        </w:tc>
        <w:tc>
          <w:tcPr>
            <w:tcW w:w="1314" w:type="dxa"/>
            <w:noWrap/>
            <w:hideMark/>
          </w:tcPr>
          <w:p w14:paraId="279BF9AC" w14:textId="36FCAFC1"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Y3</w:t>
            </w:r>
          </w:p>
        </w:tc>
        <w:tc>
          <w:tcPr>
            <w:tcW w:w="1314" w:type="dxa"/>
            <w:noWrap/>
            <w:hideMark/>
          </w:tcPr>
          <w:p w14:paraId="25C60165" w14:textId="7326A8FF"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b/>
                <w:bCs/>
                <w:color w:val="000000" w:themeColor="text1"/>
                <w:sz w:val="24"/>
                <w:szCs w:val="24"/>
              </w:rPr>
              <w:t xml:space="preserve">Y4 </w:t>
            </w:r>
          </w:p>
        </w:tc>
      </w:tr>
      <w:tr w:rsidR="00D11634" w:rsidRPr="00D11634" w14:paraId="32D690E6" w14:textId="77777777" w:rsidTr="003D4E4B">
        <w:trPr>
          <w:trHeight w:val="305"/>
        </w:trPr>
        <w:tc>
          <w:tcPr>
            <w:tcW w:w="3207" w:type="dxa"/>
            <w:noWrap/>
            <w:hideMark/>
          </w:tcPr>
          <w:p w14:paraId="5DEE8FBE"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Option B Cash Flow</w:t>
            </w:r>
          </w:p>
        </w:tc>
        <w:tc>
          <w:tcPr>
            <w:tcW w:w="1314" w:type="dxa"/>
            <w:noWrap/>
            <w:hideMark/>
          </w:tcPr>
          <w:p w14:paraId="240D573F"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-1200</w:t>
            </w:r>
          </w:p>
        </w:tc>
        <w:tc>
          <w:tcPr>
            <w:tcW w:w="1314" w:type="dxa"/>
            <w:noWrap/>
            <w:hideMark/>
          </w:tcPr>
          <w:p w14:paraId="2ED8E2F4"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500</w:t>
            </w:r>
          </w:p>
        </w:tc>
        <w:tc>
          <w:tcPr>
            <w:tcW w:w="1314" w:type="dxa"/>
            <w:noWrap/>
            <w:hideMark/>
          </w:tcPr>
          <w:p w14:paraId="51878707"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600</w:t>
            </w:r>
          </w:p>
        </w:tc>
        <w:tc>
          <w:tcPr>
            <w:tcW w:w="1314" w:type="dxa"/>
            <w:noWrap/>
            <w:hideMark/>
          </w:tcPr>
          <w:p w14:paraId="5753EFF5"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800</w:t>
            </w:r>
          </w:p>
        </w:tc>
        <w:tc>
          <w:tcPr>
            <w:tcW w:w="1314" w:type="dxa"/>
            <w:noWrap/>
            <w:hideMark/>
          </w:tcPr>
          <w:p w14:paraId="4A2970BB"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1,000</w:t>
            </w:r>
          </w:p>
        </w:tc>
      </w:tr>
      <w:tr w:rsidR="00D11634" w:rsidRPr="00D11634" w14:paraId="6538E8E0" w14:textId="77777777" w:rsidTr="003D4E4B">
        <w:trPr>
          <w:trHeight w:val="305"/>
        </w:trPr>
        <w:tc>
          <w:tcPr>
            <w:tcW w:w="3207" w:type="dxa"/>
            <w:noWrap/>
          </w:tcPr>
          <w:p w14:paraId="678BF97B" w14:textId="246EE85A" w:rsidR="00031233" w:rsidRPr="00D11634" w:rsidRDefault="00031233" w:rsidP="00031233">
            <w:pPr>
              <w:spacing w:line="240" w:lineRule="auto"/>
              <w:jc w:val="left"/>
              <w:rPr>
                <w:rFonts w:eastAsia="Times New Roman" w:cs="Times New Roman"/>
                <w:color w:val="000000" w:themeColor="text1"/>
                <w:sz w:val="24"/>
                <w:szCs w:val="24"/>
              </w:rPr>
            </w:pPr>
            <w:r w:rsidRPr="00D11634">
              <w:rPr>
                <w:rFonts w:cs="Times New Roman"/>
                <w:color w:val="000000" w:themeColor="text1"/>
              </w:rPr>
              <w:t>Calculation of Corporation Tax</w:t>
            </w:r>
          </w:p>
        </w:tc>
        <w:tc>
          <w:tcPr>
            <w:tcW w:w="1314" w:type="dxa"/>
            <w:noWrap/>
          </w:tcPr>
          <w:p w14:paraId="7FEEC310" w14:textId="77777777" w:rsidR="00031233" w:rsidRPr="00D11634" w:rsidRDefault="00031233" w:rsidP="00031233">
            <w:pPr>
              <w:spacing w:line="240" w:lineRule="auto"/>
              <w:jc w:val="right"/>
              <w:rPr>
                <w:rFonts w:eastAsia="Times New Roman" w:cs="Times New Roman"/>
                <w:color w:val="000000" w:themeColor="text1"/>
                <w:sz w:val="24"/>
                <w:szCs w:val="24"/>
                <w:lang w:val="en-US"/>
              </w:rPr>
            </w:pPr>
          </w:p>
        </w:tc>
        <w:tc>
          <w:tcPr>
            <w:tcW w:w="1314" w:type="dxa"/>
            <w:noWrap/>
          </w:tcPr>
          <w:p w14:paraId="05BE45C9" w14:textId="4DD49039"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(500-</w:t>
            </w:r>
            <w:proofErr w:type="gramStart"/>
            <w:r w:rsidRPr="00D11634">
              <w:rPr>
                <w:rFonts w:eastAsia="Times New Roman" w:cs="Times New Roman"/>
                <w:color w:val="000000" w:themeColor="text1"/>
              </w:rPr>
              <w:t>300)*</w:t>
            </w:r>
            <w:proofErr w:type="gramEnd"/>
            <w:r w:rsidRPr="00D11634">
              <w:rPr>
                <w:rFonts w:eastAsia="Times New Roman" w:cs="Times New Roman"/>
                <w:color w:val="000000" w:themeColor="text1"/>
              </w:rPr>
              <w:t>0.2</w:t>
            </w:r>
          </w:p>
        </w:tc>
        <w:tc>
          <w:tcPr>
            <w:tcW w:w="1314" w:type="dxa"/>
            <w:noWrap/>
          </w:tcPr>
          <w:p w14:paraId="6F87E4FE" w14:textId="6EADB824"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(600-</w:t>
            </w:r>
            <w:proofErr w:type="gramStart"/>
            <w:r w:rsidRPr="00D11634">
              <w:rPr>
                <w:rFonts w:eastAsia="Times New Roman" w:cs="Times New Roman"/>
                <w:color w:val="000000" w:themeColor="text1"/>
              </w:rPr>
              <w:t>300)*</w:t>
            </w:r>
            <w:proofErr w:type="gramEnd"/>
            <w:r w:rsidRPr="00D11634">
              <w:rPr>
                <w:rFonts w:eastAsia="Times New Roman" w:cs="Times New Roman"/>
                <w:color w:val="000000" w:themeColor="text1"/>
              </w:rPr>
              <w:t>0.2</w:t>
            </w:r>
          </w:p>
        </w:tc>
        <w:tc>
          <w:tcPr>
            <w:tcW w:w="1314" w:type="dxa"/>
            <w:noWrap/>
          </w:tcPr>
          <w:p w14:paraId="4B68CE39" w14:textId="197E2A54"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(800-</w:t>
            </w:r>
            <w:proofErr w:type="gramStart"/>
            <w:r w:rsidRPr="00D11634">
              <w:rPr>
                <w:rFonts w:eastAsia="Times New Roman" w:cs="Times New Roman"/>
                <w:color w:val="000000" w:themeColor="text1"/>
              </w:rPr>
              <w:t>300)*</w:t>
            </w:r>
            <w:proofErr w:type="gramEnd"/>
            <w:r w:rsidRPr="00D11634">
              <w:rPr>
                <w:rFonts w:eastAsia="Times New Roman" w:cs="Times New Roman"/>
                <w:color w:val="000000" w:themeColor="text1"/>
              </w:rPr>
              <w:t>0.2</w:t>
            </w:r>
          </w:p>
        </w:tc>
        <w:tc>
          <w:tcPr>
            <w:tcW w:w="1314" w:type="dxa"/>
            <w:noWrap/>
          </w:tcPr>
          <w:p w14:paraId="0EBC348E" w14:textId="182A85B3"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(1000-</w:t>
            </w:r>
            <w:proofErr w:type="gramStart"/>
            <w:r w:rsidRPr="00D11634">
              <w:rPr>
                <w:rFonts w:eastAsia="Times New Roman" w:cs="Times New Roman"/>
                <w:color w:val="000000" w:themeColor="text1"/>
              </w:rPr>
              <w:t>300)*</w:t>
            </w:r>
            <w:proofErr w:type="gramEnd"/>
            <w:r w:rsidRPr="00D11634">
              <w:rPr>
                <w:rFonts w:eastAsia="Times New Roman" w:cs="Times New Roman"/>
                <w:color w:val="000000" w:themeColor="text1"/>
              </w:rPr>
              <w:t>0.2</w:t>
            </w:r>
          </w:p>
        </w:tc>
      </w:tr>
      <w:tr w:rsidR="00D11634" w:rsidRPr="00D11634" w14:paraId="17600847" w14:textId="77777777" w:rsidTr="003D4E4B">
        <w:trPr>
          <w:trHeight w:val="305"/>
        </w:trPr>
        <w:tc>
          <w:tcPr>
            <w:tcW w:w="3207" w:type="dxa"/>
            <w:noWrap/>
            <w:hideMark/>
          </w:tcPr>
          <w:p w14:paraId="6C818EA9"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Corporation Tax</w:t>
            </w:r>
          </w:p>
        </w:tc>
        <w:tc>
          <w:tcPr>
            <w:tcW w:w="1314" w:type="dxa"/>
            <w:noWrap/>
            <w:hideMark/>
          </w:tcPr>
          <w:p w14:paraId="414AD1B2"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p>
        </w:tc>
        <w:tc>
          <w:tcPr>
            <w:tcW w:w="1314" w:type="dxa"/>
            <w:noWrap/>
            <w:hideMark/>
          </w:tcPr>
          <w:p w14:paraId="6E5B6D82"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40</w:t>
            </w:r>
          </w:p>
        </w:tc>
        <w:tc>
          <w:tcPr>
            <w:tcW w:w="1314" w:type="dxa"/>
            <w:noWrap/>
            <w:hideMark/>
          </w:tcPr>
          <w:p w14:paraId="4484F7E2"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60</w:t>
            </w:r>
          </w:p>
        </w:tc>
        <w:tc>
          <w:tcPr>
            <w:tcW w:w="1314" w:type="dxa"/>
            <w:noWrap/>
            <w:hideMark/>
          </w:tcPr>
          <w:p w14:paraId="3C26630E"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100</w:t>
            </w:r>
          </w:p>
        </w:tc>
        <w:tc>
          <w:tcPr>
            <w:tcW w:w="1314" w:type="dxa"/>
            <w:noWrap/>
            <w:hideMark/>
          </w:tcPr>
          <w:p w14:paraId="27B2F4A4"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140</w:t>
            </w:r>
          </w:p>
        </w:tc>
      </w:tr>
      <w:tr w:rsidR="00D11634" w:rsidRPr="00D11634" w14:paraId="7D393790" w14:textId="77777777" w:rsidTr="003D4E4B">
        <w:trPr>
          <w:trHeight w:val="305"/>
        </w:trPr>
        <w:tc>
          <w:tcPr>
            <w:tcW w:w="3207" w:type="dxa"/>
            <w:noWrap/>
            <w:hideMark/>
          </w:tcPr>
          <w:p w14:paraId="5A2A5752"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Cash Flow-Tax</w:t>
            </w:r>
          </w:p>
        </w:tc>
        <w:tc>
          <w:tcPr>
            <w:tcW w:w="1314" w:type="dxa"/>
            <w:noWrap/>
            <w:hideMark/>
          </w:tcPr>
          <w:p w14:paraId="2564C23A"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-1200</w:t>
            </w:r>
          </w:p>
        </w:tc>
        <w:tc>
          <w:tcPr>
            <w:tcW w:w="1314" w:type="dxa"/>
            <w:noWrap/>
            <w:hideMark/>
          </w:tcPr>
          <w:p w14:paraId="257BF1F4"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460</w:t>
            </w:r>
          </w:p>
        </w:tc>
        <w:tc>
          <w:tcPr>
            <w:tcW w:w="1314" w:type="dxa"/>
            <w:noWrap/>
            <w:hideMark/>
          </w:tcPr>
          <w:p w14:paraId="1EFDF10A"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540</w:t>
            </w:r>
          </w:p>
        </w:tc>
        <w:tc>
          <w:tcPr>
            <w:tcW w:w="1314" w:type="dxa"/>
            <w:noWrap/>
            <w:hideMark/>
          </w:tcPr>
          <w:p w14:paraId="0F14C67B"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700</w:t>
            </w:r>
          </w:p>
        </w:tc>
        <w:tc>
          <w:tcPr>
            <w:tcW w:w="1314" w:type="dxa"/>
            <w:noWrap/>
            <w:hideMark/>
          </w:tcPr>
          <w:p w14:paraId="2B0F18DA"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860</w:t>
            </w:r>
          </w:p>
        </w:tc>
      </w:tr>
      <w:tr w:rsidR="00D11634" w:rsidRPr="00D11634" w14:paraId="1FEBA97C" w14:textId="77777777" w:rsidTr="003D4E4B">
        <w:trPr>
          <w:trHeight w:val="305"/>
        </w:trPr>
        <w:tc>
          <w:tcPr>
            <w:tcW w:w="3207" w:type="dxa"/>
            <w:noWrap/>
            <w:hideMark/>
          </w:tcPr>
          <w:p w14:paraId="17157D63"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Discount Factor</w:t>
            </w:r>
          </w:p>
        </w:tc>
        <w:tc>
          <w:tcPr>
            <w:tcW w:w="1314" w:type="dxa"/>
            <w:noWrap/>
            <w:hideMark/>
          </w:tcPr>
          <w:p w14:paraId="2E77EC00"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w:t>
            </w:r>
          </w:p>
        </w:tc>
        <w:tc>
          <w:tcPr>
            <w:tcW w:w="1314" w:type="dxa"/>
            <w:noWrap/>
            <w:hideMark/>
          </w:tcPr>
          <w:p w14:paraId="49A575D8"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0.925926</w:t>
            </w:r>
          </w:p>
        </w:tc>
        <w:tc>
          <w:tcPr>
            <w:tcW w:w="1314" w:type="dxa"/>
            <w:noWrap/>
            <w:hideMark/>
          </w:tcPr>
          <w:p w14:paraId="6BA6C1FF"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0.857339</w:t>
            </w:r>
          </w:p>
        </w:tc>
        <w:tc>
          <w:tcPr>
            <w:tcW w:w="1314" w:type="dxa"/>
            <w:noWrap/>
            <w:hideMark/>
          </w:tcPr>
          <w:p w14:paraId="776D4E5E"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0.793832</w:t>
            </w:r>
          </w:p>
        </w:tc>
        <w:tc>
          <w:tcPr>
            <w:tcW w:w="1314" w:type="dxa"/>
            <w:noWrap/>
            <w:hideMark/>
          </w:tcPr>
          <w:p w14:paraId="37645A5E"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0.73503</w:t>
            </w:r>
          </w:p>
        </w:tc>
      </w:tr>
      <w:tr w:rsidR="00D11634" w:rsidRPr="00D11634" w14:paraId="04E11679" w14:textId="77777777" w:rsidTr="003D4E4B">
        <w:trPr>
          <w:trHeight w:val="305"/>
        </w:trPr>
        <w:tc>
          <w:tcPr>
            <w:tcW w:w="3207" w:type="dxa"/>
            <w:tcBorders>
              <w:bottom w:val="single" w:sz="4" w:space="0" w:color="auto"/>
            </w:tcBorders>
            <w:noWrap/>
            <w:hideMark/>
          </w:tcPr>
          <w:p w14:paraId="2ED1ABA7"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 xml:space="preserve">Option </w:t>
            </w:r>
            <w:proofErr w:type="gramStart"/>
            <w:r w:rsidRPr="00D11634">
              <w:rPr>
                <w:rFonts w:eastAsia="Times New Roman" w:cs="Times New Roman"/>
                <w:color w:val="000000" w:themeColor="text1"/>
                <w:sz w:val="24"/>
                <w:szCs w:val="24"/>
                <w:lang w:val="en-US"/>
              </w:rPr>
              <w:t>A</w:t>
            </w:r>
            <w:proofErr w:type="gramEnd"/>
            <w:r w:rsidRPr="00D11634">
              <w:rPr>
                <w:rFonts w:eastAsia="Times New Roman" w:cs="Times New Roman"/>
                <w:color w:val="000000" w:themeColor="text1"/>
                <w:sz w:val="24"/>
                <w:szCs w:val="24"/>
                <w:lang w:val="en-US"/>
              </w:rPr>
              <w:t xml:space="preserve"> Adjusted Values</w:t>
            </w:r>
          </w:p>
        </w:tc>
        <w:tc>
          <w:tcPr>
            <w:tcW w:w="1314" w:type="dxa"/>
            <w:tcBorders>
              <w:bottom w:val="single" w:sz="4" w:space="0" w:color="auto"/>
            </w:tcBorders>
            <w:noWrap/>
            <w:hideMark/>
          </w:tcPr>
          <w:p w14:paraId="3CB2E296"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-1200</w:t>
            </w:r>
          </w:p>
        </w:tc>
        <w:tc>
          <w:tcPr>
            <w:tcW w:w="1314" w:type="dxa"/>
            <w:tcBorders>
              <w:bottom w:val="single" w:sz="4" w:space="0" w:color="auto"/>
            </w:tcBorders>
            <w:noWrap/>
            <w:hideMark/>
          </w:tcPr>
          <w:p w14:paraId="35AB61D2"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425.9259</w:t>
            </w:r>
          </w:p>
        </w:tc>
        <w:tc>
          <w:tcPr>
            <w:tcW w:w="1314" w:type="dxa"/>
            <w:tcBorders>
              <w:bottom w:val="single" w:sz="4" w:space="0" w:color="auto"/>
            </w:tcBorders>
            <w:noWrap/>
            <w:hideMark/>
          </w:tcPr>
          <w:p w14:paraId="0AD47A27"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462.963</w:t>
            </w:r>
          </w:p>
        </w:tc>
        <w:tc>
          <w:tcPr>
            <w:tcW w:w="1314" w:type="dxa"/>
            <w:tcBorders>
              <w:bottom w:val="single" w:sz="4" w:space="0" w:color="auto"/>
            </w:tcBorders>
            <w:noWrap/>
            <w:hideMark/>
          </w:tcPr>
          <w:p w14:paraId="145EDAE0"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555.6826</w:t>
            </w:r>
          </w:p>
        </w:tc>
        <w:tc>
          <w:tcPr>
            <w:tcW w:w="1314" w:type="dxa"/>
            <w:tcBorders>
              <w:bottom w:val="single" w:sz="4" w:space="0" w:color="auto"/>
            </w:tcBorders>
            <w:noWrap/>
            <w:hideMark/>
          </w:tcPr>
          <w:p w14:paraId="15FF7967"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632.1257</w:t>
            </w:r>
          </w:p>
        </w:tc>
      </w:tr>
      <w:tr w:rsidR="00D11634" w:rsidRPr="00D11634" w14:paraId="35AFB2BF" w14:textId="77777777" w:rsidTr="003D4E4B">
        <w:trPr>
          <w:trHeight w:val="305"/>
        </w:trPr>
        <w:tc>
          <w:tcPr>
            <w:tcW w:w="3207" w:type="dxa"/>
            <w:tcBorders>
              <w:top w:val="single" w:sz="4" w:space="0" w:color="auto"/>
              <w:left w:val="nil"/>
              <w:bottom w:val="single" w:sz="4" w:space="0" w:color="auto"/>
              <w:right w:val="nil"/>
            </w:tcBorders>
            <w:noWrap/>
          </w:tcPr>
          <w:p w14:paraId="4A27E052" w14:textId="77777777" w:rsidR="00656CE2" w:rsidRPr="00D11634" w:rsidRDefault="00656CE2" w:rsidP="006D2740">
            <w:pPr>
              <w:spacing w:line="240" w:lineRule="auto"/>
              <w:jc w:val="left"/>
              <w:rPr>
                <w:rFonts w:eastAsia="Times New Roman" w:cs="Times New Roman"/>
                <w:color w:val="000000" w:themeColor="text1"/>
                <w:sz w:val="24"/>
                <w:szCs w:val="24"/>
                <w:lang w:val="en-US"/>
              </w:rPr>
            </w:pPr>
          </w:p>
        </w:tc>
        <w:tc>
          <w:tcPr>
            <w:tcW w:w="1314" w:type="dxa"/>
            <w:tcBorders>
              <w:top w:val="single" w:sz="4" w:space="0" w:color="auto"/>
              <w:left w:val="nil"/>
              <w:bottom w:val="single" w:sz="4" w:space="0" w:color="auto"/>
              <w:right w:val="nil"/>
            </w:tcBorders>
            <w:noWrap/>
          </w:tcPr>
          <w:p w14:paraId="76D584C0"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p>
        </w:tc>
        <w:tc>
          <w:tcPr>
            <w:tcW w:w="1314" w:type="dxa"/>
            <w:tcBorders>
              <w:top w:val="single" w:sz="4" w:space="0" w:color="auto"/>
              <w:left w:val="nil"/>
              <w:bottom w:val="nil"/>
              <w:right w:val="nil"/>
            </w:tcBorders>
            <w:noWrap/>
          </w:tcPr>
          <w:p w14:paraId="7852A738"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p>
        </w:tc>
        <w:tc>
          <w:tcPr>
            <w:tcW w:w="1314" w:type="dxa"/>
            <w:tcBorders>
              <w:top w:val="single" w:sz="4" w:space="0" w:color="auto"/>
              <w:left w:val="nil"/>
              <w:bottom w:val="nil"/>
              <w:right w:val="nil"/>
            </w:tcBorders>
            <w:noWrap/>
          </w:tcPr>
          <w:p w14:paraId="15E5F7B9"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p>
        </w:tc>
        <w:tc>
          <w:tcPr>
            <w:tcW w:w="1314" w:type="dxa"/>
            <w:tcBorders>
              <w:top w:val="single" w:sz="4" w:space="0" w:color="auto"/>
              <w:left w:val="nil"/>
              <w:bottom w:val="nil"/>
              <w:right w:val="nil"/>
            </w:tcBorders>
            <w:noWrap/>
          </w:tcPr>
          <w:p w14:paraId="325D28BC"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p>
        </w:tc>
        <w:tc>
          <w:tcPr>
            <w:tcW w:w="1314" w:type="dxa"/>
            <w:tcBorders>
              <w:top w:val="single" w:sz="4" w:space="0" w:color="auto"/>
              <w:left w:val="nil"/>
              <w:bottom w:val="nil"/>
              <w:right w:val="nil"/>
            </w:tcBorders>
            <w:noWrap/>
          </w:tcPr>
          <w:p w14:paraId="3AF07470" w14:textId="77777777" w:rsidR="00656CE2" w:rsidRPr="00D11634" w:rsidRDefault="00656CE2" w:rsidP="006D2740">
            <w:pPr>
              <w:spacing w:line="240" w:lineRule="auto"/>
              <w:jc w:val="right"/>
              <w:rPr>
                <w:rFonts w:eastAsia="Times New Roman" w:cs="Times New Roman"/>
                <w:color w:val="000000" w:themeColor="text1"/>
                <w:sz w:val="24"/>
                <w:szCs w:val="24"/>
                <w:lang w:val="en-US"/>
              </w:rPr>
            </w:pPr>
          </w:p>
        </w:tc>
      </w:tr>
      <w:tr w:rsidR="003D4E4B" w:rsidRPr="00D11634" w14:paraId="79F4CBC7" w14:textId="77777777" w:rsidTr="003D4E4B">
        <w:trPr>
          <w:trHeight w:val="305"/>
        </w:trPr>
        <w:tc>
          <w:tcPr>
            <w:tcW w:w="3207" w:type="dxa"/>
            <w:tcBorders>
              <w:top w:val="single" w:sz="4" w:space="0" w:color="auto"/>
            </w:tcBorders>
            <w:noWrap/>
            <w:hideMark/>
          </w:tcPr>
          <w:p w14:paraId="30691CDC" w14:textId="77777777"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NPV (B)</w:t>
            </w:r>
          </w:p>
        </w:tc>
        <w:tc>
          <w:tcPr>
            <w:tcW w:w="1314" w:type="dxa"/>
            <w:tcBorders>
              <w:top w:val="single" w:sz="4" w:space="0" w:color="auto"/>
              <w:right w:val="single" w:sz="4" w:space="0" w:color="auto"/>
            </w:tcBorders>
            <w:noWrap/>
            <w:hideMark/>
          </w:tcPr>
          <w:p w14:paraId="4B84E4BC" w14:textId="77777777" w:rsidR="003D4E4B" w:rsidRPr="00D11634" w:rsidRDefault="003D4E4B" w:rsidP="003D4E4B">
            <w:pPr>
              <w:spacing w:line="240" w:lineRule="auto"/>
              <w:jc w:val="left"/>
              <w:rPr>
                <w:rFonts w:eastAsia="Times New Roman" w:cs="Times New Roman"/>
                <w:b/>
                <w:bCs/>
                <w:color w:val="000000" w:themeColor="text1"/>
                <w:sz w:val="24"/>
                <w:szCs w:val="24"/>
                <w:lang w:val="en-US"/>
              </w:rPr>
            </w:pPr>
            <w:r w:rsidRPr="00D11634">
              <w:rPr>
                <w:rFonts w:eastAsia="Times New Roman" w:cs="Times New Roman"/>
                <w:b/>
                <w:bCs/>
                <w:color w:val="000000" w:themeColor="text1"/>
                <w:sz w:val="24"/>
                <w:szCs w:val="24"/>
                <w:lang w:val="en-US"/>
              </w:rPr>
              <w:t>876.6971</w:t>
            </w:r>
          </w:p>
        </w:tc>
        <w:tc>
          <w:tcPr>
            <w:tcW w:w="5256" w:type="dxa"/>
            <w:gridSpan w:val="4"/>
            <w:tcBorders>
              <w:top w:val="nil"/>
              <w:left w:val="single" w:sz="4" w:space="0" w:color="auto"/>
              <w:bottom w:val="nil"/>
            </w:tcBorders>
            <w:noWrap/>
            <w:hideMark/>
          </w:tcPr>
          <w:p w14:paraId="0607F2A8" w14:textId="4794A47D"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color w:val="000000" w:themeColor="text1"/>
                <w:sz w:val="24"/>
                <w:szCs w:val="24"/>
                <w:lang w:val="en-US"/>
              </w:rPr>
              <w:t xml:space="preserve"> “All values are in (£’000)”</w:t>
            </w:r>
          </w:p>
        </w:tc>
      </w:tr>
    </w:tbl>
    <w:p w14:paraId="3F3A8CB3" w14:textId="77777777" w:rsidR="006D2740" w:rsidRPr="00D11634" w:rsidRDefault="006D2740" w:rsidP="006D2740">
      <w:pPr>
        <w:rPr>
          <w:rFonts w:cs="Times New Roman"/>
          <w:color w:val="000000" w:themeColor="text1"/>
          <w:sz w:val="24"/>
          <w:szCs w:val="24"/>
        </w:rPr>
      </w:pPr>
    </w:p>
    <w:p w14:paraId="44348F29" w14:textId="77777777" w:rsidR="00656CE2" w:rsidRPr="00D11634" w:rsidRDefault="00656CE2" w:rsidP="007A6F62">
      <w:pPr>
        <w:pStyle w:val="3"/>
        <w:rPr>
          <w:color w:val="000000" w:themeColor="text1"/>
        </w:rPr>
      </w:pPr>
      <w:bookmarkStart w:id="49" w:name="_Toc40997221"/>
      <w:bookmarkStart w:id="50" w:name="_Toc41614054"/>
      <w:r w:rsidRPr="00D11634">
        <w:rPr>
          <w:color w:val="000000" w:themeColor="text1"/>
        </w:rPr>
        <w:t>Option C Calculations</w:t>
      </w:r>
      <w:bookmarkEnd w:id="49"/>
      <w:bookmarkEnd w:id="50"/>
    </w:p>
    <w:tbl>
      <w:tblPr>
        <w:tblStyle w:val="a3"/>
        <w:tblW w:w="9837" w:type="dxa"/>
        <w:tblLook w:val="04A0" w:firstRow="1" w:lastRow="0" w:firstColumn="1" w:lastColumn="0" w:noHBand="0" w:noVBand="1"/>
      </w:tblPr>
      <w:tblGrid>
        <w:gridCol w:w="3227"/>
        <w:gridCol w:w="1322"/>
        <w:gridCol w:w="1322"/>
        <w:gridCol w:w="1322"/>
        <w:gridCol w:w="1322"/>
        <w:gridCol w:w="1322"/>
      </w:tblGrid>
      <w:tr w:rsidR="00D11634" w:rsidRPr="00D11634" w14:paraId="4A15FF53" w14:textId="77777777" w:rsidTr="00031233">
        <w:trPr>
          <w:trHeight w:val="281"/>
        </w:trPr>
        <w:tc>
          <w:tcPr>
            <w:tcW w:w="3227" w:type="dxa"/>
            <w:noWrap/>
          </w:tcPr>
          <w:p w14:paraId="2F64F375" w14:textId="77777777" w:rsidR="003D4E4B" w:rsidRPr="00D11634" w:rsidRDefault="003D4E4B" w:rsidP="003D4E4B">
            <w:pPr>
              <w:spacing w:line="240" w:lineRule="auto"/>
              <w:jc w:val="left"/>
              <w:rPr>
                <w:rFonts w:eastAsia="Times New Roman" w:cs="Times New Roman"/>
                <w:color w:val="000000" w:themeColor="text1"/>
                <w:sz w:val="24"/>
                <w:szCs w:val="24"/>
              </w:rPr>
            </w:pPr>
          </w:p>
        </w:tc>
        <w:tc>
          <w:tcPr>
            <w:tcW w:w="1322" w:type="dxa"/>
            <w:noWrap/>
          </w:tcPr>
          <w:p w14:paraId="4EDCA7FE" w14:textId="0B230048" w:rsidR="003D4E4B" w:rsidRPr="00D11634" w:rsidRDefault="003D4E4B" w:rsidP="003D4E4B">
            <w:pPr>
              <w:spacing w:line="240" w:lineRule="auto"/>
              <w:jc w:val="right"/>
              <w:rPr>
                <w:rFonts w:eastAsia="Times New Roman" w:cs="Times New Roman"/>
                <w:color w:val="000000" w:themeColor="text1"/>
                <w:sz w:val="24"/>
                <w:szCs w:val="24"/>
                <w:lang w:val="en-US"/>
              </w:rPr>
            </w:pPr>
            <w:r w:rsidRPr="00D11634">
              <w:rPr>
                <w:rFonts w:cs="Times New Roman"/>
                <w:b/>
                <w:bCs/>
                <w:color w:val="000000" w:themeColor="text1"/>
                <w:sz w:val="24"/>
                <w:szCs w:val="24"/>
                <w:lang w:val="en-US"/>
              </w:rPr>
              <w:t xml:space="preserve">Y0 </w:t>
            </w:r>
          </w:p>
        </w:tc>
        <w:tc>
          <w:tcPr>
            <w:tcW w:w="1322" w:type="dxa"/>
            <w:noWrap/>
          </w:tcPr>
          <w:p w14:paraId="0225A8F9" w14:textId="0340D257" w:rsidR="003D4E4B" w:rsidRPr="00D11634" w:rsidRDefault="003D4E4B" w:rsidP="003D4E4B">
            <w:pPr>
              <w:spacing w:line="240" w:lineRule="auto"/>
              <w:jc w:val="right"/>
              <w:rPr>
                <w:rFonts w:eastAsia="Times New Roman" w:cs="Times New Roman"/>
                <w:color w:val="000000" w:themeColor="text1"/>
                <w:sz w:val="24"/>
                <w:szCs w:val="24"/>
              </w:rPr>
            </w:pPr>
            <w:r w:rsidRPr="00D11634">
              <w:rPr>
                <w:rFonts w:cs="Times New Roman"/>
                <w:b/>
                <w:bCs/>
                <w:color w:val="000000" w:themeColor="text1"/>
                <w:sz w:val="24"/>
                <w:szCs w:val="24"/>
              </w:rPr>
              <w:t xml:space="preserve">Y1 </w:t>
            </w:r>
          </w:p>
        </w:tc>
        <w:tc>
          <w:tcPr>
            <w:tcW w:w="1322" w:type="dxa"/>
            <w:noWrap/>
          </w:tcPr>
          <w:p w14:paraId="79D008EF" w14:textId="5C218568" w:rsidR="003D4E4B" w:rsidRPr="00D11634" w:rsidRDefault="003D4E4B" w:rsidP="003D4E4B">
            <w:pPr>
              <w:spacing w:line="240" w:lineRule="auto"/>
              <w:jc w:val="right"/>
              <w:rPr>
                <w:rFonts w:eastAsia="Times New Roman" w:cs="Times New Roman"/>
                <w:color w:val="000000" w:themeColor="text1"/>
                <w:sz w:val="24"/>
                <w:szCs w:val="24"/>
              </w:rPr>
            </w:pPr>
            <w:r w:rsidRPr="00D11634">
              <w:rPr>
                <w:rFonts w:cs="Times New Roman"/>
                <w:b/>
                <w:bCs/>
                <w:color w:val="000000" w:themeColor="text1"/>
                <w:sz w:val="24"/>
                <w:szCs w:val="24"/>
              </w:rPr>
              <w:t>Y2</w:t>
            </w:r>
          </w:p>
        </w:tc>
        <w:tc>
          <w:tcPr>
            <w:tcW w:w="1322" w:type="dxa"/>
            <w:noWrap/>
          </w:tcPr>
          <w:p w14:paraId="3CF3A6AC" w14:textId="7E69BA70" w:rsidR="003D4E4B" w:rsidRPr="00D11634" w:rsidRDefault="003D4E4B" w:rsidP="003D4E4B">
            <w:pPr>
              <w:spacing w:line="240" w:lineRule="auto"/>
              <w:jc w:val="right"/>
              <w:rPr>
                <w:rFonts w:eastAsia="Times New Roman" w:cs="Times New Roman"/>
                <w:color w:val="000000" w:themeColor="text1"/>
                <w:sz w:val="24"/>
                <w:szCs w:val="24"/>
              </w:rPr>
            </w:pPr>
            <w:r w:rsidRPr="00D11634">
              <w:rPr>
                <w:rFonts w:cs="Times New Roman"/>
                <w:b/>
                <w:bCs/>
                <w:color w:val="000000" w:themeColor="text1"/>
                <w:sz w:val="24"/>
                <w:szCs w:val="24"/>
              </w:rPr>
              <w:t>Y3</w:t>
            </w:r>
          </w:p>
        </w:tc>
        <w:tc>
          <w:tcPr>
            <w:tcW w:w="1322" w:type="dxa"/>
            <w:noWrap/>
          </w:tcPr>
          <w:p w14:paraId="6A4DE9FA" w14:textId="7533D816" w:rsidR="003D4E4B" w:rsidRPr="00D11634" w:rsidRDefault="003D4E4B" w:rsidP="003D4E4B">
            <w:pPr>
              <w:spacing w:line="240" w:lineRule="auto"/>
              <w:jc w:val="right"/>
              <w:rPr>
                <w:rFonts w:eastAsia="Times New Roman" w:cs="Times New Roman"/>
                <w:color w:val="000000" w:themeColor="text1"/>
                <w:sz w:val="24"/>
                <w:szCs w:val="24"/>
              </w:rPr>
            </w:pPr>
            <w:r w:rsidRPr="00D11634">
              <w:rPr>
                <w:rFonts w:cs="Times New Roman"/>
                <w:b/>
                <w:bCs/>
                <w:color w:val="000000" w:themeColor="text1"/>
                <w:sz w:val="24"/>
                <w:szCs w:val="24"/>
              </w:rPr>
              <w:t xml:space="preserve">Y4 </w:t>
            </w:r>
          </w:p>
        </w:tc>
      </w:tr>
      <w:tr w:rsidR="00D11634" w:rsidRPr="00D11634" w14:paraId="73F807AB" w14:textId="77777777" w:rsidTr="00031233">
        <w:trPr>
          <w:trHeight w:val="281"/>
        </w:trPr>
        <w:tc>
          <w:tcPr>
            <w:tcW w:w="3227" w:type="dxa"/>
            <w:noWrap/>
            <w:hideMark/>
          </w:tcPr>
          <w:p w14:paraId="6786D260"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Option C Cash Flow</w:t>
            </w:r>
          </w:p>
        </w:tc>
        <w:tc>
          <w:tcPr>
            <w:tcW w:w="1322" w:type="dxa"/>
            <w:noWrap/>
            <w:hideMark/>
          </w:tcPr>
          <w:p w14:paraId="3A41A463"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322" w:type="dxa"/>
            <w:noWrap/>
            <w:hideMark/>
          </w:tcPr>
          <w:p w14:paraId="034C38F1"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500</w:t>
            </w:r>
          </w:p>
        </w:tc>
        <w:tc>
          <w:tcPr>
            <w:tcW w:w="1322" w:type="dxa"/>
            <w:noWrap/>
            <w:hideMark/>
          </w:tcPr>
          <w:p w14:paraId="1E313A43"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1,000</w:t>
            </w:r>
          </w:p>
        </w:tc>
        <w:tc>
          <w:tcPr>
            <w:tcW w:w="1322" w:type="dxa"/>
            <w:noWrap/>
            <w:hideMark/>
          </w:tcPr>
          <w:p w14:paraId="6194E578"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1,500</w:t>
            </w:r>
          </w:p>
        </w:tc>
        <w:tc>
          <w:tcPr>
            <w:tcW w:w="1322" w:type="dxa"/>
            <w:noWrap/>
            <w:hideMark/>
          </w:tcPr>
          <w:p w14:paraId="2834283A"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1,500</w:t>
            </w:r>
          </w:p>
        </w:tc>
      </w:tr>
      <w:tr w:rsidR="00D11634" w:rsidRPr="00D11634" w14:paraId="44A373DE" w14:textId="77777777" w:rsidTr="00031233">
        <w:trPr>
          <w:trHeight w:val="281"/>
        </w:trPr>
        <w:tc>
          <w:tcPr>
            <w:tcW w:w="3227" w:type="dxa"/>
            <w:noWrap/>
          </w:tcPr>
          <w:p w14:paraId="37991264" w14:textId="2EC5BCBF" w:rsidR="00031233" w:rsidRPr="00D11634" w:rsidRDefault="00031233" w:rsidP="00031233">
            <w:pPr>
              <w:spacing w:line="240" w:lineRule="auto"/>
              <w:jc w:val="left"/>
              <w:rPr>
                <w:rFonts w:eastAsia="Times New Roman" w:cs="Times New Roman"/>
                <w:color w:val="000000" w:themeColor="text1"/>
                <w:sz w:val="24"/>
                <w:szCs w:val="24"/>
              </w:rPr>
            </w:pPr>
            <w:r w:rsidRPr="00D11634">
              <w:rPr>
                <w:rFonts w:eastAsia="Times New Roman" w:cs="Times New Roman"/>
                <w:color w:val="000000" w:themeColor="text1"/>
              </w:rPr>
              <w:t>Calculation of Corporation Tax</w:t>
            </w:r>
          </w:p>
        </w:tc>
        <w:tc>
          <w:tcPr>
            <w:tcW w:w="1322" w:type="dxa"/>
            <w:noWrap/>
          </w:tcPr>
          <w:p w14:paraId="06635C20" w14:textId="77777777" w:rsidR="00031233" w:rsidRPr="00D11634" w:rsidRDefault="00031233" w:rsidP="00031233">
            <w:pPr>
              <w:spacing w:line="240" w:lineRule="auto"/>
              <w:jc w:val="right"/>
              <w:rPr>
                <w:rFonts w:eastAsia="Times New Roman" w:cs="Times New Roman"/>
                <w:color w:val="000000" w:themeColor="text1"/>
                <w:sz w:val="24"/>
                <w:szCs w:val="24"/>
                <w:lang w:val="en-US"/>
              </w:rPr>
            </w:pPr>
          </w:p>
        </w:tc>
        <w:tc>
          <w:tcPr>
            <w:tcW w:w="1322" w:type="dxa"/>
            <w:noWrap/>
          </w:tcPr>
          <w:p w14:paraId="2CD1EA47" w14:textId="72E6A946"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(500-</w:t>
            </w:r>
            <w:proofErr w:type="gramStart"/>
            <w:r w:rsidRPr="00D11634">
              <w:rPr>
                <w:rFonts w:eastAsia="Times New Roman" w:cs="Times New Roman"/>
                <w:color w:val="000000" w:themeColor="text1"/>
              </w:rPr>
              <w:t>500)*</w:t>
            </w:r>
            <w:proofErr w:type="gramEnd"/>
            <w:r w:rsidRPr="00D11634">
              <w:rPr>
                <w:rFonts w:eastAsia="Times New Roman" w:cs="Times New Roman"/>
                <w:color w:val="000000" w:themeColor="text1"/>
              </w:rPr>
              <w:t>0.2</w:t>
            </w:r>
          </w:p>
        </w:tc>
        <w:tc>
          <w:tcPr>
            <w:tcW w:w="1322" w:type="dxa"/>
            <w:noWrap/>
          </w:tcPr>
          <w:p w14:paraId="0C15778B" w14:textId="15F8E3FC"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(1000-</w:t>
            </w:r>
            <w:proofErr w:type="gramStart"/>
            <w:r w:rsidRPr="00D11634">
              <w:rPr>
                <w:rFonts w:eastAsia="Times New Roman" w:cs="Times New Roman"/>
                <w:color w:val="000000" w:themeColor="text1"/>
              </w:rPr>
              <w:t>500)*</w:t>
            </w:r>
            <w:proofErr w:type="gramEnd"/>
            <w:r w:rsidRPr="00D11634">
              <w:rPr>
                <w:rFonts w:eastAsia="Times New Roman" w:cs="Times New Roman"/>
                <w:color w:val="000000" w:themeColor="text1"/>
              </w:rPr>
              <w:t>0.2</w:t>
            </w:r>
          </w:p>
        </w:tc>
        <w:tc>
          <w:tcPr>
            <w:tcW w:w="1322" w:type="dxa"/>
            <w:noWrap/>
          </w:tcPr>
          <w:p w14:paraId="2E97C97E" w14:textId="084EF046"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(1000-</w:t>
            </w:r>
            <w:proofErr w:type="gramStart"/>
            <w:r w:rsidRPr="00D11634">
              <w:rPr>
                <w:rFonts w:eastAsia="Times New Roman" w:cs="Times New Roman"/>
                <w:color w:val="000000" w:themeColor="text1"/>
              </w:rPr>
              <w:t>500)*</w:t>
            </w:r>
            <w:proofErr w:type="gramEnd"/>
            <w:r w:rsidRPr="00D11634">
              <w:rPr>
                <w:rFonts w:eastAsia="Times New Roman" w:cs="Times New Roman"/>
                <w:color w:val="000000" w:themeColor="text1"/>
              </w:rPr>
              <w:t>0.2</w:t>
            </w:r>
          </w:p>
        </w:tc>
        <w:tc>
          <w:tcPr>
            <w:tcW w:w="1322" w:type="dxa"/>
            <w:noWrap/>
          </w:tcPr>
          <w:p w14:paraId="1019B0E1" w14:textId="576469F8" w:rsidR="00031233" w:rsidRPr="00D11634" w:rsidRDefault="00031233" w:rsidP="00031233">
            <w:pPr>
              <w:spacing w:line="240" w:lineRule="auto"/>
              <w:jc w:val="right"/>
              <w:rPr>
                <w:rFonts w:eastAsia="Times New Roman" w:cs="Times New Roman"/>
                <w:color w:val="000000" w:themeColor="text1"/>
                <w:sz w:val="24"/>
                <w:szCs w:val="24"/>
              </w:rPr>
            </w:pPr>
            <w:r w:rsidRPr="00D11634">
              <w:rPr>
                <w:rFonts w:eastAsia="Times New Roman" w:cs="Times New Roman"/>
                <w:color w:val="000000" w:themeColor="text1"/>
              </w:rPr>
              <w:t>(1000-</w:t>
            </w:r>
            <w:proofErr w:type="gramStart"/>
            <w:r w:rsidRPr="00D11634">
              <w:rPr>
                <w:rFonts w:eastAsia="Times New Roman" w:cs="Times New Roman"/>
                <w:color w:val="000000" w:themeColor="text1"/>
              </w:rPr>
              <w:t>500)*</w:t>
            </w:r>
            <w:proofErr w:type="gramEnd"/>
            <w:r w:rsidRPr="00D11634">
              <w:rPr>
                <w:rFonts w:eastAsia="Times New Roman" w:cs="Times New Roman"/>
                <w:color w:val="000000" w:themeColor="text1"/>
              </w:rPr>
              <w:t>0.2</w:t>
            </w:r>
          </w:p>
        </w:tc>
      </w:tr>
      <w:tr w:rsidR="00D11634" w:rsidRPr="00D11634" w14:paraId="23B6B8F2" w14:textId="77777777" w:rsidTr="00031233">
        <w:trPr>
          <w:trHeight w:val="281"/>
        </w:trPr>
        <w:tc>
          <w:tcPr>
            <w:tcW w:w="3227" w:type="dxa"/>
            <w:noWrap/>
            <w:hideMark/>
          </w:tcPr>
          <w:p w14:paraId="0D4B19B8"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Corporation Tax</w:t>
            </w:r>
          </w:p>
        </w:tc>
        <w:tc>
          <w:tcPr>
            <w:tcW w:w="1322" w:type="dxa"/>
            <w:noWrap/>
            <w:hideMark/>
          </w:tcPr>
          <w:p w14:paraId="15265F38"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p>
        </w:tc>
        <w:tc>
          <w:tcPr>
            <w:tcW w:w="1322" w:type="dxa"/>
            <w:noWrap/>
            <w:hideMark/>
          </w:tcPr>
          <w:p w14:paraId="7C1FA3BC"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w:t>
            </w:r>
          </w:p>
        </w:tc>
        <w:tc>
          <w:tcPr>
            <w:tcW w:w="1322" w:type="dxa"/>
            <w:noWrap/>
            <w:hideMark/>
          </w:tcPr>
          <w:p w14:paraId="64D94C92"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100</w:t>
            </w:r>
          </w:p>
        </w:tc>
        <w:tc>
          <w:tcPr>
            <w:tcW w:w="1322" w:type="dxa"/>
            <w:noWrap/>
            <w:hideMark/>
          </w:tcPr>
          <w:p w14:paraId="7F5B5ED1"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w:t>
            </w:r>
          </w:p>
        </w:tc>
        <w:tc>
          <w:tcPr>
            <w:tcW w:w="1322" w:type="dxa"/>
            <w:noWrap/>
            <w:hideMark/>
          </w:tcPr>
          <w:p w14:paraId="6F5179B3"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w:t>
            </w:r>
          </w:p>
        </w:tc>
      </w:tr>
      <w:tr w:rsidR="00D11634" w:rsidRPr="00D11634" w14:paraId="5C627D2E" w14:textId="77777777" w:rsidTr="00031233">
        <w:trPr>
          <w:trHeight w:val="281"/>
        </w:trPr>
        <w:tc>
          <w:tcPr>
            <w:tcW w:w="3227" w:type="dxa"/>
            <w:noWrap/>
            <w:hideMark/>
          </w:tcPr>
          <w:p w14:paraId="33E1EB90" w14:textId="01ED03B0" w:rsidR="00656CE2" w:rsidRPr="00D11634" w:rsidRDefault="00656CE2" w:rsidP="00656CE2">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Cash Flow</w:t>
            </w:r>
            <w:r w:rsidR="00031233" w:rsidRPr="00D11634">
              <w:rPr>
                <w:rFonts w:eastAsia="Times New Roman" w:cs="Times New Roman"/>
                <w:color w:val="000000" w:themeColor="text1"/>
                <w:sz w:val="24"/>
                <w:szCs w:val="24"/>
                <w:lang w:val="en-US"/>
              </w:rPr>
              <w:t xml:space="preserve"> </w:t>
            </w:r>
            <w:r w:rsidRPr="00D11634">
              <w:rPr>
                <w:rFonts w:eastAsia="Times New Roman" w:cs="Times New Roman"/>
                <w:color w:val="000000" w:themeColor="text1"/>
                <w:sz w:val="24"/>
                <w:szCs w:val="24"/>
                <w:lang w:val="en-US"/>
              </w:rPr>
              <w:t>-</w:t>
            </w:r>
            <w:r w:rsidR="00031233" w:rsidRPr="00D11634">
              <w:rPr>
                <w:rFonts w:eastAsia="Times New Roman" w:cs="Times New Roman"/>
                <w:color w:val="000000" w:themeColor="text1"/>
                <w:sz w:val="24"/>
                <w:szCs w:val="24"/>
                <w:lang w:val="en-US"/>
              </w:rPr>
              <w:t xml:space="preserve"> </w:t>
            </w:r>
            <w:r w:rsidRPr="00D11634">
              <w:rPr>
                <w:rFonts w:eastAsia="Times New Roman" w:cs="Times New Roman"/>
                <w:color w:val="000000" w:themeColor="text1"/>
                <w:sz w:val="24"/>
                <w:szCs w:val="24"/>
                <w:lang w:val="en-US"/>
              </w:rPr>
              <w:t>Tax</w:t>
            </w:r>
          </w:p>
        </w:tc>
        <w:tc>
          <w:tcPr>
            <w:tcW w:w="1322" w:type="dxa"/>
            <w:noWrap/>
            <w:hideMark/>
          </w:tcPr>
          <w:p w14:paraId="7D16D05F"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322" w:type="dxa"/>
            <w:noWrap/>
            <w:hideMark/>
          </w:tcPr>
          <w:p w14:paraId="6F44BD47"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500</w:t>
            </w:r>
          </w:p>
        </w:tc>
        <w:tc>
          <w:tcPr>
            <w:tcW w:w="1322" w:type="dxa"/>
            <w:noWrap/>
            <w:hideMark/>
          </w:tcPr>
          <w:p w14:paraId="3B1E34DE"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900</w:t>
            </w:r>
          </w:p>
        </w:tc>
        <w:tc>
          <w:tcPr>
            <w:tcW w:w="1322" w:type="dxa"/>
            <w:noWrap/>
            <w:hideMark/>
          </w:tcPr>
          <w:p w14:paraId="10DF0E08"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1300</w:t>
            </w:r>
          </w:p>
        </w:tc>
        <w:tc>
          <w:tcPr>
            <w:tcW w:w="1322" w:type="dxa"/>
            <w:noWrap/>
            <w:hideMark/>
          </w:tcPr>
          <w:p w14:paraId="5829F32A"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1300</w:t>
            </w:r>
          </w:p>
        </w:tc>
      </w:tr>
      <w:tr w:rsidR="00D11634" w:rsidRPr="00D11634" w14:paraId="34DA84BE" w14:textId="77777777" w:rsidTr="00031233">
        <w:trPr>
          <w:trHeight w:val="281"/>
        </w:trPr>
        <w:tc>
          <w:tcPr>
            <w:tcW w:w="3227" w:type="dxa"/>
            <w:noWrap/>
            <w:hideMark/>
          </w:tcPr>
          <w:p w14:paraId="49692F44"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Discount Factor</w:t>
            </w:r>
          </w:p>
        </w:tc>
        <w:tc>
          <w:tcPr>
            <w:tcW w:w="1322" w:type="dxa"/>
            <w:noWrap/>
            <w:hideMark/>
          </w:tcPr>
          <w:p w14:paraId="63473092"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w:t>
            </w:r>
          </w:p>
        </w:tc>
        <w:tc>
          <w:tcPr>
            <w:tcW w:w="1322" w:type="dxa"/>
            <w:noWrap/>
            <w:hideMark/>
          </w:tcPr>
          <w:p w14:paraId="3D1F4E52"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0.925926</w:t>
            </w:r>
          </w:p>
        </w:tc>
        <w:tc>
          <w:tcPr>
            <w:tcW w:w="1322" w:type="dxa"/>
            <w:noWrap/>
            <w:hideMark/>
          </w:tcPr>
          <w:p w14:paraId="750C6E3C"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0.857339</w:t>
            </w:r>
          </w:p>
        </w:tc>
        <w:tc>
          <w:tcPr>
            <w:tcW w:w="1322" w:type="dxa"/>
            <w:noWrap/>
            <w:hideMark/>
          </w:tcPr>
          <w:p w14:paraId="78EDFAD1"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0.793832</w:t>
            </w:r>
          </w:p>
        </w:tc>
        <w:tc>
          <w:tcPr>
            <w:tcW w:w="1322" w:type="dxa"/>
            <w:noWrap/>
            <w:hideMark/>
          </w:tcPr>
          <w:p w14:paraId="5CBC0A0D"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0.73503</w:t>
            </w:r>
          </w:p>
        </w:tc>
      </w:tr>
      <w:tr w:rsidR="00D11634" w:rsidRPr="00D11634" w14:paraId="3A1F6033" w14:textId="77777777" w:rsidTr="00031233">
        <w:trPr>
          <w:trHeight w:val="281"/>
        </w:trPr>
        <w:tc>
          <w:tcPr>
            <w:tcW w:w="3227" w:type="dxa"/>
            <w:tcBorders>
              <w:bottom w:val="single" w:sz="4" w:space="0" w:color="auto"/>
            </w:tcBorders>
            <w:noWrap/>
            <w:hideMark/>
          </w:tcPr>
          <w:p w14:paraId="3E2335B4"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 xml:space="preserve">Option </w:t>
            </w:r>
            <w:proofErr w:type="gramStart"/>
            <w:r w:rsidRPr="00D11634">
              <w:rPr>
                <w:rFonts w:eastAsia="Times New Roman" w:cs="Times New Roman"/>
                <w:color w:val="000000" w:themeColor="text1"/>
                <w:sz w:val="24"/>
                <w:szCs w:val="24"/>
                <w:lang w:val="en-US"/>
              </w:rPr>
              <w:t>A</w:t>
            </w:r>
            <w:proofErr w:type="gramEnd"/>
            <w:r w:rsidRPr="00D11634">
              <w:rPr>
                <w:rFonts w:eastAsia="Times New Roman" w:cs="Times New Roman"/>
                <w:color w:val="000000" w:themeColor="text1"/>
                <w:sz w:val="24"/>
                <w:szCs w:val="24"/>
                <w:lang w:val="en-US"/>
              </w:rPr>
              <w:t xml:space="preserve"> Adjusted Values</w:t>
            </w:r>
          </w:p>
        </w:tc>
        <w:tc>
          <w:tcPr>
            <w:tcW w:w="1322" w:type="dxa"/>
            <w:tcBorders>
              <w:bottom w:val="single" w:sz="4" w:space="0" w:color="auto"/>
            </w:tcBorders>
            <w:noWrap/>
            <w:hideMark/>
          </w:tcPr>
          <w:p w14:paraId="67D01B92"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322" w:type="dxa"/>
            <w:tcBorders>
              <w:bottom w:val="single" w:sz="4" w:space="0" w:color="auto"/>
            </w:tcBorders>
            <w:noWrap/>
            <w:hideMark/>
          </w:tcPr>
          <w:p w14:paraId="35BEA06F"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462.963</w:t>
            </w:r>
          </w:p>
        </w:tc>
        <w:tc>
          <w:tcPr>
            <w:tcW w:w="1322" w:type="dxa"/>
            <w:tcBorders>
              <w:bottom w:val="single" w:sz="4" w:space="0" w:color="auto"/>
            </w:tcBorders>
            <w:noWrap/>
            <w:hideMark/>
          </w:tcPr>
          <w:p w14:paraId="6D1D877B"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771.6049</w:t>
            </w:r>
          </w:p>
        </w:tc>
        <w:tc>
          <w:tcPr>
            <w:tcW w:w="1322" w:type="dxa"/>
            <w:tcBorders>
              <w:bottom w:val="single" w:sz="4" w:space="0" w:color="auto"/>
            </w:tcBorders>
            <w:noWrap/>
            <w:hideMark/>
          </w:tcPr>
          <w:p w14:paraId="20E36CA0"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1031.982</w:t>
            </w:r>
          </w:p>
        </w:tc>
        <w:tc>
          <w:tcPr>
            <w:tcW w:w="1322" w:type="dxa"/>
            <w:tcBorders>
              <w:bottom w:val="single" w:sz="4" w:space="0" w:color="auto"/>
            </w:tcBorders>
            <w:noWrap/>
            <w:hideMark/>
          </w:tcPr>
          <w:p w14:paraId="4FCB022D"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955.5388</w:t>
            </w:r>
          </w:p>
        </w:tc>
      </w:tr>
      <w:tr w:rsidR="00D11634" w:rsidRPr="00D11634" w14:paraId="65520BF6" w14:textId="77777777" w:rsidTr="00031233">
        <w:trPr>
          <w:trHeight w:val="281"/>
        </w:trPr>
        <w:tc>
          <w:tcPr>
            <w:tcW w:w="3227" w:type="dxa"/>
            <w:tcBorders>
              <w:top w:val="single" w:sz="4" w:space="0" w:color="auto"/>
              <w:left w:val="nil"/>
              <w:bottom w:val="single" w:sz="4" w:space="0" w:color="auto"/>
              <w:right w:val="nil"/>
            </w:tcBorders>
            <w:noWrap/>
          </w:tcPr>
          <w:p w14:paraId="60BA54EC" w14:textId="77777777" w:rsidR="00656CE2" w:rsidRPr="00D11634" w:rsidRDefault="00656CE2" w:rsidP="00656CE2">
            <w:pPr>
              <w:spacing w:line="240" w:lineRule="auto"/>
              <w:jc w:val="left"/>
              <w:rPr>
                <w:rFonts w:eastAsia="Times New Roman" w:cs="Times New Roman"/>
                <w:color w:val="000000" w:themeColor="text1"/>
                <w:sz w:val="24"/>
                <w:szCs w:val="24"/>
                <w:lang w:val="en-US"/>
              </w:rPr>
            </w:pPr>
          </w:p>
        </w:tc>
        <w:tc>
          <w:tcPr>
            <w:tcW w:w="1322" w:type="dxa"/>
            <w:tcBorders>
              <w:top w:val="single" w:sz="4" w:space="0" w:color="auto"/>
              <w:left w:val="nil"/>
              <w:bottom w:val="single" w:sz="4" w:space="0" w:color="auto"/>
              <w:right w:val="nil"/>
            </w:tcBorders>
            <w:noWrap/>
          </w:tcPr>
          <w:p w14:paraId="6758DE1D"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p>
        </w:tc>
        <w:tc>
          <w:tcPr>
            <w:tcW w:w="1322" w:type="dxa"/>
            <w:tcBorders>
              <w:top w:val="single" w:sz="4" w:space="0" w:color="auto"/>
              <w:left w:val="nil"/>
              <w:bottom w:val="nil"/>
              <w:right w:val="nil"/>
            </w:tcBorders>
            <w:noWrap/>
          </w:tcPr>
          <w:p w14:paraId="574DEC74"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p>
        </w:tc>
        <w:tc>
          <w:tcPr>
            <w:tcW w:w="1322" w:type="dxa"/>
            <w:tcBorders>
              <w:top w:val="single" w:sz="4" w:space="0" w:color="auto"/>
              <w:left w:val="nil"/>
              <w:bottom w:val="nil"/>
              <w:right w:val="nil"/>
            </w:tcBorders>
            <w:noWrap/>
          </w:tcPr>
          <w:p w14:paraId="637509E3"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p>
        </w:tc>
        <w:tc>
          <w:tcPr>
            <w:tcW w:w="1322" w:type="dxa"/>
            <w:tcBorders>
              <w:top w:val="single" w:sz="4" w:space="0" w:color="auto"/>
              <w:left w:val="nil"/>
              <w:bottom w:val="nil"/>
              <w:right w:val="nil"/>
            </w:tcBorders>
            <w:noWrap/>
          </w:tcPr>
          <w:p w14:paraId="1C092AF3"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p>
        </w:tc>
        <w:tc>
          <w:tcPr>
            <w:tcW w:w="1322" w:type="dxa"/>
            <w:tcBorders>
              <w:top w:val="single" w:sz="4" w:space="0" w:color="auto"/>
              <w:left w:val="nil"/>
              <w:bottom w:val="nil"/>
              <w:right w:val="nil"/>
            </w:tcBorders>
            <w:noWrap/>
          </w:tcPr>
          <w:p w14:paraId="26C16BD2" w14:textId="77777777" w:rsidR="00656CE2" w:rsidRPr="00D11634" w:rsidRDefault="00656CE2" w:rsidP="00656CE2">
            <w:pPr>
              <w:spacing w:line="240" w:lineRule="auto"/>
              <w:jc w:val="right"/>
              <w:rPr>
                <w:rFonts w:eastAsia="Times New Roman" w:cs="Times New Roman"/>
                <w:color w:val="000000" w:themeColor="text1"/>
                <w:sz w:val="24"/>
                <w:szCs w:val="24"/>
                <w:lang w:val="en-US"/>
              </w:rPr>
            </w:pPr>
          </w:p>
        </w:tc>
      </w:tr>
      <w:tr w:rsidR="003D4E4B" w:rsidRPr="00D11634" w14:paraId="71F85A40" w14:textId="77777777" w:rsidTr="00165BFE">
        <w:trPr>
          <w:trHeight w:val="281"/>
        </w:trPr>
        <w:tc>
          <w:tcPr>
            <w:tcW w:w="3227" w:type="dxa"/>
            <w:tcBorders>
              <w:top w:val="single" w:sz="4" w:space="0" w:color="auto"/>
            </w:tcBorders>
            <w:noWrap/>
            <w:hideMark/>
          </w:tcPr>
          <w:p w14:paraId="17A1D0CF" w14:textId="77777777"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NPV (C)</w:t>
            </w:r>
          </w:p>
        </w:tc>
        <w:tc>
          <w:tcPr>
            <w:tcW w:w="1322" w:type="dxa"/>
            <w:tcBorders>
              <w:top w:val="single" w:sz="4" w:space="0" w:color="auto"/>
              <w:right w:val="single" w:sz="4" w:space="0" w:color="auto"/>
            </w:tcBorders>
            <w:noWrap/>
            <w:hideMark/>
          </w:tcPr>
          <w:p w14:paraId="35D45304" w14:textId="77777777" w:rsidR="003D4E4B" w:rsidRPr="00D11634" w:rsidRDefault="003D4E4B" w:rsidP="003D4E4B">
            <w:pPr>
              <w:spacing w:line="240" w:lineRule="auto"/>
              <w:jc w:val="left"/>
              <w:rPr>
                <w:rFonts w:eastAsia="Times New Roman" w:cs="Times New Roman"/>
                <w:b/>
                <w:bCs/>
                <w:color w:val="000000" w:themeColor="text1"/>
                <w:sz w:val="24"/>
                <w:szCs w:val="24"/>
                <w:lang w:val="en-US"/>
              </w:rPr>
            </w:pPr>
            <w:r w:rsidRPr="00D11634">
              <w:rPr>
                <w:rFonts w:eastAsia="Times New Roman" w:cs="Times New Roman"/>
                <w:b/>
                <w:bCs/>
                <w:color w:val="000000" w:themeColor="text1"/>
                <w:sz w:val="24"/>
                <w:szCs w:val="24"/>
                <w:lang w:val="en-US"/>
              </w:rPr>
              <w:t>1222.089</w:t>
            </w:r>
          </w:p>
        </w:tc>
        <w:tc>
          <w:tcPr>
            <w:tcW w:w="5288" w:type="dxa"/>
            <w:gridSpan w:val="4"/>
            <w:tcBorders>
              <w:top w:val="nil"/>
              <w:left w:val="single" w:sz="4" w:space="0" w:color="auto"/>
              <w:bottom w:val="nil"/>
            </w:tcBorders>
            <w:noWrap/>
            <w:hideMark/>
          </w:tcPr>
          <w:p w14:paraId="32B557DC" w14:textId="61BF5C68" w:rsidR="003D4E4B" w:rsidRPr="00D11634" w:rsidRDefault="003D4E4B" w:rsidP="003D4E4B">
            <w:pPr>
              <w:spacing w:line="240" w:lineRule="auto"/>
              <w:jc w:val="left"/>
              <w:rPr>
                <w:rFonts w:eastAsia="Times New Roman" w:cs="Times New Roman"/>
                <w:color w:val="000000" w:themeColor="text1"/>
                <w:sz w:val="24"/>
                <w:szCs w:val="24"/>
                <w:lang w:val="en-US"/>
              </w:rPr>
            </w:pPr>
            <w:r w:rsidRPr="00D11634">
              <w:rPr>
                <w:rFonts w:cs="Times New Roman"/>
                <w:color w:val="000000" w:themeColor="text1"/>
                <w:sz w:val="24"/>
                <w:szCs w:val="24"/>
                <w:lang w:val="en-US"/>
              </w:rPr>
              <w:t xml:space="preserve"> “All values are in (£’000)”</w:t>
            </w:r>
          </w:p>
        </w:tc>
      </w:tr>
    </w:tbl>
    <w:p w14:paraId="5FAB4674" w14:textId="77777777" w:rsidR="00656CE2" w:rsidRPr="00D11634" w:rsidRDefault="00656CE2" w:rsidP="00656CE2">
      <w:pPr>
        <w:rPr>
          <w:rFonts w:cs="Times New Roman"/>
          <w:color w:val="000000" w:themeColor="text1"/>
          <w:sz w:val="24"/>
          <w:szCs w:val="24"/>
        </w:rPr>
      </w:pPr>
    </w:p>
    <w:p w14:paraId="48BABE0F" w14:textId="77777777" w:rsidR="002F79AA" w:rsidRPr="00D11634" w:rsidRDefault="00990C1E" w:rsidP="002F79AA">
      <w:pPr>
        <w:spacing w:line="259" w:lineRule="auto"/>
        <w:jc w:val="left"/>
        <w:rPr>
          <w:rFonts w:cs="Times New Roman"/>
          <w:color w:val="000000" w:themeColor="text1"/>
          <w:sz w:val="24"/>
          <w:szCs w:val="24"/>
        </w:rPr>
      </w:pPr>
      <w:r w:rsidRPr="00D11634">
        <w:rPr>
          <w:rFonts w:cs="Times New Roman"/>
          <w:color w:val="000000" w:themeColor="text1"/>
          <w:sz w:val="24"/>
          <w:szCs w:val="24"/>
        </w:rPr>
        <w:t>The NPV of Option C is maximum. Hence, the selected Option is the third option.</w:t>
      </w:r>
      <w:bookmarkStart w:id="51" w:name="_Toc40997222"/>
    </w:p>
    <w:p w14:paraId="3F1A3132" w14:textId="77777777" w:rsidR="00AA65E2" w:rsidRPr="00D11634" w:rsidRDefault="00AA65E2" w:rsidP="007A6F62">
      <w:pPr>
        <w:pStyle w:val="3"/>
        <w:rPr>
          <w:color w:val="000000" w:themeColor="text1"/>
        </w:rPr>
      </w:pPr>
      <w:bookmarkStart w:id="52" w:name="_Toc41614055"/>
      <w:r w:rsidRPr="00D11634">
        <w:rPr>
          <w:color w:val="000000" w:themeColor="text1"/>
        </w:rPr>
        <w:t>Internal Rate of Return</w:t>
      </w:r>
      <w:bookmarkEnd w:id="52"/>
      <w:r w:rsidR="005E4155" w:rsidRPr="00D11634">
        <w:rPr>
          <w:color w:val="000000" w:themeColor="text1"/>
        </w:rPr>
        <w:t xml:space="preserve"> </w:t>
      </w:r>
      <w:bookmarkEnd w:id="51"/>
    </w:p>
    <w:p w14:paraId="6ADE2CA5" w14:textId="77777777" w:rsidR="00D0437C" w:rsidRPr="00D11634" w:rsidRDefault="00144D41" w:rsidP="00D0437C">
      <w:pPr>
        <w:rPr>
          <w:rFonts w:cs="Times New Roman"/>
          <w:b/>
          <w:bCs/>
          <w:color w:val="000000" w:themeColor="text1"/>
          <w:sz w:val="24"/>
          <w:szCs w:val="24"/>
        </w:rPr>
      </w:pPr>
      <w:r w:rsidRPr="00D11634">
        <w:rPr>
          <w:rFonts w:cs="Times New Roman"/>
          <w:b/>
          <w:bCs/>
          <w:color w:val="000000" w:themeColor="text1"/>
          <w:sz w:val="24"/>
          <w:szCs w:val="24"/>
        </w:rPr>
        <w:t>Option C</w:t>
      </w:r>
    </w:p>
    <w:p w14:paraId="68639BD7" w14:textId="77777777" w:rsidR="00144D41" w:rsidRPr="00D11634" w:rsidRDefault="00144D41" w:rsidP="00D0437C">
      <w:pPr>
        <w:rPr>
          <w:rFonts w:cs="Times New Roman"/>
          <w:color w:val="000000" w:themeColor="text1"/>
          <w:sz w:val="24"/>
          <w:szCs w:val="24"/>
        </w:rPr>
      </w:pPr>
      <w:r w:rsidRPr="00D11634">
        <w:rPr>
          <w:rFonts w:cs="Times New Roman"/>
          <w:color w:val="000000" w:themeColor="text1"/>
          <w:sz w:val="24"/>
          <w:szCs w:val="24"/>
        </w:rPr>
        <w:t>IRR is the point where NPV = 0</w:t>
      </w:r>
    </w:p>
    <w:p w14:paraId="7D185825" w14:textId="734EF6A9" w:rsidR="00CD5685" w:rsidRPr="00D11634" w:rsidRDefault="00CD5685" w:rsidP="00D0437C">
      <w:pPr>
        <w:rPr>
          <w:rFonts w:cs="Times New Roman"/>
          <w:color w:val="000000" w:themeColor="text1"/>
          <w:sz w:val="24"/>
          <w:szCs w:val="24"/>
        </w:rPr>
      </w:pPr>
      <w:r w:rsidRPr="00D11634">
        <w:rPr>
          <w:rFonts w:cs="Times New Roman"/>
          <w:color w:val="000000" w:themeColor="text1"/>
          <w:sz w:val="24"/>
          <w:szCs w:val="24"/>
        </w:rPr>
        <w:t>-2000 + 500/(1+r) + 900/(1+</w:t>
      </w:r>
      <w:proofErr w:type="gramStart"/>
      <w:r w:rsidRPr="00D11634">
        <w:rPr>
          <w:rFonts w:cs="Times New Roman"/>
          <w:color w:val="000000" w:themeColor="text1"/>
          <w:sz w:val="24"/>
          <w:szCs w:val="24"/>
        </w:rPr>
        <w:t>r)^</w:t>
      </w:r>
      <w:proofErr w:type="gramEnd"/>
      <w:r w:rsidRPr="00D11634">
        <w:rPr>
          <w:rFonts w:cs="Times New Roman"/>
          <w:color w:val="000000" w:themeColor="text1"/>
          <w:sz w:val="24"/>
          <w:szCs w:val="24"/>
        </w:rPr>
        <w:t xml:space="preserve">2 + 1300/(1+r)^3 + 1300/ (1+r)^4 = 0 </w:t>
      </w:r>
    </w:p>
    <w:p w14:paraId="505E8882" w14:textId="265A9BD1" w:rsidR="00144D41" w:rsidRPr="00D11634" w:rsidRDefault="00144D41" w:rsidP="00D0437C">
      <w:pPr>
        <w:rPr>
          <w:rFonts w:cs="Times New Roman"/>
          <w:color w:val="000000" w:themeColor="text1"/>
          <w:sz w:val="24"/>
          <w:szCs w:val="24"/>
        </w:rPr>
      </w:pPr>
      <w:r w:rsidRPr="00D11634">
        <w:rPr>
          <w:rFonts w:cs="Times New Roman"/>
          <w:color w:val="000000" w:themeColor="text1"/>
          <w:sz w:val="24"/>
          <w:szCs w:val="24"/>
        </w:rPr>
        <w:t>The IRR is calculated by Solver function in Excel. For option C, the IRR = 29.08%.</w:t>
      </w:r>
    </w:p>
    <w:p w14:paraId="2947FDF9" w14:textId="77777777" w:rsidR="00031233" w:rsidRPr="00D11634" w:rsidRDefault="00031233">
      <w:pPr>
        <w:spacing w:line="259" w:lineRule="auto"/>
        <w:jc w:val="left"/>
        <w:rPr>
          <w:rFonts w:cs="Times New Roman"/>
          <w:color w:val="000000" w:themeColor="text1"/>
          <w:sz w:val="24"/>
          <w:szCs w:val="24"/>
        </w:rPr>
      </w:pPr>
      <w:r w:rsidRPr="00D11634">
        <w:rPr>
          <w:rFonts w:cs="Times New Roman"/>
          <w:color w:val="000000" w:themeColor="text1"/>
          <w:sz w:val="24"/>
          <w:szCs w:val="24"/>
        </w:rPr>
        <w:br w:type="page"/>
      </w:r>
    </w:p>
    <w:p w14:paraId="55A7B14D" w14:textId="78D5486A" w:rsidR="00144D41" w:rsidRPr="00D11634" w:rsidRDefault="00144D41" w:rsidP="00D0437C">
      <w:pPr>
        <w:rPr>
          <w:rFonts w:cs="Times New Roman"/>
          <w:color w:val="000000" w:themeColor="text1"/>
          <w:sz w:val="24"/>
          <w:szCs w:val="24"/>
        </w:rPr>
      </w:pPr>
      <w:r w:rsidRPr="00D11634">
        <w:rPr>
          <w:rFonts w:cs="Times New Roman"/>
          <w:color w:val="000000" w:themeColor="text1"/>
          <w:sz w:val="24"/>
          <w:szCs w:val="24"/>
        </w:rPr>
        <w:lastRenderedPageBreak/>
        <w:t>The calculation is as below:</w:t>
      </w:r>
    </w:p>
    <w:tbl>
      <w:tblPr>
        <w:tblStyle w:val="a3"/>
        <w:tblW w:w="9832" w:type="dxa"/>
        <w:tblLook w:val="04A0" w:firstRow="1" w:lastRow="0" w:firstColumn="1" w:lastColumn="0" w:noHBand="0" w:noVBand="1"/>
      </w:tblPr>
      <w:tblGrid>
        <w:gridCol w:w="2947"/>
        <w:gridCol w:w="1121"/>
        <w:gridCol w:w="1171"/>
        <w:gridCol w:w="1531"/>
        <w:gridCol w:w="1531"/>
        <w:gridCol w:w="1531"/>
      </w:tblGrid>
      <w:tr w:rsidR="00D11634" w:rsidRPr="00D11634" w14:paraId="5CEDE1DF" w14:textId="77777777" w:rsidTr="00CD5685">
        <w:trPr>
          <w:trHeight w:val="302"/>
        </w:trPr>
        <w:tc>
          <w:tcPr>
            <w:tcW w:w="2947" w:type="dxa"/>
            <w:noWrap/>
            <w:hideMark/>
          </w:tcPr>
          <w:p w14:paraId="1D49BB27"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Option C Cash Flow</w:t>
            </w:r>
          </w:p>
        </w:tc>
        <w:tc>
          <w:tcPr>
            <w:tcW w:w="1121" w:type="dxa"/>
            <w:noWrap/>
            <w:hideMark/>
          </w:tcPr>
          <w:p w14:paraId="309D9B63"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171" w:type="dxa"/>
            <w:noWrap/>
            <w:hideMark/>
          </w:tcPr>
          <w:p w14:paraId="295F0519"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500</w:t>
            </w:r>
          </w:p>
        </w:tc>
        <w:tc>
          <w:tcPr>
            <w:tcW w:w="1531" w:type="dxa"/>
            <w:noWrap/>
            <w:hideMark/>
          </w:tcPr>
          <w:p w14:paraId="3D536BA5"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1000</w:t>
            </w:r>
          </w:p>
        </w:tc>
        <w:tc>
          <w:tcPr>
            <w:tcW w:w="1531" w:type="dxa"/>
            <w:noWrap/>
            <w:hideMark/>
          </w:tcPr>
          <w:p w14:paraId="4455716F"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1500</w:t>
            </w:r>
          </w:p>
        </w:tc>
        <w:tc>
          <w:tcPr>
            <w:tcW w:w="1531" w:type="dxa"/>
            <w:noWrap/>
            <w:hideMark/>
          </w:tcPr>
          <w:p w14:paraId="1CED76A9"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rPr>
              <w:t>1500</w:t>
            </w:r>
          </w:p>
        </w:tc>
      </w:tr>
      <w:tr w:rsidR="00D11634" w:rsidRPr="00D11634" w14:paraId="4F21BFD9" w14:textId="77777777" w:rsidTr="00CD5685">
        <w:trPr>
          <w:trHeight w:val="302"/>
        </w:trPr>
        <w:tc>
          <w:tcPr>
            <w:tcW w:w="2947" w:type="dxa"/>
            <w:noWrap/>
            <w:hideMark/>
          </w:tcPr>
          <w:p w14:paraId="2CFF15DC"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Corporation Tax</w:t>
            </w:r>
          </w:p>
        </w:tc>
        <w:tc>
          <w:tcPr>
            <w:tcW w:w="1121" w:type="dxa"/>
            <w:noWrap/>
            <w:hideMark/>
          </w:tcPr>
          <w:p w14:paraId="50F65756"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p>
        </w:tc>
        <w:tc>
          <w:tcPr>
            <w:tcW w:w="1171" w:type="dxa"/>
            <w:noWrap/>
            <w:hideMark/>
          </w:tcPr>
          <w:p w14:paraId="158163D9"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w:t>
            </w:r>
          </w:p>
        </w:tc>
        <w:tc>
          <w:tcPr>
            <w:tcW w:w="1531" w:type="dxa"/>
            <w:noWrap/>
            <w:hideMark/>
          </w:tcPr>
          <w:p w14:paraId="1FE03B00"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100</w:t>
            </w:r>
          </w:p>
        </w:tc>
        <w:tc>
          <w:tcPr>
            <w:tcW w:w="1531" w:type="dxa"/>
            <w:noWrap/>
            <w:hideMark/>
          </w:tcPr>
          <w:p w14:paraId="78442731"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w:t>
            </w:r>
          </w:p>
        </w:tc>
        <w:tc>
          <w:tcPr>
            <w:tcW w:w="1531" w:type="dxa"/>
            <w:noWrap/>
            <w:hideMark/>
          </w:tcPr>
          <w:p w14:paraId="69A08BD8"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w:t>
            </w:r>
          </w:p>
        </w:tc>
      </w:tr>
      <w:tr w:rsidR="00D11634" w:rsidRPr="00D11634" w14:paraId="69070302" w14:textId="77777777" w:rsidTr="00CD5685">
        <w:trPr>
          <w:trHeight w:val="302"/>
        </w:trPr>
        <w:tc>
          <w:tcPr>
            <w:tcW w:w="2947" w:type="dxa"/>
            <w:noWrap/>
            <w:hideMark/>
          </w:tcPr>
          <w:p w14:paraId="5CC9D4A0"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Cash Flow-Tax</w:t>
            </w:r>
          </w:p>
        </w:tc>
        <w:tc>
          <w:tcPr>
            <w:tcW w:w="1121" w:type="dxa"/>
            <w:noWrap/>
            <w:hideMark/>
          </w:tcPr>
          <w:p w14:paraId="45EEF470"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171" w:type="dxa"/>
            <w:noWrap/>
            <w:hideMark/>
          </w:tcPr>
          <w:p w14:paraId="7B243F41"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500</w:t>
            </w:r>
          </w:p>
        </w:tc>
        <w:tc>
          <w:tcPr>
            <w:tcW w:w="1531" w:type="dxa"/>
            <w:noWrap/>
            <w:hideMark/>
          </w:tcPr>
          <w:p w14:paraId="389BA743"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900</w:t>
            </w:r>
          </w:p>
        </w:tc>
        <w:tc>
          <w:tcPr>
            <w:tcW w:w="1531" w:type="dxa"/>
            <w:noWrap/>
            <w:hideMark/>
          </w:tcPr>
          <w:p w14:paraId="466C788D"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1300</w:t>
            </w:r>
          </w:p>
        </w:tc>
        <w:tc>
          <w:tcPr>
            <w:tcW w:w="1531" w:type="dxa"/>
            <w:noWrap/>
            <w:hideMark/>
          </w:tcPr>
          <w:p w14:paraId="4A599070"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1300</w:t>
            </w:r>
          </w:p>
        </w:tc>
      </w:tr>
      <w:tr w:rsidR="00D11634" w:rsidRPr="00D11634" w14:paraId="00525691" w14:textId="77777777" w:rsidTr="00CD5685">
        <w:trPr>
          <w:trHeight w:val="302"/>
        </w:trPr>
        <w:tc>
          <w:tcPr>
            <w:tcW w:w="2947" w:type="dxa"/>
            <w:noWrap/>
            <w:hideMark/>
          </w:tcPr>
          <w:p w14:paraId="4D0B5A43"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Discount Factor</w:t>
            </w:r>
          </w:p>
        </w:tc>
        <w:tc>
          <w:tcPr>
            <w:tcW w:w="1121" w:type="dxa"/>
            <w:noWrap/>
            <w:hideMark/>
          </w:tcPr>
          <w:p w14:paraId="4792A3D1"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w:t>
            </w:r>
          </w:p>
        </w:tc>
        <w:tc>
          <w:tcPr>
            <w:tcW w:w="1171" w:type="dxa"/>
            <w:noWrap/>
            <w:hideMark/>
          </w:tcPr>
          <w:p w14:paraId="5FA35CD8"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0.77</w:t>
            </w:r>
          </w:p>
        </w:tc>
        <w:tc>
          <w:tcPr>
            <w:tcW w:w="1531" w:type="dxa"/>
            <w:noWrap/>
            <w:hideMark/>
          </w:tcPr>
          <w:p w14:paraId="192DB518"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0.60</w:t>
            </w:r>
          </w:p>
        </w:tc>
        <w:tc>
          <w:tcPr>
            <w:tcW w:w="1531" w:type="dxa"/>
            <w:noWrap/>
            <w:hideMark/>
          </w:tcPr>
          <w:p w14:paraId="09891F68"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0.46</w:t>
            </w:r>
          </w:p>
        </w:tc>
        <w:tc>
          <w:tcPr>
            <w:tcW w:w="1531" w:type="dxa"/>
            <w:noWrap/>
            <w:hideMark/>
          </w:tcPr>
          <w:p w14:paraId="6C868968"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0.36</w:t>
            </w:r>
          </w:p>
        </w:tc>
      </w:tr>
      <w:tr w:rsidR="00D11634" w:rsidRPr="00D11634" w14:paraId="50CCF468" w14:textId="77777777" w:rsidTr="00CD5685">
        <w:trPr>
          <w:trHeight w:val="302"/>
        </w:trPr>
        <w:tc>
          <w:tcPr>
            <w:tcW w:w="2947" w:type="dxa"/>
            <w:noWrap/>
            <w:hideMark/>
          </w:tcPr>
          <w:p w14:paraId="71CFAED9"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 xml:space="preserve">Option </w:t>
            </w:r>
            <w:proofErr w:type="gramStart"/>
            <w:r w:rsidRPr="00D11634">
              <w:rPr>
                <w:rFonts w:eastAsia="Times New Roman" w:cs="Times New Roman"/>
                <w:color w:val="000000" w:themeColor="text1"/>
                <w:sz w:val="24"/>
                <w:szCs w:val="24"/>
                <w:lang w:val="en-US"/>
              </w:rPr>
              <w:t>A</w:t>
            </w:r>
            <w:proofErr w:type="gramEnd"/>
            <w:r w:rsidRPr="00D11634">
              <w:rPr>
                <w:rFonts w:eastAsia="Times New Roman" w:cs="Times New Roman"/>
                <w:color w:val="000000" w:themeColor="text1"/>
                <w:sz w:val="24"/>
                <w:szCs w:val="24"/>
                <w:lang w:val="en-US"/>
              </w:rPr>
              <w:t xml:space="preserve"> Adjusted Values</w:t>
            </w:r>
          </w:p>
        </w:tc>
        <w:tc>
          <w:tcPr>
            <w:tcW w:w="1121" w:type="dxa"/>
            <w:noWrap/>
            <w:hideMark/>
          </w:tcPr>
          <w:p w14:paraId="4773A12F"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c>
          <w:tcPr>
            <w:tcW w:w="1171" w:type="dxa"/>
            <w:noWrap/>
            <w:hideMark/>
          </w:tcPr>
          <w:p w14:paraId="39FB74F2"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387.34</w:t>
            </w:r>
          </w:p>
        </w:tc>
        <w:tc>
          <w:tcPr>
            <w:tcW w:w="1531" w:type="dxa"/>
            <w:noWrap/>
            <w:hideMark/>
          </w:tcPr>
          <w:p w14:paraId="7EC23ED4"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540.11</w:t>
            </w:r>
          </w:p>
        </w:tc>
        <w:tc>
          <w:tcPr>
            <w:tcW w:w="1531" w:type="dxa"/>
            <w:noWrap/>
            <w:hideMark/>
          </w:tcPr>
          <w:p w14:paraId="7CF13FD3"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604.37</w:t>
            </w:r>
          </w:p>
        </w:tc>
        <w:tc>
          <w:tcPr>
            <w:tcW w:w="1531" w:type="dxa"/>
            <w:noWrap/>
            <w:hideMark/>
          </w:tcPr>
          <w:p w14:paraId="4E2A88BF" w14:textId="77777777" w:rsidR="00144D41" w:rsidRPr="00D11634" w:rsidRDefault="00144D41" w:rsidP="00144D4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468.19</w:t>
            </w:r>
          </w:p>
        </w:tc>
      </w:tr>
      <w:tr w:rsidR="00144D41" w:rsidRPr="00D11634" w14:paraId="2AEC797B" w14:textId="77777777" w:rsidTr="00CD5685">
        <w:trPr>
          <w:trHeight w:val="302"/>
        </w:trPr>
        <w:tc>
          <w:tcPr>
            <w:tcW w:w="2947" w:type="dxa"/>
            <w:noWrap/>
            <w:hideMark/>
          </w:tcPr>
          <w:p w14:paraId="61C91EA2"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NPV (C)</w:t>
            </w:r>
          </w:p>
        </w:tc>
        <w:tc>
          <w:tcPr>
            <w:tcW w:w="1121" w:type="dxa"/>
            <w:noWrap/>
            <w:hideMark/>
          </w:tcPr>
          <w:p w14:paraId="7BA9196B"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0.0</w:t>
            </w:r>
          </w:p>
        </w:tc>
        <w:tc>
          <w:tcPr>
            <w:tcW w:w="1171" w:type="dxa"/>
            <w:noWrap/>
            <w:hideMark/>
          </w:tcPr>
          <w:p w14:paraId="214125A5"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p>
        </w:tc>
        <w:tc>
          <w:tcPr>
            <w:tcW w:w="1531" w:type="dxa"/>
            <w:noWrap/>
            <w:hideMark/>
          </w:tcPr>
          <w:p w14:paraId="5B4DE383"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p>
        </w:tc>
        <w:tc>
          <w:tcPr>
            <w:tcW w:w="1531" w:type="dxa"/>
            <w:noWrap/>
            <w:hideMark/>
          </w:tcPr>
          <w:p w14:paraId="561DF7BF"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p>
        </w:tc>
        <w:tc>
          <w:tcPr>
            <w:tcW w:w="1531" w:type="dxa"/>
            <w:noWrap/>
            <w:hideMark/>
          </w:tcPr>
          <w:p w14:paraId="56B64E73" w14:textId="77777777" w:rsidR="00144D41" w:rsidRPr="00D11634" w:rsidRDefault="00144D41" w:rsidP="00144D41">
            <w:pPr>
              <w:spacing w:line="240" w:lineRule="auto"/>
              <w:jc w:val="left"/>
              <w:rPr>
                <w:rFonts w:eastAsia="Times New Roman" w:cs="Times New Roman"/>
                <w:color w:val="000000" w:themeColor="text1"/>
                <w:sz w:val="24"/>
                <w:szCs w:val="24"/>
                <w:lang w:val="en-US"/>
              </w:rPr>
            </w:pPr>
          </w:p>
        </w:tc>
      </w:tr>
    </w:tbl>
    <w:p w14:paraId="4CFD2625" w14:textId="77777777" w:rsidR="00144D41" w:rsidRPr="00D11634" w:rsidRDefault="00144D41" w:rsidP="00D0437C">
      <w:pPr>
        <w:rPr>
          <w:rFonts w:cs="Times New Roman"/>
          <w:color w:val="000000" w:themeColor="text1"/>
          <w:sz w:val="24"/>
          <w:szCs w:val="24"/>
        </w:rPr>
      </w:pPr>
    </w:p>
    <w:p w14:paraId="26AD37B4" w14:textId="56C4759E" w:rsidR="00AA65E2" w:rsidRPr="00D11634" w:rsidRDefault="00AA65E2" w:rsidP="007A6F62">
      <w:pPr>
        <w:pStyle w:val="2"/>
        <w:rPr>
          <w:color w:val="000000" w:themeColor="text1"/>
        </w:rPr>
      </w:pPr>
      <w:bookmarkStart w:id="53" w:name="_Toc41614056"/>
      <w:bookmarkStart w:id="54" w:name="_Toc40997223"/>
      <w:r w:rsidRPr="00D11634">
        <w:rPr>
          <w:color w:val="000000" w:themeColor="text1"/>
        </w:rPr>
        <w:t>Interpretation of Results</w:t>
      </w:r>
      <w:bookmarkEnd w:id="53"/>
      <w:r w:rsidR="005E4155" w:rsidRPr="00D11634">
        <w:rPr>
          <w:color w:val="000000" w:themeColor="text1"/>
        </w:rPr>
        <w:t xml:space="preserve"> </w:t>
      </w:r>
      <w:bookmarkEnd w:id="54"/>
    </w:p>
    <w:p w14:paraId="5E3EBB32" w14:textId="78F0EB81" w:rsidR="00F32831" w:rsidRPr="00D11634" w:rsidRDefault="00A96AD1" w:rsidP="007A6F62">
      <w:pPr>
        <w:pStyle w:val="3"/>
        <w:rPr>
          <w:color w:val="000000" w:themeColor="text1"/>
        </w:rPr>
      </w:pPr>
      <w:bookmarkStart w:id="55" w:name="_Toc41614057"/>
      <w:r w:rsidRPr="00D11634">
        <w:rPr>
          <w:color w:val="000000" w:themeColor="text1"/>
        </w:rPr>
        <w:t>C</w:t>
      </w:r>
      <w:r w:rsidR="00F32831" w:rsidRPr="00D11634">
        <w:rPr>
          <w:color w:val="000000" w:themeColor="text1"/>
        </w:rPr>
        <w:t>hoice of the NPV method</w:t>
      </w:r>
      <w:bookmarkEnd w:id="55"/>
    </w:p>
    <w:p w14:paraId="27A05FF5" w14:textId="3A991F4D" w:rsidR="001274DA"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4237A1" w:rsidRPr="00D11634">
        <w:rPr>
          <w:rFonts w:cs="Times New Roman"/>
          <w:color w:val="000000" w:themeColor="text1"/>
          <w:sz w:val="24"/>
          <w:szCs w:val="24"/>
        </w:rPr>
        <w:t xml:space="preserve">Net Present Value method is one of the </w:t>
      </w:r>
      <w:r w:rsidR="000261AB" w:rsidRPr="00D11634">
        <w:rPr>
          <w:rFonts w:cs="Times New Roman"/>
          <w:color w:val="000000" w:themeColor="text1"/>
          <w:sz w:val="24"/>
          <w:szCs w:val="24"/>
        </w:rPr>
        <w:t xml:space="preserve">most popular investment </w:t>
      </w:r>
      <w:r w:rsidR="003D4E4B" w:rsidRPr="00D11634">
        <w:rPr>
          <w:rFonts w:cs="Times New Roman"/>
          <w:color w:val="000000" w:themeColor="text1"/>
          <w:sz w:val="24"/>
          <w:szCs w:val="24"/>
        </w:rPr>
        <w:t>assessment</w:t>
      </w:r>
      <w:r w:rsidR="000261AB" w:rsidRPr="00D11634">
        <w:rPr>
          <w:rFonts w:cs="Times New Roman"/>
          <w:color w:val="000000" w:themeColor="text1"/>
          <w:sz w:val="24"/>
          <w:szCs w:val="24"/>
        </w:rPr>
        <w:t xml:space="preserve"> methods which aim to evaluate the investment option by considering </w:t>
      </w:r>
      <w:r w:rsidR="00095DFD" w:rsidRPr="00D11634">
        <w:rPr>
          <w:rFonts w:cs="Times New Roman"/>
          <w:color w:val="000000" w:themeColor="text1"/>
          <w:sz w:val="24"/>
          <w:szCs w:val="24"/>
        </w:rPr>
        <w:t>two assumptions - 1) the cash flow that is generated through the investment is reinvested immediately at the rate of return, which is equal to the cost of capital or the discount rate; 2) Cash inflow or outflow takes place at the end of each year except the initial outflow or investment</w:t>
      </w:r>
      <w:r w:rsidR="00D33706" w:rsidRPr="00D11634">
        <w:rPr>
          <w:rFonts w:cs="Times New Roman"/>
          <w:color w:val="000000" w:themeColor="text1"/>
          <w:sz w:val="24"/>
          <w:szCs w:val="24"/>
        </w:rPr>
        <w:t xml:space="preserve"> (Chan </w:t>
      </w:r>
      <w:r w:rsidR="00D33706" w:rsidRPr="00D11634">
        <w:rPr>
          <w:rFonts w:cs="Times New Roman"/>
          <w:i/>
          <w:color w:val="000000" w:themeColor="text1"/>
          <w:sz w:val="24"/>
          <w:szCs w:val="24"/>
        </w:rPr>
        <w:t>et al.,</w:t>
      </w:r>
      <w:r w:rsidR="00D33706" w:rsidRPr="00D11634">
        <w:rPr>
          <w:rFonts w:cs="Times New Roman"/>
          <w:color w:val="000000" w:themeColor="text1"/>
          <w:sz w:val="24"/>
          <w:szCs w:val="24"/>
        </w:rPr>
        <w:t xml:space="preserve"> 2001)</w:t>
      </w:r>
      <w:r w:rsidR="00095DFD" w:rsidRPr="00D11634">
        <w:rPr>
          <w:rFonts w:cs="Times New Roman"/>
          <w:color w:val="000000" w:themeColor="text1"/>
          <w:sz w:val="24"/>
          <w:szCs w:val="24"/>
        </w:rPr>
        <w:t xml:space="preserve">. Though there are criticism against the method, most of the investment decisions in the real business world are made based on the NPV method. </w:t>
      </w:r>
    </w:p>
    <w:p w14:paraId="4E8DF7F8" w14:textId="6872F4BF" w:rsidR="00692922"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A96AD1" w:rsidRPr="00D11634">
        <w:rPr>
          <w:rFonts w:cs="Times New Roman"/>
          <w:color w:val="000000" w:themeColor="text1"/>
          <w:sz w:val="24"/>
          <w:szCs w:val="24"/>
        </w:rPr>
        <w:t>T</w:t>
      </w:r>
      <w:r w:rsidR="00692922" w:rsidRPr="00D11634">
        <w:rPr>
          <w:rFonts w:cs="Times New Roman"/>
          <w:color w:val="000000" w:themeColor="text1"/>
          <w:sz w:val="24"/>
          <w:szCs w:val="24"/>
        </w:rPr>
        <w:t>he IRR method is also used by the companies for making the investment decisions. It indicates the percentage of return that an investor or the company may gain by making a particular investment</w:t>
      </w:r>
      <w:r w:rsidR="00D33706" w:rsidRPr="00D11634">
        <w:rPr>
          <w:rFonts w:cs="Times New Roman"/>
          <w:color w:val="000000" w:themeColor="text1"/>
          <w:sz w:val="24"/>
          <w:szCs w:val="24"/>
        </w:rPr>
        <w:t xml:space="preserve"> (Baum and Crosby, 2014)</w:t>
      </w:r>
      <w:r w:rsidR="00692922" w:rsidRPr="00D11634">
        <w:rPr>
          <w:rFonts w:cs="Times New Roman"/>
          <w:color w:val="000000" w:themeColor="text1"/>
          <w:sz w:val="24"/>
          <w:szCs w:val="24"/>
        </w:rPr>
        <w:t>. It is also considered as the minimum return rate that an investment generates. IRR method also considers the two assumptions that the NPV method follows. Payback period is another method that is sometimes used by the investors for making the investment decisions</w:t>
      </w:r>
      <w:r w:rsidR="00D33706" w:rsidRPr="00D11634">
        <w:rPr>
          <w:rFonts w:cs="Times New Roman"/>
          <w:color w:val="000000" w:themeColor="text1"/>
          <w:sz w:val="24"/>
          <w:szCs w:val="24"/>
        </w:rPr>
        <w:t xml:space="preserve"> (Weber, 2014)</w:t>
      </w:r>
      <w:r w:rsidR="00692922" w:rsidRPr="00D11634">
        <w:rPr>
          <w:rFonts w:cs="Times New Roman"/>
          <w:color w:val="000000" w:themeColor="text1"/>
          <w:sz w:val="24"/>
          <w:szCs w:val="24"/>
        </w:rPr>
        <w:t xml:space="preserve">. This method helps the investors determining the </w:t>
      </w:r>
      <w:r w:rsidR="004B7055" w:rsidRPr="00D11634">
        <w:rPr>
          <w:rFonts w:cs="Times New Roman"/>
          <w:color w:val="000000" w:themeColor="text1"/>
          <w:sz w:val="24"/>
          <w:szCs w:val="24"/>
        </w:rPr>
        <w:t xml:space="preserve">time that the investment will take to return back the initial amount of investment to the investor. This method is considered by the </w:t>
      </w:r>
      <w:r w:rsidR="00C737DF" w:rsidRPr="00D11634">
        <w:rPr>
          <w:rFonts w:cs="Times New Roman"/>
          <w:color w:val="000000" w:themeColor="text1"/>
          <w:sz w:val="24"/>
          <w:szCs w:val="24"/>
        </w:rPr>
        <w:t xml:space="preserve">investors mostly because of its simplicity in the process investment appraisal. </w:t>
      </w:r>
      <w:r w:rsidR="00692922" w:rsidRPr="00D11634">
        <w:rPr>
          <w:rFonts w:cs="Times New Roman"/>
          <w:color w:val="000000" w:themeColor="text1"/>
          <w:sz w:val="24"/>
          <w:szCs w:val="24"/>
        </w:rPr>
        <w:t xml:space="preserve">However, most of the times in the real business world, it is noted that people prefer NPV more than IRR </w:t>
      </w:r>
      <w:r w:rsidR="00C737DF" w:rsidRPr="00D11634">
        <w:rPr>
          <w:rFonts w:cs="Times New Roman"/>
          <w:color w:val="000000" w:themeColor="text1"/>
          <w:sz w:val="24"/>
          <w:szCs w:val="24"/>
        </w:rPr>
        <w:t xml:space="preserve">or payback period </w:t>
      </w:r>
      <w:r w:rsidR="00692922" w:rsidRPr="00D11634">
        <w:rPr>
          <w:rFonts w:cs="Times New Roman"/>
          <w:color w:val="000000" w:themeColor="text1"/>
          <w:sz w:val="24"/>
          <w:szCs w:val="24"/>
        </w:rPr>
        <w:t xml:space="preserve">and it is believed that NPV is the best investment appraisal method. </w:t>
      </w:r>
    </w:p>
    <w:p w14:paraId="376EC740" w14:textId="77777777" w:rsidR="00692922"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692922" w:rsidRPr="00D11634">
        <w:rPr>
          <w:rFonts w:cs="Times New Roman"/>
          <w:color w:val="000000" w:themeColor="text1"/>
          <w:sz w:val="24"/>
          <w:szCs w:val="24"/>
        </w:rPr>
        <w:t xml:space="preserve">From the theoretical perspective, it is believed that NPV method is better to be used for investment appraisal because this method emphasizes on the time value of money. Focusing on the time value the NPV method helps to judge the true viability of the investment. On the other hand, as the method considers the profitability factor, the suitability of the investment can be </w:t>
      </w:r>
      <w:r w:rsidR="00692922" w:rsidRPr="00D11634">
        <w:rPr>
          <w:rFonts w:cs="Times New Roman"/>
          <w:color w:val="000000" w:themeColor="text1"/>
          <w:sz w:val="24"/>
          <w:szCs w:val="24"/>
        </w:rPr>
        <w:lastRenderedPageBreak/>
        <w:t>verified in a better way</w:t>
      </w:r>
      <w:r w:rsidR="00D33706" w:rsidRPr="00D11634">
        <w:rPr>
          <w:rFonts w:cs="Times New Roman"/>
          <w:color w:val="000000" w:themeColor="text1"/>
          <w:sz w:val="24"/>
          <w:szCs w:val="24"/>
        </w:rPr>
        <w:t xml:space="preserve"> (Lumby, 1981)</w:t>
      </w:r>
      <w:r w:rsidR="00692922" w:rsidRPr="00D11634">
        <w:rPr>
          <w:rFonts w:cs="Times New Roman"/>
          <w:color w:val="000000" w:themeColor="text1"/>
          <w:sz w:val="24"/>
          <w:szCs w:val="24"/>
        </w:rPr>
        <w:t>. However, sometimes investors avoid to use this method because of the higher level of complexity and lengthy procedure associated with the method. Due to the higher complexities the process takes time to get completed. On the other hand, if the investor does not have any understanding on the theoretical tools, using the NPV method can be difficult</w:t>
      </w:r>
      <w:r w:rsidR="00D33706" w:rsidRPr="00D11634">
        <w:rPr>
          <w:rFonts w:cs="Times New Roman"/>
          <w:color w:val="000000" w:themeColor="text1"/>
          <w:sz w:val="24"/>
          <w:szCs w:val="24"/>
        </w:rPr>
        <w:t xml:space="preserve"> (</w:t>
      </w:r>
      <w:proofErr w:type="spellStart"/>
      <w:r w:rsidR="00D33706" w:rsidRPr="00D11634">
        <w:rPr>
          <w:rFonts w:cs="Times New Roman"/>
          <w:color w:val="000000" w:themeColor="text1"/>
          <w:sz w:val="24"/>
          <w:szCs w:val="24"/>
        </w:rPr>
        <w:t>Alkaraan</w:t>
      </w:r>
      <w:proofErr w:type="spellEnd"/>
      <w:r w:rsidR="00D33706" w:rsidRPr="00D11634">
        <w:rPr>
          <w:rFonts w:cs="Times New Roman"/>
          <w:color w:val="000000" w:themeColor="text1"/>
          <w:sz w:val="24"/>
          <w:szCs w:val="24"/>
        </w:rPr>
        <w:t>, 2017)</w:t>
      </w:r>
      <w:r w:rsidR="00692922" w:rsidRPr="00D11634">
        <w:rPr>
          <w:rFonts w:cs="Times New Roman"/>
          <w:color w:val="000000" w:themeColor="text1"/>
          <w:sz w:val="24"/>
          <w:szCs w:val="24"/>
        </w:rPr>
        <w:t>. Some scholars believe that if the sizes of the investment options available to the investor differ much, use of NPV method is not suitable because NPV does not indicate the percentage, rather it indicates the absolute figure. Hence, making the judgment regarding any investments of different in sizes can be inaccurate.</w:t>
      </w:r>
    </w:p>
    <w:p w14:paraId="2FDEBA24" w14:textId="77777777" w:rsidR="002C1501"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2C1501" w:rsidRPr="00D11634">
        <w:rPr>
          <w:rFonts w:cs="Times New Roman"/>
          <w:color w:val="000000" w:themeColor="text1"/>
          <w:sz w:val="24"/>
          <w:szCs w:val="24"/>
        </w:rPr>
        <w:t>The benefit of using IRR method is much similar to the benefits that the investor can enjoy while making investment decision based on the NPV method. Like NPV, the time value of money and the profitability factors are also considered under the IRR method. However, the difference is there is no requirement for making pre-determination of the discou</w:t>
      </w:r>
      <w:r w:rsidR="00D32927" w:rsidRPr="00D11634">
        <w:rPr>
          <w:rFonts w:cs="Times New Roman"/>
          <w:color w:val="000000" w:themeColor="text1"/>
          <w:sz w:val="24"/>
          <w:szCs w:val="24"/>
        </w:rPr>
        <w:t>nting factor or cost of capital while determining the suitability of the investment option.</w:t>
      </w:r>
      <w:r w:rsidR="00191925" w:rsidRPr="00D11634">
        <w:rPr>
          <w:rFonts w:cs="Times New Roman"/>
          <w:color w:val="000000" w:themeColor="text1"/>
          <w:sz w:val="24"/>
          <w:szCs w:val="24"/>
        </w:rPr>
        <w:t xml:space="preserve"> However, some scholars believe that the assumptions based on which IRR is calculated are not true always</w:t>
      </w:r>
      <w:r w:rsidR="00D33706" w:rsidRPr="00D11634">
        <w:rPr>
          <w:rFonts w:cs="Times New Roman"/>
          <w:color w:val="000000" w:themeColor="text1"/>
          <w:sz w:val="24"/>
          <w:szCs w:val="24"/>
        </w:rPr>
        <w:t xml:space="preserve"> (Arshad, 2012)</w:t>
      </w:r>
      <w:r w:rsidR="00191925" w:rsidRPr="00D11634">
        <w:rPr>
          <w:rFonts w:cs="Times New Roman"/>
          <w:color w:val="000000" w:themeColor="text1"/>
          <w:sz w:val="24"/>
          <w:szCs w:val="24"/>
        </w:rPr>
        <w:t>. The earnings from the investment are not always reinvested immediately by the investor</w:t>
      </w:r>
      <w:r w:rsidR="00DD02C1" w:rsidRPr="00D11634">
        <w:rPr>
          <w:rFonts w:cs="Times New Roman"/>
          <w:color w:val="000000" w:themeColor="text1"/>
          <w:sz w:val="24"/>
          <w:szCs w:val="24"/>
        </w:rPr>
        <w:t xml:space="preserve">. On the other hand, the calculation of IRR does not consider the </w:t>
      </w:r>
      <w:r w:rsidR="00872FF4" w:rsidRPr="00D11634">
        <w:rPr>
          <w:rFonts w:cs="Times New Roman"/>
          <w:color w:val="000000" w:themeColor="text1"/>
          <w:sz w:val="24"/>
          <w:szCs w:val="24"/>
        </w:rPr>
        <w:t>capital expenditure associated with the particular investment option</w:t>
      </w:r>
      <w:r w:rsidR="00D33706" w:rsidRPr="00D11634">
        <w:rPr>
          <w:rFonts w:cs="Times New Roman"/>
          <w:color w:val="000000" w:themeColor="text1"/>
          <w:sz w:val="24"/>
          <w:szCs w:val="24"/>
        </w:rPr>
        <w:t xml:space="preserve"> (</w:t>
      </w:r>
      <w:proofErr w:type="spellStart"/>
      <w:r w:rsidR="00D33706" w:rsidRPr="00D11634">
        <w:rPr>
          <w:rFonts w:cs="Times New Roman"/>
          <w:color w:val="000000" w:themeColor="text1"/>
          <w:sz w:val="24"/>
          <w:szCs w:val="24"/>
        </w:rPr>
        <w:t>Magni</w:t>
      </w:r>
      <w:proofErr w:type="spellEnd"/>
      <w:r w:rsidR="00D33706" w:rsidRPr="00D11634">
        <w:rPr>
          <w:rFonts w:cs="Times New Roman"/>
          <w:color w:val="000000" w:themeColor="text1"/>
          <w:sz w:val="24"/>
          <w:szCs w:val="24"/>
        </w:rPr>
        <w:t>, 2010)</w:t>
      </w:r>
      <w:r w:rsidR="00872FF4" w:rsidRPr="00D11634">
        <w:rPr>
          <w:rFonts w:cs="Times New Roman"/>
          <w:color w:val="000000" w:themeColor="text1"/>
          <w:sz w:val="24"/>
          <w:szCs w:val="24"/>
        </w:rPr>
        <w:t xml:space="preserve">. Sometimes, it is noticed that the IRR method indicates an investment option suitable that takes long time to recover the capital expenditure. </w:t>
      </w:r>
    </w:p>
    <w:p w14:paraId="0E97D365" w14:textId="77777777" w:rsidR="00C737DF"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C737DF" w:rsidRPr="00D11634">
        <w:rPr>
          <w:rFonts w:cs="Times New Roman"/>
          <w:color w:val="000000" w:themeColor="text1"/>
          <w:sz w:val="24"/>
          <w:szCs w:val="24"/>
        </w:rPr>
        <w:t>With respect to the payback period method, the simplicity can be considered as the biggest advantage. The method can easily determine whether the investment option is suitable for the investment or not</w:t>
      </w:r>
      <w:r w:rsidR="00D33706" w:rsidRPr="00D11634">
        <w:rPr>
          <w:rFonts w:cs="Times New Roman"/>
          <w:color w:val="000000" w:themeColor="text1"/>
          <w:sz w:val="24"/>
          <w:szCs w:val="24"/>
        </w:rPr>
        <w:t xml:space="preserve"> (Ye and Tiong, 2000)</w:t>
      </w:r>
      <w:r w:rsidR="00C737DF" w:rsidRPr="00D11634">
        <w:rPr>
          <w:rFonts w:cs="Times New Roman"/>
          <w:color w:val="000000" w:themeColor="text1"/>
          <w:sz w:val="24"/>
          <w:szCs w:val="24"/>
        </w:rPr>
        <w:t xml:space="preserve">. Moreover, the </w:t>
      </w:r>
      <w:r w:rsidR="00BD02B3" w:rsidRPr="00D11634">
        <w:rPr>
          <w:rFonts w:cs="Times New Roman"/>
          <w:color w:val="000000" w:themeColor="text1"/>
          <w:sz w:val="24"/>
          <w:szCs w:val="24"/>
        </w:rPr>
        <w:t xml:space="preserve">specific time span required for repaying the initial investment can be identified, which makes the </w:t>
      </w:r>
      <w:proofErr w:type="gramStart"/>
      <w:r w:rsidR="00BD02B3" w:rsidRPr="00D11634">
        <w:rPr>
          <w:rFonts w:cs="Times New Roman"/>
          <w:color w:val="000000" w:themeColor="text1"/>
          <w:sz w:val="24"/>
          <w:szCs w:val="24"/>
        </w:rPr>
        <w:t>decision making</w:t>
      </w:r>
      <w:proofErr w:type="gramEnd"/>
      <w:r w:rsidR="00BD02B3" w:rsidRPr="00D11634">
        <w:rPr>
          <w:rFonts w:cs="Times New Roman"/>
          <w:color w:val="000000" w:themeColor="text1"/>
          <w:sz w:val="24"/>
          <w:szCs w:val="24"/>
        </w:rPr>
        <w:t xml:space="preserve"> process simpler. However, the payback period is not considered as the logical method for appraising the investment option because the payback period method does not consider the time value of money and the profitability is also not considered by this method</w:t>
      </w:r>
      <w:r w:rsidR="00FB3463" w:rsidRPr="00D11634">
        <w:rPr>
          <w:rFonts w:cs="Times New Roman"/>
          <w:color w:val="000000" w:themeColor="text1"/>
          <w:sz w:val="24"/>
          <w:szCs w:val="24"/>
        </w:rPr>
        <w:t xml:space="preserve"> (Wijesuriya </w:t>
      </w:r>
      <w:r w:rsidR="00FB3463" w:rsidRPr="00D11634">
        <w:rPr>
          <w:rFonts w:cs="Times New Roman"/>
          <w:i/>
          <w:color w:val="000000" w:themeColor="text1"/>
          <w:sz w:val="24"/>
          <w:szCs w:val="24"/>
        </w:rPr>
        <w:t>et al.,</w:t>
      </w:r>
      <w:r w:rsidR="00FB3463" w:rsidRPr="00D11634">
        <w:rPr>
          <w:rFonts w:cs="Times New Roman"/>
          <w:color w:val="000000" w:themeColor="text1"/>
          <w:sz w:val="24"/>
          <w:szCs w:val="24"/>
        </w:rPr>
        <w:t xml:space="preserve"> 2017)</w:t>
      </w:r>
      <w:r w:rsidR="00BD02B3" w:rsidRPr="00D11634">
        <w:rPr>
          <w:rFonts w:cs="Times New Roman"/>
          <w:color w:val="000000" w:themeColor="text1"/>
          <w:sz w:val="24"/>
          <w:szCs w:val="24"/>
        </w:rPr>
        <w:t xml:space="preserve">. It means the two most important factors are ignored by the payback period method. Moreover, whether the investment will be viable after the payback period is also not indicated by this method. </w:t>
      </w:r>
    </w:p>
    <w:p w14:paraId="719574C6" w14:textId="77777777" w:rsidR="00BD02B3"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BD02B3" w:rsidRPr="00D11634">
        <w:rPr>
          <w:rFonts w:cs="Times New Roman"/>
          <w:color w:val="000000" w:themeColor="text1"/>
          <w:sz w:val="24"/>
          <w:szCs w:val="24"/>
        </w:rPr>
        <w:t xml:space="preserve">Therefore, considering the discussions on three different investment appraisal methods, it can be stated that </w:t>
      </w:r>
      <w:r w:rsidR="000D0F97" w:rsidRPr="00D11634">
        <w:rPr>
          <w:rFonts w:cs="Times New Roman"/>
          <w:color w:val="000000" w:themeColor="text1"/>
          <w:sz w:val="24"/>
          <w:szCs w:val="24"/>
        </w:rPr>
        <w:t xml:space="preserve">payback period is not at all comparable to the NPV method. However, there are not much difference between the NPV and IRR methods because both the methods are based </w:t>
      </w:r>
      <w:r w:rsidR="000D0F97" w:rsidRPr="00D11634">
        <w:rPr>
          <w:rFonts w:cs="Times New Roman"/>
          <w:color w:val="000000" w:themeColor="text1"/>
          <w:sz w:val="24"/>
          <w:szCs w:val="24"/>
        </w:rPr>
        <w:lastRenderedPageBreak/>
        <w:t>on the same assumptions</w:t>
      </w:r>
      <w:r w:rsidR="00FB3463" w:rsidRPr="00D11634">
        <w:rPr>
          <w:rFonts w:cs="Times New Roman"/>
          <w:color w:val="000000" w:themeColor="text1"/>
          <w:sz w:val="24"/>
          <w:szCs w:val="24"/>
        </w:rPr>
        <w:t xml:space="preserve"> (</w:t>
      </w:r>
      <w:proofErr w:type="spellStart"/>
      <w:r w:rsidR="00FB3463" w:rsidRPr="00D11634">
        <w:rPr>
          <w:rFonts w:cs="Times New Roman"/>
          <w:color w:val="000000" w:themeColor="text1"/>
          <w:sz w:val="24"/>
          <w:szCs w:val="24"/>
        </w:rPr>
        <w:t>Magni</w:t>
      </w:r>
      <w:proofErr w:type="spellEnd"/>
      <w:r w:rsidR="00FB3463" w:rsidRPr="00D11634">
        <w:rPr>
          <w:rFonts w:cs="Times New Roman"/>
          <w:color w:val="000000" w:themeColor="text1"/>
          <w:sz w:val="24"/>
          <w:szCs w:val="24"/>
        </w:rPr>
        <w:t>, 2010)</w:t>
      </w:r>
      <w:r w:rsidR="000D0F97" w:rsidRPr="00D11634">
        <w:rPr>
          <w:rFonts w:cs="Times New Roman"/>
          <w:color w:val="000000" w:themeColor="text1"/>
          <w:sz w:val="24"/>
          <w:szCs w:val="24"/>
        </w:rPr>
        <w:t>. However, IRR is not considered as the superior than NPV because under the IRR method, the scale of investment is not considered by the investors.</w:t>
      </w:r>
      <w:r w:rsidR="00F659B7" w:rsidRPr="00D11634">
        <w:rPr>
          <w:rFonts w:cs="Times New Roman"/>
          <w:color w:val="000000" w:themeColor="text1"/>
          <w:sz w:val="24"/>
          <w:szCs w:val="24"/>
        </w:rPr>
        <w:t xml:space="preserve"> At the same time, the discounting rate considered under the NPV method is near to the present cost of capital of the investment, which is not done under the IRR method</w:t>
      </w:r>
      <w:r w:rsidR="00FB3463" w:rsidRPr="00D11634">
        <w:rPr>
          <w:rFonts w:cs="Times New Roman"/>
          <w:color w:val="000000" w:themeColor="text1"/>
          <w:sz w:val="24"/>
          <w:szCs w:val="24"/>
        </w:rPr>
        <w:t xml:space="preserve"> (</w:t>
      </w:r>
      <w:proofErr w:type="spellStart"/>
      <w:r w:rsidR="00FB3463" w:rsidRPr="00D11634">
        <w:rPr>
          <w:rFonts w:cs="Times New Roman"/>
          <w:color w:val="000000" w:themeColor="text1"/>
          <w:sz w:val="24"/>
          <w:szCs w:val="24"/>
        </w:rPr>
        <w:t>Alkaraan</w:t>
      </w:r>
      <w:proofErr w:type="spellEnd"/>
      <w:r w:rsidR="00FB3463" w:rsidRPr="00D11634">
        <w:rPr>
          <w:rFonts w:cs="Times New Roman"/>
          <w:color w:val="000000" w:themeColor="text1"/>
          <w:sz w:val="24"/>
          <w:szCs w:val="24"/>
        </w:rPr>
        <w:t>, 2017)</w:t>
      </w:r>
      <w:r w:rsidR="00F659B7" w:rsidRPr="00D11634">
        <w:rPr>
          <w:rFonts w:cs="Times New Roman"/>
          <w:color w:val="000000" w:themeColor="text1"/>
          <w:sz w:val="24"/>
          <w:szCs w:val="24"/>
        </w:rPr>
        <w:t>. Due to this, the calculation under the NPV method is more realistic than the IRR method.</w:t>
      </w:r>
    </w:p>
    <w:p w14:paraId="0DADBAC8" w14:textId="77777777" w:rsidR="00D3568F"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D3568F" w:rsidRPr="00D11634">
        <w:rPr>
          <w:rFonts w:cs="Times New Roman"/>
          <w:color w:val="000000" w:themeColor="text1"/>
          <w:sz w:val="24"/>
          <w:szCs w:val="24"/>
        </w:rPr>
        <w:t>While evaluating an investment option or options based on NPV method, the investors always follow the rule of comparing the figures of NPV. The option, which has high NPV tends to generate high profit on the investment and due to that it is suggested by the theory that the investor must make investment on the project that has high NPV. With respect to the particular three investment options available to the management of Jefferson Plc, it can be</w:t>
      </w:r>
      <w:r w:rsidR="00763D09" w:rsidRPr="00D11634">
        <w:rPr>
          <w:rFonts w:cs="Times New Roman"/>
          <w:color w:val="000000" w:themeColor="text1"/>
          <w:sz w:val="24"/>
          <w:szCs w:val="24"/>
        </w:rPr>
        <w:t xml:space="preserve"> noticed that option C has higher NPV than the other two investment options. </w:t>
      </w:r>
      <w:r w:rsidR="004706D6" w:rsidRPr="00D11634">
        <w:rPr>
          <w:rFonts w:cs="Times New Roman"/>
          <w:color w:val="000000" w:themeColor="text1"/>
          <w:sz w:val="24"/>
          <w:szCs w:val="24"/>
        </w:rPr>
        <w:t xml:space="preserve">Though the investment in the option C is higher than the two other options, the investment will be more profitable to the company. </w:t>
      </w:r>
      <w:r w:rsidR="00763D09" w:rsidRPr="00D11634">
        <w:rPr>
          <w:rFonts w:cs="Times New Roman"/>
          <w:color w:val="000000" w:themeColor="text1"/>
          <w:sz w:val="24"/>
          <w:szCs w:val="24"/>
        </w:rPr>
        <w:t>Therefore, from the perspective of NPV the company should invest on the option C. On the other hand, the IRR of the investment is also showing high that is 29.08%, which means the company will be able to generate higher amount of return from the investment.</w:t>
      </w:r>
    </w:p>
    <w:p w14:paraId="5CE33F08" w14:textId="3DFD9930" w:rsidR="00F32831" w:rsidRPr="00D11634" w:rsidRDefault="00A96AD1" w:rsidP="007A6F62">
      <w:pPr>
        <w:pStyle w:val="3"/>
        <w:rPr>
          <w:color w:val="000000" w:themeColor="text1"/>
        </w:rPr>
      </w:pPr>
      <w:bookmarkStart w:id="56" w:name="_Toc41614058"/>
      <w:r w:rsidRPr="00D11634">
        <w:rPr>
          <w:color w:val="000000" w:themeColor="text1"/>
        </w:rPr>
        <w:t>P</w:t>
      </w:r>
      <w:r w:rsidR="00F32831" w:rsidRPr="00D11634">
        <w:rPr>
          <w:color w:val="000000" w:themeColor="text1"/>
        </w:rPr>
        <w:t xml:space="preserve">opularity </w:t>
      </w:r>
      <w:r w:rsidRPr="00D11634">
        <w:rPr>
          <w:color w:val="000000" w:themeColor="text1"/>
        </w:rPr>
        <w:t>of</w:t>
      </w:r>
      <w:r w:rsidR="00F32831" w:rsidRPr="00D11634">
        <w:rPr>
          <w:color w:val="000000" w:themeColor="text1"/>
        </w:rPr>
        <w:t xml:space="preserve"> the non-discounting methods</w:t>
      </w:r>
      <w:bookmarkEnd w:id="56"/>
    </w:p>
    <w:p w14:paraId="14F5EE79" w14:textId="61BC9CAA" w:rsidR="002F79AA" w:rsidRPr="00D11634" w:rsidRDefault="002F79AA" w:rsidP="002F79AA">
      <w:pPr>
        <w:rPr>
          <w:rFonts w:cs="Times New Roman"/>
          <w:color w:val="000000" w:themeColor="text1"/>
          <w:sz w:val="24"/>
          <w:szCs w:val="24"/>
        </w:rPr>
      </w:pPr>
      <w:r w:rsidRPr="00D11634">
        <w:rPr>
          <w:rFonts w:cs="Times New Roman"/>
          <w:color w:val="000000" w:themeColor="text1"/>
          <w:sz w:val="24"/>
          <w:szCs w:val="24"/>
        </w:rPr>
        <w:tab/>
      </w:r>
      <w:r w:rsidR="00031233" w:rsidRPr="00D11634">
        <w:rPr>
          <w:rFonts w:cs="Times New Roman"/>
          <w:color w:val="000000" w:themeColor="text1"/>
          <w:sz w:val="24"/>
          <w:szCs w:val="24"/>
        </w:rPr>
        <w:t>T</w:t>
      </w:r>
      <w:r w:rsidR="00864B83" w:rsidRPr="00D11634">
        <w:rPr>
          <w:rFonts w:cs="Times New Roman"/>
          <w:color w:val="000000" w:themeColor="text1"/>
          <w:sz w:val="24"/>
          <w:szCs w:val="24"/>
        </w:rPr>
        <w:t>here are also some methods, known as the non-discounting methods. Some of the non-discounting methods of investment appraisal are - payback period and accounting rate of return methods. These non-discounting methods are still much popular to the investors for the purpose of investment appraisal</w:t>
      </w:r>
      <w:r w:rsidR="00FB3463" w:rsidRPr="00D11634">
        <w:rPr>
          <w:rFonts w:cs="Times New Roman"/>
          <w:color w:val="000000" w:themeColor="text1"/>
          <w:sz w:val="24"/>
          <w:szCs w:val="24"/>
        </w:rPr>
        <w:t xml:space="preserve"> (</w:t>
      </w:r>
      <w:proofErr w:type="spellStart"/>
      <w:r w:rsidR="00FB3463" w:rsidRPr="00D11634">
        <w:rPr>
          <w:rFonts w:cs="Times New Roman"/>
          <w:color w:val="000000" w:themeColor="text1"/>
          <w:sz w:val="24"/>
          <w:szCs w:val="24"/>
        </w:rPr>
        <w:t>Zativita</w:t>
      </w:r>
      <w:proofErr w:type="spellEnd"/>
      <w:r w:rsidR="00FB3463" w:rsidRPr="00D11634">
        <w:rPr>
          <w:rFonts w:cs="Times New Roman"/>
          <w:color w:val="000000" w:themeColor="text1"/>
          <w:sz w:val="24"/>
          <w:szCs w:val="24"/>
        </w:rPr>
        <w:t xml:space="preserve"> and </w:t>
      </w:r>
      <w:proofErr w:type="spellStart"/>
      <w:r w:rsidR="00FB3463" w:rsidRPr="00D11634">
        <w:rPr>
          <w:rFonts w:cs="Times New Roman"/>
          <w:color w:val="000000" w:themeColor="text1"/>
          <w:sz w:val="24"/>
          <w:szCs w:val="24"/>
        </w:rPr>
        <w:t>Chumaidiyah</w:t>
      </w:r>
      <w:proofErr w:type="spellEnd"/>
      <w:r w:rsidR="00FB3463" w:rsidRPr="00D11634">
        <w:rPr>
          <w:rFonts w:cs="Times New Roman"/>
          <w:color w:val="000000" w:themeColor="text1"/>
          <w:sz w:val="24"/>
          <w:szCs w:val="24"/>
        </w:rPr>
        <w:t>, 2019)</w:t>
      </w:r>
      <w:r w:rsidR="00864B83" w:rsidRPr="00D11634">
        <w:rPr>
          <w:rFonts w:cs="Times New Roman"/>
          <w:color w:val="000000" w:themeColor="text1"/>
          <w:sz w:val="24"/>
          <w:szCs w:val="24"/>
        </w:rPr>
        <w:t>. The major reason behind this is the simplicity of these methods. The discounting methods like NPV and IRR are much complicated in nature and these methods involve tedious calculations for determining whether an investment option is suitable for the investor or not.</w:t>
      </w:r>
      <w:r w:rsidR="00511065" w:rsidRPr="00D11634">
        <w:rPr>
          <w:rFonts w:cs="Times New Roman"/>
          <w:color w:val="000000" w:themeColor="text1"/>
          <w:sz w:val="24"/>
          <w:szCs w:val="24"/>
        </w:rPr>
        <w:t xml:space="preserve"> However, in the case of the payback period and accounting rate of return or ARR method, the </w:t>
      </w:r>
      <w:r w:rsidR="000E3B52" w:rsidRPr="00D11634">
        <w:rPr>
          <w:rFonts w:cs="Times New Roman"/>
          <w:color w:val="000000" w:themeColor="text1"/>
          <w:sz w:val="24"/>
          <w:szCs w:val="24"/>
        </w:rPr>
        <w:t>calculations are very simple to understand</w:t>
      </w:r>
      <w:r w:rsidR="00FB3463" w:rsidRPr="00D11634">
        <w:rPr>
          <w:rFonts w:cs="Times New Roman"/>
          <w:color w:val="000000" w:themeColor="text1"/>
          <w:sz w:val="24"/>
          <w:szCs w:val="24"/>
        </w:rPr>
        <w:t xml:space="preserve"> (Ye and Tiong, 2000)</w:t>
      </w:r>
      <w:r w:rsidR="000E3B52" w:rsidRPr="00D11634">
        <w:rPr>
          <w:rFonts w:cs="Times New Roman"/>
          <w:color w:val="000000" w:themeColor="text1"/>
          <w:sz w:val="24"/>
          <w:szCs w:val="24"/>
        </w:rPr>
        <w:t xml:space="preserve">. The investors do not need special theoretical knowledge to understand the results of these methods. On the other hand, the </w:t>
      </w:r>
      <w:r w:rsidR="00924430" w:rsidRPr="00D11634">
        <w:rPr>
          <w:rFonts w:cs="Times New Roman"/>
          <w:color w:val="000000" w:themeColor="text1"/>
          <w:sz w:val="24"/>
          <w:szCs w:val="24"/>
        </w:rPr>
        <w:t xml:space="preserve">payback period and the ARR methods take much limited time to get completed the entire investment decision making procedure. </w:t>
      </w:r>
      <w:r w:rsidR="006D46C9" w:rsidRPr="00D11634">
        <w:rPr>
          <w:rFonts w:cs="Times New Roman"/>
          <w:color w:val="000000" w:themeColor="text1"/>
          <w:sz w:val="24"/>
          <w:szCs w:val="24"/>
        </w:rPr>
        <w:t xml:space="preserve">Moreover, the non-discounting methods are not dependent on some assumptions, which may not be true in all the situations or period of the investment. </w:t>
      </w:r>
    </w:p>
    <w:p w14:paraId="39CA6642" w14:textId="6F5B98EB" w:rsidR="00892669" w:rsidRPr="00D11634" w:rsidRDefault="00A96AD1" w:rsidP="007A6F62">
      <w:pPr>
        <w:pStyle w:val="3"/>
        <w:rPr>
          <w:color w:val="000000" w:themeColor="text1"/>
        </w:rPr>
      </w:pPr>
      <w:bookmarkStart w:id="57" w:name="_Toc41614059"/>
      <w:r w:rsidRPr="00D11634">
        <w:rPr>
          <w:color w:val="000000" w:themeColor="text1"/>
        </w:rPr>
        <w:lastRenderedPageBreak/>
        <w:t>O</w:t>
      </w:r>
      <w:r w:rsidR="00892669" w:rsidRPr="00D11634">
        <w:rPr>
          <w:color w:val="000000" w:themeColor="text1"/>
        </w:rPr>
        <w:t xml:space="preserve">ther </w:t>
      </w:r>
      <w:r w:rsidRPr="00D11634">
        <w:rPr>
          <w:color w:val="000000" w:themeColor="text1"/>
        </w:rPr>
        <w:t xml:space="preserve">important </w:t>
      </w:r>
      <w:r w:rsidR="00892669" w:rsidRPr="00D11634">
        <w:rPr>
          <w:color w:val="000000" w:themeColor="text1"/>
        </w:rPr>
        <w:t>factors</w:t>
      </w:r>
      <w:r w:rsidRPr="00D11634">
        <w:rPr>
          <w:color w:val="000000" w:themeColor="text1"/>
        </w:rPr>
        <w:t xml:space="preserve"> </w:t>
      </w:r>
      <w:r w:rsidR="00892669" w:rsidRPr="00D11634">
        <w:rPr>
          <w:color w:val="000000" w:themeColor="text1"/>
        </w:rPr>
        <w:t>for investment decision making</w:t>
      </w:r>
      <w:bookmarkEnd w:id="57"/>
    </w:p>
    <w:p w14:paraId="24C1C4B3" w14:textId="5869F4C7" w:rsidR="00892669" w:rsidRPr="00D11634" w:rsidRDefault="002F79AA" w:rsidP="004237A1">
      <w:pPr>
        <w:rPr>
          <w:rFonts w:cs="Times New Roman"/>
          <w:color w:val="000000" w:themeColor="text1"/>
          <w:sz w:val="24"/>
          <w:szCs w:val="24"/>
        </w:rPr>
      </w:pPr>
      <w:r w:rsidRPr="00D11634">
        <w:rPr>
          <w:rFonts w:cs="Times New Roman"/>
          <w:color w:val="000000" w:themeColor="text1"/>
          <w:sz w:val="24"/>
          <w:szCs w:val="24"/>
        </w:rPr>
        <w:tab/>
      </w:r>
      <w:r w:rsidR="00857EEF" w:rsidRPr="00D11634">
        <w:rPr>
          <w:rFonts w:cs="Times New Roman"/>
          <w:color w:val="000000" w:themeColor="text1"/>
          <w:sz w:val="24"/>
          <w:szCs w:val="24"/>
        </w:rPr>
        <w:t xml:space="preserve">Though investment appraisal methods indicate the most suitable investment decision for the investor, there are also some other factors, which must be considered while making the final investment decision for the business. One of </w:t>
      </w:r>
      <w:r w:rsidR="00CD5685" w:rsidRPr="00D11634">
        <w:rPr>
          <w:rFonts w:cs="Times New Roman"/>
          <w:color w:val="000000" w:themeColor="text1"/>
          <w:sz w:val="24"/>
          <w:szCs w:val="24"/>
        </w:rPr>
        <w:t>these factors</w:t>
      </w:r>
      <w:r w:rsidR="00857EEF" w:rsidRPr="00D11634">
        <w:rPr>
          <w:rFonts w:cs="Times New Roman"/>
          <w:color w:val="000000" w:themeColor="text1"/>
          <w:sz w:val="24"/>
          <w:szCs w:val="24"/>
        </w:rPr>
        <w:t xml:space="preserve"> is the </w:t>
      </w:r>
      <w:r w:rsidR="00AF237C" w:rsidRPr="00D11634">
        <w:rPr>
          <w:rFonts w:cs="Times New Roman"/>
          <w:color w:val="000000" w:themeColor="text1"/>
          <w:sz w:val="24"/>
          <w:szCs w:val="24"/>
        </w:rPr>
        <w:t xml:space="preserve">financial health of the business. The investment should not be made at such a level that </w:t>
      </w:r>
      <w:r w:rsidR="00E65ADF" w:rsidRPr="00D11634">
        <w:rPr>
          <w:rFonts w:cs="Times New Roman"/>
          <w:color w:val="000000" w:themeColor="text1"/>
          <w:sz w:val="24"/>
          <w:szCs w:val="24"/>
        </w:rPr>
        <w:t>can hamper the financial health or position of the business</w:t>
      </w:r>
      <w:r w:rsidR="00FB3463" w:rsidRPr="00D11634">
        <w:rPr>
          <w:rFonts w:cs="Times New Roman"/>
          <w:color w:val="000000" w:themeColor="text1"/>
          <w:sz w:val="24"/>
          <w:szCs w:val="24"/>
        </w:rPr>
        <w:t xml:space="preserve"> (Shahab </w:t>
      </w:r>
      <w:r w:rsidR="00FB3463" w:rsidRPr="00D11634">
        <w:rPr>
          <w:rFonts w:cs="Times New Roman"/>
          <w:i/>
          <w:color w:val="000000" w:themeColor="text1"/>
          <w:sz w:val="24"/>
          <w:szCs w:val="24"/>
        </w:rPr>
        <w:t>et al.,</w:t>
      </w:r>
      <w:r w:rsidR="00FB3463" w:rsidRPr="00D11634">
        <w:rPr>
          <w:rFonts w:cs="Times New Roman"/>
          <w:color w:val="000000" w:themeColor="text1"/>
          <w:sz w:val="24"/>
          <w:szCs w:val="24"/>
        </w:rPr>
        <w:t xml:space="preserve"> 2019)</w:t>
      </w:r>
      <w:r w:rsidR="00E65ADF" w:rsidRPr="00D11634">
        <w:rPr>
          <w:rFonts w:cs="Times New Roman"/>
          <w:color w:val="000000" w:themeColor="text1"/>
          <w:sz w:val="24"/>
          <w:szCs w:val="24"/>
        </w:rPr>
        <w:t>.</w:t>
      </w:r>
      <w:r w:rsidR="002F00C5" w:rsidRPr="00D11634">
        <w:rPr>
          <w:rFonts w:cs="Times New Roman"/>
          <w:color w:val="000000" w:themeColor="text1"/>
          <w:sz w:val="24"/>
          <w:szCs w:val="24"/>
        </w:rPr>
        <w:t xml:space="preserve"> At the same time, the investor like Jefferson Plc must consider the needs of the business from the specific investment. It means the objective of the investment should be considered while making the decision. Along with these two, the company must consider extent to which the company can undertake risks involved in the particular investment option</w:t>
      </w:r>
      <w:r w:rsidR="00FB3463" w:rsidRPr="00D11634">
        <w:rPr>
          <w:rFonts w:cs="Times New Roman"/>
          <w:color w:val="000000" w:themeColor="text1"/>
          <w:sz w:val="24"/>
          <w:szCs w:val="24"/>
        </w:rPr>
        <w:t xml:space="preserve"> (Ahmad Zaidi and Tahir, 2019)</w:t>
      </w:r>
      <w:r w:rsidR="002F00C5" w:rsidRPr="00D11634">
        <w:rPr>
          <w:rFonts w:cs="Times New Roman"/>
          <w:color w:val="000000" w:themeColor="text1"/>
          <w:sz w:val="24"/>
          <w:szCs w:val="24"/>
        </w:rPr>
        <w:t>. Every investment option involves risks to some extent; hence, it is important to determine whether the company can take the risk or not.</w:t>
      </w:r>
    </w:p>
    <w:p w14:paraId="38A3CEE2" w14:textId="77777777" w:rsidR="00AA65E2" w:rsidRPr="00D11634" w:rsidRDefault="00AA65E2" w:rsidP="007A6F62">
      <w:pPr>
        <w:pStyle w:val="2"/>
        <w:rPr>
          <w:color w:val="000000" w:themeColor="text1"/>
        </w:rPr>
      </w:pPr>
      <w:bookmarkStart w:id="58" w:name="_Toc41614060"/>
      <w:bookmarkStart w:id="59" w:name="_Toc40997224"/>
      <w:r w:rsidRPr="00D11634">
        <w:rPr>
          <w:color w:val="000000" w:themeColor="text1"/>
        </w:rPr>
        <w:t>Optimal Investment Policies</w:t>
      </w:r>
      <w:bookmarkEnd w:id="58"/>
      <w:r w:rsidRPr="00D11634">
        <w:rPr>
          <w:color w:val="000000" w:themeColor="text1"/>
        </w:rPr>
        <w:t xml:space="preserve"> </w:t>
      </w:r>
      <w:bookmarkEnd w:id="59"/>
    </w:p>
    <w:p w14:paraId="7F44955B" w14:textId="77777777" w:rsidR="002F79AA" w:rsidRPr="00D11634" w:rsidRDefault="002F79AA" w:rsidP="002F79AA">
      <w:pPr>
        <w:ind w:firstLine="720"/>
        <w:rPr>
          <w:rFonts w:cs="Times New Roman"/>
          <w:color w:val="000000" w:themeColor="text1"/>
          <w:sz w:val="24"/>
          <w:szCs w:val="24"/>
        </w:rPr>
      </w:pPr>
      <w:r w:rsidRPr="00D11634">
        <w:rPr>
          <w:rFonts w:cs="Times New Roman"/>
          <w:color w:val="000000" w:themeColor="text1"/>
          <w:sz w:val="24"/>
          <w:szCs w:val="24"/>
        </w:rPr>
        <w:t>Although all of the three projects are profitable in nature and result info positive NPV, however investment in all three is not possible. This is a common scenario in corporate sector. This phenomenon is known as Capital Rationing.</w:t>
      </w:r>
    </w:p>
    <w:p w14:paraId="0522BB6C" w14:textId="57C8B43C" w:rsidR="002F79AA" w:rsidRPr="00D11634" w:rsidRDefault="002F79AA" w:rsidP="002F79AA">
      <w:pPr>
        <w:rPr>
          <w:rFonts w:cs="Times New Roman"/>
          <w:color w:val="000000" w:themeColor="text1"/>
          <w:sz w:val="24"/>
          <w:szCs w:val="24"/>
        </w:rPr>
      </w:pPr>
      <w:r w:rsidRPr="00D11634">
        <w:rPr>
          <w:rFonts w:cs="Times New Roman"/>
          <w:color w:val="000000" w:themeColor="text1"/>
          <w:sz w:val="24"/>
          <w:szCs w:val="24"/>
        </w:rPr>
        <w:tab/>
        <w:t xml:space="preserve">Capital Rationing can be of two types; </w:t>
      </w:r>
      <w:r w:rsidR="00A96AD1" w:rsidRPr="00D11634">
        <w:rPr>
          <w:rFonts w:cs="Times New Roman"/>
          <w:color w:val="000000" w:themeColor="text1"/>
          <w:sz w:val="24"/>
          <w:szCs w:val="24"/>
        </w:rPr>
        <w:t>“</w:t>
      </w:r>
      <w:r w:rsidRPr="00D11634">
        <w:rPr>
          <w:rFonts w:cs="Times New Roman"/>
          <w:color w:val="000000" w:themeColor="text1"/>
          <w:sz w:val="24"/>
          <w:szCs w:val="24"/>
        </w:rPr>
        <w:t>Hard Capital Rationing</w:t>
      </w:r>
      <w:r w:rsidR="00A96AD1" w:rsidRPr="00D11634">
        <w:rPr>
          <w:rFonts w:cs="Times New Roman"/>
          <w:color w:val="000000" w:themeColor="text1"/>
          <w:sz w:val="24"/>
          <w:szCs w:val="24"/>
        </w:rPr>
        <w:t>”</w:t>
      </w:r>
      <w:r w:rsidRPr="00D11634">
        <w:rPr>
          <w:rFonts w:cs="Times New Roman"/>
          <w:color w:val="000000" w:themeColor="text1"/>
          <w:sz w:val="24"/>
          <w:szCs w:val="24"/>
        </w:rPr>
        <w:t xml:space="preserve"> and </w:t>
      </w:r>
      <w:r w:rsidR="00A96AD1" w:rsidRPr="00D11634">
        <w:rPr>
          <w:rFonts w:cs="Times New Roman"/>
          <w:color w:val="000000" w:themeColor="text1"/>
          <w:sz w:val="24"/>
          <w:szCs w:val="24"/>
        </w:rPr>
        <w:t>“</w:t>
      </w:r>
      <w:r w:rsidRPr="00D11634">
        <w:rPr>
          <w:rFonts w:cs="Times New Roman"/>
          <w:color w:val="000000" w:themeColor="text1"/>
          <w:sz w:val="24"/>
          <w:szCs w:val="24"/>
        </w:rPr>
        <w:t>Soft Capital Rationing</w:t>
      </w:r>
      <w:r w:rsidR="00A96AD1" w:rsidRPr="00D11634">
        <w:rPr>
          <w:rFonts w:cs="Times New Roman"/>
          <w:color w:val="000000" w:themeColor="text1"/>
          <w:sz w:val="24"/>
          <w:szCs w:val="24"/>
        </w:rPr>
        <w:t>”</w:t>
      </w:r>
      <w:r w:rsidRPr="00D11634">
        <w:rPr>
          <w:rFonts w:cs="Times New Roman"/>
          <w:color w:val="000000" w:themeColor="text1"/>
          <w:sz w:val="24"/>
          <w:szCs w:val="24"/>
        </w:rPr>
        <w:t>. The Hard Capital Rationing occurs when the restriction of investment comes from external sources</w:t>
      </w:r>
      <w:r w:rsidR="00987906" w:rsidRPr="00D11634">
        <w:rPr>
          <w:rFonts w:cs="Times New Roman"/>
          <w:color w:val="000000" w:themeColor="text1"/>
          <w:sz w:val="24"/>
          <w:szCs w:val="24"/>
        </w:rPr>
        <w:t xml:space="preserve"> (Lukas and </w:t>
      </w:r>
      <w:proofErr w:type="spellStart"/>
      <w:r w:rsidR="00987906" w:rsidRPr="00D11634">
        <w:rPr>
          <w:rFonts w:cs="Times New Roman"/>
          <w:color w:val="000000" w:themeColor="text1"/>
          <w:sz w:val="24"/>
          <w:szCs w:val="24"/>
        </w:rPr>
        <w:t>Thiergart</w:t>
      </w:r>
      <w:proofErr w:type="spellEnd"/>
      <w:r w:rsidR="00987906" w:rsidRPr="00D11634">
        <w:rPr>
          <w:rFonts w:cs="Times New Roman"/>
          <w:color w:val="000000" w:themeColor="text1"/>
          <w:sz w:val="24"/>
          <w:szCs w:val="24"/>
        </w:rPr>
        <w:t>, 2019)</w:t>
      </w:r>
      <w:r w:rsidRPr="00D11634">
        <w:rPr>
          <w:rFonts w:cs="Times New Roman"/>
          <w:color w:val="000000" w:themeColor="text1"/>
          <w:sz w:val="24"/>
          <w:szCs w:val="24"/>
        </w:rPr>
        <w:t>. Soft Capital Rationing is caused due to internal causes. The restrictions are often imposed as a compliance act by the internal management</w:t>
      </w:r>
      <w:r w:rsidR="00987906" w:rsidRPr="00D11634">
        <w:rPr>
          <w:rFonts w:cs="Times New Roman"/>
          <w:color w:val="000000" w:themeColor="text1"/>
          <w:sz w:val="24"/>
          <w:szCs w:val="24"/>
        </w:rPr>
        <w:t xml:space="preserve"> (Nishihara </w:t>
      </w:r>
      <w:r w:rsidR="00987906" w:rsidRPr="00D11634">
        <w:rPr>
          <w:rFonts w:cs="Times New Roman"/>
          <w:i/>
          <w:color w:val="000000" w:themeColor="text1"/>
          <w:sz w:val="24"/>
          <w:szCs w:val="24"/>
        </w:rPr>
        <w:t xml:space="preserve">et al., </w:t>
      </w:r>
      <w:r w:rsidR="00987906" w:rsidRPr="00D11634">
        <w:rPr>
          <w:rFonts w:cs="Times New Roman"/>
          <w:color w:val="000000" w:themeColor="text1"/>
          <w:sz w:val="24"/>
          <w:szCs w:val="24"/>
        </w:rPr>
        <w:t>2019)</w:t>
      </w:r>
      <w:r w:rsidRPr="00D11634">
        <w:rPr>
          <w:rFonts w:cs="Times New Roman"/>
          <w:color w:val="000000" w:themeColor="text1"/>
          <w:sz w:val="24"/>
          <w:szCs w:val="24"/>
        </w:rPr>
        <w:t xml:space="preserve">. By applying Soft Capital rationing, the projects need to compete amongst each other’s in order to receive the fund. This helps the organization to create a competitive culture   </w:t>
      </w:r>
    </w:p>
    <w:p w14:paraId="207CDF59" w14:textId="77777777" w:rsidR="002F79AA" w:rsidRPr="00D11634" w:rsidRDefault="002F79AA" w:rsidP="002F79AA">
      <w:pPr>
        <w:rPr>
          <w:rFonts w:cs="Times New Roman"/>
          <w:color w:val="000000" w:themeColor="text1"/>
          <w:sz w:val="24"/>
          <w:szCs w:val="24"/>
        </w:rPr>
      </w:pPr>
      <w:r w:rsidRPr="00D11634">
        <w:rPr>
          <w:rFonts w:cs="Times New Roman"/>
          <w:color w:val="000000" w:themeColor="text1"/>
          <w:sz w:val="24"/>
          <w:szCs w:val="24"/>
        </w:rPr>
        <w:tab/>
        <w:t>In this case, there has been a limit of £2,500,000. However, the cumulative investment in Project A, Project B, and Project C is £750,000 + £1,250,000 + £2,000,000= £3,950,000</w:t>
      </w:r>
    </w:p>
    <w:p w14:paraId="6B82D065" w14:textId="77777777" w:rsidR="00BA74D8" w:rsidRPr="00D11634" w:rsidRDefault="002F79AA" w:rsidP="002F79AA">
      <w:pPr>
        <w:rPr>
          <w:rFonts w:cs="Times New Roman"/>
          <w:color w:val="000000" w:themeColor="text1"/>
          <w:sz w:val="24"/>
          <w:szCs w:val="24"/>
        </w:rPr>
      </w:pPr>
      <w:r w:rsidRPr="00D11634">
        <w:rPr>
          <w:rFonts w:cs="Times New Roman"/>
          <w:color w:val="000000" w:themeColor="text1"/>
          <w:sz w:val="24"/>
          <w:szCs w:val="24"/>
        </w:rPr>
        <w:tab/>
        <w:t xml:space="preserve">The available budget is not enough to sponsor all the three projects. In such cases, two approaches are generally taken. The first approach is taken if the projects are indivisible in nature. In such cases, the combinations of the projects are done to see how they can fit under the budget. The greatest NPV of those combinations are considered. </w:t>
      </w:r>
    </w:p>
    <w:p w14:paraId="71912D40" w14:textId="7883989E" w:rsidR="002F79AA" w:rsidRPr="00D11634" w:rsidRDefault="002F79AA" w:rsidP="00BA74D8">
      <w:pPr>
        <w:ind w:firstLine="720"/>
        <w:rPr>
          <w:rFonts w:cs="Times New Roman"/>
          <w:color w:val="000000" w:themeColor="text1"/>
          <w:sz w:val="24"/>
          <w:szCs w:val="24"/>
        </w:rPr>
      </w:pPr>
      <w:r w:rsidRPr="00D11634">
        <w:rPr>
          <w:rFonts w:cs="Times New Roman"/>
          <w:color w:val="000000" w:themeColor="text1"/>
          <w:sz w:val="24"/>
          <w:szCs w:val="24"/>
        </w:rPr>
        <w:lastRenderedPageBreak/>
        <w:t xml:space="preserve">The second method is applicable if the projects are divisible in nature. In this case, the projects i.e. Project A, Project B, and Project </w:t>
      </w:r>
      <w:proofErr w:type="spellStart"/>
      <w:r w:rsidRPr="00D11634">
        <w:rPr>
          <w:rFonts w:cs="Times New Roman"/>
          <w:color w:val="000000" w:themeColor="text1"/>
          <w:sz w:val="24"/>
          <w:szCs w:val="24"/>
        </w:rPr>
        <w:t>C are</w:t>
      </w:r>
      <w:proofErr w:type="spellEnd"/>
      <w:r w:rsidRPr="00D11634">
        <w:rPr>
          <w:rFonts w:cs="Times New Roman"/>
          <w:color w:val="000000" w:themeColor="text1"/>
          <w:sz w:val="24"/>
          <w:szCs w:val="24"/>
        </w:rPr>
        <w:t xml:space="preserve"> divisible in nature. In this case, the ratio of NPV and Initial Investment will be done. This ratio will help in ranking the project. By applying this principle, the following results are obtained: </w:t>
      </w:r>
    </w:p>
    <w:tbl>
      <w:tblPr>
        <w:tblStyle w:val="a3"/>
        <w:tblW w:w="9504" w:type="dxa"/>
        <w:tblLook w:val="04A0" w:firstRow="1" w:lastRow="0" w:firstColumn="1" w:lastColumn="0" w:noHBand="0" w:noVBand="1"/>
      </w:tblPr>
      <w:tblGrid>
        <w:gridCol w:w="3084"/>
        <w:gridCol w:w="1945"/>
        <w:gridCol w:w="1945"/>
        <w:gridCol w:w="2530"/>
      </w:tblGrid>
      <w:tr w:rsidR="00D11634" w:rsidRPr="00D11634" w14:paraId="42024F55" w14:textId="77777777" w:rsidTr="00CD5685">
        <w:trPr>
          <w:trHeight w:val="281"/>
        </w:trPr>
        <w:tc>
          <w:tcPr>
            <w:tcW w:w="3084" w:type="dxa"/>
            <w:noWrap/>
            <w:hideMark/>
          </w:tcPr>
          <w:p w14:paraId="6981DADF" w14:textId="77777777" w:rsidR="002F79AA" w:rsidRPr="00D11634" w:rsidRDefault="002F79AA" w:rsidP="004526F1">
            <w:pPr>
              <w:spacing w:line="240" w:lineRule="auto"/>
              <w:rPr>
                <w:rFonts w:eastAsia="Times New Roman" w:cs="Times New Roman"/>
                <w:color w:val="000000" w:themeColor="text1"/>
                <w:sz w:val="24"/>
                <w:szCs w:val="24"/>
                <w:lang w:val="en-US"/>
              </w:rPr>
            </w:pPr>
          </w:p>
        </w:tc>
        <w:tc>
          <w:tcPr>
            <w:tcW w:w="1945" w:type="dxa"/>
            <w:noWrap/>
            <w:hideMark/>
          </w:tcPr>
          <w:p w14:paraId="35B68922"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A</w:t>
            </w:r>
          </w:p>
        </w:tc>
        <w:tc>
          <w:tcPr>
            <w:tcW w:w="1945" w:type="dxa"/>
            <w:noWrap/>
            <w:hideMark/>
          </w:tcPr>
          <w:p w14:paraId="36B7BB50"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B</w:t>
            </w:r>
          </w:p>
        </w:tc>
        <w:tc>
          <w:tcPr>
            <w:tcW w:w="2530" w:type="dxa"/>
            <w:noWrap/>
            <w:hideMark/>
          </w:tcPr>
          <w:p w14:paraId="4199BD5C"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C</w:t>
            </w:r>
          </w:p>
        </w:tc>
      </w:tr>
      <w:tr w:rsidR="00D11634" w:rsidRPr="00D11634" w14:paraId="76F54E20" w14:textId="77777777" w:rsidTr="00CD5685">
        <w:trPr>
          <w:trHeight w:val="281"/>
        </w:trPr>
        <w:tc>
          <w:tcPr>
            <w:tcW w:w="3084" w:type="dxa"/>
            <w:noWrap/>
            <w:hideMark/>
          </w:tcPr>
          <w:p w14:paraId="6DAA52B5"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Initial Investment</w:t>
            </w:r>
          </w:p>
        </w:tc>
        <w:tc>
          <w:tcPr>
            <w:tcW w:w="1945" w:type="dxa"/>
            <w:noWrap/>
            <w:hideMark/>
          </w:tcPr>
          <w:p w14:paraId="3A33D9FF"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750</w:t>
            </w:r>
          </w:p>
        </w:tc>
        <w:tc>
          <w:tcPr>
            <w:tcW w:w="1945" w:type="dxa"/>
            <w:noWrap/>
            <w:hideMark/>
          </w:tcPr>
          <w:p w14:paraId="723EE95F"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1200</w:t>
            </w:r>
          </w:p>
        </w:tc>
        <w:tc>
          <w:tcPr>
            <w:tcW w:w="2530" w:type="dxa"/>
            <w:noWrap/>
            <w:hideMark/>
          </w:tcPr>
          <w:p w14:paraId="728BC444"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2000</w:t>
            </w:r>
          </w:p>
        </w:tc>
      </w:tr>
      <w:tr w:rsidR="00D11634" w:rsidRPr="00D11634" w14:paraId="42D273E0" w14:textId="77777777" w:rsidTr="00CD5685">
        <w:trPr>
          <w:trHeight w:val="281"/>
        </w:trPr>
        <w:tc>
          <w:tcPr>
            <w:tcW w:w="3084" w:type="dxa"/>
            <w:noWrap/>
            <w:hideMark/>
          </w:tcPr>
          <w:p w14:paraId="3BC31158"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NPV</w:t>
            </w:r>
          </w:p>
        </w:tc>
        <w:tc>
          <w:tcPr>
            <w:tcW w:w="1945" w:type="dxa"/>
            <w:noWrap/>
            <w:hideMark/>
          </w:tcPr>
          <w:p w14:paraId="457D3037"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624.9814184</w:t>
            </w:r>
          </w:p>
        </w:tc>
        <w:tc>
          <w:tcPr>
            <w:tcW w:w="1945" w:type="dxa"/>
            <w:noWrap/>
            <w:hideMark/>
          </w:tcPr>
          <w:p w14:paraId="6EAF8040"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876.697131</w:t>
            </w:r>
          </w:p>
        </w:tc>
        <w:tc>
          <w:tcPr>
            <w:tcW w:w="2530" w:type="dxa"/>
            <w:noWrap/>
            <w:hideMark/>
          </w:tcPr>
          <w:p w14:paraId="5DD80205"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1222.088623</w:t>
            </w:r>
          </w:p>
        </w:tc>
      </w:tr>
      <w:tr w:rsidR="002F79AA" w:rsidRPr="00D11634" w14:paraId="4F7734C5" w14:textId="77777777" w:rsidTr="00CD5685">
        <w:trPr>
          <w:trHeight w:val="281"/>
        </w:trPr>
        <w:tc>
          <w:tcPr>
            <w:tcW w:w="3084" w:type="dxa"/>
            <w:noWrap/>
            <w:hideMark/>
          </w:tcPr>
          <w:p w14:paraId="1EB42E18"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NPV/ Initial Investment</w:t>
            </w:r>
          </w:p>
        </w:tc>
        <w:tc>
          <w:tcPr>
            <w:tcW w:w="1945" w:type="dxa"/>
            <w:noWrap/>
            <w:hideMark/>
          </w:tcPr>
          <w:p w14:paraId="015920C5"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0.833308558</w:t>
            </w:r>
          </w:p>
        </w:tc>
        <w:tc>
          <w:tcPr>
            <w:tcW w:w="1945" w:type="dxa"/>
            <w:noWrap/>
            <w:hideMark/>
          </w:tcPr>
          <w:p w14:paraId="534AD512"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0.730580943</w:t>
            </w:r>
          </w:p>
        </w:tc>
        <w:tc>
          <w:tcPr>
            <w:tcW w:w="2530" w:type="dxa"/>
            <w:noWrap/>
            <w:hideMark/>
          </w:tcPr>
          <w:p w14:paraId="78DCF385"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0.611044312</w:t>
            </w:r>
          </w:p>
        </w:tc>
      </w:tr>
    </w:tbl>
    <w:p w14:paraId="2B30425C" w14:textId="77777777" w:rsidR="002F79AA" w:rsidRPr="00D11634" w:rsidRDefault="002F79AA" w:rsidP="002F79AA">
      <w:pPr>
        <w:rPr>
          <w:rFonts w:cs="Times New Roman"/>
          <w:color w:val="000000" w:themeColor="text1"/>
          <w:sz w:val="24"/>
          <w:szCs w:val="24"/>
        </w:rPr>
      </w:pPr>
    </w:p>
    <w:p w14:paraId="756E8043" w14:textId="14819B38" w:rsidR="002F79AA" w:rsidRPr="00D11634" w:rsidRDefault="002F79AA" w:rsidP="002F79AA">
      <w:pPr>
        <w:rPr>
          <w:rFonts w:cs="Times New Roman"/>
          <w:color w:val="000000" w:themeColor="text1"/>
          <w:sz w:val="24"/>
          <w:szCs w:val="24"/>
        </w:rPr>
      </w:pPr>
      <w:r w:rsidRPr="00D11634">
        <w:rPr>
          <w:rFonts w:cs="Times New Roman"/>
          <w:color w:val="000000" w:themeColor="text1"/>
          <w:sz w:val="24"/>
          <w:szCs w:val="24"/>
        </w:rPr>
        <w:tab/>
        <w:t xml:space="preserve">Thus, it can be seen that Project A is the best out of the three while Project C is the worst among them. Now the fund will be allocated based on the preference. Project A will get the full funding. If there is any remaining amount, then Project B will be funded. If there are still remaining amount, then that remaining portion will be invested in Project C. </w:t>
      </w:r>
    </w:p>
    <w:tbl>
      <w:tblPr>
        <w:tblStyle w:val="a3"/>
        <w:tblW w:w="9582" w:type="dxa"/>
        <w:tblLook w:val="04A0" w:firstRow="1" w:lastRow="0" w:firstColumn="1" w:lastColumn="0" w:noHBand="0" w:noVBand="1"/>
      </w:tblPr>
      <w:tblGrid>
        <w:gridCol w:w="2538"/>
        <w:gridCol w:w="1866"/>
        <w:gridCol w:w="1541"/>
        <w:gridCol w:w="1903"/>
        <w:gridCol w:w="1734"/>
      </w:tblGrid>
      <w:tr w:rsidR="00D11634" w:rsidRPr="00D11634" w14:paraId="11782F63" w14:textId="77777777" w:rsidTr="00CD5685">
        <w:trPr>
          <w:trHeight w:val="279"/>
        </w:trPr>
        <w:tc>
          <w:tcPr>
            <w:tcW w:w="2538" w:type="dxa"/>
            <w:noWrap/>
            <w:hideMark/>
          </w:tcPr>
          <w:p w14:paraId="2B3B7710"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Preferences</w:t>
            </w:r>
          </w:p>
        </w:tc>
        <w:tc>
          <w:tcPr>
            <w:tcW w:w="1866" w:type="dxa"/>
            <w:noWrap/>
            <w:hideMark/>
          </w:tcPr>
          <w:p w14:paraId="235369DF"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Projects</w:t>
            </w:r>
          </w:p>
        </w:tc>
        <w:tc>
          <w:tcPr>
            <w:tcW w:w="1541" w:type="dxa"/>
            <w:noWrap/>
            <w:hideMark/>
          </w:tcPr>
          <w:p w14:paraId="5211474F"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Investment (</w:t>
            </w:r>
            <w:r w:rsidRPr="00D11634">
              <w:rPr>
                <w:rFonts w:cs="Times New Roman"/>
                <w:color w:val="000000" w:themeColor="text1"/>
                <w:sz w:val="24"/>
                <w:szCs w:val="24"/>
              </w:rPr>
              <w:t>£000</w:t>
            </w:r>
            <w:r w:rsidRPr="00D11634">
              <w:rPr>
                <w:rFonts w:eastAsia="Times New Roman" w:cs="Times New Roman"/>
                <w:color w:val="000000" w:themeColor="text1"/>
                <w:sz w:val="24"/>
                <w:szCs w:val="24"/>
                <w:lang w:val="en-US"/>
              </w:rPr>
              <w:t>)</w:t>
            </w:r>
          </w:p>
        </w:tc>
        <w:tc>
          <w:tcPr>
            <w:tcW w:w="1903" w:type="dxa"/>
            <w:noWrap/>
            <w:hideMark/>
          </w:tcPr>
          <w:p w14:paraId="7BE97D7C" w14:textId="539AAF49"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Remaining Amount</w:t>
            </w:r>
            <w:r w:rsidR="00CD5685" w:rsidRPr="00D11634">
              <w:rPr>
                <w:rFonts w:eastAsia="Times New Roman" w:cs="Times New Roman"/>
                <w:color w:val="000000" w:themeColor="text1"/>
                <w:sz w:val="24"/>
                <w:szCs w:val="24"/>
                <w:lang w:val="en-US"/>
              </w:rPr>
              <w:t xml:space="preserve"> </w:t>
            </w:r>
            <w:r w:rsidRPr="00D11634">
              <w:rPr>
                <w:rFonts w:eastAsia="Times New Roman" w:cs="Times New Roman"/>
                <w:color w:val="000000" w:themeColor="text1"/>
                <w:sz w:val="24"/>
                <w:szCs w:val="24"/>
                <w:lang w:val="en-US"/>
              </w:rPr>
              <w:t>(</w:t>
            </w:r>
            <w:r w:rsidRPr="00D11634">
              <w:rPr>
                <w:rFonts w:cs="Times New Roman"/>
                <w:color w:val="000000" w:themeColor="text1"/>
                <w:sz w:val="24"/>
                <w:szCs w:val="24"/>
              </w:rPr>
              <w:t>£000</w:t>
            </w:r>
            <w:r w:rsidRPr="00D11634">
              <w:rPr>
                <w:rFonts w:eastAsia="Times New Roman" w:cs="Times New Roman"/>
                <w:color w:val="000000" w:themeColor="text1"/>
                <w:sz w:val="24"/>
                <w:szCs w:val="24"/>
                <w:lang w:val="en-US"/>
              </w:rPr>
              <w:t>)</w:t>
            </w:r>
          </w:p>
        </w:tc>
        <w:tc>
          <w:tcPr>
            <w:tcW w:w="1734" w:type="dxa"/>
            <w:noWrap/>
            <w:hideMark/>
          </w:tcPr>
          <w:p w14:paraId="477FEB71" w14:textId="70435BC8"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Resulting NPV</w:t>
            </w:r>
            <w:r w:rsidR="00CD5685" w:rsidRPr="00D11634">
              <w:rPr>
                <w:rFonts w:eastAsia="Times New Roman" w:cs="Times New Roman"/>
                <w:color w:val="000000" w:themeColor="text1"/>
                <w:sz w:val="24"/>
                <w:szCs w:val="24"/>
                <w:lang w:val="en-US"/>
              </w:rPr>
              <w:t xml:space="preserve"> </w:t>
            </w:r>
            <w:r w:rsidRPr="00D11634">
              <w:rPr>
                <w:rFonts w:eastAsia="Times New Roman" w:cs="Times New Roman"/>
                <w:color w:val="000000" w:themeColor="text1"/>
                <w:sz w:val="24"/>
                <w:szCs w:val="24"/>
                <w:lang w:val="en-US"/>
              </w:rPr>
              <w:t>(</w:t>
            </w:r>
            <w:r w:rsidRPr="00D11634">
              <w:rPr>
                <w:rFonts w:cs="Times New Roman"/>
                <w:color w:val="000000" w:themeColor="text1"/>
                <w:sz w:val="24"/>
                <w:szCs w:val="24"/>
              </w:rPr>
              <w:t>£000</w:t>
            </w:r>
            <w:r w:rsidRPr="00D11634">
              <w:rPr>
                <w:rFonts w:eastAsia="Times New Roman" w:cs="Times New Roman"/>
                <w:color w:val="000000" w:themeColor="text1"/>
                <w:sz w:val="24"/>
                <w:szCs w:val="24"/>
                <w:lang w:val="en-US"/>
              </w:rPr>
              <w:t>)</w:t>
            </w:r>
          </w:p>
        </w:tc>
      </w:tr>
      <w:tr w:rsidR="00D11634" w:rsidRPr="00D11634" w14:paraId="7E873CF4" w14:textId="77777777" w:rsidTr="00CD5685">
        <w:trPr>
          <w:trHeight w:val="279"/>
        </w:trPr>
        <w:tc>
          <w:tcPr>
            <w:tcW w:w="2538" w:type="dxa"/>
            <w:noWrap/>
            <w:hideMark/>
          </w:tcPr>
          <w:p w14:paraId="4ABE9A91"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1st Preference</w:t>
            </w:r>
          </w:p>
        </w:tc>
        <w:tc>
          <w:tcPr>
            <w:tcW w:w="1866" w:type="dxa"/>
            <w:noWrap/>
            <w:hideMark/>
          </w:tcPr>
          <w:p w14:paraId="0D3C8FF6"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A</w:t>
            </w:r>
          </w:p>
        </w:tc>
        <w:tc>
          <w:tcPr>
            <w:tcW w:w="1541" w:type="dxa"/>
            <w:noWrap/>
            <w:hideMark/>
          </w:tcPr>
          <w:p w14:paraId="676B7754"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750</w:t>
            </w:r>
          </w:p>
        </w:tc>
        <w:tc>
          <w:tcPr>
            <w:tcW w:w="1903" w:type="dxa"/>
            <w:noWrap/>
            <w:hideMark/>
          </w:tcPr>
          <w:p w14:paraId="20CDBCBE"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1750</w:t>
            </w:r>
          </w:p>
        </w:tc>
        <w:tc>
          <w:tcPr>
            <w:tcW w:w="1734" w:type="dxa"/>
            <w:noWrap/>
            <w:hideMark/>
          </w:tcPr>
          <w:p w14:paraId="0FCE75BB"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624.9814</w:t>
            </w:r>
          </w:p>
        </w:tc>
      </w:tr>
      <w:tr w:rsidR="00D11634" w:rsidRPr="00D11634" w14:paraId="43CE719F" w14:textId="77777777" w:rsidTr="00CD5685">
        <w:trPr>
          <w:trHeight w:val="279"/>
        </w:trPr>
        <w:tc>
          <w:tcPr>
            <w:tcW w:w="2538" w:type="dxa"/>
            <w:noWrap/>
            <w:hideMark/>
          </w:tcPr>
          <w:p w14:paraId="253A5B6C"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2nd Preference</w:t>
            </w:r>
          </w:p>
        </w:tc>
        <w:tc>
          <w:tcPr>
            <w:tcW w:w="1866" w:type="dxa"/>
            <w:noWrap/>
            <w:hideMark/>
          </w:tcPr>
          <w:p w14:paraId="4AD1FE99"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B</w:t>
            </w:r>
          </w:p>
        </w:tc>
        <w:tc>
          <w:tcPr>
            <w:tcW w:w="1541" w:type="dxa"/>
            <w:noWrap/>
            <w:hideMark/>
          </w:tcPr>
          <w:p w14:paraId="75210E8B"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1200</w:t>
            </w:r>
          </w:p>
        </w:tc>
        <w:tc>
          <w:tcPr>
            <w:tcW w:w="1903" w:type="dxa"/>
            <w:noWrap/>
            <w:hideMark/>
          </w:tcPr>
          <w:p w14:paraId="1037D7F8"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550</w:t>
            </w:r>
          </w:p>
        </w:tc>
        <w:tc>
          <w:tcPr>
            <w:tcW w:w="1734" w:type="dxa"/>
            <w:noWrap/>
            <w:hideMark/>
          </w:tcPr>
          <w:p w14:paraId="4965071B"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876.6971</w:t>
            </w:r>
          </w:p>
        </w:tc>
      </w:tr>
      <w:tr w:rsidR="00D11634" w:rsidRPr="00D11634" w14:paraId="14CEAA78" w14:textId="77777777" w:rsidTr="00CD5685">
        <w:trPr>
          <w:trHeight w:val="279"/>
        </w:trPr>
        <w:tc>
          <w:tcPr>
            <w:tcW w:w="2538" w:type="dxa"/>
            <w:noWrap/>
            <w:hideMark/>
          </w:tcPr>
          <w:p w14:paraId="61E9C04B"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3rd Preference</w:t>
            </w:r>
          </w:p>
        </w:tc>
        <w:tc>
          <w:tcPr>
            <w:tcW w:w="1866" w:type="dxa"/>
            <w:noWrap/>
            <w:hideMark/>
          </w:tcPr>
          <w:p w14:paraId="5F82EDC9" w14:textId="77777777" w:rsidR="002F79AA" w:rsidRPr="00D11634" w:rsidRDefault="002F79AA" w:rsidP="004526F1">
            <w:pPr>
              <w:spacing w:line="240" w:lineRule="auto"/>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Project C</w:t>
            </w:r>
          </w:p>
        </w:tc>
        <w:tc>
          <w:tcPr>
            <w:tcW w:w="1541" w:type="dxa"/>
            <w:noWrap/>
            <w:hideMark/>
          </w:tcPr>
          <w:p w14:paraId="3CE9317B"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550</w:t>
            </w:r>
          </w:p>
        </w:tc>
        <w:tc>
          <w:tcPr>
            <w:tcW w:w="1903" w:type="dxa"/>
            <w:noWrap/>
            <w:hideMark/>
          </w:tcPr>
          <w:p w14:paraId="591C0004"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0</w:t>
            </w:r>
          </w:p>
        </w:tc>
        <w:tc>
          <w:tcPr>
            <w:tcW w:w="1734" w:type="dxa"/>
            <w:noWrap/>
            <w:hideMark/>
          </w:tcPr>
          <w:p w14:paraId="22398C78" w14:textId="77777777" w:rsidR="002F79AA" w:rsidRPr="00D11634" w:rsidRDefault="002F79AA" w:rsidP="004526F1">
            <w:pPr>
              <w:spacing w:line="240" w:lineRule="auto"/>
              <w:jc w:val="right"/>
              <w:rPr>
                <w:rFonts w:eastAsia="Times New Roman" w:cs="Times New Roman"/>
                <w:color w:val="000000" w:themeColor="text1"/>
                <w:sz w:val="24"/>
                <w:szCs w:val="24"/>
                <w:lang w:val="en-US"/>
              </w:rPr>
            </w:pPr>
            <w:r w:rsidRPr="00D11634">
              <w:rPr>
                <w:rFonts w:eastAsia="Times New Roman" w:cs="Times New Roman"/>
                <w:color w:val="000000" w:themeColor="text1"/>
                <w:sz w:val="24"/>
                <w:szCs w:val="24"/>
                <w:lang w:val="en-US"/>
              </w:rPr>
              <w:t>336.0744</w:t>
            </w:r>
          </w:p>
        </w:tc>
      </w:tr>
      <w:tr w:rsidR="00D11634" w:rsidRPr="00D11634" w14:paraId="10537D77" w14:textId="77777777" w:rsidTr="00CD5685">
        <w:trPr>
          <w:trHeight w:val="279"/>
        </w:trPr>
        <w:tc>
          <w:tcPr>
            <w:tcW w:w="2538" w:type="dxa"/>
            <w:noWrap/>
            <w:hideMark/>
          </w:tcPr>
          <w:p w14:paraId="576E6D06" w14:textId="77777777" w:rsidR="002F79AA" w:rsidRPr="00D11634" w:rsidRDefault="002F79AA" w:rsidP="004526F1">
            <w:pPr>
              <w:spacing w:line="240" w:lineRule="auto"/>
              <w:rPr>
                <w:rFonts w:eastAsia="Times New Roman" w:cs="Times New Roman"/>
                <w:b/>
                <w:bCs/>
                <w:color w:val="000000" w:themeColor="text1"/>
                <w:sz w:val="24"/>
                <w:szCs w:val="24"/>
                <w:lang w:val="en-US"/>
              </w:rPr>
            </w:pPr>
            <w:r w:rsidRPr="00D11634">
              <w:rPr>
                <w:rFonts w:eastAsia="Times New Roman" w:cs="Times New Roman"/>
                <w:b/>
                <w:bCs/>
                <w:color w:val="000000" w:themeColor="text1"/>
                <w:sz w:val="24"/>
                <w:szCs w:val="24"/>
                <w:lang w:val="en-US"/>
              </w:rPr>
              <w:t>Total</w:t>
            </w:r>
          </w:p>
        </w:tc>
        <w:tc>
          <w:tcPr>
            <w:tcW w:w="1866" w:type="dxa"/>
            <w:noWrap/>
            <w:hideMark/>
          </w:tcPr>
          <w:p w14:paraId="42595832" w14:textId="77777777" w:rsidR="002F79AA" w:rsidRPr="00D11634" w:rsidRDefault="002F79AA" w:rsidP="004526F1">
            <w:pPr>
              <w:spacing w:line="240" w:lineRule="auto"/>
              <w:rPr>
                <w:rFonts w:eastAsia="Times New Roman" w:cs="Times New Roman"/>
                <w:b/>
                <w:bCs/>
                <w:color w:val="000000" w:themeColor="text1"/>
                <w:sz w:val="24"/>
                <w:szCs w:val="24"/>
                <w:lang w:val="en-US"/>
              </w:rPr>
            </w:pPr>
          </w:p>
        </w:tc>
        <w:tc>
          <w:tcPr>
            <w:tcW w:w="1541" w:type="dxa"/>
            <w:noWrap/>
            <w:hideMark/>
          </w:tcPr>
          <w:p w14:paraId="789947E8" w14:textId="77777777" w:rsidR="002F79AA" w:rsidRPr="00D11634" w:rsidRDefault="002F79AA" w:rsidP="004526F1">
            <w:pPr>
              <w:spacing w:line="240" w:lineRule="auto"/>
              <w:jc w:val="right"/>
              <w:rPr>
                <w:rFonts w:eastAsia="Times New Roman" w:cs="Times New Roman"/>
                <w:b/>
                <w:bCs/>
                <w:color w:val="000000" w:themeColor="text1"/>
                <w:sz w:val="24"/>
                <w:szCs w:val="24"/>
                <w:lang w:val="en-US"/>
              </w:rPr>
            </w:pPr>
            <w:r w:rsidRPr="00D11634">
              <w:rPr>
                <w:rFonts w:eastAsia="Times New Roman" w:cs="Times New Roman"/>
                <w:b/>
                <w:bCs/>
                <w:color w:val="000000" w:themeColor="text1"/>
                <w:sz w:val="24"/>
                <w:szCs w:val="24"/>
                <w:lang w:val="en-US"/>
              </w:rPr>
              <w:t>2500</w:t>
            </w:r>
          </w:p>
        </w:tc>
        <w:tc>
          <w:tcPr>
            <w:tcW w:w="1903" w:type="dxa"/>
            <w:noWrap/>
            <w:hideMark/>
          </w:tcPr>
          <w:p w14:paraId="2B689601" w14:textId="77777777" w:rsidR="002F79AA" w:rsidRPr="00D11634" w:rsidRDefault="002F79AA" w:rsidP="004526F1">
            <w:pPr>
              <w:spacing w:line="240" w:lineRule="auto"/>
              <w:jc w:val="right"/>
              <w:rPr>
                <w:rFonts w:eastAsia="Times New Roman" w:cs="Times New Roman"/>
                <w:b/>
                <w:bCs/>
                <w:color w:val="000000" w:themeColor="text1"/>
                <w:sz w:val="24"/>
                <w:szCs w:val="24"/>
                <w:lang w:val="en-US"/>
              </w:rPr>
            </w:pPr>
          </w:p>
        </w:tc>
        <w:tc>
          <w:tcPr>
            <w:tcW w:w="1734" w:type="dxa"/>
            <w:noWrap/>
            <w:hideMark/>
          </w:tcPr>
          <w:p w14:paraId="664F6E9D" w14:textId="77777777" w:rsidR="002F79AA" w:rsidRPr="00D11634" w:rsidRDefault="002F79AA" w:rsidP="004526F1">
            <w:pPr>
              <w:spacing w:line="240" w:lineRule="auto"/>
              <w:jc w:val="right"/>
              <w:rPr>
                <w:rFonts w:eastAsia="Times New Roman" w:cs="Times New Roman"/>
                <w:b/>
                <w:bCs/>
                <w:color w:val="000000" w:themeColor="text1"/>
                <w:sz w:val="24"/>
                <w:szCs w:val="24"/>
                <w:lang w:val="en-US"/>
              </w:rPr>
            </w:pPr>
            <w:r w:rsidRPr="00D11634">
              <w:rPr>
                <w:rFonts w:eastAsia="Times New Roman" w:cs="Times New Roman"/>
                <w:b/>
                <w:bCs/>
                <w:color w:val="000000" w:themeColor="text1"/>
                <w:sz w:val="24"/>
                <w:szCs w:val="24"/>
                <w:lang w:val="en-US"/>
              </w:rPr>
              <w:t>1837.753</w:t>
            </w:r>
          </w:p>
        </w:tc>
      </w:tr>
    </w:tbl>
    <w:p w14:paraId="372E2871" w14:textId="77777777" w:rsidR="002F79AA" w:rsidRPr="00D11634" w:rsidRDefault="002F79AA" w:rsidP="00BA74D8">
      <w:pPr>
        <w:spacing w:before="120"/>
        <w:rPr>
          <w:rFonts w:cs="Times New Roman"/>
          <w:color w:val="000000" w:themeColor="text1"/>
          <w:sz w:val="24"/>
          <w:szCs w:val="24"/>
        </w:rPr>
      </w:pPr>
      <w:r w:rsidRPr="00D11634">
        <w:rPr>
          <w:rFonts w:cs="Times New Roman"/>
          <w:color w:val="000000" w:themeColor="text1"/>
          <w:sz w:val="24"/>
          <w:szCs w:val="24"/>
        </w:rPr>
        <w:tab/>
        <w:t xml:space="preserve">In this case, it can be seen that Projects A and B can be funded completely. The remaining £550,000 is invested in Project C. Hence the Project C is divided and partially funded. The NPV of Project A and B will be same as it is completely funded. The NPV of Project C is calculated based on unitary method. </w:t>
      </w:r>
    </w:p>
    <w:p w14:paraId="00D24667" w14:textId="77777777" w:rsidR="002F79AA" w:rsidRPr="00D11634" w:rsidRDefault="002F79AA" w:rsidP="002F79AA">
      <w:pPr>
        <w:rPr>
          <w:rFonts w:cs="Times New Roman"/>
          <w:color w:val="000000" w:themeColor="text1"/>
          <w:sz w:val="24"/>
          <w:szCs w:val="24"/>
        </w:rPr>
      </w:pPr>
      <w:r w:rsidRPr="00D11634">
        <w:rPr>
          <w:rFonts w:cs="Times New Roman"/>
          <w:color w:val="000000" w:themeColor="text1"/>
          <w:sz w:val="24"/>
          <w:szCs w:val="24"/>
        </w:rPr>
        <w:t>Thus, from a total investment of £2,500,000, a total NPV of £</w:t>
      </w:r>
      <w:r w:rsidRPr="00D11634">
        <w:rPr>
          <w:rFonts w:eastAsia="Times New Roman" w:cs="Times New Roman"/>
          <w:color w:val="000000" w:themeColor="text1"/>
          <w:sz w:val="24"/>
          <w:szCs w:val="24"/>
          <w:lang w:val="en-US"/>
        </w:rPr>
        <w:t>1,837,753 is obtained.</w:t>
      </w:r>
    </w:p>
    <w:p w14:paraId="1DE39E9C" w14:textId="77777777" w:rsidR="001829C1" w:rsidRPr="00D11634" w:rsidRDefault="00AA65E2" w:rsidP="007A6F62">
      <w:pPr>
        <w:pStyle w:val="2"/>
        <w:rPr>
          <w:color w:val="000000" w:themeColor="text1"/>
        </w:rPr>
      </w:pPr>
      <w:bookmarkStart w:id="60" w:name="_Toc41614061"/>
      <w:bookmarkStart w:id="61" w:name="_Toc40997225"/>
      <w:r w:rsidRPr="00D11634">
        <w:rPr>
          <w:color w:val="000000" w:themeColor="text1"/>
        </w:rPr>
        <w:t>Conclusion</w:t>
      </w:r>
      <w:bookmarkEnd w:id="60"/>
      <w:r w:rsidRPr="00D11634">
        <w:rPr>
          <w:color w:val="000000" w:themeColor="text1"/>
        </w:rPr>
        <w:t xml:space="preserve"> </w:t>
      </w:r>
      <w:bookmarkEnd w:id="61"/>
    </w:p>
    <w:p w14:paraId="40487B33" w14:textId="77777777" w:rsidR="001829C1" w:rsidRPr="00D11634" w:rsidRDefault="002F79AA" w:rsidP="001829C1">
      <w:pPr>
        <w:rPr>
          <w:rFonts w:cs="Times New Roman"/>
          <w:color w:val="000000" w:themeColor="text1"/>
          <w:sz w:val="24"/>
          <w:szCs w:val="24"/>
        </w:rPr>
      </w:pPr>
      <w:r w:rsidRPr="00D11634">
        <w:rPr>
          <w:rFonts w:cs="Times New Roman"/>
          <w:color w:val="000000" w:themeColor="text1"/>
          <w:sz w:val="24"/>
          <w:szCs w:val="24"/>
        </w:rPr>
        <w:tab/>
      </w:r>
      <w:r w:rsidR="002B14FA" w:rsidRPr="00D11634">
        <w:rPr>
          <w:rFonts w:cs="Times New Roman"/>
          <w:color w:val="000000" w:themeColor="text1"/>
          <w:sz w:val="24"/>
          <w:szCs w:val="24"/>
        </w:rPr>
        <w:t>The findings in the report has indicated the fact that the option C among the three available investment options to the managers of Jefferson Plc</w:t>
      </w:r>
      <w:r w:rsidR="000C4E5A" w:rsidRPr="00D11634">
        <w:rPr>
          <w:rFonts w:cs="Times New Roman"/>
          <w:color w:val="000000" w:themeColor="text1"/>
          <w:sz w:val="24"/>
          <w:szCs w:val="24"/>
        </w:rPr>
        <w:t xml:space="preserve"> is the most suitable for investment. The main reason behind this decision is the net present value for option C is higher than the other two options available to the company. </w:t>
      </w:r>
      <w:r w:rsidR="000D0B95" w:rsidRPr="00D11634">
        <w:rPr>
          <w:rFonts w:cs="Times New Roman"/>
          <w:color w:val="000000" w:themeColor="text1"/>
          <w:sz w:val="24"/>
          <w:szCs w:val="24"/>
        </w:rPr>
        <w:t>Apart from the key findings, the study has also indicated the fact that the NPV and IRR methods are the two most useful methods for investment appraisal. The companies adopt these two methods because these methods consider the most important factors at the time of evaluating any investment option.</w:t>
      </w:r>
      <w:r w:rsidR="00EA7A23" w:rsidRPr="00D11634">
        <w:rPr>
          <w:rFonts w:cs="Times New Roman"/>
          <w:color w:val="000000" w:themeColor="text1"/>
          <w:sz w:val="24"/>
          <w:szCs w:val="24"/>
        </w:rPr>
        <w:t xml:space="preserve"> The report indicates that the NPV and IRR methods are capable of evaluating an investment option from critical perspective. </w:t>
      </w:r>
      <w:r w:rsidR="00894E9A" w:rsidRPr="00D11634">
        <w:rPr>
          <w:rFonts w:cs="Times New Roman"/>
          <w:color w:val="000000" w:themeColor="text1"/>
          <w:sz w:val="24"/>
          <w:szCs w:val="24"/>
        </w:rPr>
        <w:t xml:space="preserve">Though </w:t>
      </w:r>
      <w:r w:rsidR="00894E9A" w:rsidRPr="00D11634">
        <w:rPr>
          <w:rFonts w:cs="Times New Roman"/>
          <w:color w:val="000000" w:themeColor="text1"/>
          <w:sz w:val="24"/>
          <w:szCs w:val="24"/>
        </w:rPr>
        <w:lastRenderedPageBreak/>
        <w:t>the two methods involve some loopholes, these two methods can help in making the most logical investment decisions for the companies. According to the report, if the managers at Jefferson Plc invest in the option C, they can earn higher profit and return on the investment.</w:t>
      </w:r>
    </w:p>
    <w:p w14:paraId="37AB1F2B" w14:textId="77777777" w:rsidR="001829C1" w:rsidRPr="00D11634" w:rsidRDefault="001829C1">
      <w:pPr>
        <w:spacing w:line="259" w:lineRule="auto"/>
        <w:jc w:val="left"/>
        <w:rPr>
          <w:rFonts w:cs="Times New Roman"/>
          <w:color w:val="000000" w:themeColor="text1"/>
          <w:sz w:val="24"/>
          <w:szCs w:val="24"/>
        </w:rPr>
      </w:pPr>
      <w:r w:rsidRPr="00D11634">
        <w:rPr>
          <w:rFonts w:cs="Times New Roman"/>
          <w:color w:val="000000" w:themeColor="text1"/>
          <w:sz w:val="24"/>
          <w:szCs w:val="24"/>
        </w:rPr>
        <w:br w:type="page"/>
      </w:r>
    </w:p>
    <w:p w14:paraId="3AD7894A" w14:textId="77777777" w:rsidR="00AA65E2" w:rsidRPr="00D11634" w:rsidRDefault="001829C1" w:rsidP="007A6F62">
      <w:pPr>
        <w:pStyle w:val="1"/>
        <w:rPr>
          <w:color w:val="000000" w:themeColor="text1"/>
        </w:rPr>
      </w:pPr>
      <w:bookmarkStart w:id="62" w:name="_Toc41614062"/>
      <w:r w:rsidRPr="00D11634">
        <w:rPr>
          <w:color w:val="000000" w:themeColor="text1"/>
        </w:rPr>
        <w:lastRenderedPageBreak/>
        <w:t>References</w:t>
      </w:r>
      <w:bookmarkEnd w:id="62"/>
    </w:p>
    <w:p w14:paraId="79BABF76" w14:textId="77777777" w:rsidR="00F60C6A" w:rsidRPr="00D11634" w:rsidRDefault="00F60C6A" w:rsidP="00F60C6A">
      <w:pPr>
        <w:rPr>
          <w:color w:val="000000" w:themeColor="text1"/>
        </w:rPr>
      </w:pPr>
      <w:r w:rsidRPr="00D11634">
        <w:rPr>
          <w:color w:val="000000" w:themeColor="text1"/>
        </w:rPr>
        <w:t>Ahmad Zaidi, A.Z. and Tahir, N.S., 2019. Factors that influence investment decision making among potential individual investors in Malaysia. </w:t>
      </w:r>
      <w:r w:rsidRPr="00D11634">
        <w:rPr>
          <w:i/>
          <w:iCs/>
          <w:color w:val="000000" w:themeColor="text1"/>
        </w:rPr>
        <w:t>Advances in Business Research International Journal (ABRIJ)</w:t>
      </w:r>
      <w:r w:rsidRPr="00D11634">
        <w:rPr>
          <w:color w:val="000000" w:themeColor="text1"/>
        </w:rPr>
        <w:t>, </w:t>
      </w:r>
      <w:r w:rsidRPr="00D11634">
        <w:rPr>
          <w:i/>
          <w:iCs/>
          <w:color w:val="000000" w:themeColor="text1"/>
        </w:rPr>
        <w:t>5</w:t>
      </w:r>
      <w:r w:rsidRPr="00D11634">
        <w:rPr>
          <w:color w:val="000000" w:themeColor="text1"/>
        </w:rPr>
        <w:t>(1), pp.9-21.</w:t>
      </w:r>
    </w:p>
    <w:p w14:paraId="0C4FFB12" w14:textId="77777777" w:rsidR="00F60C6A" w:rsidRPr="00D11634" w:rsidRDefault="00F60C6A" w:rsidP="00F60C6A">
      <w:pPr>
        <w:rPr>
          <w:color w:val="000000" w:themeColor="text1"/>
        </w:rPr>
      </w:pPr>
      <w:proofErr w:type="spellStart"/>
      <w:r w:rsidRPr="00D11634">
        <w:rPr>
          <w:color w:val="000000" w:themeColor="text1"/>
        </w:rPr>
        <w:t>Alkaraan</w:t>
      </w:r>
      <w:proofErr w:type="spellEnd"/>
      <w:r w:rsidRPr="00D11634">
        <w:rPr>
          <w:color w:val="000000" w:themeColor="text1"/>
        </w:rPr>
        <w:t>, F., 2017. Strategic investment appraisal: multidisciplinary perspectives. </w:t>
      </w:r>
      <w:r w:rsidRPr="00D11634">
        <w:rPr>
          <w:i/>
          <w:iCs/>
          <w:color w:val="000000" w:themeColor="text1"/>
        </w:rPr>
        <w:t>Advances in Mergers and Acquisitions</w:t>
      </w:r>
      <w:r w:rsidRPr="00D11634">
        <w:rPr>
          <w:color w:val="000000" w:themeColor="text1"/>
        </w:rPr>
        <w:t>, pp.67.</w:t>
      </w:r>
    </w:p>
    <w:p w14:paraId="735F95E9" w14:textId="77777777" w:rsidR="00F60C6A" w:rsidRPr="00D11634" w:rsidRDefault="00F60C6A" w:rsidP="00F60C6A">
      <w:pPr>
        <w:rPr>
          <w:color w:val="000000" w:themeColor="text1"/>
        </w:rPr>
      </w:pPr>
      <w:r w:rsidRPr="00D11634">
        <w:rPr>
          <w:color w:val="000000" w:themeColor="text1"/>
        </w:rPr>
        <w:t>Arshad, A., 2012. Net present value is better than internal rate of return. </w:t>
      </w:r>
      <w:r w:rsidRPr="00D11634">
        <w:rPr>
          <w:i/>
          <w:iCs/>
          <w:color w:val="000000" w:themeColor="text1"/>
        </w:rPr>
        <w:t>Interdisciplinary journal of contemporary research in business</w:t>
      </w:r>
      <w:r w:rsidRPr="00D11634">
        <w:rPr>
          <w:color w:val="000000" w:themeColor="text1"/>
        </w:rPr>
        <w:t>, </w:t>
      </w:r>
      <w:r w:rsidRPr="00D11634">
        <w:rPr>
          <w:i/>
          <w:iCs/>
          <w:color w:val="000000" w:themeColor="text1"/>
        </w:rPr>
        <w:t>4</w:t>
      </w:r>
      <w:r w:rsidRPr="00D11634">
        <w:rPr>
          <w:color w:val="000000" w:themeColor="text1"/>
        </w:rPr>
        <w:t>(8), pp.211-219.</w:t>
      </w:r>
    </w:p>
    <w:p w14:paraId="35070A93" w14:textId="77777777" w:rsidR="00F60C6A" w:rsidRPr="00D11634" w:rsidRDefault="00F60C6A" w:rsidP="00F60C6A">
      <w:pPr>
        <w:rPr>
          <w:color w:val="000000" w:themeColor="text1"/>
        </w:rPr>
      </w:pPr>
      <w:r w:rsidRPr="00D11634">
        <w:rPr>
          <w:color w:val="000000" w:themeColor="text1"/>
        </w:rPr>
        <w:t>Baum, A.E. and Crosby, N., 2014. </w:t>
      </w:r>
      <w:r w:rsidRPr="00D11634">
        <w:rPr>
          <w:i/>
          <w:iCs/>
          <w:color w:val="000000" w:themeColor="text1"/>
        </w:rPr>
        <w:t>Property investment appraisal</w:t>
      </w:r>
      <w:r w:rsidRPr="00D11634">
        <w:rPr>
          <w:color w:val="000000" w:themeColor="text1"/>
        </w:rPr>
        <w:t>. John Wiley &amp; Sons.</w:t>
      </w:r>
    </w:p>
    <w:p w14:paraId="6A2D77DA" w14:textId="77777777" w:rsidR="00F60C6A" w:rsidRPr="00D11634" w:rsidRDefault="00F60C6A" w:rsidP="00F60C6A">
      <w:pPr>
        <w:rPr>
          <w:color w:val="000000" w:themeColor="text1"/>
        </w:rPr>
      </w:pPr>
      <w:r w:rsidRPr="00D11634">
        <w:rPr>
          <w:color w:val="000000" w:themeColor="text1"/>
        </w:rPr>
        <w:t>Bird, R.G. and McHugh, A.J., 1977. Financial ratios—an empirical study. </w:t>
      </w:r>
      <w:r w:rsidRPr="00D11634">
        <w:rPr>
          <w:i/>
          <w:iCs/>
          <w:color w:val="000000" w:themeColor="text1"/>
        </w:rPr>
        <w:t>Journal of Business Finance &amp; Accounting</w:t>
      </w:r>
      <w:r w:rsidRPr="00D11634">
        <w:rPr>
          <w:color w:val="000000" w:themeColor="text1"/>
        </w:rPr>
        <w:t>, </w:t>
      </w:r>
      <w:r w:rsidRPr="00D11634">
        <w:rPr>
          <w:i/>
          <w:iCs/>
          <w:color w:val="000000" w:themeColor="text1"/>
        </w:rPr>
        <w:t>4</w:t>
      </w:r>
      <w:r w:rsidRPr="00D11634">
        <w:rPr>
          <w:color w:val="000000" w:themeColor="text1"/>
        </w:rPr>
        <w:t>(1), pp.29-46.</w:t>
      </w:r>
    </w:p>
    <w:p w14:paraId="6D5BC6DA" w14:textId="77777777" w:rsidR="00F60C6A" w:rsidRPr="00D11634" w:rsidRDefault="00F60C6A" w:rsidP="00F60C6A">
      <w:pPr>
        <w:rPr>
          <w:color w:val="000000" w:themeColor="text1"/>
        </w:rPr>
      </w:pPr>
      <w:r w:rsidRPr="00D11634">
        <w:rPr>
          <w:color w:val="000000" w:themeColor="text1"/>
        </w:rPr>
        <w:t>Chan, F.T.S., Chan, M.H., Lau, H. and Ip, R.W.L., 2001. Investment appraisal techniques for advanced manufacturing technology (AMT): a literature review. </w:t>
      </w:r>
      <w:r w:rsidRPr="00D11634">
        <w:rPr>
          <w:i/>
          <w:iCs/>
          <w:color w:val="000000" w:themeColor="text1"/>
        </w:rPr>
        <w:t>Integrated Manufacturing Systems</w:t>
      </w:r>
      <w:r w:rsidRPr="00D11634">
        <w:rPr>
          <w:color w:val="000000" w:themeColor="text1"/>
        </w:rPr>
        <w:t>.</w:t>
      </w:r>
    </w:p>
    <w:p w14:paraId="74E87F2B" w14:textId="77777777" w:rsidR="00F60C6A" w:rsidRPr="00D11634" w:rsidRDefault="00F60C6A" w:rsidP="00F60C6A">
      <w:pPr>
        <w:rPr>
          <w:color w:val="000000" w:themeColor="text1"/>
        </w:rPr>
      </w:pPr>
      <w:proofErr w:type="spellStart"/>
      <w:r w:rsidRPr="00D11634">
        <w:rPr>
          <w:color w:val="000000" w:themeColor="text1"/>
        </w:rPr>
        <w:t>Faello</w:t>
      </w:r>
      <w:proofErr w:type="spellEnd"/>
      <w:r w:rsidRPr="00D11634">
        <w:rPr>
          <w:color w:val="000000" w:themeColor="text1"/>
        </w:rPr>
        <w:t>, J., 2015. Understanding the limitations of financial ratios. </w:t>
      </w:r>
      <w:r w:rsidRPr="00D11634">
        <w:rPr>
          <w:i/>
          <w:iCs/>
          <w:color w:val="000000" w:themeColor="text1"/>
        </w:rPr>
        <w:t>Academy of Accounting and Financial Studies Journal</w:t>
      </w:r>
      <w:r w:rsidRPr="00D11634">
        <w:rPr>
          <w:color w:val="000000" w:themeColor="text1"/>
        </w:rPr>
        <w:t>, </w:t>
      </w:r>
      <w:r w:rsidRPr="00D11634">
        <w:rPr>
          <w:i/>
          <w:iCs/>
          <w:color w:val="000000" w:themeColor="text1"/>
        </w:rPr>
        <w:t>19</w:t>
      </w:r>
      <w:r w:rsidRPr="00D11634">
        <w:rPr>
          <w:color w:val="000000" w:themeColor="text1"/>
        </w:rPr>
        <w:t>(3), pp.75.</w:t>
      </w:r>
    </w:p>
    <w:p w14:paraId="16639D12" w14:textId="77777777" w:rsidR="00F60C6A" w:rsidRPr="00D11634" w:rsidRDefault="00F60C6A" w:rsidP="00F60C6A">
      <w:pPr>
        <w:rPr>
          <w:rFonts w:cs="Times New Roman"/>
          <w:color w:val="000000" w:themeColor="text1"/>
          <w:sz w:val="24"/>
          <w:szCs w:val="24"/>
        </w:rPr>
      </w:pPr>
      <w:r w:rsidRPr="00D11634">
        <w:rPr>
          <w:rFonts w:cs="Times New Roman"/>
          <w:color w:val="000000" w:themeColor="text1"/>
          <w:sz w:val="24"/>
          <w:szCs w:val="24"/>
        </w:rPr>
        <w:t>Ft.com. 2019. </w:t>
      </w:r>
      <w:r w:rsidRPr="00D11634">
        <w:rPr>
          <w:rFonts w:cs="Times New Roman"/>
          <w:i/>
          <w:iCs/>
          <w:color w:val="000000" w:themeColor="text1"/>
          <w:sz w:val="24"/>
          <w:szCs w:val="24"/>
        </w:rPr>
        <w:t xml:space="preserve">Intertek Swings </w:t>
      </w:r>
      <w:proofErr w:type="gramStart"/>
      <w:r w:rsidRPr="00D11634">
        <w:rPr>
          <w:rFonts w:cs="Times New Roman"/>
          <w:i/>
          <w:iCs/>
          <w:color w:val="000000" w:themeColor="text1"/>
          <w:sz w:val="24"/>
          <w:szCs w:val="24"/>
        </w:rPr>
        <w:t>To</w:t>
      </w:r>
      <w:proofErr w:type="gramEnd"/>
      <w:r w:rsidRPr="00D11634">
        <w:rPr>
          <w:rFonts w:cs="Times New Roman"/>
          <w:i/>
          <w:iCs/>
          <w:color w:val="000000" w:themeColor="text1"/>
          <w:sz w:val="24"/>
          <w:szCs w:val="24"/>
        </w:rPr>
        <w:t xml:space="preserve"> Heavy Loss Amid Oil Pain</w:t>
      </w:r>
      <w:r w:rsidRPr="00D11634">
        <w:rPr>
          <w:rFonts w:cs="Times New Roman"/>
          <w:color w:val="000000" w:themeColor="text1"/>
          <w:sz w:val="24"/>
          <w:szCs w:val="24"/>
        </w:rPr>
        <w:t>. [online] Available at: &lt;https://www.ft.com/content/6ec83b2c-ac0e-3340-87b5-62bcc1e54646&gt; [Accessed 27 May 2020].</w:t>
      </w:r>
    </w:p>
    <w:p w14:paraId="068D662D" w14:textId="77777777" w:rsidR="00F60C6A" w:rsidRPr="00D11634" w:rsidRDefault="00F60C6A" w:rsidP="00F60C6A">
      <w:pPr>
        <w:rPr>
          <w:color w:val="000000" w:themeColor="text1"/>
        </w:rPr>
      </w:pPr>
      <w:proofErr w:type="spellStart"/>
      <w:r w:rsidRPr="00D11634">
        <w:rPr>
          <w:color w:val="000000" w:themeColor="text1"/>
        </w:rPr>
        <w:t>Gadoiu</w:t>
      </w:r>
      <w:proofErr w:type="spellEnd"/>
      <w:r w:rsidRPr="00D11634">
        <w:rPr>
          <w:color w:val="000000" w:themeColor="text1"/>
        </w:rPr>
        <w:t>, M., 2014. Advantages and limitations of the financial ratios used in the financial diagnosis of the enterprise. </w:t>
      </w:r>
      <w:r w:rsidRPr="00D11634">
        <w:rPr>
          <w:i/>
          <w:iCs/>
          <w:color w:val="000000" w:themeColor="text1"/>
        </w:rPr>
        <w:t>Scientific Bulletin-Economic Sciences</w:t>
      </w:r>
      <w:r w:rsidRPr="00D11634">
        <w:rPr>
          <w:color w:val="000000" w:themeColor="text1"/>
        </w:rPr>
        <w:t>, </w:t>
      </w:r>
      <w:r w:rsidRPr="00D11634">
        <w:rPr>
          <w:i/>
          <w:iCs/>
          <w:color w:val="000000" w:themeColor="text1"/>
        </w:rPr>
        <w:t>13</w:t>
      </w:r>
      <w:r w:rsidRPr="00D11634">
        <w:rPr>
          <w:color w:val="000000" w:themeColor="text1"/>
        </w:rPr>
        <w:t>(2), pp.87-95.</w:t>
      </w:r>
    </w:p>
    <w:p w14:paraId="79958D62" w14:textId="77777777" w:rsidR="00F60C6A" w:rsidRPr="00D11634" w:rsidRDefault="00F60C6A" w:rsidP="00F60C6A">
      <w:pPr>
        <w:rPr>
          <w:color w:val="000000" w:themeColor="text1"/>
        </w:rPr>
      </w:pPr>
      <w:r w:rsidRPr="00D11634">
        <w:rPr>
          <w:color w:val="000000" w:themeColor="text1"/>
        </w:rPr>
        <w:t>Kumbirai, M. and Webb, R., 2010. A financial ratio analysis of commercial bank performance in South Africa. </w:t>
      </w:r>
      <w:r w:rsidRPr="00D11634">
        <w:rPr>
          <w:i/>
          <w:iCs/>
          <w:color w:val="000000" w:themeColor="text1"/>
        </w:rPr>
        <w:t>African Review of Economics and Finance</w:t>
      </w:r>
      <w:r w:rsidRPr="00D11634">
        <w:rPr>
          <w:color w:val="000000" w:themeColor="text1"/>
        </w:rPr>
        <w:t>, </w:t>
      </w:r>
      <w:r w:rsidRPr="00D11634">
        <w:rPr>
          <w:i/>
          <w:iCs/>
          <w:color w:val="000000" w:themeColor="text1"/>
        </w:rPr>
        <w:t>2</w:t>
      </w:r>
      <w:r w:rsidRPr="00D11634">
        <w:rPr>
          <w:color w:val="000000" w:themeColor="text1"/>
        </w:rPr>
        <w:t>(1), pp.30-53.</w:t>
      </w:r>
    </w:p>
    <w:p w14:paraId="795DDBEA" w14:textId="77777777" w:rsidR="00F60C6A" w:rsidRPr="00D11634" w:rsidRDefault="00F60C6A" w:rsidP="00F60C6A">
      <w:pPr>
        <w:rPr>
          <w:color w:val="000000" w:themeColor="text1"/>
        </w:rPr>
      </w:pPr>
      <w:r w:rsidRPr="00D11634">
        <w:rPr>
          <w:color w:val="000000" w:themeColor="text1"/>
        </w:rPr>
        <w:t>Lee, C.F. and Wu, C., 1988. Expectation formation and financial ratio adjustment processes. </w:t>
      </w:r>
      <w:r w:rsidRPr="00D11634">
        <w:rPr>
          <w:i/>
          <w:iCs/>
          <w:color w:val="000000" w:themeColor="text1"/>
        </w:rPr>
        <w:t>Accounting Review</w:t>
      </w:r>
      <w:r w:rsidRPr="00D11634">
        <w:rPr>
          <w:color w:val="000000" w:themeColor="text1"/>
        </w:rPr>
        <w:t>, pp.292-306.</w:t>
      </w:r>
    </w:p>
    <w:p w14:paraId="20CA8ED4" w14:textId="77777777" w:rsidR="00F60C6A" w:rsidRPr="00D11634" w:rsidRDefault="00F60C6A" w:rsidP="00F60C6A">
      <w:pPr>
        <w:rPr>
          <w:color w:val="000000" w:themeColor="text1"/>
        </w:rPr>
      </w:pPr>
      <w:proofErr w:type="spellStart"/>
      <w:r w:rsidRPr="00D11634">
        <w:rPr>
          <w:color w:val="000000" w:themeColor="text1"/>
        </w:rPr>
        <w:t>Lesakova</w:t>
      </w:r>
      <w:proofErr w:type="spellEnd"/>
      <w:r w:rsidRPr="00D11634">
        <w:rPr>
          <w:color w:val="000000" w:themeColor="text1"/>
        </w:rPr>
        <w:t>, L., 2007, June. Uses and limitations of profitability ratio analysis in managerial practice. In </w:t>
      </w:r>
      <w:r w:rsidRPr="00D11634">
        <w:rPr>
          <w:i/>
          <w:iCs/>
          <w:color w:val="000000" w:themeColor="text1"/>
        </w:rPr>
        <w:t>International Conference on Management, Enterprise and Benchmarking</w:t>
      </w:r>
      <w:r w:rsidRPr="00D11634">
        <w:rPr>
          <w:color w:val="000000" w:themeColor="text1"/>
        </w:rPr>
        <w:t> (pp. 1-2).</w:t>
      </w:r>
    </w:p>
    <w:p w14:paraId="15D6275F" w14:textId="77777777" w:rsidR="00F60C6A" w:rsidRPr="00D11634" w:rsidRDefault="00F60C6A" w:rsidP="00F60C6A">
      <w:pPr>
        <w:rPr>
          <w:color w:val="000000" w:themeColor="text1"/>
        </w:rPr>
      </w:pPr>
      <w:r w:rsidRPr="00D11634">
        <w:rPr>
          <w:color w:val="000000" w:themeColor="text1"/>
        </w:rPr>
        <w:t>Linares-</w:t>
      </w:r>
      <w:proofErr w:type="spellStart"/>
      <w:r w:rsidRPr="00D11634">
        <w:rPr>
          <w:color w:val="000000" w:themeColor="text1"/>
        </w:rPr>
        <w:t>Mustarós</w:t>
      </w:r>
      <w:proofErr w:type="spellEnd"/>
      <w:r w:rsidRPr="00D11634">
        <w:rPr>
          <w:color w:val="000000" w:themeColor="text1"/>
        </w:rPr>
        <w:t xml:space="preserve">, S., </w:t>
      </w:r>
      <w:proofErr w:type="spellStart"/>
      <w:r w:rsidRPr="00D11634">
        <w:rPr>
          <w:color w:val="000000" w:themeColor="text1"/>
        </w:rPr>
        <w:t>Coenders</w:t>
      </w:r>
      <w:proofErr w:type="spellEnd"/>
      <w:r w:rsidRPr="00D11634">
        <w:rPr>
          <w:color w:val="000000" w:themeColor="text1"/>
        </w:rPr>
        <w:t xml:space="preserve">, G. and </w:t>
      </w:r>
      <w:proofErr w:type="spellStart"/>
      <w:r w:rsidRPr="00D11634">
        <w:rPr>
          <w:color w:val="000000" w:themeColor="text1"/>
        </w:rPr>
        <w:t>Vives-Mestres</w:t>
      </w:r>
      <w:proofErr w:type="spellEnd"/>
      <w:r w:rsidRPr="00D11634">
        <w:rPr>
          <w:color w:val="000000" w:themeColor="text1"/>
        </w:rPr>
        <w:t>, M., 2018. Financial performance and distress profiles. From classification according to financial ratios to compositional classification. </w:t>
      </w:r>
      <w:r w:rsidRPr="00D11634">
        <w:rPr>
          <w:i/>
          <w:iCs/>
          <w:color w:val="000000" w:themeColor="text1"/>
        </w:rPr>
        <w:t>Advances in Accounting</w:t>
      </w:r>
      <w:r w:rsidRPr="00D11634">
        <w:rPr>
          <w:color w:val="000000" w:themeColor="text1"/>
        </w:rPr>
        <w:t>, </w:t>
      </w:r>
      <w:r w:rsidRPr="00D11634">
        <w:rPr>
          <w:i/>
          <w:iCs/>
          <w:color w:val="000000" w:themeColor="text1"/>
        </w:rPr>
        <w:t>40</w:t>
      </w:r>
      <w:r w:rsidRPr="00D11634">
        <w:rPr>
          <w:color w:val="000000" w:themeColor="text1"/>
        </w:rPr>
        <w:t>, pp.1-10.</w:t>
      </w:r>
    </w:p>
    <w:p w14:paraId="53B11E82" w14:textId="77777777" w:rsidR="00F60C6A" w:rsidRPr="00D11634" w:rsidRDefault="00F60C6A" w:rsidP="00F60C6A">
      <w:pPr>
        <w:rPr>
          <w:color w:val="000000" w:themeColor="text1"/>
        </w:rPr>
      </w:pPr>
      <w:r w:rsidRPr="00D11634">
        <w:rPr>
          <w:color w:val="000000" w:themeColor="text1"/>
        </w:rPr>
        <w:lastRenderedPageBreak/>
        <w:t xml:space="preserve">Lukas, E. and </w:t>
      </w:r>
      <w:proofErr w:type="spellStart"/>
      <w:r w:rsidRPr="00D11634">
        <w:rPr>
          <w:color w:val="000000" w:themeColor="text1"/>
        </w:rPr>
        <w:t>Thiergart</w:t>
      </w:r>
      <w:proofErr w:type="spellEnd"/>
      <w:r w:rsidRPr="00D11634">
        <w:rPr>
          <w:color w:val="000000" w:themeColor="text1"/>
        </w:rPr>
        <w:t>, S., 2019. The interaction of debt financing, cash grants and the optimal investment policy under uncertainty. </w:t>
      </w:r>
      <w:r w:rsidRPr="00D11634">
        <w:rPr>
          <w:i/>
          <w:iCs/>
          <w:color w:val="000000" w:themeColor="text1"/>
        </w:rPr>
        <w:t>European Journal of Operational Research</w:t>
      </w:r>
      <w:r w:rsidRPr="00D11634">
        <w:rPr>
          <w:color w:val="000000" w:themeColor="text1"/>
        </w:rPr>
        <w:t>, </w:t>
      </w:r>
      <w:r w:rsidRPr="00D11634">
        <w:rPr>
          <w:i/>
          <w:iCs/>
          <w:color w:val="000000" w:themeColor="text1"/>
        </w:rPr>
        <w:t>276</w:t>
      </w:r>
      <w:r w:rsidRPr="00D11634">
        <w:rPr>
          <w:color w:val="000000" w:themeColor="text1"/>
        </w:rPr>
        <w:t>(1), pp.284-299.</w:t>
      </w:r>
    </w:p>
    <w:p w14:paraId="4CEC4781" w14:textId="77777777" w:rsidR="00F60C6A" w:rsidRPr="00D11634" w:rsidRDefault="00F60C6A" w:rsidP="00F60C6A">
      <w:pPr>
        <w:rPr>
          <w:color w:val="000000" w:themeColor="text1"/>
        </w:rPr>
      </w:pPr>
      <w:r w:rsidRPr="00D11634">
        <w:rPr>
          <w:color w:val="000000" w:themeColor="text1"/>
        </w:rPr>
        <w:t>Lumby, S., 1981. </w:t>
      </w:r>
      <w:r w:rsidRPr="00D11634">
        <w:rPr>
          <w:i/>
          <w:iCs/>
          <w:color w:val="000000" w:themeColor="text1"/>
        </w:rPr>
        <w:t>Investment appraisal and related decisions</w:t>
      </w:r>
      <w:r w:rsidRPr="00D11634">
        <w:rPr>
          <w:color w:val="000000" w:themeColor="text1"/>
        </w:rPr>
        <w:t>. London: Nelson.</w:t>
      </w:r>
    </w:p>
    <w:p w14:paraId="1F7FF762" w14:textId="77777777" w:rsidR="00F60C6A" w:rsidRPr="00D11634" w:rsidRDefault="00F60C6A" w:rsidP="00F60C6A">
      <w:pPr>
        <w:rPr>
          <w:color w:val="000000" w:themeColor="text1"/>
        </w:rPr>
      </w:pPr>
      <w:proofErr w:type="spellStart"/>
      <w:r w:rsidRPr="00D11634">
        <w:rPr>
          <w:color w:val="000000" w:themeColor="text1"/>
        </w:rPr>
        <w:t>Magni</w:t>
      </w:r>
      <w:proofErr w:type="spellEnd"/>
      <w:r w:rsidRPr="00D11634">
        <w:rPr>
          <w:color w:val="000000" w:themeColor="text1"/>
        </w:rPr>
        <w:t>, C.A., 2010. Average internal rate of return and investment decisions: a new perspective. </w:t>
      </w:r>
      <w:r w:rsidRPr="00D11634">
        <w:rPr>
          <w:i/>
          <w:iCs/>
          <w:color w:val="000000" w:themeColor="text1"/>
        </w:rPr>
        <w:t>The Engineering Economist</w:t>
      </w:r>
      <w:r w:rsidRPr="00D11634">
        <w:rPr>
          <w:color w:val="000000" w:themeColor="text1"/>
        </w:rPr>
        <w:t>, </w:t>
      </w:r>
      <w:r w:rsidRPr="00D11634">
        <w:rPr>
          <w:i/>
          <w:iCs/>
          <w:color w:val="000000" w:themeColor="text1"/>
        </w:rPr>
        <w:t>55</w:t>
      </w:r>
      <w:r w:rsidRPr="00D11634">
        <w:rPr>
          <w:color w:val="000000" w:themeColor="text1"/>
        </w:rPr>
        <w:t>(2), pp.150-180.</w:t>
      </w:r>
    </w:p>
    <w:p w14:paraId="0B422413" w14:textId="77777777" w:rsidR="00F60C6A" w:rsidRPr="00D11634" w:rsidRDefault="00F60C6A" w:rsidP="00F60C6A">
      <w:pPr>
        <w:rPr>
          <w:color w:val="000000" w:themeColor="text1"/>
        </w:rPr>
      </w:pPr>
      <w:proofErr w:type="spellStart"/>
      <w:r w:rsidRPr="00D11634">
        <w:rPr>
          <w:color w:val="000000" w:themeColor="text1"/>
        </w:rPr>
        <w:t>Massardi</w:t>
      </w:r>
      <w:proofErr w:type="spellEnd"/>
      <w:r w:rsidRPr="00D11634">
        <w:rPr>
          <w:color w:val="000000" w:themeColor="text1"/>
        </w:rPr>
        <w:t>, A.E. and Utama, D.N., 2018, September. Business intelligence design of rural bank performance assessment using financial ratio analysis. In </w:t>
      </w:r>
      <w:r w:rsidRPr="00D11634">
        <w:rPr>
          <w:i/>
          <w:iCs/>
          <w:color w:val="000000" w:themeColor="text1"/>
        </w:rPr>
        <w:t>2018 International Conference on Information Management and Technology (</w:t>
      </w:r>
      <w:proofErr w:type="spellStart"/>
      <w:r w:rsidRPr="00D11634">
        <w:rPr>
          <w:i/>
          <w:iCs/>
          <w:color w:val="000000" w:themeColor="text1"/>
        </w:rPr>
        <w:t>ICIMTech</w:t>
      </w:r>
      <w:proofErr w:type="spellEnd"/>
      <w:r w:rsidRPr="00D11634">
        <w:rPr>
          <w:i/>
          <w:iCs/>
          <w:color w:val="000000" w:themeColor="text1"/>
        </w:rPr>
        <w:t>)</w:t>
      </w:r>
      <w:r w:rsidRPr="00D11634">
        <w:rPr>
          <w:color w:val="000000" w:themeColor="text1"/>
        </w:rPr>
        <w:t> (pp. 143-148). IEEE.</w:t>
      </w:r>
    </w:p>
    <w:p w14:paraId="036EAC98" w14:textId="77777777" w:rsidR="00F60C6A" w:rsidRPr="00D11634" w:rsidRDefault="00F60C6A" w:rsidP="00F60C6A">
      <w:pPr>
        <w:rPr>
          <w:color w:val="000000" w:themeColor="text1"/>
        </w:rPr>
      </w:pPr>
      <w:r w:rsidRPr="00D11634">
        <w:rPr>
          <w:color w:val="000000" w:themeColor="text1"/>
        </w:rPr>
        <w:t>Nishihara, M., Sarkar, S. and Zhang, C., 2019. Agency cost of debt overhang with optimal investment timing and size. </w:t>
      </w:r>
      <w:r w:rsidRPr="00D11634">
        <w:rPr>
          <w:i/>
          <w:iCs/>
          <w:color w:val="000000" w:themeColor="text1"/>
        </w:rPr>
        <w:t>Journal of Business Finance &amp; Accounting</w:t>
      </w:r>
      <w:r w:rsidRPr="00D11634">
        <w:rPr>
          <w:color w:val="000000" w:themeColor="text1"/>
        </w:rPr>
        <w:t>, </w:t>
      </w:r>
      <w:r w:rsidRPr="00D11634">
        <w:rPr>
          <w:i/>
          <w:iCs/>
          <w:color w:val="000000" w:themeColor="text1"/>
        </w:rPr>
        <w:t>46</w:t>
      </w:r>
      <w:r w:rsidRPr="00D11634">
        <w:rPr>
          <w:color w:val="000000" w:themeColor="text1"/>
        </w:rPr>
        <w:t>(5-6), pp.784-809.</w:t>
      </w:r>
    </w:p>
    <w:p w14:paraId="47E005D4" w14:textId="77777777" w:rsidR="00F60C6A" w:rsidRPr="00D11634" w:rsidRDefault="00F60C6A" w:rsidP="00F60C6A">
      <w:pPr>
        <w:pStyle w:val="a7"/>
        <w:ind w:left="0" w:firstLine="0"/>
        <w:rPr>
          <w:rFonts w:cs="Times New Roman"/>
          <w:color w:val="000000" w:themeColor="text1"/>
          <w:szCs w:val="24"/>
          <w:shd w:val="clear" w:color="auto" w:fill="FFFFFF"/>
        </w:rPr>
      </w:pPr>
      <w:r w:rsidRPr="00D11634">
        <w:rPr>
          <w:rFonts w:cs="Times New Roman"/>
          <w:color w:val="000000" w:themeColor="text1"/>
          <w:szCs w:val="24"/>
          <w:shd w:val="clear" w:color="auto" w:fill="FFFFFF"/>
        </w:rPr>
        <w:t>SGSN, S., 2019. </w:t>
      </w:r>
      <w:r w:rsidRPr="00D11634">
        <w:rPr>
          <w:rFonts w:cs="Times New Roman"/>
          <w:i/>
          <w:iCs/>
          <w:color w:val="000000" w:themeColor="text1"/>
          <w:szCs w:val="24"/>
          <w:shd w:val="clear" w:color="auto" w:fill="FFFFFF"/>
        </w:rPr>
        <w:t>SGS (SGSN) Financial Ratios</w:t>
      </w:r>
      <w:r w:rsidRPr="00D11634">
        <w:rPr>
          <w:rFonts w:cs="Times New Roman"/>
          <w:color w:val="000000" w:themeColor="text1"/>
          <w:szCs w:val="24"/>
          <w:shd w:val="clear" w:color="auto" w:fill="FFFFFF"/>
        </w:rPr>
        <w:t>. [online] Investing.com. Available at: &lt;https://www.investing.com/equities/sgs-ratios&gt; [Accessed 27 May 2020].</w:t>
      </w:r>
    </w:p>
    <w:p w14:paraId="784C8235" w14:textId="77777777" w:rsidR="00F60C6A" w:rsidRPr="00D11634" w:rsidRDefault="00F60C6A" w:rsidP="00F60C6A">
      <w:pPr>
        <w:rPr>
          <w:color w:val="000000" w:themeColor="text1"/>
        </w:rPr>
      </w:pPr>
      <w:r w:rsidRPr="00D11634">
        <w:rPr>
          <w:color w:val="000000" w:themeColor="text1"/>
        </w:rPr>
        <w:t xml:space="preserve">Shahab, Y., Ye, Z., Riaz, Y. and </w:t>
      </w:r>
      <w:proofErr w:type="spellStart"/>
      <w:r w:rsidRPr="00D11634">
        <w:rPr>
          <w:color w:val="000000" w:themeColor="text1"/>
        </w:rPr>
        <w:t>Ntim</w:t>
      </w:r>
      <w:proofErr w:type="spellEnd"/>
      <w:r w:rsidRPr="00D11634">
        <w:rPr>
          <w:color w:val="000000" w:themeColor="text1"/>
        </w:rPr>
        <w:t>, C.G., 2019. Individual’s financial investment decision-making in reward-based crowdfunding: Evidence from China. </w:t>
      </w:r>
      <w:r w:rsidRPr="00D11634">
        <w:rPr>
          <w:i/>
          <w:iCs/>
          <w:color w:val="000000" w:themeColor="text1"/>
        </w:rPr>
        <w:t>Applied Economics Letters</w:t>
      </w:r>
      <w:r w:rsidRPr="00D11634">
        <w:rPr>
          <w:color w:val="000000" w:themeColor="text1"/>
        </w:rPr>
        <w:t>, </w:t>
      </w:r>
      <w:r w:rsidRPr="00D11634">
        <w:rPr>
          <w:i/>
          <w:iCs/>
          <w:color w:val="000000" w:themeColor="text1"/>
        </w:rPr>
        <w:t>26</w:t>
      </w:r>
      <w:r w:rsidRPr="00D11634">
        <w:rPr>
          <w:color w:val="000000" w:themeColor="text1"/>
        </w:rPr>
        <w:t>(4), pp.261-266.</w:t>
      </w:r>
    </w:p>
    <w:p w14:paraId="2A2C368C" w14:textId="77777777" w:rsidR="00F60C6A" w:rsidRPr="00D11634" w:rsidRDefault="00F60C6A" w:rsidP="00F60C6A">
      <w:pPr>
        <w:rPr>
          <w:color w:val="000000" w:themeColor="text1"/>
        </w:rPr>
      </w:pPr>
      <w:r w:rsidRPr="00D11634">
        <w:rPr>
          <w:color w:val="000000" w:themeColor="text1"/>
        </w:rPr>
        <w:t>Tamari, M., 1978. </w:t>
      </w:r>
      <w:r w:rsidRPr="00D11634">
        <w:rPr>
          <w:i/>
          <w:iCs/>
          <w:color w:val="000000" w:themeColor="text1"/>
        </w:rPr>
        <w:t>Financial ratios: Analysis and prediction</w:t>
      </w:r>
      <w:r w:rsidRPr="00D11634">
        <w:rPr>
          <w:color w:val="000000" w:themeColor="text1"/>
        </w:rPr>
        <w:t xml:space="preserve">. P. </w:t>
      </w:r>
      <w:proofErr w:type="spellStart"/>
      <w:r w:rsidRPr="00D11634">
        <w:rPr>
          <w:color w:val="000000" w:themeColor="text1"/>
        </w:rPr>
        <w:t>Elek</w:t>
      </w:r>
      <w:proofErr w:type="spellEnd"/>
      <w:r w:rsidRPr="00D11634">
        <w:rPr>
          <w:color w:val="000000" w:themeColor="text1"/>
        </w:rPr>
        <w:t>.</w:t>
      </w:r>
    </w:p>
    <w:p w14:paraId="7D35661B" w14:textId="77777777" w:rsidR="00F60C6A" w:rsidRPr="00D11634" w:rsidRDefault="00F60C6A" w:rsidP="00F60C6A">
      <w:pPr>
        <w:rPr>
          <w:color w:val="000000" w:themeColor="text1"/>
        </w:rPr>
      </w:pPr>
      <w:r w:rsidRPr="00D11634">
        <w:rPr>
          <w:color w:val="000000" w:themeColor="text1"/>
        </w:rPr>
        <w:t>Weber, T.A., 2014. On the (non-) equivalence of IRR and NPV. </w:t>
      </w:r>
      <w:r w:rsidRPr="00D11634">
        <w:rPr>
          <w:i/>
          <w:iCs/>
          <w:color w:val="000000" w:themeColor="text1"/>
        </w:rPr>
        <w:t>Journal of Mathematical Economics</w:t>
      </w:r>
      <w:r w:rsidRPr="00D11634">
        <w:rPr>
          <w:color w:val="000000" w:themeColor="text1"/>
        </w:rPr>
        <w:t>, </w:t>
      </w:r>
      <w:r w:rsidRPr="00D11634">
        <w:rPr>
          <w:i/>
          <w:iCs/>
          <w:color w:val="000000" w:themeColor="text1"/>
        </w:rPr>
        <w:t>52</w:t>
      </w:r>
      <w:r w:rsidRPr="00D11634">
        <w:rPr>
          <w:color w:val="000000" w:themeColor="text1"/>
        </w:rPr>
        <w:t>, pp.25-39.</w:t>
      </w:r>
    </w:p>
    <w:p w14:paraId="049B246E" w14:textId="77777777" w:rsidR="00F60C6A" w:rsidRPr="00D11634" w:rsidRDefault="00F60C6A" w:rsidP="00F60C6A">
      <w:pPr>
        <w:rPr>
          <w:color w:val="000000" w:themeColor="text1"/>
        </w:rPr>
      </w:pPr>
      <w:proofErr w:type="spellStart"/>
      <w:r w:rsidRPr="00D11634">
        <w:rPr>
          <w:color w:val="000000" w:themeColor="text1"/>
        </w:rPr>
        <w:t>Wijesuriya</w:t>
      </w:r>
      <w:proofErr w:type="spellEnd"/>
      <w:r w:rsidRPr="00D11634">
        <w:rPr>
          <w:color w:val="000000" w:themeColor="text1"/>
        </w:rPr>
        <w:t xml:space="preserve">, D.T.P., </w:t>
      </w:r>
      <w:proofErr w:type="spellStart"/>
      <w:r w:rsidRPr="00D11634">
        <w:rPr>
          <w:color w:val="000000" w:themeColor="text1"/>
        </w:rPr>
        <w:t>Wickramathilaka</w:t>
      </w:r>
      <w:proofErr w:type="spellEnd"/>
      <w:r w:rsidRPr="00D11634">
        <w:rPr>
          <w:color w:val="000000" w:themeColor="text1"/>
        </w:rPr>
        <w:t xml:space="preserve">, K.D.S.H., </w:t>
      </w:r>
      <w:proofErr w:type="spellStart"/>
      <w:r w:rsidRPr="00D11634">
        <w:rPr>
          <w:color w:val="000000" w:themeColor="text1"/>
        </w:rPr>
        <w:t>Wijesinghe</w:t>
      </w:r>
      <w:proofErr w:type="spellEnd"/>
      <w:r w:rsidRPr="00D11634">
        <w:rPr>
          <w:color w:val="000000" w:themeColor="text1"/>
        </w:rPr>
        <w:t xml:space="preserve">, L.S., </w:t>
      </w:r>
      <w:proofErr w:type="spellStart"/>
      <w:r w:rsidRPr="00D11634">
        <w:rPr>
          <w:color w:val="000000" w:themeColor="text1"/>
        </w:rPr>
        <w:t>Vithana</w:t>
      </w:r>
      <w:proofErr w:type="spellEnd"/>
      <w:r w:rsidRPr="00D11634">
        <w:rPr>
          <w:color w:val="000000" w:themeColor="text1"/>
        </w:rPr>
        <w:t xml:space="preserve">, D.M. and </w:t>
      </w:r>
      <w:proofErr w:type="spellStart"/>
      <w:r w:rsidRPr="00D11634">
        <w:rPr>
          <w:color w:val="000000" w:themeColor="text1"/>
        </w:rPr>
        <w:t>Perera</w:t>
      </w:r>
      <w:proofErr w:type="spellEnd"/>
      <w:r w:rsidRPr="00D11634">
        <w:rPr>
          <w:color w:val="000000" w:themeColor="text1"/>
        </w:rPr>
        <w:t>, H.R., 2017. Reduction of solar PV payback period using optimally placed reflectors. </w:t>
      </w:r>
      <w:r w:rsidRPr="00D11634">
        <w:rPr>
          <w:i/>
          <w:iCs/>
          <w:color w:val="000000" w:themeColor="text1"/>
        </w:rPr>
        <w:t>Energy Procedia</w:t>
      </w:r>
      <w:r w:rsidRPr="00D11634">
        <w:rPr>
          <w:color w:val="000000" w:themeColor="text1"/>
        </w:rPr>
        <w:t>, </w:t>
      </w:r>
      <w:r w:rsidRPr="00D11634">
        <w:rPr>
          <w:i/>
          <w:iCs/>
          <w:color w:val="000000" w:themeColor="text1"/>
        </w:rPr>
        <w:t>134</w:t>
      </w:r>
      <w:r w:rsidRPr="00D11634">
        <w:rPr>
          <w:color w:val="000000" w:themeColor="text1"/>
        </w:rPr>
        <w:t>, pp.480-489.</w:t>
      </w:r>
    </w:p>
    <w:p w14:paraId="4ED144EF" w14:textId="77777777" w:rsidR="00F60C6A" w:rsidRPr="00D11634" w:rsidRDefault="00F60C6A" w:rsidP="00F60C6A">
      <w:pPr>
        <w:rPr>
          <w:color w:val="000000" w:themeColor="text1"/>
        </w:rPr>
      </w:pPr>
      <w:r w:rsidRPr="00D11634">
        <w:rPr>
          <w:color w:val="000000" w:themeColor="text1"/>
        </w:rPr>
        <w:t>Ye, S. and Tiong, R.L., 2000. NPV-at-risk method in infrastructure project investment evaluation. </w:t>
      </w:r>
      <w:r w:rsidRPr="00D11634">
        <w:rPr>
          <w:i/>
          <w:iCs/>
          <w:color w:val="000000" w:themeColor="text1"/>
        </w:rPr>
        <w:t>Journal of construction engineering and management</w:t>
      </w:r>
      <w:r w:rsidRPr="00D11634">
        <w:rPr>
          <w:color w:val="000000" w:themeColor="text1"/>
        </w:rPr>
        <w:t>, </w:t>
      </w:r>
      <w:r w:rsidRPr="00D11634">
        <w:rPr>
          <w:i/>
          <w:iCs/>
          <w:color w:val="000000" w:themeColor="text1"/>
        </w:rPr>
        <w:t>126</w:t>
      </w:r>
      <w:r w:rsidRPr="00D11634">
        <w:rPr>
          <w:color w:val="000000" w:themeColor="text1"/>
        </w:rPr>
        <w:t>(3), pp.227-233.</w:t>
      </w:r>
    </w:p>
    <w:p w14:paraId="4D4E6EC6" w14:textId="77777777" w:rsidR="00F60C6A" w:rsidRPr="00D11634" w:rsidRDefault="00F60C6A" w:rsidP="00F60C6A">
      <w:pPr>
        <w:rPr>
          <w:rFonts w:cs="Times New Roman"/>
          <w:color w:val="000000" w:themeColor="text1"/>
          <w:sz w:val="24"/>
          <w:szCs w:val="24"/>
        </w:rPr>
      </w:pPr>
      <w:proofErr w:type="spellStart"/>
      <w:r w:rsidRPr="00D11634">
        <w:rPr>
          <w:color w:val="000000" w:themeColor="text1"/>
        </w:rPr>
        <w:t>Zativita</w:t>
      </w:r>
      <w:proofErr w:type="spellEnd"/>
      <w:r w:rsidRPr="00D11634">
        <w:rPr>
          <w:color w:val="000000" w:themeColor="text1"/>
        </w:rPr>
        <w:t xml:space="preserve">, F.I. and </w:t>
      </w:r>
      <w:proofErr w:type="spellStart"/>
      <w:r w:rsidRPr="00D11634">
        <w:rPr>
          <w:color w:val="000000" w:themeColor="text1"/>
        </w:rPr>
        <w:t>Chumaidiyah</w:t>
      </w:r>
      <w:proofErr w:type="spellEnd"/>
      <w:r w:rsidRPr="00D11634">
        <w:rPr>
          <w:color w:val="000000" w:themeColor="text1"/>
        </w:rPr>
        <w:t xml:space="preserve">, E., 2019, May. Feasibility analysis of </w:t>
      </w:r>
      <w:proofErr w:type="spellStart"/>
      <w:r w:rsidRPr="00D11634">
        <w:rPr>
          <w:color w:val="000000" w:themeColor="text1"/>
        </w:rPr>
        <w:t>Rumah</w:t>
      </w:r>
      <w:proofErr w:type="spellEnd"/>
      <w:r w:rsidRPr="00D11634">
        <w:rPr>
          <w:color w:val="000000" w:themeColor="text1"/>
        </w:rPr>
        <w:t xml:space="preserve"> Tempe </w:t>
      </w:r>
      <w:proofErr w:type="spellStart"/>
      <w:r w:rsidRPr="00D11634">
        <w:rPr>
          <w:color w:val="000000" w:themeColor="text1"/>
        </w:rPr>
        <w:t>Zanada</w:t>
      </w:r>
      <w:proofErr w:type="spellEnd"/>
      <w:r w:rsidRPr="00D11634">
        <w:rPr>
          <w:color w:val="000000" w:themeColor="text1"/>
        </w:rPr>
        <w:t xml:space="preserve"> establishment in Bandung using net present value, internal rate of return, and payback period. In </w:t>
      </w:r>
      <w:r w:rsidRPr="00D11634">
        <w:rPr>
          <w:i/>
          <w:iCs/>
          <w:color w:val="000000" w:themeColor="text1"/>
        </w:rPr>
        <w:t>IOP Conference Series: Materials Science and Engineering</w:t>
      </w:r>
      <w:r w:rsidRPr="00D11634">
        <w:rPr>
          <w:color w:val="000000" w:themeColor="text1"/>
        </w:rPr>
        <w:t> (Vol. 505, No. 1, p. 012007). IOP Publishing.</w:t>
      </w:r>
    </w:p>
    <w:sectPr w:rsidR="00F60C6A" w:rsidRPr="00D11634" w:rsidSect="005B5A4D">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29D2B" w14:textId="77777777" w:rsidR="00DE3766" w:rsidRDefault="00DE3766" w:rsidP="008738E8">
      <w:pPr>
        <w:spacing w:after="0" w:line="240" w:lineRule="auto"/>
      </w:pPr>
      <w:r>
        <w:separator/>
      </w:r>
    </w:p>
  </w:endnote>
  <w:endnote w:type="continuationSeparator" w:id="0">
    <w:p w14:paraId="6EF2EFAD" w14:textId="77777777" w:rsidR="00DE3766" w:rsidRDefault="00DE3766" w:rsidP="00873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a">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16955" w14:textId="77777777" w:rsidR="008C009A" w:rsidRDefault="008C009A">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81627"/>
      <w:docPartObj>
        <w:docPartGallery w:val="Page Numbers (Bottom of Page)"/>
        <w:docPartUnique/>
      </w:docPartObj>
    </w:sdtPr>
    <w:sdtEndPr/>
    <w:sdtContent>
      <w:p w14:paraId="25D74C1B" w14:textId="77777777" w:rsidR="008C009A" w:rsidRDefault="008C009A">
        <w:pPr>
          <w:pStyle w:val="ac"/>
          <w:jc w:val="right"/>
        </w:pPr>
        <w:r>
          <w:fldChar w:fldCharType="begin"/>
        </w:r>
        <w:r>
          <w:instrText xml:space="preserve"> PAGE   \* MERGEFORMAT </w:instrText>
        </w:r>
        <w:r>
          <w:fldChar w:fldCharType="separate"/>
        </w:r>
        <w:r>
          <w:rPr>
            <w:noProof/>
          </w:rPr>
          <w:t>19</w:t>
        </w:r>
        <w:r>
          <w:rPr>
            <w:noProof/>
          </w:rPr>
          <w:fldChar w:fldCharType="end"/>
        </w:r>
      </w:p>
    </w:sdtContent>
  </w:sdt>
  <w:p w14:paraId="4F8F7150" w14:textId="77777777" w:rsidR="008C009A" w:rsidRDefault="008C009A">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F8AC8" w14:textId="77777777" w:rsidR="008C009A" w:rsidRDefault="008C009A">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ADC762" w14:textId="77777777" w:rsidR="00DE3766" w:rsidRDefault="00DE3766" w:rsidP="008738E8">
      <w:pPr>
        <w:spacing w:after="0" w:line="240" w:lineRule="auto"/>
      </w:pPr>
      <w:r>
        <w:separator/>
      </w:r>
    </w:p>
  </w:footnote>
  <w:footnote w:type="continuationSeparator" w:id="0">
    <w:p w14:paraId="65FF70B2" w14:textId="77777777" w:rsidR="00DE3766" w:rsidRDefault="00DE3766" w:rsidP="008738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81DB8" w14:textId="77777777" w:rsidR="008C009A" w:rsidRDefault="008C009A">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73083" w14:textId="77777777" w:rsidR="008C009A" w:rsidRDefault="008C009A">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1CBA0B" w14:textId="77777777" w:rsidR="008C009A" w:rsidRDefault="008C009A">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E5318"/>
    <w:multiLevelType w:val="hybridMultilevel"/>
    <w:tmpl w:val="281AD4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DE25C4"/>
    <w:multiLevelType w:val="multilevel"/>
    <w:tmpl w:val="5D644678"/>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2" w15:restartNumberingAfterBreak="0">
    <w:nsid w:val="370A3D37"/>
    <w:multiLevelType w:val="hybridMultilevel"/>
    <w:tmpl w:val="6C1AA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2E0554"/>
    <w:multiLevelType w:val="multilevel"/>
    <w:tmpl w:val="8F44D068"/>
    <w:lvl w:ilvl="0">
      <w:start w:val="1"/>
      <w:numFmt w:val="decimal"/>
      <w:lvlText w:val="%1"/>
      <w:lvlJc w:val="left"/>
      <w:pPr>
        <w:ind w:left="432" w:hanging="432"/>
      </w:pPr>
    </w:lvl>
    <w:lvl w:ilvl="1">
      <w:start w:val="1"/>
      <w:numFmt w:val="decimal"/>
      <w:lvlText w:val="%1.%2"/>
      <w:lvlJc w:val="left"/>
      <w:pPr>
        <w:ind w:left="936" w:hanging="576"/>
      </w:pPr>
    </w:lvl>
    <w:lvl w:ilvl="2">
      <w:start w:val="1"/>
      <w:numFmt w:val="decimal"/>
      <w:lvlText w:val="%1.%2.%3"/>
      <w:lvlJc w:val="left"/>
      <w:pPr>
        <w:ind w:left="720" w:hanging="72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7F6357E7"/>
    <w:multiLevelType w:val="hybridMultilevel"/>
    <w:tmpl w:val="20E43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removePersonalInformation/>
  <w:removeDateAndTime/>
  <w:bordersDoNotSurroundHeader/>
  <w:bordersDoNotSurroundFooter/>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21A87"/>
    <w:rsid w:val="0000594B"/>
    <w:rsid w:val="0000626A"/>
    <w:rsid w:val="000102C8"/>
    <w:rsid w:val="000261AB"/>
    <w:rsid w:val="00031233"/>
    <w:rsid w:val="00036F8B"/>
    <w:rsid w:val="00051CB9"/>
    <w:rsid w:val="00055AD7"/>
    <w:rsid w:val="00073B2E"/>
    <w:rsid w:val="000804FB"/>
    <w:rsid w:val="00095DFD"/>
    <w:rsid w:val="000C4E5A"/>
    <w:rsid w:val="000D0B95"/>
    <w:rsid w:val="000D0F97"/>
    <w:rsid w:val="000E3B52"/>
    <w:rsid w:val="0012676B"/>
    <w:rsid w:val="001274DA"/>
    <w:rsid w:val="00144D41"/>
    <w:rsid w:val="001623EA"/>
    <w:rsid w:val="001829C1"/>
    <w:rsid w:val="00191925"/>
    <w:rsid w:val="00195D3B"/>
    <w:rsid w:val="001A3DA3"/>
    <w:rsid w:val="002120C2"/>
    <w:rsid w:val="00245F2B"/>
    <w:rsid w:val="002949F0"/>
    <w:rsid w:val="002B14FA"/>
    <w:rsid w:val="002C1501"/>
    <w:rsid w:val="002D2CA2"/>
    <w:rsid w:val="002F00C5"/>
    <w:rsid w:val="002F79AA"/>
    <w:rsid w:val="00307DFE"/>
    <w:rsid w:val="00313214"/>
    <w:rsid w:val="0032409B"/>
    <w:rsid w:val="0035111F"/>
    <w:rsid w:val="00374DC7"/>
    <w:rsid w:val="00397A9F"/>
    <w:rsid w:val="003A3508"/>
    <w:rsid w:val="003D4E4B"/>
    <w:rsid w:val="0040166F"/>
    <w:rsid w:val="00415C03"/>
    <w:rsid w:val="00421A87"/>
    <w:rsid w:val="004237A1"/>
    <w:rsid w:val="00426977"/>
    <w:rsid w:val="00436682"/>
    <w:rsid w:val="004461C0"/>
    <w:rsid w:val="004526F1"/>
    <w:rsid w:val="0047057F"/>
    <w:rsid w:val="004706D6"/>
    <w:rsid w:val="00473FA8"/>
    <w:rsid w:val="00496F0C"/>
    <w:rsid w:val="004B7055"/>
    <w:rsid w:val="004D7D9E"/>
    <w:rsid w:val="00511065"/>
    <w:rsid w:val="00577773"/>
    <w:rsid w:val="005B5A4D"/>
    <w:rsid w:val="005D7DB3"/>
    <w:rsid w:val="005E4155"/>
    <w:rsid w:val="00600151"/>
    <w:rsid w:val="00606FA9"/>
    <w:rsid w:val="00656CE2"/>
    <w:rsid w:val="0066118C"/>
    <w:rsid w:val="006676BF"/>
    <w:rsid w:val="00670F1B"/>
    <w:rsid w:val="00672392"/>
    <w:rsid w:val="00692922"/>
    <w:rsid w:val="00695E36"/>
    <w:rsid w:val="006D2740"/>
    <w:rsid w:val="006D46C9"/>
    <w:rsid w:val="006E2E3E"/>
    <w:rsid w:val="006E4C2E"/>
    <w:rsid w:val="006F15BB"/>
    <w:rsid w:val="00712F93"/>
    <w:rsid w:val="007144EF"/>
    <w:rsid w:val="00716772"/>
    <w:rsid w:val="007321FC"/>
    <w:rsid w:val="007620A3"/>
    <w:rsid w:val="00763D09"/>
    <w:rsid w:val="0077008C"/>
    <w:rsid w:val="0078006A"/>
    <w:rsid w:val="007A14AF"/>
    <w:rsid w:val="007A6F62"/>
    <w:rsid w:val="007B03EA"/>
    <w:rsid w:val="007C6BD1"/>
    <w:rsid w:val="007D1885"/>
    <w:rsid w:val="007D2FC6"/>
    <w:rsid w:val="007D5CE1"/>
    <w:rsid w:val="00803A89"/>
    <w:rsid w:val="00830610"/>
    <w:rsid w:val="0085128B"/>
    <w:rsid w:val="00857EEF"/>
    <w:rsid w:val="00864B83"/>
    <w:rsid w:val="00872FF4"/>
    <w:rsid w:val="008738E8"/>
    <w:rsid w:val="00892669"/>
    <w:rsid w:val="00894E9A"/>
    <w:rsid w:val="008A110B"/>
    <w:rsid w:val="008C009A"/>
    <w:rsid w:val="008D5100"/>
    <w:rsid w:val="008E4D1D"/>
    <w:rsid w:val="00901D0F"/>
    <w:rsid w:val="0090428D"/>
    <w:rsid w:val="00924430"/>
    <w:rsid w:val="009341A3"/>
    <w:rsid w:val="00941DF6"/>
    <w:rsid w:val="00961612"/>
    <w:rsid w:val="00977B40"/>
    <w:rsid w:val="00987906"/>
    <w:rsid w:val="00990C1E"/>
    <w:rsid w:val="009A0E65"/>
    <w:rsid w:val="009E1044"/>
    <w:rsid w:val="009E3CA9"/>
    <w:rsid w:val="009E5941"/>
    <w:rsid w:val="00A06C72"/>
    <w:rsid w:val="00A11A4A"/>
    <w:rsid w:val="00A15FD3"/>
    <w:rsid w:val="00A37079"/>
    <w:rsid w:val="00A42BFD"/>
    <w:rsid w:val="00A42F91"/>
    <w:rsid w:val="00A5754A"/>
    <w:rsid w:val="00A609CF"/>
    <w:rsid w:val="00A96AD1"/>
    <w:rsid w:val="00AA65E2"/>
    <w:rsid w:val="00AB0CB0"/>
    <w:rsid w:val="00AF237C"/>
    <w:rsid w:val="00B158D5"/>
    <w:rsid w:val="00B407F1"/>
    <w:rsid w:val="00B479C3"/>
    <w:rsid w:val="00B65FA8"/>
    <w:rsid w:val="00B96A60"/>
    <w:rsid w:val="00BA2492"/>
    <w:rsid w:val="00BA74D8"/>
    <w:rsid w:val="00BB5F63"/>
    <w:rsid w:val="00BB7645"/>
    <w:rsid w:val="00BD02B3"/>
    <w:rsid w:val="00BD18AE"/>
    <w:rsid w:val="00C737DF"/>
    <w:rsid w:val="00CB2B39"/>
    <w:rsid w:val="00CD5685"/>
    <w:rsid w:val="00D0437C"/>
    <w:rsid w:val="00D11634"/>
    <w:rsid w:val="00D32927"/>
    <w:rsid w:val="00D33706"/>
    <w:rsid w:val="00D3568F"/>
    <w:rsid w:val="00D40016"/>
    <w:rsid w:val="00DD02C1"/>
    <w:rsid w:val="00DE1C84"/>
    <w:rsid w:val="00DE1F7A"/>
    <w:rsid w:val="00DE3766"/>
    <w:rsid w:val="00E50CAD"/>
    <w:rsid w:val="00E65ADF"/>
    <w:rsid w:val="00E86776"/>
    <w:rsid w:val="00EA7A23"/>
    <w:rsid w:val="00EE12F9"/>
    <w:rsid w:val="00EF5525"/>
    <w:rsid w:val="00F314DE"/>
    <w:rsid w:val="00F32831"/>
    <w:rsid w:val="00F411EC"/>
    <w:rsid w:val="00F41D74"/>
    <w:rsid w:val="00F519A7"/>
    <w:rsid w:val="00F60C6A"/>
    <w:rsid w:val="00F659B7"/>
    <w:rsid w:val="00F71393"/>
    <w:rsid w:val="00F94754"/>
    <w:rsid w:val="00FB3463"/>
    <w:rsid w:val="00FF2BF4"/>
    <w:rsid w:val="00FF7833"/>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2C8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40016"/>
    <w:pPr>
      <w:spacing w:line="360" w:lineRule="auto"/>
      <w:jc w:val="both"/>
    </w:pPr>
    <w:rPr>
      <w:rFonts w:ascii="Times New Roman" w:hAnsi="Times New Roman"/>
      <w:lang w:val="en-GB"/>
    </w:rPr>
  </w:style>
  <w:style w:type="paragraph" w:styleId="1">
    <w:name w:val="heading 1"/>
    <w:basedOn w:val="a"/>
    <w:next w:val="a"/>
    <w:link w:val="10"/>
    <w:uiPriority w:val="9"/>
    <w:qFormat/>
    <w:rsid w:val="007A6F62"/>
    <w:pPr>
      <w:keepNext/>
      <w:keepLines/>
      <w:numPr>
        <w:numId w:val="5"/>
      </w:numPr>
      <w:spacing w:before="240" w:after="0"/>
      <w:outlineLvl w:val="0"/>
    </w:pPr>
    <w:rPr>
      <w:rFonts w:eastAsiaTheme="majorEastAsia" w:cstheme="majorBidi"/>
      <w:b/>
      <w:color w:val="2F5496" w:themeColor="accent1" w:themeShade="BF"/>
      <w:sz w:val="28"/>
      <w:szCs w:val="32"/>
    </w:rPr>
  </w:style>
  <w:style w:type="paragraph" w:styleId="2">
    <w:name w:val="heading 2"/>
    <w:basedOn w:val="a"/>
    <w:next w:val="a"/>
    <w:link w:val="20"/>
    <w:uiPriority w:val="9"/>
    <w:unhideWhenUsed/>
    <w:qFormat/>
    <w:rsid w:val="007A6F62"/>
    <w:pPr>
      <w:keepNext/>
      <w:keepLines/>
      <w:numPr>
        <w:ilvl w:val="1"/>
        <w:numId w:val="5"/>
      </w:numPr>
      <w:spacing w:before="40" w:after="0"/>
      <w:outlineLvl w:val="1"/>
    </w:pPr>
    <w:rPr>
      <w:rFonts w:eastAsiaTheme="majorEastAsia" w:cs="Times New Roman"/>
      <w:b/>
      <w:color w:val="002060"/>
      <w:sz w:val="26"/>
      <w:szCs w:val="24"/>
    </w:rPr>
  </w:style>
  <w:style w:type="paragraph" w:styleId="3">
    <w:name w:val="heading 3"/>
    <w:basedOn w:val="a"/>
    <w:next w:val="a"/>
    <w:link w:val="30"/>
    <w:uiPriority w:val="9"/>
    <w:unhideWhenUsed/>
    <w:qFormat/>
    <w:rsid w:val="007A6F62"/>
    <w:pPr>
      <w:keepNext/>
      <w:keepLines/>
      <w:numPr>
        <w:ilvl w:val="2"/>
        <w:numId w:val="5"/>
      </w:numPr>
      <w:spacing w:before="40" w:after="0"/>
      <w:outlineLvl w:val="2"/>
    </w:pPr>
    <w:rPr>
      <w:rFonts w:eastAsiaTheme="majorEastAsia" w:cstheme="majorBidi"/>
      <w:b/>
      <w:color w:val="1F3763" w:themeColor="accent1" w:themeShade="7F"/>
      <w:sz w:val="24"/>
      <w:szCs w:val="24"/>
    </w:rPr>
  </w:style>
  <w:style w:type="paragraph" w:styleId="4">
    <w:name w:val="heading 4"/>
    <w:basedOn w:val="a"/>
    <w:next w:val="a"/>
    <w:link w:val="40"/>
    <w:uiPriority w:val="9"/>
    <w:unhideWhenUsed/>
    <w:qFormat/>
    <w:rsid w:val="007A6F62"/>
    <w:pPr>
      <w:keepNext/>
      <w:keepLines/>
      <w:numPr>
        <w:ilvl w:val="3"/>
        <w:numId w:val="5"/>
      </w:numPr>
      <w:spacing w:before="40" w:after="0"/>
      <w:outlineLvl w:val="3"/>
    </w:pPr>
    <w:rPr>
      <w:rFonts w:eastAsiaTheme="majorEastAsia" w:cstheme="majorBidi"/>
      <w:iCs/>
      <w:color w:val="2F5496" w:themeColor="accent1" w:themeShade="BF"/>
    </w:rPr>
  </w:style>
  <w:style w:type="paragraph" w:styleId="5">
    <w:name w:val="heading 5"/>
    <w:basedOn w:val="a"/>
    <w:next w:val="a"/>
    <w:link w:val="50"/>
    <w:uiPriority w:val="9"/>
    <w:semiHidden/>
    <w:unhideWhenUsed/>
    <w:qFormat/>
    <w:rsid w:val="00F94754"/>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6">
    <w:name w:val="heading 6"/>
    <w:basedOn w:val="a"/>
    <w:next w:val="a"/>
    <w:link w:val="60"/>
    <w:uiPriority w:val="9"/>
    <w:semiHidden/>
    <w:unhideWhenUsed/>
    <w:qFormat/>
    <w:rsid w:val="00F94754"/>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7">
    <w:name w:val="heading 7"/>
    <w:basedOn w:val="a"/>
    <w:next w:val="a"/>
    <w:link w:val="70"/>
    <w:uiPriority w:val="9"/>
    <w:semiHidden/>
    <w:unhideWhenUsed/>
    <w:qFormat/>
    <w:rsid w:val="00F94754"/>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8">
    <w:name w:val="heading 8"/>
    <w:basedOn w:val="a"/>
    <w:next w:val="a"/>
    <w:link w:val="80"/>
    <w:uiPriority w:val="9"/>
    <w:semiHidden/>
    <w:unhideWhenUsed/>
    <w:qFormat/>
    <w:rsid w:val="00F94754"/>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semiHidden/>
    <w:unhideWhenUsed/>
    <w:qFormat/>
    <w:rsid w:val="00F94754"/>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A6F62"/>
    <w:rPr>
      <w:rFonts w:ascii="Times New Roman" w:eastAsiaTheme="majorEastAsia" w:hAnsi="Times New Roman" w:cstheme="majorBidi"/>
      <w:b/>
      <w:color w:val="2F5496" w:themeColor="accent1" w:themeShade="BF"/>
      <w:sz w:val="28"/>
      <w:szCs w:val="32"/>
      <w:lang w:val="en-GB"/>
    </w:rPr>
  </w:style>
  <w:style w:type="character" w:customStyle="1" w:styleId="20">
    <w:name w:val="标题 2 字符"/>
    <w:basedOn w:val="a0"/>
    <w:link w:val="2"/>
    <w:uiPriority w:val="9"/>
    <w:rsid w:val="007A6F62"/>
    <w:rPr>
      <w:rFonts w:ascii="Times New Roman" w:eastAsiaTheme="majorEastAsia" w:hAnsi="Times New Roman" w:cs="Times New Roman"/>
      <w:b/>
      <w:color w:val="002060"/>
      <w:sz w:val="26"/>
      <w:szCs w:val="24"/>
      <w:lang w:val="en-GB"/>
    </w:rPr>
  </w:style>
  <w:style w:type="character" w:customStyle="1" w:styleId="30">
    <w:name w:val="标题 3 字符"/>
    <w:basedOn w:val="a0"/>
    <w:link w:val="3"/>
    <w:uiPriority w:val="9"/>
    <w:rsid w:val="007A6F62"/>
    <w:rPr>
      <w:rFonts w:ascii="Times New Roman" w:eastAsiaTheme="majorEastAsia" w:hAnsi="Times New Roman" w:cstheme="majorBidi"/>
      <w:b/>
      <w:color w:val="1F3763" w:themeColor="accent1" w:themeShade="7F"/>
      <w:sz w:val="24"/>
      <w:szCs w:val="24"/>
      <w:lang w:val="en-GB"/>
    </w:rPr>
  </w:style>
  <w:style w:type="character" w:customStyle="1" w:styleId="40">
    <w:name w:val="标题 4 字符"/>
    <w:basedOn w:val="a0"/>
    <w:link w:val="4"/>
    <w:uiPriority w:val="9"/>
    <w:rsid w:val="007A6F62"/>
    <w:rPr>
      <w:rFonts w:ascii="Times New Roman" w:eastAsiaTheme="majorEastAsia" w:hAnsi="Times New Roman" w:cstheme="majorBidi"/>
      <w:iCs/>
      <w:color w:val="2F5496" w:themeColor="accent1" w:themeShade="BF"/>
      <w:lang w:val="en-GB"/>
    </w:rPr>
  </w:style>
  <w:style w:type="character" w:customStyle="1" w:styleId="50">
    <w:name w:val="标题 5 字符"/>
    <w:basedOn w:val="a0"/>
    <w:link w:val="5"/>
    <w:uiPriority w:val="9"/>
    <w:semiHidden/>
    <w:rsid w:val="00F94754"/>
    <w:rPr>
      <w:rFonts w:asciiTheme="majorHAnsi" w:eastAsiaTheme="majorEastAsia" w:hAnsiTheme="majorHAnsi" w:cstheme="majorBidi"/>
      <w:color w:val="2F5496" w:themeColor="accent1" w:themeShade="BF"/>
      <w:lang w:val="en-GB"/>
    </w:rPr>
  </w:style>
  <w:style w:type="character" w:customStyle="1" w:styleId="60">
    <w:name w:val="标题 6 字符"/>
    <w:basedOn w:val="a0"/>
    <w:link w:val="6"/>
    <w:uiPriority w:val="9"/>
    <w:semiHidden/>
    <w:rsid w:val="00F94754"/>
    <w:rPr>
      <w:rFonts w:asciiTheme="majorHAnsi" w:eastAsiaTheme="majorEastAsia" w:hAnsiTheme="majorHAnsi" w:cstheme="majorBidi"/>
      <w:color w:val="1F3763" w:themeColor="accent1" w:themeShade="7F"/>
      <w:lang w:val="en-GB"/>
    </w:rPr>
  </w:style>
  <w:style w:type="character" w:customStyle="1" w:styleId="70">
    <w:name w:val="标题 7 字符"/>
    <w:basedOn w:val="a0"/>
    <w:link w:val="7"/>
    <w:uiPriority w:val="9"/>
    <w:semiHidden/>
    <w:rsid w:val="00F94754"/>
    <w:rPr>
      <w:rFonts w:asciiTheme="majorHAnsi" w:eastAsiaTheme="majorEastAsia" w:hAnsiTheme="majorHAnsi" w:cstheme="majorBidi"/>
      <w:i/>
      <w:iCs/>
      <w:color w:val="1F3763" w:themeColor="accent1" w:themeShade="7F"/>
      <w:lang w:val="en-GB"/>
    </w:rPr>
  </w:style>
  <w:style w:type="character" w:customStyle="1" w:styleId="80">
    <w:name w:val="标题 8 字符"/>
    <w:basedOn w:val="a0"/>
    <w:link w:val="8"/>
    <w:uiPriority w:val="9"/>
    <w:semiHidden/>
    <w:rsid w:val="00F94754"/>
    <w:rPr>
      <w:rFonts w:asciiTheme="majorHAnsi" w:eastAsiaTheme="majorEastAsia" w:hAnsiTheme="majorHAnsi" w:cstheme="majorBidi"/>
      <w:color w:val="272727" w:themeColor="text1" w:themeTint="D8"/>
      <w:sz w:val="21"/>
      <w:szCs w:val="21"/>
      <w:lang w:val="en-GB"/>
    </w:rPr>
  </w:style>
  <w:style w:type="character" w:customStyle="1" w:styleId="90">
    <w:name w:val="标题 9 字符"/>
    <w:basedOn w:val="a0"/>
    <w:link w:val="9"/>
    <w:uiPriority w:val="9"/>
    <w:semiHidden/>
    <w:rsid w:val="00F94754"/>
    <w:rPr>
      <w:rFonts w:asciiTheme="majorHAnsi" w:eastAsiaTheme="majorEastAsia" w:hAnsiTheme="majorHAnsi" w:cstheme="majorBidi"/>
      <w:i/>
      <w:iCs/>
      <w:color w:val="272727" w:themeColor="text1" w:themeTint="D8"/>
      <w:sz w:val="21"/>
      <w:szCs w:val="21"/>
      <w:lang w:val="en-GB"/>
    </w:rPr>
  </w:style>
  <w:style w:type="table" w:styleId="a3">
    <w:name w:val="Table Grid"/>
    <w:basedOn w:val="a1"/>
    <w:uiPriority w:val="39"/>
    <w:rsid w:val="006D27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6676BF"/>
    <w:pPr>
      <w:numPr>
        <w:numId w:val="0"/>
      </w:numPr>
      <w:spacing w:line="259" w:lineRule="auto"/>
      <w:jc w:val="left"/>
      <w:outlineLvl w:val="9"/>
    </w:pPr>
    <w:rPr>
      <w:rFonts w:asciiTheme="majorHAnsi" w:hAnsiTheme="majorHAnsi"/>
      <w:b w:val="0"/>
      <w:sz w:val="32"/>
      <w:lang w:val="en-US"/>
    </w:rPr>
  </w:style>
  <w:style w:type="paragraph" w:styleId="TOC1">
    <w:name w:val="toc 1"/>
    <w:basedOn w:val="a"/>
    <w:next w:val="a"/>
    <w:autoRedefine/>
    <w:uiPriority w:val="39"/>
    <w:unhideWhenUsed/>
    <w:rsid w:val="006676BF"/>
    <w:pPr>
      <w:spacing w:after="100"/>
    </w:pPr>
  </w:style>
  <w:style w:type="paragraph" w:styleId="TOC2">
    <w:name w:val="toc 2"/>
    <w:basedOn w:val="a"/>
    <w:next w:val="a"/>
    <w:autoRedefine/>
    <w:uiPriority w:val="39"/>
    <w:unhideWhenUsed/>
    <w:rsid w:val="006676BF"/>
    <w:pPr>
      <w:spacing w:after="100"/>
      <w:ind w:left="220"/>
    </w:pPr>
  </w:style>
  <w:style w:type="paragraph" w:styleId="TOC3">
    <w:name w:val="toc 3"/>
    <w:basedOn w:val="a"/>
    <w:next w:val="a"/>
    <w:autoRedefine/>
    <w:uiPriority w:val="39"/>
    <w:unhideWhenUsed/>
    <w:rsid w:val="006676BF"/>
    <w:pPr>
      <w:spacing w:after="100"/>
      <w:ind w:left="440"/>
    </w:pPr>
  </w:style>
  <w:style w:type="character" w:styleId="a4">
    <w:name w:val="Hyperlink"/>
    <w:basedOn w:val="a0"/>
    <w:uiPriority w:val="99"/>
    <w:unhideWhenUsed/>
    <w:rsid w:val="006676BF"/>
    <w:rPr>
      <w:color w:val="0563C1" w:themeColor="hyperlink"/>
      <w:u w:val="single"/>
    </w:rPr>
  </w:style>
  <w:style w:type="paragraph" w:styleId="a5">
    <w:name w:val="Balloon Text"/>
    <w:basedOn w:val="a"/>
    <w:link w:val="a6"/>
    <w:uiPriority w:val="99"/>
    <w:semiHidden/>
    <w:unhideWhenUsed/>
    <w:rsid w:val="00036F8B"/>
    <w:pPr>
      <w:spacing w:after="0" w:line="240" w:lineRule="auto"/>
    </w:pPr>
    <w:rPr>
      <w:rFonts w:ascii="Tahoma" w:hAnsi="Tahoma" w:cs="Tahoma"/>
      <w:sz w:val="16"/>
      <w:szCs w:val="16"/>
    </w:rPr>
  </w:style>
  <w:style w:type="character" w:customStyle="1" w:styleId="a6">
    <w:name w:val="批注框文本 字符"/>
    <w:basedOn w:val="a0"/>
    <w:link w:val="a5"/>
    <w:uiPriority w:val="99"/>
    <w:semiHidden/>
    <w:rsid w:val="00036F8B"/>
    <w:rPr>
      <w:rFonts w:ascii="Tahoma" w:hAnsi="Tahoma" w:cs="Tahoma"/>
      <w:sz w:val="16"/>
      <w:szCs w:val="16"/>
      <w:lang w:val="en-GB"/>
    </w:rPr>
  </w:style>
  <w:style w:type="paragraph" w:styleId="a7">
    <w:name w:val="No Spacing"/>
    <w:basedOn w:val="a"/>
    <w:next w:val="a"/>
    <w:link w:val="a8"/>
    <w:uiPriority w:val="1"/>
    <w:qFormat/>
    <w:rsid w:val="001829C1"/>
    <w:pPr>
      <w:spacing w:beforeAutospacing="1" w:after="0" w:afterAutospacing="1"/>
      <w:ind w:left="1080" w:hanging="360"/>
    </w:pPr>
    <w:rPr>
      <w:sz w:val="24"/>
      <w:lang w:val="en-US"/>
    </w:rPr>
  </w:style>
  <w:style w:type="paragraph" w:styleId="a9">
    <w:name w:val="List Paragraph"/>
    <w:basedOn w:val="a"/>
    <w:uiPriority w:val="34"/>
    <w:qFormat/>
    <w:rsid w:val="000804FB"/>
    <w:pPr>
      <w:ind w:left="720"/>
      <w:contextualSpacing/>
    </w:pPr>
  </w:style>
  <w:style w:type="character" w:customStyle="1" w:styleId="a8">
    <w:name w:val="无间隔 字符"/>
    <w:basedOn w:val="a0"/>
    <w:link w:val="a7"/>
    <w:uiPriority w:val="1"/>
    <w:rsid w:val="005B5A4D"/>
    <w:rPr>
      <w:rFonts w:ascii="Times New Roman" w:eastAsiaTheme="minorEastAsia" w:hAnsi="Times New Roman"/>
      <w:sz w:val="24"/>
    </w:rPr>
  </w:style>
  <w:style w:type="paragraph" w:styleId="aa">
    <w:name w:val="header"/>
    <w:basedOn w:val="a"/>
    <w:link w:val="ab"/>
    <w:uiPriority w:val="99"/>
    <w:semiHidden/>
    <w:unhideWhenUsed/>
    <w:rsid w:val="008738E8"/>
    <w:pPr>
      <w:tabs>
        <w:tab w:val="center" w:pos="4680"/>
        <w:tab w:val="right" w:pos="9360"/>
      </w:tabs>
      <w:spacing w:after="0" w:line="240" w:lineRule="auto"/>
    </w:pPr>
  </w:style>
  <w:style w:type="character" w:customStyle="1" w:styleId="ab">
    <w:name w:val="页眉 字符"/>
    <w:basedOn w:val="a0"/>
    <w:link w:val="aa"/>
    <w:uiPriority w:val="99"/>
    <w:semiHidden/>
    <w:rsid w:val="008738E8"/>
    <w:rPr>
      <w:rFonts w:ascii="Times New Roman" w:hAnsi="Times New Roman"/>
      <w:lang w:val="en-GB"/>
    </w:rPr>
  </w:style>
  <w:style w:type="paragraph" w:styleId="ac">
    <w:name w:val="footer"/>
    <w:basedOn w:val="a"/>
    <w:link w:val="ad"/>
    <w:uiPriority w:val="99"/>
    <w:unhideWhenUsed/>
    <w:rsid w:val="008738E8"/>
    <w:pPr>
      <w:tabs>
        <w:tab w:val="center" w:pos="4680"/>
        <w:tab w:val="right" w:pos="9360"/>
      </w:tabs>
      <w:spacing w:after="0" w:line="240" w:lineRule="auto"/>
    </w:pPr>
  </w:style>
  <w:style w:type="character" w:customStyle="1" w:styleId="ad">
    <w:name w:val="页脚 字符"/>
    <w:basedOn w:val="a0"/>
    <w:link w:val="ac"/>
    <w:uiPriority w:val="99"/>
    <w:rsid w:val="008738E8"/>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37758">
      <w:bodyDiv w:val="1"/>
      <w:marLeft w:val="0"/>
      <w:marRight w:val="0"/>
      <w:marTop w:val="0"/>
      <w:marBottom w:val="0"/>
      <w:divBdr>
        <w:top w:val="none" w:sz="0" w:space="0" w:color="auto"/>
        <w:left w:val="none" w:sz="0" w:space="0" w:color="auto"/>
        <w:bottom w:val="none" w:sz="0" w:space="0" w:color="auto"/>
        <w:right w:val="none" w:sz="0" w:space="0" w:color="auto"/>
      </w:divBdr>
    </w:div>
    <w:div w:id="151066876">
      <w:bodyDiv w:val="1"/>
      <w:marLeft w:val="0"/>
      <w:marRight w:val="0"/>
      <w:marTop w:val="0"/>
      <w:marBottom w:val="0"/>
      <w:divBdr>
        <w:top w:val="none" w:sz="0" w:space="0" w:color="auto"/>
        <w:left w:val="none" w:sz="0" w:space="0" w:color="auto"/>
        <w:bottom w:val="none" w:sz="0" w:space="0" w:color="auto"/>
        <w:right w:val="none" w:sz="0" w:space="0" w:color="auto"/>
      </w:divBdr>
    </w:div>
    <w:div w:id="284698897">
      <w:bodyDiv w:val="1"/>
      <w:marLeft w:val="0"/>
      <w:marRight w:val="0"/>
      <w:marTop w:val="0"/>
      <w:marBottom w:val="0"/>
      <w:divBdr>
        <w:top w:val="none" w:sz="0" w:space="0" w:color="auto"/>
        <w:left w:val="none" w:sz="0" w:space="0" w:color="auto"/>
        <w:bottom w:val="none" w:sz="0" w:space="0" w:color="auto"/>
        <w:right w:val="none" w:sz="0" w:space="0" w:color="auto"/>
      </w:divBdr>
    </w:div>
    <w:div w:id="505756325">
      <w:bodyDiv w:val="1"/>
      <w:marLeft w:val="0"/>
      <w:marRight w:val="0"/>
      <w:marTop w:val="0"/>
      <w:marBottom w:val="0"/>
      <w:divBdr>
        <w:top w:val="none" w:sz="0" w:space="0" w:color="auto"/>
        <w:left w:val="none" w:sz="0" w:space="0" w:color="auto"/>
        <w:bottom w:val="none" w:sz="0" w:space="0" w:color="auto"/>
        <w:right w:val="none" w:sz="0" w:space="0" w:color="auto"/>
      </w:divBdr>
    </w:div>
    <w:div w:id="558132058">
      <w:bodyDiv w:val="1"/>
      <w:marLeft w:val="0"/>
      <w:marRight w:val="0"/>
      <w:marTop w:val="0"/>
      <w:marBottom w:val="0"/>
      <w:divBdr>
        <w:top w:val="none" w:sz="0" w:space="0" w:color="auto"/>
        <w:left w:val="none" w:sz="0" w:space="0" w:color="auto"/>
        <w:bottom w:val="none" w:sz="0" w:space="0" w:color="auto"/>
        <w:right w:val="none" w:sz="0" w:space="0" w:color="auto"/>
      </w:divBdr>
    </w:div>
    <w:div w:id="570425837">
      <w:bodyDiv w:val="1"/>
      <w:marLeft w:val="0"/>
      <w:marRight w:val="0"/>
      <w:marTop w:val="0"/>
      <w:marBottom w:val="0"/>
      <w:divBdr>
        <w:top w:val="none" w:sz="0" w:space="0" w:color="auto"/>
        <w:left w:val="none" w:sz="0" w:space="0" w:color="auto"/>
        <w:bottom w:val="none" w:sz="0" w:space="0" w:color="auto"/>
        <w:right w:val="none" w:sz="0" w:space="0" w:color="auto"/>
      </w:divBdr>
    </w:div>
    <w:div w:id="784813955">
      <w:bodyDiv w:val="1"/>
      <w:marLeft w:val="0"/>
      <w:marRight w:val="0"/>
      <w:marTop w:val="0"/>
      <w:marBottom w:val="0"/>
      <w:divBdr>
        <w:top w:val="none" w:sz="0" w:space="0" w:color="auto"/>
        <w:left w:val="none" w:sz="0" w:space="0" w:color="auto"/>
        <w:bottom w:val="none" w:sz="0" w:space="0" w:color="auto"/>
        <w:right w:val="none" w:sz="0" w:space="0" w:color="auto"/>
      </w:divBdr>
    </w:div>
    <w:div w:id="855460713">
      <w:bodyDiv w:val="1"/>
      <w:marLeft w:val="0"/>
      <w:marRight w:val="0"/>
      <w:marTop w:val="0"/>
      <w:marBottom w:val="0"/>
      <w:divBdr>
        <w:top w:val="none" w:sz="0" w:space="0" w:color="auto"/>
        <w:left w:val="none" w:sz="0" w:space="0" w:color="auto"/>
        <w:bottom w:val="none" w:sz="0" w:space="0" w:color="auto"/>
        <w:right w:val="none" w:sz="0" w:space="0" w:color="auto"/>
      </w:divBdr>
    </w:div>
    <w:div w:id="1845901284">
      <w:bodyDiv w:val="1"/>
      <w:marLeft w:val="0"/>
      <w:marRight w:val="0"/>
      <w:marTop w:val="0"/>
      <w:marBottom w:val="0"/>
      <w:divBdr>
        <w:top w:val="none" w:sz="0" w:space="0" w:color="auto"/>
        <w:left w:val="none" w:sz="0" w:space="0" w:color="auto"/>
        <w:bottom w:val="none" w:sz="0" w:space="0" w:color="auto"/>
        <w:right w:val="none" w:sz="0" w:space="0" w:color="auto"/>
      </w:divBdr>
    </w:div>
    <w:div w:id="1847671856">
      <w:bodyDiv w:val="1"/>
      <w:marLeft w:val="0"/>
      <w:marRight w:val="0"/>
      <w:marTop w:val="0"/>
      <w:marBottom w:val="0"/>
      <w:divBdr>
        <w:top w:val="none" w:sz="0" w:space="0" w:color="auto"/>
        <w:left w:val="none" w:sz="0" w:space="0" w:color="auto"/>
        <w:bottom w:val="none" w:sz="0" w:space="0" w:color="auto"/>
        <w:right w:val="none" w:sz="0" w:space="0" w:color="auto"/>
      </w:divBdr>
    </w:div>
    <w:div w:id="1916549162">
      <w:bodyDiv w:val="1"/>
      <w:marLeft w:val="0"/>
      <w:marRight w:val="0"/>
      <w:marTop w:val="0"/>
      <w:marBottom w:val="0"/>
      <w:divBdr>
        <w:top w:val="none" w:sz="0" w:space="0" w:color="auto"/>
        <w:left w:val="none" w:sz="0" w:space="0" w:color="auto"/>
        <w:bottom w:val="none" w:sz="0" w:space="0" w:color="auto"/>
        <w:right w:val="none" w:sz="0" w:space="0" w:color="auto"/>
      </w:divBdr>
    </w:div>
    <w:div w:id="1981034728">
      <w:bodyDiv w:val="1"/>
      <w:marLeft w:val="0"/>
      <w:marRight w:val="0"/>
      <w:marTop w:val="0"/>
      <w:marBottom w:val="0"/>
      <w:divBdr>
        <w:top w:val="none" w:sz="0" w:space="0" w:color="auto"/>
        <w:left w:val="none" w:sz="0" w:space="0" w:color="auto"/>
        <w:bottom w:val="none" w:sz="0" w:space="0" w:color="auto"/>
        <w:right w:val="none" w:sz="0" w:space="0" w:color="auto"/>
      </w:divBdr>
    </w:div>
    <w:div w:id="2000038605">
      <w:bodyDiv w:val="1"/>
      <w:marLeft w:val="0"/>
      <w:marRight w:val="0"/>
      <w:marTop w:val="0"/>
      <w:marBottom w:val="0"/>
      <w:divBdr>
        <w:top w:val="none" w:sz="0" w:space="0" w:color="auto"/>
        <w:left w:val="none" w:sz="0" w:space="0" w:color="auto"/>
        <w:bottom w:val="none" w:sz="0" w:space="0" w:color="auto"/>
        <w:right w:val="none" w:sz="0" w:space="0" w:color="auto"/>
      </w:divBdr>
    </w:div>
    <w:div w:id="204698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5598</Words>
  <Characters>31910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2020-05-28T21:28:00Z</dcterms:created>
  <dcterms:modified xsi:type="dcterms:W3CDTF">2020-05-29T22:13:00Z</dcterms:modified>
</cp:coreProperties>
</file>