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Description w:val="Cover page layout"/>
      </w:tblPr>
      <w:tblGrid>
        <w:gridCol w:w="9026"/>
      </w:tblGrid>
      <w:tr w:rsidR="00F96823" w:rsidRPr="00F96823" w14:paraId="53CA6EB5" w14:textId="77777777" w:rsidTr="009A1907">
        <w:trPr>
          <w:trHeight w:hRule="exact" w:val="9360"/>
        </w:trPr>
        <w:tc>
          <w:tcPr>
            <w:tcW w:w="5000" w:type="pct"/>
          </w:tcPr>
          <w:p w14:paraId="1F1DC2E4" w14:textId="77777777" w:rsidR="00F96823" w:rsidRPr="00F96823" w:rsidRDefault="00F96823" w:rsidP="009A1907">
            <w:pPr>
              <w:rPr>
                <w:rFonts w:ascii="Arial" w:hAnsi="Arial" w:cs="Arial"/>
              </w:rPr>
            </w:pPr>
            <w:r w:rsidRPr="00F96823">
              <w:rPr>
                <w:rFonts w:ascii="Arial" w:hAnsi="Arial" w:cs="Arial"/>
                <w:noProof/>
              </w:rPr>
              <w:drawing>
                <wp:inline distT="0" distB="0" distL="0" distR="0" wp14:anchorId="4856EE24" wp14:editId="49FABF7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96823" w:rsidRPr="00F96823" w14:paraId="588991C0" w14:textId="77777777" w:rsidTr="009A1907">
        <w:trPr>
          <w:trHeight w:hRule="exact" w:val="4320"/>
        </w:trPr>
        <w:tc>
          <w:tcPr>
            <w:tcW w:w="5000" w:type="pct"/>
            <w:shd w:val="clear" w:color="auto" w:fill="156082" w:themeFill="accent1"/>
            <w:vAlign w:val="center"/>
          </w:tcPr>
          <w:p w14:paraId="1805F358" w14:textId="77777777" w:rsidR="00F96823" w:rsidRPr="00F54435" w:rsidRDefault="00F96823" w:rsidP="00F54435">
            <w:pPr>
              <w:pStyle w:val="NoSpacing"/>
              <w:spacing w:line="480" w:lineRule="auto"/>
              <w:ind w:right="144"/>
              <w:jc w:val="center"/>
              <w:rPr>
                <w:rFonts w:ascii="Arial" w:hAnsi="Arial" w:cs="Arial"/>
                <w:b/>
                <w:bCs/>
                <w:color w:val="FFFFFF" w:themeColor="background1"/>
                <w:sz w:val="28"/>
                <w:szCs w:val="28"/>
                <w:lang w:val="en-GB"/>
              </w:rPr>
            </w:pPr>
            <w:r w:rsidRPr="00F54435">
              <w:rPr>
                <w:rFonts w:ascii="Arial" w:hAnsi="Arial" w:cs="Arial"/>
                <w:b/>
                <w:bCs/>
                <w:color w:val="FFFFFF" w:themeColor="background1"/>
                <w:sz w:val="28"/>
                <w:szCs w:val="28"/>
                <w:lang w:val="en-GB"/>
              </w:rPr>
              <w:t>SAHEEDA MIAH</w:t>
            </w:r>
          </w:p>
          <w:p w14:paraId="37B694CA" w14:textId="5D679FE3" w:rsidR="00F54435" w:rsidRPr="00F54435" w:rsidRDefault="00F54435" w:rsidP="00F54435">
            <w:pPr>
              <w:pStyle w:val="NoSpacing"/>
              <w:spacing w:line="480" w:lineRule="auto"/>
              <w:ind w:right="144"/>
              <w:jc w:val="center"/>
              <w:rPr>
                <w:rFonts w:ascii="Arial" w:hAnsi="Arial" w:cs="Arial"/>
                <w:b/>
                <w:bCs/>
                <w:color w:val="FFFFFF" w:themeColor="background1"/>
                <w:sz w:val="28"/>
                <w:szCs w:val="28"/>
              </w:rPr>
            </w:pPr>
            <w:r w:rsidRPr="00F54435">
              <w:rPr>
                <w:rFonts w:ascii="Arial" w:hAnsi="Arial" w:cs="Arial"/>
                <w:b/>
                <w:bCs/>
                <w:color w:val="FFFFFF" w:themeColor="background1"/>
                <w:sz w:val="28"/>
                <w:szCs w:val="28"/>
              </w:rPr>
              <w:t>2422429</w:t>
            </w:r>
          </w:p>
          <w:p w14:paraId="3755256D" w14:textId="40389571" w:rsidR="00F96823" w:rsidRPr="00F96823" w:rsidRDefault="00F96823" w:rsidP="00F54435">
            <w:pPr>
              <w:pStyle w:val="NoSpacing"/>
              <w:spacing w:before="240"/>
              <w:ind w:left="720" w:right="720"/>
              <w:rPr>
                <w:rFonts w:ascii="Arial" w:hAnsi="Arial" w:cs="Arial"/>
                <w:color w:val="FFFFFF" w:themeColor="background1"/>
                <w:sz w:val="22"/>
                <w:szCs w:val="22"/>
              </w:rPr>
            </w:pPr>
          </w:p>
        </w:tc>
      </w:tr>
      <w:tr w:rsidR="00F96823" w:rsidRPr="00F96823" w14:paraId="01EB9510" w14:textId="77777777" w:rsidTr="009A190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008"/>
              <w:gridCol w:w="3009"/>
              <w:gridCol w:w="3009"/>
            </w:tblGrid>
            <w:tr w:rsidR="00F96823" w:rsidRPr="00F96823" w14:paraId="7B1875CF" w14:textId="77777777" w:rsidTr="009A1907">
              <w:trPr>
                <w:trHeight w:hRule="exact" w:val="720"/>
              </w:trPr>
              <w:tc>
                <w:tcPr>
                  <w:tcW w:w="3590" w:type="dxa"/>
                  <w:vAlign w:val="center"/>
                </w:tcPr>
                <w:p w14:paraId="30A953B5" w14:textId="13A41DB2" w:rsidR="00F96823" w:rsidRPr="00F96823" w:rsidRDefault="00F96823" w:rsidP="009A1907">
                  <w:pPr>
                    <w:pStyle w:val="NoSpacing"/>
                    <w:ind w:right="144"/>
                    <w:rPr>
                      <w:rFonts w:ascii="Arial" w:hAnsi="Arial" w:cs="Arial"/>
                      <w:color w:val="FFFFFF" w:themeColor="background1"/>
                      <w:sz w:val="22"/>
                      <w:szCs w:val="22"/>
                      <w:lang w:val="en-GB"/>
                    </w:rPr>
                  </w:pPr>
                </w:p>
              </w:tc>
              <w:tc>
                <w:tcPr>
                  <w:tcW w:w="3591" w:type="dxa"/>
                  <w:vAlign w:val="center"/>
                </w:tcPr>
                <w:p w14:paraId="6AFD223D" w14:textId="74FA6CDD" w:rsidR="00F96823" w:rsidRPr="00F96823" w:rsidRDefault="00F96823" w:rsidP="009A1907">
                  <w:pPr>
                    <w:pStyle w:val="NoSpacing"/>
                    <w:ind w:left="144" w:right="144"/>
                    <w:jc w:val="center"/>
                    <w:rPr>
                      <w:rFonts w:ascii="Arial" w:hAnsi="Arial" w:cs="Arial"/>
                      <w:color w:val="FFFFFF" w:themeColor="background1"/>
                      <w:sz w:val="22"/>
                      <w:szCs w:val="22"/>
                    </w:rPr>
                  </w:pPr>
                </w:p>
              </w:tc>
              <w:tc>
                <w:tcPr>
                  <w:tcW w:w="3591" w:type="dxa"/>
                  <w:vAlign w:val="center"/>
                </w:tcPr>
                <w:p w14:paraId="0C17760D" w14:textId="18404742" w:rsidR="00F96823" w:rsidRPr="00F96823" w:rsidRDefault="00F96823" w:rsidP="009A1907">
                  <w:pPr>
                    <w:pStyle w:val="NoSpacing"/>
                    <w:ind w:left="144" w:right="720"/>
                    <w:jc w:val="right"/>
                    <w:rPr>
                      <w:rFonts w:ascii="Arial" w:hAnsi="Arial" w:cs="Arial"/>
                      <w:color w:val="FFFFFF" w:themeColor="background1"/>
                      <w:sz w:val="22"/>
                      <w:szCs w:val="22"/>
                    </w:rPr>
                  </w:pPr>
                </w:p>
              </w:tc>
            </w:tr>
          </w:tbl>
          <w:p w14:paraId="746C8307" w14:textId="77777777" w:rsidR="00F96823" w:rsidRPr="00F96823" w:rsidRDefault="00F96823" w:rsidP="009A1907">
            <w:pPr>
              <w:rPr>
                <w:rFonts w:ascii="Arial" w:hAnsi="Arial" w:cs="Arial"/>
              </w:rPr>
            </w:pPr>
          </w:p>
        </w:tc>
      </w:tr>
    </w:tbl>
    <w:p w14:paraId="2B18B31E" w14:textId="298AEF0C" w:rsidR="00F96823" w:rsidRPr="00F54435" w:rsidRDefault="00F96823" w:rsidP="00F96823">
      <w:pPr>
        <w:rPr>
          <w:rFonts w:ascii="Arial" w:hAnsi="Arial" w:cs="Arial"/>
        </w:rPr>
      </w:pPr>
    </w:p>
    <w:p w14:paraId="6D9C61AF" w14:textId="3271743C" w:rsidR="00F96823" w:rsidRPr="00F96823" w:rsidRDefault="00F96823" w:rsidP="00F96823">
      <w:pPr>
        <w:spacing w:line="360" w:lineRule="auto"/>
        <w:rPr>
          <w:rFonts w:ascii="Arial" w:hAnsi="Arial" w:cs="Arial"/>
          <w:b/>
          <w:bCs/>
        </w:rPr>
      </w:pPr>
      <w:r w:rsidRPr="00F96823">
        <w:rPr>
          <w:rFonts w:ascii="Arial" w:hAnsi="Arial" w:cs="Arial"/>
          <w:b/>
          <w:bCs/>
        </w:rPr>
        <w:t>Introduction:</w:t>
      </w:r>
    </w:p>
    <w:p w14:paraId="235C63F9" w14:textId="77777777" w:rsidR="00F96823" w:rsidRPr="00F96823" w:rsidRDefault="00F96823" w:rsidP="00F96823">
      <w:pPr>
        <w:spacing w:line="360" w:lineRule="auto"/>
        <w:rPr>
          <w:rFonts w:ascii="Arial" w:hAnsi="Arial" w:cs="Arial"/>
        </w:rPr>
      </w:pPr>
      <w:r w:rsidRPr="00F96823">
        <w:rPr>
          <w:rFonts w:ascii="Arial" w:hAnsi="Arial" w:cs="Arial"/>
        </w:rPr>
        <w:t>Understanding the psychological development and motivation of older adults is essential in providing effective, compassionate, and person-centred care within health and social care settings. As people age, their cognitive, emotional, and social needs evolve significantly, particularly for those over 65 years or those experiencing conditions such as dementia. Two of the most influential frameworks that explain these aspects of human development are Erikson’s Psychosocial Theory and Maslow’s Hierarchy of Needs. Together, they offer valuable insights into how ageing individuals adapt psychologically, maintain identity, and seek meaning in later life.</w:t>
      </w:r>
    </w:p>
    <w:p w14:paraId="2A74026D" w14:textId="77777777" w:rsidR="00F96823" w:rsidRPr="00F96823" w:rsidRDefault="00F96823" w:rsidP="00F96823">
      <w:pPr>
        <w:spacing w:line="360" w:lineRule="auto"/>
        <w:rPr>
          <w:rFonts w:ascii="Arial" w:hAnsi="Arial" w:cs="Arial"/>
        </w:rPr>
      </w:pPr>
      <w:r w:rsidRPr="00F96823">
        <w:rPr>
          <w:rFonts w:ascii="Arial" w:hAnsi="Arial" w:cs="Arial"/>
        </w:rPr>
        <w:t>Erik Erikson’s psychosocial model emphasises how personality develops through eight life stages, each characterised by a central conflict that shapes emotional and social growth. The final stage, Integrity versus Despair, is particularly relevant to older adults as it focuses on reflection, life satisfaction, and acceptance. Failure to resolve this stage can lead to regret, fear, or depression, which are common challenges in late adulthood and dementia care.</w:t>
      </w:r>
    </w:p>
    <w:p w14:paraId="3F8DE790" w14:textId="77777777" w:rsidR="00F96823" w:rsidRPr="00F96823" w:rsidRDefault="00F96823" w:rsidP="00F96823">
      <w:pPr>
        <w:spacing w:line="360" w:lineRule="auto"/>
        <w:rPr>
          <w:rFonts w:ascii="Arial" w:hAnsi="Arial" w:cs="Arial"/>
        </w:rPr>
      </w:pPr>
      <w:r w:rsidRPr="00F96823">
        <w:rPr>
          <w:rFonts w:ascii="Arial" w:hAnsi="Arial" w:cs="Arial"/>
        </w:rPr>
        <w:t>Abraham Maslow’s motivational framework, on the other hand, highlights the hierarchical structure of human needs ranging from physiological survival to self-actualisation. For older adults, the prioritisation of these needs often shifts due to physical decline, loss of independence, or changing social roles. Maslow’s model helps professionals identify and address unmet needs that may influence psychological well-being.</w:t>
      </w:r>
    </w:p>
    <w:p w14:paraId="5C66EAE9" w14:textId="470E8056" w:rsidR="00F96823" w:rsidRPr="00F96823" w:rsidRDefault="00F96823" w:rsidP="00F96823">
      <w:pPr>
        <w:spacing w:line="360" w:lineRule="auto"/>
        <w:rPr>
          <w:rFonts w:ascii="Arial" w:hAnsi="Arial" w:cs="Arial"/>
        </w:rPr>
      </w:pPr>
      <w:r w:rsidRPr="00F96823">
        <w:rPr>
          <w:rFonts w:ascii="Arial" w:hAnsi="Arial" w:cs="Arial"/>
        </w:rPr>
        <w:t>When integrated, both theories provide a holistic understanding of ageing acknowledging how social relationships, self-worth, and environmental factors interact with biological changes. Applying these frameworks in care homes allows professionals to design interventions that foster dignity, purpose, and emotional stability in older adults, particularly those with dementia who may face identity loss or reduced autonomy.</w:t>
      </w:r>
    </w:p>
    <w:p w14:paraId="30831053" w14:textId="77777777" w:rsidR="00F96823" w:rsidRPr="00F96823" w:rsidRDefault="00F96823" w:rsidP="00F96823">
      <w:pPr>
        <w:spacing w:line="360" w:lineRule="auto"/>
        <w:rPr>
          <w:rFonts w:ascii="Arial" w:hAnsi="Arial" w:cs="Arial"/>
          <w:b/>
          <w:bCs/>
        </w:rPr>
      </w:pPr>
    </w:p>
    <w:p w14:paraId="2F160084" w14:textId="77777777" w:rsidR="00F96823" w:rsidRPr="00F96823" w:rsidRDefault="00F96823" w:rsidP="00F96823">
      <w:pPr>
        <w:spacing w:line="360" w:lineRule="auto"/>
        <w:rPr>
          <w:rFonts w:ascii="Arial" w:hAnsi="Arial" w:cs="Arial"/>
          <w:b/>
          <w:bCs/>
        </w:rPr>
      </w:pPr>
      <w:r w:rsidRPr="00F96823">
        <w:rPr>
          <w:rFonts w:ascii="Arial" w:hAnsi="Arial" w:cs="Arial"/>
          <w:b/>
          <w:bCs/>
        </w:rPr>
        <w:t>Erikson’s Psychosocial Theory</w:t>
      </w:r>
      <w:r w:rsidRPr="00F96823">
        <w:rPr>
          <w:rFonts w:ascii="Arial" w:hAnsi="Arial" w:cs="Arial"/>
        </w:rPr>
        <w:br/>
        <w:t xml:space="preserve">Erik Erikson (1902–1994), a German American developmental psychologist, formulated the </w:t>
      </w:r>
      <w:r w:rsidRPr="00F96823">
        <w:rPr>
          <w:rFonts w:ascii="Arial" w:hAnsi="Arial" w:cs="Arial"/>
          <w:b/>
          <w:bCs/>
        </w:rPr>
        <w:t>Psychosocial Theory of Development</w:t>
      </w:r>
      <w:r w:rsidRPr="00F96823">
        <w:rPr>
          <w:rFonts w:ascii="Arial" w:hAnsi="Arial" w:cs="Arial"/>
        </w:rPr>
        <w:t>, which emphasizes the interaction between psychological needs and social experiences across the lifespan. Unlike theories focusing solely on childhood, Erikson proposed eight stages covering development from infancy to late adulthood, each involving a psychosocial conflict that must be resolved for healthy emotional growth.</w:t>
      </w:r>
    </w:p>
    <w:p w14:paraId="7A1EA2EA" w14:textId="77777777" w:rsidR="00F96823" w:rsidRPr="00F96823" w:rsidRDefault="00F96823" w:rsidP="00F96823">
      <w:pPr>
        <w:spacing w:line="360" w:lineRule="auto"/>
        <w:rPr>
          <w:rFonts w:ascii="Arial" w:hAnsi="Arial" w:cs="Arial"/>
        </w:rPr>
      </w:pPr>
    </w:p>
    <w:p w14:paraId="045CD87B" w14:textId="77777777" w:rsidR="00F96823" w:rsidRPr="00F96823" w:rsidRDefault="00F96823" w:rsidP="00F96823">
      <w:pPr>
        <w:spacing w:line="360" w:lineRule="auto"/>
        <w:rPr>
          <w:rFonts w:ascii="Arial" w:hAnsi="Arial" w:cs="Arial"/>
        </w:rPr>
      </w:pPr>
      <w:r w:rsidRPr="00F96823">
        <w:rPr>
          <w:rFonts w:ascii="Arial" w:hAnsi="Arial" w:cs="Arial"/>
          <w:b/>
          <w:bCs/>
        </w:rPr>
        <w:t>Core Concepts</w:t>
      </w:r>
      <w:r w:rsidRPr="00F96823">
        <w:rPr>
          <w:rFonts w:ascii="Arial" w:hAnsi="Arial" w:cs="Arial"/>
        </w:rPr>
        <w:br/>
        <w:t xml:space="preserve">Erikson’s theory outlines eight stages of psychosocial development, each defined by a central emotional conflict. For older adults, the key stage is </w:t>
      </w:r>
      <w:r w:rsidRPr="00F96823">
        <w:rPr>
          <w:rFonts w:ascii="Arial" w:hAnsi="Arial" w:cs="Arial"/>
          <w:b/>
          <w:bCs/>
        </w:rPr>
        <w:t>Integrity versus Despair</w:t>
      </w:r>
      <w:r w:rsidRPr="00F96823">
        <w:rPr>
          <w:rFonts w:ascii="Arial" w:hAnsi="Arial" w:cs="Arial"/>
        </w:rPr>
        <w:t xml:space="preserve">, occurring after age 65. During this stage, individuals reflect on their life achievements and failures. Successfully resolving this conflict fosters </w:t>
      </w:r>
      <w:r w:rsidRPr="00F96823">
        <w:rPr>
          <w:rFonts w:ascii="Arial" w:hAnsi="Arial" w:cs="Arial"/>
          <w:b/>
          <w:bCs/>
        </w:rPr>
        <w:t>ego integrity</w:t>
      </w:r>
      <w:r w:rsidRPr="00F96823">
        <w:rPr>
          <w:rFonts w:ascii="Arial" w:hAnsi="Arial" w:cs="Arial"/>
        </w:rPr>
        <w:t xml:space="preserve"> a sense of acceptance, coherence, and fulfilment while failure results in </w:t>
      </w:r>
      <w:r w:rsidRPr="00F96823">
        <w:rPr>
          <w:rFonts w:ascii="Arial" w:hAnsi="Arial" w:cs="Arial"/>
          <w:b/>
          <w:bCs/>
        </w:rPr>
        <w:t>despair</w:t>
      </w:r>
      <w:r w:rsidRPr="00F96823">
        <w:rPr>
          <w:rFonts w:ascii="Arial" w:hAnsi="Arial" w:cs="Arial"/>
        </w:rPr>
        <w:t xml:space="preserve">, marked by regret and fear of death. This stage connects closely with </w:t>
      </w:r>
      <w:r w:rsidRPr="00F96823">
        <w:rPr>
          <w:rFonts w:ascii="Arial" w:hAnsi="Arial" w:cs="Arial"/>
          <w:b/>
          <w:bCs/>
        </w:rPr>
        <w:t>Generativity versus Stagnation</w:t>
      </w:r>
      <w:r w:rsidRPr="00F96823">
        <w:rPr>
          <w:rFonts w:ascii="Arial" w:hAnsi="Arial" w:cs="Arial"/>
        </w:rPr>
        <w:t>, as guiding future generations enhances late-life satisfaction. For older adults in care homes, achieving integrity means finding purpose, maintaining dignity, and embracing life’s meaning despite cognitive or physical decline.</w:t>
      </w:r>
    </w:p>
    <w:p w14:paraId="78E9A8B1" w14:textId="77777777" w:rsidR="00F96823" w:rsidRPr="00F96823" w:rsidRDefault="00F96823" w:rsidP="00F96823">
      <w:pPr>
        <w:spacing w:line="360" w:lineRule="auto"/>
        <w:rPr>
          <w:rFonts w:ascii="Arial" w:hAnsi="Arial" w:cs="Arial"/>
        </w:rPr>
      </w:pPr>
    </w:p>
    <w:p w14:paraId="36F98F7A" w14:textId="77777777" w:rsidR="00F96823" w:rsidRPr="00F96823" w:rsidRDefault="00F96823" w:rsidP="00F96823">
      <w:pPr>
        <w:spacing w:line="360" w:lineRule="auto"/>
        <w:rPr>
          <w:rFonts w:ascii="Arial" w:hAnsi="Arial" w:cs="Arial"/>
        </w:rPr>
      </w:pPr>
      <w:r w:rsidRPr="00F96823">
        <w:rPr>
          <w:rFonts w:ascii="Arial" w:hAnsi="Arial" w:cs="Arial"/>
          <w:b/>
          <w:bCs/>
        </w:rPr>
        <w:t>Relevance to Adults Aged 65+</w:t>
      </w:r>
      <w:r w:rsidRPr="00F96823">
        <w:rPr>
          <w:rFonts w:ascii="Arial" w:hAnsi="Arial" w:cs="Arial"/>
        </w:rPr>
        <w:br/>
        <w:t xml:space="preserve">Erikson’s final stage highlights the psychological challenges in late adulthood. Older adults reflect on their lives and seek meaning and coherence. Successful resolution leads to </w:t>
      </w:r>
      <w:r w:rsidRPr="00F96823">
        <w:rPr>
          <w:rFonts w:ascii="Arial" w:hAnsi="Arial" w:cs="Arial"/>
          <w:b/>
          <w:bCs/>
        </w:rPr>
        <w:t>acceptance, wisdom, and emotional stability</w:t>
      </w:r>
      <w:r w:rsidRPr="00F96823">
        <w:rPr>
          <w:rFonts w:ascii="Arial" w:hAnsi="Arial" w:cs="Arial"/>
        </w:rPr>
        <w:t>, while failure may result in despair, regret, or depression. In dementia care, individuals may struggle with memory loss and identity confusion, which can intensify despair. Professionals can support ego integrity by encouraging life review, storytelling, and participation in meaningful activities, fostering a sense of accomplishment.</w:t>
      </w:r>
    </w:p>
    <w:p w14:paraId="1F021ADB" w14:textId="77777777" w:rsidR="00F96823" w:rsidRPr="00F96823" w:rsidRDefault="00F96823" w:rsidP="00F96823">
      <w:pPr>
        <w:spacing w:line="360" w:lineRule="auto"/>
        <w:rPr>
          <w:rFonts w:ascii="Arial" w:hAnsi="Arial" w:cs="Arial"/>
        </w:rPr>
      </w:pPr>
    </w:p>
    <w:p w14:paraId="2ECD0DBD" w14:textId="77777777" w:rsidR="00F96823" w:rsidRPr="00F96823" w:rsidRDefault="00F96823" w:rsidP="00F96823">
      <w:pPr>
        <w:spacing w:line="360" w:lineRule="auto"/>
        <w:rPr>
          <w:rFonts w:ascii="Arial" w:hAnsi="Arial" w:cs="Arial"/>
        </w:rPr>
      </w:pPr>
      <w:r w:rsidRPr="00F96823">
        <w:rPr>
          <w:rFonts w:ascii="Arial" w:hAnsi="Arial" w:cs="Arial"/>
          <w:b/>
          <w:bCs/>
        </w:rPr>
        <w:t>Strengths and Limitations</w:t>
      </w:r>
      <w:r w:rsidRPr="00F96823">
        <w:rPr>
          <w:rFonts w:ascii="Arial" w:hAnsi="Arial" w:cs="Arial"/>
        </w:rPr>
        <w:br/>
        <w:t xml:space="preserve">A key strength of Erikson’s psychosocial theory is its </w:t>
      </w:r>
      <w:r w:rsidRPr="00F96823">
        <w:rPr>
          <w:rFonts w:ascii="Arial" w:hAnsi="Arial" w:cs="Arial"/>
          <w:b/>
          <w:bCs/>
        </w:rPr>
        <w:t>lifespan perspective</w:t>
      </w:r>
      <w:r w:rsidRPr="00F96823">
        <w:rPr>
          <w:rFonts w:ascii="Arial" w:hAnsi="Arial" w:cs="Arial"/>
        </w:rPr>
        <w:t xml:space="preserve">, linking early experiences to emotional well-being in later life. It emphasises the role of </w:t>
      </w:r>
      <w:r w:rsidRPr="00F96823">
        <w:rPr>
          <w:rFonts w:ascii="Arial" w:hAnsi="Arial" w:cs="Arial"/>
          <w:b/>
          <w:bCs/>
        </w:rPr>
        <w:t>social and familial support</w:t>
      </w:r>
      <w:r w:rsidRPr="00F96823">
        <w:rPr>
          <w:rFonts w:ascii="Arial" w:hAnsi="Arial" w:cs="Arial"/>
        </w:rPr>
        <w:t xml:space="preserve"> in maintaining psychological health, making it useful in care settings through interventions like </w:t>
      </w:r>
      <w:r w:rsidRPr="00F96823">
        <w:rPr>
          <w:rFonts w:ascii="Arial" w:hAnsi="Arial" w:cs="Arial"/>
          <w:b/>
          <w:bCs/>
        </w:rPr>
        <w:t>reminiscence therapy</w:t>
      </w:r>
      <w:r w:rsidRPr="00F96823">
        <w:rPr>
          <w:rFonts w:ascii="Arial" w:hAnsi="Arial" w:cs="Arial"/>
        </w:rPr>
        <w:t xml:space="preserve"> and </w:t>
      </w:r>
      <w:r w:rsidRPr="00F96823">
        <w:rPr>
          <w:rFonts w:ascii="Arial" w:hAnsi="Arial" w:cs="Arial"/>
          <w:b/>
          <w:bCs/>
        </w:rPr>
        <w:t>group discussions</w:t>
      </w:r>
      <w:r w:rsidRPr="00F96823">
        <w:rPr>
          <w:rFonts w:ascii="Arial" w:hAnsi="Arial" w:cs="Arial"/>
        </w:rPr>
        <w:t xml:space="preserve"> that enhance identity and purpose. However, the theory’s </w:t>
      </w:r>
      <w:r w:rsidRPr="00F96823">
        <w:rPr>
          <w:rFonts w:ascii="Arial" w:hAnsi="Arial" w:cs="Arial"/>
          <w:b/>
          <w:bCs/>
        </w:rPr>
        <w:t>broad and abstract nature</w:t>
      </w:r>
      <w:r w:rsidRPr="00F96823">
        <w:rPr>
          <w:rFonts w:ascii="Arial" w:hAnsi="Arial" w:cs="Arial"/>
        </w:rPr>
        <w:t xml:space="preserve"> limits its practical application and measurement. Cultural factors also shape how integrity and despair are experienced across societies. Moreover, Erikson’s framework </w:t>
      </w:r>
      <w:r w:rsidRPr="00F96823">
        <w:rPr>
          <w:rFonts w:ascii="Arial" w:hAnsi="Arial" w:cs="Arial"/>
          <w:b/>
          <w:bCs/>
        </w:rPr>
        <w:t>underrepresents biological influences</w:t>
      </w:r>
      <w:r w:rsidRPr="00F96823">
        <w:rPr>
          <w:rFonts w:ascii="Arial" w:hAnsi="Arial" w:cs="Arial"/>
        </w:rPr>
        <w:t xml:space="preserve">, such as </w:t>
      </w:r>
      <w:r w:rsidRPr="00F96823">
        <w:rPr>
          <w:rFonts w:ascii="Arial" w:hAnsi="Arial" w:cs="Arial"/>
          <w:b/>
          <w:bCs/>
        </w:rPr>
        <w:t>neurological decline in dementia</w:t>
      </w:r>
      <w:r w:rsidRPr="00F96823">
        <w:rPr>
          <w:rFonts w:ascii="Arial" w:hAnsi="Arial" w:cs="Arial"/>
        </w:rPr>
        <w:t>, which can significantly impact older adults’ emotional resolution and psychological stability.</w:t>
      </w:r>
    </w:p>
    <w:p w14:paraId="0B94DEC2" w14:textId="77777777" w:rsidR="00F96823" w:rsidRPr="00F96823" w:rsidRDefault="00F96823" w:rsidP="00F96823">
      <w:pPr>
        <w:spacing w:line="360" w:lineRule="auto"/>
        <w:rPr>
          <w:rFonts w:ascii="Arial" w:hAnsi="Arial" w:cs="Arial"/>
          <w:b/>
          <w:bCs/>
        </w:rPr>
      </w:pPr>
    </w:p>
    <w:p w14:paraId="69327CCF" w14:textId="77777777" w:rsidR="00F96823" w:rsidRPr="00F96823" w:rsidRDefault="00F96823" w:rsidP="00F96823">
      <w:pPr>
        <w:spacing w:line="360" w:lineRule="auto"/>
        <w:rPr>
          <w:rFonts w:ascii="Arial" w:hAnsi="Arial" w:cs="Arial"/>
        </w:rPr>
      </w:pPr>
      <w:r w:rsidRPr="00F96823">
        <w:rPr>
          <w:rFonts w:ascii="Arial" w:hAnsi="Arial" w:cs="Arial"/>
          <w:b/>
          <w:bCs/>
        </w:rPr>
        <w:t>Nature and Nurture Interaction</w:t>
      </w:r>
      <w:r w:rsidRPr="00F96823">
        <w:rPr>
          <w:rFonts w:ascii="Arial" w:hAnsi="Arial" w:cs="Arial"/>
        </w:rPr>
        <w:br/>
        <w:t xml:space="preserve">Erikson integrates </w:t>
      </w:r>
      <w:r w:rsidRPr="00F96823">
        <w:rPr>
          <w:rFonts w:ascii="Arial" w:hAnsi="Arial" w:cs="Arial"/>
          <w:b/>
          <w:bCs/>
        </w:rPr>
        <w:t>nature</w:t>
      </w:r>
      <w:r w:rsidRPr="00F96823">
        <w:rPr>
          <w:rFonts w:ascii="Arial" w:hAnsi="Arial" w:cs="Arial"/>
        </w:rPr>
        <w:t xml:space="preserve"> (biological aging, cognitive decline) and </w:t>
      </w:r>
      <w:r w:rsidRPr="00F96823">
        <w:rPr>
          <w:rFonts w:ascii="Arial" w:hAnsi="Arial" w:cs="Arial"/>
          <w:b/>
          <w:bCs/>
        </w:rPr>
        <w:t>nurture</w:t>
      </w:r>
      <w:r w:rsidRPr="00F96823">
        <w:rPr>
          <w:rFonts w:ascii="Arial" w:hAnsi="Arial" w:cs="Arial"/>
        </w:rPr>
        <w:t xml:space="preserve"> (social </w:t>
      </w:r>
      <w:r w:rsidRPr="00F96823">
        <w:rPr>
          <w:rFonts w:ascii="Arial" w:hAnsi="Arial" w:cs="Arial"/>
        </w:rPr>
        <w:lastRenderedPageBreak/>
        <w:t>relationships, caregiving, cultural expectations). In older adults, a supportive environment can mitigate biological limitations, e.g., social engagement enhancing mood despite cognitive decline. Conversely, poor social support can exacerbate feelings of despair. Understanding this interaction allows professionals to design interventions that combine social, emotional, and environmental support to strengthen psychological resilience.</w:t>
      </w:r>
    </w:p>
    <w:p w14:paraId="50EB0437" w14:textId="77777777" w:rsidR="00F96823" w:rsidRPr="00F96823" w:rsidRDefault="00F96823" w:rsidP="00F96823">
      <w:pPr>
        <w:spacing w:line="360" w:lineRule="auto"/>
        <w:rPr>
          <w:rFonts w:ascii="Arial" w:hAnsi="Arial" w:cs="Arial"/>
        </w:rPr>
      </w:pPr>
      <w:r w:rsidRPr="00F96823">
        <w:rPr>
          <w:rFonts w:ascii="Arial" w:hAnsi="Arial" w:cs="Arial"/>
          <w:b/>
          <w:bCs/>
        </w:rPr>
        <w:t>Application in Care Homes</w:t>
      </w:r>
      <w:r w:rsidRPr="00F96823">
        <w:rPr>
          <w:rFonts w:ascii="Arial" w:hAnsi="Arial" w:cs="Arial"/>
        </w:rPr>
        <w:br/>
        <w:t>In care homes, Erikson’s theory informs strategies to enhance life satisfaction. Staff can facilitate life review sessions, create opportunities for mentoring or teaching younger generations, and involve residents in decision-making. For dementia patients, visual cues, memory boxes, and storytelling can scaffold identity and support ego integrity. Challenges include residents’ cognitive impairments, time constraints for staff, and communication difficulties, which can be addressed by structured routines and specialized staff training.</w:t>
      </w:r>
    </w:p>
    <w:p w14:paraId="630D84D9" w14:textId="77777777" w:rsidR="00F96823" w:rsidRPr="00F96823" w:rsidRDefault="00F96823" w:rsidP="00F96823">
      <w:pPr>
        <w:spacing w:line="360" w:lineRule="auto"/>
        <w:rPr>
          <w:rFonts w:ascii="Arial" w:hAnsi="Arial" w:cs="Arial"/>
          <w:b/>
          <w:bCs/>
        </w:rPr>
      </w:pPr>
    </w:p>
    <w:p w14:paraId="18AE74FE" w14:textId="77777777" w:rsidR="00F96823" w:rsidRPr="00F96823" w:rsidRDefault="00F96823" w:rsidP="00F96823">
      <w:pPr>
        <w:spacing w:line="360" w:lineRule="auto"/>
        <w:rPr>
          <w:rFonts w:ascii="Arial" w:hAnsi="Arial" w:cs="Arial"/>
          <w:b/>
          <w:bCs/>
        </w:rPr>
      </w:pPr>
      <w:r w:rsidRPr="00F96823">
        <w:rPr>
          <w:rFonts w:ascii="Arial" w:hAnsi="Arial" w:cs="Arial"/>
          <w:b/>
          <w:bCs/>
        </w:rPr>
        <w:t>Maslow’s Hierarchy of Needs</w:t>
      </w:r>
      <w:r w:rsidRPr="00F96823">
        <w:rPr>
          <w:rFonts w:ascii="Arial" w:hAnsi="Arial" w:cs="Arial"/>
        </w:rPr>
        <w:br/>
        <w:t xml:space="preserve">Abraham Maslow (1908–1970), an American psychologist, developed </w:t>
      </w:r>
      <w:r w:rsidRPr="00F96823">
        <w:rPr>
          <w:rFonts w:ascii="Arial" w:hAnsi="Arial" w:cs="Arial"/>
          <w:b/>
          <w:bCs/>
        </w:rPr>
        <w:t>Maslow’s Hierarchy of Needs</w:t>
      </w:r>
      <w:r w:rsidRPr="00F96823">
        <w:rPr>
          <w:rFonts w:ascii="Arial" w:hAnsi="Arial" w:cs="Arial"/>
        </w:rPr>
        <w:t>, a motivational theory proposing that human needs are structured in a hierarchy from basic physiological requirements to self-actualization. Though originally focused on general human motivation, it is applicable to older adults by highlighting which needs must be addressed for psychological health and well-being.</w:t>
      </w:r>
    </w:p>
    <w:p w14:paraId="77CAE6EC" w14:textId="77777777" w:rsidR="00F96823" w:rsidRPr="00F96823" w:rsidRDefault="00F96823" w:rsidP="00F96823">
      <w:pPr>
        <w:spacing w:line="360" w:lineRule="auto"/>
        <w:rPr>
          <w:rFonts w:ascii="Arial" w:hAnsi="Arial" w:cs="Arial"/>
        </w:rPr>
      </w:pPr>
      <w:r w:rsidRPr="00F96823">
        <w:rPr>
          <w:rFonts w:ascii="Arial" w:hAnsi="Arial" w:cs="Arial"/>
        </w:rPr>
        <w:t>Maslow’s hierarchy of needs outlines five progressive levels that motivate human behaviour. At the base are physiological needs, including food, water, shelter, and rest, followed by safety needs, such as stability and protection. The next level, love and belonging, emphasises social connections and emotional relationships. Esteem needs involve respect, achievement, and confidence, while the highest level, self-actualisation, focuses on personal growth and fulfilment of one’s potential. Maslow distinguished between deficiency needs (D-needs) the first four levels, which arise from deprivation and growth needs (B-needs), represented by self-actualisation, which drives individuals to seek creativity, purpose, and meaning once basic needs are satisfied.</w:t>
      </w:r>
    </w:p>
    <w:p w14:paraId="3E09E3D8" w14:textId="77777777" w:rsidR="00F96823" w:rsidRPr="00F96823" w:rsidRDefault="00F96823" w:rsidP="00F96823">
      <w:pPr>
        <w:spacing w:line="360" w:lineRule="auto"/>
        <w:rPr>
          <w:rFonts w:ascii="Arial" w:hAnsi="Arial" w:cs="Arial"/>
          <w:rtl/>
        </w:rPr>
      </w:pPr>
    </w:p>
    <w:p w14:paraId="1C76B5E7" w14:textId="77777777" w:rsidR="00F96823" w:rsidRPr="00F96823" w:rsidRDefault="00F96823" w:rsidP="00F96823">
      <w:pPr>
        <w:spacing w:line="360" w:lineRule="auto"/>
        <w:rPr>
          <w:rFonts w:ascii="Arial" w:hAnsi="Arial" w:cs="Arial"/>
        </w:rPr>
      </w:pPr>
      <w:r w:rsidRPr="00F96823">
        <w:rPr>
          <w:rFonts w:ascii="Arial" w:hAnsi="Arial" w:cs="Arial"/>
          <w:b/>
          <w:bCs/>
        </w:rPr>
        <w:t>Relevance to Adults Aged 65+</w:t>
      </w:r>
      <w:r w:rsidRPr="00F96823">
        <w:rPr>
          <w:rFonts w:ascii="Arial" w:hAnsi="Arial" w:cs="Arial"/>
        </w:rPr>
        <w:br/>
        <w:t xml:space="preserve">Older adults often experience shifts in need priorities due to retirement, health issues, or bereavement. Physiological and safety needs may become more prominent, particularly for those with chronic illness or in care homes. Social needs are critical, as isolation can lead to depression. Self-esteem and self-actualization remain important for life satisfaction, even with physical decline. In dementia care, structured social activities, autonomy in daily </w:t>
      </w:r>
      <w:r w:rsidRPr="00F96823">
        <w:rPr>
          <w:rFonts w:ascii="Arial" w:hAnsi="Arial" w:cs="Arial"/>
        </w:rPr>
        <w:lastRenderedPageBreak/>
        <w:t>routines, and opportunities for creative expression can address higher-level needs, while maintaining safety and comfort meets lower-level requirements.</w:t>
      </w:r>
    </w:p>
    <w:p w14:paraId="112D2FFE" w14:textId="77777777" w:rsidR="00F96823" w:rsidRPr="00F96823" w:rsidRDefault="00F96823" w:rsidP="00F96823">
      <w:pPr>
        <w:spacing w:line="360" w:lineRule="auto"/>
        <w:rPr>
          <w:rFonts w:ascii="Arial" w:hAnsi="Arial" w:cs="Arial"/>
        </w:rPr>
      </w:pPr>
    </w:p>
    <w:p w14:paraId="0D96EB48" w14:textId="77777777" w:rsidR="00F96823" w:rsidRPr="00F96823" w:rsidRDefault="00F96823" w:rsidP="00F96823">
      <w:pPr>
        <w:spacing w:line="360" w:lineRule="auto"/>
        <w:rPr>
          <w:rFonts w:ascii="Arial" w:hAnsi="Arial" w:cs="Arial"/>
        </w:rPr>
      </w:pPr>
      <w:r w:rsidRPr="00F96823">
        <w:rPr>
          <w:rFonts w:ascii="Arial" w:hAnsi="Arial" w:cs="Arial"/>
          <w:b/>
          <w:bCs/>
        </w:rPr>
        <w:t>Strengths and Limitations</w:t>
      </w:r>
      <w:r w:rsidRPr="00F96823">
        <w:rPr>
          <w:rFonts w:ascii="Arial" w:hAnsi="Arial" w:cs="Arial"/>
        </w:rPr>
        <w:br/>
        <w:t>Maslow’s hierarchy offers a practical framework for assessing residents’ needs in care settings, emphasising holistic well-being and supporting personalised care planning across different levels. However, the hierarchy is not always strictly linear many older adults may still pursue self-actualisation even when lower needs are unmet. Cultural variations also influence how needs are prioritised, and cognitive impairments can limit older adults’ capacity to achieve higher-level goals independently.</w:t>
      </w:r>
    </w:p>
    <w:p w14:paraId="71CCF1FC" w14:textId="77777777" w:rsidR="00F96823" w:rsidRPr="00F96823" w:rsidRDefault="00F96823" w:rsidP="00F96823">
      <w:pPr>
        <w:spacing w:line="360" w:lineRule="auto"/>
        <w:rPr>
          <w:rFonts w:ascii="Arial" w:hAnsi="Arial" w:cs="Arial"/>
          <w:b/>
          <w:bCs/>
          <w:rtl/>
        </w:rPr>
      </w:pPr>
    </w:p>
    <w:p w14:paraId="5E6C3FAA" w14:textId="77777777" w:rsidR="00F96823" w:rsidRPr="00F96823" w:rsidRDefault="00F96823" w:rsidP="00F96823">
      <w:pPr>
        <w:spacing w:line="360" w:lineRule="auto"/>
        <w:rPr>
          <w:rFonts w:ascii="Arial" w:hAnsi="Arial" w:cs="Arial"/>
        </w:rPr>
      </w:pPr>
      <w:r w:rsidRPr="00F96823">
        <w:rPr>
          <w:rFonts w:ascii="Arial" w:hAnsi="Arial" w:cs="Arial"/>
          <w:b/>
          <w:bCs/>
        </w:rPr>
        <w:t>Nature and Nurture Interaction</w:t>
      </w:r>
      <w:r w:rsidRPr="00F96823">
        <w:rPr>
          <w:rFonts w:ascii="Arial" w:hAnsi="Arial" w:cs="Arial"/>
        </w:rPr>
        <w:br/>
        <w:t xml:space="preserve">Maslow’s model highlights the dynamic interplay between </w:t>
      </w:r>
      <w:r w:rsidRPr="00F96823">
        <w:rPr>
          <w:rFonts w:ascii="Arial" w:hAnsi="Arial" w:cs="Arial"/>
          <w:b/>
          <w:bCs/>
        </w:rPr>
        <w:t>biological factors</w:t>
      </w:r>
      <w:r w:rsidRPr="00F96823">
        <w:rPr>
          <w:rFonts w:ascii="Arial" w:hAnsi="Arial" w:cs="Arial"/>
        </w:rPr>
        <w:t xml:space="preserve"> (aging, illness) and </w:t>
      </w:r>
      <w:r w:rsidRPr="00F96823">
        <w:rPr>
          <w:rFonts w:ascii="Arial" w:hAnsi="Arial" w:cs="Arial"/>
          <w:b/>
          <w:bCs/>
        </w:rPr>
        <w:t>environmental influences</w:t>
      </w:r>
      <w:r w:rsidRPr="00F96823">
        <w:rPr>
          <w:rFonts w:ascii="Arial" w:hAnsi="Arial" w:cs="Arial"/>
        </w:rPr>
        <w:t xml:space="preserve"> (social support, care quality). For example, while physiological decline is inevitable, enriched social and emotional environments can promote esteem and personal growth. This understanding allows professionals to design interventions that simultaneously address health limitations and foster opportunities for meaningful engagement.</w:t>
      </w:r>
    </w:p>
    <w:p w14:paraId="79D344FB" w14:textId="77777777" w:rsidR="00F96823" w:rsidRPr="00F96823" w:rsidRDefault="00F96823" w:rsidP="00F96823">
      <w:pPr>
        <w:spacing w:line="360" w:lineRule="auto"/>
        <w:rPr>
          <w:rFonts w:ascii="Arial" w:hAnsi="Arial" w:cs="Arial"/>
        </w:rPr>
      </w:pPr>
    </w:p>
    <w:p w14:paraId="390A446D" w14:textId="77777777" w:rsidR="00F96823" w:rsidRPr="00F96823" w:rsidRDefault="00F96823" w:rsidP="00F96823">
      <w:pPr>
        <w:spacing w:line="360" w:lineRule="auto"/>
        <w:rPr>
          <w:rFonts w:ascii="Arial" w:hAnsi="Arial" w:cs="Arial"/>
        </w:rPr>
      </w:pPr>
      <w:r w:rsidRPr="00F96823">
        <w:rPr>
          <w:rFonts w:ascii="Arial" w:hAnsi="Arial" w:cs="Arial"/>
          <w:b/>
          <w:bCs/>
        </w:rPr>
        <w:t>Application in Care Homes</w:t>
      </w:r>
      <w:r w:rsidRPr="00F96823">
        <w:rPr>
          <w:rFonts w:ascii="Arial" w:hAnsi="Arial" w:cs="Arial"/>
        </w:rPr>
        <w:br/>
        <w:t>In care homes, Maslow’s hierarchy guides practical strategies to enhance quality of life. Staff can ensure adequate nutrition and safe environments, facilitate social activities to prevent isolation, support autonomy in daily routines, and encourage creative or recreational activities to promote self-esteem and self-actualization. In dementia care, simplified tasks, reminiscence therapy, and music or art therapy can fulfil higher-level needs while accommodating cognitive limitations. Challenges include balancing safety with autonomy and maintaining personalized attention for residents with severe impairments, addressed through staff training and activity planning.</w:t>
      </w:r>
    </w:p>
    <w:p w14:paraId="59EFCB29" w14:textId="77777777" w:rsidR="00F96823" w:rsidRPr="00F96823" w:rsidRDefault="00F96823" w:rsidP="00F96823">
      <w:pPr>
        <w:spacing w:line="360" w:lineRule="auto"/>
        <w:rPr>
          <w:rFonts w:ascii="Arial" w:hAnsi="Arial" w:cs="Arial"/>
        </w:rPr>
      </w:pPr>
    </w:p>
    <w:p w14:paraId="5F51BB42" w14:textId="77777777" w:rsidR="00F96823" w:rsidRPr="00F96823" w:rsidRDefault="00F96823" w:rsidP="00F96823">
      <w:pPr>
        <w:spacing w:line="360" w:lineRule="auto"/>
        <w:rPr>
          <w:rFonts w:ascii="Arial" w:hAnsi="Arial" w:cs="Arial"/>
          <w:b/>
          <w:bCs/>
        </w:rPr>
      </w:pPr>
      <w:r w:rsidRPr="00F96823">
        <w:rPr>
          <w:rFonts w:ascii="Arial" w:hAnsi="Arial" w:cs="Arial"/>
          <w:b/>
          <w:bCs/>
        </w:rPr>
        <w:t>Critical Evaluation of Both Theories in Older Adults’ Care</w:t>
      </w:r>
    </w:p>
    <w:p w14:paraId="5D89CB3C" w14:textId="77777777" w:rsidR="00F96823" w:rsidRPr="00F96823" w:rsidRDefault="00F96823" w:rsidP="00F96823">
      <w:pPr>
        <w:spacing w:line="360" w:lineRule="auto"/>
        <w:rPr>
          <w:rFonts w:ascii="Arial" w:hAnsi="Arial" w:cs="Arial"/>
        </w:rPr>
      </w:pPr>
      <w:r w:rsidRPr="00F96823">
        <w:rPr>
          <w:rFonts w:ascii="Arial" w:hAnsi="Arial" w:cs="Arial"/>
        </w:rPr>
        <w:t xml:space="preserve">Combining Erikson and Maslow provides a comprehensive understanding of older adults’ psychosocial and motivational needs. Erikson focuses on the resolution of identity and emotional crises, while Maslow emphasizes the hierarchy of human needs that support </w:t>
      </w:r>
      <w:r w:rsidRPr="00F96823">
        <w:rPr>
          <w:rFonts w:ascii="Arial" w:hAnsi="Arial" w:cs="Arial"/>
        </w:rPr>
        <w:lastRenderedPageBreak/>
        <w:t xml:space="preserve">psychological well-being. In practice, integrating both theories enables care providers to address </w:t>
      </w:r>
      <w:r w:rsidRPr="00F96823">
        <w:rPr>
          <w:rFonts w:ascii="Arial" w:hAnsi="Arial" w:cs="Arial"/>
          <w:b/>
          <w:bCs/>
        </w:rPr>
        <w:t>emotional, social, and physical needs concurrently</w:t>
      </w:r>
      <w:r w:rsidRPr="00F96823">
        <w:rPr>
          <w:rFonts w:ascii="Arial" w:hAnsi="Arial" w:cs="Arial"/>
        </w:rPr>
        <w:t>, offering holistic interventions in care homes.</w:t>
      </w:r>
    </w:p>
    <w:p w14:paraId="0A46AB18" w14:textId="77777777" w:rsidR="00F96823" w:rsidRPr="00F96823" w:rsidRDefault="00F96823" w:rsidP="00F96823">
      <w:pPr>
        <w:spacing w:line="360" w:lineRule="auto"/>
        <w:rPr>
          <w:rFonts w:ascii="Arial" w:hAnsi="Arial" w:cs="Arial"/>
        </w:rPr>
      </w:pPr>
      <w:r w:rsidRPr="00F96823">
        <w:rPr>
          <w:rFonts w:ascii="Arial" w:hAnsi="Arial" w:cs="Arial"/>
        </w:rPr>
        <w:t>For dementia patients, Erikson guides interventions that promote life review and identity preservation, while Maslow ensures basic comfort, safety, and meaningful engagement. Staff can scaffold activities to enhance autonomy, social interaction, and self-esteem, thereby addressing both psychological crises and motivational needs. Challenges include staffing limitations, cognitive impairments, and diverse cultural expectations, which can be mitigated through training, individualized care plans, and structured routines.</w:t>
      </w:r>
    </w:p>
    <w:p w14:paraId="541E7994" w14:textId="77777777" w:rsidR="00F96823" w:rsidRPr="00F96823" w:rsidRDefault="00F96823" w:rsidP="00F96823">
      <w:pPr>
        <w:spacing w:line="360" w:lineRule="auto"/>
        <w:rPr>
          <w:rFonts w:ascii="Arial" w:hAnsi="Arial" w:cs="Arial"/>
        </w:rPr>
      </w:pPr>
    </w:p>
    <w:p w14:paraId="302B1602" w14:textId="77777777" w:rsidR="00F96823" w:rsidRPr="00F96823" w:rsidRDefault="00F96823" w:rsidP="00F96823">
      <w:pPr>
        <w:spacing w:line="360" w:lineRule="auto"/>
        <w:rPr>
          <w:rFonts w:ascii="Arial" w:hAnsi="Arial" w:cs="Arial"/>
        </w:rPr>
      </w:pPr>
    </w:p>
    <w:p w14:paraId="7FF80C23" w14:textId="77777777" w:rsidR="00F96823" w:rsidRPr="00F96823" w:rsidRDefault="00F96823" w:rsidP="00F96823">
      <w:pPr>
        <w:spacing w:line="360" w:lineRule="auto"/>
        <w:rPr>
          <w:rFonts w:ascii="Arial" w:hAnsi="Arial" w:cs="Arial"/>
          <w:b/>
          <w:bCs/>
        </w:rPr>
      </w:pPr>
      <w:r w:rsidRPr="00F96823">
        <w:rPr>
          <w:rFonts w:ascii="Arial" w:hAnsi="Arial" w:cs="Arial"/>
          <w:b/>
          <w:bCs/>
        </w:rPr>
        <w:t xml:space="preserve">Conclusion </w:t>
      </w:r>
    </w:p>
    <w:p w14:paraId="69F68A81" w14:textId="77777777" w:rsidR="00F96823" w:rsidRPr="00F96823" w:rsidRDefault="00F96823" w:rsidP="00F96823">
      <w:pPr>
        <w:spacing w:line="360" w:lineRule="auto"/>
        <w:rPr>
          <w:rFonts w:ascii="Arial" w:hAnsi="Arial" w:cs="Arial"/>
        </w:rPr>
      </w:pPr>
      <w:r w:rsidRPr="00F96823">
        <w:rPr>
          <w:rFonts w:ascii="Arial" w:hAnsi="Arial" w:cs="Arial"/>
        </w:rPr>
        <w:t xml:space="preserve">The combined application of </w:t>
      </w:r>
      <w:r w:rsidRPr="00F96823">
        <w:rPr>
          <w:rFonts w:ascii="Arial" w:hAnsi="Arial" w:cs="Arial"/>
          <w:b/>
          <w:bCs/>
        </w:rPr>
        <w:t>Erikson’s Psychosocial Theory</w:t>
      </w:r>
      <w:r w:rsidRPr="00F96823">
        <w:rPr>
          <w:rFonts w:ascii="Arial" w:hAnsi="Arial" w:cs="Arial"/>
        </w:rPr>
        <w:t xml:space="preserve"> and </w:t>
      </w:r>
      <w:r w:rsidRPr="00F96823">
        <w:rPr>
          <w:rFonts w:ascii="Arial" w:hAnsi="Arial" w:cs="Arial"/>
          <w:b/>
          <w:bCs/>
        </w:rPr>
        <w:t>Maslow’s Hierarchy of Needs</w:t>
      </w:r>
      <w:r w:rsidRPr="00F96823">
        <w:rPr>
          <w:rFonts w:ascii="Arial" w:hAnsi="Arial" w:cs="Arial"/>
        </w:rPr>
        <w:t xml:space="preserve"> offers a powerful approach to understanding and supporting the complex psychological experiences of older adults. Erikson’s focus on achieving ego integrity provides a foundation for emotional acceptance and identity maintenance, while Maslow’s model ensures that essential needs both physical and psychological are systematically met. Together, they emphasise that ageing is not merely a process of decline but a continued journey of adaptation, growth, and </w:t>
      </w:r>
      <w:proofErr w:type="gramStart"/>
      <w:r w:rsidRPr="00F96823">
        <w:rPr>
          <w:rFonts w:ascii="Arial" w:hAnsi="Arial" w:cs="Arial"/>
        </w:rPr>
        <w:t>meaning-making</w:t>
      </w:r>
      <w:proofErr w:type="gramEnd"/>
      <w:r w:rsidRPr="00F96823">
        <w:rPr>
          <w:rFonts w:ascii="Arial" w:hAnsi="Arial" w:cs="Arial"/>
        </w:rPr>
        <w:t>.</w:t>
      </w:r>
    </w:p>
    <w:p w14:paraId="322C775E" w14:textId="77777777" w:rsidR="00F96823" w:rsidRPr="00F96823" w:rsidRDefault="00F96823" w:rsidP="00F96823">
      <w:pPr>
        <w:spacing w:line="360" w:lineRule="auto"/>
        <w:rPr>
          <w:rFonts w:ascii="Arial" w:hAnsi="Arial" w:cs="Arial"/>
        </w:rPr>
      </w:pPr>
      <w:r w:rsidRPr="00F96823">
        <w:rPr>
          <w:rFonts w:ascii="Arial" w:hAnsi="Arial" w:cs="Arial"/>
        </w:rPr>
        <w:t>In dementia care, where memory and cognitive function deteriorate, these theories become particularly relevant. By recognising that individuals still seek belonging, esteem, and self-worth, professionals can move beyond a purely medical model of care. Encouraging reminiscence, promoting autonomy in daily routines, and fostering meaningful social interaction align with both Erikson’s principles of integrity and Maslow’s higher-order needs. These practices not only preserve dignity but also enhance emotional resilience and quality of life.</w:t>
      </w:r>
    </w:p>
    <w:p w14:paraId="6EEC1854" w14:textId="77777777" w:rsidR="00F96823" w:rsidRPr="00F96823" w:rsidRDefault="00F96823" w:rsidP="00F96823">
      <w:pPr>
        <w:spacing w:line="360" w:lineRule="auto"/>
        <w:rPr>
          <w:rFonts w:ascii="Arial" w:hAnsi="Arial" w:cs="Arial"/>
        </w:rPr>
      </w:pPr>
      <w:r w:rsidRPr="00F96823">
        <w:rPr>
          <w:rFonts w:ascii="Arial" w:hAnsi="Arial" w:cs="Arial"/>
        </w:rPr>
        <w:t>However, the effective application of these theories requires awareness of practical challenges. Staff shortages, communication barriers, and the diverse nature of residents’ needs can hinder the delivery of person-centred interventions. Addressing these issues through staff training, reflective practice, and collaborative care planning can help ensure that both psychosocial and physiological needs are met consistently.</w:t>
      </w:r>
    </w:p>
    <w:p w14:paraId="4BEB423D" w14:textId="170791F5" w:rsidR="00F96823" w:rsidRPr="00F96823" w:rsidRDefault="00F96823" w:rsidP="00F96823">
      <w:pPr>
        <w:spacing w:line="360" w:lineRule="auto"/>
        <w:rPr>
          <w:rFonts w:ascii="Arial" w:hAnsi="Arial" w:cs="Arial"/>
        </w:rPr>
      </w:pPr>
      <w:r w:rsidRPr="00F96823">
        <w:rPr>
          <w:rFonts w:ascii="Arial" w:hAnsi="Arial" w:cs="Arial"/>
        </w:rPr>
        <w:t xml:space="preserve">Ultimately, understanding and integrating Erikson’s and Maslow’s perspectives encourages a compassionate, evidence-based approach to elder care. It reminds practitioners that even in the presence of cognitive decline, the human need for connection, respect, and meaning </w:t>
      </w:r>
      <w:r w:rsidRPr="00F96823">
        <w:rPr>
          <w:rFonts w:ascii="Arial" w:hAnsi="Arial" w:cs="Arial"/>
        </w:rPr>
        <w:lastRenderedPageBreak/>
        <w:t>remains vital. Supporting older adults to achieve a sense of integrity and fulfilment, while meeting their fundamental needs, transforms care homes into environments of continued growth, dignity, and psychological well-being.</w:t>
      </w:r>
    </w:p>
    <w:p w14:paraId="1B58F634" w14:textId="77777777" w:rsidR="00F96823" w:rsidRPr="00F96823" w:rsidRDefault="00F96823" w:rsidP="00F96823">
      <w:pPr>
        <w:spacing w:line="360" w:lineRule="auto"/>
        <w:rPr>
          <w:rFonts w:ascii="Arial" w:hAnsi="Arial" w:cs="Arial"/>
          <w:b/>
          <w:bCs/>
        </w:rPr>
      </w:pPr>
      <w:r w:rsidRPr="00F96823">
        <w:rPr>
          <w:rFonts w:ascii="Arial" w:hAnsi="Arial" w:cs="Arial"/>
          <w:b/>
          <w:bCs/>
        </w:rPr>
        <w:t xml:space="preserve">References: </w:t>
      </w:r>
    </w:p>
    <w:p w14:paraId="3EE9ECC7" w14:textId="77777777" w:rsidR="00F96823" w:rsidRPr="007F2A2D" w:rsidRDefault="00F96823" w:rsidP="007F2A2D">
      <w:pPr>
        <w:spacing w:line="360" w:lineRule="auto"/>
        <w:rPr>
          <w:rFonts w:ascii="Arial" w:hAnsi="Arial" w:cs="Arial"/>
        </w:rPr>
      </w:pPr>
      <w:r w:rsidRPr="007F2A2D">
        <w:rPr>
          <w:rFonts w:ascii="Arial" w:hAnsi="Arial" w:cs="Arial"/>
        </w:rPr>
        <w:t xml:space="preserve">Huo, M., Ng, Y.T., Birditt, K. &amp; Fingerman, K. (2021) ‘Empathy and coping: Older adults’ interpersonal tensions and mood throughout the day’, </w:t>
      </w:r>
      <w:r w:rsidRPr="007F2A2D">
        <w:rPr>
          <w:rFonts w:ascii="Arial" w:hAnsi="Arial" w:cs="Arial"/>
          <w:i/>
          <w:iCs/>
        </w:rPr>
        <w:t>Gerontology</w:t>
      </w:r>
      <w:r w:rsidRPr="007F2A2D">
        <w:rPr>
          <w:rFonts w:ascii="Arial" w:hAnsi="Arial" w:cs="Arial"/>
        </w:rPr>
        <w:t xml:space="preserve">, 67(1), pp. 101-112.  </w:t>
      </w:r>
      <w:hyperlink r:id="rId8" w:history="1">
        <w:r w:rsidRPr="007F2A2D">
          <w:rPr>
            <w:rStyle w:val="Hyperlink"/>
            <w:rFonts w:ascii="Arial" w:hAnsi="Arial" w:cs="Arial"/>
          </w:rPr>
          <w:t>https://doi.org/10.1159/000509681</w:t>
        </w:r>
      </w:hyperlink>
      <w:r w:rsidRPr="007F2A2D">
        <w:rPr>
          <w:rFonts w:ascii="Arial" w:hAnsi="Arial" w:cs="Arial"/>
        </w:rPr>
        <w:t xml:space="preserve">  (Accessed: 4 November 2025).</w:t>
      </w:r>
    </w:p>
    <w:p w14:paraId="2F2D5780" w14:textId="77777777" w:rsidR="00F96823" w:rsidRPr="00F96823" w:rsidRDefault="00F96823" w:rsidP="00F96823">
      <w:pPr>
        <w:pStyle w:val="ListParagraph"/>
        <w:spacing w:line="360" w:lineRule="auto"/>
        <w:rPr>
          <w:rFonts w:ascii="Arial" w:hAnsi="Arial" w:cs="Arial"/>
        </w:rPr>
      </w:pPr>
    </w:p>
    <w:p w14:paraId="79828EBB" w14:textId="26BC96E4" w:rsidR="00F96823" w:rsidRPr="007F2A2D" w:rsidRDefault="00F96823" w:rsidP="007F2A2D">
      <w:pPr>
        <w:spacing w:line="360" w:lineRule="auto"/>
        <w:rPr>
          <w:rFonts w:ascii="Arial" w:hAnsi="Arial" w:cs="Arial"/>
        </w:rPr>
      </w:pPr>
      <w:r w:rsidRPr="007F2A2D">
        <w:rPr>
          <w:rFonts w:ascii="Arial" w:hAnsi="Arial" w:cs="Arial"/>
        </w:rPr>
        <w:t xml:space="preserve">Huo, M., Ng, Y.T., Birditt, K. &amp; Fingerman, K. (2020) ‘Empathy and coping: Older adults’ social encounters and mood throughout the day’, </w:t>
      </w:r>
      <w:r w:rsidRPr="007F2A2D">
        <w:rPr>
          <w:rFonts w:ascii="Arial" w:hAnsi="Arial" w:cs="Arial"/>
          <w:i/>
          <w:iCs/>
        </w:rPr>
        <w:t>Innovation in Aging</w:t>
      </w:r>
      <w:r w:rsidRPr="007F2A2D">
        <w:rPr>
          <w:rFonts w:ascii="Arial" w:hAnsi="Arial" w:cs="Arial"/>
        </w:rPr>
        <w:t xml:space="preserve">, 4(Suppl_1):638.  </w:t>
      </w:r>
      <w:hyperlink r:id="rId9" w:history="1">
        <w:r w:rsidRPr="007F2A2D">
          <w:rPr>
            <w:rStyle w:val="Hyperlink"/>
            <w:rFonts w:ascii="Arial" w:hAnsi="Arial" w:cs="Arial"/>
          </w:rPr>
          <w:t>https://doi.org/10.1093/geroni/igaa057.2187</w:t>
        </w:r>
      </w:hyperlink>
      <w:r w:rsidRPr="007F2A2D">
        <w:rPr>
          <w:rFonts w:ascii="Arial" w:hAnsi="Arial" w:cs="Arial"/>
        </w:rPr>
        <w:t xml:space="preserve">  (Accessed: 4 November 2025)</w:t>
      </w:r>
      <w:r w:rsidR="007F2A2D">
        <w:rPr>
          <w:rFonts w:ascii="Arial" w:hAnsi="Arial" w:cs="Arial"/>
        </w:rPr>
        <w:t>.</w:t>
      </w:r>
    </w:p>
    <w:p w14:paraId="20AA95D8" w14:textId="77777777" w:rsidR="00F96823" w:rsidRPr="00F96823" w:rsidRDefault="00F96823" w:rsidP="00F96823">
      <w:pPr>
        <w:pStyle w:val="ListParagraph"/>
        <w:spacing w:line="360" w:lineRule="auto"/>
        <w:rPr>
          <w:rFonts w:ascii="Arial" w:hAnsi="Arial" w:cs="Arial"/>
        </w:rPr>
      </w:pPr>
    </w:p>
    <w:p w14:paraId="4B434753" w14:textId="77777777" w:rsidR="00F96823" w:rsidRPr="007F2A2D" w:rsidRDefault="00F96823" w:rsidP="007F2A2D">
      <w:pPr>
        <w:spacing w:line="360" w:lineRule="auto"/>
        <w:rPr>
          <w:rFonts w:ascii="Arial" w:hAnsi="Arial" w:cs="Arial"/>
        </w:rPr>
      </w:pPr>
      <w:r w:rsidRPr="007F2A2D">
        <w:rPr>
          <w:rFonts w:ascii="Arial" w:hAnsi="Arial" w:cs="Arial"/>
        </w:rPr>
        <w:t xml:space="preserve">Lee, S.W.H. &amp; Teh, P.-L. (2020) ‘“Suiting up” to enhance empathy toward aging: A randomised controlled study’, </w:t>
      </w:r>
      <w:r w:rsidRPr="007F2A2D">
        <w:rPr>
          <w:rFonts w:ascii="Arial" w:hAnsi="Arial" w:cs="Arial"/>
          <w:i/>
          <w:iCs/>
        </w:rPr>
        <w:t>Frontiers in Public Health</w:t>
      </w:r>
      <w:r w:rsidRPr="007F2A2D">
        <w:rPr>
          <w:rFonts w:ascii="Arial" w:hAnsi="Arial" w:cs="Arial"/>
        </w:rPr>
        <w:t xml:space="preserve">, 8:376.  </w:t>
      </w:r>
      <w:hyperlink r:id="rId10" w:tgtFrame="_new" w:history="1">
        <w:r w:rsidRPr="007F2A2D">
          <w:rPr>
            <w:rStyle w:val="Hyperlink"/>
            <w:rFonts w:ascii="Arial" w:hAnsi="Arial" w:cs="Arial"/>
          </w:rPr>
          <w:t>https://www.frontiersin.org/articles/10.3389/fpubh.2020.00376/full</w:t>
        </w:r>
      </w:hyperlink>
      <w:r w:rsidRPr="007F2A2D">
        <w:rPr>
          <w:rFonts w:ascii="Arial" w:hAnsi="Arial" w:cs="Arial"/>
        </w:rPr>
        <w:t xml:space="preserve"> (Accessed: 4 November 2025).</w:t>
      </w:r>
    </w:p>
    <w:p w14:paraId="6F141C68" w14:textId="77777777" w:rsidR="00F96823" w:rsidRPr="00F96823" w:rsidRDefault="00F96823" w:rsidP="00F96823">
      <w:pPr>
        <w:spacing w:line="360" w:lineRule="auto"/>
        <w:rPr>
          <w:rFonts w:ascii="Arial" w:hAnsi="Arial" w:cs="Arial"/>
        </w:rPr>
      </w:pPr>
    </w:p>
    <w:p w14:paraId="7192B924" w14:textId="77777777" w:rsidR="00F96823" w:rsidRPr="007F2A2D" w:rsidRDefault="00F96823" w:rsidP="007F2A2D">
      <w:pPr>
        <w:spacing w:line="360" w:lineRule="auto"/>
        <w:rPr>
          <w:rFonts w:ascii="Arial" w:hAnsi="Arial" w:cs="Arial"/>
        </w:rPr>
      </w:pPr>
      <w:r w:rsidRPr="007F2A2D">
        <w:rPr>
          <w:rFonts w:ascii="Arial" w:hAnsi="Arial" w:cs="Arial"/>
        </w:rPr>
        <w:t xml:space="preserve">Skorupska, K., Jaskulska, A., </w:t>
      </w:r>
      <w:proofErr w:type="spellStart"/>
      <w:r w:rsidRPr="007F2A2D">
        <w:rPr>
          <w:rFonts w:ascii="Arial" w:hAnsi="Arial" w:cs="Arial"/>
        </w:rPr>
        <w:t>Masłyk</w:t>
      </w:r>
      <w:proofErr w:type="spellEnd"/>
      <w:r w:rsidRPr="007F2A2D">
        <w:rPr>
          <w:rFonts w:ascii="Arial" w:hAnsi="Arial" w:cs="Arial"/>
        </w:rPr>
        <w:t xml:space="preserve">, R., Paluch, J., </w:t>
      </w:r>
      <w:proofErr w:type="spellStart"/>
      <w:r w:rsidRPr="007F2A2D">
        <w:rPr>
          <w:rFonts w:ascii="Arial" w:hAnsi="Arial" w:cs="Arial"/>
        </w:rPr>
        <w:t>Nielek</w:t>
      </w:r>
      <w:proofErr w:type="spellEnd"/>
      <w:r w:rsidRPr="007F2A2D">
        <w:rPr>
          <w:rFonts w:ascii="Arial" w:hAnsi="Arial" w:cs="Arial"/>
        </w:rPr>
        <w:t xml:space="preserve">, R. &amp; </w:t>
      </w:r>
      <w:proofErr w:type="spellStart"/>
      <w:r w:rsidRPr="007F2A2D">
        <w:rPr>
          <w:rFonts w:ascii="Arial" w:hAnsi="Arial" w:cs="Arial"/>
        </w:rPr>
        <w:t>Kopeć</w:t>
      </w:r>
      <w:proofErr w:type="spellEnd"/>
      <w:r w:rsidRPr="007F2A2D">
        <w:rPr>
          <w:rFonts w:ascii="Arial" w:hAnsi="Arial" w:cs="Arial"/>
        </w:rPr>
        <w:t xml:space="preserve">, W. (2022) ‘Older adults’ motivation and engagement with diverse crowdsourcing citizen science tasks’, </w:t>
      </w:r>
      <w:proofErr w:type="spellStart"/>
      <w:r w:rsidRPr="007F2A2D">
        <w:rPr>
          <w:rFonts w:ascii="Arial" w:hAnsi="Arial" w:cs="Arial"/>
          <w:i/>
          <w:iCs/>
        </w:rPr>
        <w:t>arXiv</w:t>
      </w:r>
      <w:proofErr w:type="spellEnd"/>
      <w:r w:rsidRPr="007F2A2D">
        <w:rPr>
          <w:rFonts w:ascii="Arial" w:hAnsi="Arial" w:cs="Arial"/>
          <w:i/>
          <w:iCs/>
        </w:rPr>
        <w:t xml:space="preserve"> preprint</w:t>
      </w:r>
      <w:r w:rsidRPr="007F2A2D">
        <w:rPr>
          <w:rFonts w:ascii="Arial" w:hAnsi="Arial" w:cs="Arial"/>
        </w:rPr>
        <w:t xml:space="preserve"> (July 7, 2022).  </w:t>
      </w:r>
      <w:hyperlink r:id="rId11" w:tgtFrame="_new" w:history="1">
        <w:r w:rsidRPr="007F2A2D">
          <w:rPr>
            <w:rStyle w:val="Hyperlink"/>
            <w:rFonts w:ascii="Arial" w:hAnsi="Arial" w:cs="Arial"/>
          </w:rPr>
          <w:t>https://arxiv.org/abs/2207.03184</w:t>
        </w:r>
      </w:hyperlink>
      <w:r w:rsidRPr="007F2A2D">
        <w:rPr>
          <w:rFonts w:ascii="Arial" w:hAnsi="Arial" w:cs="Arial"/>
        </w:rPr>
        <w:t xml:space="preserve"> (Accessed: 4 November 2025). </w:t>
      </w:r>
      <w:hyperlink r:id="rId12" w:tgtFrame="_blank" w:history="1">
        <w:r w:rsidRPr="007F2A2D">
          <w:rPr>
            <w:rStyle w:val="Hyperlink"/>
            <w:rFonts w:ascii="Arial" w:hAnsi="Arial" w:cs="Arial"/>
          </w:rPr>
          <w:t>#</w:t>
        </w:r>
      </w:hyperlink>
    </w:p>
    <w:p w14:paraId="24D5818E" w14:textId="77777777" w:rsidR="00F96823" w:rsidRPr="00F96823" w:rsidRDefault="00F96823" w:rsidP="00F96823">
      <w:pPr>
        <w:spacing w:line="360" w:lineRule="auto"/>
        <w:rPr>
          <w:rFonts w:ascii="Arial" w:hAnsi="Arial" w:cs="Arial"/>
        </w:rPr>
      </w:pPr>
    </w:p>
    <w:p w14:paraId="2DD7F895" w14:textId="03C275E2" w:rsidR="00F96823" w:rsidRPr="007F2A2D" w:rsidRDefault="00F96823" w:rsidP="007F2A2D">
      <w:pPr>
        <w:spacing w:line="360" w:lineRule="auto"/>
        <w:rPr>
          <w:rFonts w:ascii="Arial" w:hAnsi="Arial" w:cs="Arial"/>
        </w:rPr>
      </w:pPr>
      <w:r w:rsidRPr="007F2A2D">
        <w:rPr>
          <w:rFonts w:ascii="Arial" w:hAnsi="Arial" w:cs="Arial"/>
        </w:rPr>
        <w:t xml:space="preserve">Vaillant, G.E. &amp; Milofsky, E. (2021) ‘Midlife </w:t>
      </w:r>
      <w:proofErr w:type="spellStart"/>
      <w:r w:rsidRPr="007F2A2D">
        <w:rPr>
          <w:rFonts w:ascii="Arial" w:hAnsi="Arial" w:cs="Arial"/>
        </w:rPr>
        <w:t>Eriksonian</w:t>
      </w:r>
      <w:proofErr w:type="spellEnd"/>
      <w:r w:rsidRPr="007F2A2D">
        <w:rPr>
          <w:rFonts w:ascii="Arial" w:hAnsi="Arial" w:cs="Arial"/>
        </w:rPr>
        <w:t xml:space="preserve"> psychosocial development: Setting the stage for late-life cognitive and emotional health’, </w:t>
      </w:r>
      <w:r w:rsidRPr="007F2A2D">
        <w:rPr>
          <w:rFonts w:ascii="Arial" w:hAnsi="Arial" w:cs="Arial"/>
          <w:i/>
          <w:iCs/>
        </w:rPr>
        <w:t>American Journal of Geriatric Psychiatry</w:t>
      </w:r>
      <w:r w:rsidRPr="007F2A2D">
        <w:rPr>
          <w:rFonts w:ascii="Arial" w:hAnsi="Arial" w:cs="Arial"/>
        </w:rPr>
        <w:t xml:space="preserve">, 29(2), pp. 154-163.  </w:t>
      </w:r>
      <w:hyperlink r:id="rId13" w:tgtFrame="_new" w:history="1">
        <w:r w:rsidRPr="007F2A2D">
          <w:rPr>
            <w:rStyle w:val="Hyperlink"/>
            <w:rFonts w:ascii="Arial" w:hAnsi="Arial" w:cs="Arial"/>
          </w:rPr>
          <w:t>https://pubmed.ncbi.nlm.nih.gov/26551530/</w:t>
        </w:r>
      </w:hyperlink>
      <w:r w:rsidRPr="007F2A2D">
        <w:rPr>
          <w:rFonts w:ascii="Arial" w:hAnsi="Arial" w:cs="Arial"/>
        </w:rPr>
        <w:t xml:space="preserve"> (Accessed: 4 November 2025</w:t>
      </w:r>
      <w:r w:rsidR="007F2A2D">
        <w:rPr>
          <w:rFonts w:ascii="Arial" w:hAnsi="Arial" w:cs="Arial"/>
        </w:rPr>
        <w:t>).</w:t>
      </w:r>
    </w:p>
    <w:p w14:paraId="5168375B" w14:textId="77777777" w:rsidR="00F96823" w:rsidRPr="00F96823" w:rsidRDefault="00F96823" w:rsidP="00F96823">
      <w:pPr>
        <w:spacing w:line="360" w:lineRule="auto"/>
        <w:rPr>
          <w:rFonts w:ascii="Arial" w:hAnsi="Arial" w:cs="Arial"/>
        </w:rPr>
      </w:pPr>
    </w:p>
    <w:p w14:paraId="262085FC" w14:textId="77777777" w:rsidR="00F96823" w:rsidRPr="007F2A2D" w:rsidRDefault="00F96823" w:rsidP="007F2A2D">
      <w:pPr>
        <w:spacing w:line="360" w:lineRule="auto"/>
        <w:rPr>
          <w:rFonts w:ascii="Arial" w:hAnsi="Arial" w:cs="Arial"/>
        </w:rPr>
      </w:pPr>
      <w:r w:rsidRPr="007F2A2D">
        <w:rPr>
          <w:rFonts w:ascii="Arial" w:hAnsi="Arial" w:cs="Arial"/>
        </w:rPr>
        <w:t xml:space="preserve">Wong, I.Y.F. (2025) ‘Exploring the extended impacts on psychological well-being of older adults: fulfilment of underlying psychological demands’, </w:t>
      </w:r>
      <w:r w:rsidRPr="007F2A2D">
        <w:rPr>
          <w:rFonts w:ascii="Arial" w:hAnsi="Arial" w:cs="Arial"/>
          <w:i/>
          <w:iCs/>
        </w:rPr>
        <w:t>Journal of Gerontology: Psychological Sciences</w:t>
      </w:r>
      <w:r w:rsidRPr="007F2A2D">
        <w:rPr>
          <w:rFonts w:ascii="Arial" w:hAnsi="Arial" w:cs="Arial"/>
        </w:rPr>
        <w:t xml:space="preserve">, 80(5), pp. 567-579.  </w:t>
      </w:r>
      <w:hyperlink r:id="rId14" w:tgtFrame="_new" w:history="1">
        <w:r w:rsidRPr="007F2A2D">
          <w:rPr>
            <w:rStyle w:val="Hyperlink"/>
            <w:rFonts w:ascii="Arial" w:hAnsi="Arial" w:cs="Arial"/>
          </w:rPr>
          <w:t>https://www.sciencedirect.com/science/article/pii/S2666142X25000773</w:t>
        </w:r>
      </w:hyperlink>
      <w:r w:rsidRPr="007F2A2D">
        <w:rPr>
          <w:rFonts w:ascii="Arial" w:hAnsi="Arial" w:cs="Arial"/>
        </w:rPr>
        <w:t xml:space="preserve"> (Accessed: 4 November 2025).</w:t>
      </w:r>
    </w:p>
    <w:p w14:paraId="48C0EBEA" w14:textId="77777777" w:rsidR="00F96823" w:rsidRPr="00F96823" w:rsidRDefault="00F96823" w:rsidP="00F96823">
      <w:pPr>
        <w:spacing w:line="360" w:lineRule="auto"/>
        <w:rPr>
          <w:rFonts w:ascii="Arial" w:hAnsi="Arial" w:cs="Arial"/>
        </w:rPr>
      </w:pPr>
    </w:p>
    <w:p w14:paraId="2C2741E8" w14:textId="77777777" w:rsidR="00F96823" w:rsidRPr="007F2A2D" w:rsidRDefault="00F96823" w:rsidP="007F2A2D">
      <w:pPr>
        <w:spacing w:line="360" w:lineRule="auto"/>
        <w:rPr>
          <w:rFonts w:ascii="Arial" w:hAnsi="Arial" w:cs="Arial"/>
        </w:rPr>
      </w:pPr>
      <w:r w:rsidRPr="007F2A2D">
        <w:rPr>
          <w:rFonts w:ascii="Arial" w:hAnsi="Arial" w:cs="Arial"/>
        </w:rPr>
        <w:t xml:space="preserve">Yeung, F., et al. (2021) ‘Age-related changes in the role of social motivation: Implications for healthy ageing’, </w:t>
      </w:r>
      <w:r w:rsidRPr="007F2A2D">
        <w:rPr>
          <w:rFonts w:ascii="Arial" w:hAnsi="Arial" w:cs="Arial"/>
          <w:i/>
          <w:iCs/>
        </w:rPr>
        <w:t>The Journals of Gerontology: Series B</w:t>
      </w:r>
      <w:r w:rsidRPr="007F2A2D">
        <w:rPr>
          <w:rFonts w:ascii="Arial" w:hAnsi="Arial" w:cs="Arial"/>
        </w:rPr>
        <w:t xml:space="preserve">, 76(Supplement_2), pp. S115-S124.  </w:t>
      </w:r>
      <w:hyperlink r:id="rId15" w:history="1">
        <w:r w:rsidRPr="007F2A2D">
          <w:rPr>
            <w:rStyle w:val="Hyperlink"/>
            <w:rFonts w:ascii="Arial" w:hAnsi="Arial" w:cs="Arial"/>
          </w:rPr>
          <w:t>https://doi.org/10.1093/geronb/gbab043</w:t>
        </w:r>
      </w:hyperlink>
      <w:r w:rsidRPr="007F2A2D">
        <w:rPr>
          <w:rFonts w:ascii="Arial" w:hAnsi="Arial" w:cs="Arial"/>
        </w:rPr>
        <w:t xml:space="preserve">  (Accessed: 4 November 2025).</w:t>
      </w:r>
    </w:p>
    <w:p w14:paraId="79182936" w14:textId="77777777" w:rsidR="00F96823" w:rsidRPr="00F96823" w:rsidRDefault="00F96823" w:rsidP="00F96823">
      <w:pPr>
        <w:spacing w:line="360" w:lineRule="auto"/>
        <w:rPr>
          <w:rFonts w:ascii="Arial" w:hAnsi="Arial" w:cs="Arial"/>
        </w:rPr>
      </w:pPr>
    </w:p>
    <w:p w14:paraId="2EF1E4D8" w14:textId="77777777" w:rsidR="00F96823" w:rsidRPr="00F96823" w:rsidRDefault="00F96823" w:rsidP="00F96823">
      <w:pPr>
        <w:spacing w:line="360" w:lineRule="auto"/>
        <w:rPr>
          <w:rFonts w:ascii="Arial" w:hAnsi="Arial" w:cs="Arial"/>
        </w:rPr>
      </w:pPr>
    </w:p>
    <w:p w14:paraId="10E4FF6C" w14:textId="77777777" w:rsidR="00F96823" w:rsidRPr="00F96823" w:rsidRDefault="00F96823" w:rsidP="00F96823">
      <w:pPr>
        <w:spacing w:line="360" w:lineRule="auto"/>
        <w:rPr>
          <w:rFonts w:ascii="Arial" w:hAnsi="Arial" w:cs="Arial"/>
        </w:rPr>
      </w:pPr>
    </w:p>
    <w:p w14:paraId="3C279A9E" w14:textId="77777777" w:rsidR="00F96823" w:rsidRPr="00F96823" w:rsidRDefault="00F96823" w:rsidP="00F96823">
      <w:pPr>
        <w:spacing w:line="360" w:lineRule="auto"/>
        <w:rPr>
          <w:rFonts w:ascii="Arial" w:hAnsi="Arial" w:cs="Arial"/>
        </w:rPr>
      </w:pPr>
    </w:p>
    <w:p w14:paraId="45C2417B" w14:textId="77777777" w:rsidR="00F96823" w:rsidRPr="00F96823" w:rsidRDefault="00F96823" w:rsidP="00F96823">
      <w:pPr>
        <w:rPr>
          <w:rFonts w:ascii="Arial" w:hAnsi="Arial" w:cs="Arial"/>
        </w:rPr>
      </w:pPr>
    </w:p>
    <w:p w14:paraId="7CC6EAAE" w14:textId="77777777" w:rsidR="00652E23" w:rsidRPr="00F96823" w:rsidRDefault="00652E23">
      <w:pPr>
        <w:rPr>
          <w:rFonts w:ascii="Arial" w:hAnsi="Arial" w:cs="Arial"/>
        </w:rPr>
      </w:pPr>
    </w:p>
    <w:sectPr w:rsidR="00652E23" w:rsidRPr="00F96823" w:rsidSect="00F9682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C6DCD"/>
    <w:multiLevelType w:val="hybridMultilevel"/>
    <w:tmpl w:val="597A0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635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23"/>
    <w:rsid w:val="00043F69"/>
    <w:rsid w:val="00075264"/>
    <w:rsid w:val="002B7CDA"/>
    <w:rsid w:val="00346370"/>
    <w:rsid w:val="00617C2D"/>
    <w:rsid w:val="00652E23"/>
    <w:rsid w:val="006E7727"/>
    <w:rsid w:val="00734866"/>
    <w:rsid w:val="007459CE"/>
    <w:rsid w:val="00791132"/>
    <w:rsid w:val="007F2A2D"/>
    <w:rsid w:val="009A1886"/>
    <w:rsid w:val="00A56E17"/>
    <w:rsid w:val="00B06716"/>
    <w:rsid w:val="00B86709"/>
    <w:rsid w:val="00BD2931"/>
    <w:rsid w:val="00C35EC3"/>
    <w:rsid w:val="00CD63B2"/>
    <w:rsid w:val="00E16888"/>
    <w:rsid w:val="00EB66BE"/>
    <w:rsid w:val="00F54435"/>
    <w:rsid w:val="00F84AA6"/>
    <w:rsid w:val="00F9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9424"/>
  <w15:chartTrackingRefBased/>
  <w15:docId w15:val="{4F973852-7CC1-4103-BC34-E976226F3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823"/>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652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2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E23"/>
    <w:rPr>
      <w:rFonts w:eastAsiaTheme="majorEastAsia" w:cstheme="majorBidi"/>
      <w:color w:val="272727" w:themeColor="text1" w:themeTint="D8"/>
    </w:rPr>
  </w:style>
  <w:style w:type="paragraph" w:styleId="Title">
    <w:name w:val="Title"/>
    <w:basedOn w:val="Normal"/>
    <w:next w:val="Normal"/>
    <w:link w:val="TitleChar"/>
    <w:uiPriority w:val="10"/>
    <w:qFormat/>
    <w:rsid w:val="00652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E23"/>
    <w:pPr>
      <w:spacing w:before="160"/>
      <w:jc w:val="center"/>
    </w:pPr>
    <w:rPr>
      <w:i/>
      <w:iCs/>
      <w:color w:val="404040" w:themeColor="text1" w:themeTint="BF"/>
    </w:rPr>
  </w:style>
  <w:style w:type="character" w:customStyle="1" w:styleId="QuoteChar">
    <w:name w:val="Quote Char"/>
    <w:basedOn w:val="DefaultParagraphFont"/>
    <w:link w:val="Quote"/>
    <w:uiPriority w:val="29"/>
    <w:rsid w:val="00652E23"/>
    <w:rPr>
      <w:i/>
      <w:iCs/>
      <w:color w:val="404040" w:themeColor="text1" w:themeTint="BF"/>
    </w:rPr>
  </w:style>
  <w:style w:type="paragraph" w:styleId="ListParagraph">
    <w:name w:val="List Paragraph"/>
    <w:basedOn w:val="Normal"/>
    <w:uiPriority w:val="34"/>
    <w:qFormat/>
    <w:rsid w:val="00652E23"/>
    <w:pPr>
      <w:ind w:left="720"/>
      <w:contextualSpacing/>
    </w:pPr>
  </w:style>
  <w:style w:type="character" w:styleId="IntenseEmphasis">
    <w:name w:val="Intense Emphasis"/>
    <w:basedOn w:val="DefaultParagraphFont"/>
    <w:uiPriority w:val="21"/>
    <w:qFormat/>
    <w:rsid w:val="00652E23"/>
    <w:rPr>
      <w:i/>
      <w:iCs/>
      <w:color w:val="0F4761" w:themeColor="accent1" w:themeShade="BF"/>
    </w:rPr>
  </w:style>
  <w:style w:type="paragraph" w:styleId="IntenseQuote">
    <w:name w:val="Intense Quote"/>
    <w:basedOn w:val="Normal"/>
    <w:next w:val="Normal"/>
    <w:link w:val="IntenseQuoteChar"/>
    <w:uiPriority w:val="30"/>
    <w:qFormat/>
    <w:rsid w:val="00652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E23"/>
    <w:rPr>
      <w:i/>
      <w:iCs/>
      <w:color w:val="0F4761" w:themeColor="accent1" w:themeShade="BF"/>
    </w:rPr>
  </w:style>
  <w:style w:type="character" w:styleId="IntenseReference">
    <w:name w:val="Intense Reference"/>
    <w:basedOn w:val="DefaultParagraphFont"/>
    <w:uiPriority w:val="32"/>
    <w:qFormat/>
    <w:rsid w:val="00652E23"/>
    <w:rPr>
      <w:b/>
      <w:bCs/>
      <w:smallCaps/>
      <w:color w:val="0F4761" w:themeColor="accent1" w:themeShade="BF"/>
      <w:spacing w:val="5"/>
    </w:rPr>
  </w:style>
  <w:style w:type="paragraph" w:styleId="NoSpacing">
    <w:name w:val="No Spacing"/>
    <w:uiPriority w:val="1"/>
    <w:qFormat/>
    <w:rsid w:val="00F96823"/>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F968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59/000509681" TargetMode="External"/><Relationship Id="rId13" Type="http://schemas.openxmlformats.org/officeDocument/2006/relationships/hyperlink" Target="https://pubmed.ncbi.nlm.nih.gov/26551530/?utm_source=chatgpt.com" TargetMode="Externa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hyperlink" Target="https://arxiv.org/abs/2207.03184?utm_source=chatgp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xiv.org/abs/2207.03184?utm_source=chatgpt.com" TargetMode="External"/><Relationship Id="rId5" Type="http://schemas.openxmlformats.org/officeDocument/2006/relationships/settings" Target="settings.xml"/><Relationship Id="rId15" Type="http://schemas.openxmlformats.org/officeDocument/2006/relationships/hyperlink" Target="https://doi.org/10.1093/geronb/gbab043" TargetMode="External"/><Relationship Id="rId10" Type="http://schemas.openxmlformats.org/officeDocument/2006/relationships/hyperlink" Target="https://www.frontiersin.org/articles/10.3389/fpubh.2020.00376/full" TargetMode="External"/><Relationship Id="rId4" Type="http://schemas.openxmlformats.org/officeDocument/2006/relationships/styles" Target="styles.xml"/><Relationship Id="rId9" Type="http://schemas.openxmlformats.org/officeDocument/2006/relationships/hyperlink" Target="https://doi.org/10.1093/geroni/igaa057.2187" TargetMode="External"/><Relationship Id="rId14" Type="http://schemas.openxmlformats.org/officeDocument/2006/relationships/hyperlink" Target="https://www.sciencedirect.com/science/article/pii/S2666142X2500077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C908AA-B99F-4A09-889D-27AFFF6EB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8</Pages>
  <Words>1929</Words>
  <Characters>12969</Characters>
  <Application>Microsoft Office Word</Application>
  <DocSecurity>0</DocSecurity>
  <Lines>227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Certificate of Higher Education in Health and Social</dc:subject>
  <dc:creator>Saheeda Miah (2422429)</dc:creator>
  <cp:keywords/>
  <dc:description/>
  <cp:lastModifiedBy>Saheeda Miah (2422429)</cp:lastModifiedBy>
  <cp:revision>17</cp:revision>
  <dcterms:created xsi:type="dcterms:W3CDTF">2025-11-08T18:00:00Z</dcterms:created>
  <dcterms:modified xsi:type="dcterms:W3CDTF">2025-11-11T21:10:00Z</dcterms:modified>
  <cp:category>Psychology in Health and Social Care</cp:category>
</cp:coreProperties>
</file>