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7B309" w14:textId="77777777" w:rsidR="00FD74C8" w:rsidRPr="002124BC" w:rsidRDefault="00AA58F9" w:rsidP="004D4E42">
      <w:pPr>
        <w:jc w:val="center"/>
        <w:rPr>
          <w:rFonts w:asciiTheme="minorBidi" w:hAnsiTheme="minorBidi"/>
          <w:sz w:val="32"/>
          <w:szCs w:val="32"/>
        </w:rPr>
      </w:pPr>
      <w:r w:rsidRPr="002124BC">
        <w:rPr>
          <w:rFonts w:asciiTheme="minorBidi" w:hAnsiTheme="minorBidi"/>
          <w:noProof/>
          <w:sz w:val="32"/>
          <w:szCs w:val="32"/>
          <w:lang w:eastAsia="en-GB"/>
        </w:rPr>
        <w:drawing>
          <wp:inline distT="0" distB="0" distL="0" distR="0" wp14:anchorId="6FB3F27E" wp14:editId="656AC4A1">
            <wp:extent cx="3596640" cy="20726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 of Wales Heraldic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97437" cy="2073099"/>
                    </a:xfrm>
                    <a:prstGeom prst="rect">
                      <a:avLst/>
                    </a:prstGeom>
                  </pic:spPr>
                </pic:pic>
              </a:graphicData>
            </a:graphic>
          </wp:inline>
        </w:drawing>
      </w:r>
    </w:p>
    <w:p w14:paraId="20E47313" w14:textId="767E60E3" w:rsidR="00FD74C8" w:rsidRPr="002124BC" w:rsidRDefault="00FD74C8" w:rsidP="003F6401">
      <w:pPr>
        <w:jc w:val="center"/>
        <w:rPr>
          <w:rFonts w:asciiTheme="minorBidi" w:hAnsiTheme="minorBidi"/>
          <w:bCs/>
          <w:sz w:val="32"/>
          <w:szCs w:val="32"/>
        </w:rPr>
      </w:pPr>
      <w:r w:rsidRPr="002124BC">
        <w:rPr>
          <w:rFonts w:asciiTheme="minorBidi" w:hAnsiTheme="minorBidi"/>
          <w:bCs/>
          <w:sz w:val="32"/>
          <w:szCs w:val="32"/>
        </w:rPr>
        <w:t>ASSESSMENT COMPONENT 1</w:t>
      </w:r>
    </w:p>
    <w:p w14:paraId="09557053" w14:textId="6957D262" w:rsidR="00FD74C8" w:rsidRPr="002124BC" w:rsidRDefault="00FD74C8" w:rsidP="003F6401">
      <w:pPr>
        <w:jc w:val="center"/>
        <w:rPr>
          <w:rFonts w:asciiTheme="minorBidi" w:hAnsiTheme="minorBidi"/>
          <w:bCs/>
          <w:sz w:val="32"/>
          <w:szCs w:val="32"/>
        </w:rPr>
      </w:pPr>
      <w:r w:rsidRPr="002124BC">
        <w:rPr>
          <w:rFonts w:asciiTheme="minorBidi" w:hAnsiTheme="minorBidi"/>
          <w:bCs/>
          <w:sz w:val="32"/>
          <w:szCs w:val="32"/>
        </w:rPr>
        <w:t>MARKETING ENVIRONMENT ANALYSIS</w:t>
      </w:r>
    </w:p>
    <w:p w14:paraId="2DC2E251" w14:textId="77777777" w:rsidR="00FD74C8" w:rsidRPr="002124BC" w:rsidRDefault="00FD74C8" w:rsidP="00AA58F9">
      <w:pPr>
        <w:spacing w:line="360" w:lineRule="auto"/>
        <w:jc w:val="center"/>
        <w:rPr>
          <w:rFonts w:asciiTheme="minorBidi" w:hAnsiTheme="minorBidi"/>
          <w:bCs/>
          <w:sz w:val="32"/>
          <w:szCs w:val="32"/>
        </w:rPr>
      </w:pPr>
      <w:r w:rsidRPr="002124BC">
        <w:rPr>
          <w:rFonts w:asciiTheme="minorBidi" w:hAnsiTheme="minorBidi"/>
          <w:bCs/>
          <w:sz w:val="32"/>
          <w:szCs w:val="32"/>
        </w:rPr>
        <w:t>A Critical Analysis of BHP’s Marketing Environment, Strategic Growth and Competitive Positioning During the Transition Towards Lower-Carbon Products</w:t>
      </w:r>
    </w:p>
    <w:p w14:paraId="2870FFD0" w14:textId="77777777" w:rsidR="00FD74C8" w:rsidRPr="002124BC" w:rsidRDefault="00FD74C8" w:rsidP="00FD74C8">
      <w:pPr>
        <w:jc w:val="center"/>
        <w:rPr>
          <w:rFonts w:asciiTheme="minorBidi" w:hAnsiTheme="minorBidi"/>
          <w:sz w:val="32"/>
          <w:szCs w:val="32"/>
        </w:rPr>
      </w:pPr>
    </w:p>
    <w:p w14:paraId="0C9C8565" w14:textId="77777777" w:rsidR="003F6401" w:rsidRPr="002124BC" w:rsidRDefault="003F6401" w:rsidP="003F6401">
      <w:pPr>
        <w:spacing w:line="360" w:lineRule="auto"/>
        <w:jc w:val="center"/>
        <w:rPr>
          <w:rFonts w:asciiTheme="minorBidi" w:hAnsiTheme="minorBidi"/>
          <w:sz w:val="32"/>
          <w:szCs w:val="32"/>
          <w:lang w:val="en-US"/>
        </w:rPr>
      </w:pPr>
      <w:r w:rsidRPr="002124BC">
        <w:rPr>
          <w:rFonts w:asciiTheme="minorBidi" w:hAnsiTheme="minorBidi"/>
          <w:sz w:val="32"/>
          <w:szCs w:val="32"/>
          <w:lang w:val="en-US"/>
        </w:rPr>
        <w:t xml:space="preserve">Student Name: </w:t>
      </w:r>
      <w:proofErr w:type="spellStart"/>
      <w:r w:rsidRPr="002124BC">
        <w:rPr>
          <w:rFonts w:asciiTheme="minorBidi" w:hAnsiTheme="minorBidi"/>
          <w:sz w:val="32"/>
          <w:szCs w:val="32"/>
          <w:lang w:val="en-US"/>
        </w:rPr>
        <w:t>Sejalben</w:t>
      </w:r>
      <w:proofErr w:type="spellEnd"/>
      <w:r w:rsidRPr="002124BC">
        <w:rPr>
          <w:rFonts w:asciiTheme="minorBidi" w:hAnsiTheme="minorBidi"/>
          <w:sz w:val="32"/>
          <w:szCs w:val="32"/>
          <w:lang w:val="en-US"/>
        </w:rPr>
        <w:t xml:space="preserve"> </w:t>
      </w:r>
      <w:proofErr w:type="spellStart"/>
      <w:r w:rsidRPr="002124BC">
        <w:rPr>
          <w:rFonts w:asciiTheme="minorBidi" w:hAnsiTheme="minorBidi"/>
          <w:sz w:val="32"/>
          <w:szCs w:val="32"/>
          <w:lang w:val="en-US"/>
        </w:rPr>
        <w:t>Keshwala</w:t>
      </w:r>
      <w:proofErr w:type="spellEnd"/>
    </w:p>
    <w:p w14:paraId="6BB6351A" w14:textId="77777777" w:rsidR="003F6401" w:rsidRPr="002124BC" w:rsidRDefault="003F6401" w:rsidP="003F6401">
      <w:pPr>
        <w:spacing w:line="360" w:lineRule="auto"/>
        <w:jc w:val="center"/>
        <w:rPr>
          <w:rFonts w:asciiTheme="minorBidi" w:hAnsiTheme="minorBidi"/>
          <w:sz w:val="32"/>
          <w:szCs w:val="32"/>
          <w:lang w:val="en-US"/>
        </w:rPr>
      </w:pPr>
      <w:r w:rsidRPr="002124BC">
        <w:rPr>
          <w:rFonts w:asciiTheme="minorBidi" w:hAnsiTheme="minorBidi"/>
          <w:sz w:val="32"/>
          <w:szCs w:val="32"/>
          <w:lang w:val="en-US"/>
        </w:rPr>
        <w:t xml:space="preserve"> Student id: 2612433</w:t>
      </w:r>
    </w:p>
    <w:p w14:paraId="283DA26E" w14:textId="77777777" w:rsidR="00C20115" w:rsidRPr="002124BC" w:rsidRDefault="00C20115" w:rsidP="00C20115">
      <w:pPr>
        <w:spacing w:line="360" w:lineRule="auto"/>
        <w:jc w:val="center"/>
        <w:rPr>
          <w:rFonts w:asciiTheme="minorBidi" w:hAnsiTheme="minorBidi"/>
          <w:sz w:val="32"/>
          <w:szCs w:val="32"/>
          <w:lang w:val="en-US"/>
        </w:rPr>
      </w:pPr>
      <w:r w:rsidRPr="002124BC">
        <w:rPr>
          <w:rFonts w:asciiTheme="minorBidi" w:hAnsiTheme="minorBidi"/>
          <w:sz w:val="32"/>
          <w:szCs w:val="32"/>
          <w:lang w:val="en-US"/>
        </w:rPr>
        <w:t>Lecturer:</w:t>
      </w:r>
    </w:p>
    <w:p w14:paraId="414B1860" w14:textId="77777777" w:rsidR="00C20115" w:rsidRPr="002124BC" w:rsidRDefault="00C20115" w:rsidP="00C20115">
      <w:pPr>
        <w:spacing w:line="360" w:lineRule="auto"/>
        <w:jc w:val="center"/>
        <w:rPr>
          <w:rFonts w:asciiTheme="minorBidi" w:hAnsiTheme="minorBidi"/>
          <w:sz w:val="32"/>
          <w:szCs w:val="32"/>
          <w:lang w:val="en-US"/>
        </w:rPr>
      </w:pPr>
      <w:r w:rsidRPr="002124BC">
        <w:rPr>
          <w:rFonts w:asciiTheme="minorBidi" w:hAnsiTheme="minorBidi"/>
          <w:sz w:val="32"/>
          <w:szCs w:val="32"/>
          <w:lang w:val="en-US"/>
        </w:rPr>
        <w:t>Taonga Kaonga Sobere-</w:t>
      </w:r>
      <w:proofErr w:type="spellStart"/>
      <w:r w:rsidRPr="002124BC">
        <w:rPr>
          <w:rFonts w:asciiTheme="minorBidi" w:hAnsiTheme="minorBidi"/>
          <w:sz w:val="32"/>
          <w:szCs w:val="32"/>
          <w:lang w:val="en-US"/>
        </w:rPr>
        <w:t>Snithers</w:t>
      </w:r>
      <w:proofErr w:type="spellEnd"/>
      <w:r w:rsidRPr="002124BC">
        <w:rPr>
          <w:rFonts w:asciiTheme="minorBidi" w:hAnsiTheme="minorBidi"/>
          <w:sz w:val="32"/>
          <w:szCs w:val="32"/>
          <w:lang w:val="en-US"/>
        </w:rPr>
        <w:t xml:space="preserve"> (Birmingham)</w:t>
      </w:r>
    </w:p>
    <w:p w14:paraId="143666FB" w14:textId="77777777" w:rsidR="00C20115" w:rsidRPr="002124BC" w:rsidRDefault="00C20115" w:rsidP="003F6401">
      <w:pPr>
        <w:spacing w:line="360" w:lineRule="auto"/>
        <w:jc w:val="center"/>
        <w:rPr>
          <w:rFonts w:asciiTheme="minorBidi" w:hAnsiTheme="minorBidi"/>
          <w:sz w:val="32"/>
          <w:szCs w:val="32"/>
          <w:lang w:val="en-US"/>
        </w:rPr>
      </w:pPr>
    </w:p>
    <w:p w14:paraId="4F4DC076" w14:textId="77777777" w:rsidR="00FD74C8" w:rsidRPr="002124BC" w:rsidRDefault="00FD74C8" w:rsidP="00FD74C8">
      <w:pPr>
        <w:jc w:val="center"/>
        <w:rPr>
          <w:rFonts w:asciiTheme="minorBidi" w:hAnsiTheme="minorBidi"/>
          <w:sz w:val="32"/>
          <w:szCs w:val="32"/>
        </w:rPr>
      </w:pPr>
      <w:r w:rsidRPr="002124BC">
        <w:rPr>
          <w:rStyle w:val="Strong"/>
          <w:rFonts w:asciiTheme="minorBidi" w:hAnsiTheme="minorBidi"/>
          <w:sz w:val="32"/>
          <w:szCs w:val="32"/>
        </w:rPr>
        <w:t>Programme:</w:t>
      </w:r>
      <w:r w:rsidRPr="002124BC">
        <w:rPr>
          <w:rFonts w:asciiTheme="minorBidi" w:hAnsiTheme="minorBidi"/>
          <w:sz w:val="32"/>
          <w:szCs w:val="32"/>
        </w:rPr>
        <w:t xml:space="preserve"> </w:t>
      </w:r>
      <w:r w:rsidR="00F0141D" w:rsidRPr="002124BC">
        <w:rPr>
          <w:rFonts w:asciiTheme="minorBidi" w:hAnsiTheme="minorBidi"/>
          <w:sz w:val="32"/>
          <w:szCs w:val="32"/>
        </w:rPr>
        <w:t>Master of Business Administration</w:t>
      </w:r>
    </w:p>
    <w:p w14:paraId="74DD56CA" w14:textId="77777777" w:rsidR="00FD74C8" w:rsidRPr="002124BC" w:rsidRDefault="00FD74C8" w:rsidP="00FD74C8">
      <w:pPr>
        <w:jc w:val="center"/>
        <w:rPr>
          <w:rFonts w:asciiTheme="minorBidi" w:hAnsiTheme="minorBidi"/>
          <w:sz w:val="32"/>
          <w:szCs w:val="32"/>
        </w:rPr>
      </w:pPr>
      <w:r w:rsidRPr="002124BC">
        <w:rPr>
          <w:rStyle w:val="Strong"/>
          <w:rFonts w:asciiTheme="minorBidi" w:hAnsiTheme="minorBidi"/>
          <w:sz w:val="32"/>
          <w:szCs w:val="32"/>
        </w:rPr>
        <w:t>Module:</w:t>
      </w:r>
      <w:r w:rsidRPr="002124BC">
        <w:rPr>
          <w:rFonts w:asciiTheme="minorBidi" w:hAnsiTheme="minorBidi"/>
          <w:sz w:val="32"/>
          <w:szCs w:val="32"/>
        </w:rPr>
        <w:t xml:space="preserve"> Marketing Management</w:t>
      </w:r>
    </w:p>
    <w:p w14:paraId="6A57811C" w14:textId="77777777" w:rsidR="00FD74C8" w:rsidRPr="002124BC" w:rsidRDefault="00FD74C8" w:rsidP="00FD74C8">
      <w:pPr>
        <w:jc w:val="center"/>
        <w:rPr>
          <w:rFonts w:asciiTheme="minorBidi" w:hAnsiTheme="minorBidi"/>
          <w:sz w:val="32"/>
          <w:szCs w:val="32"/>
        </w:rPr>
      </w:pPr>
      <w:r w:rsidRPr="002124BC">
        <w:rPr>
          <w:rStyle w:val="Strong"/>
          <w:rFonts w:asciiTheme="minorBidi" w:hAnsiTheme="minorBidi"/>
          <w:sz w:val="32"/>
          <w:szCs w:val="32"/>
        </w:rPr>
        <w:t>Module Code:</w:t>
      </w:r>
      <w:r w:rsidRPr="002124BC">
        <w:rPr>
          <w:rFonts w:asciiTheme="minorBidi" w:hAnsiTheme="minorBidi"/>
          <w:sz w:val="32"/>
          <w:szCs w:val="32"/>
        </w:rPr>
        <w:t xml:space="preserve"> LCMB7024</w:t>
      </w:r>
    </w:p>
    <w:p w14:paraId="3A010795" w14:textId="77777777" w:rsidR="00FD74C8" w:rsidRPr="002124BC" w:rsidRDefault="00FD74C8" w:rsidP="00FD74C8">
      <w:pPr>
        <w:jc w:val="center"/>
        <w:rPr>
          <w:rFonts w:asciiTheme="minorBidi" w:hAnsiTheme="minorBidi"/>
          <w:sz w:val="32"/>
          <w:szCs w:val="32"/>
        </w:rPr>
      </w:pPr>
      <w:r w:rsidRPr="002124BC">
        <w:rPr>
          <w:rStyle w:val="Strong"/>
          <w:rFonts w:asciiTheme="minorBidi" w:hAnsiTheme="minorBidi"/>
          <w:sz w:val="32"/>
          <w:szCs w:val="32"/>
        </w:rPr>
        <w:t>Assessment:</w:t>
      </w:r>
      <w:r w:rsidRPr="002124BC">
        <w:rPr>
          <w:rFonts w:asciiTheme="minorBidi" w:hAnsiTheme="minorBidi"/>
          <w:sz w:val="32"/>
          <w:szCs w:val="32"/>
        </w:rPr>
        <w:t xml:space="preserve"> Component 1 – Marketing Environment Analysis</w:t>
      </w:r>
    </w:p>
    <w:p w14:paraId="4156829C" w14:textId="4618E1AC" w:rsidR="00FD74C8" w:rsidRPr="002124BC" w:rsidRDefault="00FD74C8" w:rsidP="002124BC">
      <w:pPr>
        <w:jc w:val="center"/>
        <w:rPr>
          <w:rFonts w:asciiTheme="minorBidi" w:hAnsiTheme="minorBidi"/>
          <w:sz w:val="32"/>
          <w:szCs w:val="32"/>
        </w:rPr>
      </w:pPr>
      <w:r w:rsidRPr="002124BC">
        <w:rPr>
          <w:rStyle w:val="Strong"/>
          <w:rFonts w:asciiTheme="minorBidi" w:hAnsiTheme="minorBidi"/>
          <w:sz w:val="32"/>
          <w:szCs w:val="32"/>
        </w:rPr>
        <w:t>Word Count:</w:t>
      </w:r>
      <w:r w:rsidRPr="002124BC">
        <w:rPr>
          <w:rFonts w:asciiTheme="minorBidi" w:hAnsiTheme="minorBidi"/>
          <w:sz w:val="32"/>
          <w:szCs w:val="32"/>
        </w:rPr>
        <w:t xml:space="preserve"> 2,500 words</w:t>
      </w:r>
    </w:p>
    <w:sdt>
      <w:sdtPr>
        <w:rPr>
          <w:rFonts w:asciiTheme="minorBidi" w:eastAsiaTheme="minorHAnsi" w:hAnsiTheme="minorBidi" w:cstheme="minorBidi"/>
          <w:b w:val="0"/>
          <w:bCs w:val="0"/>
          <w:color w:val="auto"/>
          <w:sz w:val="22"/>
          <w:szCs w:val="22"/>
          <w:lang w:val="en-GB" w:eastAsia="en-US"/>
        </w:rPr>
        <w:id w:val="1427770690"/>
        <w:docPartObj>
          <w:docPartGallery w:val="Table of Contents"/>
          <w:docPartUnique/>
        </w:docPartObj>
      </w:sdtPr>
      <w:sdtEndPr>
        <w:rPr>
          <w:noProof/>
          <w:sz w:val="24"/>
          <w:szCs w:val="24"/>
        </w:rPr>
      </w:sdtEndPr>
      <w:sdtContent>
        <w:p w14:paraId="0166D048" w14:textId="0609A00D" w:rsidR="004B76AC" w:rsidRPr="002124BC" w:rsidRDefault="004B76AC" w:rsidP="003F6401">
          <w:pPr>
            <w:pStyle w:val="TOCHeading"/>
            <w:jc w:val="center"/>
            <w:rPr>
              <w:rFonts w:asciiTheme="minorBidi" w:eastAsiaTheme="minorHAnsi" w:hAnsiTheme="minorBidi" w:cstheme="minorBidi"/>
              <w:b w:val="0"/>
              <w:bCs w:val="0"/>
              <w:color w:val="auto"/>
              <w:sz w:val="36"/>
              <w:szCs w:val="36"/>
              <w:lang w:val="en-GB" w:eastAsia="en-US"/>
            </w:rPr>
          </w:pPr>
          <w:r w:rsidRPr="002124BC">
            <w:rPr>
              <w:rFonts w:asciiTheme="minorBidi" w:hAnsiTheme="minorBidi" w:cstheme="minorBidi"/>
              <w:sz w:val="36"/>
              <w:szCs w:val="36"/>
            </w:rPr>
            <w:t>Table of Contents</w:t>
          </w:r>
        </w:p>
        <w:p w14:paraId="605114D3" w14:textId="77777777" w:rsidR="00FD74C8" w:rsidRPr="002124BC" w:rsidRDefault="00FD74C8" w:rsidP="00FD74C8">
          <w:pPr>
            <w:rPr>
              <w:rFonts w:asciiTheme="minorBidi" w:hAnsiTheme="minorBidi"/>
              <w:sz w:val="28"/>
              <w:szCs w:val="28"/>
              <w:lang w:val="en-US" w:eastAsia="ja-JP"/>
            </w:rPr>
          </w:pPr>
        </w:p>
        <w:p w14:paraId="2198C51D" w14:textId="77777777" w:rsidR="00FD74C8" w:rsidRPr="002124BC" w:rsidRDefault="004B76AC" w:rsidP="001F3485">
          <w:pPr>
            <w:pStyle w:val="TOC1"/>
            <w:tabs>
              <w:tab w:val="right" w:leader="dot" w:pos="9016"/>
            </w:tabs>
            <w:spacing w:line="360" w:lineRule="auto"/>
            <w:rPr>
              <w:rFonts w:asciiTheme="minorBidi" w:hAnsiTheme="minorBidi"/>
              <w:noProof/>
              <w:sz w:val="28"/>
              <w:szCs w:val="28"/>
            </w:rPr>
          </w:pPr>
          <w:r w:rsidRPr="002124BC">
            <w:rPr>
              <w:rFonts w:asciiTheme="minorBidi" w:hAnsiTheme="minorBidi"/>
              <w:sz w:val="28"/>
              <w:szCs w:val="28"/>
            </w:rPr>
            <w:fldChar w:fldCharType="begin"/>
          </w:r>
          <w:r w:rsidRPr="002124BC">
            <w:rPr>
              <w:rFonts w:asciiTheme="minorBidi" w:hAnsiTheme="minorBidi"/>
              <w:sz w:val="28"/>
              <w:szCs w:val="28"/>
            </w:rPr>
            <w:instrText xml:space="preserve"> TOC \o "1-3" \h \z \u </w:instrText>
          </w:r>
          <w:r w:rsidRPr="002124BC">
            <w:rPr>
              <w:rFonts w:asciiTheme="minorBidi" w:hAnsiTheme="minorBidi"/>
              <w:sz w:val="28"/>
              <w:szCs w:val="28"/>
            </w:rPr>
            <w:fldChar w:fldCharType="separate"/>
          </w:r>
          <w:hyperlink w:anchor="_Toc242287202" w:history="1">
            <w:r w:rsidR="00FD74C8" w:rsidRPr="002124BC">
              <w:rPr>
                <w:rStyle w:val="Hyperlink"/>
                <w:rFonts w:asciiTheme="minorBidi" w:hAnsiTheme="minorBidi"/>
                <w:noProof/>
                <w:sz w:val="28"/>
                <w:szCs w:val="28"/>
              </w:rPr>
              <w:t>1. Introduction</w:t>
            </w:r>
            <w:r w:rsidR="00FD74C8" w:rsidRPr="002124BC">
              <w:rPr>
                <w:rFonts w:asciiTheme="minorBidi" w:hAnsiTheme="minorBidi"/>
                <w:noProof/>
                <w:webHidden/>
                <w:sz w:val="28"/>
                <w:szCs w:val="28"/>
              </w:rPr>
              <w:tab/>
            </w:r>
            <w:r w:rsidR="00FD74C8" w:rsidRPr="002124BC">
              <w:rPr>
                <w:rFonts w:asciiTheme="minorBidi" w:hAnsiTheme="minorBidi"/>
                <w:noProof/>
                <w:webHidden/>
                <w:sz w:val="28"/>
                <w:szCs w:val="28"/>
              </w:rPr>
              <w:fldChar w:fldCharType="begin"/>
            </w:r>
            <w:r w:rsidR="00FD74C8" w:rsidRPr="002124BC">
              <w:rPr>
                <w:rFonts w:asciiTheme="minorBidi" w:hAnsiTheme="minorBidi"/>
                <w:noProof/>
                <w:webHidden/>
                <w:sz w:val="28"/>
                <w:szCs w:val="28"/>
              </w:rPr>
              <w:instrText xml:space="preserve"> PAGEREF _Toc242287202 \h </w:instrText>
            </w:r>
            <w:r w:rsidR="00FD74C8" w:rsidRPr="002124BC">
              <w:rPr>
                <w:rFonts w:asciiTheme="minorBidi" w:hAnsiTheme="minorBidi"/>
                <w:noProof/>
                <w:webHidden/>
                <w:sz w:val="28"/>
                <w:szCs w:val="28"/>
              </w:rPr>
            </w:r>
            <w:r w:rsidR="00FD74C8"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3</w:t>
            </w:r>
            <w:r w:rsidR="00FD74C8" w:rsidRPr="002124BC">
              <w:rPr>
                <w:rFonts w:asciiTheme="minorBidi" w:hAnsiTheme="minorBidi"/>
                <w:noProof/>
                <w:webHidden/>
                <w:sz w:val="28"/>
                <w:szCs w:val="28"/>
              </w:rPr>
              <w:fldChar w:fldCharType="end"/>
            </w:r>
          </w:hyperlink>
        </w:p>
        <w:p w14:paraId="7CCE9C09" w14:textId="77777777" w:rsidR="00FD74C8" w:rsidRPr="002124BC" w:rsidRDefault="00FD74C8" w:rsidP="001F3485">
          <w:pPr>
            <w:pStyle w:val="TOC1"/>
            <w:tabs>
              <w:tab w:val="right" w:leader="dot" w:pos="9016"/>
            </w:tabs>
            <w:spacing w:line="360" w:lineRule="auto"/>
            <w:rPr>
              <w:rFonts w:asciiTheme="minorBidi" w:hAnsiTheme="minorBidi"/>
              <w:noProof/>
              <w:sz w:val="28"/>
              <w:szCs w:val="28"/>
            </w:rPr>
          </w:pPr>
          <w:hyperlink w:anchor="_Toc242287203" w:history="1">
            <w:r w:rsidRPr="002124BC">
              <w:rPr>
                <w:rStyle w:val="Hyperlink"/>
                <w:rFonts w:asciiTheme="minorBidi" w:hAnsiTheme="minorBidi"/>
                <w:noProof/>
                <w:sz w:val="28"/>
                <w:szCs w:val="28"/>
              </w:rPr>
              <w:t>2. Marketing Environment Analysis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_Toc242287203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3</w:t>
            </w:r>
            <w:r w:rsidRPr="002124BC">
              <w:rPr>
                <w:rFonts w:asciiTheme="minorBidi" w:hAnsiTheme="minorBidi"/>
                <w:noProof/>
                <w:webHidden/>
                <w:sz w:val="28"/>
                <w:szCs w:val="28"/>
              </w:rPr>
              <w:fldChar w:fldCharType="end"/>
            </w:r>
          </w:hyperlink>
        </w:p>
        <w:p w14:paraId="1D44EF72"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04" w:history="1">
            <w:r w:rsidRPr="002124BC">
              <w:rPr>
                <w:rStyle w:val="Hyperlink"/>
                <w:rFonts w:asciiTheme="minorBidi" w:hAnsiTheme="minorBidi"/>
                <w:noProof/>
                <w:sz w:val="28"/>
                <w:szCs w:val="28"/>
              </w:rPr>
              <w:t>2.1 Company and Lower-Carbon Transition Context</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_Toc242287204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3</w:t>
            </w:r>
            <w:r w:rsidRPr="002124BC">
              <w:rPr>
                <w:rFonts w:asciiTheme="minorBidi" w:hAnsiTheme="minorBidi"/>
                <w:noProof/>
                <w:webHidden/>
                <w:sz w:val="28"/>
                <w:szCs w:val="28"/>
              </w:rPr>
              <w:fldChar w:fldCharType="end"/>
            </w:r>
          </w:hyperlink>
        </w:p>
        <w:p w14:paraId="78A2AAB9"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05" w:history="1">
            <w:r w:rsidRPr="002124BC">
              <w:rPr>
                <w:rStyle w:val="Hyperlink"/>
                <w:rFonts w:asciiTheme="minorBidi" w:hAnsiTheme="minorBidi"/>
                <w:noProof/>
                <w:sz w:val="28"/>
                <w:szCs w:val="28"/>
              </w:rPr>
              <w:t>2.2 Environmental Actor Analysis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_Toc242287205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4</w:t>
            </w:r>
            <w:r w:rsidRPr="002124BC">
              <w:rPr>
                <w:rFonts w:asciiTheme="minorBidi" w:hAnsiTheme="minorBidi"/>
                <w:noProof/>
                <w:webHidden/>
                <w:sz w:val="28"/>
                <w:szCs w:val="28"/>
              </w:rPr>
              <w:fldChar w:fldCharType="end"/>
            </w:r>
          </w:hyperlink>
        </w:p>
        <w:p w14:paraId="137C71E6"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06" w:history="1">
            <w:r w:rsidRPr="002124BC">
              <w:rPr>
                <w:rStyle w:val="Hyperlink"/>
                <w:rFonts w:asciiTheme="minorBidi" w:hAnsiTheme="minorBidi"/>
                <w:noProof/>
                <w:sz w:val="28"/>
                <w:szCs w:val="28"/>
              </w:rPr>
              <w:t>2.3 Political and Regulatory Actor</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_Toc242287206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5</w:t>
            </w:r>
            <w:r w:rsidRPr="002124BC">
              <w:rPr>
                <w:rFonts w:asciiTheme="minorBidi" w:hAnsiTheme="minorBidi"/>
                <w:noProof/>
                <w:webHidden/>
                <w:sz w:val="28"/>
                <w:szCs w:val="28"/>
              </w:rPr>
              <w:fldChar w:fldCharType="end"/>
            </w:r>
          </w:hyperlink>
        </w:p>
        <w:p w14:paraId="282A2D3E"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07" w:history="1">
            <w:r w:rsidRPr="002124BC">
              <w:rPr>
                <w:rStyle w:val="Hyperlink"/>
                <w:rFonts w:asciiTheme="minorBidi" w:hAnsiTheme="minorBidi"/>
                <w:noProof/>
                <w:sz w:val="28"/>
                <w:szCs w:val="28"/>
              </w:rPr>
              <w:t>2.4 Social and Stakeholder Actor</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_Toc242287207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5</w:t>
            </w:r>
            <w:r w:rsidRPr="002124BC">
              <w:rPr>
                <w:rFonts w:asciiTheme="minorBidi" w:hAnsiTheme="minorBidi"/>
                <w:noProof/>
                <w:webHidden/>
                <w:sz w:val="28"/>
                <w:szCs w:val="28"/>
              </w:rPr>
              <w:fldChar w:fldCharType="end"/>
            </w:r>
          </w:hyperlink>
        </w:p>
        <w:p w14:paraId="75166F33"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08" w:history="1">
            <w:r w:rsidRPr="002124BC">
              <w:rPr>
                <w:rStyle w:val="Hyperlink"/>
                <w:rFonts w:asciiTheme="minorBidi" w:hAnsiTheme="minorBidi"/>
                <w:noProof/>
                <w:sz w:val="28"/>
                <w:szCs w:val="28"/>
              </w:rPr>
              <w:t>2.5 Critical Synthesis of External Influences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_Toc242287208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6</w:t>
            </w:r>
            <w:r w:rsidRPr="002124BC">
              <w:rPr>
                <w:rFonts w:asciiTheme="minorBidi" w:hAnsiTheme="minorBidi"/>
                <w:noProof/>
                <w:webHidden/>
                <w:sz w:val="28"/>
                <w:szCs w:val="28"/>
              </w:rPr>
              <w:fldChar w:fldCharType="end"/>
            </w:r>
          </w:hyperlink>
        </w:p>
        <w:p w14:paraId="78B4E2E5" w14:textId="77777777" w:rsidR="00FD74C8" w:rsidRPr="002124BC" w:rsidRDefault="00FD74C8" w:rsidP="001F3485">
          <w:pPr>
            <w:pStyle w:val="TOC1"/>
            <w:tabs>
              <w:tab w:val="right" w:leader="dot" w:pos="9016"/>
            </w:tabs>
            <w:spacing w:line="360" w:lineRule="auto"/>
            <w:rPr>
              <w:rFonts w:asciiTheme="minorBidi" w:hAnsiTheme="minorBidi"/>
              <w:noProof/>
              <w:sz w:val="28"/>
              <w:szCs w:val="28"/>
            </w:rPr>
          </w:pPr>
          <w:hyperlink w:anchor="_Toc242287209" w:history="1">
            <w:r w:rsidRPr="002124BC">
              <w:rPr>
                <w:rStyle w:val="Hyperlink"/>
                <w:rFonts w:asciiTheme="minorBidi" w:hAnsiTheme="minorBidi"/>
                <w:noProof/>
                <w:sz w:val="28"/>
                <w:szCs w:val="28"/>
              </w:rPr>
              <w:t>3. Strategic Growth and Competitive Positioning</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_Toc242287209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7</w:t>
            </w:r>
            <w:r w:rsidRPr="002124BC">
              <w:rPr>
                <w:rFonts w:asciiTheme="minorBidi" w:hAnsiTheme="minorBidi"/>
                <w:noProof/>
                <w:webHidden/>
                <w:sz w:val="28"/>
                <w:szCs w:val="28"/>
              </w:rPr>
              <w:fldChar w:fldCharType="end"/>
            </w:r>
          </w:hyperlink>
        </w:p>
        <w:p w14:paraId="4E7176A2"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10" w:history="1">
            <w:r w:rsidRPr="002124BC">
              <w:rPr>
                <w:rStyle w:val="Hyperlink"/>
                <w:rFonts w:asciiTheme="minorBidi" w:hAnsiTheme="minorBidi"/>
                <w:noProof/>
                <w:sz w:val="28"/>
                <w:szCs w:val="28"/>
              </w:rPr>
              <w:t>3.1 Application of the Ansoff Matrix</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_Toc242287210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7</w:t>
            </w:r>
            <w:r w:rsidRPr="002124BC">
              <w:rPr>
                <w:rFonts w:asciiTheme="minorBidi" w:hAnsiTheme="minorBidi"/>
                <w:noProof/>
                <w:webHidden/>
                <w:sz w:val="28"/>
                <w:szCs w:val="28"/>
              </w:rPr>
              <w:fldChar w:fldCharType="end"/>
            </w:r>
          </w:hyperlink>
        </w:p>
        <w:p w14:paraId="71E10009"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11" w:history="1">
            <w:r w:rsidRPr="002124BC">
              <w:rPr>
                <w:rStyle w:val="Hyperlink"/>
                <w:rFonts w:asciiTheme="minorBidi" w:hAnsiTheme="minorBidi"/>
                <w:noProof/>
                <w:sz w:val="28"/>
                <w:szCs w:val="28"/>
              </w:rPr>
              <w:t>3.2 Evaluation of Strategic Growth Options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_Toc242287211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8</w:t>
            </w:r>
            <w:r w:rsidRPr="002124BC">
              <w:rPr>
                <w:rFonts w:asciiTheme="minorBidi" w:hAnsiTheme="minorBidi"/>
                <w:noProof/>
                <w:webHidden/>
                <w:sz w:val="28"/>
                <w:szCs w:val="28"/>
              </w:rPr>
              <w:fldChar w:fldCharType="end"/>
            </w:r>
          </w:hyperlink>
        </w:p>
        <w:p w14:paraId="5FCB5BA5"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12" w:history="1">
            <w:r w:rsidRPr="002124BC">
              <w:rPr>
                <w:rStyle w:val="Hyperlink"/>
                <w:rFonts w:asciiTheme="minorBidi" w:hAnsiTheme="minorBidi"/>
                <w:noProof/>
                <w:sz w:val="28"/>
                <w:szCs w:val="28"/>
              </w:rPr>
              <w:t>3.3 Recommended Growth Strategy</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_Toc242287212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8</w:t>
            </w:r>
            <w:r w:rsidRPr="002124BC">
              <w:rPr>
                <w:rFonts w:asciiTheme="minorBidi" w:hAnsiTheme="minorBidi"/>
                <w:noProof/>
                <w:webHidden/>
                <w:sz w:val="28"/>
                <w:szCs w:val="28"/>
              </w:rPr>
              <w:fldChar w:fldCharType="end"/>
            </w:r>
          </w:hyperlink>
        </w:p>
        <w:p w14:paraId="1787A4E2"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13" w:history="1">
            <w:r w:rsidRPr="002124BC">
              <w:rPr>
                <w:rStyle w:val="Hyperlink"/>
                <w:rFonts w:asciiTheme="minorBidi" w:hAnsiTheme="minorBidi"/>
                <w:noProof/>
                <w:sz w:val="28"/>
                <w:szCs w:val="28"/>
              </w:rPr>
              <w:t>3.4 Competitive Advantage in a Lower-Carbon Business Model</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_Toc242287213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9</w:t>
            </w:r>
            <w:r w:rsidRPr="002124BC">
              <w:rPr>
                <w:rFonts w:asciiTheme="minorBidi" w:hAnsiTheme="minorBidi"/>
                <w:noProof/>
                <w:webHidden/>
                <w:sz w:val="28"/>
                <w:szCs w:val="28"/>
              </w:rPr>
              <w:fldChar w:fldCharType="end"/>
            </w:r>
          </w:hyperlink>
        </w:p>
        <w:p w14:paraId="49CD20B5" w14:textId="77777777" w:rsidR="00FD74C8" w:rsidRPr="002124BC" w:rsidRDefault="00FD74C8" w:rsidP="001F3485">
          <w:pPr>
            <w:pStyle w:val="TOC1"/>
            <w:tabs>
              <w:tab w:val="right" w:leader="dot" w:pos="9016"/>
            </w:tabs>
            <w:spacing w:line="360" w:lineRule="auto"/>
            <w:rPr>
              <w:rFonts w:asciiTheme="minorBidi" w:hAnsiTheme="minorBidi"/>
              <w:noProof/>
              <w:sz w:val="28"/>
              <w:szCs w:val="28"/>
            </w:rPr>
          </w:pPr>
          <w:hyperlink w:anchor="_Toc242287214" w:history="1">
            <w:r w:rsidRPr="002124BC">
              <w:rPr>
                <w:rStyle w:val="Hyperlink"/>
                <w:rFonts w:asciiTheme="minorBidi" w:hAnsiTheme="minorBidi"/>
                <w:noProof/>
                <w:sz w:val="28"/>
                <w:szCs w:val="28"/>
              </w:rPr>
              <w:t>4. Managerial and Professional Reflection</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_Toc242287214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10</w:t>
            </w:r>
            <w:r w:rsidRPr="002124BC">
              <w:rPr>
                <w:rFonts w:asciiTheme="minorBidi" w:hAnsiTheme="minorBidi"/>
                <w:noProof/>
                <w:webHidden/>
                <w:sz w:val="28"/>
                <w:szCs w:val="28"/>
              </w:rPr>
              <w:fldChar w:fldCharType="end"/>
            </w:r>
          </w:hyperlink>
        </w:p>
        <w:p w14:paraId="5D6C98D8"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15" w:history="1">
            <w:r w:rsidRPr="002124BC">
              <w:rPr>
                <w:rStyle w:val="Hyperlink"/>
                <w:rFonts w:asciiTheme="minorBidi" w:hAnsiTheme="minorBidi"/>
                <w:noProof/>
                <w:sz w:val="28"/>
                <w:szCs w:val="28"/>
              </w:rPr>
              <w:t>4.1 Rationale for Company and Actor Selection</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_Toc242287215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10</w:t>
            </w:r>
            <w:r w:rsidRPr="002124BC">
              <w:rPr>
                <w:rFonts w:asciiTheme="minorBidi" w:hAnsiTheme="minorBidi"/>
                <w:noProof/>
                <w:webHidden/>
                <w:sz w:val="28"/>
                <w:szCs w:val="28"/>
              </w:rPr>
              <w:fldChar w:fldCharType="end"/>
            </w:r>
          </w:hyperlink>
        </w:p>
        <w:p w14:paraId="2A306F2F"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16" w:history="1">
            <w:r w:rsidRPr="002124BC">
              <w:rPr>
                <w:rStyle w:val="Hyperlink"/>
                <w:rFonts w:asciiTheme="minorBidi" w:hAnsiTheme="minorBidi"/>
                <w:noProof/>
                <w:sz w:val="28"/>
                <w:szCs w:val="28"/>
              </w:rPr>
              <w:t>4.2 Rationale for Strategic Growth Recommendation</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_Toc242287216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10</w:t>
            </w:r>
            <w:r w:rsidRPr="002124BC">
              <w:rPr>
                <w:rFonts w:asciiTheme="minorBidi" w:hAnsiTheme="minorBidi"/>
                <w:noProof/>
                <w:webHidden/>
                <w:sz w:val="28"/>
                <w:szCs w:val="28"/>
              </w:rPr>
              <w:fldChar w:fldCharType="end"/>
            </w:r>
          </w:hyperlink>
        </w:p>
        <w:p w14:paraId="1F263A50"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17" w:history="1">
            <w:r w:rsidRPr="002124BC">
              <w:rPr>
                <w:rStyle w:val="Hyperlink"/>
                <w:rFonts w:asciiTheme="minorBidi" w:hAnsiTheme="minorBidi"/>
                <w:noProof/>
                <w:sz w:val="28"/>
                <w:szCs w:val="28"/>
              </w:rPr>
              <w:t>4.3 Limitations of the Analysis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_Toc242287217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11</w:t>
            </w:r>
            <w:r w:rsidRPr="002124BC">
              <w:rPr>
                <w:rFonts w:asciiTheme="minorBidi" w:hAnsiTheme="minorBidi"/>
                <w:noProof/>
                <w:webHidden/>
                <w:sz w:val="28"/>
                <w:szCs w:val="28"/>
              </w:rPr>
              <w:fldChar w:fldCharType="end"/>
            </w:r>
          </w:hyperlink>
        </w:p>
        <w:p w14:paraId="1897D98B" w14:textId="77777777" w:rsidR="00FD74C8" w:rsidRPr="002124BC" w:rsidRDefault="00FD74C8" w:rsidP="001F3485">
          <w:pPr>
            <w:pStyle w:val="TOC2"/>
            <w:tabs>
              <w:tab w:val="right" w:leader="dot" w:pos="9016"/>
            </w:tabs>
            <w:spacing w:line="360" w:lineRule="auto"/>
            <w:rPr>
              <w:rFonts w:asciiTheme="minorBidi" w:eastAsiaTheme="minorEastAsia" w:hAnsiTheme="minorBidi"/>
              <w:noProof/>
              <w:sz w:val="28"/>
              <w:szCs w:val="28"/>
              <w:lang w:eastAsia="en-GB"/>
            </w:rPr>
          </w:pPr>
          <w:hyperlink w:anchor="_Toc242287218" w:history="1">
            <w:r w:rsidRPr="002124BC">
              <w:rPr>
                <w:rStyle w:val="Hyperlink"/>
                <w:rFonts w:asciiTheme="minorBidi" w:hAnsiTheme="minorBidi"/>
                <w:noProof/>
                <w:sz w:val="28"/>
                <w:szCs w:val="28"/>
              </w:rPr>
              <w:t>4.4 Additional Information Required for Consultancy Analysis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_Toc242287218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11</w:t>
            </w:r>
            <w:r w:rsidRPr="002124BC">
              <w:rPr>
                <w:rFonts w:asciiTheme="minorBidi" w:hAnsiTheme="minorBidi"/>
                <w:noProof/>
                <w:webHidden/>
                <w:sz w:val="28"/>
                <w:szCs w:val="28"/>
              </w:rPr>
              <w:fldChar w:fldCharType="end"/>
            </w:r>
          </w:hyperlink>
        </w:p>
        <w:p w14:paraId="1481721B" w14:textId="77777777" w:rsidR="00FD74C8" w:rsidRPr="002124BC" w:rsidRDefault="00FD74C8" w:rsidP="001F3485">
          <w:pPr>
            <w:pStyle w:val="TOC1"/>
            <w:tabs>
              <w:tab w:val="right" w:leader="dot" w:pos="9016"/>
            </w:tabs>
            <w:spacing w:line="360" w:lineRule="auto"/>
            <w:rPr>
              <w:rFonts w:asciiTheme="minorBidi" w:hAnsiTheme="minorBidi"/>
              <w:noProof/>
              <w:sz w:val="28"/>
              <w:szCs w:val="28"/>
            </w:rPr>
          </w:pPr>
          <w:hyperlink w:anchor="_Toc242287219" w:history="1">
            <w:r w:rsidRPr="002124BC">
              <w:rPr>
                <w:rStyle w:val="Hyperlink"/>
                <w:rFonts w:asciiTheme="minorBidi" w:hAnsiTheme="minorBidi"/>
                <w:noProof/>
                <w:sz w:val="28"/>
                <w:szCs w:val="28"/>
              </w:rPr>
              <w:t>5. Conclusion</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_Toc242287219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12</w:t>
            </w:r>
            <w:r w:rsidRPr="002124BC">
              <w:rPr>
                <w:rFonts w:asciiTheme="minorBidi" w:hAnsiTheme="minorBidi"/>
                <w:noProof/>
                <w:webHidden/>
                <w:sz w:val="28"/>
                <w:szCs w:val="28"/>
              </w:rPr>
              <w:fldChar w:fldCharType="end"/>
            </w:r>
          </w:hyperlink>
        </w:p>
        <w:p w14:paraId="450329A9" w14:textId="77777777" w:rsidR="00FD74C8" w:rsidRPr="002124BC" w:rsidRDefault="00FD74C8" w:rsidP="001F3485">
          <w:pPr>
            <w:pStyle w:val="TOC1"/>
            <w:tabs>
              <w:tab w:val="right" w:leader="dot" w:pos="9016"/>
            </w:tabs>
            <w:spacing w:line="360" w:lineRule="auto"/>
            <w:rPr>
              <w:rFonts w:asciiTheme="minorBidi" w:hAnsiTheme="minorBidi"/>
              <w:noProof/>
              <w:sz w:val="28"/>
              <w:szCs w:val="28"/>
            </w:rPr>
          </w:pPr>
          <w:hyperlink w:anchor="_Toc242287220" w:history="1">
            <w:r w:rsidRPr="002124BC">
              <w:rPr>
                <w:rStyle w:val="Hyperlink"/>
                <w:rFonts w:asciiTheme="minorBidi" w:hAnsiTheme="minorBidi"/>
                <w:noProof/>
                <w:sz w:val="28"/>
                <w:szCs w:val="28"/>
              </w:rPr>
              <w:t>References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_Toc242287220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13</w:t>
            </w:r>
            <w:r w:rsidRPr="002124BC">
              <w:rPr>
                <w:rFonts w:asciiTheme="minorBidi" w:hAnsiTheme="minorBidi"/>
                <w:noProof/>
                <w:webHidden/>
                <w:sz w:val="28"/>
                <w:szCs w:val="28"/>
              </w:rPr>
              <w:fldChar w:fldCharType="end"/>
            </w:r>
          </w:hyperlink>
        </w:p>
        <w:p w14:paraId="2562068C" w14:textId="77777777" w:rsidR="004B76AC" w:rsidRPr="002124BC" w:rsidRDefault="004B76AC" w:rsidP="001F3485">
          <w:pPr>
            <w:spacing w:line="360" w:lineRule="auto"/>
            <w:rPr>
              <w:rFonts w:asciiTheme="minorBidi" w:hAnsiTheme="minorBidi"/>
              <w:sz w:val="24"/>
              <w:szCs w:val="24"/>
            </w:rPr>
          </w:pPr>
          <w:r w:rsidRPr="002124BC">
            <w:rPr>
              <w:rFonts w:asciiTheme="minorBidi" w:hAnsiTheme="minorBidi"/>
              <w:b/>
              <w:bCs/>
              <w:noProof/>
              <w:sz w:val="28"/>
              <w:szCs w:val="28"/>
            </w:rPr>
            <w:fldChar w:fldCharType="end"/>
          </w:r>
        </w:p>
      </w:sdtContent>
    </w:sdt>
    <w:p w14:paraId="3CA1EDA5" w14:textId="77777777" w:rsidR="004A0602" w:rsidRPr="002124BC" w:rsidRDefault="004A0602" w:rsidP="001F3485">
      <w:pPr>
        <w:spacing w:line="360" w:lineRule="auto"/>
        <w:rPr>
          <w:rFonts w:asciiTheme="minorBidi" w:eastAsia="Times New Roman" w:hAnsiTheme="minorBidi"/>
          <w:b/>
          <w:bCs/>
          <w:sz w:val="24"/>
          <w:szCs w:val="24"/>
          <w:lang w:eastAsia="en-GB"/>
        </w:rPr>
      </w:pPr>
      <w:r w:rsidRPr="002124BC">
        <w:rPr>
          <w:rFonts w:asciiTheme="minorBidi" w:hAnsiTheme="minorBidi"/>
          <w:sz w:val="24"/>
          <w:szCs w:val="24"/>
        </w:rPr>
        <w:br w:type="page"/>
      </w:r>
    </w:p>
    <w:p w14:paraId="1527223F" w14:textId="77777777" w:rsidR="00744F20" w:rsidRPr="00744F20" w:rsidRDefault="00744F20" w:rsidP="00744F20">
      <w:pPr>
        <w:spacing w:line="360" w:lineRule="auto"/>
        <w:rPr>
          <w:rFonts w:asciiTheme="minorBidi" w:hAnsiTheme="minorBidi"/>
          <w:sz w:val="24"/>
          <w:szCs w:val="24"/>
        </w:rPr>
      </w:pPr>
      <w:bookmarkStart w:id="0" w:name="_Toc242287202"/>
    </w:p>
    <w:p w14:paraId="08D0C9B7" w14:textId="77777777" w:rsidR="00744F20" w:rsidRDefault="00744F20" w:rsidP="00744F20">
      <w:pPr>
        <w:pStyle w:val="Heading1"/>
        <w:jc w:val="center"/>
        <w:rPr>
          <w:lang w:val="en-US"/>
        </w:rPr>
      </w:pPr>
      <w:r w:rsidRPr="00744F20">
        <w:rPr>
          <w:lang w:val="en-US"/>
        </w:rPr>
        <w:t>List of abbreviations</w:t>
      </w:r>
    </w:p>
    <w:p w14:paraId="038DB337" w14:textId="77777777" w:rsidR="00744F20" w:rsidRPr="00744F20" w:rsidRDefault="00744F20" w:rsidP="00744F20">
      <w:pPr>
        <w:pStyle w:val="Heading1"/>
        <w:rPr>
          <w:lang w:val="en-US"/>
        </w:rPr>
      </w:pPr>
    </w:p>
    <w:tbl>
      <w:tblPr>
        <w:tblStyle w:val="TableGrid"/>
        <w:tblW w:w="0" w:type="auto"/>
        <w:tblLook w:val="04A0" w:firstRow="1" w:lastRow="0" w:firstColumn="1" w:lastColumn="0" w:noHBand="0" w:noVBand="1"/>
      </w:tblPr>
      <w:tblGrid>
        <w:gridCol w:w="1683"/>
        <w:gridCol w:w="6447"/>
      </w:tblGrid>
      <w:tr w:rsidR="00744F20" w:rsidRPr="00744F20" w14:paraId="6ADF5D53" w14:textId="77777777" w:rsidTr="00744F20">
        <w:tc>
          <w:tcPr>
            <w:tcW w:w="0" w:type="auto"/>
            <w:hideMark/>
          </w:tcPr>
          <w:p w14:paraId="4CD71A9E" w14:textId="77777777" w:rsidR="00744F20" w:rsidRPr="00744F20" w:rsidRDefault="00744F20" w:rsidP="00744F20">
            <w:pPr>
              <w:spacing w:after="200" w:line="360" w:lineRule="auto"/>
              <w:rPr>
                <w:rFonts w:asciiTheme="minorBidi" w:hAnsiTheme="minorBidi"/>
                <w:b/>
                <w:bCs/>
                <w:sz w:val="24"/>
                <w:szCs w:val="24"/>
                <w:lang w:val="en-US"/>
              </w:rPr>
            </w:pPr>
            <w:r w:rsidRPr="00744F20">
              <w:rPr>
                <w:rFonts w:asciiTheme="minorBidi" w:hAnsiTheme="minorBidi"/>
                <w:b/>
                <w:bCs/>
                <w:sz w:val="24"/>
                <w:szCs w:val="24"/>
                <w:lang w:val="en-US"/>
              </w:rPr>
              <w:t>Abbreviation</w:t>
            </w:r>
          </w:p>
        </w:tc>
        <w:tc>
          <w:tcPr>
            <w:tcW w:w="0" w:type="auto"/>
            <w:hideMark/>
          </w:tcPr>
          <w:p w14:paraId="7324EE85" w14:textId="77777777" w:rsidR="00744F20" w:rsidRPr="00744F20" w:rsidRDefault="00744F20" w:rsidP="00744F20">
            <w:pPr>
              <w:spacing w:after="200" w:line="360" w:lineRule="auto"/>
              <w:rPr>
                <w:rFonts w:asciiTheme="minorBidi" w:hAnsiTheme="minorBidi"/>
                <w:b/>
                <w:bCs/>
                <w:sz w:val="24"/>
                <w:szCs w:val="24"/>
                <w:lang w:val="en-US"/>
              </w:rPr>
            </w:pPr>
            <w:r w:rsidRPr="00744F20">
              <w:rPr>
                <w:rFonts w:asciiTheme="minorBidi" w:hAnsiTheme="minorBidi"/>
                <w:b/>
                <w:bCs/>
                <w:sz w:val="24"/>
                <w:szCs w:val="24"/>
                <w:lang w:val="en-US"/>
              </w:rPr>
              <w:t>Full form</w:t>
            </w:r>
          </w:p>
        </w:tc>
      </w:tr>
      <w:tr w:rsidR="00744F20" w:rsidRPr="00744F20" w14:paraId="3A5C507F" w14:textId="77777777" w:rsidTr="00744F20">
        <w:tc>
          <w:tcPr>
            <w:tcW w:w="0" w:type="auto"/>
            <w:hideMark/>
          </w:tcPr>
          <w:p w14:paraId="160C207B" w14:textId="77777777" w:rsidR="00744F20" w:rsidRPr="00744F20" w:rsidRDefault="00744F20" w:rsidP="00744F20">
            <w:pPr>
              <w:spacing w:after="200" w:line="360" w:lineRule="auto"/>
              <w:rPr>
                <w:rFonts w:asciiTheme="minorBidi" w:hAnsiTheme="minorBidi"/>
                <w:sz w:val="24"/>
                <w:szCs w:val="24"/>
                <w:lang w:val="en-US"/>
              </w:rPr>
            </w:pPr>
            <w:r w:rsidRPr="00744F20">
              <w:rPr>
                <w:rFonts w:asciiTheme="minorBidi" w:hAnsiTheme="minorBidi"/>
                <w:sz w:val="24"/>
                <w:szCs w:val="24"/>
                <w:lang w:val="en-US"/>
              </w:rPr>
              <w:t>BHP</w:t>
            </w:r>
          </w:p>
        </w:tc>
        <w:tc>
          <w:tcPr>
            <w:tcW w:w="0" w:type="auto"/>
            <w:hideMark/>
          </w:tcPr>
          <w:p w14:paraId="6A46D4BD" w14:textId="77777777" w:rsidR="00744F20" w:rsidRPr="00744F20" w:rsidRDefault="00744F20" w:rsidP="00744F20">
            <w:pPr>
              <w:spacing w:after="200" w:line="360" w:lineRule="auto"/>
              <w:rPr>
                <w:rFonts w:asciiTheme="minorBidi" w:hAnsiTheme="minorBidi"/>
                <w:sz w:val="24"/>
                <w:szCs w:val="24"/>
                <w:lang w:val="en-US"/>
              </w:rPr>
            </w:pPr>
            <w:r w:rsidRPr="00744F20">
              <w:rPr>
                <w:rFonts w:asciiTheme="minorBidi" w:hAnsiTheme="minorBidi"/>
                <w:sz w:val="24"/>
                <w:szCs w:val="24"/>
                <w:lang w:val="en-US"/>
              </w:rPr>
              <w:t>BHP Group Limited</w:t>
            </w:r>
          </w:p>
        </w:tc>
      </w:tr>
      <w:tr w:rsidR="00744F20" w:rsidRPr="00744F20" w14:paraId="79A7F4AE" w14:textId="77777777" w:rsidTr="00744F20">
        <w:tc>
          <w:tcPr>
            <w:tcW w:w="0" w:type="auto"/>
            <w:hideMark/>
          </w:tcPr>
          <w:p w14:paraId="0288D8F4" w14:textId="77777777" w:rsidR="00744F20" w:rsidRPr="00744F20" w:rsidRDefault="00744F20" w:rsidP="00744F20">
            <w:pPr>
              <w:spacing w:after="200" w:line="360" w:lineRule="auto"/>
              <w:rPr>
                <w:rFonts w:asciiTheme="minorBidi" w:hAnsiTheme="minorBidi"/>
                <w:sz w:val="24"/>
                <w:szCs w:val="24"/>
                <w:lang w:val="en-US"/>
              </w:rPr>
            </w:pPr>
            <w:r w:rsidRPr="00744F20">
              <w:rPr>
                <w:rFonts w:asciiTheme="minorBidi" w:hAnsiTheme="minorBidi"/>
                <w:sz w:val="24"/>
                <w:szCs w:val="24"/>
                <w:lang w:val="en-US"/>
              </w:rPr>
              <w:t>FY2025</w:t>
            </w:r>
          </w:p>
        </w:tc>
        <w:tc>
          <w:tcPr>
            <w:tcW w:w="0" w:type="auto"/>
            <w:hideMark/>
          </w:tcPr>
          <w:p w14:paraId="56F7C0B0" w14:textId="77777777" w:rsidR="00744F20" w:rsidRPr="00744F20" w:rsidRDefault="00744F20" w:rsidP="00744F20">
            <w:pPr>
              <w:spacing w:after="200" w:line="360" w:lineRule="auto"/>
              <w:rPr>
                <w:rFonts w:asciiTheme="minorBidi" w:hAnsiTheme="minorBidi"/>
                <w:sz w:val="24"/>
                <w:szCs w:val="24"/>
                <w:lang w:val="en-US"/>
              </w:rPr>
            </w:pPr>
            <w:r w:rsidRPr="00744F20">
              <w:rPr>
                <w:rFonts w:asciiTheme="minorBidi" w:hAnsiTheme="minorBidi"/>
                <w:sz w:val="24"/>
                <w:szCs w:val="24"/>
                <w:lang w:val="en-US"/>
              </w:rPr>
              <w:t>Financial year 2025</w:t>
            </w:r>
          </w:p>
        </w:tc>
      </w:tr>
      <w:tr w:rsidR="00744F20" w:rsidRPr="00744F20" w14:paraId="02CC2302" w14:textId="77777777" w:rsidTr="00744F20">
        <w:tc>
          <w:tcPr>
            <w:tcW w:w="0" w:type="auto"/>
            <w:hideMark/>
          </w:tcPr>
          <w:p w14:paraId="3B62B8C3" w14:textId="77777777" w:rsidR="00744F20" w:rsidRPr="00744F20" w:rsidRDefault="00744F20" w:rsidP="00744F20">
            <w:pPr>
              <w:spacing w:after="200" w:line="360" w:lineRule="auto"/>
              <w:rPr>
                <w:rFonts w:asciiTheme="minorBidi" w:hAnsiTheme="minorBidi"/>
                <w:sz w:val="24"/>
                <w:szCs w:val="24"/>
                <w:lang w:val="en-US"/>
              </w:rPr>
            </w:pPr>
            <w:r w:rsidRPr="00744F20">
              <w:rPr>
                <w:rFonts w:asciiTheme="minorBidi" w:hAnsiTheme="minorBidi"/>
                <w:sz w:val="24"/>
                <w:szCs w:val="24"/>
                <w:lang w:val="en-US"/>
              </w:rPr>
              <w:t>IEA</w:t>
            </w:r>
          </w:p>
        </w:tc>
        <w:tc>
          <w:tcPr>
            <w:tcW w:w="0" w:type="auto"/>
            <w:hideMark/>
          </w:tcPr>
          <w:p w14:paraId="5556ECED" w14:textId="77777777" w:rsidR="00744F20" w:rsidRPr="00744F20" w:rsidRDefault="00744F20" w:rsidP="00744F20">
            <w:pPr>
              <w:spacing w:after="200" w:line="360" w:lineRule="auto"/>
              <w:rPr>
                <w:rFonts w:asciiTheme="minorBidi" w:hAnsiTheme="minorBidi"/>
                <w:sz w:val="24"/>
                <w:szCs w:val="24"/>
                <w:lang w:val="en-US"/>
              </w:rPr>
            </w:pPr>
            <w:r w:rsidRPr="00744F20">
              <w:rPr>
                <w:rFonts w:asciiTheme="minorBidi" w:hAnsiTheme="minorBidi"/>
                <w:sz w:val="24"/>
                <w:szCs w:val="24"/>
                <w:lang w:val="en-US"/>
              </w:rPr>
              <w:t>International Energy Agency</w:t>
            </w:r>
          </w:p>
        </w:tc>
      </w:tr>
      <w:tr w:rsidR="00744F20" w:rsidRPr="00744F20" w14:paraId="084F3CE7" w14:textId="77777777" w:rsidTr="00744F20">
        <w:tc>
          <w:tcPr>
            <w:tcW w:w="0" w:type="auto"/>
            <w:hideMark/>
          </w:tcPr>
          <w:p w14:paraId="6C67AE35" w14:textId="77777777" w:rsidR="00744F20" w:rsidRPr="00744F20" w:rsidRDefault="00744F20" w:rsidP="00744F20">
            <w:pPr>
              <w:spacing w:after="200" w:line="360" w:lineRule="auto"/>
              <w:rPr>
                <w:rFonts w:asciiTheme="minorBidi" w:hAnsiTheme="minorBidi"/>
                <w:sz w:val="24"/>
                <w:szCs w:val="24"/>
                <w:lang w:val="en-US"/>
              </w:rPr>
            </w:pPr>
            <w:r w:rsidRPr="00744F20">
              <w:rPr>
                <w:rFonts w:asciiTheme="minorBidi" w:hAnsiTheme="minorBidi"/>
                <w:sz w:val="24"/>
                <w:szCs w:val="24"/>
                <w:lang w:val="en-US"/>
              </w:rPr>
              <w:t>OECD</w:t>
            </w:r>
          </w:p>
        </w:tc>
        <w:tc>
          <w:tcPr>
            <w:tcW w:w="0" w:type="auto"/>
            <w:hideMark/>
          </w:tcPr>
          <w:p w14:paraId="60932715" w14:textId="77777777" w:rsidR="00744F20" w:rsidRPr="00744F20" w:rsidRDefault="00744F20" w:rsidP="00744F20">
            <w:pPr>
              <w:spacing w:after="200" w:line="360" w:lineRule="auto"/>
              <w:rPr>
                <w:rFonts w:asciiTheme="minorBidi" w:hAnsiTheme="minorBidi"/>
                <w:sz w:val="24"/>
                <w:szCs w:val="24"/>
                <w:lang w:val="en-US"/>
              </w:rPr>
            </w:pPr>
            <w:proofErr w:type="spellStart"/>
            <w:r w:rsidRPr="00744F20">
              <w:rPr>
                <w:rFonts w:asciiTheme="minorBidi" w:hAnsiTheme="minorBidi"/>
                <w:sz w:val="24"/>
                <w:szCs w:val="24"/>
                <w:lang w:val="en-US"/>
              </w:rPr>
              <w:t>Organisation</w:t>
            </w:r>
            <w:proofErr w:type="spellEnd"/>
            <w:r w:rsidRPr="00744F20">
              <w:rPr>
                <w:rFonts w:asciiTheme="minorBidi" w:hAnsiTheme="minorBidi"/>
                <w:sz w:val="24"/>
                <w:szCs w:val="24"/>
                <w:lang w:val="en-US"/>
              </w:rPr>
              <w:t xml:space="preserve"> for Economic Co-operation and Development</w:t>
            </w:r>
          </w:p>
        </w:tc>
      </w:tr>
      <w:tr w:rsidR="00744F20" w:rsidRPr="00744F20" w14:paraId="2523E1D4" w14:textId="77777777" w:rsidTr="00744F20">
        <w:tc>
          <w:tcPr>
            <w:tcW w:w="0" w:type="auto"/>
            <w:hideMark/>
          </w:tcPr>
          <w:p w14:paraId="62E02F73" w14:textId="77777777" w:rsidR="00744F20" w:rsidRPr="00744F20" w:rsidRDefault="00744F20" w:rsidP="00744F20">
            <w:pPr>
              <w:spacing w:after="200" w:line="360" w:lineRule="auto"/>
              <w:rPr>
                <w:rFonts w:asciiTheme="minorBidi" w:hAnsiTheme="minorBidi"/>
                <w:sz w:val="24"/>
                <w:szCs w:val="24"/>
                <w:lang w:val="en-US"/>
              </w:rPr>
            </w:pPr>
            <w:proofErr w:type="spellStart"/>
            <w:r w:rsidRPr="00744F20">
              <w:rPr>
                <w:rFonts w:asciiTheme="minorBidi" w:hAnsiTheme="minorBidi"/>
                <w:sz w:val="24"/>
                <w:szCs w:val="24"/>
                <w:lang w:val="en-US"/>
              </w:rPr>
              <w:t>MtCO</w:t>
            </w:r>
            <w:proofErr w:type="spellEnd"/>
            <w:r w:rsidRPr="00744F20">
              <w:rPr>
                <w:rFonts w:ascii="Cambria Math" w:hAnsi="Cambria Math" w:cs="Cambria Math"/>
                <w:sz w:val="24"/>
                <w:szCs w:val="24"/>
                <w:lang w:val="en-US"/>
              </w:rPr>
              <w:t>₂</w:t>
            </w:r>
            <w:r w:rsidRPr="00744F20">
              <w:rPr>
                <w:rFonts w:asciiTheme="minorBidi" w:hAnsiTheme="minorBidi"/>
                <w:sz w:val="24"/>
                <w:szCs w:val="24"/>
                <w:lang w:val="en-US"/>
              </w:rPr>
              <w:t>-e</w:t>
            </w:r>
          </w:p>
        </w:tc>
        <w:tc>
          <w:tcPr>
            <w:tcW w:w="0" w:type="auto"/>
            <w:hideMark/>
          </w:tcPr>
          <w:p w14:paraId="4D893E32" w14:textId="77777777" w:rsidR="00744F20" w:rsidRPr="00744F20" w:rsidRDefault="00744F20" w:rsidP="00744F20">
            <w:pPr>
              <w:spacing w:after="200" w:line="360" w:lineRule="auto"/>
              <w:rPr>
                <w:rFonts w:asciiTheme="minorBidi" w:hAnsiTheme="minorBidi"/>
                <w:sz w:val="24"/>
                <w:szCs w:val="24"/>
                <w:lang w:val="en-US"/>
              </w:rPr>
            </w:pPr>
            <w:r w:rsidRPr="00744F20">
              <w:rPr>
                <w:rFonts w:asciiTheme="minorBidi" w:hAnsiTheme="minorBidi"/>
                <w:sz w:val="24"/>
                <w:szCs w:val="24"/>
                <w:lang w:val="en-US"/>
              </w:rPr>
              <w:t xml:space="preserve">Million </w:t>
            </w:r>
            <w:proofErr w:type="spellStart"/>
            <w:r w:rsidRPr="00744F20">
              <w:rPr>
                <w:rFonts w:asciiTheme="minorBidi" w:hAnsiTheme="minorBidi"/>
                <w:sz w:val="24"/>
                <w:szCs w:val="24"/>
                <w:lang w:val="en-US"/>
              </w:rPr>
              <w:t>tonnes</w:t>
            </w:r>
            <w:proofErr w:type="spellEnd"/>
            <w:r w:rsidRPr="00744F20">
              <w:rPr>
                <w:rFonts w:asciiTheme="minorBidi" w:hAnsiTheme="minorBidi"/>
                <w:sz w:val="24"/>
                <w:szCs w:val="24"/>
                <w:lang w:val="en-US"/>
              </w:rPr>
              <w:t xml:space="preserve"> of carbon dioxide equivalent</w:t>
            </w:r>
          </w:p>
        </w:tc>
      </w:tr>
    </w:tbl>
    <w:p w14:paraId="3F8E093C" w14:textId="19599A8A" w:rsidR="00744F20" w:rsidRPr="00744F20" w:rsidRDefault="00744F20" w:rsidP="00744F20">
      <w:pPr>
        <w:spacing w:line="360" w:lineRule="auto"/>
        <w:rPr>
          <w:rFonts w:asciiTheme="minorBidi" w:eastAsia="Times New Roman" w:hAnsiTheme="minorBidi"/>
          <w:b/>
          <w:bCs/>
          <w:color w:val="244061" w:themeColor="accent1" w:themeShade="80"/>
          <w:kern w:val="36"/>
          <w:sz w:val="36"/>
          <w:szCs w:val="52"/>
          <w:lang w:eastAsia="en-GB"/>
        </w:rPr>
      </w:pPr>
      <w:r w:rsidRPr="00744F20">
        <w:rPr>
          <w:rFonts w:asciiTheme="minorBidi" w:hAnsiTheme="minorBidi"/>
          <w:sz w:val="24"/>
          <w:szCs w:val="24"/>
        </w:rPr>
        <w:br w:type="page"/>
      </w:r>
    </w:p>
    <w:p w14:paraId="2B26A30B" w14:textId="6BF560C3" w:rsidR="000D4A90" w:rsidRPr="002124BC" w:rsidRDefault="000D4A90" w:rsidP="003F6401">
      <w:pPr>
        <w:pStyle w:val="Heading1"/>
        <w:rPr>
          <w:rFonts w:asciiTheme="minorBidi" w:hAnsiTheme="minorBidi" w:cstheme="minorBidi"/>
        </w:rPr>
      </w:pPr>
      <w:r w:rsidRPr="002124BC">
        <w:rPr>
          <w:rFonts w:asciiTheme="minorBidi" w:hAnsiTheme="minorBidi" w:cstheme="minorBidi"/>
        </w:rPr>
        <w:lastRenderedPageBreak/>
        <w:t>1. Introduction</w:t>
      </w:r>
      <w:bookmarkEnd w:id="0"/>
    </w:p>
    <w:p w14:paraId="5FB19AAD" w14:textId="68D4B414" w:rsidR="001F3485" w:rsidRDefault="005963C8"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 industry of metals and mining is under intense scrutiny to minimize environmental footprint and promote a lower carbon economy.</w:t>
      </w:r>
      <w:r w:rsidRPr="002124BC">
        <w:rPr>
          <w:rFonts w:asciiTheme="minorBidi" w:hAnsiTheme="minorBidi" w:cstheme="minorBidi"/>
        </w:rPr>
        <w:t xml:space="preserve"> </w:t>
      </w:r>
      <w:r w:rsidRPr="002124BC">
        <w:rPr>
          <w:rStyle w:val="cursor-pointer"/>
          <w:rFonts w:asciiTheme="minorBidi" w:hAnsiTheme="minorBidi" w:cstheme="minorBidi"/>
        </w:rPr>
        <w:t>BHP is a suitable case given the scale of the business, the environment of climate change and variations in customer, regulatory and other stakeholder expectations.</w:t>
      </w:r>
      <w:r w:rsidRPr="002124BC">
        <w:rPr>
          <w:rFonts w:asciiTheme="minorBidi" w:hAnsiTheme="minorBidi" w:cstheme="minorBidi"/>
        </w:rPr>
        <w:t xml:space="preserve"> </w:t>
      </w:r>
      <w:r w:rsidRPr="002124BC">
        <w:rPr>
          <w:rStyle w:val="cursor-pointer"/>
          <w:rFonts w:asciiTheme="minorBidi" w:hAnsiTheme="minorBidi" w:cstheme="minorBidi"/>
        </w:rPr>
        <w:t xml:space="preserve">BHP's operational greenhouse-gas emissions totalled 8.7 </w:t>
      </w:r>
      <w:r w:rsidR="001F3485" w:rsidRPr="001F3485">
        <w:rPr>
          <w:rFonts w:asciiTheme="minorBidi" w:hAnsiTheme="minorBidi" w:cstheme="minorBidi"/>
        </w:rPr>
        <w:t>8.7 million tonnes of carbon dioxide equivalent (</w:t>
      </w:r>
      <w:proofErr w:type="spellStart"/>
      <w:r w:rsidR="001F3485" w:rsidRPr="001F3485">
        <w:rPr>
          <w:rFonts w:asciiTheme="minorBidi" w:hAnsiTheme="minorBidi" w:cstheme="minorBidi"/>
        </w:rPr>
        <w:t>MtCO</w:t>
      </w:r>
      <w:proofErr w:type="spellEnd"/>
      <w:r w:rsidR="001F3485" w:rsidRPr="001F3485">
        <w:rPr>
          <w:rFonts w:ascii="Cambria Math" w:hAnsi="Cambria Math" w:cs="Cambria Math"/>
        </w:rPr>
        <w:t>₂</w:t>
      </w:r>
      <w:r w:rsidR="001F3485" w:rsidRPr="001F3485">
        <w:rPr>
          <w:rFonts w:asciiTheme="minorBidi" w:hAnsiTheme="minorBidi" w:cstheme="minorBidi"/>
        </w:rPr>
        <w:t>-e)</w:t>
      </w:r>
      <w:r w:rsidRPr="002124BC">
        <w:rPr>
          <w:rStyle w:val="cursor-pointer"/>
          <w:rFonts w:asciiTheme="minorBidi" w:hAnsiTheme="minorBidi" w:cstheme="minorBidi"/>
        </w:rPr>
        <w:t xml:space="preserve"> in FY2025, which demonstrates the magnitude of BHP's decarbonisation challenge (BHP, 2025).</w:t>
      </w:r>
      <w:r w:rsidRPr="002124BC">
        <w:rPr>
          <w:rFonts w:asciiTheme="minorBidi" w:hAnsiTheme="minorBidi" w:cstheme="minorBidi"/>
        </w:rPr>
        <w:t xml:space="preserve"> </w:t>
      </w:r>
    </w:p>
    <w:p w14:paraId="04499725" w14:textId="33730C74"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This report examines three external actors in the marketing environment that are impacting BHP's shift towards lower carbon products, focusing on the environmental actor.</w:t>
      </w:r>
      <w:r w:rsidRPr="002124BC">
        <w:rPr>
          <w:rFonts w:asciiTheme="minorBidi" w:hAnsiTheme="minorBidi" w:cstheme="minorBidi"/>
        </w:rPr>
        <w:t xml:space="preserve"> </w:t>
      </w:r>
      <w:r w:rsidRPr="002124BC">
        <w:rPr>
          <w:rStyle w:val="cursor-pointer"/>
          <w:rFonts w:asciiTheme="minorBidi" w:hAnsiTheme="minorBidi" w:cstheme="minorBidi"/>
        </w:rPr>
        <w:t>It then utilises the Ansoff Matrix to suggest an appropriate growth strategy and assess the potential for BHP to gain competitive advantage in this process</w:t>
      </w:r>
      <w:r w:rsidR="000D4A90" w:rsidRPr="002124BC">
        <w:rPr>
          <w:rFonts w:asciiTheme="minorBidi" w:hAnsiTheme="minorBidi" w:cstheme="minorBidi"/>
        </w:rPr>
        <w:t>.</w:t>
      </w:r>
    </w:p>
    <w:p w14:paraId="1638181F" w14:textId="77777777" w:rsidR="000D4A90" w:rsidRPr="002124BC" w:rsidRDefault="000D4A90" w:rsidP="00FD74C8">
      <w:pPr>
        <w:pStyle w:val="Heading1"/>
        <w:rPr>
          <w:rFonts w:asciiTheme="minorBidi" w:hAnsiTheme="minorBidi" w:cstheme="minorBidi"/>
        </w:rPr>
      </w:pPr>
      <w:bookmarkStart w:id="1" w:name="_Toc242287203"/>
      <w:r w:rsidRPr="002124BC">
        <w:rPr>
          <w:rFonts w:asciiTheme="minorBidi" w:hAnsiTheme="minorBidi" w:cstheme="minorBidi"/>
        </w:rPr>
        <w:t>2. Marketing Environment Analysis</w:t>
      </w:r>
      <w:bookmarkEnd w:id="1"/>
    </w:p>
    <w:p w14:paraId="01022127" w14:textId="77777777" w:rsidR="000D4A90" w:rsidRPr="002124BC" w:rsidRDefault="000D4A90" w:rsidP="00FD74C8">
      <w:pPr>
        <w:pStyle w:val="Heading2"/>
        <w:rPr>
          <w:rFonts w:asciiTheme="minorBidi" w:hAnsiTheme="minorBidi" w:cstheme="minorBidi"/>
        </w:rPr>
      </w:pPr>
      <w:bookmarkStart w:id="2" w:name="_Toc242287204"/>
      <w:r w:rsidRPr="002124BC">
        <w:rPr>
          <w:rFonts w:asciiTheme="minorBidi" w:hAnsiTheme="minorBidi" w:cstheme="minorBidi"/>
        </w:rPr>
        <w:t>2.1 Company and Lower-Carbon Transition Context</w:t>
      </w:r>
      <w:bookmarkEnd w:id="2"/>
    </w:p>
    <w:p w14:paraId="613E709C" w14:textId="77777777" w:rsidR="001F3485"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BHP is a major global resources company active in copper, iron ore and other minerals that are essential for industrial development and the energy transition.</w:t>
      </w:r>
      <w:r w:rsidRPr="002124BC">
        <w:rPr>
          <w:rFonts w:asciiTheme="minorBidi" w:hAnsiTheme="minorBidi" w:cstheme="minorBidi"/>
        </w:rPr>
        <w:t xml:space="preserve"> </w:t>
      </w:r>
      <w:r w:rsidRPr="002124BC">
        <w:rPr>
          <w:rStyle w:val="cursor-pointer"/>
          <w:rFonts w:asciiTheme="minorBidi" w:hAnsiTheme="minorBidi" w:cstheme="minorBidi"/>
        </w:rPr>
        <w:t>Strategic positioning of the company is becoming more affected by the necessity to decrease operational emissions and address the growing demand for materials for the lower carbon technologies</w:t>
      </w:r>
      <w:r w:rsidR="0070658B">
        <w:rPr>
          <w:rStyle w:val="cursor-pointer"/>
          <w:rFonts w:asciiTheme="minorBidi" w:hAnsiTheme="minorBidi" w:cstheme="minorBidi"/>
        </w:rPr>
        <w:t xml:space="preserve"> </w:t>
      </w:r>
      <w:r w:rsidRPr="002124BC">
        <w:rPr>
          <w:rStyle w:val="cursor-pointer"/>
          <w:rFonts w:asciiTheme="minorBidi" w:hAnsiTheme="minorBidi" w:cstheme="minorBidi"/>
        </w:rPr>
        <w:t>(BHP, 2025).</w:t>
      </w:r>
      <w:r w:rsidRPr="002124BC">
        <w:rPr>
          <w:rFonts w:asciiTheme="minorBidi" w:hAnsiTheme="minorBidi" w:cstheme="minorBidi"/>
        </w:rPr>
        <w:t xml:space="preserve"> </w:t>
      </w:r>
      <w:r w:rsidRPr="002124BC">
        <w:rPr>
          <w:rStyle w:val="cursor-pointer"/>
          <w:rFonts w:asciiTheme="minorBidi" w:hAnsiTheme="minorBidi" w:cstheme="minorBidi"/>
        </w:rPr>
        <w:t>But the flip side is also a marketing opportunity as consumers are worried about the carbon intensity and sustainability of the materials they use in their value chains.</w:t>
      </w:r>
      <w:r w:rsidRPr="002124BC">
        <w:rPr>
          <w:rFonts w:asciiTheme="minorBidi" w:hAnsiTheme="minorBidi" w:cstheme="minorBidi"/>
        </w:rPr>
        <w:t xml:space="preserve"> </w:t>
      </w:r>
    </w:p>
    <w:p w14:paraId="49BE7802" w14:textId="10D5482C"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Thus, BHP needs to think not only about ways to reduce its carbon footprint but also how to identify and market lower-carbon products to business customers.</w:t>
      </w:r>
      <w:r w:rsidRPr="002124BC">
        <w:rPr>
          <w:rFonts w:asciiTheme="minorBidi" w:hAnsiTheme="minorBidi" w:cstheme="minorBidi"/>
        </w:rPr>
        <w:t xml:space="preserve"> </w:t>
      </w:r>
      <w:r w:rsidRPr="002124BC">
        <w:rPr>
          <w:rStyle w:val="cursor-pointer"/>
          <w:rFonts w:asciiTheme="minorBidi" w:hAnsiTheme="minorBidi" w:cstheme="minorBidi"/>
        </w:rPr>
        <w:t>This is especially significant in the external marketing environment as conditions in the environment may affect customer value and the competitive positioning of BHP</w:t>
      </w:r>
      <w:r w:rsidR="000D4A90" w:rsidRPr="002124BC">
        <w:rPr>
          <w:rFonts w:asciiTheme="minorBidi" w:hAnsiTheme="minorBidi" w:cstheme="minorBidi"/>
        </w:rPr>
        <w:t>.</w:t>
      </w:r>
    </w:p>
    <w:p w14:paraId="2B0ED054" w14:textId="77777777" w:rsidR="00FC298C" w:rsidRPr="002124BC" w:rsidRDefault="00FC298C" w:rsidP="00F32910">
      <w:pPr>
        <w:pStyle w:val="NormalWeb"/>
        <w:spacing w:line="360" w:lineRule="auto"/>
        <w:jc w:val="both"/>
        <w:rPr>
          <w:rFonts w:asciiTheme="minorBidi" w:hAnsiTheme="minorBidi" w:cstheme="minorBidi"/>
        </w:rPr>
      </w:pPr>
    </w:p>
    <w:p w14:paraId="23300E06" w14:textId="70E43D8E" w:rsidR="00FC298C" w:rsidRPr="002124BC" w:rsidRDefault="00FC298C" w:rsidP="002124BC">
      <w:pPr>
        <w:jc w:val="center"/>
        <w:rPr>
          <w:rFonts w:asciiTheme="minorBidi" w:hAnsiTheme="minorBidi"/>
        </w:rPr>
      </w:pPr>
      <w:r w:rsidRPr="002124BC">
        <w:rPr>
          <w:rFonts w:asciiTheme="minorBidi" w:hAnsiTheme="minorBidi"/>
          <w:noProof/>
          <w:lang w:eastAsia="en-GB"/>
        </w:rPr>
        <w:lastRenderedPageBreak/>
        <w:drawing>
          <wp:inline distT="0" distB="0" distL="0" distR="0" wp14:anchorId="4C06543E" wp14:editId="4CB73B63">
            <wp:extent cx="3807243" cy="34861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s2.0-S0301479722024525-ga1.jpg"/>
                    <pic:cNvPicPr/>
                  </pic:nvPicPr>
                  <pic:blipFill>
                    <a:blip r:embed="rId8">
                      <a:extLst>
                        <a:ext uri="{28A0092B-C50C-407E-A947-70E740481C1C}">
                          <a14:useLocalDpi xmlns:a14="http://schemas.microsoft.com/office/drawing/2010/main" val="0"/>
                        </a:ext>
                      </a:extLst>
                    </a:blip>
                    <a:stretch>
                      <a:fillRect/>
                    </a:stretch>
                  </pic:blipFill>
                  <pic:spPr>
                    <a:xfrm>
                      <a:off x="0" y="0"/>
                      <a:ext cx="3804478" cy="3483618"/>
                    </a:xfrm>
                    <a:prstGeom prst="rect">
                      <a:avLst/>
                    </a:prstGeom>
                  </pic:spPr>
                </pic:pic>
              </a:graphicData>
            </a:graphic>
          </wp:inline>
        </w:drawing>
      </w:r>
    </w:p>
    <w:p w14:paraId="0596C5D7" w14:textId="77777777" w:rsidR="00FC298C" w:rsidRPr="002124BC" w:rsidRDefault="00FC298C" w:rsidP="00FC298C">
      <w:pPr>
        <w:spacing w:before="100" w:beforeAutospacing="1" w:after="100" w:afterAutospacing="1" w:line="240" w:lineRule="auto"/>
        <w:jc w:val="center"/>
        <w:rPr>
          <w:rFonts w:asciiTheme="minorBidi" w:eastAsia="Times New Roman" w:hAnsiTheme="minorBidi"/>
          <w:sz w:val="24"/>
          <w:szCs w:val="24"/>
          <w:u w:val="single"/>
          <w:lang w:eastAsia="en-GB"/>
        </w:rPr>
      </w:pPr>
      <w:r w:rsidRPr="002124BC">
        <w:rPr>
          <w:rFonts w:asciiTheme="minorBidi" w:eastAsia="Times New Roman" w:hAnsiTheme="minorBidi"/>
          <w:bCs/>
          <w:sz w:val="24"/>
          <w:szCs w:val="24"/>
          <w:u w:val="single"/>
          <w:lang w:eastAsia="en-GB"/>
        </w:rPr>
        <w:t>Figure 1: Key Drivers of Low-Carbon Transition</w:t>
      </w:r>
    </w:p>
    <w:p w14:paraId="5095EF6A" w14:textId="7F1A6AA4" w:rsidR="00FC298C" w:rsidRPr="002124BC" w:rsidRDefault="00FC298C" w:rsidP="002124BC">
      <w:pPr>
        <w:spacing w:before="100" w:beforeAutospacing="1" w:after="100" w:afterAutospacing="1" w:line="240" w:lineRule="auto"/>
        <w:jc w:val="center"/>
        <w:rPr>
          <w:rFonts w:asciiTheme="minorBidi" w:eastAsia="Times New Roman" w:hAnsiTheme="minorBidi"/>
          <w:sz w:val="24"/>
          <w:szCs w:val="24"/>
          <w:u w:val="single"/>
          <w:lang w:eastAsia="en-GB"/>
        </w:rPr>
      </w:pPr>
      <w:r w:rsidRPr="002124BC">
        <w:rPr>
          <w:rFonts w:asciiTheme="minorBidi" w:eastAsia="Times New Roman" w:hAnsiTheme="minorBidi"/>
          <w:iCs/>
          <w:sz w:val="24"/>
          <w:szCs w:val="24"/>
          <w:u w:val="single"/>
          <w:lang w:eastAsia="en-GB"/>
        </w:rPr>
        <w:t>Source: Adapted from Yao et al. (2023).</w:t>
      </w:r>
    </w:p>
    <w:p w14:paraId="230EA5E7" w14:textId="77777777" w:rsidR="000D4A90" w:rsidRPr="002124BC" w:rsidRDefault="000D4A90" w:rsidP="00FD74C8">
      <w:pPr>
        <w:pStyle w:val="Heading2"/>
        <w:rPr>
          <w:rFonts w:asciiTheme="minorBidi" w:hAnsiTheme="minorBidi" w:cstheme="minorBidi"/>
        </w:rPr>
      </w:pPr>
      <w:bookmarkStart w:id="3" w:name="_Toc242287205"/>
      <w:r w:rsidRPr="002124BC">
        <w:rPr>
          <w:rFonts w:asciiTheme="minorBidi" w:hAnsiTheme="minorBidi" w:cstheme="minorBidi"/>
        </w:rPr>
        <w:t>2.2 Environmental Actor Analysis</w:t>
      </w:r>
      <w:bookmarkEnd w:id="3"/>
    </w:p>
    <w:p w14:paraId="62A51403" w14:textId="2449D6A6" w:rsidR="001F3485" w:rsidRDefault="005963C8"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Climate change is creating pressure for mining companies to lower their emissions, making the environmental actor the greatest external influence on BHP's transition towards lower carbon emissions in its products.</w:t>
      </w:r>
      <w:r w:rsidRPr="002124BC">
        <w:rPr>
          <w:rFonts w:asciiTheme="minorBidi" w:hAnsiTheme="minorBidi" w:cstheme="minorBidi"/>
        </w:rPr>
        <w:t xml:space="preserve"> </w:t>
      </w:r>
      <w:r w:rsidRPr="002124BC">
        <w:rPr>
          <w:rStyle w:val="cursor-pointer"/>
          <w:rFonts w:asciiTheme="minorBidi" w:hAnsiTheme="minorBidi" w:cstheme="minorBidi"/>
        </w:rPr>
        <w:t xml:space="preserve">The impact of this environmental stress is substantial, as the metals and mining industry generates about 25% of the world's 12,000 top </w:t>
      </w:r>
      <w:r w:rsidR="0070658B" w:rsidRPr="002124BC">
        <w:rPr>
          <w:rStyle w:val="cursor-pointer"/>
          <w:rFonts w:asciiTheme="minorBidi" w:hAnsiTheme="minorBidi" w:cstheme="minorBidi"/>
        </w:rPr>
        <w:t>companies</w:t>
      </w:r>
      <w:r w:rsidRPr="002124BC">
        <w:rPr>
          <w:rStyle w:val="cursor-pointer"/>
          <w:rFonts w:asciiTheme="minorBidi" w:hAnsiTheme="minorBidi" w:cstheme="minorBidi"/>
        </w:rPr>
        <w:t xml:space="preserve"> reported </w:t>
      </w:r>
      <w:r w:rsidR="001F3485" w:rsidRPr="001F3485">
        <w:rPr>
          <w:rFonts w:asciiTheme="minorBidi" w:hAnsiTheme="minorBidi" w:cstheme="minorBidi"/>
        </w:rPr>
        <w:t>Greenhouse gas (GHG)</w:t>
      </w:r>
      <w:r w:rsidRPr="002124BC">
        <w:rPr>
          <w:rStyle w:val="cursor-pointer"/>
          <w:rFonts w:asciiTheme="minorBidi" w:hAnsiTheme="minorBidi" w:cstheme="minorBidi"/>
        </w:rPr>
        <w:t>; decarbonisation is increasingly a key consideration in corporate strategy and positioning (Kotler, Armstrong and Balasubramanian, 2024).</w:t>
      </w:r>
      <w:r w:rsidRPr="002124BC">
        <w:rPr>
          <w:rFonts w:asciiTheme="minorBidi" w:hAnsiTheme="minorBidi" w:cstheme="minorBidi"/>
        </w:rPr>
        <w:t xml:space="preserve"> </w:t>
      </w:r>
    </w:p>
    <w:p w14:paraId="27F5A8E7" w14:textId="31CEC20A" w:rsidR="001F3485" w:rsidRDefault="005963C8"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 xml:space="preserve">This pressure is a </w:t>
      </w:r>
      <w:r w:rsidR="0070658B" w:rsidRPr="002124BC">
        <w:rPr>
          <w:rStyle w:val="cursor-pointer"/>
          <w:rFonts w:asciiTheme="minorBidi" w:hAnsiTheme="minorBidi" w:cstheme="minorBidi"/>
        </w:rPr>
        <w:t>double-edged</w:t>
      </w:r>
      <w:r w:rsidRPr="002124BC">
        <w:rPr>
          <w:rStyle w:val="cursor-pointer"/>
          <w:rFonts w:asciiTheme="minorBidi" w:hAnsiTheme="minorBidi" w:cstheme="minorBidi"/>
        </w:rPr>
        <w:t xml:space="preserve"> sword for BHP.</w:t>
      </w:r>
      <w:r w:rsidRPr="002124BC">
        <w:rPr>
          <w:rFonts w:asciiTheme="minorBidi" w:hAnsiTheme="minorBidi" w:cstheme="minorBidi"/>
        </w:rPr>
        <w:t xml:space="preserve"> </w:t>
      </w:r>
      <w:r w:rsidRPr="002124BC">
        <w:rPr>
          <w:rStyle w:val="cursor-pointer"/>
          <w:rFonts w:asciiTheme="minorBidi" w:hAnsiTheme="minorBidi" w:cstheme="minorBidi"/>
        </w:rPr>
        <w:t>Developing emission reduction investments in cleaner energy, operational technologies and production processes can result in costs and implementation risks.</w:t>
      </w:r>
      <w:r w:rsidRPr="002124BC">
        <w:rPr>
          <w:rFonts w:asciiTheme="minorBidi" w:hAnsiTheme="minorBidi" w:cstheme="minorBidi"/>
        </w:rPr>
        <w:t xml:space="preserve"> </w:t>
      </w:r>
      <w:r w:rsidRPr="002124BC">
        <w:rPr>
          <w:rStyle w:val="cursor-pointer"/>
          <w:rFonts w:asciiTheme="minorBidi" w:hAnsiTheme="minorBidi" w:cstheme="minorBidi"/>
        </w:rPr>
        <w:t>Conversely, if more demand emerges for responsibly produced materials, BHP could differentiate itself based on its lower carbon credentials.</w:t>
      </w:r>
      <w:r w:rsidRPr="002124BC">
        <w:rPr>
          <w:rFonts w:asciiTheme="minorBidi" w:hAnsiTheme="minorBidi" w:cstheme="minorBidi"/>
        </w:rPr>
        <w:t xml:space="preserve"> </w:t>
      </w:r>
      <w:r w:rsidRPr="002124BC">
        <w:rPr>
          <w:rStyle w:val="cursor-pointer"/>
          <w:rFonts w:asciiTheme="minorBidi" w:hAnsiTheme="minorBidi" w:cstheme="minorBidi"/>
        </w:rPr>
        <w:t>This is especially true for copper, which is anticipated to be a key material for electrification and renewable-energy infrastructure (</w:t>
      </w:r>
      <w:r w:rsidR="001F3485" w:rsidRPr="001F3485">
        <w:rPr>
          <w:rFonts w:asciiTheme="minorBidi" w:hAnsiTheme="minorBidi" w:cstheme="minorBidi"/>
        </w:rPr>
        <w:t>International Energy Agency (IEA)</w:t>
      </w:r>
      <w:r w:rsidRPr="002124BC">
        <w:rPr>
          <w:rStyle w:val="cursor-pointer"/>
          <w:rFonts w:asciiTheme="minorBidi" w:hAnsiTheme="minorBidi" w:cstheme="minorBidi"/>
        </w:rPr>
        <w:t>, 2024).</w:t>
      </w:r>
      <w:r w:rsidRPr="002124BC">
        <w:rPr>
          <w:rFonts w:asciiTheme="minorBidi" w:hAnsiTheme="minorBidi" w:cstheme="minorBidi"/>
        </w:rPr>
        <w:t xml:space="preserve"> </w:t>
      </w:r>
    </w:p>
    <w:p w14:paraId="03FF5415" w14:textId="71FD92CD" w:rsidR="000D4A90" w:rsidRPr="002124BC" w:rsidRDefault="009031F3" w:rsidP="00F32910">
      <w:pPr>
        <w:pStyle w:val="NormalWeb"/>
        <w:spacing w:line="360" w:lineRule="auto"/>
        <w:jc w:val="both"/>
        <w:rPr>
          <w:rFonts w:asciiTheme="minorBidi" w:hAnsiTheme="minorBidi" w:cstheme="minorBidi"/>
        </w:rPr>
      </w:pPr>
      <w:r w:rsidRPr="002124BC">
        <w:rPr>
          <w:rFonts w:asciiTheme="minorBidi" w:hAnsiTheme="minorBidi" w:cstheme="minorBidi"/>
        </w:rPr>
        <w:lastRenderedPageBreak/>
        <w:t>Therefore, environmental pressure must not be considered solely a compliance exercise, as it also has the potential to affect customer choice, product positioning and long-term value creation</w:t>
      </w:r>
      <w:r w:rsidR="005963C8" w:rsidRPr="002124BC">
        <w:rPr>
          <w:rStyle w:val="cursor-pointer"/>
          <w:rFonts w:asciiTheme="minorBidi" w:hAnsiTheme="minorBidi" w:cstheme="minorBidi"/>
        </w:rPr>
        <w:t>.</w:t>
      </w:r>
      <w:r w:rsidR="005963C8" w:rsidRPr="002124BC">
        <w:rPr>
          <w:rFonts w:asciiTheme="minorBidi" w:hAnsiTheme="minorBidi" w:cstheme="minorBidi"/>
        </w:rPr>
        <w:t xml:space="preserve"> </w:t>
      </w:r>
      <w:r w:rsidR="005963C8" w:rsidRPr="002124BC">
        <w:rPr>
          <w:rStyle w:val="cursor-pointer"/>
          <w:rFonts w:asciiTheme="minorBidi" w:hAnsiTheme="minorBidi" w:cstheme="minorBidi"/>
        </w:rPr>
        <w:t>BHP's ability to achieve tangible emissions reductions would therefore make it more appealing for customers looking for emissions reductions in their supply chains (McKinsey, 2024)</w:t>
      </w:r>
      <w:r w:rsidR="00C50C65" w:rsidRPr="002124BC">
        <w:rPr>
          <w:rFonts w:asciiTheme="minorBidi" w:hAnsiTheme="minorBidi" w:cstheme="minorBidi"/>
        </w:rPr>
        <w:t>.</w:t>
      </w:r>
    </w:p>
    <w:p w14:paraId="75494FD7" w14:textId="77777777" w:rsidR="000D4A90" w:rsidRPr="002124BC" w:rsidRDefault="000D4A90" w:rsidP="00FD74C8">
      <w:pPr>
        <w:pStyle w:val="Heading2"/>
        <w:rPr>
          <w:rFonts w:asciiTheme="minorBidi" w:hAnsiTheme="minorBidi" w:cstheme="minorBidi"/>
        </w:rPr>
      </w:pPr>
      <w:bookmarkStart w:id="4" w:name="_Toc242287206"/>
      <w:r w:rsidRPr="002124BC">
        <w:rPr>
          <w:rFonts w:asciiTheme="minorBidi" w:hAnsiTheme="minorBidi" w:cstheme="minorBidi"/>
        </w:rPr>
        <w:t>2.3 Political and Regulatory Actor</w:t>
      </w:r>
      <w:bookmarkEnd w:id="4"/>
    </w:p>
    <w:p w14:paraId="1493F7D0" w14:textId="77777777" w:rsidR="001F3485"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BHP is also seeing pressure from political and regulatory factors, with governments bolstering climate policies, emissions standards and reporting.</w:t>
      </w:r>
      <w:r w:rsidRPr="002124BC">
        <w:rPr>
          <w:rFonts w:asciiTheme="minorBidi" w:hAnsiTheme="minorBidi" w:cstheme="minorBidi"/>
        </w:rPr>
        <w:t xml:space="preserve"> </w:t>
      </w:r>
      <w:r w:rsidRPr="002124BC">
        <w:rPr>
          <w:rStyle w:val="cursor-pointer"/>
          <w:rFonts w:asciiTheme="minorBidi" w:hAnsiTheme="minorBidi" w:cstheme="minorBidi"/>
        </w:rPr>
        <w:t>This is an approach that may raise the costs and complexity of mining, and it also can stimulate investments in cleaner technology.</w:t>
      </w:r>
      <w:r w:rsidRPr="002124BC">
        <w:rPr>
          <w:rFonts w:asciiTheme="minorBidi" w:hAnsiTheme="minorBidi" w:cstheme="minorBidi"/>
        </w:rPr>
        <w:t xml:space="preserve"> </w:t>
      </w:r>
    </w:p>
    <w:p w14:paraId="69BF8900" w14:textId="77777777" w:rsidR="001F3485"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For BHP, regulatory pressure is thus a strategic challenge of balancing regulatory compliance with cost competitiveness.</w:t>
      </w:r>
      <w:r w:rsidRPr="002124BC">
        <w:rPr>
          <w:rFonts w:asciiTheme="minorBidi" w:hAnsiTheme="minorBidi" w:cstheme="minorBidi"/>
        </w:rPr>
        <w:t xml:space="preserve"> </w:t>
      </w:r>
      <w:r w:rsidRPr="002124BC">
        <w:rPr>
          <w:rStyle w:val="cursor-pointer"/>
          <w:rFonts w:asciiTheme="minorBidi" w:hAnsiTheme="minorBidi" w:cstheme="minorBidi"/>
        </w:rPr>
        <w:t>Yet regulation could also ramp up the demand for lower carbon materials by incentivizing industries downstream to lower their upstream emissions (Lin et al., 2024).</w:t>
      </w:r>
      <w:r w:rsidRPr="002124BC">
        <w:rPr>
          <w:rFonts w:asciiTheme="minorBidi" w:hAnsiTheme="minorBidi" w:cstheme="minorBidi"/>
        </w:rPr>
        <w:t xml:space="preserve"> </w:t>
      </w:r>
      <w:r w:rsidRPr="002124BC">
        <w:rPr>
          <w:rStyle w:val="cursor-pointer"/>
          <w:rFonts w:asciiTheme="minorBidi" w:hAnsiTheme="minorBidi" w:cstheme="minorBidi"/>
        </w:rPr>
        <w:t>BHP can do this by incorporating regulatory expectations into product development, environmental reporting and customer communication.</w:t>
      </w:r>
      <w:r w:rsidRPr="002124BC">
        <w:rPr>
          <w:rFonts w:asciiTheme="minorBidi" w:hAnsiTheme="minorBidi" w:cstheme="minorBidi"/>
        </w:rPr>
        <w:t xml:space="preserve"> </w:t>
      </w:r>
      <w:r w:rsidRPr="002124BC">
        <w:rPr>
          <w:rStyle w:val="cursor-pointer"/>
          <w:rFonts w:asciiTheme="minorBidi" w:hAnsiTheme="minorBidi" w:cstheme="minorBidi"/>
        </w:rPr>
        <w:t>This can help build market confidence as consumers are increasingly demanding proof of responsible sourcing and emissions.</w:t>
      </w:r>
      <w:r w:rsidRPr="002124BC">
        <w:rPr>
          <w:rFonts w:asciiTheme="minorBidi" w:hAnsiTheme="minorBidi" w:cstheme="minorBidi"/>
        </w:rPr>
        <w:t xml:space="preserve"> </w:t>
      </w:r>
    </w:p>
    <w:p w14:paraId="1888DD60" w14:textId="7ED469B6" w:rsidR="000D4A90" w:rsidRPr="002124BC" w:rsidRDefault="005963C8" w:rsidP="00744F2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However, the cross-border nature of BHP's operations can introduce further complexity due to inter-country regulatory variations and environmental priorities/policy needs (</w:t>
      </w:r>
      <w:r w:rsidR="00744F20" w:rsidRPr="00744F20">
        <w:rPr>
          <w:rFonts w:asciiTheme="minorBidi" w:hAnsiTheme="minorBidi" w:cstheme="minorBidi"/>
        </w:rPr>
        <w:t>Organisation for Economic Co-operation and Development (OECD)</w:t>
      </w:r>
      <w:r w:rsidRPr="002124BC">
        <w:rPr>
          <w:rStyle w:val="cursor-pointer"/>
          <w:rFonts w:asciiTheme="minorBidi" w:hAnsiTheme="minorBidi" w:cstheme="minorBidi"/>
        </w:rPr>
        <w:t>, 2025).</w:t>
      </w:r>
      <w:r w:rsidRPr="002124BC">
        <w:rPr>
          <w:rFonts w:asciiTheme="minorBidi" w:hAnsiTheme="minorBidi" w:cstheme="minorBidi"/>
        </w:rPr>
        <w:t xml:space="preserve"> </w:t>
      </w:r>
      <w:r w:rsidRPr="002124BC">
        <w:rPr>
          <w:rStyle w:val="cursor-pointer"/>
          <w:rFonts w:asciiTheme="minorBidi" w:hAnsiTheme="minorBidi" w:cstheme="minorBidi"/>
        </w:rPr>
        <w:t>Political and regulatory actors therefore also shape BHP's operational and marketing decisions, as well as the company's capacity to market lower-carbon products consistently, on a global basis</w:t>
      </w:r>
      <w:r w:rsidR="000D4A90" w:rsidRPr="002124BC">
        <w:rPr>
          <w:rFonts w:asciiTheme="minorBidi" w:hAnsiTheme="minorBidi" w:cstheme="minorBidi"/>
        </w:rPr>
        <w:t>.</w:t>
      </w:r>
    </w:p>
    <w:p w14:paraId="55A15F80" w14:textId="77777777" w:rsidR="000D4A90" w:rsidRPr="002124BC" w:rsidRDefault="000D4A90" w:rsidP="00FD74C8">
      <w:pPr>
        <w:pStyle w:val="Heading2"/>
        <w:rPr>
          <w:rFonts w:asciiTheme="minorBidi" w:hAnsiTheme="minorBidi" w:cstheme="minorBidi"/>
        </w:rPr>
      </w:pPr>
      <w:bookmarkStart w:id="5" w:name="_Toc242287207"/>
      <w:r w:rsidRPr="002124BC">
        <w:rPr>
          <w:rFonts w:asciiTheme="minorBidi" w:hAnsiTheme="minorBidi" w:cstheme="minorBidi"/>
        </w:rPr>
        <w:t>2.4 Social and Stakeholder Actor</w:t>
      </w:r>
      <w:bookmarkEnd w:id="5"/>
    </w:p>
    <w:p w14:paraId="025838F2" w14:textId="77777777" w:rsidR="001F3485" w:rsidRDefault="005963C8" w:rsidP="00F32910">
      <w:pPr>
        <w:pStyle w:val="NormalWeb"/>
        <w:spacing w:line="360" w:lineRule="auto"/>
        <w:jc w:val="both"/>
        <w:rPr>
          <w:rStyle w:val="cursor-pointer"/>
          <w:rFonts w:asciiTheme="minorBidi" w:hAnsiTheme="minorBidi" w:cstheme="minorBidi"/>
        </w:rPr>
      </w:pPr>
      <w:r w:rsidRPr="002124BC">
        <w:rPr>
          <w:rStyle w:val="cursor-pointer"/>
          <w:rFonts w:asciiTheme="minorBidi" w:hAnsiTheme="minorBidi" w:cstheme="minorBidi"/>
        </w:rPr>
        <w:t>BHP is increasingly shaped by social and stakeholder expectations, as customers, investors, employees, communities and society value environmental responsibility more than ever.</w:t>
      </w:r>
    </w:p>
    <w:p w14:paraId="03BAE385" w14:textId="6E21045E" w:rsidR="001F3485"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 stakeholders can influence BHP's demand, corporate reputation and investment access, which demands credible progress, not just environmental commitments.</w:t>
      </w:r>
      <w:r w:rsidRPr="002124BC">
        <w:rPr>
          <w:rFonts w:asciiTheme="minorBidi" w:hAnsiTheme="minorBidi" w:cstheme="minorBidi"/>
        </w:rPr>
        <w:t xml:space="preserve"> </w:t>
      </w:r>
      <w:r w:rsidRPr="002124BC">
        <w:rPr>
          <w:rStyle w:val="cursor-pointer"/>
          <w:rFonts w:asciiTheme="minorBidi" w:hAnsiTheme="minorBidi" w:cstheme="minorBidi"/>
        </w:rPr>
        <w:t xml:space="preserve">For </w:t>
      </w:r>
      <w:r w:rsidRPr="002124BC">
        <w:rPr>
          <w:rStyle w:val="cursor-pointer"/>
          <w:rFonts w:asciiTheme="minorBidi" w:hAnsiTheme="minorBidi" w:cstheme="minorBidi"/>
        </w:rPr>
        <w:lastRenderedPageBreak/>
        <w:t>business customers aiming to lower the carbon intensity of their own value chains, the environmental attributes of purchased materials can affect their own sustainability performance (Liu et al., 2025).</w:t>
      </w:r>
      <w:r w:rsidRPr="002124BC">
        <w:rPr>
          <w:rFonts w:asciiTheme="minorBidi" w:hAnsiTheme="minorBidi" w:cstheme="minorBidi"/>
        </w:rPr>
        <w:t xml:space="preserve"> </w:t>
      </w:r>
    </w:p>
    <w:p w14:paraId="12CBCF16" w14:textId="77777777" w:rsidR="001F3485"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 xml:space="preserve">BHP must, therefore, provide measurable emissions reductions and show how this lowers carbon emissions </w:t>
      </w:r>
      <w:r w:rsidR="009031F3" w:rsidRPr="002124BC">
        <w:rPr>
          <w:rStyle w:val="cursor-pointer"/>
          <w:rFonts w:asciiTheme="minorBidi" w:hAnsiTheme="minorBidi" w:cstheme="minorBidi"/>
        </w:rPr>
        <w:t xml:space="preserve">and </w:t>
      </w:r>
      <w:r w:rsidRPr="002124BC">
        <w:rPr>
          <w:rStyle w:val="cursor-pointer"/>
          <w:rFonts w:asciiTheme="minorBidi" w:hAnsiTheme="minorBidi" w:cstheme="minorBidi"/>
        </w:rPr>
        <w:t>creates value for customers and other stakeholders.</w:t>
      </w:r>
      <w:r w:rsidRPr="002124BC">
        <w:rPr>
          <w:rFonts w:asciiTheme="minorBidi" w:hAnsiTheme="minorBidi" w:cstheme="minorBidi"/>
        </w:rPr>
        <w:t xml:space="preserve"> </w:t>
      </w:r>
      <w:r w:rsidRPr="002124BC">
        <w:rPr>
          <w:rStyle w:val="cursor-pointer"/>
          <w:rFonts w:asciiTheme="minorBidi" w:hAnsiTheme="minorBidi" w:cstheme="minorBidi"/>
        </w:rPr>
        <w:t>But priorities can be conflicting as stakeholders have their own expectations, such as environmental performance and affordability and employment and operational continuity.</w:t>
      </w:r>
      <w:r w:rsidRPr="002124BC">
        <w:rPr>
          <w:rFonts w:asciiTheme="minorBidi" w:hAnsiTheme="minorBidi" w:cstheme="minorBidi"/>
        </w:rPr>
        <w:t xml:space="preserve"> </w:t>
      </w:r>
      <w:r w:rsidRPr="002124BC">
        <w:rPr>
          <w:rStyle w:val="cursor-pointer"/>
          <w:rFonts w:asciiTheme="minorBidi" w:hAnsiTheme="minorBidi" w:cstheme="minorBidi"/>
        </w:rPr>
        <w:t>This does not imply that BHP can assume stakeholder pressure to decarbonise the fastest.</w:t>
      </w:r>
      <w:r w:rsidRPr="002124BC">
        <w:rPr>
          <w:rFonts w:asciiTheme="minorBidi" w:hAnsiTheme="minorBidi" w:cstheme="minorBidi"/>
        </w:rPr>
        <w:t xml:space="preserve"> </w:t>
      </w:r>
      <w:r w:rsidRPr="002124BC">
        <w:rPr>
          <w:rStyle w:val="cursor-pointer"/>
          <w:rFonts w:asciiTheme="minorBidi" w:hAnsiTheme="minorBidi" w:cstheme="minorBidi"/>
        </w:rPr>
        <w:t>Rather, it should be flexible in developing and promoting lower-carbon products, depending on varying expectations.</w:t>
      </w:r>
      <w:r w:rsidRPr="002124BC">
        <w:rPr>
          <w:rFonts w:asciiTheme="minorBidi" w:hAnsiTheme="minorBidi" w:cstheme="minorBidi"/>
        </w:rPr>
        <w:t xml:space="preserve"> </w:t>
      </w:r>
    </w:p>
    <w:p w14:paraId="2AD9911C" w14:textId="33B71C77"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Therefore, stakeholder engagement is an important way of building trust and differentiation, but poor or inadequate environmental claims can undermine credibility and diminish the marketing potential of BHP's transition (Wang et al., 2025).</w:t>
      </w:r>
    </w:p>
    <w:p w14:paraId="77A0B051" w14:textId="77777777" w:rsidR="000D4A90" w:rsidRPr="002124BC" w:rsidRDefault="000D4A90" w:rsidP="00FD74C8">
      <w:pPr>
        <w:pStyle w:val="Heading2"/>
        <w:rPr>
          <w:rFonts w:asciiTheme="minorBidi" w:hAnsiTheme="minorBidi" w:cstheme="minorBidi"/>
        </w:rPr>
      </w:pPr>
      <w:bookmarkStart w:id="6" w:name="_Toc242287208"/>
      <w:r w:rsidRPr="002124BC">
        <w:rPr>
          <w:rFonts w:asciiTheme="minorBidi" w:hAnsiTheme="minorBidi" w:cstheme="minorBidi"/>
        </w:rPr>
        <w:t>2.5 Critical Synthesis of External Influences</w:t>
      </w:r>
      <w:bookmarkEnd w:id="6"/>
    </w:p>
    <w:p w14:paraId="1F586601" w14:textId="77777777" w:rsidR="001F3485" w:rsidRDefault="005963C8" w:rsidP="00F32910">
      <w:pPr>
        <w:pStyle w:val="NormalWeb"/>
        <w:spacing w:line="360" w:lineRule="auto"/>
        <w:jc w:val="both"/>
        <w:rPr>
          <w:rStyle w:val="cursor-pointer"/>
          <w:rFonts w:asciiTheme="minorBidi" w:hAnsiTheme="minorBidi" w:cstheme="minorBidi"/>
        </w:rPr>
      </w:pPr>
      <w:r w:rsidRPr="002124BC">
        <w:rPr>
          <w:rStyle w:val="cursor-pointer"/>
          <w:rFonts w:asciiTheme="minorBidi" w:hAnsiTheme="minorBidi" w:cstheme="minorBidi"/>
        </w:rPr>
        <w:t>The three external actors are interrelated and all influence BHP's lower carbon transition.</w:t>
      </w:r>
      <w:r w:rsidRPr="002124BC">
        <w:rPr>
          <w:rFonts w:asciiTheme="minorBidi" w:hAnsiTheme="minorBidi" w:cstheme="minorBidi"/>
        </w:rPr>
        <w:t xml:space="preserve"> </w:t>
      </w:r>
      <w:r w:rsidRPr="002124BC">
        <w:rPr>
          <w:rStyle w:val="cursor-pointer"/>
          <w:rFonts w:asciiTheme="minorBidi" w:hAnsiTheme="minorBidi" w:cstheme="minorBidi"/>
        </w:rPr>
        <w:t>The need for emissions reduction is driven by environmental pressures and political and regulatory requirements are what BHP must achieve.</w:t>
      </w:r>
      <w:r w:rsidRPr="002124BC">
        <w:rPr>
          <w:rFonts w:asciiTheme="minorBidi" w:hAnsiTheme="minorBidi" w:cstheme="minorBidi"/>
        </w:rPr>
        <w:t xml:space="preserve"> </w:t>
      </w:r>
      <w:r w:rsidRPr="002124BC">
        <w:rPr>
          <w:rStyle w:val="cursor-pointer"/>
          <w:rFonts w:asciiTheme="minorBidi" w:hAnsiTheme="minorBidi" w:cstheme="minorBidi"/>
        </w:rPr>
        <w:t>The social and stakeholder expectations also shape BHP's environmental value to customers and other stakeholders.</w:t>
      </w:r>
      <w:r w:rsidRPr="002124BC">
        <w:rPr>
          <w:rFonts w:asciiTheme="minorBidi" w:hAnsiTheme="minorBidi" w:cstheme="minorBidi"/>
        </w:rPr>
        <w:t xml:space="preserve"> </w:t>
      </w:r>
      <w:r w:rsidRPr="002124BC">
        <w:rPr>
          <w:rStyle w:val="cursor-pointer"/>
          <w:rFonts w:asciiTheme="minorBidi" w:hAnsiTheme="minorBidi" w:cstheme="minorBidi"/>
        </w:rPr>
        <w:t>These impacts can also generate conflicting pressures, as investments in decarbonisation can drive up costs, whilst customers are increasingly seeking enhanced environmental outcomes.</w:t>
      </w:r>
    </w:p>
    <w:p w14:paraId="53FA0FCA" w14:textId="77777777" w:rsidR="001F3485" w:rsidRDefault="005963C8" w:rsidP="00F32910">
      <w:pPr>
        <w:pStyle w:val="NormalWeb"/>
        <w:spacing w:line="360" w:lineRule="auto"/>
        <w:jc w:val="both"/>
        <w:rPr>
          <w:rFonts w:asciiTheme="minorBidi" w:hAnsiTheme="minorBidi" w:cstheme="minorBidi"/>
        </w:rPr>
      </w:pPr>
      <w:r w:rsidRPr="002124BC">
        <w:rPr>
          <w:rFonts w:asciiTheme="minorBidi" w:hAnsiTheme="minorBidi" w:cstheme="minorBidi"/>
        </w:rPr>
        <w:t xml:space="preserve"> </w:t>
      </w:r>
      <w:r w:rsidRPr="002124BC">
        <w:rPr>
          <w:rStyle w:val="cursor-pointer"/>
          <w:rFonts w:asciiTheme="minorBidi" w:hAnsiTheme="minorBidi" w:cstheme="minorBidi"/>
        </w:rPr>
        <w:t>Hence, the competitive answer from BHP needs to be more than just the reduction of operational emissions, it should also be based on the realization of environmental improvements that are meaningful to customers.</w:t>
      </w:r>
      <w:r w:rsidRPr="002124BC">
        <w:rPr>
          <w:rFonts w:asciiTheme="minorBidi" w:hAnsiTheme="minorBidi" w:cstheme="minorBidi"/>
        </w:rPr>
        <w:t xml:space="preserve"> </w:t>
      </w:r>
      <w:r w:rsidRPr="002124BC">
        <w:rPr>
          <w:rStyle w:val="cursor-pointer"/>
          <w:rFonts w:asciiTheme="minorBidi" w:hAnsiTheme="minorBidi" w:cstheme="minorBidi"/>
        </w:rPr>
        <w:t>The key takeaway is that BHP must ensure environmental performance, meeting regulatory requirements, and stakeholder expectations are aligned, not addressed independently.</w:t>
      </w:r>
      <w:r w:rsidRPr="002124BC">
        <w:rPr>
          <w:rFonts w:asciiTheme="minorBidi" w:hAnsiTheme="minorBidi" w:cstheme="minorBidi"/>
        </w:rPr>
        <w:t xml:space="preserve"> </w:t>
      </w:r>
    </w:p>
    <w:p w14:paraId="421E3A4A" w14:textId="243B64E7" w:rsidR="001F3485" w:rsidRPr="002124BC" w:rsidRDefault="005963C8" w:rsidP="00744F20">
      <w:pPr>
        <w:pStyle w:val="NormalWeb"/>
        <w:spacing w:line="360" w:lineRule="auto"/>
        <w:jc w:val="both"/>
        <w:rPr>
          <w:rStyle w:val="Strong"/>
          <w:rFonts w:asciiTheme="minorBidi" w:hAnsiTheme="minorBidi" w:cstheme="minorBidi"/>
        </w:rPr>
      </w:pPr>
      <w:r w:rsidRPr="002124BC">
        <w:rPr>
          <w:rStyle w:val="cursor-pointer"/>
          <w:rFonts w:asciiTheme="minorBidi" w:hAnsiTheme="minorBidi" w:cstheme="minorBidi"/>
        </w:rPr>
        <w:t>This alignment may lead to product differentiation and enhance BHP's profile as demand for responsibly sourced materials grows (International Council on Mining and Metals, 2024)</w:t>
      </w:r>
      <w:r w:rsidR="000D4A90" w:rsidRPr="002124BC">
        <w:rPr>
          <w:rStyle w:val="Strong"/>
          <w:rFonts w:asciiTheme="minorBidi" w:hAnsiTheme="minorBidi" w:cstheme="minorBidi"/>
        </w:rPr>
        <w:t>.</w:t>
      </w:r>
    </w:p>
    <w:p w14:paraId="0BF20C11" w14:textId="77777777" w:rsidR="00C50C65" w:rsidRPr="001F3485" w:rsidRDefault="00C50C65" w:rsidP="00F32910">
      <w:pPr>
        <w:pStyle w:val="NormalWeb"/>
        <w:spacing w:line="360" w:lineRule="auto"/>
        <w:jc w:val="both"/>
        <w:rPr>
          <w:rStyle w:val="Strong"/>
          <w:rFonts w:asciiTheme="minorBidi" w:hAnsiTheme="minorBidi" w:cstheme="minorBidi"/>
          <w:b w:val="0"/>
          <w:bCs w:val="0"/>
        </w:rPr>
      </w:pPr>
      <w:r w:rsidRPr="001F3485">
        <w:rPr>
          <w:rFonts w:asciiTheme="minorBidi" w:hAnsiTheme="minorBidi" w:cstheme="minorBidi"/>
          <w:b/>
          <w:bCs/>
        </w:rPr>
        <w:lastRenderedPageBreak/>
        <w:t>Table 1: External Marketing Environment Actors Influencing BHP</w:t>
      </w:r>
    </w:p>
    <w:tbl>
      <w:tblPr>
        <w:tblStyle w:val="TableGrid"/>
        <w:tblW w:w="9344" w:type="dxa"/>
        <w:tblLook w:val="04A0" w:firstRow="1" w:lastRow="0" w:firstColumn="1" w:lastColumn="0" w:noHBand="0" w:noVBand="1"/>
      </w:tblPr>
      <w:tblGrid>
        <w:gridCol w:w="2038"/>
        <w:gridCol w:w="3386"/>
        <w:gridCol w:w="3920"/>
      </w:tblGrid>
      <w:tr w:rsidR="00C50C65" w:rsidRPr="002124BC" w14:paraId="3B41265C" w14:textId="77777777" w:rsidTr="002124BC">
        <w:trPr>
          <w:trHeight w:val="458"/>
        </w:trPr>
        <w:tc>
          <w:tcPr>
            <w:tcW w:w="0" w:type="auto"/>
            <w:hideMark/>
          </w:tcPr>
          <w:p w14:paraId="5FC598E1" w14:textId="77777777" w:rsidR="00C50C65" w:rsidRPr="002124BC" w:rsidRDefault="00C50C65" w:rsidP="002124BC">
            <w:pPr>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External actor</w:t>
            </w:r>
          </w:p>
        </w:tc>
        <w:tc>
          <w:tcPr>
            <w:tcW w:w="0" w:type="auto"/>
            <w:hideMark/>
          </w:tcPr>
          <w:p w14:paraId="3A86CC20" w14:textId="77777777" w:rsidR="00C50C65" w:rsidRPr="002124BC" w:rsidRDefault="00C50C65" w:rsidP="002124BC">
            <w:pPr>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Key influence on BHP</w:t>
            </w:r>
          </w:p>
        </w:tc>
        <w:tc>
          <w:tcPr>
            <w:tcW w:w="0" w:type="auto"/>
            <w:hideMark/>
          </w:tcPr>
          <w:p w14:paraId="6051C00A" w14:textId="77777777" w:rsidR="00C50C65" w:rsidRPr="002124BC" w:rsidRDefault="00C50C65" w:rsidP="002124BC">
            <w:pPr>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Marketing implication</w:t>
            </w:r>
          </w:p>
        </w:tc>
      </w:tr>
      <w:tr w:rsidR="00C50C65" w:rsidRPr="002124BC" w14:paraId="696A7CF3" w14:textId="77777777" w:rsidTr="002124BC">
        <w:trPr>
          <w:trHeight w:val="1236"/>
        </w:trPr>
        <w:tc>
          <w:tcPr>
            <w:tcW w:w="0" w:type="auto"/>
            <w:hideMark/>
          </w:tcPr>
          <w:p w14:paraId="4D697262"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Environmental</w:t>
            </w:r>
          </w:p>
        </w:tc>
        <w:tc>
          <w:tcPr>
            <w:tcW w:w="0" w:type="auto"/>
            <w:hideMark/>
          </w:tcPr>
          <w:p w14:paraId="61560712"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Climate pressure and demand for lower-carbon production</w:t>
            </w:r>
          </w:p>
        </w:tc>
        <w:tc>
          <w:tcPr>
            <w:tcW w:w="0" w:type="auto"/>
            <w:hideMark/>
          </w:tcPr>
          <w:p w14:paraId="3C5A25D7"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Opportunity for lower-carbon product differentiation</w:t>
            </w:r>
          </w:p>
        </w:tc>
      </w:tr>
      <w:tr w:rsidR="00C50C65" w:rsidRPr="002124BC" w14:paraId="7FF546BF" w14:textId="77777777" w:rsidTr="002124BC">
        <w:trPr>
          <w:trHeight w:val="1282"/>
        </w:trPr>
        <w:tc>
          <w:tcPr>
            <w:tcW w:w="0" w:type="auto"/>
            <w:hideMark/>
          </w:tcPr>
          <w:p w14:paraId="354859EF"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Political and regulatory</w:t>
            </w:r>
          </w:p>
        </w:tc>
        <w:tc>
          <w:tcPr>
            <w:tcW w:w="0" w:type="auto"/>
            <w:hideMark/>
          </w:tcPr>
          <w:p w14:paraId="33AEEFA1"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Emissions standards, climate policies and reporting requirements</w:t>
            </w:r>
          </w:p>
        </w:tc>
        <w:tc>
          <w:tcPr>
            <w:tcW w:w="0" w:type="auto"/>
            <w:hideMark/>
          </w:tcPr>
          <w:p w14:paraId="592BCA1B"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Higher compliance requirements and need for credible environmental reporting</w:t>
            </w:r>
          </w:p>
        </w:tc>
      </w:tr>
      <w:tr w:rsidR="00C50C65" w:rsidRPr="002124BC" w14:paraId="2C2D3286" w14:textId="77777777" w:rsidTr="002124BC">
        <w:trPr>
          <w:trHeight w:val="1328"/>
        </w:trPr>
        <w:tc>
          <w:tcPr>
            <w:tcW w:w="0" w:type="auto"/>
            <w:hideMark/>
          </w:tcPr>
          <w:p w14:paraId="7FA7FE86"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Social and stakeholder</w:t>
            </w:r>
          </w:p>
        </w:tc>
        <w:tc>
          <w:tcPr>
            <w:tcW w:w="0" w:type="auto"/>
            <w:hideMark/>
          </w:tcPr>
          <w:p w14:paraId="6ADC65AB"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Customer, investor, employee and community expectations</w:t>
            </w:r>
          </w:p>
        </w:tc>
        <w:tc>
          <w:tcPr>
            <w:tcW w:w="0" w:type="auto"/>
            <w:hideMark/>
          </w:tcPr>
          <w:p w14:paraId="24354F3A"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Greater need for transparency, trust and stakeholder engagement</w:t>
            </w:r>
          </w:p>
        </w:tc>
      </w:tr>
    </w:tbl>
    <w:p w14:paraId="1F606965" w14:textId="767E7860" w:rsidR="001F3485" w:rsidRPr="001F3485" w:rsidRDefault="001F3485" w:rsidP="001F3485">
      <w:pPr>
        <w:rPr>
          <w:rFonts w:asciiTheme="minorBidi" w:hAnsiTheme="minorBidi"/>
          <w:sz w:val="24"/>
          <w:szCs w:val="24"/>
          <w:lang w:val="en-US"/>
        </w:rPr>
      </w:pPr>
      <w:bookmarkStart w:id="7" w:name="_Toc242287209"/>
      <w:r w:rsidRPr="001F3485">
        <w:rPr>
          <w:rFonts w:asciiTheme="minorBidi" w:hAnsiTheme="minorBidi"/>
          <w:b/>
          <w:bCs/>
          <w:sz w:val="24"/>
          <w:szCs w:val="24"/>
          <w:lang w:val="en-US"/>
        </w:rPr>
        <w:t>Source:</w:t>
      </w:r>
      <w:r w:rsidRPr="001F3485">
        <w:rPr>
          <w:rFonts w:asciiTheme="minorBidi" w:hAnsiTheme="minorBidi"/>
          <w:sz w:val="24"/>
          <w:szCs w:val="24"/>
          <w:lang w:val="en-US"/>
        </w:rPr>
        <w:t xml:space="preserve"> Author’s own construction based on BHP (2025), OECD (2025) and International Council on Mining and Metals (2024).</w:t>
      </w:r>
    </w:p>
    <w:p w14:paraId="30174E70" w14:textId="6945371E" w:rsidR="000D4A90" w:rsidRPr="002124BC" w:rsidRDefault="000D4A90" w:rsidP="00FD74C8">
      <w:pPr>
        <w:pStyle w:val="Heading1"/>
        <w:rPr>
          <w:rFonts w:asciiTheme="minorBidi" w:hAnsiTheme="minorBidi" w:cstheme="minorBidi"/>
        </w:rPr>
      </w:pPr>
      <w:r w:rsidRPr="002124BC">
        <w:rPr>
          <w:rFonts w:asciiTheme="minorBidi" w:hAnsiTheme="minorBidi" w:cstheme="minorBidi"/>
        </w:rPr>
        <w:t>3. Strategic Growth and Competitive Positioning</w:t>
      </w:r>
      <w:bookmarkEnd w:id="7"/>
    </w:p>
    <w:p w14:paraId="0928DA56" w14:textId="77777777" w:rsidR="000D4A90" w:rsidRPr="002124BC" w:rsidRDefault="000D4A90" w:rsidP="00FD74C8">
      <w:pPr>
        <w:pStyle w:val="Heading2"/>
        <w:rPr>
          <w:rFonts w:asciiTheme="minorBidi" w:hAnsiTheme="minorBidi" w:cstheme="minorBidi"/>
        </w:rPr>
      </w:pPr>
      <w:bookmarkStart w:id="8" w:name="_Toc242287210"/>
      <w:r w:rsidRPr="002124BC">
        <w:rPr>
          <w:rFonts w:asciiTheme="minorBidi" w:hAnsiTheme="minorBidi" w:cstheme="minorBidi"/>
        </w:rPr>
        <w:t>3.1 Application of the Ansoff Matrix</w:t>
      </w:r>
      <w:bookmarkEnd w:id="8"/>
    </w:p>
    <w:p w14:paraId="686271D9" w14:textId="77777777" w:rsidR="001F3485"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 Ansoff Matrix is a useful tool to assess BHP's growth possibilities in its shift to a low carbon business model.</w:t>
      </w:r>
      <w:r w:rsidRPr="002124BC">
        <w:rPr>
          <w:rFonts w:asciiTheme="minorBidi" w:hAnsiTheme="minorBidi" w:cstheme="minorBidi"/>
        </w:rPr>
        <w:t xml:space="preserve"> </w:t>
      </w:r>
      <w:r w:rsidRPr="002124BC">
        <w:rPr>
          <w:rStyle w:val="cursor-pointer"/>
          <w:rFonts w:asciiTheme="minorBidi" w:hAnsiTheme="minorBidi" w:cstheme="minorBidi"/>
        </w:rPr>
        <w:t>The framework indicates four strategic options: market penetration, product development, market development and diversification.</w:t>
      </w:r>
      <w:r w:rsidRPr="002124BC">
        <w:rPr>
          <w:rFonts w:asciiTheme="minorBidi" w:hAnsiTheme="minorBidi" w:cstheme="minorBidi"/>
        </w:rPr>
        <w:t xml:space="preserve"> </w:t>
      </w:r>
      <w:r w:rsidRPr="002124BC">
        <w:rPr>
          <w:rStyle w:val="cursor-pointer"/>
          <w:rFonts w:asciiTheme="minorBidi" w:hAnsiTheme="minorBidi" w:cstheme="minorBidi"/>
        </w:rPr>
        <w:t>Market penetration may help bolster BHP's existing product portfolio in current markets, but is less effective at meeting evolving environmental expectations related to mining.</w:t>
      </w:r>
      <w:r w:rsidRPr="002124BC">
        <w:rPr>
          <w:rFonts w:asciiTheme="minorBidi" w:hAnsiTheme="minorBidi" w:cstheme="minorBidi"/>
        </w:rPr>
        <w:t xml:space="preserve"> </w:t>
      </w:r>
      <w:r w:rsidR="009031F3" w:rsidRPr="002124BC">
        <w:rPr>
          <w:rFonts w:asciiTheme="minorBidi" w:hAnsiTheme="minorBidi" w:cstheme="minorBidi"/>
        </w:rPr>
        <w:t xml:space="preserve">Market development involves taking existing products into new geographical or customer markets, but it may not necessarily differentiate </w:t>
      </w:r>
    </w:p>
    <w:p w14:paraId="7F4CB8D4" w14:textId="0A548AEE" w:rsidR="000D4A90" w:rsidRDefault="009031F3" w:rsidP="00F32910">
      <w:pPr>
        <w:pStyle w:val="NormalWeb"/>
        <w:spacing w:line="360" w:lineRule="auto"/>
        <w:jc w:val="both"/>
        <w:rPr>
          <w:rFonts w:asciiTheme="minorBidi" w:hAnsiTheme="minorBidi" w:cstheme="minorBidi"/>
        </w:rPr>
      </w:pPr>
      <w:r w:rsidRPr="002124BC">
        <w:rPr>
          <w:rFonts w:asciiTheme="minorBidi" w:hAnsiTheme="minorBidi" w:cstheme="minorBidi"/>
        </w:rPr>
        <w:t>BHP through decarbonisation</w:t>
      </w:r>
      <w:r w:rsidR="005963C8" w:rsidRPr="002124BC">
        <w:rPr>
          <w:rStyle w:val="cursor-pointer"/>
          <w:rFonts w:asciiTheme="minorBidi" w:hAnsiTheme="minorBidi" w:cstheme="minorBidi"/>
        </w:rPr>
        <w:t>.</w:t>
      </w:r>
      <w:r w:rsidR="005963C8" w:rsidRPr="002124BC">
        <w:rPr>
          <w:rFonts w:asciiTheme="minorBidi" w:hAnsiTheme="minorBidi" w:cstheme="minorBidi"/>
        </w:rPr>
        <w:t xml:space="preserve"> </w:t>
      </w:r>
      <w:r w:rsidR="005963C8" w:rsidRPr="002124BC">
        <w:rPr>
          <w:rStyle w:val="cursor-pointer"/>
          <w:rFonts w:asciiTheme="minorBidi" w:hAnsiTheme="minorBidi" w:cstheme="minorBidi"/>
        </w:rPr>
        <w:t>Product development is more relevant as BHP have the potential to create and market lower carbon products to current customers, thereby ensuring that environmental performance meets changing customer needs.</w:t>
      </w:r>
      <w:r w:rsidR="005963C8" w:rsidRPr="002124BC">
        <w:rPr>
          <w:rFonts w:asciiTheme="minorBidi" w:hAnsiTheme="minorBidi" w:cstheme="minorBidi"/>
        </w:rPr>
        <w:t xml:space="preserve"> </w:t>
      </w:r>
      <w:r w:rsidR="005963C8" w:rsidRPr="002124BC">
        <w:rPr>
          <w:rStyle w:val="cursor-pointer"/>
          <w:rFonts w:asciiTheme="minorBidi" w:hAnsiTheme="minorBidi" w:cstheme="minorBidi"/>
        </w:rPr>
        <w:t>Diversification may offer space to new low carbon markets and bring higher financial, technological and market risk.</w:t>
      </w:r>
      <w:r w:rsidR="005963C8" w:rsidRPr="002124BC">
        <w:rPr>
          <w:rFonts w:asciiTheme="minorBidi" w:hAnsiTheme="minorBidi" w:cstheme="minorBidi"/>
        </w:rPr>
        <w:t xml:space="preserve"> </w:t>
      </w:r>
      <w:r w:rsidR="005963C8" w:rsidRPr="002124BC">
        <w:rPr>
          <w:rStyle w:val="cursor-pointer"/>
          <w:rFonts w:asciiTheme="minorBidi" w:hAnsiTheme="minorBidi" w:cstheme="minorBidi"/>
        </w:rPr>
        <w:t>Because of this, product development offers the greatest strategic fit, as it leverages BHP's current expertise and its growing need for lower-carbon materials (Cullen, 2024)</w:t>
      </w:r>
      <w:r w:rsidR="000D4A90" w:rsidRPr="002124BC">
        <w:rPr>
          <w:rFonts w:asciiTheme="minorBidi" w:hAnsiTheme="minorBidi" w:cstheme="minorBidi"/>
        </w:rPr>
        <w:t>.</w:t>
      </w:r>
    </w:p>
    <w:p w14:paraId="04DBA0A1" w14:textId="77777777" w:rsidR="001F3485" w:rsidRPr="002124BC" w:rsidRDefault="001F3485" w:rsidP="00F32910">
      <w:pPr>
        <w:pStyle w:val="NormalWeb"/>
        <w:spacing w:line="360" w:lineRule="auto"/>
        <w:jc w:val="both"/>
        <w:rPr>
          <w:rFonts w:asciiTheme="minorBidi" w:hAnsiTheme="minorBidi" w:cstheme="minorBidi"/>
        </w:rPr>
      </w:pPr>
    </w:p>
    <w:p w14:paraId="3D5BA7EF" w14:textId="77777777" w:rsidR="00F32910" w:rsidRPr="002124BC" w:rsidRDefault="00F32910" w:rsidP="00F32910">
      <w:pPr>
        <w:spacing w:before="100" w:beforeAutospacing="1" w:after="100" w:afterAutospacing="1" w:line="360" w:lineRule="auto"/>
        <w:jc w:val="both"/>
        <w:rPr>
          <w:rFonts w:asciiTheme="minorBidi" w:eastAsia="Times New Roman" w:hAnsiTheme="minorBidi"/>
          <w:sz w:val="24"/>
          <w:szCs w:val="24"/>
          <w:lang w:eastAsia="en-GB"/>
        </w:rPr>
      </w:pPr>
      <w:r w:rsidRPr="002124BC">
        <w:rPr>
          <w:rFonts w:asciiTheme="minorBidi" w:eastAsia="Times New Roman" w:hAnsiTheme="minorBidi"/>
          <w:b/>
          <w:bCs/>
          <w:sz w:val="24"/>
          <w:szCs w:val="24"/>
          <w:lang w:eastAsia="en-GB"/>
        </w:rPr>
        <w:lastRenderedPageBreak/>
        <w:t>Table 2: Ansoff Matrix Options for BHP’s Lower-Carbon Transition</w:t>
      </w:r>
    </w:p>
    <w:tbl>
      <w:tblPr>
        <w:tblStyle w:val="TableGrid"/>
        <w:tblW w:w="0" w:type="auto"/>
        <w:tblLook w:val="04A0" w:firstRow="1" w:lastRow="0" w:firstColumn="1" w:lastColumn="0" w:noHBand="0" w:noVBand="1"/>
      </w:tblPr>
      <w:tblGrid>
        <w:gridCol w:w="2056"/>
        <w:gridCol w:w="4153"/>
        <w:gridCol w:w="2807"/>
      </w:tblGrid>
      <w:tr w:rsidR="00F32910" w:rsidRPr="002124BC" w14:paraId="51D22DF9" w14:textId="77777777" w:rsidTr="00F32910">
        <w:tc>
          <w:tcPr>
            <w:tcW w:w="0" w:type="auto"/>
            <w:hideMark/>
          </w:tcPr>
          <w:p w14:paraId="00464CAD" w14:textId="77777777" w:rsidR="00F32910" w:rsidRPr="002124BC" w:rsidRDefault="00F32910" w:rsidP="00F32910">
            <w:pPr>
              <w:spacing w:line="360" w:lineRule="auto"/>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Ansoff Strategy</w:t>
            </w:r>
          </w:p>
        </w:tc>
        <w:tc>
          <w:tcPr>
            <w:tcW w:w="0" w:type="auto"/>
            <w:hideMark/>
          </w:tcPr>
          <w:p w14:paraId="23F83BF3" w14:textId="77777777" w:rsidR="00F32910" w:rsidRPr="002124BC" w:rsidRDefault="00F32910" w:rsidP="00F32910">
            <w:pPr>
              <w:spacing w:line="360" w:lineRule="auto"/>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Application to BHP</w:t>
            </w:r>
          </w:p>
        </w:tc>
        <w:tc>
          <w:tcPr>
            <w:tcW w:w="0" w:type="auto"/>
            <w:hideMark/>
          </w:tcPr>
          <w:p w14:paraId="0520AE7A" w14:textId="77777777" w:rsidR="00F32910" w:rsidRPr="002124BC" w:rsidRDefault="00F32910" w:rsidP="00F32910">
            <w:pPr>
              <w:spacing w:line="360" w:lineRule="auto"/>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Strategic Implication</w:t>
            </w:r>
          </w:p>
        </w:tc>
      </w:tr>
      <w:tr w:rsidR="00F32910" w:rsidRPr="002124BC" w14:paraId="6C6D2280" w14:textId="77777777" w:rsidTr="00F32910">
        <w:tc>
          <w:tcPr>
            <w:tcW w:w="0" w:type="auto"/>
            <w:hideMark/>
          </w:tcPr>
          <w:p w14:paraId="073A9761"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Market Penetration</w:t>
            </w:r>
          </w:p>
        </w:tc>
        <w:tc>
          <w:tcPr>
            <w:tcW w:w="0" w:type="auto"/>
            <w:hideMark/>
          </w:tcPr>
          <w:p w14:paraId="6DCE299F"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Increase sales of existing lower-carbon minerals to existing customers</w:t>
            </w:r>
          </w:p>
        </w:tc>
        <w:tc>
          <w:tcPr>
            <w:tcW w:w="0" w:type="auto"/>
            <w:hideMark/>
          </w:tcPr>
          <w:p w14:paraId="191F9A3F"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Strengthens market position</w:t>
            </w:r>
          </w:p>
        </w:tc>
      </w:tr>
      <w:tr w:rsidR="00F32910" w:rsidRPr="002124BC" w14:paraId="6D4B4566" w14:textId="77777777" w:rsidTr="00F32910">
        <w:tc>
          <w:tcPr>
            <w:tcW w:w="0" w:type="auto"/>
            <w:hideMark/>
          </w:tcPr>
          <w:p w14:paraId="31D16A82"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Market Development</w:t>
            </w:r>
          </w:p>
        </w:tc>
        <w:tc>
          <w:tcPr>
            <w:tcW w:w="0" w:type="auto"/>
            <w:hideMark/>
          </w:tcPr>
          <w:p w14:paraId="49EFC72E"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Enter new markets where demand for transition minerals is growing</w:t>
            </w:r>
          </w:p>
        </w:tc>
        <w:tc>
          <w:tcPr>
            <w:tcW w:w="0" w:type="auto"/>
            <w:hideMark/>
          </w:tcPr>
          <w:p w14:paraId="0EB91445"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Expands revenue opportunities</w:t>
            </w:r>
          </w:p>
        </w:tc>
      </w:tr>
      <w:tr w:rsidR="00F32910" w:rsidRPr="002124BC" w14:paraId="1DA59809" w14:textId="77777777" w:rsidTr="00F32910">
        <w:tc>
          <w:tcPr>
            <w:tcW w:w="0" w:type="auto"/>
            <w:hideMark/>
          </w:tcPr>
          <w:p w14:paraId="7BB24BF1"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Product Development</w:t>
            </w:r>
          </w:p>
        </w:tc>
        <w:tc>
          <w:tcPr>
            <w:tcW w:w="0" w:type="auto"/>
            <w:hideMark/>
          </w:tcPr>
          <w:p w14:paraId="0218605B"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Develop lower-carbon mineral products and production solutions</w:t>
            </w:r>
          </w:p>
        </w:tc>
        <w:tc>
          <w:tcPr>
            <w:tcW w:w="0" w:type="auto"/>
            <w:hideMark/>
          </w:tcPr>
          <w:p w14:paraId="7C3523A6"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Supports differentiation</w:t>
            </w:r>
          </w:p>
        </w:tc>
      </w:tr>
      <w:tr w:rsidR="00F32910" w:rsidRPr="002124BC" w14:paraId="7BF0AFF0" w14:textId="77777777" w:rsidTr="00F32910">
        <w:tc>
          <w:tcPr>
            <w:tcW w:w="0" w:type="auto"/>
            <w:hideMark/>
          </w:tcPr>
          <w:p w14:paraId="74C65E11"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Diversification</w:t>
            </w:r>
          </w:p>
        </w:tc>
        <w:tc>
          <w:tcPr>
            <w:tcW w:w="0" w:type="auto"/>
            <w:hideMark/>
          </w:tcPr>
          <w:p w14:paraId="7913B958"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Invest in new low-carbon businesses and technologies</w:t>
            </w:r>
          </w:p>
        </w:tc>
        <w:tc>
          <w:tcPr>
            <w:tcW w:w="0" w:type="auto"/>
            <w:hideMark/>
          </w:tcPr>
          <w:p w14:paraId="04BA58E3"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Creates long-term growth opportunities</w:t>
            </w:r>
          </w:p>
        </w:tc>
      </w:tr>
    </w:tbl>
    <w:p w14:paraId="0CB1E21E" w14:textId="04B555BB" w:rsidR="001F3485" w:rsidRPr="001F3485" w:rsidRDefault="001F3485" w:rsidP="001F3485">
      <w:pPr>
        <w:rPr>
          <w:rFonts w:asciiTheme="minorBidi" w:hAnsiTheme="minorBidi"/>
          <w:sz w:val="24"/>
          <w:szCs w:val="24"/>
          <w:lang w:val="en-US"/>
        </w:rPr>
      </w:pPr>
      <w:bookmarkStart w:id="9" w:name="_Toc242287211"/>
      <w:r w:rsidRPr="001F3485">
        <w:rPr>
          <w:rFonts w:asciiTheme="minorBidi" w:hAnsiTheme="minorBidi"/>
          <w:b/>
          <w:bCs/>
          <w:sz w:val="24"/>
          <w:szCs w:val="24"/>
          <w:lang w:val="en-US"/>
        </w:rPr>
        <w:t>Source:</w:t>
      </w:r>
      <w:r w:rsidRPr="001F3485">
        <w:rPr>
          <w:rFonts w:asciiTheme="minorBidi" w:hAnsiTheme="minorBidi"/>
          <w:sz w:val="24"/>
          <w:szCs w:val="24"/>
          <w:lang w:val="en-US"/>
        </w:rPr>
        <w:t xml:space="preserve"> Author’s own construction based on Ansoff’s growth strategy framework and BHP (2025).</w:t>
      </w:r>
    </w:p>
    <w:p w14:paraId="51829E3F" w14:textId="41F91BF2" w:rsidR="000D4A90" w:rsidRPr="001F3485" w:rsidRDefault="000D4A90" w:rsidP="001F3485">
      <w:pPr>
        <w:pStyle w:val="Heading2"/>
      </w:pPr>
      <w:r w:rsidRPr="002124BC">
        <w:t>3.2 Evaluation of Strategic Growth Options</w:t>
      </w:r>
      <w:bookmarkEnd w:id="9"/>
    </w:p>
    <w:p w14:paraId="54491177" w14:textId="77777777" w:rsidR="001F3485"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 best possible fit for BHP between growth potential and strategic risk, of the four Ansoff strategies, is product development.</w:t>
      </w:r>
      <w:r w:rsidRPr="002124BC">
        <w:rPr>
          <w:rFonts w:asciiTheme="minorBidi" w:hAnsiTheme="minorBidi" w:cstheme="minorBidi"/>
        </w:rPr>
        <w:t xml:space="preserve"> </w:t>
      </w:r>
      <w:r w:rsidRPr="002124BC">
        <w:rPr>
          <w:rStyle w:val="cursor-pointer"/>
          <w:rFonts w:asciiTheme="minorBidi" w:hAnsiTheme="minorBidi" w:cstheme="minorBidi"/>
        </w:rPr>
        <w:t>Market penetration would do little to differentiate BHP in an existing market if its products were not significantly changed.</w:t>
      </w:r>
      <w:r w:rsidRPr="002124BC">
        <w:rPr>
          <w:rFonts w:asciiTheme="minorBidi" w:hAnsiTheme="minorBidi" w:cstheme="minorBidi"/>
        </w:rPr>
        <w:t xml:space="preserve"> </w:t>
      </w:r>
      <w:r w:rsidRPr="002124BC">
        <w:rPr>
          <w:rStyle w:val="cursor-pointer"/>
          <w:rFonts w:asciiTheme="minorBidi" w:hAnsiTheme="minorBidi" w:cstheme="minorBidi"/>
        </w:rPr>
        <w:t>Market development could lead to additional demand through new customer markets, or geographically, but wouldn't necessarily address a quantitative growth in demand for the lower carbon material.</w:t>
      </w:r>
      <w:r w:rsidRPr="002124BC">
        <w:rPr>
          <w:rFonts w:asciiTheme="minorBidi" w:hAnsiTheme="minorBidi" w:cstheme="minorBidi"/>
        </w:rPr>
        <w:t xml:space="preserve"> </w:t>
      </w:r>
    </w:p>
    <w:p w14:paraId="4FE11E4F" w14:textId="77777777" w:rsidR="001F3485"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Diversification may open up opportunities in some new clean energy markets, but it would involve BHP in new fields in which it may not be as well known, adding financial and operational risk.</w:t>
      </w:r>
      <w:r w:rsidRPr="002124BC">
        <w:rPr>
          <w:rFonts w:asciiTheme="minorBidi" w:hAnsiTheme="minorBidi" w:cstheme="minorBidi"/>
        </w:rPr>
        <w:t xml:space="preserve"> </w:t>
      </w:r>
      <w:r w:rsidRPr="002124BC">
        <w:rPr>
          <w:rStyle w:val="cursor-pointer"/>
          <w:rFonts w:asciiTheme="minorBidi" w:hAnsiTheme="minorBidi" w:cstheme="minorBidi"/>
        </w:rPr>
        <w:t>Product development, in contrast, allows BHP to leverage its current mining capabilities, customer relationships and resource expertise, and to bring in products with better environmental attributes.</w:t>
      </w:r>
      <w:r w:rsidRPr="002124BC">
        <w:rPr>
          <w:rFonts w:asciiTheme="minorBidi" w:hAnsiTheme="minorBidi" w:cstheme="minorBidi"/>
        </w:rPr>
        <w:t xml:space="preserve"> </w:t>
      </w:r>
    </w:p>
    <w:p w14:paraId="1AFDB30D" w14:textId="122FD3E8"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This is, therefore, a more manageable way to grow and meets head-on environmental and stakeholder demands (Grant, 2022).</w:t>
      </w:r>
      <w:r w:rsidRPr="002124BC">
        <w:rPr>
          <w:rFonts w:asciiTheme="minorBidi" w:hAnsiTheme="minorBidi" w:cstheme="minorBidi"/>
        </w:rPr>
        <w:t xml:space="preserve"> </w:t>
      </w:r>
      <w:r w:rsidRPr="002124BC">
        <w:rPr>
          <w:rStyle w:val="cursor-pointer"/>
          <w:rFonts w:asciiTheme="minorBidi" w:hAnsiTheme="minorBidi" w:cstheme="minorBidi"/>
        </w:rPr>
        <w:t xml:space="preserve">The strategy, however, will only succeed if BHP can prove that lower-carbon products offer real value beyond just sustainability claims, and credible emissions measurement and customer evidence will be the key to this (Appiah and </w:t>
      </w:r>
      <w:proofErr w:type="spellStart"/>
      <w:r w:rsidRPr="002124BC">
        <w:rPr>
          <w:rStyle w:val="cursor-pointer"/>
          <w:rFonts w:asciiTheme="minorBidi" w:hAnsiTheme="minorBidi" w:cstheme="minorBidi"/>
        </w:rPr>
        <w:t>Essuman</w:t>
      </w:r>
      <w:proofErr w:type="spellEnd"/>
      <w:r w:rsidRPr="002124BC">
        <w:rPr>
          <w:rStyle w:val="cursor-pointer"/>
          <w:rFonts w:asciiTheme="minorBidi" w:hAnsiTheme="minorBidi" w:cstheme="minorBidi"/>
        </w:rPr>
        <w:t>, 2024)</w:t>
      </w:r>
      <w:r w:rsidR="000D4A90" w:rsidRPr="002124BC">
        <w:rPr>
          <w:rFonts w:asciiTheme="minorBidi" w:hAnsiTheme="minorBidi" w:cstheme="minorBidi"/>
        </w:rPr>
        <w:t>.</w:t>
      </w:r>
    </w:p>
    <w:p w14:paraId="11CABD3C" w14:textId="77777777" w:rsidR="000D4A90" w:rsidRPr="002124BC" w:rsidRDefault="000D4A90" w:rsidP="00FD74C8">
      <w:pPr>
        <w:pStyle w:val="Heading2"/>
        <w:rPr>
          <w:rFonts w:asciiTheme="minorBidi" w:hAnsiTheme="minorBidi" w:cstheme="minorBidi"/>
        </w:rPr>
      </w:pPr>
      <w:bookmarkStart w:id="10" w:name="_Toc242287212"/>
      <w:r w:rsidRPr="002124BC">
        <w:rPr>
          <w:rFonts w:asciiTheme="minorBidi" w:hAnsiTheme="minorBidi" w:cstheme="minorBidi"/>
        </w:rPr>
        <w:lastRenderedPageBreak/>
        <w:t>3.3 Recommended Growth Strategy</w:t>
      </w:r>
      <w:bookmarkEnd w:id="10"/>
    </w:p>
    <w:p w14:paraId="3B9EDD48" w14:textId="77777777" w:rsidR="001F3485" w:rsidRDefault="00764BAC" w:rsidP="00F32910">
      <w:pPr>
        <w:pStyle w:val="NormalWeb"/>
        <w:spacing w:line="360" w:lineRule="auto"/>
        <w:jc w:val="both"/>
        <w:rPr>
          <w:rStyle w:val="cursor-pointer"/>
          <w:rFonts w:asciiTheme="minorBidi" w:hAnsiTheme="minorBidi" w:cstheme="minorBidi"/>
        </w:rPr>
      </w:pPr>
      <w:r w:rsidRPr="002124BC">
        <w:rPr>
          <w:rStyle w:val="cursor-pointer"/>
          <w:rFonts w:asciiTheme="minorBidi" w:hAnsiTheme="minorBidi" w:cstheme="minorBidi"/>
        </w:rPr>
        <w:t>BHP's primary growth area is identified as product development, as this will align best with the company's capabilities and emerging environmental expectations.</w:t>
      </w:r>
      <w:r w:rsidRPr="002124BC">
        <w:rPr>
          <w:rFonts w:asciiTheme="minorBidi" w:hAnsiTheme="minorBidi" w:cstheme="minorBidi"/>
        </w:rPr>
        <w:t xml:space="preserve"> </w:t>
      </w:r>
      <w:r w:rsidRPr="002124BC">
        <w:rPr>
          <w:rStyle w:val="cursor-pointer"/>
          <w:rFonts w:asciiTheme="minorBidi" w:hAnsiTheme="minorBidi" w:cstheme="minorBidi"/>
        </w:rPr>
        <w:t>BHP is able to create and differentiate lower carbon products, minimise emissions at product level and equip its customers with credible product-level environmental information.</w:t>
      </w:r>
      <w:r w:rsidRPr="002124BC">
        <w:rPr>
          <w:rFonts w:asciiTheme="minorBidi" w:hAnsiTheme="minorBidi" w:cstheme="minorBidi"/>
        </w:rPr>
        <w:t xml:space="preserve"> </w:t>
      </w:r>
      <w:r w:rsidRPr="002124BC">
        <w:rPr>
          <w:rStyle w:val="cursor-pointer"/>
          <w:rFonts w:asciiTheme="minorBidi" w:hAnsiTheme="minorBidi" w:cstheme="minorBidi"/>
        </w:rPr>
        <w:t>This could provide value for customers wanting to lower emissions in their supply chains as well as for BHP to leverage existing mining knowledge and customer relationships.</w:t>
      </w:r>
      <w:r w:rsidRPr="002124BC">
        <w:rPr>
          <w:rFonts w:asciiTheme="minorBidi" w:hAnsiTheme="minorBidi" w:cstheme="minorBidi"/>
        </w:rPr>
        <w:t xml:space="preserve"> </w:t>
      </w:r>
      <w:r w:rsidRPr="002124BC">
        <w:rPr>
          <w:rStyle w:val="cursor-pointer"/>
          <w:rFonts w:asciiTheme="minorBidi" w:hAnsiTheme="minorBidi" w:cstheme="minorBidi"/>
        </w:rPr>
        <w:t>But product development isn't just about a new product.</w:t>
      </w:r>
    </w:p>
    <w:p w14:paraId="72D6CDAC" w14:textId="77777777" w:rsidR="001F3485" w:rsidRDefault="00764BAC" w:rsidP="00F32910">
      <w:pPr>
        <w:pStyle w:val="NormalWeb"/>
        <w:spacing w:line="360" w:lineRule="auto"/>
        <w:jc w:val="both"/>
        <w:rPr>
          <w:rStyle w:val="cursor-pointer"/>
          <w:rFonts w:asciiTheme="minorBidi" w:hAnsiTheme="minorBidi" w:cstheme="minorBidi"/>
        </w:rPr>
      </w:pPr>
      <w:r w:rsidRPr="002124BC">
        <w:rPr>
          <w:rFonts w:asciiTheme="minorBidi" w:hAnsiTheme="minorBidi" w:cstheme="minorBidi"/>
        </w:rPr>
        <w:t xml:space="preserve"> </w:t>
      </w:r>
      <w:r w:rsidRPr="002124BC">
        <w:rPr>
          <w:rStyle w:val="cursor-pointer"/>
          <w:rFonts w:asciiTheme="minorBidi" w:hAnsiTheme="minorBidi" w:cstheme="minorBidi"/>
        </w:rPr>
        <w:t>If BHP can show measurable environmental benefits, product quality will need to be maintained and BHP will need to ensure that customers see enough value to justify any price premium.</w:t>
      </w:r>
      <w:r w:rsidRPr="002124BC">
        <w:rPr>
          <w:rFonts w:asciiTheme="minorBidi" w:hAnsiTheme="minorBidi" w:cstheme="minorBidi"/>
        </w:rPr>
        <w:t xml:space="preserve"> </w:t>
      </w:r>
      <w:r w:rsidRPr="002124BC">
        <w:rPr>
          <w:rStyle w:val="cursor-pointer"/>
          <w:rFonts w:asciiTheme="minorBidi" w:hAnsiTheme="minorBidi" w:cstheme="minorBidi"/>
        </w:rPr>
        <w:t>It should also integrate operational decarbonisation with digital carbon measurement, customer engagement, and technology-driven marketing and provide a more transparent and technology-enabled environmental information to customers.</w:t>
      </w:r>
    </w:p>
    <w:p w14:paraId="29CA7386" w14:textId="589BFA1B" w:rsidR="000D4A90" w:rsidRPr="002124BC" w:rsidRDefault="00764BAC" w:rsidP="00F32910">
      <w:pPr>
        <w:pStyle w:val="NormalWeb"/>
        <w:spacing w:line="360" w:lineRule="auto"/>
        <w:jc w:val="both"/>
        <w:rPr>
          <w:rFonts w:asciiTheme="minorBidi" w:hAnsiTheme="minorBidi" w:cstheme="minorBidi"/>
        </w:rPr>
      </w:pPr>
      <w:r w:rsidRPr="002124BC">
        <w:rPr>
          <w:rFonts w:asciiTheme="minorBidi" w:hAnsiTheme="minorBidi" w:cstheme="minorBidi"/>
        </w:rPr>
        <w:t xml:space="preserve"> </w:t>
      </w:r>
      <w:r w:rsidRPr="002124BC">
        <w:rPr>
          <w:rStyle w:val="cursor-pointer"/>
          <w:rFonts w:asciiTheme="minorBidi" w:hAnsiTheme="minorBidi" w:cstheme="minorBidi"/>
        </w:rPr>
        <w:t xml:space="preserve">This would allow BHP to incorporate environmental performance into one of the areas of differentiation while minimizing the chance of unsupported sustainability claims (Janik and </w:t>
      </w:r>
      <w:proofErr w:type="spellStart"/>
      <w:r w:rsidRPr="002124BC">
        <w:rPr>
          <w:rStyle w:val="cursor-pointer"/>
          <w:rFonts w:asciiTheme="minorBidi" w:hAnsiTheme="minorBidi" w:cstheme="minorBidi"/>
        </w:rPr>
        <w:t>Ryszko</w:t>
      </w:r>
      <w:proofErr w:type="spellEnd"/>
      <w:r w:rsidRPr="002124BC">
        <w:rPr>
          <w:rStyle w:val="cursor-pointer"/>
          <w:rFonts w:asciiTheme="minorBidi" w:hAnsiTheme="minorBidi" w:cstheme="minorBidi"/>
        </w:rPr>
        <w:t>, 2026)</w:t>
      </w:r>
      <w:r w:rsidR="000D4A90" w:rsidRPr="002124BC">
        <w:rPr>
          <w:rFonts w:asciiTheme="minorBidi" w:hAnsiTheme="minorBidi" w:cstheme="minorBidi"/>
        </w:rPr>
        <w:t>.</w:t>
      </w:r>
    </w:p>
    <w:p w14:paraId="56BEB585" w14:textId="77777777" w:rsidR="000D4A90" w:rsidRPr="002124BC" w:rsidRDefault="000D4A90" w:rsidP="00FD74C8">
      <w:pPr>
        <w:pStyle w:val="Heading2"/>
        <w:rPr>
          <w:rFonts w:asciiTheme="minorBidi" w:hAnsiTheme="minorBidi" w:cstheme="minorBidi"/>
        </w:rPr>
      </w:pPr>
      <w:bookmarkStart w:id="11" w:name="_Toc242287213"/>
      <w:r w:rsidRPr="002124BC">
        <w:rPr>
          <w:rFonts w:asciiTheme="minorBidi" w:hAnsiTheme="minorBidi" w:cstheme="minorBidi"/>
        </w:rPr>
        <w:t>3.4 Competitive Advantage in a Lower-Carbon Business Model</w:t>
      </w:r>
      <w:bookmarkEnd w:id="11"/>
    </w:p>
    <w:p w14:paraId="11A43B93" w14:textId="77777777" w:rsidR="001F3485" w:rsidRDefault="00764BAC" w:rsidP="002124BC">
      <w:pPr>
        <w:pStyle w:val="NormalWeb"/>
        <w:spacing w:line="360" w:lineRule="auto"/>
        <w:jc w:val="both"/>
        <w:rPr>
          <w:rStyle w:val="cursor-pointer"/>
          <w:rFonts w:asciiTheme="minorBidi" w:hAnsiTheme="minorBidi" w:cstheme="minorBidi"/>
        </w:rPr>
      </w:pPr>
      <w:r w:rsidRPr="002124BC">
        <w:rPr>
          <w:rStyle w:val="cursor-pointer"/>
          <w:rFonts w:asciiTheme="minorBidi" w:hAnsiTheme="minorBidi" w:cstheme="minorBidi"/>
        </w:rPr>
        <w:t>As per the definition of Competitive advantage, firms can gain competitive advantage when they are able to deliver value that the firms are not able to replic</w:t>
      </w:r>
      <w:r w:rsidR="009031F3" w:rsidRPr="002124BC">
        <w:rPr>
          <w:rStyle w:val="cursor-pointer"/>
          <w:rFonts w:asciiTheme="minorBidi" w:hAnsiTheme="minorBidi" w:cstheme="minorBidi"/>
        </w:rPr>
        <w:t>ate (Schweizer and Koscher, 2023</w:t>
      </w:r>
      <w:r w:rsidR="00310CE3" w:rsidRPr="002124BC">
        <w:rPr>
          <w:rStyle w:val="cursor-pointer"/>
          <w:rFonts w:asciiTheme="minorBidi" w:hAnsiTheme="minorBidi" w:cstheme="minorBidi"/>
        </w:rPr>
        <w:t>). This</w:t>
      </w:r>
      <w:r w:rsidRPr="002124BC">
        <w:rPr>
          <w:rStyle w:val="cursor-pointer"/>
          <w:rFonts w:asciiTheme="minorBidi" w:hAnsiTheme="minorBidi" w:cstheme="minorBidi"/>
        </w:rPr>
        <w:t xml:space="preserve"> could be achieved at BHP through investments in lower emissions production, clear environmental data and improved collaboration with customers looking to decrease the supply-chain footprint.</w:t>
      </w:r>
      <w:r w:rsidRPr="002124BC">
        <w:rPr>
          <w:rFonts w:asciiTheme="minorBidi" w:hAnsiTheme="minorBidi" w:cstheme="minorBidi"/>
        </w:rPr>
        <w:t xml:space="preserve"> </w:t>
      </w:r>
      <w:r w:rsidRPr="002124BC">
        <w:rPr>
          <w:rStyle w:val="cursor-pointer"/>
          <w:rFonts w:asciiTheme="minorBidi" w:hAnsiTheme="minorBidi" w:cstheme="minorBidi"/>
        </w:rPr>
        <w:t>These can set BHP apart in an era when customers are increasingly choosing products based on their environmental performance.</w:t>
      </w:r>
    </w:p>
    <w:p w14:paraId="69225721" w14:textId="619E515D" w:rsidR="003F6401" w:rsidRPr="002124BC" w:rsidRDefault="00764BAC" w:rsidP="002124BC">
      <w:pPr>
        <w:pStyle w:val="NormalWeb"/>
        <w:spacing w:line="360" w:lineRule="auto"/>
        <w:jc w:val="both"/>
        <w:rPr>
          <w:rFonts w:asciiTheme="minorBidi" w:hAnsiTheme="minorBidi" w:cstheme="minorBidi"/>
        </w:rPr>
      </w:pPr>
      <w:r w:rsidRPr="002124BC">
        <w:rPr>
          <w:rFonts w:asciiTheme="minorBidi" w:hAnsiTheme="minorBidi" w:cstheme="minorBidi"/>
        </w:rPr>
        <w:t xml:space="preserve"> </w:t>
      </w:r>
      <w:r w:rsidRPr="002124BC">
        <w:rPr>
          <w:rStyle w:val="cursor-pointer"/>
          <w:rFonts w:asciiTheme="minorBidi" w:hAnsiTheme="minorBidi" w:cstheme="minorBidi"/>
        </w:rPr>
        <w:t>But the sustainable advantage of environmental differentiation can only be achieved if it is accompanied by measurable performance and organisational skills that cannot be easily copied by the competition (Andersén, 2021).</w:t>
      </w:r>
      <w:r w:rsidRPr="002124BC">
        <w:rPr>
          <w:rFonts w:asciiTheme="minorBidi" w:hAnsiTheme="minorBidi" w:cstheme="minorBidi"/>
        </w:rPr>
        <w:t xml:space="preserve"> </w:t>
      </w:r>
      <w:r w:rsidRPr="002124BC">
        <w:rPr>
          <w:rStyle w:val="cursor-pointer"/>
          <w:rFonts w:asciiTheme="minorBidi" w:hAnsiTheme="minorBidi" w:cstheme="minorBidi"/>
        </w:rPr>
        <w:t>BHP should thus embed decarbonisation into product development, customer relationships and the use of marketing communication as a separate corporate activity.</w:t>
      </w:r>
      <w:r w:rsidRPr="002124BC">
        <w:rPr>
          <w:rFonts w:asciiTheme="minorBidi" w:hAnsiTheme="minorBidi" w:cstheme="minorBidi"/>
        </w:rPr>
        <w:t xml:space="preserve"> </w:t>
      </w:r>
      <w:r w:rsidRPr="002124BC">
        <w:rPr>
          <w:rStyle w:val="cursor-pointer"/>
          <w:rFonts w:asciiTheme="minorBidi" w:hAnsiTheme="minorBidi" w:cstheme="minorBidi"/>
        </w:rPr>
        <w:t xml:space="preserve">This will help build </w:t>
      </w:r>
      <w:r w:rsidRPr="002124BC">
        <w:rPr>
          <w:rStyle w:val="cursor-pointer"/>
          <w:rFonts w:asciiTheme="minorBidi" w:hAnsiTheme="minorBidi" w:cstheme="minorBidi"/>
        </w:rPr>
        <w:lastRenderedPageBreak/>
        <w:t>customer trust, reinforce premium positioning when the market demands it, and establish longer-term relationships with customers transitioning towards lower carbon operations (Riva, 2024)</w:t>
      </w:r>
      <w:r w:rsidR="00DF7157" w:rsidRPr="002124BC">
        <w:rPr>
          <w:rFonts w:asciiTheme="minorBidi" w:hAnsiTheme="minorBidi" w:cstheme="minorBidi"/>
        </w:rPr>
        <w:t>.</w:t>
      </w:r>
    </w:p>
    <w:p w14:paraId="44CF434D" w14:textId="77777777" w:rsidR="00D10459" w:rsidRPr="002124BC" w:rsidRDefault="00D10459" w:rsidP="00F32910">
      <w:pPr>
        <w:pStyle w:val="NormalWeb"/>
        <w:spacing w:line="360" w:lineRule="auto"/>
        <w:jc w:val="both"/>
        <w:rPr>
          <w:rFonts w:asciiTheme="minorBidi" w:hAnsiTheme="minorBidi" w:cstheme="minorBidi"/>
        </w:rPr>
      </w:pPr>
      <w:r w:rsidRPr="002124BC">
        <w:rPr>
          <w:rFonts w:asciiTheme="minorBidi" w:hAnsiTheme="minorBidi" w:cstheme="minorBidi"/>
          <w:noProof/>
        </w:rPr>
        <w:drawing>
          <wp:inline distT="0" distB="0" distL="0" distR="0" wp14:anchorId="42BC3D81" wp14:editId="4A9049D7">
            <wp:extent cx="5730240" cy="34747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HP Lower-Carbon Value Creation Flowchart.png"/>
                    <pic:cNvPicPr/>
                  </pic:nvPicPr>
                  <pic:blipFill rotWithShape="1">
                    <a:blip r:embed="rId9" cstate="print">
                      <a:extLst>
                        <a:ext uri="{28A0092B-C50C-407E-A947-70E740481C1C}">
                          <a14:useLocalDpi xmlns:a14="http://schemas.microsoft.com/office/drawing/2010/main" val="0"/>
                        </a:ext>
                      </a:extLst>
                    </a:blip>
                    <a:srcRect b="10053"/>
                    <a:stretch/>
                  </pic:blipFill>
                  <pic:spPr>
                    <a:xfrm>
                      <a:off x="0" y="0"/>
                      <a:ext cx="5731510" cy="3475490"/>
                    </a:xfrm>
                    <a:prstGeom prst="rect">
                      <a:avLst/>
                    </a:prstGeom>
                  </pic:spPr>
                </pic:pic>
              </a:graphicData>
            </a:graphic>
          </wp:inline>
        </w:drawing>
      </w:r>
    </w:p>
    <w:p w14:paraId="5E55AF45" w14:textId="77777777" w:rsidR="00D10459" w:rsidRPr="002124BC" w:rsidRDefault="00D10459" w:rsidP="00D10459">
      <w:pPr>
        <w:jc w:val="center"/>
        <w:rPr>
          <w:rFonts w:asciiTheme="minorBidi" w:hAnsiTheme="minorBidi"/>
          <w:sz w:val="24"/>
          <w:szCs w:val="24"/>
          <w:u w:val="single"/>
          <w:lang w:eastAsia="en-GB"/>
        </w:rPr>
      </w:pPr>
      <w:bookmarkStart w:id="12" w:name="_Toc242287214"/>
      <w:r w:rsidRPr="002124BC">
        <w:rPr>
          <w:rFonts w:asciiTheme="minorBidi" w:hAnsiTheme="minorBidi"/>
          <w:sz w:val="24"/>
          <w:szCs w:val="24"/>
          <w:u w:val="single"/>
          <w:lang w:eastAsia="en-GB"/>
        </w:rPr>
        <w:t>Figure 2: BHP’s Lower-Carbon Competitive Advantage</w:t>
      </w:r>
    </w:p>
    <w:p w14:paraId="5A261F86" w14:textId="23417B76" w:rsidR="003F6401" w:rsidRPr="002124BC" w:rsidRDefault="00D10459" w:rsidP="002124BC">
      <w:pPr>
        <w:jc w:val="center"/>
        <w:rPr>
          <w:rFonts w:asciiTheme="minorBidi" w:hAnsiTheme="minorBidi"/>
          <w:sz w:val="24"/>
          <w:szCs w:val="24"/>
          <w:u w:val="single"/>
          <w:lang w:eastAsia="en-GB"/>
        </w:rPr>
      </w:pPr>
      <w:r w:rsidRPr="002124BC">
        <w:rPr>
          <w:rFonts w:asciiTheme="minorBidi" w:hAnsiTheme="minorBidi"/>
          <w:sz w:val="24"/>
          <w:szCs w:val="24"/>
          <w:u w:val="single"/>
          <w:lang w:eastAsia="en-GB"/>
        </w:rPr>
        <w:t>Source: Author’s own construction based on BHP (2025), Andersén (2021) and Schweizer and Koscher (2023).</w:t>
      </w:r>
    </w:p>
    <w:p w14:paraId="6554226F" w14:textId="77777777" w:rsidR="00BA7D74" w:rsidRPr="002124BC" w:rsidRDefault="00BA7D74" w:rsidP="001F3485">
      <w:pPr>
        <w:pStyle w:val="Heading1"/>
        <w:rPr>
          <w:rFonts w:asciiTheme="minorBidi" w:hAnsiTheme="minorBidi" w:cstheme="minorBidi"/>
        </w:rPr>
      </w:pPr>
      <w:r w:rsidRPr="002124BC">
        <w:rPr>
          <w:rFonts w:asciiTheme="minorBidi" w:hAnsiTheme="minorBidi" w:cstheme="minorBidi"/>
        </w:rPr>
        <w:t>4. Managerial and Professional Reflection</w:t>
      </w:r>
      <w:bookmarkEnd w:id="12"/>
    </w:p>
    <w:p w14:paraId="67B9F3AF" w14:textId="77777777" w:rsidR="000D4A90" w:rsidRPr="002124BC" w:rsidRDefault="000D4A90" w:rsidP="001F3485">
      <w:pPr>
        <w:pStyle w:val="Heading2"/>
        <w:rPr>
          <w:rFonts w:asciiTheme="minorBidi" w:hAnsiTheme="minorBidi" w:cstheme="minorBidi"/>
        </w:rPr>
      </w:pPr>
      <w:bookmarkStart w:id="13" w:name="_Toc242287215"/>
      <w:r w:rsidRPr="002124BC">
        <w:rPr>
          <w:rFonts w:asciiTheme="minorBidi" w:hAnsiTheme="minorBidi" w:cstheme="minorBidi"/>
        </w:rPr>
        <w:t>4.1 Rationale for Company and Actor Selection</w:t>
      </w:r>
      <w:bookmarkEnd w:id="13"/>
    </w:p>
    <w:p w14:paraId="6DB7E810" w14:textId="77777777" w:rsidR="001F3485" w:rsidRDefault="00764BAC"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BHP was chosen given the scale, environmental exposure and strategic significance to the energy transition, as these offer a solid foundation for discussion of lower carbon marketing challenges.</w:t>
      </w:r>
      <w:r w:rsidRPr="002124BC">
        <w:rPr>
          <w:rFonts w:asciiTheme="minorBidi" w:hAnsiTheme="minorBidi" w:cstheme="minorBidi"/>
        </w:rPr>
        <w:t xml:space="preserve"> </w:t>
      </w:r>
      <w:r w:rsidRPr="002124BC">
        <w:rPr>
          <w:rStyle w:val="cursor-pointer"/>
          <w:rFonts w:asciiTheme="minorBidi" w:hAnsiTheme="minorBidi" w:cstheme="minorBidi"/>
        </w:rPr>
        <w:t>The environmental actor was chosen as a priority as it directly impacts the company's activities, positioning and expectations.</w:t>
      </w:r>
      <w:r w:rsidRPr="002124BC">
        <w:rPr>
          <w:rFonts w:asciiTheme="minorBidi" w:hAnsiTheme="minorBidi" w:cstheme="minorBidi"/>
        </w:rPr>
        <w:t xml:space="preserve"> </w:t>
      </w:r>
    </w:p>
    <w:p w14:paraId="63C667F9" w14:textId="359D46F5" w:rsidR="000D4A90" w:rsidRPr="002124BC" w:rsidRDefault="00764BAC"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 political and regulatory factors were incorporated as they shape the environment in which BHP should function; social and stakeholder pressures are included as they contribute to the perception of BHP's environmental performance.</w:t>
      </w:r>
      <w:r w:rsidRPr="002124BC">
        <w:rPr>
          <w:rFonts w:asciiTheme="minorBidi" w:hAnsiTheme="minorBidi" w:cstheme="minorBidi"/>
        </w:rPr>
        <w:t xml:space="preserve"> </w:t>
      </w:r>
      <w:r w:rsidR="009031F3" w:rsidRPr="002124BC">
        <w:rPr>
          <w:rFonts w:asciiTheme="minorBidi" w:hAnsiTheme="minorBidi" w:cstheme="minorBidi"/>
        </w:rPr>
        <w:t xml:space="preserve">Customer expectations are also considered because they influence BHP's product requirements, </w:t>
      </w:r>
      <w:r w:rsidR="009031F3" w:rsidRPr="002124BC">
        <w:rPr>
          <w:rFonts w:asciiTheme="minorBidi" w:hAnsiTheme="minorBidi" w:cstheme="minorBidi"/>
        </w:rPr>
        <w:lastRenderedPageBreak/>
        <w:t>environmental performance and regulatory expectations (BHP, 2026).</w:t>
      </w:r>
      <w:r w:rsidRPr="002124BC">
        <w:rPr>
          <w:rFonts w:asciiTheme="minorBidi" w:hAnsiTheme="minorBidi" w:cstheme="minorBidi"/>
        </w:rPr>
        <w:t xml:space="preserve"> </w:t>
      </w:r>
      <w:r w:rsidRPr="002124BC">
        <w:rPr>
          <w:rStyle w:val="cursor-pointer"/>
          <w:rFonts w:asciiTheme="minorBidi" w:hAnsiTheme="minorBidi" w:cstheme="minorBidi"/>
        </w:rPr>
        <w:t>This combination thus provides an integrated assessment of the impact of external pressures on BHP's strategic response</w:t>
      </w:r>
      <w:r w:rsidR="000D4A90" w:rsidRPr="002124BC">
        <w:rPr>
          <w:rFonts w:asciiTheme="minorBidi" w:hAnsiTheme="minorBidi" w:cstheme="minorBidi"/>
        </w:rPr>
        <w:t>.</w:t>
      </w:r>
    </w:p>
    <w:p w14:paraId="4D8FAEC5" w14:textId="77777777" w:rsidR="00BA7D74" w:rsidRPr="002124BC" w:rsidRDefault="00BA7D74" w:rsidP="001F3485">
      <w:pPr>
        <w:pStyle w:val="Heading2"/>
        <w:rPr>
          <w:rFonts w:asciiTheme="minorBidi" w:hAnsiTheme="minorBidi" w:cstheme="minorBidi"/>
        </w:rPr>
      </w:pPr>
      <w:bookmarkStart w:id="14" w:name="_Toc242287216"/>
      <w:r w:rsidRPr="002124BC">
        <w:rPr>
          <w:rFonts w:asciiTheme="minorBidi" w:hAnsiTheme="minorBidi" w:cstheme="minorBidi"/>
        </w:rPr>
        <w:t>4.2 Rationale for Strategic Growth Recommendation</w:t>
      </w:r>
      <w:bookmarkEnd w:id="14"/>
    </w:p>
    <w:p w14:paraId="48BD491B" w14:textId="20AA69C0" w:rsidR="001F3485" w:rsidRDefault="00764BAC"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Product development was recommended because it offers BHP something useful that is in tune with what is needed in a lower carbon market.</w:t>
      </w:r>
      <w:r w:rsidRPr="002124BC">
        <w:rPr>
          <w:rFonts w:asciiTheme="minorBidi" w:hAnsiTheme="minorBidi" w:cstheme="minorBidi"/>
        </w:rPr>
        <w:t xml:space="preserve"> </w:t>
      </w:r>
      <w:r w:rsidRPr="002124BC">
        <w:rPr>
          <w:rStyle w:val="cursor-pointer"/>
          <w:rFonts w:asciiTheme="minorBidi" w:hAnsiTheme="minorBidi" w:cstheme="minorBidi"/>
        </w:rPr>
        <w:t>The strategy enables BHP to leverage existing mining experience, existing customer base and enhance the environmental attributes of its products.</w:t>
      </w:r>
      <w:r w:rsidRPr="002124BC">
        <w:rPr>
          <w:rFonts w:asciiTheme="minorBidi" w:hAnsiTheme="minorBidi" w:cstheme="minorBidi"/>
        </w:rPr>
        <w:t xml:space="preserve"> </w:t>
      </w:r>
      <w:r w:rsidRPr="002124BC">
        <w:rPr>
          <w:rStyle w:val="cursor-pointer"/>
          <w:rFonts w:asciiTheme="minorBidi" w:hAnsiTheme="minorBidi" w:cstheme="minorBidi"/>
        </w:rPr>
        <w:t>This is better than diversification, which carries a higher financial and capability risk; or market penetration, where there is a risk of little differentiation if the product does not change.</w:t>
      </w:r>
      <w:r w:rsidRPr="002124BC">
        <w:rPr>
          <w:rFonts w:asciiTheme="minorBidi" w:hAnsiTheme="minorBidi" w:cstheme="minorBidi"/>
        </w:rPr>
        <w:t xml:space="preserve"> </w:t>
      </w:r>
    </w:p>
    <w:p w14:paraId="1C30AA50" w14:textId="6D3C98C2" w:rsidR="00BA7D74" w:rsidRPr="002124BC" w:rsidRDefault="00764BAC"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A manager's perspective is that product development can also make environmental performance a part of BHP's customer value proposition, instead of being just an operational objective.</w:t>
      </w:r>
      <w:r w:rsidRPr="002124BC">
        <w:rPr>
          <w:rFonts w:asciiTheme="minorBidi" w:hAnsiTheme="minorBidi" w:cstheme="minorBidi"/>
        </w:rPr>
        <w:t xml:space="preserve"> </w:t>
      </w:r>
      <w:r w:rsidRPr="002124BC">
        <w:rPr>
          <w:rStyle w:val="cursor-pointer"/>
          <w:rFonts w:asciiTheme="minorBidi" w:hAnsiTheme="minorBidi" w:cstheme="minorBidi"/>
        </w:rPr>
        <w:t>But it will rely on customers seeing value in products with lower carbon footprints and BHP's ability to demonstrate environmental benefits.</w:t>
      </w:r>
      <w:r w:rsidRPr="002124BC">
        <w:rPr>
          <w:rFonts w:asciiTheme="minorBidi" w:hAnsiTheme="minorBidi" w:cstheme="minorBidi"/>
        </w:rPr>
        <w:t xml:space="preserve"> </w:t>
      </w:r>
      <w:r w:rsidRPr="002124BC">
        <w:rPr>
          <w:rStyle w:val="cursor-pointer"/>
          <w:rFonts w:asciiTheme="minorBidi" w:hAnsiTheme="minorBidi" w:cstheme="minorBidi"/>
        </w:rPr>
        <w:t xml:space="preserve">Hence, measurable carbon performance is needed to back up the strategy, with customer involvement and clear communication (Appiah and </w:t>
      </w:r>
      <w:proofErr w:type="spellStart"/>
      <w:r w:rsidRPr="002124BC">
        <w:rPr>
          <w:rStyle w:val="cursor-pointer"/>
          <w:rFonts w:asciiTheme="minorBidi" w:hAnsiTheme="minorBidi" w:cstheme="minorBidi"/>
        </w:rPr>
        <w:t>Essuman</w:t>
      </w:r>
      <w:proofErr w:type="spellEnd"/>
      <w:r w:rsidRPr="002124BC">
        <w:rPr>
          <w:rStyle w:val="cursor-pointer"/>
          <w:rFonts w:asciiTheme="minorBidi" w:hAnsiTheme="minorBidi" w:cstheme="minorBidi"/>
        </w:rPr>
        <w:t>, 2024).</w:t>
      </w:r>
    </w:p>
    <w:p w14:paraId="12028460" w14:textId="77777777" w:rsidR="00BA7D74" w:rsidRPr="002124BC" w:rsidRDefault="00BA7D74" w:rsidP="001F3485">
      <w:pPr>
        <w:pStyle w:val="Heading2"/>
        <w:rPr>
          <w:rFonts w:asciiTheme="minorBidi" w:hAnsiTheme="minorBidi" w:cstheme="minorBidi"/>
        </w:rPr>
      </w:pPr>
      <w:bookmarkStart w:id="15" w:name="_Toc242287217"/>
      <w:r w:rsidRPr="002124BC">
        <w:rPr>
          <w:rFonts w:asciiTheme="minorBidi" w:hAnsiTheme="minorBidi" w:cstheme="minorBidi"/>
        </w:rPr>
        <w:t>4.3 Limitations of the Analysis</w:t>
      </w:r>
      <w:bookmarkEnd w:id="15"/>
    </w:p>
    <w:p w14:paraId="3E63509A" w14:textId="77777777" w:rsidR="001F3485" w:rsidRDefault="00764BAC"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One of the biggest weaknesses of the analysis is that it is secondary data, so it does not offer a detailed picture of BHP's actual customer preferences, profitability of its products or the internal decision-making process.</w:t>
      </w:r>
      <w:r w:rsidRPr="002124BC">
        <w:rPr>
          <w:rFonts w:asciiTheme="minorBidi" w:hAnsiTheme="minorBidi" w:cstheme="minorBidi"/>
        </w:rPr>
        <w:t xml:space="preserve"> </w:t>
      </w:r>
      <w:r w:rsidRPr="002124BC">
        <w:rPr>
          <w:rStyle w:val="cursor-pointer"/>
          <w:rFonts w:asciiTheme="minorBidi" w:hAnsiTheme="minorBidi" w:cstheme="minorBidi"/>
        </w:rPr>
        <w:t>The analysis also reflects general environmental, political and stakeholder effects, but does not necessarily apply to all markets, products and groups of customers.</w:t>
      </w:r>
      <w:r w:rsidRPr="002124BC">
        <w:rPr>
          <w:rFonts w:asciiTheme="minorBidi" w:hAnsiTheme="minorBidi" w:cstheme="minorBidi"/>
        </w:rPr>
        <w:t xml:space="preserve"> </w:t>
      </w:r>
    </w:p>
    <w:p w14:paraId="674230EF" w14:textId="159ABA9A" w:rsidR="001F3485" w:rsidRPr="002124BC" w:rsidRDefault="00764BAC" w:rsidP="00744F2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 recommended product development strategy further assumes that customers will value lower carbon products sufficiently to justify differentiation, which may vary based on market conditions and competitive products.</w:t>
      </w:r>
      <w:r w:rsidRPr="002124BC">
        <w:rPr>
          <w:rFonts w:asciiTheme="minorBidi" w:hAnsiTheme="minorBidi" w:cstheme="minorBidi"/>
        </w:rPr>
        <w:t xml:space="preserve"> </w:t>
      </w:r>
      <w:r w:rsidRPr="002124BC">
        <w:rPr>
          <w:rStyle w:val="cursor-pointer"/>
          <w:rFonts w:asciiTheme="minorBidi" w:hAnsiTheme="minorBidi" w:cstheme="minorBidi"/>
        </w:rPr>
        <w:t>The analysis is therefore a strategic analysis and not a prediction of the future performance of BHP.</w:t>
      </w:r>
      <w:r w:rsidRPr="002124BC">
        <w:rPr>
          <w:rFonts w:asciiTheme="minorBidi" w:hAnsiTheme="minorBidi" w:cstheme="minorBidi"/>
        </w:rPr>
        <w:t xml:space="preserve"> </w:t>
      </w:r>
      <w:r w:rsidRPr="002124BC">
        <w:rPr>
          <w:rStyle w:val="cursor-pointer"/>
          <w:rFonts w:asciiTheme="minorBidi" w:hAnsiTheme="minorBidi" w:cstheme="minorBidi"/>
        </w:rPr>
        <w:t xml:space="preserve">The secondary analysis is not used to assess and adapt capabilities due to changing and uncertain market conditions, which is the case in strategic decisions. (Mero and </w:t>
      </w:r>
      <w:proofErr w:type="spellStart"/>
      <w:r w:rsidRPr="002124BC">
        <w:rPr>
          <w:rStyle w:val="cursor-pointer"/>
          <w:rFonts w:asciiTheme="minorBidi" w:hAnsiTheme="minorBidi" w:cstheme="minorBidi"/>
        </w:rPr>
        <w:t>Haapio</w:t>
      </w:r>
      <w:proofErr w:type="spellEnd"/>
      <w:r w:rsidRPr="002124BC">
        <w:rPr>
          <w:rStyle w:val="cursor-pointer"/>
          <w:rFonts w:asciiTheme="minorBidi" w:hAnsiTheme="minorBidi" w:cstheme="minorBidi"/>
        </w:rPr>
        <w:t>, 2022)</w:t>
      </w:r>
      <w:r w:rsidRPr="002124BC">
        <w:rPr>
          <w:rFonts w:asciiTheme="minorBidi" w:hAnsiTheme="minorBidi" w:cstheme="minorBidi"/>
        </w:rPr>
        <w:t xml:space="preserve"> </w:t>
      </w:r>
      <w:r w:rsidRPr="002124BC">
        <w:rPr>
          <w:rStyle w:val="cursor-pointer"/>
          <w:rFonts w:asciiTheme="minorBidi" w:hAnsiTheme="minorBidi" w:cstheme="minorBidi"/>
        </w:rPr>
        <w:t>There would then be a need for more detailed primary and internal evidence to support the recommendation prior to making significant investment decisions</w:t>
      </w:r>
      <w:r w:rsidR="00BA7D74" w:rsidRPr="002124BC">
        <w:rPr>
          <w:rFonts w:asciiTheme="minorBidi" w:hAnsiTheme="minorBidi" w:cstheme="minorBidi"/>
        </w:rPr>
        <w:t>.</w:t>
      </w:r>
    </w:p>
    <w:p w14:paraId="74BCCF33" w14:textId="77777777" w:rsidR="00BA7D74" w:rsidRPr="002124BC" w:rsidRDefault="00BA7D74" w:rsidP="001F3485">
      <w:pPr>
        <w:pStyle w:val="Heading2"/>
        <w:rPr>
          <w:rFonts w:asciiTheme="minorBidi" w:hAnsiTheme="minorBidi" w:cstheme="minorBidi"/>
        </w:rPr>
      </w:pPr>
      <w:bookmarkStart w:id="16" w:name="_Toc242287218"/>
      <w:r w:rsidRPr="002124BC">
        <w:rPr>
          <w:rFonts w:asciiTheme="minorBidi" w:hAnsiTheme="minorBidi" w:cstheme="minorBidi"/>
        </w:rPr>
        <w:lastRenderedPageBreak/>
        <w:t>4.4 Additional Information Required for Consultancy Analysis</w:t>
      </w:r>
      <w:bookmarkEnd w:id="16"/>
    </w:p>
    <w:p w14:paraId="70EBE085" w14:textId="77777777" w:rsidR="001F3485" w:rsidRDefault="00764BAC"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A consultant would need more information on customer and competitor data, product-level emissions and BHP's financial results before making a final strategic recommendation.</w:t>
      </w:r>
      <w:r w:rsidRPr="002124BC">
        <w:rPr>
          <w:rFonts w:asciiTheme="minorBidi" w:hAnsiTheme="minorBidi" w:cstheme="minorBidi"/>
        </w:rPr>
        <w:t xml:space="preserve"> </w:t>
      </w:r>
      <w:r w:rsidRPr="002124BC">
        <w:rPr>
          <w:rStyle w:val="cursor-pointer"/>
          <w:rFonts w:asciiTheme="minorBidi" w:hAnsiTheme="minorBidi" w:cstheme="minorBidi"/>
        </w:rPr>
        <w:t>Customer research could be used to gauge whether customers are willing to pay for reduced carbon materials and what environmental factors affect customer buying.</w:t>
      </w:r>
      <w:r w:rsidRPr="002124BC">
        <w:rPr>
          <w:rFonts w:asciiTheme="minorBidi" w:hAnsiTheme="minorBidi" w:cstheme="minorBidi"/>
        </w:rPr>
        <w:t xml:space="preserve"> </w:t>
      </w:r>
    </w:p>
    <w:p w14:paraId="449411CB" w14:textId="77777777" w:rsidR="001F3485" w:rsidRDefault="00764BAC"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Competitor Benchmarking would also be required to determine if BHP's proffer of a lower carbon brand is a differentiating advantage or not.</w:t>
      </w:r>
      <w:r w:rsidRPr="002124BC">
        <w:rPr>
          <w:rFonts w:asciiTheme="minorBidi" w:hAnsiTheme="minorBidi" w:cstheme="minorBidi"/>
        </w:rPr>
        <w:t xml:space="preserve"> </w:t>
      </w:r>
      <w:r w:rsidRPr="002124BC">
        <w:rPr>
          <w:rStyle w:val="cursor-pointer"/>
          <w:rFonts w:asciiTheme="minorBidi" w:hAnsiTheme="minorBidi" w:cstheme="minorBidi"/>
        </w:rPr>
        <w:t>Furthermore, product-level carbon data, investment needs and returns would allow for a better financial viability assessment on product development.</w:t>
      </w:r>
      <w:r w:rsidRPr="002124BC">
        <w:rPr>
          <w:rFonts w:asciiTheme="minorBidi" w:hAnsiTheme="minorBidi" w:cstheme="minorBidi"/>
        </w:rPr>
        <w:t xml:space="preserve"> </w:t>
      </w:r>
      <w:r w:rsidRPr="002124BC">
        <w:rPr>
          <w:rStyle w:val="cursor-pointer"/>
          <w:rFonts w:asciiTheme="minorBidi" w:hAnsiTheme="minorBidi" w:cstheme="minorBidi"/>
        </w:rPr>
        <w:t>Availability of internal management information would also help inform the analysis, providing an indication of barriers to operation and current decarbonisation capability.</w:t>
      </w:r>
      <w:r w:rsidRPr="002124BC">
        <w:rPr>
          <w:rFonts w:asciiTheme="minorBidi" w:hAnsiTheme="minorBidi" w:cstheme="minorBidi"/>
        </w:rPr>
        <w:t xml:space="preserve"> </w:t>
      </w:r>
    </w:p>
    <w:p w14:paraId="0DDD3ECC" w14:textId="24113E69" w:rsidR="003F6401" w:rsidRPr="002124BC" w:rsidRDefault="00764BAC" w:rsidP="001F348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These extra data would allow for a more evidence-based study of market attractiveness, strategic feasibility and competitive benefit prior to implementation (Basu et al., 2023)</w:t>
      </w:r>
      <w:r w:rsidR="00BA7D74" w:rsidRPr="002124BC">
        <w:rPr>
          <w:rFonts w:asciiTheme="minorBidi" w:hAnsiTheme="minorBidi" w:cstheme="minorBidi"/>
        </w:rPr>
        <w:t>.</w:t>
      </w:r>
    </w:p>
    <w:p w14:paraId="04B74DFA" w14:textId="77777777" w:rsidR="002124BC" w:rsidRDefault="002124BC" w:rsidP="001F3485">
      <w:pPr>
        <w:rPr>
          <w:rFonts w:asciiTheme="minorBidi" w:eastAsia="Times New Roman" w:hAnsiTheme="minorBidi"/>
          <w:b/>
          <w:bCs/>
          <w:color w:val="244061" w:themeColor="accent1" w:themeShade="80"/>
          <w:kern w:val="36"/>
          <w:sz w:val="32"/>
          <w:szCs w:val="48"/>
          <w:lang w:eastAsia="en-GB"/>
        </w:rPr>
      </w:pPr>
      <w:bookmarkStart w:id="17" w:name="_Toc242287219"/>
      <w:r>
        <w:rPr>
          <w:rFonts w:asciiTheme="minorBidi" w:hAnsiTheme="minorBidi"/>
        </w:rPr>
        <w:br w:type="page"/>
      </w:r>
    </w:p>
    <w:p w14:paraId="08A14A3E" w14:textId="433C8B42" w:rsidR="00BA7D74" w:rsidRPr="002124BC" w:rsidRDefault="00BA7D74" w:rsidP="00FD74C8">
      <w:pPr>
        <w:pStyle w:val="Heading1"/>
        <w:rPr>
          <w:rFonts w:asciiTheme="minorBidi" w:hAnsiTheme="minorBidi" w:cstheme="minorBidi"/>
        </w:rPr>
      </w:pPr>
      <w:r w:rsidRPr="002124BC">
        <w:rPr>
          <w:rFonts w:asciiTheme="minorBidi" w:hAnsiTheme="minorBidi" w:cstheme="minorBidi"/>
        </w:rPr>
        <w:lastRenderedPageBreak/>
        <w:t>5. Conclusion</w:t>
      </w:r>
      <w:bookmarkEnd w:id="17"/>
    </w:p>
    <w:p w14:paraId="76A24AA6" w14:textId="7F3F2581" w:rsidR="00C20115" w:rsidRPr="002124BC" w:rsidRDefault="00764BAC" w:rsidP="00C2011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Environmental, political and stakeholder pressures are all connected, and are growing more influential on customer expectations and positioning in BHP's transition to a lower carbon business model.</w:t>
      </w:r>
      <w:r w:rsidRPr="002124BC">
        <w:rPr>
          <w:rFonts w:asciiTheme="minorBidi" w:hAnsiTheme="minorBidi" w:cstheme="minorBidi"/>
        </w:rPr>
        <w:t xml:space="preserve"> </w:t>
      </w:r>
      <w:r w:rsidRPr="002124BC">
        <w:rPr>
          <w:rStyle w:val="cursor-pointer"/>
          <w:rFonts w:asciiTheme="minorBidi" w:hAnsiTheme="minorBidi" w:cstheme="minorBidi"/>
        </w:rPr>
        <w:t>The analysis suggests that the environment is especially important, as it needs to be taken into account for decarbonisation needs and to differentiate lower carbon products.</w:t>
      </w:r>
      <w:r w:rsidRPr="002124BC">
        <w:rPr>
          <w:rFonts w:asciiTheme="minorBidi" w:hAnsiTheme="minorBidi" w:cstheme="minorBidi"/>
        </w:rPr>
        <w:t xml:space="preserve"> </w:t>
      </w:r>
      <w:r w:rsidRPr="002124BC">
        <w:rPr>
          <w:rStyle w:val="cursor-pointer"/>
          <w:rFonts w:asciiTheme="minorBidi" w:hAnsiTheme="minorBidi" w:cstheme="minorBidi"/>
        </w:rPr>
        <w:t>Of the Ansoff options, Product Development offers the highest level of strategic fit, enabling BHP to leverage on its current capabilities and address evolving market demands.</w:t>
      </w:r>
      <w:r w:rsidRPr="002124BC">
        <w:rPr>
          <w:rFonts w:asciiTheme="minorBidi" w:hAnsiTheme="minorBidi" w:cstheme="minorBidi"/>
        </w:rPr>
        <w:t xml:space="preserve"> </w:t>
      </w:r>
      <w:r w:rsidRPr="002124BC">
        <w:rPr>
          <w:rStyle w:val="cursor-pointer"/>
          <w:rFonts w:asciiTheme="minorBidi" w:hAnsiTheme="minorBidi" w:cstheme="minorBidi"/>
        </w:rPr>
        <w:t>Sustainable competitive advantage will rely, however, on credible emissions reductions, environmental evidence which is transparent and ongoing alignment to customer needs.</w:t>
      </w:r>
      <w:r w:rsidRPr="002124BC">
        <w:rPr>
          <w:rFonts w:asciiTheme="minorBidi" w:hAnsiTheme="minorBidi" w:cstheme="minorBidi"/>
        </w:rPr>
        <w:t xml:space="preserve"> </w:t>
      </w:r>
      <w:r w:rsidRPr="002124BC">
        <w:rPr>
          <w:rStyle w:val="cursor-pointer"/>
          <w:rFonts w:asciiTheme="minorBidi" w:hAnsiTheme="minorBidi" w:cstheme="minorBidi"/>
        </w:rPr>
        <w:t>In conclusion, BHP can enhance their market position by making lower carbon production a customer value and a source of strategic differentiation, as well as an environmental responsibility</w:t>
      </w:r>
      <w:r w:rsidR="00BA7D74" w:rsidRPr="002124BC">
        <w:rPr>
          <w:rFonts w:asciiTheme="minorBidi" w:hAnsiTheme="minorBidi" w:cstheme="minorBidi"/>
        </w:rPr>
        <w:t>.</w:t>
      </w:r>
    </w:p>
    <w:p w14:paraId="43E80321" w14:textId="77777777" w:rsidR="002124BC" w:rsidRDefault="002124BC">
      <w:pPr>
        <w:rPr>
          <w:rFonts w:asciiTheme="minorBidi" w:eastAsia="Times New Roman" w:hAnsiTheme="minorBidi"/>
          <w:b/>
          <w:bCs/>
          <w:color w:val="244061" w:themeColor="accent1" w:themeShade="80"/>
          <w:kern w:val="36"/>
          <w:sz w:val="44"/>
          <w:szCs w:val="72"/>
          <w:lang w:eastAsia="en-GB"/>
        </w:rPr>
      </w:pPr>
      <w:bookmarkStart w:id="18" w:name="_Toc242287220"/>
      <w:r>
        <w:rPr>
          <w:rFonts w:asciiTheme="minorBidi" w:hAnsiTheme="minorBidi"/>
          <w:sz w:val="44"/>
          <w:szCs w:val="72"/>
        </w:rPr>
        <w:br w:type="page"/>
      </w:r>
    </w:p>
    <w:p w14:paraId="06971142" w14:textId="222A1804" w:rsidR="003F6401" w:rsidRPr="002124BC" w:rsidRDefault="00FC298C" w:rsidP="003F6401">
      <w:pPr>
        <w:pStyle w:val="Heading1"/>
        <w:rPr>
          <w:rFonts w:asciiTheme="minorBidi" w:hAnsiTheme="minorBidi" w:cstheme="minorBidi"/>
          <w:sz w:val="44"/>
          <w:szCs w:val="72"/>
        </w:rPr>
      </w:pPr>
      <w:r w:rsidRPr="002124BC">
        <w:rPr>
          <w:rFonts w:asciiTheme="minorBidi" w:hAnsiTheme="minorBidi" w:cstheme="minorBidi"/>
          <w:sz w:val="44"/>
          <w:szCs w:val="72"/>
        </w:rPr>
        <w:lastRenderedPageBreak/>
        <w:t>References</w:t>
      </w:r>
      <w:bookmarkEnd w:id="18"/>
      <w:r w:rsidRPr="002124BC">
        <w:rPr>
          <w:rFonts w:asciiTheme="minorBidi" w:hAnsiTheme="minorBidi" w:cstheme="minorBidi"/>
          <w:sz w:val="44"/>
          <w:szCs w:val="72"/>
        </w:rPr>
        <w:t xml:space="preserve"> </w:t>
      </w:r>
    </w:p>
    <w:p w14:paraId="08EBCABE" w14:textId="77777777" w:rsidR="00E7550D" w:rsidRPr="002124BC" w:rsidRDefault="00E7550D" w:rsidP="003F6401">
      <w:pPr>
        <w:pStyle w:val="NormalWeb"/>
        <w:spacing w:line="360" w:lineRule="auto"/>
        <w:ind w:left="567" w:hanging="567"/>
        <w:rPr>
          <w:rStyle w:val="Hyperlink"/>
          <w:rFonts w:asciiTheme="minorBidi" w:hAnsiTheme="minorBidi" w:cstheme="minorBidi"/>
        </w:rPr>
      </w:pPr>
      <w:r w:rsidRPr="002124BC">
        <w:rPr>
          <w:rFonts w:asciiTheme="minorBidi" w:hAnsiTheme="minorBidi" w:cstheme="minorBidi"/>
        </w:rPr>
        <w:t xml:space="preserve">Andersén, J. (2021) ‘A relational natural-resource-based view on product innovation: The influence of green product innovation and green suppliers on differentiation advantage in small manufacturing firms’, </w:t>
      </w:r>
      <w:proofErr w:type="spellStart"/>
      <w:r w:rsidRPr="002124BC">
        <w:rPr>
          <w:rStyle w:val="Emphasis"/>
          <w:rFonts w:asciiTheme="minorBidi" w:eastAsiaTheme="majorEastAsia" w:hAnsiTheme="minorBidi" w:cstheme="minorBidi"/>
        </w:rPr>
        <w:t>Technovation</w:t>
      </w:r>
      <w:proofErr w:type="spellEnd"/>
      <w:r w:rsidRPr="002124BC">
        <w:rPr>
          <w:rFonts w:asciiTheme="minorBidi" w:hAnsiTheme="minorBidi" w:cstheme="minorBidi"/>
        </w:rPr>
        <w:t xml:space="preserve">, 104, 102254. Available at: </w:t>
      </w:r>
      <w:r w:rsidR="00D6370A" w:rsidRPr="002124BC">
        <w:rPr>
          <w:rFonts w:asciiTheme="minorBidi" w:hAnsiTheme="minorBidi" w:cstheme="minorBidi"/>
        </w:rPr>
        <w:fldChar w:fldCharType="begin"/>
      </w:r>
      <w:r w:rsidR="00D6370A" w:rsidRPr="002124BC">
        <w:rPr>
          <w:rFonts w:asciiTheme="minorBidi" w:hAnsiTheme="minorBidi" w:cstheme="minorBidi"/>
        </w:rPr>
        <w:instrText xml:space="preserve"> HYPERLINK "https://doi.org/10.1016/j.technovation.2021.102254" </w:instrText>
      </w:r>
      <w:r w:rsidR="00D6370A" w:rsidRPr="002124BC">
        <w:rPr>
          <w:rFonts w:asciiTheme="minorBidi" w:hAnsiTheme="minorBidi" w:cstheme="minorBidi"/>
        </w:rPr>
      </w:r>
      <w:r w:rsidR="00D6370A" w:rsidRPr="002124BC">
        <w:rPr>
          <w:rFonts w:asciiTheme="minorBidi" w:hAnsiTheme="minorBidi" w:cstheme="minorBidi"/>
        </w:rPr>
        <w:fldChar w:fldCharType="separate"/>
      </w:r>
      <w:r w:rsidRPr="002124BC">
        <w:rPr>
          <w:rStyle w:val="Hyperlink"/>
          <w:rFonts w:asciiTheme="minorBidi" w:hAnsiTheme="minorBidi" w:cstheme="minorBidi"/>
        </w:rPr>
        <w:t>https://doi.org/10.1016/j.technovation.2021.102254.</w:t>
      </w:r>
    </w:p>
    <w:p w14:paraId="58CD7D6A" w14:textId="77777777" w:rsidR="00D6370A" w:rsidRPr="002124BC" w:rsidRDefault="00D6370A"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fldChar w:fldCharType="end"/>
      </w:r>
      <w:r w:rsidR="00E7550D" w:rsidRPr="002124BC">
        <w:rPr>
          <w:rFonts w:asciiTheme="minorBidi" w:hAnsiTheme="minorBidi" w:cstheme="minorBidi"/>
        </w:rPr>
        <w:t xml:space="preserve">Appiah, L.O. and </w:t>
      </w:r>
      <w:proofErr w:type="spellStart"/>
      <w:r w:rsidR="00E7550D" w:rsidRPr="002124BC">
        <w:rPr>
          <w:rFonts w:asciiTheme="minorBidi" w:hAnsiTheme="minorBidi" w:cstheme="minorBidi"/>
        </w:rPr>
        <w:t>Essuman</w:t>
      </w:r>
      <w:proofErr w:type="spellEnd"/>
      <w:r w:rsidR="00E7550D" w:rsidRPr="002124BC">
        <w:rPr>
          <w:rFonts w:asciiTheme="minorBidi" w:hAnsiTheme="minorBidi" w:cstheme="minorBidi"/>
        </w:rPr>
        <w:t xml:space="preserve">, D. (2024) ‘How do firms develop and financially benefit from green product innovation in a developing country? Roles of innovation orientation and green marketing innovation’, </w:t>
      </w:r>
      <w:r w:rsidR="00E7550D" w:rsidRPr="002124BC">
        <w:rPr>
          <w:rStyle w:val="Emphasis"/>
          <w:rFonts w:asciiTheme="minorBidi" w:eastAsiaTheme="majorEastAsia" w:hAnsiTheme="minorBidi" w:cstheme="minorBidi"/>
          <w:i w:val="0"/>
        </w:rPr>
        <w:t>Business Strategy and the Environment</w:t>
      </w:r>
      <w:r w:rsidR="00E7550D" w:rsidRPr="002124BC">
        <w:rPr>
          <w:rFonts w:asciiTheme="minorBidi" w:hAnsiTheme="minorBidi" w:cstheme="minorBidi"/>
          <w:i/>
        </w:rPr>
        <w:t>,</w:t>
      </w:r>
      <w:r w:rsidR="00E7550D" w:rsidRPr="002124BC">
        <w:rPr>
          <w:rFonts w:asciiTheme="minorBidi" w:hAnsiTheme="minorBidi" w:cstheme="minorBidi"/>
        </w:rPr>
        <w:t xml:space="preserve"> 33(7), pp. 7241–7252. </w:t>
      </w:r>
    </w:p>
    <w:p w14:paraId="5E5133A8"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Basu, R., Lim, W.M., Kumar, A. and Kumar, S. (2023) ‘Marketing analytics: The bridge between customer psychology and marketing decision-making’, </w:t>
      </w:r>
      <w:r w:rsidRPr="002124BC">
        <w:rPr>
          <w:rStyle w:val="Emphasis"/>
          <w:rFonts w:asciiTheme="minorBidi" w:eastAsiaTheme="majorEastAsia" w:hAnsiTheme="minorBidi" w:cstheme="minorBidi"/>
          <w:i w:val="0"/>
        </w:rPr>
        <w:t>Psychology &amp; Marketing</w:t>
      </w:r>
      <w:r w:rsidRPr="002124BC">
        <w:rPr>
          <w:rFonts w:asciiTheme="minorBidi" w:hAnsiTheme="minorBidi" w:cstheme="minorBidi"/>
          <w:i/>
        </w:rPr>
        <w:t xml:space="preserve">, </w:t>
      </w:r>
      <w:r w:rsidRPr="002124BC">
        <w:rPr>
          <w:rFonts w:asciiTheme="minorBidi" w:hAnsiTheme="minorBidi" w:cstheme="minorBidi"/>
        </w:rPr>
        <w:t>40(12), pp. 2588–</w:t>
      </w:r>
      <w:proofErr w:type="gramStart"/>
      <w:r w:rsidRPr="002124BC">
        <w:rPr>
          <w:rFonts w:asciiTheme="minorBidi" w:hAnsiTheme="minorBidi" w:cstheme="minorBidi"/>
        </w:rPr>
        <w:t>2611..</w:t>
      </w:r>
      <w:proofErr w:type="gramEnd"/>
    </w:p>
    <w:p w14:paraId="6C37A04D"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BHP (2025) </w:t>
      </w:r>
      <w:r w:rsidRPr="002124BC">
        <w:rPr>
          <w:rStyle w:val="Emphasis"/>
          <w:rFonts w:asciiTheme="minorBidi" w:eastAsiaTheme="majorEastAsia" w:hAnsiTheme="minorBidi" w:cstheme="minorBidi"/>
          <w:i w:val="0"/>
        </w:rPr>
        <w:t>Annual report 2025</w:t>
      </w:r>
      <w:r w:rsidRPr="002124BC">
        <w:rPr>
          <w:rFonts w:asciiTheme="minorBidi" w:hAnsiTheme="minorBidi" w:cstheme="minorBidi"/>
          <w:i/>
        </w:rPr>
        <w:t>.</w:t>
      </w:r>
      <w:r w:rsidRPr="002124BC">
        <w:rPr>
          <w:rFonts w:asciiTheme="minorBidi" w:hAnsiTheme="minorBidi" w:cstheme="minorBidi"/>
        </w:rPr>
        <w:t xml:space="preserve"> Melbourne: BHP Group Limited.</w:t>
      </w:r>
    </w:p>
    <w:p w14:paraId="2D0D95DF"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BHP (2026) </w:t>
      </w:r>
      <w:r w:rsidRPr="002124BC">
        <w:rPr>
          <w:rStyle w:val="Emphasis"/>
          <w:rFonts w:asciiTheme="minorBidi" w:eastAsiaTheme="majorEastAsia" w:hAnsiTheme="minorBidi" w:cstheme="minorBidi"/>
          <w:i w:val="0"/>
        </w:rPr>
        <w:t>Annual report 2026</w:t>
      </w:r>
      <w:r w:rsidRPr="002124BC">
        <w:rPr>
          <w:rFonts w:asciiTheme="minorBidi" w:hAnsiTheme="minorBidi" w:cstheme="minorBidi"/>
        </w:rPr>
        <w:t>. Melbourne: BHP Group Limited.</w:t>
      </w:r>
    </w:p>
    <w:p w14:paraId="7D3B5510"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Cullen, M. (2024) ‘Exploring the Application of Ansoff’s Growth Strategies in the Context of Digital Transformation and Corporate Performance’. Available at SSRN: 7231900.</w:t>
      </w:r>
    </w:p>
    <w:p w14:paraId="683B4AD6"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Grant, R.M. (2022) </w:t>
      </w:r>
      <w:r w:rsidRPr="002124BC">
        <w:rPr>
          <w:rStyle w:val="Emphasis"/>
          <w:rFonts w:asciiTheme="minorBidi" w:eastAsiaTheme="majorEastAsia" w:hAnsiTheme="minorBidi" w:cstheme="minorBidi"/>
          <w:i w:val="0"/>
        </w:rPr>
        <w:t>Contemporary Strategy Analysis</w:t>
      </w:r>
      <w:r w:rsidRPr="002124BC">
        <w:rPr>
          <w:rFonts w:asciiTheme="minorBidi" w:hAnsiTheme="minorBidi" w:cstheme="minorBidi"/>
        </w:rPr>
        <w:t xml:space="preserve">. 11th </w:t>
      </w:r>
      <w:proofErr w:type="spellStart"/>
      <w:r w:rsidRPr="002124BC">
        <w:rPr>
          <w:rFonts w:asciiTheme="minorBidi" w:hAnsiTheme="minorBidi" w:cstheme="minorBidi"/>
        </w:rPr>
        <w:t>edn</w:t>
      </w:r>
      <w:proofErr w:type="spellEnd"/>
      <w:r w:rsidRPr="002124BC">
        <w:rPr>
          <w:rFonts w:asciiTheme="minorBidi" w:hAnsiTheme="minorBidi" w:cstheme="minorBidi"/>
        </w:rPr>
        <w:t>. Hoboken, NJ: Wiley.</w:t>
      </w:r>
    </w:p>
    <w:p w14:paraId="45B2CFAE"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IEA (2024) </w:t>
      </w:r>
      <w:r w:rsidRPr="002124BC">
        <w:rPr>
          <w:rStyle w:val="Emphasis"/>
          <w:rFonts w:asciiTheme="minorBidi" w:eastAsiaTheme="majorEastAsia" w:hAnsiTheme="minorBidi" w:cstheme="minorBidi"/>
          <w:i w:val="0"/>
        </w:rPr>
        <w:t>Copper: Outlook for key energy transition minerals</w:t>
      </w:r>
      <w:r w:rsidRPr="002124BC">
        <w:rPr>
          <w:rFonts w:asciiTheme="minorBidi" w:hAnsiTheme="minorBidi" w:cstheme="minorBidi"/>
        </w:rPr>
        <w:t>. Paris: International Energy Agency.</w:t>
      </w:r>
    </w:p>
    <w:p w14:paraId="77D61B2D"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International Council on Mining and Metals (2024) </w:t>
      </w:r>
      <w:r w:rsidRPr="002124BC">
        <w:rPr>
          <w:rStyle w:val="Emphasis"/>
          <w:rFonts w:asciiTheme="minorBidi" w:eastAsiaTheme="majorEastAsia" w:hAnsiTheme="minorBidi" w:cstheme="minorBidi"/>
        </w:rPr>
        <w:t>Climate change: Position statement</w:t>
      </w:r>
      <w:r w:rsidRPr="002124BC">
        <w:rPr>
          <w:rFonts w:asciiTheme="minorBidi" w:hAnsiTheme="minorBidi" w:cstheme="minorBidi"/>
        </w:rPr>
        <w:t>. London: International Council on Mining and Metals.</w:t>
      </w:r>
    </w:p>
    <w:p w14:paraId="6BDD8CCC"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Janik, A. and </w:t>
      </w:r>
      <w:proofErr w:type="spellStart"/>
      <w:r w:rsidRPr="002124BC">
        <w:rPr>
          <w:rFonts w:asciiTheme="minorBidi" w:hAnsiTheme="minorBidi" w:cstheme="minorBidi"/>
        </w:rPr>
        <w:t>Ryszko</w:t>
      </w:r>
      <w:proofErr w:type="spellEnd"/>
      <w:r w:rsidRPr="002124BC">
        <w:rPr>
          <w:rFonts w:asciiTheme="minorBidi" w:hAnsiTheme="minorBidi" w:cstheme="minorBidi"/>
        </w:rPr>
        <w:t xml:space="preserve">, A. (2026) ‘Greenwashing in sustainability reporting: A systematic literature review of strategic typologies and content-analysis-based measurement approaches’, </w:t>
      </w:r>
      <w:r w:rsidRPr="002124BC">
        <w:rPr>
          <w:rStyle w:val="Emphasis"/>
          <w:rFonts w:asciiTheme="minorBidi" w:eastAsiaTheme="majorEastAsia" w:hAnsiTheme="minorBidi" w:cstheme="minorBidi"/>
          <w:i w:val="0"/>
        </w:rPr>
        <w:t>Sustainability</w:t>
      </w:r>
      <w:r w:rsidRPr="002124BC">
        <w:rPr>
          <w:rFonts w:asciiTheme="minorBidi" w:hAnsiTheme="minorBidi" w:cstheme="minorBidi"/>
          <w:i/>
        </w:rPr>
        <w:t>,</w:t>
      </w:r>
      <w:r w:rsidRPr="002124BC">
        <w:rPr>
          <w:rFonts w:asciiTheme="minorBidi" w:hAnsiTheme="minorBidi" w:cstheme="minorBidi"/>
        </w:rPr>
        <w:t xml:space="preserve"> 18(1), 17.</w:t>
      </w:r>
    </w:p>
    <w:p w14:paraId="2D6F6D44"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lastRenderedPageBreak/>
        <w:t xml:space="preserve">Kotler, P., Armstrong, G. and Balasubramanian, S. (2024) </w:t>
      </w:r>
      <w:r w:rsidRPr="002124BC">
        <w:rPr>
          <w:rStyle w:val="Emphasis"/>
          <w:rFonts w:asciiTheme="minorBidi" w:eastAsiaTheme="majorEastAsia" w:hAnsiTheme="minorBidi" w:cstheme="minorBidi"/>
          <w:i w:val="0"/>
        </w:rPr>
        <w:t>Principles of marketing</w:t>
      </w:r>
      <w:r w:rsidRPr="002124BC">
        <w:rPr>
          <w:rFonts w:asciiTheme="minorBidi" w:hAnsiTheme="minorBidi" w:cstheme="minorBidi"/>
          <w:i/>
        </w:rPr>
        <w:t>.</w:t>
      </w:r>
      <w:r w:rsidRPr="002124BC">
        <w:rPr>
          <w:rFonts w:asciiTheme="minorBidi" w:hAnsiTheme="minorBidi" w:cstheme="minorBidi"/>
        </w:rPr>
        <w:t xml:space="preserve"> 19th </w:t>
      </w:r>
      <w:proofErr w:type="spellStart"/>
      <w:r w:rsidRPr="002124BC">
        <w:rPr>
          <w:rFonts w:asciiTheme="minorBidi" w:hAnsiTheme="minorBidi" w:cstheme="minorBidi"/>
        </w:rPr>
        <w:t>edn</w:t>
      </w:r>
      <w:proofErr w:type="spellEnd"/>
      <w:r w:rsidRPr="002124BC">
        <w:rPr>
          <w:rFonts w:asciiTheme="minorBidi" w:hAnsiTheme="minorBidi" w:cstheme="minorBidi"/>
        </w:rPr>
        <w:t>. Harlow: Pearson.</w:t>
      </w:r>
    </w:p>
    <w:p w14:paraId="26BF869F" w14:textId="77777777" w:rsidR="00E7550D" w:rsidRPr="002124BC" w:rsidRDefault="00E7550D" w:rsidP="003F6401">
      <w:pPr>
        <w:pStyle w:val="NormalWeb"/>
        <w:spacing w:line="360" w:lineRule="auto"/>
        <w:ind w:left="567" w:hanging="567"/>
        <w:rPr>
          <w:rStyle w:val="Hyperlink"/>
          <w:rFonts w:asciiTheme="minorBidi" w:hAnsiTheme="minorBidi" w:cstheme="minorBidi"/>
        </w:rPr>
      </w:pPr>
      <w:r w:rsidRPr="002124BC">
        <w:rPr>
          <w:rFonts w:asciiTheme="minorBidi" w:hAnsiTheme="minorBidi" w:cstheme="minorBidi"/>
        </w:rPr>
        <w:t xml:space="preserve">Lin, J., Cao, X., Dong, X. and An, Y. (2024) ‘Environmental regulations, supply chain relationships, and green technological innovation’, </w:t>
      </w:r>
      <w:r w:rsidRPr="002124BC">
        <w:rPr>
          <w:rStyle w:val="Emphasis"/>
          <w:rFonts w:asciiTheme="minorBidi" w:eastAsiaTheme="majorEastAsia" w:hAnsiTheme="minorBidi" w:cstheme="minorBidi"/>
          <w:i w:val="0"/>
        </w:rPr>
        <w:t>Journal of Corporate Finance</w:t>
      </w:r>
      <w:r w:rsidRPr="002124BC">
        <w:rPr>
          <w:rFonts w:asciiTheme="minorBidi" w:hAnsiTheme="minorBidi" w:cstheme="minorBidi"/>
          <w:i/>
        </w:rPr>
        <w:t>, 88,</w:t>
      </w:r>
      <w:r w:rsidRPr="002124BC">
        <w:rPr>
          <w:rFonts w:asciiTheme="minorBidi" w:hAnsiTheme="minorBidi" w:cstheme="minorBidi"/>
        </w:rPr>
        <w:t xml:space="preserve"> 102645. Available at: </w:t>
      </w:r>
      <w:r w:rsidR="00D6370A" w:rsidRPr="002124BC">
        <w:rPr>
          <w:rFonts w:asciiTheme="minorBidi" w:hAnsiTheme="minorBidi" w:cstheme="minorBidi"/>
        </w:rPr>
        <w:fldChar w:fldCharType="begin"/>
      </w:r>
      <w:r w:rsidR="00D6370A" w:rsidRPr="002124BC">
        <w:rPr>
          <w:rFonts w:asciiTheme="minorBidi" w:hAnsiTheme="minorBidi" w:cstheme="minorBidi"/>
        </w:rPr>
        <w:instrText xml:space="preserve"> HYPERLINK "https://doi.org/10.1016/j.jcorpfin.2024.102645" </w:instrText>
      </w:r>
      <w:r w:rsidR="00D6370A" w:rsidRPr="002124BC">
        <w:rPr>
          <w:rFonts w:asciiTheme="minorBidi" w:hAnsiTheme="minorBidi" w:cstheme="minorBidi"/>
        </w:rPr>
      </w:r>
      <w:r w:rsidR="00D6370A" w:rsidRPr="002124BC">
        <w:rPr>
          <w:rFonts w:asciiTheme="minorBidi" w:hAnsiTheme="minorBidi" w:cstheme="minorBidi"/>
        </w:rPr>
        <w:fldChar w:fldCharType="separate"/>
      </w:r>
      <w:r w:rsidRPr="002124BC">
        <w:rPr>
          <w:rStyle w:val="Hyperlink"/>
          <w:rFonts w:asciiTheme="minorBidi" w:hAnsiTheme="minorBidi" w:cstheme="minorBidi"/>
        </w:rPr>
        <w:t>https://doi.org/10.1016/j.jcorpfin.2024.102645.</w:t>
      </w:r>
    </w:p>
    <w:p w14:paraId="1C9C4F17" w14:textId="77777777" w:rsidR="00E7550D" w:rsidRPr="002124BC" w:rsidRDefault="00D6370A"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fldChar w:fldCharType="end"/>
      </w:r>
      <w:r w:rsidR="00E7550D" w:rsidRPr="002124BC">
        <w:rPr>
          <w:rFonts w:asciiTheme="minorBidi" w:hAnsiTheme="minorBidi" w:cstheme="minorBidi"/>
        </w:rPr>
        <w:t xml:space="preserve">Liu, W., Cao, Y., Hou, J., Cheng, Y., Chan, H.K. and Tang, O. (2025) ‘Green procurement or green supply? A meta-analysis of their impacts on firm sustainability performance’, </w:t>
      </w:r>
      <w:r w:rsidR="00E7550D" w:rsidRPr="002124BC">
        <w:rPr>
          <w:rStyle w:val="Emphasis"/>
          <w:rFonts w:asciiTheme="minorBidi" w:eastAsiaTheme="majorEastAsia" w:hAnsiTheme="minorBidi" w:cstheme="minorBidi"/>
          <w:i w:val="0"/>
        </w:rPr>
        <w:t>International Journal of Logistics Research and Applications</w:t>
      </w:r>
      <w:r w:rsidR="00E7550D" w:rsidRPr="002124BC">
        <w:rPr>
          <w:rFonts w:asciiTheme="minorBidi" w:hAnsiTheme="minorBidi" w:cstheme="minorBidi"/>
        </w:rPr>
        <w:t>, 28(12), pp. 1387–1421.</w:t>
      </w:r>
    </w:p>
    <w:p w14:paraId="3392EA37"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McKinsey (2024) </w:t>
      </w:r>
      <w:r w:rsidRPr="002124BC">
        <w:rPr>
          <w:rStyle w:val="Emphasis"/>
          <w:rFonts w:asciiTheme="minorBidi" w:eastAsiaTheme="majorEastAsia" w:hAnsiTheme="minorBidi" w:cstheme="minorBidi"/>
          <w:i w:val="0"/>
        </w:rPr>
        <w:t>Materials ‘green’ premia: Trends and outlook to 2030</w:t>
      </w:r>
      <w:r w:rsidRPr="002124BC">
        <w:rPr>
          <w:rFonts w:asciiTheme="minorBidi" w:hAnsiTheme="minorBidi" w:cstheme="minorBidi"/>
          <w:i/>
        </w:rPr>
        <w:t>. McKinsey &amp;</w:t>
      </w:r>
      <w:r w:rsidRPr="002124BC">
        <w:rPr>
          <w:rFonts w:asciiTheme="minorBidi" w:hAnsiTheme="minorBidi" w:cstheme="minorBidi"/>
        </w:rPr>
        <w:t xml:space="preserve"> Company.</w:t>
      </w:r>
    </w:p>
    <w:p w14:paraId="2630170D" w14:textId="77777777" w:rsidR="00E7550D" w:rsidRPr="002124BC" w:rsidRDefault="00E7550D" w:rsidP="003F6401">
      <w:pPr>
        <w:pStyle w:val="NormalWeb"/>
        <w:spacing w:line="360" w:lineRule="auto"/>
        <w:ind w:left="567" w:hanging="567"/>
        <w:rPr>
          <w:rStyle w:val="Hyperlink"/>
          <w:rFonts w:asciiTheme="minorBidi" w:hAnsiTheme="minorBidi" w:cstheme="minorBidi"/>
        </w:rPr>
      </w:pPr>
      <w:r w:rsidRPr="002124BC">
        <w:rPr>
          <w:rFonts w:asciiTheme="minorBidi" w:hAnsiTheme="minorBidi" w:cstheme="minorBidi"/>
        </w:rPr>
        <w:t xml:space="preserve">Mero, J. and </w:t>
      </w:r>
      <w:proofErr w:type="spellStart"/>
      <w:r w:rsidRPr="002124BC">
        <w:rPr>
          <w:rFonts w:asciiTheme="minorBidi" w:hAnsiTheme="minorBidi" w:cstheme="minorBidi"/>
        </w:rPr>
        <w:t>Haapio</w:t>
      </w:r>
      <w:proofErr w:type="spellEnd"/>
      <w:r w:rsidRPr="002124BC">
        <w:rPr>
          <w:rFonts w:asciiTheme="minorBidi" w:hAnsiTheme="minorBidi" w:cstheme="minorBidi"/>
        </w:rPr>
        <w:t xml:space="preserve">, H. (2022) ‘An effectual approach to executing dynamic capabilities under unexpected uncertainty’, </w:t>
      </w:r>
      <w:r w:rsidRPr="002124BC">
        <w:rPr>
          <w:rStyle w:val="Emphasis"/>
          <w:rFonts w:asciiTheme="minorBidi" w:eastAsiaTheme="majorEastAsia" w:hAnsiTheme="minorBidi" w:cstheme="minorBidi"/>
          <w:i w:val="0"/>
        </w:rPr>
        <w:t>Industrial Marketing Management</w:t>
      </w:r>
      <w:r w:rsidRPr="002124BC">
        <w:rPr>
          <w:rFonts w:asciiTheme="minorBidi" w:hAnsiTheme="minorBidi" w:cstheme="minorBidi"/>
        </w:rPr>
        <w:t xml:space="preserve">, 107, pp. 82–91. Available at: </w:t>
      </w:r>
      <w:r w:rsidR="00D6370A" w:rsidRPr="002124BC">
        <w:rPr>
          <w:rFonts w:asciiTheme="minorBidi" w:hAnsiTheme="minorBidi" w:cstheme="minorBidi"/>
        </w:rPr>
        <w:fldChar w:fldCharType="begin"/>
      </w:r>
      <w:r w:rsidR="00D6370A" w:rsidRPr="002124BC">
        <w:rPr>
          <w:rFonts w:asciiTheme="minorBidi" w:hAnsiTheme="minorBidi" w:cstheme="minorBidi"/>
        </w:rPr>
        <w:instrText xml:space="preserve"> HYPERLINK "https://doi.org/10.1016/j.indmarman.2022.09.021" </w:instrText>
      </w:r>
      <w:r w:rsidR="00D6370A" w:rsidRPr="002124BC">
        <w:rPr>
          <w:rFonts w:asciiTheme="minorBidi" w:hAnsiTheme="minorBidi" w:cstheme="minorBidi"/>
        </w:rPr>
      </w:r>
      <w:r w:rsidR="00D6370A" w:rsidRPr="002124BC">
        <w:rPr>
          <w:rFonts w:asciiTheme="minorBidi" w:hAnsiTheme="minorBidi" w:cstheme="minorBidi"/>
        </w:rPr>
        <w:fldChar w:fldCharType="separate"/>
      </w:r>
      <w:r w:rsidRPr="002124BC">
        <w:rPr>
          <w:rStyle w:val="Hyperlink"/>
          <w:rFonts w:asciiTheme="minorBidi" w:hAnsiTheme="minorBidi" w:cstheme="minorBidi"/>
        </w:rPr>
        <w:t>https://doi.org/10.1016/j.indmarman.2022.09.021.</w:t>
      </w:r>
    </w:p>
    <w:p w14:paraId="1DF103C0" w14:textId="77777777" w:rsidR="00E7550D" w:rsidRPr="002124BC" w:rsidRDefault="00D6370A"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fldChar w:fldCharType="end"/>
      </w:r>
      <w:r w:rsidR="00E7550D" w:rsidRPr="002124BC">
        <w:rPr>
          <w:rFonts w:asciiTheme="minorBidi" w:hAnsiTheme="minorBidi" w:cstheme="minorBidi"/>
        </w:rPr>
        <w:t xml:space="preserve">OECD (2025) </w:t>
      </w:r>
      <w:r w:rsidR="00E7550D" w:rsidRPr="002124BC">
        <w:rPr>
          <w:rStyle w:val="Emphasis"/>
          <w:rFonts w:asciiTheme="minorBidi" w:eastAsiaTheme="majorEastAsia" w:hAnsiTheme="minorBidi" w:cstheme="minorBidi"/>
          <w:i w:val="0"/>
        </w:rPr>
        <w:t>Enhancing Regional Mining Ecosystems in the European Union</w:t>
      </w:r>
      <w:r w:rsidR="00E7550D" w:rsidRPr="002124BC">
        <w:rPr>
          <w:rFonts w:asciiTheme="minorBidi" w:hAnsiTheme="minorBidi" w:cstheme="minorBidi"/>
        </w:rPr>
        <w:t xml:space="preserve">. Paris: OECD Publishing. Available at: </w:t>
      </w:r>
      <w:hyperlink r:id="rId10" w:history="1">
        <w:r w:rsidR="00E7550D" w:rsidRPr="002124BC">
          <w:rPr>
            <w:rStyle w:val="Hyperlink"/>
            <w:rFonts w:asciiTheme="minorBidi" w:hAnsiTheme="minorBidi" w:cstheme="minorBidi"/>
          </w:rPr>
          <w:t>https://doi.org/10.1787/97ba1224-en.</w:t>
        </w:r>
      </w:hyperlink>
    </w:p>
    <w:p w14:paraId="42298ECD" w14:textId="77777777" w:rsidR="00D6370A"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Riva, F. (2024) ‘Beyond the hype: Deciphering brand trust amid sustainability </w:t>
      </w:r>
      <w:proofErr w:type="spellStart"/>
      <w:r w:rsidRPr="002124BC">
        <w:rPr>
          <w:rFonts w:asciiTheme="minorBidi" w:hAnsiTheme="minorBidi" w:cstheme="minorBidi"/>
        </w:rPr>
        <w:t>skepticism</w:t>
      </w:r>
      <w:proofErr w:type="spellEnd"/>
      <w:r w:rsidRPr="002124BC">
        <w:rPr>
          <w:rFonts w:asciiTheme="minorBidi" w:hAnsiTheme="minorBidi" w:cstheme="minorBidi"/>
        </w:rPr>
        <w:t xml:space="preserve">’, </w:t>
      </w:r>
      <w:r w:rsidRPr="002124BC">
        <w:rPr>
          <w:rStyle w:val="Emphasis"/>
          <w:rFonts w:asciiTheme="minorBidi" w:eastAsiaTheme="majorEastAsia" w:hAnsiTheme="minorBidi" w:cstheme="minorBidi"/>
          <w:i w:val="0"/>
        </w:rPr>
        <w:t>Business Strategy and the Environment</w:t>
      </w:r>
      <w:r w:rsidRPr="002124BC">
        <w:rPr>
          <w:rFonts w:asciiTheme="minorBidi" w:hAnsiTheme="minorBidi" w:cstheme="minorBidi"/>
        </w:rPr>
        <w:t xml:space="preserve">. </w:t>
      </w:r>
    </w:p>
    <w:p w14:paraId="4F583533" w14:textId="77777777" w:rsidR="00E7550D" w:rsidRPr="002124BC" w:rsidRDefault="00E7550D" w:rsidP="003F6401">
      <w:pPr>
        <w:pStyle w:val="NormalWeb"/>
        <w:spacing w:line="360" w:lineRule="auto"/>
        <w:ind w:left="567" w:hanging="567"/>
        <w:rPr>
          <w:rStyle w:val="Hyperlink"/>
          <w:rFonts w:asciiTheme="minorBidi" w:hAnsiTheme="minorBidi" w:cstheme="minorBidi"/>
        </w:rPr>
      </w:pPr>
      <w:r w:rsidRPr="002124BC">
        <w:rPr>
          <w:rFonts w:asciiTheme="minorBidi" w:hAnsiTheme="minorBidi" w:cstheme="minorBidi"/>
        </w:rPr>
        <w:t xml:space="preserve">Schweizer, L. and Koscher, E.M.K. (2023) ‘Competitive advantage’. In: Idowu, S.O., </w:t>
      </w:r>
      <w:proofErr w:type="spellStart"/>
      <w:r w:rsidRPr="002124BC">
        <w:rPr>
          <w:rFonts w:asciiTheme="minorBidi" w:hAnsiTheme="minorBidi" w:cstheme="minorBidi"/>
        </w:rPr>
        <w:t>Schmidpeter</w:t>
      </w:r>
      <w:proofErr w:type="spellEnd"/>
      <w:r w:rsidRPr="002124BC">
        <w:rPr>
          <w:rFonts w:asciiTheme="minorBidi" w:hAnsiTheme="minorBidi" w:cstheme="minorBidi"/>
        </w:rPr>
        <w:t xml:space="preserve">, R., Capaldi, N., Zu, L., Del Baldo, M. and Abreu, R. (eds.) </w:t>
      </w:r>
      <w:proofErr w:type="spellStart"/>
      <w:r w:rsidRPr="002124BC">
        <w:rPr>
          <w:rStyle w:val="Emphasis"/>
          <w:rFonts w:asciiTheme="minorBidi" w:eastAsiaTheme="majorEastAsia" w:hAnsiTheme="minorBidi" w:cstheme="minorBidi"/>
          <w:i w:val="0"/>
        </w:rPr>
        <w:t>Encyclopedia</w:t>
      </w:r>
      <w:proofErr w:type="spellEnd"/>
      <w:r w:rsidRPr="002124BC">
        <w:rPr>
          <w:rStyle w:val="Emphasis"/>
          <w:rFonts w:asciiTheme="minorBidi" w:eastAsiaTheme="majorEastAsia" w:hAnsiTheme="minorBidi" w:cstheme="minorBidi"/>
          <w:i w:val="0"/>
        </w:rPr>
        <w:t xml:space="preserve"> of Sustainable Management</w:t>
      </w:r>
      <w:r w:rsidRPr="002124BC">
        <w:rPr>
          <w:rFonts w:asciiTheme="minorBidi" w:hAnsiTheme="minorBidi" w:cstheme="minorBidi"/>
        </w:rPr>
        <w:t xml:space="preserve">. Cham: Springer, pp. 669–671. Available at: </w:t>
      </w:r>
      <w:r w:rsidR="00D6370A" w:rsidRPr="002124BC">
        <w:rPr>
          <w:rFonts w:asciiTheme="minorBidi" w:hAnsiTheme="minorBidi" w:cstheme="minorBidi"/>
        </w:rPr>
        <w:fldChar w:fldCharType="begin"/>
      </w:r>
      <w:r w:rsidR="00D6370A" w:rsidRPr="002124BC">
        <w:rPr>
          <w:rFonts w:asciiTheme="minorBidi" w:hAnsiTheme="minorBidi" w:cstheme="minorBidi"/>
        </w:rPr>
        <w:instrText xml:space="preserve"> HYPERLINK "https://doi.org/10.1007/978-3-031-25984-5_365" </w:instrText>
      </w:r>
      <w:r w:rsidR="00D6370A" w:rsidRPr="002124BC">
        <w:rPr>
          <w:rFonts w:asciiTheme="minorBidi" w:hAnsiTheme="minorBidi" w:cstheme="minorBidi"/>
        </w:rPr>
      </w:r>
      <w:r w:rsidR="00D6370A" w:rsidRPr="002124BC">
        <w:rPr>
          <w:rFonts w:asciiTheme="minorBidi" w:hAnsiTheme="minorBidi" w:cstheme="minorBidi"/>
        </w:rPr>
        <w:fldChar w:fldCharType="separate"/>
      </w:r>
      <w:r w:rsidRPr="002124BC">
        <w:rPr>
          <w:rStyle w:val="Hyperlink"/>
          <w:rFonts w:asciiTheme="minorBidi" w:hAnsiTheme="minorBidi" w:cstheme="minorBidi"/>
        </w:rPr>
        <w:t>https://doi.org/10.1007/978-3-031-25984-5_365.</w:t>
      </w:r>
    </w:p>
    <w:p w14:paraId="05FDC07F" w14:textId="77777777" w:rsidR="00E7550D" w:rsidRPr="002124BC" w:rsidRDefault="00D6370A" w:rsidP="003F6401">
      <w:pPr>
        <w:pStyle w:val="NormalWeb"/>
        <w:spacing w:line="360" w:lineRule="auto"/>
        <w:ind w:left="567" w:hanging="567"/>
        <w:rPr>
          <w:rStyle w:val="Hyperlink"/>
          <w:rFonts w:asciiTheme="minorBidi" w:hAnsiTheme="minorBidi" w:cstheme="minorBidi"/>
        </w:rPr>
      </w:pPr>
      <w:r w:rsidRPr="002124BC">
        <w:rPr>
          <w:rFonts w:asciiTheme="minorBidi" w:hAnsiTheme="minorBidi" w:cstheme="minorBidi"/>
        </w:rPr>
        <w:fldChar w:fldCharType="end"/>
      </w:r>
      <w:r w:rsidR="00E7550D" w:rsidRPr="002124BC">
        <w:rPr>
          <w:rFonts w:asciiTheme="minorBidi" w:hAnsiTheme="minorBidi" w:cstheme="minorBidi"/>
        </w:rPr>
        <w:t xml:space="preserve">Wang, S., Shen, H., Zhang, H., Asif, M. and Shahzad, M.F. (2025) ‘From greenwashing to genuine sustainability: Insights from FinTech and banking executives in emerging market experience’, </w:t>
      </w:r>
      <w:r w:rsidR="00E7550D" w:rsidRPr="002124BC">
        <w:rPr>
          <w:rStyle w:val="Emphasis"/>
          <w:rFonts w:asciiTheme="minorBidi" w:eastAsiaTheme="majorEastAsia" w:hAnsiTheme="minorBidi" w:cstheme="minorBidi"/>
          <w:i w:val="0"/>
        </w:rPr>
        <w:t>Journal of Environmental Management</w:t>
      </w:r>
      <w:r w:rsidR="00E7550D" w:rsidRPr="002124BC">
        <w:rPr>
          <w:rFonts w:asciiTheme="minorBidi" w:hAnsiTheme="minorBidi" w:cstheme="minorBidi"/>
        </w:rPr>
        <w:t xml:space="preserve">, 373, 123690. Available at: </w:t>
      </w:r>
      <w:r w:rsidRPr="002124BC">
        <w:rPr>
          <w:rFonts w:asciiTheme="minorBidi" w:hAnsiTheme="minorBidi" w:cstheme="minorBidi"/>
        </w:rPr>
        <w:fldChar w:fldCharType="begin"/>
      </w:r>
      <w:r w:rsidRPr="002124BC">
        <w:rPr>
          <w:rFonts w:asciiTheme="minorBidi" w:hAnsiTheme="minorBidi" w:cstheme="minorBidi"/>
        </w:rPr>
        <w:instrText xml:space="preserve"> HYPERLINK "https://doi.org/10.1016/j.jenvman.2024.123690" </w:instrText>
      </w:r>
      <w:r w:rsidRPr="002124BC">
        <w:rPr>
          <w:rFonts w:asciiTheme="minorBidi" w:hAnsiTheme="minorBidi" w:cstheme="minorBidi"/>
        </w:rPr>
      </w:r>
      <w:r w:rsidRPr="002124BC">
        <w:rPr>
          <w:rFonts w:asciiTheme="minorBidi" w:hAnsiTheme="minorBidi" w:cstheme="minorBidi"/>
        </w:rPr>
        <w:fldChar w:fldCharType="separate"/>
      </w:r>
      <w:r w:rsidR="00E7550D" w:rsidRPr="002124BC">
        <w:rPr>
          <w:rStyle w:val="Hyperlink"/>
          <w:rFonts w:asciiTheme="minorBidi" w:hAnsiTheme="minorBidi" w:cstheme="minorBidi"/>
        </w:rPr>
        <w:t>https://doi.org/10.1016/j.jenvman.2024.123690.</w:t>
      </w:r>
    </w:p>
    <w:p w14:paraId="72CE68E1" w14:textId="4448328D" w:rsidR="003F6401" w:rsidRPr="002124BC" w:rsidRDefault="00D6370A"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lastRenderedPageBreak/>
        <w:fldChar w:fldCharType="end"/>
      </w:r>
      <w:r w:rsidR="00E7550D" w:rsidRPr="002124BC">
        <w:rPr>
          <w:rFonts w:asciiTheme="minorBidi" w:hAnsiTheme="minorBidi" w:cstheme="minorBidi"/>
        </w:rPr>
        <w:t xml:space="preserve">Yao, H., Xu, P., Wang, Y. and Chen, R. (2023) ‘Exploring the low-carbon transition pathway of China’s construction industry under carbon-neutral target: A socio-technical system transition theory perspective’, </w:t>
      </w:r>
      <w:r w:rsidR="00E7550D" w:rsidRPr="002124BC">
        <w:rPr>
          <w:rStyle w:val="Emphasis"/>
          <w:rFonts w:asciiTheme="minorBidi" w:eastAsiaTheme="majorEastAsia" w:hAnsiTheme="minorBidi" w:cstheme="minorBidi"/>
          <w:i w:val="0"/>
        </w:rPr>
        <w:t>Journal of Environmental Management</w:t>
      </w:r>
      <w:r w:rsidR="00E7550D" w:rsidRPr="002124BC">
        <w:rPr>
          <w:rFonts w:asciiTheme="minorBidi" w:hAnsiTheme="minorBidi" w:cstheme="minorBidi"/>
          <w:i/>
        </w:rPr>
        <w:t>,</w:t>
      </w:r>
      <w:r w:rsidR="00E7550D" w:rsidRPr="002124BC">
        <w:rPr>
          <w:rFonts w:asciiTheme="minorBidi" w:hAnsiTheme="minorBidi" w:cstheme="minorBidi"/>
        </w:rPr>
        <w:t xml:space="preserve"> 327, 116879. </w:t>
      </w:r>
    </w:p>
    <w:p w14:paraId="6AA8FB0C" w14:textId="32420CA8" w:rsidR="00F07123" w:rsidRPr="002124BC" w:rsidRDefault="00F07123" w:rsidP="003F6401">
      <w:pPr>
        <w:pStyle w:val="NormalWeb"/>
        <w:spacing w:line="360" w:lineRule="auto"/>
        <w:rPr>
          <w:rFonts w:asciiTheme="minorBidi" w:hAnsiTheme="minorBidi" w:cstheme="minorBidi"/>
        </w:rPr>
      </w:pPr>
    </w:p>
    <w:sectPr w:rsidR="00F07123" w:rsidRPr="002124BC" w:rsidSect="00F32910">
      <w:footerReference w:type="default" r:id="rId1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6C238" w14:textId="77777777" w:rsidR="00F22ADD" w:rsidRDefault="00F22ADD" w:rsidP="00AA58F9">
      <w:pPr>
        <w:spacing w:after="0" w:line="240" w:lineRule="auto"/>
      </w:pPr>
      <w:r>
        <w:separator/>
      </w:r>
    </w:p>
  </w:endnote>
  <w:endnote w:type="continuationSeparator" w:id="0">
    <w:p w14:paraId="0D2D3E94" w14:textId="77777777" w:rsidR="00F22ADD" w:rsidRDefault="00F22ADD" w:rsidP="00AA5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9971440"/>
      <w:docPartObj>
        <w:docPartGallery w:val="Page Numbers (Bottom of Page)"/>
        <w:docPartUnique/>
      </w:docPartObj>
    </w:sdtPr>
    <w:sdtEndPr>
      <w:rPr>
        <w:noProof/>
      </w:rPr>
    </w:sdtEndPr>
    <w:sdtContent>
      <w:p w14:paraId="667F84C4" w14:textId="77777777" w:rsidR="00AA58F9" w:rsidRDefault="00AA58F9">
        <w:pPr>
          <w:pStyle w:val="Footer"/>
          <w:jc w:val="right"/>
        </w:pPr>
        <w:r>
          <w:fldChar w:fldCharType="begin"/>
        </w:r>
        <w:r>
          <w:instrText xml:space="preserve"> PAGE   \* MERGEFORMAT </w:instrText>
        </w:r>
        <w:r>
          <w:fldChar w:fldCharType="separate"/>
        </w:r>
        <w:r w:rsidR="00AF7FA4">
          <w:rPr>
            <w:noProof/>
          </w:rPr>
          <w:t>1</w:t>
        </w:r>
        <w:r>
          <w:rPr>
            <w:noProof/>
          </w:rPr>
          <w:fldChar w:fldCharType="end"/>
        </w:r>
      </w:p>
    </w:sdtContent>
  </w:sdt>
  <w:p w14:paraId="45154578" w14:textId="77777777" w:rsidR="00AA58F9" w:rsidRDefault="00AA5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7D8C8" w14:textId="77777777" w:rsidR="00F22ADD" w:rsidRDefault="00F22ADD" w:rsidP="00AA58F9">
      <w:pPr>
        <w:spacing w:after="0" w:line="240" w:lineRule="auto"/>
      </w:pPr>
      <w:r>
        <w:separator/>
      </w:r>
    </w:p>
  </w:footnote>
  <w:footnote w:type="continuationSeparator" w:id="0">
    <w:p w14:paraId="2110FE15" w14:textId="77777777" w:rsidR="00F22ADD" w:rsidRDefault="00F22ADD" w:rsidP="00AA58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A90"/>
    <w:rsid w:val="000D4A90"/>
    <w:rsid w:val="00153286"/>
    <w:rsid w:val="001F3485"/>
    <w:rsid w:val="002124BC"/>
    <w:rsid w:val="00250AC0"/>
    <w:rsid w:val="00254C28"/>
    <w:rsid w:val="00310CE3"/>
    <w:rsid w:val="0032598C"/>
    <w:rsid w:val="00383A53"/>
    <w:rsid w:val="0039271B"/>
    <w:rsid w:val="003F6401"/>
    <w:rsid w:val="004663FE"/>
    <w:rsid w:val="004840EC"/>
    <w:rsid w:val="004A0602"/>
    <w:rsid w:val="004B76AC"/>
    <w:rsid w:val="004D4E42"/>
    <w:rsid w:val="0050755E"/>
    <w:rsid w:val="0054420E"/>
    <w:rsid w:val="005963C8"/>
    <w:rsid w:val="006052A8"/>
    <w:rsid w:val="0065750B"/>
    <w:rsid w:val="006F7285"/>
    <w:rsid w:val="0070658B"/>
    <w:rsid w:val="00744F20"/>
    <w:rsid w:val="00764BAC"/>
    <w:rsid w:val="007964D4"/>
    <w:rsid w:val="007B4617"/>
    <w:rsid w:val="007B52AE"/>
    <w:rsid w:val="009031F3"/>
    <w:rsid w:val="00A026B5"/>
    <w:rsid w:val="00A333A4"/>
    <w:rsid w:val="00A56C35"/>
    <w:rsid w:val="00A77FBD"/>
    <w:rsid w:val="00A80D0B"/>
    <w:rsid w:val="00A96779"/>
    <w:rsid w:val="00AA58F9"/>
    <w:rsid w:val="00AF7FA4"/>
    <w:rsid w:val="00B44D91"/>
    <w:rsid w:val="00B67B57"/>
    <w:rsid w:val="00BA7D74"/>
    <w:rsid w:val="00C20115"/>
    <w:rsid w:val="00C50C65"/>
    <w:rsid w:val="00D10459"/>
    <w:rsid w:val="00D44947"/>
    <w:rsid w:val="00D6370A"/>
    <w:rsid w:val="00D65387"/>
    <w:rsid w:val="00DB400A"/>
    <w:rsid w:val="00DF7157"/>
    <w:rsid w:val="00E00848"/>
    <w:rsid w:val="00E062BF"/>
    <w:rsid w:val="00E17A7A"/>
    <w:rsid w:val="00E7550D"/>
    <w:rsid w:val="00E90E2B"/>
    <w:rsid w:val="00EF2496"/>
    <w:rsid w:val="00F0141D"/>
    <w:rsid w:val="00F07123"/>
    <w:rsid w:val="00F22ADD"/>
    <w:rsid w:val="00F32910"/>
    <w:rsid w:val="00FC298C"/>
    <w:rsid w:val="00FD74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FC41F"/>
  <w15:docId w15:val="{7046BEDC-3E75-486F-88DC-1346B844C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F6401"/>
    <w:pPr>
      <w:spacing w:before="100" w:beforeAutospacing="1" w:after="100" w:afterAutospacing="1" w:line="240" w:lineRule="auto"/>
      <w:outlineLvl w:val="0"/>
    </w:pPr>
    <w:rPr>
      <w:rFonts w:ascii="Times New Roman" w:eastAsia="Times New Roman" w:hAnsi="Times New Roman" w:cs="Times New Roman"/>
      <w:b/>
      <w:bCs/>
      <w:color w:val="244061" w:themeColor="accent1" w:themeShade="80"/>
      <w:kern w:val="36"/>
      <w:sz w:val="32"/>
      <w:szCs w:val="48"/>
      <w:lang w:eastAsia="en-GB"/>
    </w:rPr>
  </w:style>
  <w:style w:type="paragraph" w:styleId="Heading2">
    <w:name w:val="heading 2"/>
    <w:basedOn w:val="Normal"/>
    <w:next w:val="Normal"/>
    <w:link w:val="Heading2Char"/>
    <w:uiPriority w:val="9"/>
    <w:unhideWhenUsed/>
    <w:qFormat/>
    <w:rsid w:val="0054420E"/>
    <w:pPr>
      <w:keepNext/>
      <w:keepLines/>
      <w:spacing w:before="200" w:after="0"/>
      <w:outlineLvl w:val="1"/>
    </w:pPr>
    <w:rPr>
      <w:rFonts w:ascii="Arial" w:eastAsiaTheme="majorEastAsia" w:hAnsi="Arial" w:cstheme="majorBidi"/>
      <w:b/>
      <w:bCs/>
      <w:i/>
      <w:color w:val="000000" w:themeColor="text1"/>
      <w:sz w:val="28"/>
      <w:szCs w:val="26"/>
      <w:u w:val="single"/>
    </w:rPr>
  </w:style>
  <w:style w:type="paragraph" w:styleId="Heading3">
    <w:name w:val="heading 3"/>
    <w:basedOn w:val="Normal"/>
    <w:link w:val="Heading3Char"/>
    <w:uiPriority w:val="9"/>
    <w:qFormat/>
    <w:rsid w:val="000D4A9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401"/>
    <w:rPr>
      <w:rFonts w:ascii="Times New Roman" w:eastAsia="Times New Roman" w:hAnsi="Times New Roman" w:cs="Times New Roman"/>
      <w:b/>
      <w:bCs/>
      <w:color w:val="244061" w:themeColor="accent1" w:themeShade="80"/>
      <w:kern w:val="36"/>
      <w:sz w:val="32"/>
      <w:szCs w:val="48"/>
      <w:lang w:eastAsia="en-GB"/>
    </w:rPr>
  </w:style>
  <w:style w:type="character" w:customStyle="1" w:styleId="Heading2Char">
    <w:name w:val="Heading 2 Char"/>
    <w:basedOn w:val="DefaultParagraphFont"/>
    <w:link w:val="Heading2"/>
    <w:uiPriority w:val="9"/>
    <w:rsid w:val="0054420E"/>
    <w:rPr>
      <w:rFonts w:ascii="Arial" w:eastAsiaTheme="majorEastAsia" w:hAnsi="Arial" w:cstheme="majorBidi"/>
      <w:b/>
      <w:bCs/>
      <w:i/>
      <w:color w:val="000000" w:themeColor="text1"/>
      <w:sz w:val="28"/>
      <w:szCs w:val="26"/>
      <w:u w:val="single"/>
    </w:rPr>
  </w:style>
  <w:style w:type="paragraph" w:styleId="Title">
    <w:name w:val="Title"/>
    <w:basedOn w:val="Normal"/>
    <w:next w:val="Normal"/>
    <w:link w:val="TitleChar"/>
    <w:uiPriority w:val="10"/>
    <w:qFormat/>
    <w:rsid w:val="0054420E"/>
    <w:pPr>
      <w:pBdr>
        <w:bottom w:val="single" w:sz="8" w:space="4" w:color="4F81BD" w:themeColor="accent1"/>
      </w:pBdr>
      <w:spacing w:after="300" w:line="240" w:lineRule="auto"/>
      <w:contextualSpacing/>
    </w:pPr>
    <w:rPr>
      <w:rFonts w:ascii="Arial" w:eastAsiaTheme="majorEastAsia" w:hAnsi="Arial" w:cstheme="majorBidi"/>
      <w:b/>
      <w:i/>
      <w:color w:val="17365D" w:themeColor="text2" w:themeShade="BF"/>
      <w:spacing w:val="5"/>
      <w:kern w:val="28"/>
      <w:sz w:val="28"/>
      <w:szCs w:val="52"/>
      <w:u w:val="single"/>
    </w:rPr>
  </w:style>
  <w:style w:type="character" w:customStyle="1" w:styleId="TitleChar">
    <w:name w:val="Title Char"/>
    <w:basedOn w:val="DefaultParagraphFont"/>
    <w:link w:val="Title"/>
    <w:uiPriority w:val="10"/>
    <w:rsid w:val="0054420E"/>
    <w:rPr>
      <w:rFonts w:ascii="Arial" w:eastAsiaTheme="majorEastAsia" w:hAnsi="Arial" w:cstheme="majorBidi"/>
      <w:b/>
      <w:i/>
      <w:color w:val="17365D" w:themeColor="text2" w:themeShade="BF"/>
      <w:spacing w:val="5"/>
      <w:kern w:val="28"/>
      <w:sz w:val="28"/>
      <w:szCs w:val="52"/>
      <w:u w:val="single"/>
    </w:rPr>
  </w:style>
  <w:style w:type="character" w:customStyle="1" w:styleId="Heading3Char">
    <w:name w:val="Heading 3 Char"/>
    <w:basedOn w:val="DefaultParagraphFont"/>
    <w:link w:val="Heading3"/>
    <w:uiPriority w:val="9"/>
    <w:rsid w:val="000D4A9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D4A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4A90"/>
    <w:rPr>
      <w:b/>
      <w:bCs/>
    </w:rPr>
  </w:style>
  <w:style w:type="table" w:styleId="TableGrid">
    <w:name w:val="Table Grid"/>
    <w:basedOn w:val="TableNormal"/>
    <w:uiPriority w:val="59"/>
    <w:rsid w:val="00C50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29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98C"/>
    <w:rPr>
      <w:rFonts w:ascii="Tahoma" w:hAnsi="Tahoma" w:cs="Tahoma"/>
      <w:sz w:val="16"/>
      <w:szCs w:val="16"/>
    </w:rPr>
  </w:style>
  <w:style w:type="character" w:styleId="Emphasis">
    <w:name w:val="Emphasis"/>
    <w:basedOn w:val="DefaultParagraphFont"/>
    <w:uiPriority w:val="20"/>
    <w:qFormat/>
    <w:rsid w:val="00FC298C"/>
    <w:rPr>
      <w:i/>
      <w:iCs/>
    </w:rPr>
  </w:style>
  <w:style w:type="character" w:styleId="Hyperlink">
    <w:name w:val="Hyperlink"/>
    <w:basedOn w:val="DefaultParagraphFont"/>
    <w:uiPriority w:val="99"/>
    <w:unhideWhenUsed/>
    <w:rsid w:val="00FC298C"/>
    <w:rPr>
      <w:color w:val="0000FF"/>
      <w:u w:val="single"/>
    </w:rPr>
  </w:style>
  <w:style w:type="character" w:styleId="FollowedHyperlink">
    <w:name w:val="FollowedHyperlink"/>
    <w:basedOn w:val="DefaultParagraphFont"/>
    <w:uiPriority w:val="99"/>
    <w:semiHidden/>
    <w:unhideWhenUsed/>
    <w:rsid w:val="00E7550D"/>
    <w:rPr>
      <w:color w:val="800080" w:themeColor="followedHyperlink"/>
      <w:u w:val="single"/>
    </w:rPr>
  </w:style>
  <w:style w:type="paragraph" w:styleId="TOCHeading">
    <w:name w:val="TOC Heading"/>
    <w:basedOn w:val="Heading1"/>
    <w:next w:val="Normal"/>
    <w:uiPriority w:val="39"/>
    <w:semiHidden/>
    <w:unhideWhenUsed/>
    <w:qFormat/>
    <w:rsid w:val="004B76A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unhideWhenUsed/>
    <w:rsid w:val="004B76AC"/>
    <w:pPr>
      <w:spacing w:after="100"/>
      <w:ind w:left="440"/>
    </w:pPr>
  </w:style>
  <w:style w:type="paragraph" w:styleId="TOC2">
    <w:name w:val="toc 2"/>
    <w:basedOn w:val="Normal"/>
    <w:next w:val="Normal"/>
    <w:autoRedefine/>
    <w:uiPriority w:val="39"/>
    <w:unhideWhenUsed/>
    <w:rsid w:val="004B76AC"/>
    <w:pPr>
      <w:spacing w:after="100"/>
      <w:ind w:left="220"/>
    </w:pPr>
  </w:style>
  <w:style w:type="paragraph" w:styleId="TOC1">
    <w:name w:val="toc 1"/>
    <w:basedOn w:val="Normal"/>
    <w:next w:val="Normal"/>
    <w:autoRedefine/>
    <w:uiPriority w:val="39"/>
    <w:unhideWhenUsed/>
    <w:rsid w:val="00FD74C8"/>
    <w:pPr>
      <w:spacing w:after="100"/>
    </w:pPr>
  </w:style>
  <w:style w:type="paragraph" w:styleId="Header">
    <w:name w:val="header"/>
    <w:basedOn w:val="Normal"/>
    <w:link w:val="HeaderChar"/>
    <w:uiPriority w:val="99"/>
    <w:unhideWhenUsed/>
    <w:rsid w:val="00AA58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8F9"/>
  </w:style>
  <w:style w:type="paragraph" w:styleId="Footer">
    <w:name w:val="footer"/>
    <w:basedOn w:val="Normal"/>
    <w:link w:val="FooterChar"/>
    <w:uiPriority w:val="99"/>
    <w:unhideWhenUsed/>
    <w:rsid w:val="00AA58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8F9"/>
  </w:style>
  <w:style w:type="character" w:customStyle="1" w:styleId="cursor-pointer">
    <w:name w:val="cursor-pointer"/>
    <w:basedOn w:val="DefaultParagraphFont"/>
    <w:rsid w:val="00596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271530">
      <w:bodyDiv w:val="1"/>
      <w:marLeft w:val="0"/>
      <w:marRight w:val="0"/>
      <w:marTop w:val="0"/>
      <w:marBottom w:val="0"/>
      <w:divBdr>
        <w:top w:val="none" w:sz="0" w:space="0" w:color="auto"/>
        <w:left w:val="none" w:sz="0" w:space="0" w:color="auto"/>
        <w:bottom w:val="none" w:sz="0" w:space="0" w:color="auto"/>
        <w:right w:val="none" w:sz="0" w:space="0" w:color="auto"/>
      </w:divBdr>
    </w:div>
    <w:div w:id="164051844">
      <w:bodyDiv w:val="1"/>
      <w:marLeft w:val="0"/>
      <w:marRight w:val="0"/>
      <w:marTop w:val="0"/>
      <w:marBottom w:val="0"/>
      <w:divBdr>
        <w:top w:val="none" w:sz="0" w:space="0" w:color="auto"/>
        <w:left w:val="none" w:sz="0" w:space="0" w:color="auto"/>
        <w:bottom w:val="none" w:sz="0" w:space="0" w:color="auto"/>
        <w:right w:val="none" w:sz="0" w:space="0" w:color="auto"/>
      </w:divBdr>
    </w:div>
    <w:div w:id="191387933">
      <w:bodyDiv w:val="1"/>
      <w:marLeft w:val="0"/>
      <w:marRight w:val="0"/>
      <w:marTop w:val="0"/>
      <w:marBottom w:val="0"/>
      <w:divBdr>
        <w:top w:val="none" w:sz="0" w:space="0" w:color="auto"/>
        <w:left w:val="none" w:sz="0" w:space="0" w:color="auto"/>
        <w:bottom w:val="none" w:sz="0" w:space="0" w:color="auto"/>
        <w:right w:val="none" w:sz="0" w:space="0" w:color="auto"/>
      </w:divBdr>
      <w:divsChild>
        <w:div w:id="642849834">
          <w:marLeft w:val="0"/>
          <w:marRight w:val="0"/>
          <w:marTop w:val="0"/>
          <w:marBottom w:val="0"/>
          <w:divBdr>
            <w:top w:val="none" w:sz="0" w:space="0" w:color="auto"/>
            <w:left w:val="none" w:sz="0" w:space="0" w:color="auto"/>
            <w:bottom w:val="none" w:sz="0" w:space="0" w:color="auto"/>
            <w:right w:val="none" w:sz="0" w:space="0" w:color="auto"/>
          </w:divBdr>
          <w:divsChild>
            <w:div w:id="619918844">
              <w:marLeft w:val="0"/>
              <w:marRight w:val="0"/>
              <w:marTop w:val="0"/>
              <w:marBottom w:val="0"/>
              <w:divBdr>
                <w:top w:val="none" w:sz="0" w:space="0" w:color="auto"/>
                <w:left w:val="none" w:sz="0" w:space="0" w:color="auto"/>
                <w:bottom w:val="none" w:sz="0" w:space="0" w:color="auto"/>
                <w:right w:val="none" w:sz="0" w:space="0" w:color="auto"/>
              </w:divBdr>
              <w:divsChild>
                <w:div w:id="10461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938683">
      <w:bodyDiv w:val="1"/>
      <w:marLeft w:val="0"/>
      <w:marRight w:val="0"/>
      <w:marTop w:val="0"/>
      <w:marBottom w:val="0"/>
      <w:divBdr>
        <w:top w:val="none" w:sz="0" w:space="0" w:color="auto"/>
        <w:left w:val="none" w:sz="0" w:space="0" w:color="auto"/>
        <w:bottom w:val="none" w:sz="0" w:space="0" w:color="auto"/>
        <w:right w:val="none" w:sz="0" w:space="0" w:color="auto"/>
      </w:divBdr>
    </w:div>
    <w:div w:id="369184985">
      <w:bodyDiv w:val="1"/>
      <w:marLeft w:val="0"/>
      <w:marRight w:val="0"/>
      <w:marTop w:val="0"/>
      <w:marBottom w:val="0"/>
      <w:divBdr>
        <w:top w:val="none" w:sz="0" w:space="0" w:color="auto"/>
        <w:left w:val="none" w:sz="0" w:space="0" w:color="auto"/>
        <w:bottom w:val="none" w:sz="0" w:space="0" w:color="auto"/>
        <w:right w:val="none" w:sz="0" w:space="0" w:color="auto"/>
      </w:divBdr>
    </w:div>
    <w:div w:id="408967786">
      <w:bodyDiv w:val="1"/>
      <w:marLeft w:val="0"/>
      <w:marRight w:val="0"/>
      <w:marTop w:val="0"/>
      <w:marBottom w:val="0"/>
      <w:divBdr>
        <w:top w:val="none" w:sz="0" w:space="0" w:color="auto"/>
        <w:left w:val="none" w:sz="0" w:space="0" w:color="auto"/>
        <w:bottom w:val="none" w:sz="0" w:space="0" w:color="auto"/>
        <w:right w:val="none" w:sz="0" w:space="0" w:color="auto"/>
      </w:divBdr>
    </w:div>
    <w:div w:id="476462234">
      <w:bodyDiv w:val="1"/>
      <w:marLeft w:val="0"/>
      <w:marRight w:val="0"/>
      <w:marTop w:val="0"/>
      <w:marBottom w:val="0"/>
      <w:divBdr>
        <w:top w:val="none" w:sz="0" w:space="0" w:color="auto"/>
        <w:left w:val="none" w:sz="0" w:space="0" w:color="auto"/>
        <w:bottom w:val="none" w:sz="0" w:space="0" w:color="auto"/>
        <w:right w:val="none" w:sz="0" w:space="0" w:color="auto"/>
      </w:divBdr>
    </w:div>
    <w:div w:id="552697369">
      <w:bodyDiv w:val="1"/>
      <w:marLeft w:val="0"/>
      <w:marRight w:val="0"/>
      <w:marTop w:val="0"/>
      <w:marBottom w:val="0"/>
      <w:divBdr>
        <w:top w:val="none" w:sz="0" w:space="0" w:color="auto"/>
        <w:left w:val="none" w:sz="0" w:space="0" w:color="auto"/>
        <w:bottom w:val="none" w:sz="0" w:space="0" w:color="auto"/>
        <w:right w:val="none" w:sz="0" w:space="0" w:color="auto"/>
      </w:divBdr>
      <w:divsChild>
        <w:div w:id="633290934">
          <w:marLeft w:val="0"/>
          <w:marRight w:val="0"/>
          <w:marTop w:val="0"/>
          <w:marBottom w:val="0"/>
          <w:divBdr>
            <w:top w:val="none" w:sz="0" w:space="0" w:color="auto"/>
            <w:left w:val="none" w:sz="0" w:space="0" w:color="auto"/>
            <w:bottom w:val="none" w:sz="0" w:space="0" w:color="auto"/>
            <w:right w:val="none" w:sz="0" w:space="0" w:color="auto"/>
          </w:divBdr>
          <w:divsChild>
            <w:div w:id="411858387">
              <w:marLeft w:val="0"/>
              <w:marRight w:val="0"/>
              <w:marTop w:val="0"/>
              <w:marBottom w:val="0"/>
              <w:divBdr>
                <w:top w:val="none" w:sz="0" w:space="0" w:color="auto"/>
                <w:left w:val="none" w:sz="0" w:space="0" w:color="auto"/>
                <w:bottom w:val="none" w:sz="0" w:space="0" w:color="auto"/>
                <w:right w:val="none" w:sz="0" w:space="0" w:color="auto"/>
              </w:divBdr>
              <w:divsChild>
                <w:div w:id="919220862">
                  <w:marLeft w:val="0"/>
                  <w:marRight w:val="0"/>
                  <w:marTop w:val="0"/>
                  <w:marBottom w:val="0"/>
                  <w:divBdr>
                    <w:top w:val="none" w:sz="0" w:space="0" w:color="auto"/>
                    <w:left w:val="none" w:sz="0" w:space="0" w:color="auto"/>
                    <w:bottom w:val="none" w:sz="0" w:space="0" w:color="auto"/>
                    <w:right w:val="none" w:sz="0" w:space="0" w:color="auto"/>
                  </w:divBdr>
                </w:div>
              </w:divsChild>
            </w:div>
            <w:div w:id="1957827563">
              <w:marLeft w:val="0"/>
              <w:marRight w:val="0"/>
              <w:marTop w:val="0"/>
              <w:marBottom w:val="0"/>
              <w:divBdr>
                <w:top w:val="none" w:sz="0" w:space="0" w:color="auto"/>
                <w:left w:val="none" w:sz="0" w:space="0" w:color="auto"/>
                <w:bottom w:val="none" w:sz="0" w:space="0" w:color="auto"/>
                <w:right w:val="none" w:sz="0" w:space="0" w:color="auto"/>
              </w:divBdr>
              <w:divsChild>
                <w:div w:id="1478692798">
                  <w:marLeft w:val="0"/>
                  <w:marRight w:val="0"/>
                  <w:marTop w:val="0"/>
                  <w:marBottom w:val="0"/>
                  <w:divBdr>
                    <w:top w:val="none" w:sz="0" w:space="0" w:color="auto"/>
                    <w:left w:val="none" w:sz="0" w:space="0" w:color="auto"/>
                    <w:bottom w:val="none" w:sz="0" w:space="0" w:color="auto"/>
                    <w:right w:val="none" w:sz="0" w:space="0" w:color="auto"/>
                  </w:divBdr>
                  <w:divsChild>
                    <w:div w:id="1195576907">
                      <w:marLeft w:val="0"/>
                      <w:marRight w:val="0"/>
                      <w:marTop w:val="0"/>
                      <w:marBottom w:val="0"/>
                      <w:divBdr>
                        <w:top w:val="none" w:sz="0" w:space="0" w:color="auto"/>
                        <w:left w:val="none" w:sz="0" w:space="0" w:color="auto"/>
                        <w:bottom w:val="none" w:sz="0" w:space="0" w:color="auto"/>
                        <w:right w:val="none" w:sz="0" w:space="0" w:color="auto"/>
                      </w:divBdr>
                      <w:divsChild>
                        <w:div w:id="551578840">
                          <w:marLeft w:val="0"/>
                          <w:marRight w:val="0"/>
                          <w:marTop w:val="0"/>
                          <w:marBottom w:val="0"/>
                          <w:divBdr>
                            <w:top w:val="none" w:sz="0" w:space="0" w:color="auto"/>
                            <w:left w:val="none" w:sz="0" w:space="0" w:color="auto"/>
                            <w:bottom w:val="none" w:sz="0" w:space="0" w:color="auto"/>
                            <w:right w:val="none" w:sz="0" w:space="0" w:color="auto"/>
                          </w:divBdr>
                          <w:divsChild>
                            <w:div w:id="163328238">
                              <w:marLeft w:val="0"/>
                              <w:marRight w:val="0"/>
                              <w:marTop w:val="0"/>
                              <w:marBottom w:val="0"/>
                              <w:divBdr>
                                <w:top w:val="none" w:sz="0" w:space="0" w:color="auto"/>
                                <w:left w:val="none" w:sz="0" w:space="0" w:color="auto"/>
                                <w:bottom w:val="none" w:sz="0" w:space="0" w:color="auto"/>
                                <w:right w:val="none" w:sz="0" w:space="0" w:color="auto"/>
                              </w:divBdr>
                              <w:divsChild>
                                <w:div w:id="135804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591766">
      <w:bodyDiv w:val="1"/>
      <w:marLeft w:val="0"/>
      <w:marRight w:val="0"/>
      <w:marTop w:val="0"/>
      <w:marBottom w:val="0"/>
      <w:divBdr>
        <w:top w:val="none" w:sz="0" w:space="0" w:color="auto"/>
        <w:left w:val="none" w:sz="0" w:space="0" w:color="auto"/>
        <w:bottom w:val="none" w:sz="0" w:space="0" w:color="auto"/>
        <w:right w:val="none" w:sz="0" w:space="0" w:color="auto"/>
      </w:divBdr>
    </w:div>
    <w:div w:id="624820911">
      <w:bodyDiv w:val="1"/>
      <w:marLeft w:val="0"/>
      <w:marRight w:val="0"/>
      <w:marTop w:val="0"/>
      <w:marBottom w:val="0"/>
      <w:divBdr>
        <w:top w:val="none" w:sz="0" w:space="0" w:color="auto"/>
        <w:left w:val="none" w:sz="0" w:space="0" w:color="auto"/>
        <w:bottom w:val="none" w:sz="0" w:space="0" w:color="auto"/>
        <w:right w:val="none" w:sz="0" w:space="0" w:color="auto"/>
      </w:divBdr>
    </w:div>
    <w:div w:id="706687608">
      <w:bodyDiv w:val="1"/>
      <w:marLeft w:val="0"/>
      <w:marRight w:val="0"/>
      <w:marTop w:val="0"/>
      <w:marBottom w:val="0"/>
      <w:divBdr>
        <w:top w:val="none" w:sz="0" w:space="0" w:color="auto"/>
        <w:left w:val="none" w:sz="0" w:space="0" w:color="auto"/>
        <w:bottom w:val="none" w:sz="0" w:space="0" w:color="auto"/>
        <w:right w:val="none" w:sz="0" w:space="0" w:color="auto"/>
      </w:divBdr>
    </w:div>
    <w:div w:id="749234040">
      <w:bodyDiv w:val="1"/>
      <w:marLeft w:val="0"/>
      <w:marRight w:val="0"/>
      <w:marTop w:val="0"/>
      <w:marBottom w:val="0"/>
      <w:divBdr>
        <w:top w:val="none" w:sz="0" w:space="0" w:color="auto"/>
        <w:left w:val="none" w:sz="0" w:space="0" w:color="auto"/>
        <w:bottom w:val="none" w:sz="0" w:space="0" w:color="auto"/>
        <w:right w:val="none" w:sz="0" w:space="0" w:color="auto"/>
      </w:divBdr>
    </w:div>
    <w:div w:id="894779874">
      <w:bodyDiv w:val="1"/>
      <w:marLeft w:val="0"/>
      <w:marRight w:val="0"/>
      <w:marTop w:val="0"/>
      <w:marBottom w:val="0"/>
      <w:divBdr>
        <w:top w:val="none" w:sz="0" w:space="0" w:color="auto"/>
        <w:left w:val="none" w:sz="0" w:space="0" w:color="auto"/>
        <w:bottom w:val="none" w:sz="0" w:space="0" w:color="auto"/>
        <w:right w:val="none" w:sz="0" w:space="0" w:color="auto"/>
      </w:divBdr>
    </w:div>
    <w:div w:id="902716322">
      <w:bodyDiv w:val="1"/>
      <w:marLeft w:val="0"/>
      <w:marRight w:val="0"/>
      <w:marTop w:val="0"/>
      <w:marBottom w:val="0"/>
      <w:divBdr>
        <w:top w:val="none" w:sz="0" w:space="0" w:color="auto"/>
        <w:left w:val="none" w:sz="0" w:space="0" w:color="auto"/>
        <w:bottom w:val="none" w:sz="0" w:space="0" w:color="auto"/>
        <w:right w:val="none" w:sz="0" w:space="0" w:color="auto"/>
      </w:divBdr>
    </w:div>
    <w:div w:id="934947752">
      <w:bodyDiv w:val="1"/>
      <w:marLeft w:val="0"/>
      <w:marRight w:val="0"/>
      <w:marTop w:val="0"/>
      <w:marBottom w:val="0"/>
      <w:divBdr>
        <w:top w:val="none" w:sz="0" w:space="0" w:color="auto"/>
        <w:left w:val="none" w:sz="0" w:space="0" w:color="auto"/>
        <w:bottom w:val="none" w:sz="0" w:space="0" w:color="auto"/>
        <w:right w:val="none" w:sz="0" w:space="0" w:color="auto"/>
      </w:divBdr>
    </w:div>
    <w:div w:id="973951412">
      <w:bodyDiv w:val="1"/>
      <w:marLeft w:val="0"/>
      <w:marRight w:val="0"/>
      <w:marTop w:val="0"/>
      <w:marBottom w:val="0"/>
      <w:divBdr>
        <w:top w:val="none" w:sz="0" w:space="0" w:color="auto"/>
        <w:left w:val="none" w:sz="0" w:space="0" w:color="auto"/>
        <w:bottom w:val="none" w:sz="0" w:space="0" w:color="auto"/>
        <w:right w:val="none" w:sz="0" w:space="0" w:color="auto"/>
      </w:divBdr>
    </w:div>
    <w:div w:id="1215308427">
      <w:bodyDiv w:val="1"/>
      <w:marLeft w:val="0"/>
      <w:marRight w:val="0"/>
      <w:marTop w:val="0"/>
      <w:marBottom w:val="0"/>
      <w:divBdr>
        <w:top w:val="none" w:sz="0" w:space="0" w:color="auto"/>
        <w:left w:val="none" w:sz="0" w:space="0" w:color="auto"/>
        <w:bottom w:val="none" w:sz="0" w:space="0" w:color="auto"/>
        <w:right w:val="none" w:sz="0" w:space="0" w:color="auto"/>
      </w:divBdr>
    </w:div>
    <w:div w:id="1617710279">
      <w:bodyDiv w:val="1"/>
      <w:marLeft w:val="0"/>
      <w:marRight w:val="0"/>
      <w:marTop w:val="0"/>
      <w:marBottom w:val="0"/>
      <w:divBdr>
        <w:top w:val="none" w:sz="0" w:space="0" w:color="auto"/>
        <w:left w:val="none" w:sz="0" w:space="0" w:color="auto"/>
        <w:bottom w:val="none" w:sz="0" w:space="0" w:color="auto"/>
        <w:right w:val="none" w:sz="0" w:space="0" w:color="auto"/>
      </w:divBdr>
    </w:div>
    <w:div w:id="1673877209">
      <w:bodyDiv w:val="1"/>
      <w:marLeft w:val="0"/>
      <w:marRight w:val="0"/>
      <w:marTop w:val="0"/>
      <w:marBottom w:val="0"/>
      <w:divBdr>
        <w:top w:val="none" w:sz="0" w:space="0" w:color="auto"/>
        <w:left w:val="none" w:sz="0" w:space="0" w:color="auto"/>
        <w:bottom w:val="none" w:sz="0" w:space="0" w:color="auto"/>
        <w:right w:val="none" w:sz="0" w:space="0" w:color="auto"/>
      </w:divBdr>
    </w:div>
    <w:div w:id="1702893995">
      <w:bodyDiv w:val="1"/>
      <w:marLeft w:val="0"/>
      <w:marRight w:val="0"/>
      <w:marTop w:val="0"/>
      <w:marBottom w:val="0"/>
      <w:divBdr>
        <w:top w:val="none" w:sz="0" w:space="0" w:color="auto"/>
        <w:left w:val="none" w:sz="0" w:space="0" w:color="auto"/>
        <w:bottom w:val="none" w:sz="0" w:space="0" w:color="auto"/>
        <w:right w:val="none" w:sz="0" w:space="0" w:color="auto"/>
      </w:divBdr>
    </w:div>
    <w:div w:id="1736974334">
      <w:bodyDiv w:val="1"/>
      <w:marLeft w:val="0"/>
      <w:marRight w:val="0"/>
      <w:marTop w:val="0"/>
      <w:marBottom w:val="0"/>
      <w:divBdr>
        <w:top w:val="none" w:sz="0" w:space="0" w:color="auto"/>
        <w:left w:val="none" w:sz="0" w:space="0" w:color="auto"/>
        <w:bottom w:val="none" w:sz="0" w:space="0" w:color="auto"/>
        <w:right w:val="none" w:sz="0" w:space="0" w:color="auto"/>
      </w:divBdr>
    </w:div>
    <w:div w:id="1744522441">
      <w:bodyDiv w:val="1"/>
      <w:marLeft w:val="0"/>
      <w:marRight w:val="0"/>
      <w:marTop w:val="0"/>
      <w:marBottom w:val="0"/>
      <w:divBdr>
        <w:top w:val="none" w:sz="0" w:space="0" w:color="auto"/>
        <w:left w:val="none" w:sz="0" w:space="0" w:color="auto"/>
        <w:bottom w:val="none" w:sz="0" w:space="0" w:color="auto"/>
        <w:right w:val="none" w:sz="0" w:space="0" w:color="auto"/>
      </w:divBdr>
    </w:div>
    <w:div w:id="204632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787/97ba1224-en"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9A078-F7C3-4D1D-8123-64475948F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3760</Words>
  <Characters>21434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setup</dc:creator>
  <cp:lastModifiedBy>Anonymous</cp:lastModifiedBy>
  <cp:revision>2</cp:revision>
  <dcterms:created xsi:type="dcterms:W3CDTF">2026-10-21T17:05:00Z</dcterms:created>
  <dcterms:modified xsi:type="dcterms:W3CDTF">2026-10-21T17:05:00Z</dcterms:modified>
</cp:coreProperties>
</file>