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0E3663BF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4533B8">
        <w:rPr>
          <w:rFonts w:ascii="Arial" w:hAnsi="Arial" w:cs="Arial"/>
          <w:sz w:val="28"/>
          <w:szCs w:val="28"/>
          <w:lang w:val="nl-NL"/>
        </w:rPr>
        <w:t xml:space="preserve"> Joyce Ebihor</w:t>
      </w:r>
    </w:p>
    <w:p w14:paraId="16C5D4A2" w14:textId="7AF4DFF1" w:rsidR="00ED1049" w:rsidRPr="00814A9E" w:rsidRDefault="00ED1049" w:rsidP="00BD2AF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4533B8">
        <w:rPr>
          <w:rFonts w:ascii="Arial" w:hAnsi="Arial" w:cs="Arial"/>
          <w:sz w:val="28"/>
          <w:szCs w:val="28"/>
          <w:lang w:val="nl-NL"/>
        </w:rPr>
        <w:t xml:space="preserve"> 2323239</w:t>
      </w:r>
    </w:p>
    <w:p w14:paraId="3E7B146F" w14:textId="6A91EB18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BD2AFB">
        <w:rPr>
          <w:rFonts w:ascii="Arial" w:hAnsi="Arial" w:cs="Arial"/>
          <w:sz w:val="28"/>
          <w:szCs w:val="28"/>
          <w:lang w:val="nl-NL"/>
        </w:rPr>
        <w:t>Methodology Poster</w:t>
      </w:r>
    </w:p>
    <w:p w14:paraId="12CBB668" w14:textId="247E803A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4533B8">
        <w:rPr>
          <w:rFonts w:ascii="Arial" w:hAnsi="Arial" w:cs="Arial"/>
          <w:sz w:val="28"/>
          <w:szCs w:val="28"/>
        </w:rPr>
        <w:t xml:space="preserve"> BMHP6020-LON</w:t>
      </w:r>
    </w:p>
    <w:p w14:paraId="2C2175CB" w14:textId="71B09853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4533B8">
        <w:rPr>
          <w:rFonts w:ascii="Arial" w:hAnsi="Arial" w:cs="Arial"/>
          <w:sz w:val="28"/>
          <w:szCs w:val="28"/>
        </w:rPr>
        <w:t xml:space="preserve"> Bianca Sanfilippo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1F5FE413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4072BECA" w:rsidR="00346FFA" w:rsidRPr="00EB6F36" w:rsidRDefault="00AB701D" w:rsidP="00B67824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0D0E2034" wp14:editId="2530064E">
                  <wp:extent cx="2644496" cy="1771650"/>
                  <wp:effectExtent l="0" t="0" r="3810" b="0"/>
                  <wp:docPr id="1795451717" name="Picture 1795451717" descr="Ethnic minority patients report worse experiences of primary care | GP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thnic minority patients report worse experiences of primary care | GP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9295" cy="1774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1FF49C5C" w14:textId="31F2928F" w:rsidR="004C2509" w:rsidRPr="004C2509" w:rsidRDefault="004C2509" w:rsidP="004C2509">
            <w:pPr>
              <w:pStyle w:val="Heading1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C2509">
              <w:rPr>
                <w:rFonts w:ascii="Arial" w:hAnsi="Arial" w:cs="Arial"/>
                <w:sz w:val="32"/>
                <w:szCs w:val="32"/>
              </w:rPr>
              <w:t>INTRODUCTION</w:t>
            </w:r>
          </w:p>
          <w:p w14:paraId="0208674A" w14:textId="20E656D8" w:rsidR="004C2509" w:rsidRPr="004C2509" w:rsidRDefault="004C2509" w:rsidP="004C2509">
            <w:pPr>
              <w:pStyle w:val="Heading1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C2509">
              <w:rPr>
                <w:rFonts w:ascii="Arial" w:hAnsi="Arial" w:cs="Arial"/>
                <w:b w:val="0"/>
                <w:bCs/>
                <w:sz w:val="24"/>
                <w:szCs w:val="24"/>
              </w:rPr>
              <w:t xml:space="preserve">My project title: </w:t>
            </w:r>
          </w:p>
          <w:p w14:paraId="176F40E6" w14:textId="77777777" w:rsidR="004C2509" w:rsidRPr="004C2509" w:rsidRDefault="004C2509" w:rsidP="004C2509">
            <w:pPr>
              <w:pStyle w:val="Heading1"/>
              <w:jc w:val="cent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C2509">
              <w:rPr>
                <w:rFonts w:ascii="Arial" w:hAnsi="Arial" w:cs="Arial"/>
                <w:b w:val="0"/>
                <w:bCs/>
                <w:sz w:val="24"/>
                <w:szCs w:val="24"/>
              </w:rPr>
              <w:t>HEALTHCARE ACCESS AMONG ETHNIC MINORITY COMMUNITIES - BARRIERS TO HEALTHCARE ACCESS AMONG ETHNIC MINORITY POPULATIONS IN THE UNITED KINGDOM</w:t>
            </w:r>
          </w:p>
          <w:p w14:paraId="059FF475" w14:textId="77777777" w:rsidR="004C2509" w:rsidRPr="004C2509" w:rsidRDefault="004C2509" w:rsidP="004C250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4C2509">
              <w:rPr>
                <w:rFonts w:ascii="Arial" w:hAnsi="Arial" w:cs="Arial"/>
                <w:bCs/>
                <w:sz w:val="24"/>
                <w:szCs w:val="24"/>
              </w:rPr>
              <w:t>Aim:</w:t>
            </w:r>
          </w:p>
          <w:p w14:paraId="2BB627B0" w14:textId="6471ECCA" w:rsidR="003453CF" w:rsidRPr="004C2509" w:rsidRDefault="004C2509" w:rsidP="004C2509">
            <w:pPr>
              <w:rPr>
                <w:rFonts w:ascii="Arial" w:hAnsi="Arial" w:cs="Arial"/>
                <w:bCs/>
              </w:rPr>
            </w:pPr>
            <w:r w:rsidRPr="004C2509">
              <w:rPr>
                <w:rFonts w:ascii="Arial" w:hAnsi="Arial" w:cs="Arial"/>
                <w:bCs/>
                <w:sz w:val="24"/>
                <w:szCs w:val="24"/>
              </w:rPr>
              <w:t xml:space="preserve">The objective of this study is to explore why ethnic minorities are disadvantaged in accessing health care services in the </w:t>
            </w:r>
            <w:proofErr w:type="gramStart"/>
            <w:r w:rsidRPr="004C2509">
              <w:rPr>
                <w:rFonts w:ascii="Arial" w:hAnsi="Arial" w:cs="Arial"/>
                <w:bCs/>
                <w:sz w:val="24"/>
                <w:szCs w:val="24"/>
              </w:rPr>
              <w:t>UK.</w:t>
            </w:r>
            <w:r w:rsidR="003453CF" w:rsidRPr="004C2509">
              <w:rPr>
                <w:rFonts w:ascii="Arial" w:hAnsi="Arial" w:cs="Arial"/>
                <w:bCs/>
              </w:rPr>
              <w:t>.</w:t>
            </w:r>
            <w:proofErr w:type="gramEnd"/>
          </w:p>
          <w:p w14:paraId="69741E6C" w14:textId="61F6754E" w:rsidR="004C2509" w:rsidRPr="004C2509" w:rsidRDefault="004C2509" w:rsidP="004C2509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C2509">
              <w:rPr>
                <w:rFonts w:ascii="Arial" w:hAnsi="Arial" w:cs="Arial"/>
                <w:sz w:val="24"/>
                <w:szCs w:val="24"/>
                <w:u w:val="single"/>
              </w:rPr>
              <w:t>Objectives:</w:t>
            </w:r>
          </w:p>
          <w:p w14:paraId="26BFFC30" w14:textId="77777777" w:rsidR="004C2509" w:rsidRPr="004C2509" w:rsidRDefault="004C2509" w:rsidP="004C250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C2509">
              <w:rPr>
                <w:rFonts w:ascii="Arial" w:hAnsi="Arial" w:cs="Arial"/>
                <w:sz w:val="24"/>
                <w:szCs w:val="24"/>
              </w:rPr>
              <w:t>This research has the following objectives:</w:t>
            </w:r>
          </w:p>
          <w:p w14:paraId="2E3A86F2" w14:textId="77777777" w:rsidR="004C2509" w:rsidRPr="004C2509" w:rsidRDefault="004C2509" w:rsidP="004C250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C2509">
              <w:rPr>
                <w:rFonts w:ascii="Arial" w:hAnsi="Arial" w:cs="Arial"/>
                <w:sz w:val="24"/>
                <w:szCs w:val="24"/>
              </w:rPr>
              <w:t>To understand the primary issues that are impacting ethnic minority groups in the UK when accessing healthcare.</w:t>
            </w:r>
          </w:p>
          <w:p w14:paraId="1657ACA9" w14:textId="77777777" w:rsidR="004C2509" w:rsidRPr="004C2509" w:rsidRDefault="004C2509" w:rsidP="004C250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C2509">
              <w:rPr>
                <w:rFonts w:ascii="Arial" w:hAnsi="Arial" w:cs="Arial"/>
                <w:sz w:val="24"/>
                <w:szCs w:val="24"/>
              </w:rPr>
              <w:t>To look at the role language differences, cultural beliefs, socio-economic status and discrimination play in the use of health services.</w:t>
            </w:r>
          </w:p>
          <w:p w14:paraId="3C879275" w14:textId="77777777" w:rsidR="004C2509" w:rsidRPr="004C2509" w:rsidRDefault="004C2509" w:rsidP="004C250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C2509">
              <w:rPr>
                <w:rFonts w:ascii="Arial" w:hAnsi="Arial" w:cs="Arial"/>
                <w:sz w:val="24"/>
                <w:szCs w:val="24"/>
              </w:rPr>
              <w:t>To learn about the experiences and perceptions of ethnic minority people about health services.</w:t>
            </w:r>
          </w:p>
          <w:p w14:paraId="62CA57C6" w14:textId="62E87A56" w:rsidR="003453CF" w:rsidRPr="004C2509" w:rsidRDefault="004C2509" w:rsidP="004C250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C2509">
              <w:rPr>
                <w:rFonts w:ascii="Arial" w:hAnsi="Arial" w:cs="Arial"/>
                <w:sz w:val="24"/>
                <w:szCs w:val="24"/>
              </w:rPr>
              <w:t>To assess current policies and initiatives to reduce inequalities in health and healthcare.</w:t>
            </w:r>
          </w:p>
          <w:p w14:paraId="3725B44A" w14:textId="77777777" w:rsidR="004C2509" w:rsidRDefault="004C2509" w:rsidP="003453CF"/>
          <w:p w14:paraId="6C2A6F35" w14:textId="77777777" w:rsidR="004C2509" w:rsidRDefault="004C2509" w:rsidP="003453CF"/>
          <w:p w14:paraId="1EDE1899" w14:textId="77777777" w:rsidR="004C2509" w:rsidRPr="003453CF" w:rsidRDefault="004C2509" w:rsidP="003453CF"/>
          <w:p w14:paraId="646D5584" w14:textId="7BE7BC46" w:rsidR="00EB6F36" w:rsidRPr="00EB6F36" w:rsidRDefault="00EB6F36" w:rsidP="00EB6F36">
            <w:pPr>
              <w:rPr>
                <w:rFonts w:ascii="Arial" w:hAnsi="Arial" w:cs="Arial"/>
              </w:rPr>
            </w:pPr>
            <w:r w:rsidRPr="00EB6F3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16C05D77" w:rsidR="00346FFA" w:rsidRPr="00EB6F36" w:rsidRDefault="004533B8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5109AAC" wp14:editId="3A50AB7B">
                  <wp:extent cx="3031812" cy="2228850"/>
                  <wp:effectExtent l="0" t="0" r="0" b="0"/>
                  <wp:docPr id="1202312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221" cy="22365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1DD31F9D" w14:textId="6A45C859" w:rsidR="004C2509" w:rsidRPr="004C2509" w:rsidRDefault="003453CF" w:rsidP="004C2509">
            <w:pPr>
              <w:pStyle w:val="Heading1"/>
              <w:rPr>
                <w:rFonts w:ascii="Arial" w:hAnsi="Arial" w:cs="Arial"/>
              </w:rPr>
            </w:pPr>
            <w:r w:rsidRPr="003453CF">
              <w:rPr>
                <w:rFonts w:ascii="Arial" w:hAnsi="Arial" w:cs="Arial"/>
              </w:rPr>
              <w:t>Methodology</w:t>
            </w:r>
          </w:p>
          <w:p w14:paraId="47708920" w14:textId="77777777" w:rsidR="004C2509" w:rsidRPr="004C2509" w:rsidRDefault="004C2509" w:rsidP="004C2509">
            <w:pPr>
              <w:rPr>
                <w:rFonts w:ascii="Arial" w:hAnsi="Arial" w:cs="Arial"/>
              </w:rPr>
            </w:pPr>
            <w:r w:rsidRPr="004C2509">
              <w:rPr>
                <w:rFonts w:ascii="Arial" w:hAnsi="Arial" w:cs="Arial"/>
              </w:rPr>
              <w:t>This study will be qualitative research with a literature review method. Secondary data will be gathered from peer-reviewed journal articles, in the past 10 years, which can enhance the research (</w:t>
            </w:r>
            <w:proofErr w:type="spellStart"/>
            <w:r w:rsidRPr="004C2509">
              <w:rPr>
                <w:rFonts w:ascii="Arial" w:hAnsi="Arial" w:cs="Arial"/>
              </w:rPr>
              <w:t>Ellram</w:t>
            </w:r>
            <w:proofErr w:type="spellEnd"/>
            <w:r w:rsidRPr="004C2509">
              <w:rPr>
                <w:rFonts w:ascii="Arial" w:hAnsi="Arial" w:cs="Arial"/>
              </w:rPr>
              <w:t xml:space="preserve"> and Tate, 2016).</w:t>
            </w:r>
          </w:p>
          <w:p w14:paraId="766CB3C2" w14:textId="43496837" w:rsidR="00EB6F36" w:rsidRPr="00EB6F36" w:rsidRDefault="004C2509" w:rsidP="004C2509">
            <w:pPr>
              <w:rPr>
                <w:rFonts w:ascii="Arial" w:hAnsi="Arial" w:cs="Arial"/>
              </w:rPr>
            </w:pPr>
            <w:r w:rsidRPr="004C2509">
              <w:rPr>
                <w:rFonts w:ascii="Arial" w:hAnsi="Arial" w:cs="Arial"/>
              </w:rPr>
              <w:t xml:space="preserve">Electronic searching of literature using the PubMed, CINAHL, Scopus and Google Scholar databases will be conducted to identify relevant literature. The following words and phrases will be used: ethnic minority communities, access to healthcare, health inequalities, barriers and in the United Kingdom (Kelly et al., 2016). 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7C994393" w14:textId="6FDD84B5" w:rsidR="00B67824" w:rsidRPr="00EB6F36" w:rsidRDefault="002353EB" w:rsidP="00F37523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Data analysis </w:t>
            </w:r>
          </w:p>
          <w:p w14:paraId="01A90E3F" w14:textId="77A0C11E" w:rsidR="00EB6F36" w:rsidRPr="00EB6F36" w:rsidRDefault="002353EB" w:rsidP="00EB6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Thematic analysis</w:t>
            </w:r>
            <w:r w:rsidR="00F4754F">
              <w:rPr>
                <w:rFonts w:ascii="Arial" w:hAnsi="Arial" w:cs="Arial"/>
              </w:rPr>
              <w:t xml:space="preserve"> is used to identify common patters. </w:t>
            </w:r>
          </w:p>
          <w:p w14:paraId="03AADF4C" w14:textId="2C58A28C" w:rsidR="00B67824" w:rsidRPr="00EB6F36" w:rsidRDefault="002353EB" w:rsidP="00F37523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Ethical considerations</w:t>
            </w:r>
          </w:p>
          <w:p w14:paraId="4D4507A7" w14:textId="3D78E285" w:rsidR="00B67824" w:rsidRPr="00EB6F36" w:rsidRDefault="00AB701D" w:rsidP="00990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Ethics for secondary research include honest reporting of data and academic integrity. </w:t>
            </w: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BD2AFB">
        <w:trPr>
          <w:trHeight w:val="70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6C24B37D" w14:textId="6C87F5D9" w:rsidR="00EB6F36" w:rsidRPr="00EB6F36" w:rsidRDefault="00EB6F36" w:rsidP="00C46111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2D424C8" w14:textId="77777777" w:rsidR="004C2509" w:rsidRDefault="004C2509" w:rsidP="00C46111"/>
    <w:p w14:paraId="0E2D8ED4" w14:textId="77777777" w:rsidR="004C2509" w:rsidRDefault="004C2509" w:rsidP="00C46111"/>
    <w:p w14:paraId="4D01C34B" w14:textId="77777777" w:rsidR="004C2509" w:rsidRDefault="004C2509" w:rsidP="00C46111"/>
    <w:p w14:paraId="484B5FE1" w14:textId="77777777" w:rsidR="004C2509" w:rsidRDefault="004C2509" w:rsidP="00C46111"/>
    <w:p w14:paraId="489BBCE1" w14:textId="030ECDA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38F5AC5B" w14:textId="77777777" w:rsidR="004C2509" w:rsidRPr="004C2509" w:rsidRDefault="00EB6F36" w:rsidP="004C25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C2509" w:rsidRPr="004C2509">
        <w:rPr>
          <w:rFonts w:ascii="Arial" w:hAnsi="Arial" w:cs="Arial"/>
          <w:sz w:val="24"/>
          <w:szCs w:val="24"/>
        </w:rPr>
        <w:t xml:space="preserve">Cookson, R., Asaria, M., Ali, S., Ferguson, B., </w:t>
      </w:r>
      <w:proofErr w:type="spellStart"/>
      <w:r w:rsidR="004C2509" w:rsidRPr="004C2509">
        <w:rPr>
          <w:rFonts w:ascii="Arial" w:hAnsi="Arial" w:cs="Arial"/>
          <w:sz w:val="24"/>
          <w:szCs w:val="24"/>
        </w:rPr>
        <w:t>Fleetcroft</w:t>
      </w:r>
      <w:proofErr w:type="spellEnd"/>
      <w:r w:rsidR="004C2509" w:rsidRPr="004C2509">
        <w:rPr>
          <w:rFonts w:ascii="Arial" w:hAnsi="Arial" w:cs="Arial"/>
          <w:sz w:val="24"/>
          <w:szCs w:val="24"/>
        </w:rPr>
        <w:t xml:space="preserve">, R., Goddard, M., Goldblatt, P., </w:t>
      </w:r>
      <w:proofErr w:type="spellStart"/>
      <w:r w:rsidR="004C2509" w:rsidRPr="004C2509">
        <w:rPr>
          <w:rFonts w:ascii="Arial" w:hAnsi="Arial" w:cs="Arial"/>
          <w:sz w:val="24"/>
          <w:szCs w:val="24"/>
        </w:rPr>
        <w:t>Laudicella</w:t>
      </w:r>
      <w:proofErr w:type="spellEnd"/>
      <w:r w:rsidR="004C2509" w:rsidRPr="004C2509">
        <w:rPr>
          <w:rFonts w:ascii="Arial" w:hAnsi="Arial" w:cs="Arial"/>
          <w:sz w:val="24"/>
          <w:szCs w:val="24"/>
        </w:rPr>
        <w:t>, M. and Raine, R. (2016) ‘Health Equity Indicators for the English NHS: a longitudinal whole-population study at the small-area level’, Health Services and Delivery Research, 4(26), pp. 1–224. Available at: https://doi.org/10.3310/hsdr04260.</w:t>
      </w:r>
    </w:p>
    <w:p w14:paraId="43E20350" w14:textId="77777777" w:rsidR="004C2509" w:rsidRPr="004C2509" w:rsidRDefault="004C2509" w:rsidP="004C2509">
      <w:pPr>
        <w:rPr>
          <w:rFonts w:ascii="Arial" w:hAnsi="Arial" w:cs="Arial"/>
          <w:sz w:val="24"/>
          <w:szCs w:val="24"/>
        </w:rPr>
      </w:pPr>
      <w:r w:rsidRPr="004C2509">
        <w:rPr>
          <w:rFonts w:ascii="Arial" w:hAnsi="Arial" w:cs="Arial"/>
          <w:sz w:val="24"/>
          <w:szCs w:val="24"/>
        </w:rPr>
        <w:t>Delara, M. (2016) ‘Social Determinants of Immigrant Women’s Mental Health’, Advances in Public Health, 2016(1), pp. 1–11. Available at: https://doi.org/10.1155/2016/9730162.</w:t>
      </w:r>
    </w:p>
    <w:p w14:paraId="50A5FDA3" w14:textId="77777777" w:rsidR="004C2509" w:rsidRPr="004C2509" w:rsidRDefault="004C2509" w:rsidP="004C2509">
      <w:pPr>
        <w:rPr>
          <w:rFonts w:ascii="Arial" w:hAnsi="Arial" w:cs="Arial"/>
          <w:sz w:val="24"/>
          <w:szCs w:val="24"/>
        </w:rPr>
      </w:pPr>
      <w:proofErr w:type="spellStart"/>
      <w:r w:rsidRPr="004C2509">
        <w:rPr>
          <w:rFonts w:ascii="Arial" w:hAnsi="Arial" w:cs="Arial"/>
          <w:sz w:val="24"/>
          <w:szCs w:val="24"/>
        </w:rPr>
        <w:t>Ellram</w:t>
      </w:r>
      <w:proofErr w:type="spellEnd"/>
      <w:r w:rsidRPr="004C2509">
        <w:rPr>
          <w:rFonts w:ascii="Arial" w:hAnsi="Arial" w:cs="Arial"/>
          <w:sz w:val="24"/>
          <w:szCs w:val="24"/>
        </w:rPr>
        <w:t>, L.M. and Tate, W.L. (2016) ‘The use of secondary data in purchasing and supply management (P/SM) research’, Journal of Purchasing and Supply Management, 22(4), pp. 250–254. Available at: https://doi.org/10.1016/j.pursup.2016.08.005.</w:t>
      </w:r>
    </w:p>
    <w:p w14:paraId="0B002D6F" w14:textId="77777777" w:rsidR="004C2509" w:rsidRPr="004C2509" w:rsidRDefault="004C2509" w:rsidP="004C2509">
      <w:pPr>
        <w:rPr>
          <w:rFonts w:ascii="Arial" w:hAnsi="Arial" w:cs="Arial"/>
          <w:sz w:val="24"/>
          <w:szCs w:val="24"/>
        </w:rPr>
      </w:pPr>
      <w:r w:rsidRPr="004C2509">
        <w:rPr>
          <w:rFonts w:ascii="Arial" w:hAnsi="Arial" w:cs="Arial"/>
          <w:sz w:val="24"/>
          <w:szCs w:val="24"/>
        </w:rPr>
        <w:t xml:space="preserve">Kelly, S., Martin, S., Kuhn, I., Cowan, A., </w:t>
      </w:r>
      <w:proofErr w:type="spellStart"/>
      <w:r w:rsidRPr="004C2509">
        <w:rPr>
          <w:rFonts w:ascii="Arial" w:hAnsi="Arial" w:cs="Arial"/>
          <w:sz w:val="24"/>
          <w:szCs w:val="24"/>
        </w:rPr>
        <w:t>Brayne</w:t>
      </w:r>
      <w:proofErr w:type="spellEnd"/>
      <w:r w:rsidRPr="004C2509">
        <w:rPr>
          <w:rFonts w:ascii="Arial" w:hAnsi="Arial" w:cs="Arial"/>
          <w:sz w:val="24"/>
          <w:szCs w:val="24"/>
        </w:rPr>
        <w:t xml:space="preserve">, C. and Lafortune, L. (2016) ‘Barriers and Facilitators to the Uptake and Maintenance of Healthy </w:t>
      </w:r>
      <w:proofErr w:type="spellStart"/>
      <w:r w:rsidRPr="004C2509">
        <w:rPr>
          <w:rFonts w:ascii="Arial" w:hAnsi="Arial" w:cs="Arial"/>
          <w:sz w:val="24"/>
          <w:szCs w:val="24"/>
        </w:rPr>
        <w:t>Behaviours</w:t>
      </w:r>
      <w:proofErr w:type="spellEnd"/>
      <w:r w:rsidRPr="004C2509">
        <w:rPr>
          <w:rFonts w:ascii="Arial" w:hAnsi="Arial" w:cs="Arial"/>
          <w:sz w:val="24"/>
          <w:szCs w:val="24"/>
        </w:rPr>
        <w:t xml:space="preserve"> by People at Mid-Life: A Rapid Systematic Review’, PLOS ONE. Edited by Y. Wang, 11(1), p. e0145074. Available at: https://doi.org/10.1371/journal.pone.0145074.</w:t>
      </w:r>
    </w:p>
    <w:p w14:paraId="364E780A" w14:textId="20DBBF49" w:rsidR="00EB6F36" w:rsidRDefault="004C2509" w:rsidP="004C2509">
      <w:pPr>
        <w:rPr>
          <w:rFonts w:ascii="Arial" w:hAnsi="Arial" w:cs="Arial"/>
          <w:sz w:val="24"/>
          <w:szCs w:val="24"/>
        </w:rPr>
      </w:pPr>
      <w:r w:rsidRPr="004C2509">
        <w:rPr>
          <w:rFonts w:ascii="Arial" w:hAnsi="Arial" w:cs="Arial"/>
          <w:sz w:val="24"/>
          <w:szCs w:val="24"/>
        </w:rPr>
        <w:t xml:space="preserve">Memon, A., Taylor, K., </w:t>
      </w:r>
      <w:proofErr w:type="spellStart"/>
      <w:r w:rsidRPr="004C2509">
        <w:rPr>
          <w:rFonts w:ascii="Arial" w:hAnsi="Arial" w:cs="Arial"/>
          <w:sz w:val="24"/>
          <w:szCs w:val="24"/>
        </w:rPr>
        <w:t>Mohebati</w:t>
      </w:r>
      <w:proofErr w:type="spellEnd"/>
      <w:r w:rsidRPr="004C2509">
        <w:rPr>
          <w:rFonts w:ascii="Arial" w:hAnsi="Arial" w:cs="Arial"/>
          <w:sz w:val="24"/>
          <w:szCs w:val="24"/>
        </w:rPr>
        <w:t>, L.M., Sundin, J., Cooper, M., Scanlon, T. and de Visser, R. (2016) ‘Perceived Barriers to Accessing Mental Health Services among Black and Minority Ethnic (BME) communities: a Qualitative Study in Southeast England’, BMJ Open, 6(11), p. e012337. Available at: https://bmjopen.bmj.com/content/6/11/e012337.</w:t>
      </w:r>
      <w:r w:rsidR="00EB6F36">
        <w:rPr>
          <w:rFonts w:ascii="Arial" w:hAnsi="Arial" w:cs="Arial"/>
          <w:sz w:val="24"/>
          <w:szCs w:val="24"/>
        </w:rPr>
        <w:t xml:space="preserve">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EDE8F" w14:textId="77777777" w:rsidR="00EA4F03" w:rsidRDefault="00EA4F03" w:rsidP="00D210FA">
      <w:pPr>
        <w:spacing w:after="0"/>
      </w:pPr>
      <w:r>
        <w:separator/>
      </w:r>
    </w:p>
  </w:endnote>
  <w:endnote w:type="continuationSeparator" w:id="0">
    <w:p w14:paraId="54E4D8FA" w14:textId="77777777" w:rsidR="00EA4F03" w:rsidRDefault="00EA4F03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EF491" w14:textId="77777777" w:rsidR="00EA4F03" w:rsidRDefault="00EA4F03" w:rsidP="00D210FA">
      <w:pPr>
        <w:spacing w:after="0"/>
      </w:pPr>
      <w:r>
        <w:separator/>
      </w:r>
    </w:p>
  </w:footnote>
  <w:footnote w:type="continuationSeparator" w:id="0">
    <w:p w14:paraId="7D05756E" w14:textId="77777777" w:rsidR="00EA4F03" w:rsidRDefault="00EA4F03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0A8F"/>
    <w:multiLevelType w:val="multilevel"/>
    <w:tmpl w:val="6C14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C1917"/>
    <w:multiLevelType w:val="hybridMultilevel"/>
    <w:tmpl w:val="92F43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2"/>
  </w:num>
  <w:num w:numId="2" w16cid:durableId="66732129">
    <w:abstractNumId w:val="1"/>
  </w:num>
  <w:num w:numId="3" w16cid:durableId="1791968620">
    <w:abstractNumId w:val="7"/>
  </w:num>
  <w:num w:numId="4" w16cid:durableId="67852329">
    <w:abstractNumId w:val="8"/>
  </w:num>
  <w:num w:numId="5" w16cid:durableId="825783799">
    <w:abstractNumId w:val="5"/>
  </w:num>
  <w:num w:numId="6" w16cid:durableId="1203637911">
    <w:abstractNumId w:val="3"/>
  </w:num>
  <w:num w:numId="7" w16cid:durableId="1393117886">
    <w:abstractNumId w:val="6"/>
  </w:num>
  <w:num w:numId="8" w16cid:durableId="532427059">
    <w:abstractNumId w:val="0"/>
  </w:num>
  <w:num w:numId="9" w16cid:durableId="1292131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0561"/>
    <w:rsid w:val="00023293"/>
    <w:rsid w:val="00061977"/>
    <w:rsid w:val="000627F1"/>
    <w:rsid w:val="0008782A"/>
    <w:rsid w:val="000A065A"/>
    <w:rsid w:val="00106FC5"/>
    <w:rsid w:val="00120DEC"/>
    <w:rsid w:val="00123C19"/>
    <w:rsid w:val="001C55B6"/>
    <w:rsid w:val="001D6CC4"/>
    <w:rsid w:val="00206405"/>
    <w:rsid w:val="002353EB"/>
    <w:rsid w:val="00253267"/>
    <w:rsid w:val="002823CD"/>
    <w:rsid w:val="00285D93"/>
    <w:rsid w:val="00287787"/>
    <w:rsid w:val="00291685"/>
    <w:rsid w:val="002B0A3D"/>
    <w:rsid w:val="003007A7"/>
    <w:rsid w:val="003257E1"/>
    <w:rsid w:val="00325DEC"/>
    <w:rsid w:val="003453CF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533B8"/>
    <w:rsid w:val="004642F0"/>
    <w:rsid w:val="004C2509"/>
    <w:rsid w:val="00500564"/>
    <w:rsid w:val="0051102B"/>
    <w:rsid w:val="00521FB3"/>
    <w:rsid w:val="005838BC"/>
    <w:rsid w:val="005B57E1"/>
    <w:rsid w:val="005E61E0"/>
    <w:rsid w:val="005F0F31"/>
    <w:rsid w:val="006024ED"/>
    <w:rsid w:val="0061793F"/>
    <w:rsid w:val="0062123A"/>
    <w:rsid w:val="006605F8"/>
    <w:rsid w:val="006676A1"/>
    <w:rsid w:val="006833BD"/>
    <w:rsid w:val="006D2642"/>
    <w:rsid w:val="006E2D42"/>
    <w:rsid w:val="00720FEE"/>
    <w:rsid w:val="00764B6F"/>
    <w:rsid w:val="007C7319"/>
    <w:rsid w:val="007D43B3"/>
    <w:rsid w:val="007F20B4"/>
    <w:rsid w:val="007F525E"/>
    <w:rsid w:val="0082695D"/>
    <w:rsid w:val="0083044C"/>
    <w:rsid w:val="0085182D"/>
    <w:rsid w:val="0086799D"/>
    <w:rsid w:val="00867E5F"/>
    <w:rsid w:val="008709F5"/>
    <w:rsid w:val="00877A91"/>
    <w:rsid w:val="00884E86"/>
    <w:rsid w:val="008927FF"/>
    <w:rsid w:val="008B0F18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B1210"/>
    <w:rsid w:val="00AB701D"/>
    <w:rsid w:val="00AB770D"/>
    <w:rsid w:val="00AF2088"/>
    <w:rsid w:val="00AF5FB0"/>
    <w:rsid w:val="00B0080A"/>
    <w:rsid w:val="00B0538C"/>
    <w:rsid w:val="00B37AB8"/>
    <w:rsid w:val="00B418DE"/>
    <w:rsid w:val="00B47FE7"/>
    <w:rsid w:val="00B67824"/>
    <w:rsid w:val="00BD2AFB"/>
    <w:rsid w:val="00BE15BA"/>
    <w:rsid w:val="00BF3AC1"/>
    <w:rsid w:val="00C20ED0"/>
    <w:rsid w:val="00C348A8"/>
    <w:rsid w:val="00C46111"/>
    <w:rsid w:val="00C66D87"/>
    <w:rsid w:val="00C83332"/>
    <w:rsid w:val="00C95E04"/>
    <w:rsid w:val="00CC0A8F"/>
    <w:rsid w:val="00CC24B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E02B92"/>
    <w:rsid w:val="00E41692"/>
    <w:rsid w:val="00E55D74"/>
    <w:rsid w:val="00E81234"/>
    <w:rsid w:val="00E9037E"/>
    <w:rsid w:val="00E91A95"/>
    <w:rsid w:val="00EA120D"/>
    <w:rsid w:val="00EA49C3"/>
    <w:rsid w:val="00EA4F03"/>
    <w:rsid w:val="00EB5E14"/>
    <w:rsid w:val="00EB6F36"/>
    <w:rsid w:val="00ED1049"/>
    <w:rsid w:val="00EE19D9"/>
    <w:rsid w:val="00EF26FC"/>
    <w:rsid w:val="00F05194"/>
    <w:rsid w:val="00F37523"/>
    <w:rsid w:val="00F4754F"/>
    <w:rsid w:val="00F50168"/>
    <w:rsid w:val="00F50D34"/>
    <w:rsid w:val="00F61360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DE8F29C2-49AC-4D72-85CF-E0C95891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178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Joyce Ebihor (2323239)</cp:lastModifiedBy>
  <cp:revision>3</cp:revision>
  <dcterms:created xsi:type="dcterms:W3CDTF">2026-07-21T07:49:00Z</dcterms:created>
  <dcterms:modified xsi:type="dcterms:W3CDTF">2026-09-28T13:46:00Z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