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8548DC1">
      <w:pPr>
        <w:rPr>
          <w:rFonts w:hint="eastAsia"/>
        </w:rPr>
      </w:pPr>
      <w:r>
        <w:rPr>
          <w:rFonts w:hint="eastAsia"/>
        </w:rPr>
        <w:t>Participating in the preparation of this small academic conference was an experience that was both chaotic and awakening - it was more about interpersonal relationships and professional ethics than just going through the motions. We only shared the abstract submission information in a few small wechat groups and did not randomly post it through other channels. It feels great to do so. We want to reach the core circle of heritage research without disturbing others' information flow. This is a small but important professional respect.</w:t>
      </w:r>
    </w:p>
    <w:p w14:paraId="1F1B9A8B">
      <w:pPr>
        <w:rPr>
          <w:rFonts w:hint="eastAsia"/>
        </w:rPr>
      </w:pPr>
    </w:p>
    <w:p w14:paraId="2C5C7DFF">
      <w:pPr>
        <w:rPr>
          <w:rFonts w:hint="eastAsia"/>
        </w:rPr>
      </w:pPr>
      <w:r>
        <w:rPr>
          <w:rFonts w:hint="eastAsia"/>
        </w:rPr>
        <w:t>When reviewing 21 abstracts together, I truly witnessed the uneven quality of academic works. Some of the submissions were eye-catching. For instance, the article about the immersive experience of traditional opera combined old culture with new technology, precisely aligning with our theme of "Heritage Facing the Future". Others seem weak. A paper related to COVID-19 that was published two years ago has long lost its timeliness, and an article on traditional Sichuan architecture has remained at the level of protection without considering "what's next". We rate each abstract on a scale of 1 to 5 based on three dimensions: relevance, originality and clarity. When encountering difficult cases, we discuss them collectively. The process is slow, but it is much fairer than having one person make the final decision.</w:t>
      </w:r>
    </w:p>
    <w:p w14:paraId="7040964D">
      <w:pPr>
        <w:rPr>
          <w:rFonts w:hint="eastAsia"/>
        </w:rPr>
      </w:pPr>
    </w:p>
    <w:p w14:paraId="7DBD7553">
      <w:pPr>
        <w:rPr>
          <w:rFonts w:hint="eastAsia"/>
        </w:rPr>
      </w:pPr>
      <w:r>
        <w:rPr>
          <w:rFonts w:hint="eastAsia"/>
        </w:rPr>
        <w:t>We finally decided to play the pre-recorded videos on the school's official website instead of playing them in sequence. This way, it can not only accommodate more submissions, allowing everyone to freely choose the content they want to see, but also ensure stable domestic access. Although our online informal meeting. However, the process of discussing each article one by one has enabled us to learn to identify high-quality abstracts and also to offer more gentle and useful suggestions for revision.</w:t>
      </w:r>
    </w:p>
    <w:p w14:paraId="7AA6C258">
      <w:pPr>
        <w:rPr>
          <w:rFonts w:hint="eastAsia"/>
        </w:rPr>
      </w:pPr>
    </w:p>
    <w:p w14:paraId="3905D6E9">
      <w:pPr>
        <w:rPr>
          <w:rFonts w:hint="eastAsia"/>
        </w:rPr>
      </w:pPr>
      <w:r>
        <w:rPr>
          <w:rFonts w:hint="eastAsia"/>
        </w:rPr>
        <w:t>The core of this matter has never been about which paper to choose, but about how to treat each other. Respectful communication methods, fair evaluation criteria, and decisions that put the community first. This is the part that I will never forget.</w:t>
      </w:r>
    </w:p>
    <w:p w14:paraId="60D9DB11">
      <w:pPr>
        <w:rPr>
          <w:rFonts w:hint="eastAsia"/>
          <w:lang w:eastAsia="zh-CN"/>
        </w:rPr>
      </w:pPr>
      <w:r>
        <w:rPr>
          <w:rFonts w:hint="eastAsia"/>
          <w:lang w:eastAsia="zh-CN"/>
        </w:rPr>
        <w:drawing>
          <wp:inline distT="0" distB="0" distL="114300" distR="114300">
            <wp:extent cx="5266690" cy="7871460"/>
            <wp:effectExtent l="0" t="0" r="6350" b="7620"/>
            <wp:docPr id="1" name="图片 1" descr="07aa3f6de933cdedc2a813861ffd3f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07aa3f6de933cdedc2a813861ffd3f09"/>
                    <pic:cNvPicPr>
                      <a:picLocks noChangeAspect="1"/>
                    </pic:cNvPicPr>
                  </pic:nvPicPr>
                  <pic:blipFill>
                    <a:blip r:embed="rId4"/>
                    <a:stretch>
                      <a:fillRect/>
                    </a:stretch>
                  </pic:blipFill>
                  <pic:spPr>
                    <a:xfrm>
                      <a:off x="0" y="0"/>
                      <a:ext cx="5266690" cy="7871460"/>
                    </a:xfrm>
                    <a:prstGeom prst="rect">
                      <a:avLst/>
                    </a:prstGeom>
                  </pic:spPr>
                </pic:pic>
              </a:graphicData>
            </a:graphic>
          </wp:inline>
        </w:drawing>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7"/>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5C731E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16</TotalTime>
  <ScaleCrop>false</ScaleCrop>
  <LinksUpToDate>false</LinksUpToDate>
  <CharactersWithSpaces>0</CharactersWithSpaces>
  <Application>WPS Office_12.1.0.25225_F1E327BC-269C-435d-A152-05C5408002CA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2026-03-20T18:29:08Z</dcterms:created>
  <dc:creator>光影精灵</dc:creator>
  <cp:lastModifiedBy>许雯婷</cp:lastModifiedBy>
  <dcterms:modified xsi:type="dcterms:W3CDTF">2026-03-20T18:45:48Z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2052-12.1.0.25225</vt:lpwstr>
  </property>
  <property fmtid="{D5CDD505-2E9C-101B-9397-08002B2CF9AE}" pid="3" name="KSOTemplateDocerSaveRecord">
    <vt:lpwstr>eyJoZGlkIjoiNzk2MGUxYzBjMGNiY2EzMzA5ZDQyODU0ZmMyZTQzN2YiLCJ1c2VySWQiOiIyNDM1MTE4NzgifQ==</vt:lpwstr>
  </property>
  <property fmtid="{D5CDD505-2E9C-101B-9397-08002B2CF9AE}" pid="4" name="ICV">
    <vt:lpwstr>7598CF330E114E63BA9C5BD6A13CE387_12</vt:lpwstr>
  </property>
</Properties>
</file>