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Helvetica" w:hAnsi="Helvetica" w:cs="Helvetica"/>
          <w:sz w:val="40"/>
          <w:sz-cs w:val="40"/>
        </w:rPr>
        <w:t xml:space="preserve">That one drives away Diodorus the Maltese from the province by means of his own desire, who far before had departed Malta and at that time was living at Lilybaeum. He had been a man of much honor among the people of Lilybaeum, who had known him to be a man of the highest courage. But with Verres as praetor, he (Diodorus) was away from his home for almost three years on account of certain beautiful cups he used to have. For that one’s companions, which he had led with him, when he came to the province, had announced Diodorus to have these cups; because when he found out, that one, having become inflamed with desire, had called and had demanded the cups. Diodorus, however, who did not want to lose the cups, had maintained them to be with a certain relative in Malta. But when Verres wrote a letter to that relative, to whom he was asking about the cups, he had said they had been sent a few days prior to Lilybaeum. Meanwhile Diodorus had departed from Lilybaeum.</w:t>
      </w:r>
    </w:p>
    <w:sectPr>
      <w:pgSz w:w="11900" w:h="16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CocoaOOXMLWriter/2113.6</generator>
</meta>
</file>