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ACC2E" w14:textId="2A13522C" w:rsidR="00423DB1" w:rsidRDefault="00423DB1" w:rsidP="00423DB1">
      <w:r>
        <w:t>ECEY6011-</w:t>
      </w:r>
    </w:p>
    <w:p w14:paraId="4AE68B4B" w14:textId="77777777" w:rsidR="00423DB1" w:rsidRDefault="00423DB1" w:rsidP="00423DB1"/>
    <w:p w14:paraId="600C748E" w14:textId="14F1BADE" w:rsidR="00423DB1" w:rsidRDefault="00423DB1" w:rsidP="00423DB1">
      <w:pPr>
        <w:spacing w:line="360" w:lineRule="auto"/>
        <w:rPr>
          <w:rFonts w:ascii="Arial" w:hAnsi="Arial" w:cs="Arial"/>
        </w:rPr>
      </w:pPr>
      <w:r w:rsidRPr="00423DB1">
        <w:rPr>
          <w:rFonts w:ascii="Arial" w:hAnsi="Arial" w:cs="Arial"/>
        </w:rPr>
        <w:t>Quality in early years provision refers to how effectively a setting supports children’s learning, development, and overall well-being. It is a multi-dimensional concept that includes the environment, staff interactions, leadership, and the experiences provided for children</w:t>
      </w:r>
      <w:r w:rsidRPr="00423DB1">
        <w:rPr>
          <w:color w:val="000000"/>
        </w:rPr>
        <w:t xml:space="preserve"> </w:t>
      </w:r>
      <w:r w:rsidRPr="00423DB1">
        <w:rPr>
          <w:rFonts w:ascii="Arial" w:hAnsi="Arial" w:cs="Arial"/>
        </w:rPr>
        <w:t>(Welsh Government , 2024). High-quality provision is not only about meeting basic care needs but about creating an environment where children can thrive emotionally, socially, and cognitively</w:t>
      </w:r>
      <w:r>
        <w:rPr>
          <w:rFonts w:ascii="Arial" w:hAnsi="Arial" w:cs="Arial"/>
        </w:rPr>
        <w:t xml:space="preserve"> </w:t>
      </w:r>
      <w:r w:rsidRPr="00423DB1">
        <w:rPr>
          <w:rFonts w:ascii="Arial" w:hAnsi="Arial" w:cs="Arial"/>
        </w:rPr>
        <w:t>(Welsh Government, 2025)</w:t>
      </w:r>
      <w:r>
        <w:rPr>
          <w:rFonts w:ascii="Arial" w:hAnsi="Arial" w:cs="Arial"/>
        </w:rPr>
        <w:t xml:space="preserve">. </w:t>
      </w:r>
      <w:r w:rsidRPr="00423DB1">
        <w:rPr>
          <w:rFonts w:ascii="Arial" w:hAnsi="Arial" w:cs="Arial"/>
        </w:rPr>
        <w:t xml:space="preserve">A high-quality early </w:t>
      </w:r>
      <w:proofErr w:type="gramStart"/>
      <w:r w:rsidRPr="00423DB1">
        <w:rPr>
          <w:rFonts w:ascii="Arial" w:hAnsi="Arial" w:cs="Arial"/>
        </w:rPr>
        <w:t>years</w:t>
      </w:r>
      <w:proofErr w:type="gramEnd"/>
      <w:r w:rsidRPr="00423DB1">
        <w:rPr>
          <w:rFonts w:ascii="Arial" w:hAnsi="Arial" w:cs="Arial"/>
        </w:rPr>
        <w:t xml:space="preserve"> setting is one that consistently follows policies and procedures, ensures safeguarding is </w:t>
      </w:r>
      <w:r w:rsidR="0093315A">
        <w:rPr>
          <w:rFonts w:ascii="Arial" w:hAnsi="Arial" w:cs="Arial"/>
        </w:rPr>
        <w:t>used</w:t>
      </w:r>
      <w:r w:rsidRPr="00423DB1">
        <w:rPr>
          <w:rFonts w:ascii="Arial" w:hAnsi="Arial" w:cs="Arial"/>
        </w:rPr>
        <w:t xml:space="preserve"> in practice, and promotes inclusive provision for all children, including those with additional learning needs</w:t>
      </w:r>
      <w:r>
        <w:rPr>
          <w:rFonts w:ascii="Arial" w:hAnsi="Arial" w:cs="Arial"/>
        </w:rPr>
        <w:t xml:space="preserve"> </w:t>
      </w:r>
      <w:r w:rsidRPr="00423DB1">
        <w:rPr>
          <w:rFonts w:ascii="Arial" w:hAnsi="Arial" w:cs="Arial"/>
        </w:rPr>
        <w:t xml:space="preserve">(Welsh Government , 2024). It is </w:t>
      </w:r>
      <w:r w:rsidR="0093315A">
        <w:rPr>
          <w:rFonts w:ascii="Arial" w:hAnsi="Arial" w:cs="Arial"/>
        </w:rPr>
        <w:t xml:space="preserve">identified </w:t>
      </w:r>
      <w:r w:rsidRPr="00423DB1">
        <w:rPr>
          <w:rFonts w:ascii="Arial" w:hAnsi="Arial" w:cs="Arial"/>
        </w:rPr>
        <w:t>by positive and meaningful interactions between staff and children, well-trained practitioners, and an environment that supports exploration and development. Ongoing staff training is also a key feature, ensuring that practitioners remain up to date with current legislation and best practice</w:t>
      </w:r>
      <w:r w:rsidRPr="00423DB1">
        <w:rPr>
          <w:color w:val="000000"/>
        </w:rPr>
        <w:t xml:space="preserve"> </w:t>
      </w:r>
      <w:r w:rsidRPr="00423DB1">
        <w:rPr>
          <w:rFonts w:ascii="Arial" w:hAnsi="Arial" w:cs="Arial"/>
        </w:rPr>
        <w:t>(Care Council for Wales, 2016)</w:t>
      </w:r>
      <w:r>
        <w:rPr>
          <w:rFonts w:ascii="Arial" w:hAnsi="Arial" w:cs="Arial"/>
        </w:rPr>
        <w:t xml:space="preserve">. </w:t>
      </w:r>
      <w:r w:rsidRPr="00423DB1">
        <w:rPr>
          <w:rFonts w:ascii="Arial" w:hAnsi="Arial" w:cs="Arial"/>
        </w:rPr>
        <w:t>The importance of quality is strongly supported by research. Studies such as the Effective Provision of Pre-School Education (EPPE) project demonstrate that children who attend high-quality settings achieve better outcomes in later life, including improved academic achievement and social skills</w:t>
      </w:r>
      <w:r w:rsidRPr="00423DB1">
        <w:rPr>
          <w:color w:val="000000"/>
        </w:rPr>
        <w:t xml:space="preserve"> </w:t>
      </w:r>
      <w:r w:rsidRPr="00423DB1">
        <w:rPr>
          <w:rFonts w:ascii="Arial" w:hAnsi="Arial" w:cs="Arial"/>
        </w:rPr>
        <w:t>(Sylva </w:t>
      </w:r>
      <w:r w:rsidRPr="00423DB1">
        <w:rPr>
          <w:rFonts w:ascii="Arial" w:hAnsi="Arial" w:cs="Arial"/>
          <w:i/>
          <w:iCs/>
        </w:rPr>
        <w:t>et al.</w:t>
      </w:r>
      <w:r w:rsidRPr="00423DB1">
        <w:rPr>
          <w:rFonts w:ascii="Arial" w:hAnsi="Arial" w:cs="Arial"/>
        </w:rPr>
        <w:t xml:space="preserve">, 2004). This highlights that early childhood experiences have long-term impacts, making quality provision essential </w:t>
      </w:r>
      <w:r w:rsidR="0093315A">
        <w:rPr>
          <w:rFonts w:ascii="Arial" w:hAnsi="Arial" w:cs="Arial"/>
        </w:rPr>
        <w:t xml:space="preserve">not </w:t>
      </w:r>
      <w:r w:rsidRPr="00423DB1">
        <w:rPr>
          <w:rFonts w:ascii="Arial" w:hAnsi="Arial" w:cs="Arial"/>
        </w:rPr>
        <w:t>optional.</w:t>
      </w:r>
    </w:p>
    <w:p w14:paraId="01C35461" w14:textId="77777777" w:rsidR="00423DB1" w:rsidRPr="00423DB1" w:rsidRDefault="00423DB1" w:rsidP="00423DB1">
      <w:pPr>
        <w:spacing w:line="360" w:lineRule="auto"/>
        <w:rPr>
          <w:rFonts w:ascii="Arial" w:hAnsi="Arial" w:cs="Arial"/>
        </w:rPr>
      </w:pPr>
    </w:p>
    <w:p w14:paraId="2787AF57" w14:textId="4A0D161A" w:rsidR="00423DB1" w:rsidRDefault="00423DB1" w:rsidP="00423DB1">
      <w:pPr>
        <w:spacing w:line="360" w:lineRule="auto"/>
        <w:rPr>
          <w:rFonts w:ascii="Arial" w:hAnsi="Arial" w:cs="Arial"/>
        </w:rPr>
      </w:pPr>
      <w:r w:rsidRPr="00423DB1">
        <w:rPr>
          <w:rFonts w:ascii="Arial" w:hAnsi="Arial" w:cs="Arial"/>
        </w:rPr>
        <w:t>In addition, children’s rights frameworks such as the United Nations Convention on the Rights of the Child emphasise that every child has the right to the best possible start in life. This includes access to high-quality education and care that supports their development and well-being</w:t>
      </w:r>
      <w:r>
        <w:rPr>
          <w:rFonts w:ascii="Arial" w:hAnsi="Arial" w:cs="Arial"/>
        </w:rPr>
        <w:t xml:space="preserve"> </w:t>
      </w:r>
      <w:r w:rsidRPr="00423DB1">
        <w:rPr>
          <w:rFonts w:ascii="Arial" w:hAnsi="Arial" w:cs="Arial"/>
        </w:rPr>
        <w:t xml:space="preserve">(United Nations, 1989). Poor-quality provision can have negative consequences, </w:t>
      </w:r>
      <w:r w:rsidR="0093315A">
        <w:rPr>
          <w:rFonts w:ascii="Arial" w:hAnsi="Arial" w:cs="Arial"/>
        </w:rPr>
        <w:t>especially</w:t>
      </w:r>
      <w:r w:rsidRPr="00423DB1">
        <w:rPr>
          <w:rFonts w:ascii="Arial" w:hAnsi="Arial" w:cs="Arial"/>
        </w:rPr>
        <w:t xml:space="preserve"> for vulnerable children, </w:t>
      </w:r>
      <w:r w:rsidR="0093315A">
        <w:rPr>
          <w:rFonts w:ascii="Arial" w:hAnsi="Arial" w:cs="Arial"/>
        </w:rPr>
        <w:t>causing</w:t>
      </w:r>
      <w:r w:rsidRPr="00423DB1">
        <w:rPr>
          <w:rFonts w:ascii="Arial" w:hAnsi="Arial" w:cs="Arial"/>
        </w:rPr>
        <w:t xml:space="preserve"> developmental gaps and limiting opportunities.</w:t>
      </w:r>
      <w:r w:rsidR="0093315A">
        <w:rPr>
          <w:rFonts w:ascii="Arial" w:hAnsi="Arial" w:cs="Arial"/>
        </w:rPr>
        <w:t xml:space="preserve"> </w:t>
      </w:r>
      <w:r w:rsidRPr="00423DB1">
        <w:rPr>
          <w:rFonts w:ascii="Arial" w:hAnsi="Arial" w:cs="Arial"/>
        </w:rPr>
        <w:t>Statutory requirements, set by organisations such as Welsh Government and inspected by Care Inspectorate Wales, provide a baseline to ensure that settings meet minimum standards of safety and care. However, these standards alone do not guarantee high-quality experiences. They outline what must be done, but not necessarily what should be done to achieve excellence</w:t>
      </w:r>
      <w:r w:rsidRPr="00423DB1">
        <w:rPr>
          <w:color w:val="000000"/>
        </w:rPr>
        <w:t xml:space="preserve"> </w:t>
      </w:r>
      <w:r w:rsidRPr="00423DB1">
        <w:rPr>
          <w:rFonts w:ascii="Arial" w:hAnsi="Arial" w:cs="Arial"/>
        </w:rPr>
        <w:t>(Welsh Government , 2023).</w:t>
      </w:r>
      <w:r>
        <w:rPr>
          <w:rFonts w:ascii="Arial" w:hAnsi="Arial" w:cs="Arial"/>
        </w:rPr>
        <w:t xml:space="preserve"> </w:t>
      </w:r>
      <w:r w:rsidRPr="00423DB1">
        <w:rPr>
          <w:rFonts w:ascii="Arial" w:hAnsi="Arial" w:cs="Arial"/>
        </w:rPr>
        <w:t xml:space="preserve">Therefore, it is important for settings to go beyond these minimum requirements. These methods allow settings to </w:t>
      </w:r>
      <w:r w:rsidRPr="00423DB1">
        <w:rPr>
          <w:rFonts w:ascii="Arial" w:hAnsi="Arial" w:cs="Arial"/>
        </w:rPr>
        <w:lastRenderedPageBreak/>
        <w:t>critically evaluate their practice, identify areas for improvement, and implement changes that enhance children’s experiences. They also support reflective practice, which is essential for continuous improvement.</w:t>
      </w:r>
      <w:r>
        <w:rPr>
          <w:rFonts w:ascii="Arial" w:hAnsi="Arial" w:cs="Arial"/>
        </w:rPr>
        <w:t xml:space="preserve"> </w:t>
      </w:r>
      <w:r w:rsidRPr="00423DB1">
        <w:rPr>
          <w:rFonts w:ascii="Arial" w:hAnsi="Arial" w:cs="Arial"/>
        </w:rPr>
        <w:t>High-quality provision is particularly important for supporting children’s well-being. Children who feel safe, valued, and engaged are more likely to develop positive relationships, confidence, and a love of learning. This links directly to inspection frameworks, which place a strong emphasis on children’s well-being, care and development, environment, and leadership</w:t>
      </w:r>
      <w:r>
        <w:rPr>
          <w:rFonts w:ascii="Arial" w:hAnsi="Arial" w:cs="Arial"/>
        </w:rPr>
        <w:t xml:space="preserve"> </w:t>
      </w:r>
      <w:r w:rsidRPr="00423DB1">
        <w:rPr>
          <w:rFonts w:ascii="Arial" w:hAnsi="Arial" w:cs="Arial"/>
        </w:rPr>
        <w:t>(Welsh Government, 2025)</w:t>
      </w:r>
      <w:r>
        <w:rPr>
          <w:rFonts w:ascii="Arial" w:hAnsi="Arial" w:cs="Arial"/>
        </w:rPr>
        <w:t>.</w:t>
      </w:r>
    </w:p>
    <w:p w14:paraId="41CDB9C8" w14:textId="77777777" w:rsidR="00423DB1" w:rsidRPr="00423DB1" w:rsidRDefault="00423DB1" w:rsidP="00423DB1">
      <w:pPr>
        <w:spacing w:line="360" w:lineRule="auto"/>
        <w:rPr>
          <w:rFonts w:ascii="Arial" w:hAnsi="Arial" w:cs="Arial"/>
        </w:rPr>
      </w:pPr>
    </w:p>
    <w:p w14:paraId="03ACCA83" w14:textId="0E207DA4" w:rsidR="00423DB1" w:rsidRDefault="00423DB1" w:rsidP="00423DB1">
      <w:pPr>
        <w:spacing w:line="360" w:lineRule="auto"/>
        <w:rPr>
          <w:rFonts w:ascii="Arial" w:hAnsi="Arial" w:cs="Arial"/>
        </w:rPr>
      </w:pPr>
      <w:proofErr w:type="gramStart"/>
      <w:r w:rsidRPr="00423DB1">
        <w:rPr>
          <w:rFonts w:ascii="Arial" w:hAnsi="Arial" w:cs="Arial"/>
        </w:rPr>
        <w:t>In order to</w:t>
      </w:r>
      <w:proofErr w:type="gramEnd"/>
      <w:r w:rsidRPr="00423DB1">
        <w:rPr>
          <w:rFonts w:ascii="Arial" w:hAnsi="Arial" w:cs="Arial"/>
        </w:rPr>
        <w:t xml:space="preserve"> achieve high-quality provision in early years settings, practitioners must move beyond</w:t>
      </w:r>
      <w:r w:rsidR="0093315A">
        <w:rPr>
          <w:rFonts w:ascii="Arial" w:hAnsi="Arial" w:cs="Arial"/>
        </w:rPr>
        <w:t xml:space="preserve"> only</w:t>
      </w:r>
      <w:r w:rsidRPr="00423DB1">
        <w:rPr>
          <w:rFonts w:ascii="Arial" w:hAnsi="Arial" w:cs="Arial"/>
        </w:rPr>
        <w:t xml:space="preserve"> meeting statutory requirements and instead </w:t>
      </w:r>
      <w:r w:rsidR="0093315A" w:rsidRPr="0093315A">
        <w:rPr>
          <w:rFonts w:ascii="Arial" w:hAnsi="Arial" w:cs="Arial"/>
        </w:rPr>
        <w:t>regularly reflect on and improve their practice.</w:t>
      </w:r>
      <w:r w:rsidR="0093315A" w:rsidRPr="0093315A">
        <w:rPr>
          <w:rFonts w:ascii="Arial" w:hAnsi="Arial" w:cs="Arial"/>
        </w:rPr>
        <w:t xml:space="preserve"> </w:t>
      </w:r>
      <w:r w:rsidRPr="00423DB1">
        <w:rPr>
          <w:rFonts w:ascii="Arial" w:hAnsi="Arial" w:cs="Arial"/>
        </w:rPr>
        <w:t xml:space="preserve">(Welsh Government, 2025). Two widely recognised and research-informed methods used to support this process are the Early Childhood Environment Rating Scale (ECERS) and the Leuven Scales of Well-being and Involvement. These tools offer different but complementary approaches to evaluating quality, focusing respectively on the environment and the child’s lived experience. </w:t>
      </w:r>
    </w:p>
    <w:p w14:paraId="5756561A" w14:textId="77777777" w:rsidR="0093315A" w:rsidRPr="00423DB1" w:rsidRDefault="0093315A" w:rsidP="00423DB1">
      <w:pPr>
        <w:spacing w:line="360" w:lineRule="auto"/>
        <w:rPr>
          <w:rFonts w:ascii="Arial" w:hAnsi="Arial" w:cs="Arial"/>
        </w:rPr>
      </w:pPr>
    </w:p>
    <w:p w14:paraId="6A55EE92" w14:textId="3C55E63E" w:rsidR="00423DB1" w:rsidRPr="00423DB1" w:rsidRDefault="00423DB1" w:rsidP="00423DB1">
      <w:pPr>
        <w:spacing w:line="360" w:lineRule="auto"/>
        <w:rPr>
          <w:rFonts w:ascii="Arial" w:hAnsi="Arial" w:cs="Arial"/>
        </w:rPr>
      </w:pPr>
      <w:r w:rsidRPr="00423DB1">
        <w:rPr>
          <w:rFonts w:ascii="Arial" w:hAnsi="Arial" w:cs="Arial"/>
        </w:rPr>
        <w:t>The Early Childhood Environment Rating Scale (ECERS) is a structured observational tool designed to assess the overall quality of early years provision, with a particular focus on the physical environment and organisational aspects of care. It evaluates areas such as space and furnishings, personal care routines, activities, interactions, and programme structure</w:t>
      </w:r>
      <w:r>
        <w:rPr>
          <w:rFonts w:ascii="Arial" w:hAnsi="Arial" w:cs="Arial"/>
        </w:rPr>
        <w:t xml:space="preserve"> </w:t>
      </w:r>
      <w:r w:rsidRPr="00423DB1">
        <w:rPr>
          <w:rFonts w:ascii="Arial" w:hAnsi="Arial" w:cs="Arial"/>
        </w:rPr>
        <w:t>(</w:t>
      </w:r>
      <w:proofErr w:type="spellStart"/>
      <w:r w:rsidRPr="00423DB1">
        <w:rPr>
          <w:rFonts w:ascii="Arial" w:hAnsi="Arial" w:cs="Arial"/>
        </w:rPr>
        <w:t>Ainur</w:t>
      </w:r>
      <w:proofErr w:type="spellEnd"/>
      <w:r w:rsidRPr="00423DB1">
        <w:rPr>
          <w:rFonts w:ascii="Arial" w:hAnsi="Arial" w:cs="Arial"/>
        </w:rPr>
        <w:t xml:space="preserve"> </w:t>
      </w:r>
      <w:proofErr w:type="spellStart"/>
      <w:r w:rsidRPr="00423DB1">
        <w:rPr>
          <w:rFonts w:ascii="Arial" w:hAnsi="Arial" w:cs="Arial"/>
        </w:rPr>
        <w:t>Alpys</w:t>
      </w:r>
      <w:proofErr w:type="spellEnd"/>
      <w:r w:rsidRPr="00423DB1">
        <w:rPr>
          <w:rFonts w:ascii="Arial" w:hAnsi="Arial" w:cs="Arial"/>
        </w:rPr>
        <w:t xml:space="preserve"> and Hernández-</w:t>
      </w:r>
      <w:proofErr w:type="spellStart"/>
      <w:r w:rsidRPr="00423DB1">
        <w:rPr>
          <w:rFonts w:ascii="Arial" w:hAnsi="Arial" w:cs="Arial"/>
        </w:rPr>
        <w:t>Torrano</w:t>
      </w:r>
      <w:proofErr w:type="spellEnd"/>
      <w:r w:rsidRPr="00423DB1">
        <w:rPr>
          <w:rFonts w:ascii="Arial" w:hAnsi="Arial" w:cs="Arial"/>
        </w:rPr>
        <w:t>, 2025)</w:t>
      </w:r>
      <w:r>
        <w:rPr>
          <w:rFonts w:ascii="Arial" w:hAnsi="Arial" w:cs="Arial"/>
        </w:rPr>
        <w:t>.</w:t>
      </w:r>
      <w:r w:rsidRPr="00423DB1">
        <w:rPr>
          <w:rFonts w:ascii="Arial" w:hAnsi="Arial" w:cs="Arial"/>
        </w:rPr>
        <w:t xml:space="preserve"> The aim of ECERS is to provide a measurable and standardised framework that allows practitioners to assess the quality of their setting and identify areas for improvement.</w:t>
      </w:r>
      <w:r w:rsidR="0093315A">
        <w:rPr>
          <w:rFonts w:ascii="Arial" w:hAnsi="Arial" w:cs="Arial"/>
        </w:rPr>
        <w:t xml:space="preserve"> </w:t>
      </w:r>
      <w:r w:rsidRPr="00423DB1">
        <w:rPr>
          <w:rFonts w:ascii="Arial" w:hAnsi="Arial" w:cs="Arial"/>
        </w:rPr>
        <w:t xml:space="preserve">In practice, ECERS involves observation and scoring against a set of criteria. </w:t>
      </w:r>
      <w:r w:rsidR="0093315A" w:rsidRPr="0093315A">
        <w:rPr>
          <w:rFonts w:ascii="Arial" w:hAnsi="Arial" w:cs="Arial"/>
        </w:rPr>
        <w:t>This creates a clear measure of quality that can be used to compare settings and track progress over time.</w:t>
      </w:r>
      <w:r w:rsidR="0093315A">
        <w:rPr>
          <w:rFonts w:ascii="Arial" w:hAnsi="Arial" w:cs="Arial"/>
        </w:rPr>
        <w:t xml:space="preserve"> </w:t>
      </w:r>
      <w:r w:rsidR="0093315A" w:rsidRPr="0093315A">
        <w:rPr>
          <w:rFonts w:ascii="Arial" w:hAnsi="Arial" w:cs="Arial"/>
        </w:rPr>
        <w:t>One key advantage of ECERS is that it gives a clear overall view of the setting</w:t>
      </w:r>
      <w:r w:rsidR="0093315A">
        <w:rPr>
          <w:rFonts w:ascii="Arial" w:hAnsi="Arial" w:cs="Arial"/>
        </w:rPr>
        <w:t>.</w:t>
      </w:r>
      <w:r>
        <w:rPr>
          <w:rFonts w:ascii="Arial" w:hAnsi="Arial" w:cs="Arial"/>
        </w:rPr>
        <w:t xml:space="preserve"> </w:t>
      </w:r>
      <w:r w:rsidRPr="00423DB1">
        <w:rPr>
          <w:rFonts w:ascii="Arial" w:hAnsi="Arial" w:cs="Arial"/>
        </w:rPr>
        <w:t xml:space="preserve">It enables practitioners to identify whether resources are </w:t>
      </w:r>
      <w:r w:rsidR="0093315A" w:rsidRPr="00423DB1">
        <w:rPr>
          <w:rFonts w:ascii="Arial" w:hAnsi="Arial" w:cs="Arial"/>
        </w:rPr>
        <w:t>adequate</w:t>
      </w:r>
      <w:r w:rsidRPr="00423DB1">
        <w:rPr>
          <w:rFonts w:ascii="Arial" w:hAnsi="Arial" w:cs="Arial"/>
        </w:rPr>
        <w:t>, accessible, and appropriate for the developmental needs of children</w:t>
      </w:r>
      <w:r w:rsidRPr="00423DB1">
        <w:rPr>
          <w:color w:val="000000"/>
        </w:rPr>
        <w:t xml:space="preserve"> </w:t>
      </w:r>
      <w:r w:rsidRPr="00423DB1">
        <w:rPr>
          <w:rFonts w:ascii="Arial" w:hAnsi="Arial" w:cs="Arial"/>
        </w:rPr>
        <w:t>(Gordon </w:t>
      </w:r>
      <w:r w:rsidRPr="00423DB1">
        <w:rPr>
          <w:rFonts w:ascii="Arial" w:hAnsi="Arial" w:cs="Arial"/>
          <w:i/>
          <w:iCs/>
        </w:rPr>
        <w:t>et al.</w:t>
      </w:r>
      <w:r w:rsidRPr="00423DB1">
        <w:rPr>
          <w:rFonts w:ascii="Arial" w:hAnsi="Arial" w:cs="Arial"/>
        </w:rPr>
        <w:t>, 2013). For example, ECERS may reveal that while a setting has a variety of resources, they are not organised in a way that promotes independen</w:t>
      </w:r>
      <w:r w:rsidR="0093315A">
        <w:rPr>
          <w:rFonts w:ascii="Arial" w:hAnsi="Arial" w:cs="Arial"/>
        </w:rPr>
        <w:t>ce</w:t>
      </w:r>
      <w:r w:rsidRPr="00423DB1">
        <w:rPr>
          <w:rFonts w:ascii="Arial" w:hAnsi="Arial" w:cs="Arial"/>
        </w:rPr>
        <w:t>, limiting children’s opportunities for self-directed learning.</w:t>
      </w:r>
    </w:p>
    <w:p w14:paraId="7DAE5896" w14:textId="516EB9D4" w:rsidR="00423DB1" w:rsidRPr="00423DB1" w:rsidRDefault="00423DB1" w:rsidP="00423DB1">
      <w:pPr>
        <w:spacing w:line="360" w:lineRule="auto"/>
        <w:rPr>
          <w:rFonts w:ascii="Arial" w:hAnsi="Arial" w:cs="Arial"/>
        </w:rPr>
      </w:pPr>
      <w:r w:rsidRPr="00423DB1">
        <w:rPr>
          <w:rFonts w:ascii="Arial" w:hAnsi="Arial" w:cs="Arial"/>
        </w:rPr>
        <w:t xml:space="preserve">This highlights one of the ways in which ECERS supports provision beyond statutory requirements. While statutory frameworks ensure that basic resources are available </w:t>
      </w:r>
      <w:r w:rsidRPr="00423DB1">
        <w:rPr>
          <w:rFonts w:ascii="Arial" w:hAnsi="Arial" w:cs="Arial"/>
        </w:rPr>
        <w:lastRenderedPageBreak/>
        <w:t xml:space="preserve">and that environments are safe, ECERS encourages practitioners to consider the quality and effectiveness of those resources. It </w:t>
      </w:r>
      <w:r w:rsidR="0093315A">
        <w:rPr>
          <w:rFonts w:ascii="Arial" w:hAnsi="Arial" w:cs="Arial"/>
        </w:rPr>
        <w:t>moves</w:t>
      </w:r>
      <w:r w:rsidRPr="00423DB1">
        <w:rPr>
          <w:rFonts w:ascii="Arial" w:hAnsi="Arial" w:cs="Arial"/>
        </w:rPr>
        <w:t xml:space="preserve"> the focus from meeting requirements to enhancing the learning environment in a meaningful way. This aligns with expectations from organisations such as Care Inspectorate Wales, which </w:t>
      </w:r>
      <w:r w:rsidR="0093315A" w:rsidRPr="00423DB1">
        <w:rPr>
          <w:rFonts w:ascii="Arial" w:hAnsi="Arial" w:cs="Arial"/>
        </w:rPr>
        <w:t>highlight</w:t>
      </w:r>
      <w:r w:rsidR="0093315A">
        <w:rPr>
          <w:rFonts w:ascii="Arial" w:hAnsi="Arial" w:cs="Arial"/>
        </w:rPr>
        <w:t>s</w:t>
      </w:r>
      <w:r w:rsidRPr="00423DB1">
        <w:rPr>
          <w:rFonts w:ascii="Arial" w:hAnsi="Arial" w:cs="Arial"/>
        </w:rPr>
        <w:t xml:space="preserve"> improvement and reflective practice</w:t>
      </w:r>
      <w:r w:rsidRPr="00423DB1">
        <w:rPr>
          <w:color w:val="000000"/>
        </w:rPr>
        <w:t xml:space="preserve"> </w:t>
      </w:r>
      <w:r w:rsidRPr="00423DB1">
        <w:rPr>
          <w:rFonts w:ascii="Arial" w:hAnsi="Arial" w:cs="Arial"/>
        </w:rPr>
        <w:t>(</w:t>
      </w:r>
      <w:proofErr w:type="spellStart"/>
      <w:r w:rsidRPr="00423DB1">
        <w:rPr>
          <w:rFonts w:ascii="Arial" w:hAnsi="Arial" w:cs="Arial"/>
        </w:rPr>
        <w:t>Setodji</w:t>
      </w:r>
      <w:proofErr w:type="spellEnd"/>
      <w:r w:rsidRPr="00423DB1">
        <w:rPr>
          <w:rFonts w:ascii="Arial" w:hAnsi="Arial" w:cs="Arial"/>
        </w:rPr>
        <w:t xml:space="preserve">, </w:t>
      </w:r>
      <w:proofErr w:type="spellStart"/>
      <w:r w:rsidRPr="00423DB1">
        <w:rPr>
          <w:rFonts w:ascii="Arial" w:hAnsi="Arial" w:cs="Arial"/>
        </w:rPr>
        <w:t>Schaack</w:t>
      </w:r>
      <w:proofErr w:type="spellEnd"/>
      <w:r w:rsidRPr="00423DB1">
        <w:rPr>
          <w:rFonts w:ascii="Arial" w:hAnsi="Arial" w:cs="Arial"/>
        </w:rPr>
        <w:t xml:space="preserve"> and Le, 2018).</w:t>
      </w:r>
    </w:p>
    <w:p w14:paraId="48554496" w14:textId="719A506B" w:rsidR="00423DB1" w:rsidRDefault="00423DB1" w:rsidP="00423DB1">
      <w:pPr>
        <w:spacing w:line="360" w:lineRule="auto"/>
        <w:rPr>
          <w:rFonts w:ascii="Arial" w:hAnsi="Arial" w:cs="Arial"/>
        </w:rPr>
      </w:pPr>
      <w:r w:rsidRPr="00423DB1">
        <w:rPr>
          <w:rFonts w:ascii="Arial" w:hAnsi="Arial" w:cs="Arial"/>
        </w:rPr>
        <w:t>However, despite these strengths, ECERS has limitations. One of the criticisms is that it focuses heavily on structural quality rather than </w:t>
      </w:r>
      <w:r w:rsidR="0093315A">
        <w:rPr>
          <w:rFonts w:ascii="Arial" w:hAnsi="Arial" w:cs="Arial"/>
        </w:rPr>
        <w:t>how the learning happens</w:t>
      </w:r>
      <w:r w:rsidRPr="00423DB1">
        <w:rPr>
          <w:rFonts w:ascii="Arial" w:hAnsi="Arial" w:cs="Arial"/>
        </w:rPr>
        <w:t>. While it can assess the availability and organisation of resources, it does not fully capture the quality of interactions between staff and children or the depth of children’s engagement.</w:t>
      </w:r>
      <w:r w:rsidR="0093315A">
        <w:rPr>
          <w:rFonts w:ascii="Arial" w:hAnsi="Arial" w:cs="Arial"/>
        </w:rPr>
        <w:t xml:space="preserve"> </w:t>
      </w:r>
      <w:r w:rsidRPr="00423DB1">
        <w:rPr>
          <w:rFonts w:ascii="Arial" w:hAnsi="Arial" w:cs="Arial"/>
        </w:rPr>
        <w:t>A setting may achieve a high ECERS score due to its environment and resources, yet still fail to provide meaningful learning experiences if staff interactions are limite</w:t>
      </w:r>
      <w:r w:rsidR="0093315A">
        <w:rPr>
          <w:rFonts w:ascii="Arial" w:hAnsi="Arial" w:cs="Arial"/>
        </w:rPr>
        <w:t>d</w:t>
      </w:r>
      <w:r w:rsidRPr="00423DB1">
        <w:rPr>
          <w:rFonts w:ascii="Arial" w:hAnsi="Arial" w:cs="Arial"/>
        </w:rPr>
        <w:t>. This suggests that while ECERS is useful in identifying environmental strengths and weaknesses, it does not provide a complete picture of quality.</w:t>
      </w:r>
    </w:p>
    <w:p w14:paraId="138C7B41" w14:textId="77777777" w:rsidR="0093315A" w:rsidRPr="00423DB1" w:rsidRDefault="0093315A" w:rsidP="00423DB1">
      <w:pPr>
        <w:spacing w:line="360" w:lineRule="auto"/>
        <w:rPr>
          <w:rFonts w:ascii="Arial" w:hAnsi="Arial" w:cs="Arial"/>
        </w:rPr>
      </w:pPr>
    </w:p>
    <w:p w14:paraId="7B677014" w14:textId="3230F13F" w:rsidR="00423DB1" w:rsidRDefault="00423DB1" w:rsidP="00423DB1">
      <w:pPr>
        <w:spacing w:line="360" w:lineRule="auto"/>
        <w:rPr>
          <w:rFonts w:ascii="Arial" w:hAnsi="Arial" w:cs="Arial"/>
        </w:rPr>
      </w:pPr>
      <w:r w:rsidRPr="00423DB1">
        <w:rPr>
          <w:rFonts w:ascii="Arial" w:hAnsi="Arial" w:cs="Arial"/>
        </w:rPr>
        <w:t>This limitation is addressed by the Leuven Scales of Well-being and Involvement, which take a different approach by focusing on the child’s perspective. The Leuven Scales assess two key indicators of quality</w:t>
      </w:r>
      <w:r w:rsidR="0093315A">
        <w:rPr>
          <w:rFonts w:ascii="Arial" w:hAnsi="Arial" w:cs="Arial"/>
        </w:rPr>
        <w:t>,</w:t>
      </w:r>
      <w:r w:rsidRPr="00423DB1">
        <w:rPr>
          <w:rFonts w:ascii="Arial" w:hAnsi="Arial" w:cs="Arial"/>
        </w:rPr>
        <w:t xml:space="preserve"> emotional well-being and involvement. Well-being refers to how safe, secure, and confident a child feels within the setting, while involvement refers to the level of engagement and concentration a child demonstrates during activities</w:t>
      </w:r>
      <w:r>
        <w:rPr>
          <w:rFonts w:ascii="Arial" w:hAnsi="Arial" w:cs="Arial"/>
        </w:rPr>
        <w:t xml:space="preserve"> </w:t>
      </w:r>
      <w:r w:rsidRPr="00423DB1">
        <w:rPr>
          <w:rFonts w:ascii="Arial" w:hAnsi="Arial" w:cs="Arial"/>
        </w:rPr>
        <w:t>(Moorhouse, 2024)</w:t>
      </w:r>
      <w:r>
        <w:rPr>
          <w:rFonts w:ascii="Arial" w:hAnsi="Arial" w:cs="Arial"/>
        </w:rPr>
        <w:t>.</w:t>
      </w:r>
      <w:r w:rsidR="0093315A">
        <w:rPr>
          <w:rFonts w:ascii="Arial" w:hAnsi="Arial" w:cs="Arial"/>
        </w:rPr>
        <w:t xml:space="preserve"> </w:t>
      </w:r>
      <w:r w:rsidRPr="00423DB1">
        <w:rPr>
          <w:rFonts w:ascii="Arial" w:hAnsi="Arial" w:cs="Arial"/>
        </w:rPr>
        <w:t xml:space="preserve">The aim of the Leuven Scales is to evaluate the effectiveness of provision based on children’s experiences rather than structural factors. </w:t>
      </w:r>
      <w:r w:rsidR="0093315A">
        <w:rPr>
          <w:rFonts w:ascii="Arial" w:hAnsi="Arial" w:cs="Arial"/>
        </w:rPr>
        <w:t>P</w:t>
      </w:r>
      <w:r w:rsidRPr="00423DB1">
        <w:rPr>
          <w:rFonts w:ascii="Arial" w:hAnsi="Arial" w:cs="Arial"/>
        </w:rPr>
        <w:t xml:space="preserve">ractitioners observe children and rate their well-being and involvement on a scale, providing </w:t>
      </w:r>
      <w:r w:rsidR="0093315A">
        <w:rPr>
          <w:rFonts w:ascii="Arial" w:hAnsi="Arial" w:cs="Arial"/>
        </w:rPr>
        <w:t xml:space="preserve">an </w:t>
      </w:r>
      <w:r w:rsidR="0093315A" w:rsidRPr="00423DB1">
        <w:rPr>
          <w:rFonts w:ascii="Arial" w:hAnsi="Arial" w:cs="Arial"/>
        </w:rPr>
        <w:t>awareness</w:t>
      </w:r>
      <w:r w:rsidRPr="00423DB1">
        <w:rPr>
          <w:rFonts w:ascii="Arial" w:hAnsi="Arial" w:cs="Arial"/>
        </w:rPr>
        <w:t xml:space="preserve"> </w:t>
      </w:r>
      <w:r w:rsidR="0093315A">
        <w:rPr>
          <w:rFonts w:ascii="Arial" w:hAnsi="Arial" w:cs="Arial"/>
        </w:rPr>
        <w:t xml:space="preserve">of </w:t>
      </w:r>
      <w:r w:rsidRPr="00423DB1">
        <w:rPr>
          <w:rFonts w:ascii="Arial" w:hAnsi="Arial" w:cs="Arial"/>
        </w:rPr>
        <w:t>how the environment and interactions are impacting them.</w:t>
      </w:r>
      <w:r w:rsidR="0093315A">
        <w:rPr>
          <w:rFonts w:ascii="Arial" w:hAnsi="Arial" w:cs="Arial"/>
        </w:rPr>
        <w:t xml:space="preserve"> </w:t>
      </w:r>
      <w:r w:rsidRPr="00423DB1">
        <w:rPr>
          <w:rFonts w:ascii="Arial" w:hAnsi="Arial" w:cs="Arial"/>
        </w:rPr>
        <w:t>One of the key strengths of the Leuven Scales is that they place the child at the centre of quality assessment</w:t>
      </w:r>
      <w:r>
        <w:rPr>
          <w:rFonts w:ascii="Arial" w:hAnsi="Arial" w:cs="Arial"/>
        </w:rPr>
        <w:t xml:space="preserve"> </w:t>
      </w:r>
      <w:r w:rsidRPr="00423DB1">
        <w:rPr>
          <w:rFonts w:ascii="Arial" w:hAnsi="Arial" w:cs="Arial"/>
        </w:rPr>
        <w:t>(Moorhouse, 2024)</w:t>
      </w:r>
      <w:r>
        <w:rPr>
          <w:rFonts w:ascii="Arial" w:hAnsi="Arial" w:cs="Arial"/>
        </w:rPr>
        <w:t>.</w:t>
      </w:r>
      <w:r w:rsidRPr="00423DB1">
        <w:rPr>
          <w:rFonts w:ascii="Arial" w:hAnsi="Arial" w:cs="Arial"/>
        </w:rPr>
        <w:t xml:space="preserve"> This aligns closely with child-centred approaches and policy frameworks such as the United Nations Convention on the Rights of the Child, which emphasises the importance of children’s voices and experiences. By focusing on how children feel and engage, Leuven provides valuable insight into whether the setting is meeting their emotional and developmental needs</w:t>
      </w:r>
      <w:r w:rsidRPr="00423DB1">
        <w:rPr>
          <w:color w:val="000000"/>
        </w:rPr>
        <w:t xml:space="preserve"> </w:t>
      </w:r>
      <w:r w:rsidRPr="00423DB1">
        <w:rPr>
          <w:rFonts w:ascii="Arial" w:hAnsi="Arial" w:cs="Arial"/>
        </w:rPr>
        <w:t>(UNICEF, 2016).</w:t>
      </w:r>
      <w:r w:rsidR="0093315A">
        <w:rPr>
          <w:rFonts w:ascii="Arial" w:hAnsi="Arial" w:cs="Arial"/>
        </w:rPr>
        <w:t xml:space="preserve"> </w:t>
      </w:r>
      <w:r w:rsidRPr="00423DB1">
        <w:rPr>
          <w:rFonts w:ascii="Arial" w:hAnsi="Arial" w:cs="Arial"/>
        </w:rPr>
        <w:t xml:space="preserve">The Leuven Scales also support inclusive practice. For example, if a child consistently demonstrates low levels of involvement, this may </w:t>
      </w:r>
      <w:r w:rsidR="0093315A" w:rsidRPr="00423DB1">
        <w:rPr>
          <w:rFonts w:ascii="Arial" w:hAnsi="Arial" w:cs="Arial"/>
        </w:rPr>
        <w:t>specify</w:t>
      </w:r>
      <w:r w:rsidRPr="00423DB1">
        <w:rPr>
          <w:rFonts w:ascii="Arial" w:hAnsi="Arial" w:cs="Arial"/>
        </w:rPr>
        <w:t xml:space="preserve"> that activities are not meeting their needs or that they require additional support. This is particularly important for children with </w:t>
      </w:r>
      <w:r w:rsidRPr="00423DB1">
        <w:rPr>
          <w:rFonts w:ascii="Arial" w:hAnsi="Arial" w:cs="Arial"/>
        </w:rPr>
        <w:lastRenderedPageBreak/>
        <w:t>additional learning needs, who may require tailored approaches to ensure they are fully included in the setting. In this way, Leuven can act as an early identification tool, enabling practitioners to respond proactively to children’s needs</w:t>
      </w:r>
      <w:r w:rsidRPr="00423DB1">
        <w:rPr>
          <w:color w:val="000000"/>
        </w:rPr>
        <w:t xml:space="preserve"> </w:t>
      </w:r>
      <w:r w:rsidRPr="00423DB1">
        <w:rPr>
          <w:rFonts w:ascii="Arial" w:hAnsi="Arial" w:cs="Arial"/>
        </w:rPr>
        <w:t>(</w:t>
      </w:r>
      <w:proofErr w:type="spellStart"/>
      <w:r w:rsidRPr="00423DB1">
        <w:rPr>
          <w:rFonts w:ascii="Arial" w:hAnsi="Arial" w:cs="Arial"/>
        </w:rPr>
        <w:t>MacRae</w:t>
      </w:r>
      <w:proofErr w:type="spellEnd"/>
      <w:r w:rsidRPr="00423DB1">
        <w:rPr>
          <w:rFonts w:ascii="Arial" w:hAnsi="Arial" w:cs="Arial"/>
        </w:rPr>
        <w:t xml:space="preserve"> and Jones, 2020).</w:t>
      </w:r>
    </w:p>
    <w:p w14:paraId="1A5B6EF6" w14:textId="77777777" w:rsidR="0093315A" w:rsidRPr="00423DB1" w:rsidRDefault="0093315A" w:rsidP="00423DB1">
      <w:pPr>
        <w:spacing w:line="360" w:lineRule="auto"/>
        <w:rPr>
          <w:rFonts w:ascii="Arial" w:hAnsi="Arial" w:cs="Arial"/>
        </w:rPr>
      </w:pPr>
    </w:p>
    <w:p w14:paraId="11AA1E83" w14:textId="7EE07B9B" w:rsidR="00423DB1" w:rsidRDefault="00423DB1" w:rsidP="00423DB1">
      <w:pPr>
        <w:spacing w:line="360" w:lineRule="auto"/>
        <w:rPr>
          <w:rFonts w:ascii="Arial" w:hAnsi="Arial" w:cs="Arial"/>
        </w:rPr>
      </w:pPr>
      <w:r w:rsidRPr="00423DB1">
        <w:rPr>
          <w:rFonts w:ascii="Arial" w:hAnsi="Arial" w:cs="Arial"/>
        </w:rPr>
        <w:t xml:space="preserve">Furthermore, Leuven goes beyond statutory requirements by addressing aspects of quality that are not explicitly measured within minimum standards. While statutory frameworks ensure that children are safe and cared for, Leuven ensures that they are also emotionally secure and actively engaged. This distinction is </w:t>
      </w:r>
      <w:r w:rsidR="0093315A">
        <w:rPr>
          <w:rFonts w:ascii="Arial" w:hAnsi="Arial" w:cs="Arial"/>
        </w:rPr>
        <w:t xml:space="preserve">important, </w:t>
      </w:r>
      <w:r w:rsidRPr="00423DB1">
        <w:rPr>
          <w:rFonts w:ascii="Arial" w:hAnsi="Arial" w:cs="Arial"/>
        </w:rPr>
        <w:t>as emotional well-being and engagement are key predictors of positive outcomes in early childhood</w:t>
      </w:r>
      <w:r w:rsidRPr="00423DB1">
        <w:rPr>
          <w:color w:val="000000"/>
        </w:rPr>
        <w:t xml:space="preserve"> </w:t>
      </w:r>
      <w:r w:rsidRPr="00423DB1">
        <w:rPr>
          <w:rFonts w:ascii="Arial" w:hAnsi="Arial" w:cs="Arial"/>
        </w:rPr>
        <w:t>(</w:t>
      </w:r>
      <w:proofErr w:type="spellStart"/>
      <w:r w:rsidRPr="00423DB1">
        <w:rPr>
          <w:rFonts w:ascii="Arial" w:hAnsi="Arial" w:cs="Arial"/>
        </w:rPr>
        <w:t>Aadland</w:t>
      </w:r>
      <w:proofErr w:type="spellEnd"/>
      <w:r w:rsidRPr="00423DB1">
        <w:rPr>
          <w:rFonts w:ascii="Arial" w:hAnsi="Arial" w:cs="Arial"/>
        </w:rPr>
        <w:t> </w:t>
      </w:r>
      <w:r w:rsidRPr="00423DB1">
        <w:rPr>
          <w:rFonts w:ascii="Arial" w:hAnsi="Arial" w:cs="Arial"/>
          <w:i/>
          <w:iCs/>
        </w:rPr>
        <w:t>et al.</w:t>
      </w:r>
      <w:r w:rsidRPr="00423DB1">
        <w:rPr>
          <w:rFonts w:ascii="Arial" w:hAnsi="Arial" w:cs="Arial"/>
        </w:rPr>
        <w:t>, 2025).</w:t>
      </w:r>
      <w:r w:rsidR="0093315A">
        <w:rPr>
          <w:rFonts w:ascii="Arial" w:hAnsi="Arial" w:cs="Arial"/>
        </w:rPr>
        <w:t xml:space="preserve"> </w:t>
      </w:r>
      <w:r w:rsidRPr="00423DB1">
        <w:rPr>
          <w:rFonts w:ascii="Arial" w:hAnsi="Arial" w:cs="Arial"/>
        </w:rPr>
        <w:t xml:space="preserve">However, the Leuven Scales </w:t>
      </w:r>
      <w:r w:rsidR="0093315A">
        <w:rPr>
          <w:rFonts w:ascii="Arial" w:hAnsi="Arial" w:cs="Arial"/>
        </w:rPr>
        <w:t xml:space="preserve">do have </w:t>
      </w:r>
      <w:r w:rsidRPr="00423DB1">
        <w:rPr>
          <w:rFonts w:ascii="Arial" w:hAnsi="Arial" w:cs="Arial"/>
        </w:rPr>
        <w:t xml:space="preserve">limitations. One significant issue is their reliance on practitioner judgement, which introduces </w:t>
      </w:r>
      <w:r w:rsidR="0093315A" w:rsidRPr="00423DB1">
        <w:rPr>
          <w:rFonts w:ascii="Arial" w:hAnsi="Arial" w:cs="Arial"/>
        </w:rPr>
        <w:t>bias</w:t>
      </w:r>
      <w:r w:rsidRPr="00423DB1">
        <w:rPr>
          <w:rFonts w:ascii="Arial" w:hAnsi="Arial" w:cs="Arial"/>
        </w:rPr>
        <w:t>. Different practitioners may interpret children’s behaviour differently, leading to inconsistencies in scoring. This can impact the reliability of the data and may require training and moderation to ensure consistency</w:t>
      </w:r>
      <w:r w:rsidRPr="00423DB1">
        <w:rPr>
          <w:color w:val="000000"/>
        </w:rPr>
        <w:t xml:space="preserve"> </w:t>
      </w:r>
      <w:r w:rsidRPr="00423DB1">
        <w:rPr>
          <w:rFonts w:ascii="Arial" w:hAnsi="Arial" w:cs="Arial"/>
        </w:rPr>
        <w:t>(</w:t>
      </w:r>
      <w:proofErr w:type="spellStart"/>
      <w:r w:rsidRPr="00423DB1">
        <w:rPr>
          <w:rFonts w:ascii="Arial" w:hAnsi="Arial" w:cs="Arial"/>
        </w:rPr>
        <w:t>MacRae</w:t>
      </w:r>
      <w:proofErr w:type="spellEnd"/>
      <w:r w:rsidRPr="00423DB1">
        <w:rPr>
          <w:rFonts w:ascii="Arial" w:hAnsi="Arial" w:cs="Arial"/>
        </w:rPr>
        <w:t xml:space="preserve"> and Jones, 2020).</w:t>
      </w:r>
      <w:r w:rsidR="0093315A">
        <w:rPr>
          <w:rFonts w:ascii="Arial" w:hAnsi="Arial" w:cs="Arial"/>
        </w:rPr>
        <w:t xml:space="preserve"> </w:t>
      </w:r>
      <w:r w:rsidRPr="00423DB1">
        <w:rPr>
          <w:rFonts w:ascii="Arial" w:hAnsi="Arial" w:cs="Arial"/>
        </w:rPr>
        <w:t>Additionally, while Leuven provides valuable insight into children’s experiences, it does not offer detailed information about the environment or structural aspects of provision. For example, it may indicate that a child is disengaged, but it does not specify whether this is due to a lack of resources, poor organisation, or ineffective interactions. This highlights the importance of using Leuven alongside other tools, such as ECERS, to gain a more comprehensive understanding of quality</w:t>
      </w:r>
      <w:r>
        <w:rPr>
          <w:rFonts w:ascii="Arial" w:hAnsi="Arial" w:cs="Arial"/>
        </w:rPr>
        <w:t xml:space="preserve"> </w:t>
      </w:r>
      <w:r w:rsidRPr="00423DB1">
        <w:rPr>
          <w:rFonts w:ascii="Arial" w:hAnsi="Arial" w:cs="Arial"/>
        </w:rPr>
        <w:t>(Williford </w:t>
      </w:r>
      <w:r w:rsidRPr="00423DB1">
        <w:rPr>
          <w:rFonts w:ascii="Arial" w:hAnsi="Arial" w:cs="Arial"/>
          <w:i/>
          <w:iCs/>
        </w:rPr>
        <w:t>et al.</w:t>
      </w:r>
      <w:r w:rsidRPr="00423DB1">
        <w:rPr>
          <w:rFonts w:ascii="Arial" w:hAnsi="Arial" w:cs="Arial"/>
        </w:rPr>
        <w:t>, 2013).</w:t>
      </w:r>
    </w:p>
    <w:p w14:paraId="74D2C552" w14:textId="77777777" w:rsidR="0093315A" w:rsidRPr="00423DB1" w:rsidRDefault="0093315A" w:rsidP="00423DB1">
      <w:pPr>
        <w:spacing w:line="360" w:lineRule="auto"/>
        <w:rPr>
          <w:rFonts w:ascii="Arial" w:hAnsi="Arial" w:cs="Arial"/>
        </w:rPr>
      </w:pPr>
    </w:p>
    <w:p w14:paraId="46612F60" w14:textId="5AAFD335" w:rsidR="00423DB1" w:rsidRPr="00423DB1" w:rsidRDefault="00423DB1" w:rsidP="00423DB1">
      <w:pPr>
        <w:spacing w:line="360" w:lineRule="auto"/>
        <w:rPr>
          <w:rFonts w:ascii="Arial" w:hAnsi="Arial" w:cs="Arial"/>
        </w:rPr>
      </w:pPr>
      <w:r w:rsidRPr="00423DB1">
        <w:rPr>
          <w:rFonts w:ascii="Arial" w:hAnsi="Arial" w:cs="Arial"/>
        </w:rPr>
        <w:t xml:space="preserve">When comparing ECERS and Leuven, </w:t>
      </w:r>
      <w:proofErr w:type="gramStart"/>
      <w:r w:rsidRPr="00423DB1">
        <w:rPr>
          <w:rFonts w:ascii="Arial" w:hAnsi="Arial" w:cs="Arial"/>
        </w:rPr>
        <w:t xml:space="preserve">it </w:t>
      </w:r>
      <w:r w:rsidR="0093315A">
        <w:rPr>
          <w:rFonts w:ascii="Arial" w:hAnsi="Arial" w:cs="Arial"/>
        </w:rPr>
        <w:t xml:space="preserve">is </w:t>
      </w:r>
      <w:r w:rsidRPr="00423DB1">
        <w:rPr>
          <w:rFonts w:ascii="Arial" w:hAnsi="Arial" w:cs="Arial"/>
        </w:rPr>
        <w:t>clear that they</w:t>
      </w:r>
      <w:proofErr w:type="gramEnd"/>
      <w:r w:rsidRPr="00423DB1">
        <w:rPr>
          <w:rFonts w:ascii="Arial" w:hAnsi="Arial" w:cs="Arial"/>
        </w:rPr>
        <w:t xml:space="preserve"> provide different but complementary types of information. ECERS focuses on what the setting provides, while Leuven focuses on how children experience that provision. This distinction is crucial when considering what information is needed to improve quality.</w:t>
      </w:r>
    </w:p>
    <w:p w14:paraId="148DF348" w14:textId="7B2BAB01" w:rsidR="00423DB1" w:rsidRDefault="00423DB1" w:rsidP="00423DB1">
      <w:pPr>
        <w:spacing w:line="360" w:lineRule="auto"/>
        <w:rPr>
          <w:rFonts w:ascii="Arial" w:hAnsi="Arial" w:cs="Arial"/>
        </w:rPr>
      </w:pPr>
      <w:r w:rsidRPr="00423DB1">
        <w:rPr>
          <w:rFonts w:ascii="Arial" w:hAnsi="Arial" w:cs="Arial"/>
        </w:rPr>
        <w:t>To effectively improve provision, practitioners require both types of information. They need to understand whether the environment is well-resourced and organised, as well as whether children are engaged and emotionally secure. Neither ECERS nor Leuven alone can provide a complete picture. However, when used together, they offer a more holistic approach to quality assurance</w:t>
      </w:r>
      <w:r w:rsidRPr="00423DB1">
        <w:rPr>
          <w:color w:val="000000"/>
        </w:rPr>
        <w:t xml:space="preserve"> </w:t>
      </w:r>
      <w:r w:rsidRPr="00423DB1">
        <w:rPr>
          <w:rFonts w:ascii="Arial" w:hAnsi="Arial" w:cs="Arial"/>
        </w:rPr>
        <w:t>(</w:t>
      </w:r>
      <w:proofErr w:type="spellStart"/>
      <w:r w:rsidRPr="00423DB1">
        <w:rPr>
          <w:rFonts w:ascii="Arial" w:hAnsi="Arial" w:cs="Arial"/>
        </w:rPr>
        <w:t>Ainur</w:t>
      </w:r>
      <w:proofErr w:type="spellEnd"/>
      <w:r w:rsidRPr="00423DB1">
        <w:rPr>
          <w:rFonts w:ascii="Arial" w:hAnsi="Arial" w:cs="Arial"/>
        </w:rPr>
        <w:t xml:space="preserve"> </w:t>
      </w:r>
      <w:proofErr w:type="spellStart"/>
      <w:r w:rsidRPr="00423DB1">
        <w:rPr>
          <w:rFonts w:ascii="Arial" w:hAnsi="Arial" w:cs="Arial"/>
        </w:rPr>
        <w:t>Alpys</w:t>
      </w:r>
      <w:proofErr w:type="spellEnd"/>
      <w:r w:rsidRPr="00423DB1">
        <w:rPr>
          <w:rFonts w:ascii="Arial" w:hAnsi="Arial" w:cs="Arial"/>
        </w:rPr>
        <w:t xml:space="preserve"> and Hernández-</w:t>
      </w:r>
      <w:proofErr w:type="spellStart"/>
      <w:r w:rsidRPr="00423DB1">
        <w:rPr>
          <w:rFonts w:ascii="Arial" w:hAnsi="Arial" w:cs="Arial"/>
        </w:rPr>
        <w:t>Torrano</w:t>
      </w:r>
      <w:proofErr w:type="spellEnd"/>
      <w:r w:rsidRPr="00423DB1">
        <w:rPr>
          <w:rFonts w:ascii="Arial" w:hAnsi="Arial" w:cs="Arial"/>
        </w:rPr>
        <w:t>, 2025).</w:t>
      </w:r>
      <w:r w:rsidR="0093315A">
        <w:rPr>
          <w:rFonts w:ascii="Arial" w:hAnsi="Arial" w:cs="Arial"/>
        </w:rPr>
        <w:t xml:space="preserve"> </w:t>
      </w:r>
      <w:r w:rsidRPr="00423DB1">
        <w:rPr>
          <w:rFonts w:ascii="Arial" w:hAnsi="Arial" w:cs="Arial"/>
        </w:rPr>
        <w:t xml:space="preserve">For example, ECERS may identify that a role-play area lacks sufficient resources, while Leuven may reveal that children are not engaging with </w:t>
      </w:r>
      <w:r w:rsidRPr="00423DB1">
        <w:rPr>
          <w:rFonts w:ascii="Arial" w:hAnsi="Arial" w:cs="Arial"/>
        </w:rPr>
        <w:lastRenderedPageBreak/>
        <w:t>that area. Together, this information provides a clear indication of what needs to be improved and how it is impacting children. This enables practitioners to make informed decisions, such as introducing new resources and adapting interactions to encourage engagement.</w:t>
      </w:r>
    </w:p>
    <w:p w14:paraId="67DC7707" w14:textId="77777777" w:rsidR="0093315A" w:rsidRPr="00423DB1" w:rsidRDefault="0093315A" w:rsidP="00423DB1">
      <w:pPr>
        <w:spacing w:line="360" w:lineRule="auto"/>
        <w:rPr>
          <w:rFonts w:ascii="Arial" w:hAnsi="Arial" w:cs="Arial"/>
        </w:rPr>
      </w:pPr>
    </w:p>
    <w:p w14:paraId="6D022424" w14:textId="77777777" w:rsidR="0093315A" w:rsidRDefault="00423DB1" w:rsidP="00423DB1">
      <w:pPr>
        <w:spacing w:line="360" w:lineRule="auto"/>
        <w:rPr>
          <w:rFonts w:ascii="Arial" w:hAnsi="Arial" w:cs="Arial"/>
        </w:rPr>
      </w:pPr>
      <w:r w:rsidRPr="00423DB1">
        <w:rPr>
          <w:rFonts w:ascii="Arial" w:hAnsi="Arial" w:cs="Arial"/>
        </w:rPr>
        <w:t xml:space="preserve">Despite their strengths, it is important to recognise that both methods have limitations in terms of the information they provide. Neither ECERS nor Leuven fully addresses aspects such as staff training, safeguarding practices, or leadership and management. These are critical </w:t>
      </w:r>
      <w:r w:rsidR="0093315A" w:rsidRPr="00423DB1">
        <w:rPr>
          <w:rFonts w:ascii="Arial" w:hAnsi="Arial" w:cs="Arial"/>
        </w:rPr>
        <w:t>factors</w:t>
      </w:r>
      <w:r w:rsidRPr="00423DB1">
        <w:rPr>
          <w:rFonts w:ascii="Arial" w:hAnsi="Arial" w:cs="Arial"/>
        </w:rPr>
        <w:t xml:space="preserve"> of quality and must be evaluated through additional methods, such as staff supervision, policy reviews, and professional development records</w:t>
      </w:r>
      <w:r>
        <w:rPr>
          <w:rFonts w:ascii="Arial" w:hAnsi="Arial" w:cs="Arial"/>
        </w:rPr>
        <w:t xml:space="preserve"> </w:t>
      </w:r>
      <w:r w:rsidRPr="00423DB1">
        <w:rPr>
          <w:rFonts w:ascii="Arial" w:hAnsi="Arial" w:cs="Arial"/>
        </w:rPr>
        <w:t>(OECD , 2006)</w:t>
      </w:r>
      <w:r>
        <w:rPr>
          <w:rFonts w:ascii="Arial" w:hAnsi="Arial" w:cs="Arial"/>
        </w:rPr>
        <w:t>.</w:t>
      </w:r>
      <w:r w:rsidR="0093315A">
        <w:rPr>
          <w:rFonts w:ascii="Arial" w:hAnsi="Arial" w:cs="Arial"/>
        </w:rPr>
        <w:t xml:space="preserve"> </w:t>
      </w:r>
      <w:r w:rsidRPr="00423DB1">
        <w:rPr>
          <w:rFonts w:ascii="Arial" w:hAnsi="Arial" w:cs="Arial"/>
        </w:rPr>
        <w:t>This highlights the importance of leadership in driving quality improvement. Leaders must ensure that data from ECERS and Leuven is not only collected but also analysed and used effectively. This involves reflecting on findings, identifying priorities, and implementing changes that enhance provision. Without this process, the use of quality assurance tools may have limited impact</w:t>
      </w:r>
      <w:r w:rsidR="0093315A" w:rsidRPr="0093315A">
        <w:rPr>
          <w:color w:val="000000"/>
        </w:rPr>
        <w:t xml:space="preserve"> </w:t>
      </w:r>
      <w:r w:rsidR="0093315A" w:rsidRPr="0093315A">
        <w:rPr>
          <w:rFonts w:ascii="Arial" w:hAnsi="Arial" w:cs="Arial"/>
        </w:rPr>
        <w:t>(</w:t>
      </w:r>
      <w:proofErr w:type="spellStart"/>
      <w:r w:rsidR="0093315A" w:rsidRPr="0093315A">
        <w:rPr>
          <w:rFonts w:ascii="Arial" w:hAnsi="Arial" w:cs="Arial"/>
        </w:rPr>
        <w:t>Ballaschk</w:t>
      </w:r>
      <w:proofErr w:type="spellEnd"/>
      <w:r w:rsidR="0093315A" w:rsidRPr="0093315A">
        <w:rPr>
          <w:rFonts w:ascii="Arial" w:hAnsi="Arial" w:cs="Arial"/>
        </w:rPr>
        <w:t xml:space="preserve">, </w:t>
      </w:r>
      <w:proofErr w:type="spellStart"/>
      <w:r w:rsidR="0093315A" w:rsidRPr="0093315A">
        <w:rPr>
          <w:rFonts w:ascii="Arial" w:hAnsi="Arial" w:cs="Arial"/>
        </w:rPr>
        <w:t>Brauckmann-Sajkiewicz</w:t>
      </w:r>
      <w:proofErr w:type="spellEnd"/>
      <w:r w:rsidR="0093315A" w:rsidRPr="0093315A">
        <w:rPr>
          <w:rFonts w:ascii="Arial" w:hAnsi="Arial" w:cs="Arial"/>
        </w:rPr>
        <w:t xml:space="preserve"> and </w:t>
      </w:r>
      <w:proofErr w:type="spellStart"/>
      <w:r w:rsidR="0093315A" w:rsidRPr="0093315A">
        <w:rPr>
          <w:rFonts w:ascii="Arial" w:hAnsi="Arial" w:cs="Arial"/>
        </w:rPr>
        <w:t>Pashiardis</w:t>
      </w:r>
      <w:proofErr w:type="spellEnd"/>
      <w:r w:rsidR="0093315A" w:rsidRPr="0093315A">
        <w:rPr>
          <w:rFonts w:ascii="Arial" w:hAnsi="Arial" w:cs="Arial"/>
        </w:rPr>
        <w:t>, 2024)</w:t>
      </w:r>
      <w:r w:rsidRPr="00423DB1">
        <w:rPr>
          <w:rFonts w:ascii="Arial" w:hAnsi="Arial" w:cs="Arial"/>
        </w:rPr>
        <w:t>.</w:t>
      </w:r>
      <w:r w:rsidR="0093315A">
        <w:rPr>
          <w:rFonts w:ascii="Arial" w:hAnsi="Arial" w:cs="Arial"/>
        </w:rPr>
        <w:t xml:space="preserve"> </w:t>
      </w:r>
      <w:r w:rsidRPr="00423DB1">
        <w:rPr>
          <w:rFonts w:ascii="Arial" w:hAnsi="Arial" w:cs="Arial"/>
        </w:rPr>
        <w:t>In terms of driving quality beyond statutory requirements, both ECERS and Leuven play a significant role. Statutory requirements provide a baseline for practice, ensuring that settings meet minimum standards of safety and care. However, they do not address the deeper aspects of quality that influence children’s experiences and outcomes</w:t>
      </w:r>
      <w:r w:rsidR="0093315A" w:rsidRPr="0093315A">
        <w:rPr>
          <w:color w:val="000000"/>
        </w:rPr>
        <w:t xml:space="preserve"> </w:t>
      </w:r>
      <w:r w:rsidR="0093315A" w:rsidRPr="0093315A">
        <w:rPr>
          <w:rFonts w:ascii="Arial" w:hAnsi="Arial" w:cs="Arial"/>
        </w:rPr>
        <w:t>(Welsh Government, 2023)</w:t>
      </w:r>
      <w:r w:rsidRPr="00423DB1">
        <w:rPr>
          <w:rFonts w:ascii="Arial" w:hAnsi="Arial" w:cs="Arial"/>
        </w:rPr>
        <w:t>.</w:t>
      </w:r>
    </w:p>
    <w:p w14:paraId="30F8887F" w14:textId="77777777" w:rsidR="0093315A" w:rsidRDefault="0093315A" w:rsidP="00423DB1">
      <w:pPr>
        <w:spacing w:line="360" w:lineRule="auto"/>
        <w:rPr>
          <w:rFonts w:ascii="Arial" w:hAnsi="Arial" w:cs="Arial"/>
        </w:rPr>
      </w:pPr>
    </w:p>
    <w:p w14:paraId="2516E4CC" w14:textId="5818EFE8" w:rsidR="00423DB1" w:rsidRDefault="00423DB1" w:rsidP="00423DB1">
      <w:pPr>
        <w:spacing w:line="360" w:lineRule="auto"/>
        <w:rPr>
          <w:rFonts w:ascii="Arial" w:hAnsi="Arial" w:cs="Arial"/>
        </w:rPr>
      </w:pPr>
      <w:r w:rsidRPr="00423DB1">
        <w:rPr>
          <w:rFonts w:ascii="Arial" w:hAnsi="Arial" w:cs="Arial"/>
        </w:rPr>
        <w:t>ECERS drives quality by encouraging practitioners to critically evaluate their environment and make improvements that enhance learning opportunities. It promotes a more thoughtful and intentional approach to the organisation of space and resources. Leuven, on the other hand, drives quality by focusing on children’s well-being and engagement, ensuring that provision is responsive to their needs.</w:t>
      </w:r>
      <w:r w:rsidR="0093315A">
        <w:rPr>
          <w:rFonts w:ascii="Arial" w:hAnsi="Arial" w:cs="Arial"/>
        </w:rPr>
        <w:t xml:space="preserve"> </w:t>
      </w:r>
      <w:r w:rsidRPr="00423DB1">
        <w:rPr>
          <w:rFonts w:ascii="Arial" w:hAnsi="Arial" w:cs="Arial"/>
        </w:rPr>
        <w:t>Together, these methods support a culture of reflective practice and continuous improvement. They encourage practitioners to move beyond compl</w:t>
      </w:r>
      <w:r w:rsidR="0093315A">
        <w:rPr>
          <w:rFonts w:ascii="Arial" w:hAnsi="Arial" w:cs="Arial"/>
        </w:rPr>
        <w:t>ying</w:t>
      </w:r>
      <w:r w:rsidRPr="00423DB1">
        <w:rPr>
          <w:rFonts w:ascii="Arial" w:hAnsi="Arial" w:cs="Arial"/>
        </w:rPr>
        <w:t xml:space="preserve"> and consider how their practice impacts children. This aligns with inspection expectations and demonstrates a commitment to providing high-quality provision</w:t>
      </w:r>
      <w:r w:rsidR="0093315A">
        <w:rPr>
          <w:rFonts w:ascii="Arial" w:hAnsi="Arial" w:cs="Arial"/>
        </w:rPr>
        <w:t xml:space="preserve"> </w:t>
      </w:r>
      <w:r w:rsidR="0093315A" w:rsidRPr="0093315A">
        <w:rPr>
          <w:rFonts w:ascii="Arial" w:hAnsi="Arial" w:cs="Arial"/>
        </w:rPr>
        <w:t>(Brief and Gardiner, 2017)</w:t>
      </w:r>
      <w:r w:rsidR="0093315A">
        <w:rPr>
          <w:rFonts w:ascii="Arial" w:hAnsi="Arial" w:cs="Arial"/>
        </w:rPr>
        <w:t>.</w:t>
      </w:r>
    </w:p>
    <w:p w14:paraId="4AE540DD" w14:textId="77777777" w:rsidR="00423DB1" w:rsidRPr="00423DB1" w:rsidRDefault="00423DB1" w:rsidP="00423DB1">
      <w:pPr>
        <w:spacing w:line="360" w:lineRule="auto"/>
        <w:rPr>
          <w:rFonts w:ascii="Arial" w:hAnsi="Arial" w:cs="Arial"/>
        </w:rPr>
      </w:pPr>
    </w:p>
    <w:p w14:paraId="0C34A9D1" w14:textId="01BE6552" w:rsidR="00423DB1" w:rsidRPr="00423DB1" w:rsidRDefault="00423DB1" w:rsidP="00423DB1">
      <w:pPr>
        <w:spacing w:line="360" w:lineRule="auto"/>
        <w:rPr>
          <w:rFonts w:ascii="Arial" w:hAnsi="Arial" w:cs="Arial"/>
        </w:rPr>
      </w:pPr>
      <w:r w:rsidRPr="00423DB1">
        <w:rPr>
          <w:rFonts w:ascii="Arial" w:hAnsi="Arial" w:cs="Arial"/>
        </w:rPr>
        <w:lastRenderedPageBreak/>
        <w:t>In conclusion, the Early Childhood Environment Rating Scale and the Leuven Scales of Well-being and Involvement are valuable tools for promoting and ensuring quality in early years settings. While ECERS provides a structured assessment of the environment, Leuven offers insight into children’s experiences. Both methods have strengths and limitations, but when used together, they provide a more comprehensive understanding of quality.</w:t>
      </w:r>
      <w:r w:rsidR="0093315A">
        <w:rPr>
          <w:rFonts w:ascii="Arial" w:hAnsi="Arial" w:cs="Arial"/>
        </w:rPr>
        <w:t xml:space="preserve"> </w:t>
      </w:r>
      <w:r w:rsidRPr="00423DB1">
        <w:rPr>
          <w:rFonts w:ascii="Arial" w:hAnsi="Arial" w:cs="Arial"/>
        </w:rPr>
        <w:t>Importantly, these methods enable settings to go beyond statutory requirements by focusing on continuous improvement, reflective practice, and the needs of the child. By using the information gathered to inform decision-making and practice, settings can create environments that not only meet basic standards but actively support children’s development, well-being, and long-term outcomes.</w:t>
      </w:r>
    </w:p>
    <w:p w14:paraId="4D788630" w14:textId="77777777" w:rsidR="00423DB1" w:rsidRDefault="00423DB1"/>
    <w:p w14:paraId="72489EE3" w14:textId="77777777" w:rsidR="0093315A" w:rsidRDefault="0093315A"/>
    <w:p w14:paraId="2E54E11D" w14:textId="77777777" w:rsidR="0093315A" w:rsidRDefault="0093315A"/>
    <w:p w14:paraId="67D5A40E" w14:textId="77777777" w:rsidR="0093315A" w:rsidRDefault="0093315A"/>
    <w:p w14:paraId="44DD5DF3" w14:textId="77777777" w:rsidR="0093315A" w:rsidRDefault="0093315A"/>
    <w:p w14:paraId="2F691F5B" w14:textId="77777777" w:rsidR="0093315A" w:rsidRDefault="0093315A"/>
    <w:p w14:paraId="55C88D13" w14:textId="77777777" w:rsidR="0093315A" w:rsidRDefault="0093315A"/>
    <w:p w14:paraId="636B1796" w14:textId="77777777" w:rsidR="0093315A" w:rsidRDefault="0093315A"/>
    <w:p w14:paraId="02EC22B4" w14:textId="77777777" w:rsidR="0093315A" w:rsidRDefault="0093315A"/>
    <w:p w14:paraId="595E52CE" w14:textId="77777777" w:rsidR="0093315A" w:rsidRDefault="0093315A"/>
    <w:p w14:paraId="76802F85" w14:textId="77777777" w:rsidR="0093315A" w:rsidRDefault="0093315A"/>
    <w:p w14:paraId="17644142" w14:textId="77777777" w:rsidR="0093315A" w:rsidRDefault="0093315A"/>
    <w:p w14:paraId="3081D482" w14:textId="77777777" w:rsidR="0093315A" w:rsidRDefault="0093315A"/>
    <w:p w14:paraId="5BF14917" w14:textId="77777777" w:rsidR="0093315A" w:rsidRDefault="0093315A"/>
    <w:p w14:paraId="284B5E0F" w14:textId="77777777" w:rsidR="0093315A" w:rsidRDefault="0093315A"/>
    <w:p w14:paraId="1389F1D7" w14:textId="77777777" w:rsidR="0093315A" w:rsidRDefault="0093315A"/>
    <w:p w14:paraId="21558C07" w14:textId="77777777" w:rsidR="0093315A" w:rsidRDefault="0093315A"/>
    <w:p w14:paraId="46B38835" w14:textId="77777777" w:rsidR="0093315A" w:rsidRDefault="0093315A"/>
    <w:p w14:paraId="0C91433E" w14:textId="77777777" w:rsidR="0093315A" w:rsidRDefault="0093315A"/>
    <w:p w14:paraId="4E2EBF16" w14:textId="77777777" w:rsidR="0093315A" w:rsidRDefault="0093315A"/>
    <w:p w14:paraId="3DF9D123" w14:textId="77777777" w:rsidR="0093315A" w:rsidRDefault="0093315A"/>
    <w:p w14:paraId="24868EFD" w14:textId="77777777" w:rsidR="0093315A" w:rsidRDefault="0093315A"/>
    <w:p w14:paraId="79224DC9" w14:textId="77777777" w:rsidR="0093315A" w:rsidRDefault="0093315A"/>
    <w:p w14:paraId="406C281D" w14:textId="77777777" w:rsidR="0093315A" w:rsidRDefault="0093315A"/>
    <w:p w14:paraId="415707C9" w14:textId="77777777" w:rsidR="0093315A" w:rsidRDefault="0093315A"/>
    <w:p w14:paraId="1EC65B5E" w14:textId="77777777" w:rsidR="0093315A" w:rsidRDefault="0093315A"/>
    <w:p w14:paraId="6EECD4EC" w14:textId="77777777" w:rsidR="0093315A" w:rsidRDefault="0093315A"/>
    <w:p w14:paraId="43ED7E0B" w14:textId="77777777" w:rsidR="0093315A" w:rsidRDefault="0093315A"/>
    <w:p w14:paraId="44390F5F" w14:textId="77777777" w:rsidR="0093315A" w:rsidRDefault="0093315A"/>
    <w:p w14:paraId="59ED00B0" w14:textId="77777777" w:rsidR="0093315A" w:rsidRDefault="0093315A"/>
    <w:p w14:paraId="5F42F579" w14:textId="77777777" w:rsidR="0093315A" w:rsidRDefault="0093315A"/>
    <w:p w14:paraId="14A629D6" w14:textId="77777777" w:rsidR="0093315A" w:rsidRDefault="0093315A"/>
    <w:p w14:paraId="2B3BBBA1" w14:textId="4C094C37" w:rsidR="0093315A" w:rsidRDefault="0093315A" w:rsidP="0093315A">
      <w:pPr>
        <w:spacing w:line="360" w:lineRule="auto"/>
      </w:pPr>
      <w:r>
        <w:lastRenderedPageBreak/>
        <w:t>Reference list</w:t>
      </w:r>
    </w:p>
    <w:p w14:paraId="580FCC4E" w14:textId="77777777" w:rsidR="0093315A" w:rsidRDefault="0093315A" w:rsidP="0093315A">
      <w:pPr>
        <w:spacing w:line="360" w:lineRule="auto"/>
      </w:pPr>
    </w:p>
    <w:p w14:paraId="3AB0B8AD" w14:textId="77777777" w:rsidR="0093315A" w:rsidRPr="0093315A" w:rsidRDefault="0093315A" w:rsidP="0093315A">
      <w:pPr>
        <w:pStyle w:val="NormalWeb"/>
        <w:spacing w:before="0" w:beforeAutospacing="0" w:after="240" w:afterAutospacing="0" w:line="360" w:lineRule="auto"/>
        <w:rPr>
          <w:rFonts w:ascii="Arial" w:hAnsi="Arial" w:cs="Arial"/>
          <w:color w:val="000000"/>
        </w:rPr>
      </w:pPr>
      <w:proofErr w:type="spellStart"/>
      <w:r w:rsidRPr="0093315A">
        <w:rPr>
          <w:rFonts w:ascii="Arial" w:hAnsi="Arial" w:cs="Arial"/>
          <w:color w:val="000000"/>
        </w:rPr>
        <w:t>Aadland</w:t>
      </w:r>
      <w:proofErr w:type="spellEnd"/>
      <w:r w:rsidRPr="0093315A">
        <w:rPr>
          <w:rFonts w:ascii="Arial" w:hAnsi="Arial" w:cs="Arial"/>
          <w:color w:val="000000"/>
        </w:rPr>
        <w:t>, E.</w:t>
      </w:r>
      <w:r w:rsidRPr="0093315A">
        <w:rPr>
          <w:rStyle w:val="apple-converted-space"/>
          <w:rFonts w:ascii="Arial" w:eastAsiaTheme="majorEastAsia" w:hAnsi="Arial" w:cs="Arial"/>
          <w:color w:val="000000"/>
        </w:rPr>
        <w:t> </w:t>
      </w:r>
      <w:r w:rsidRPr="0093315A">
        <w:rPr>
          <w:rFonts w:ascii="Arial" w:hAnsi="Arial" w:cs="Arial"/>
          <w:i/>
          <w:iCs/>
          <w:color w:val="000000"/>
        </w:rPr>
        <w:t>et al.</w:t>
      </w:r>
      <w:r w:rsidRPr="0093315A">
        <w:rPr>
          <w:rStyle w:val="apple-converted-space"/>
          <w:rFonts w:ascii="Arial" w:eastAsiaTheme="majorEastAsia" w:hAnsi="Arial" w:cs="Arial"/>
          <w:color w:val="000000"/>
        </w:rPr>
        <w:t> </w:t>
      </w:r>
      <w:r w:rsidRPr="0093315A">
        <w:rPr>
          <w:rFonts w:ascii="Arial" w:hAnsi="Arial" w:cs="Arial"/>
          <w:color w:val="000000"/>
        </w:rPr>
        <w:t>(2025) ‘Move-play-explore in early childhood education (</w:t>
      </w:r>
      <w:proofErr w:type="spellStart"/>
      <w:r w:rsidRPr="0093315A">
        <w:rPr>
          <w:rFonts w:ascii="Arial" w:hAnsi="Arial" w:cs="Arial"/>
          <w:color w:val="000000"/>
        </w:rPr>
        <w:t>MoveEarly</w:t>
      </w:r>
      <w:proofErr w:type="spellEnd"/>
      <w:r w:rsidRPr="0093315A">
        <w:rPr>
          <w:rFonts w:ascii="Arial" w:hAnsi="Arial" w:cs="Arial"/>
          <w:color w:val="000000"/>
        </w:rPr>
        <w:t>) – study protocol of a cluster randomized controlled trial of staff professional development for quality pedagogical practices and holistic child development in Norwegian kindergartens’,</w:t>
      </w:r>
      <w:r w:rsidRPr="0093315A">
        <w:rPr>
          <w:rStyle w:val="apple-converted-space"/>
          <w:rFonts w:ascii="Arial" w:eastAsiaTheme="majorEastAsia" w:hAnsi="Arial" w:cs="Arial"/>
          <w:color w:val="000000"/>
        </w:rPr>
        <w:t> </w:t>
      </w:r>
      <w:r w:rsidRPr="0093315A">
        <w:rPr>
          <w:rFonts w:ascii="Arial" w:hAnsi="Arial" w:cs="Arial"/>
          <w:i/>
          <w:iCs/>
          <w:color w:val="000000"/>
        </w:rPr>
        <w:t>BMC Public Health</w:t>
      </w:r>
      <w:r w:rsidRPr="0093315A">
        <w:rPr>
          <w:rFonts w:ascii="Arial" w:hAnsi="Arial" w:cs="Arial"/>
          <w:color w:val="000000"/>
        </w:rPr>
        <w:t>, 26(1). Available at: https://doi.org/10.1186/s12889-025-25831-1.</w:t>
      </w:r>
    </w:p>
    <w:p w14:paraId="1A2F1601" w14:textId="77777777" w:rsidR="0093315A" w:rsidRDefault="0093315A" w:rsidP="0093315A">
      <w:pPr>
        <w:spacing w:line="360" w:lineRule="auto"/>
      </w:pPr>
    </w:p>
    <w:p w14:paraId="0F3CDA21" w14:textId="77777777" w:rsidR="0093315A" w:rsidRPr="0093315A" w:rsidRDefault="0093315A" w:rsidP="0093315A">
      <w:pPr>
        <w:spacing w:line="360" w:lineRule="auto"/>
        <w:rPr>
          <w:rFonts w:ascii="Arial" w:hAnsi="Arial" w:cs="Arial"/>
        </w:rPr>
      </w:pPr>
      <w:proofErr w:type="spellStart"/>
      <w:r w:rsidRPr="0093315A">
        <w:rPr>
          <w:rFonts w:ascii="Arial" w:hAnsi="Arial" w:cs="Arial"/>
        </w:rPr>
        <w:t>Ainur</w:t>
      </w:r>
      <w:proofErr w:type="spellEnd"/>
      <w:r w:rsidRPr="0093315A">
        <w:rPr>
          <w:rFonts w:ascii="Arial" w:hAnsi="Arial" w:cs="Arial"/>
        </w:rPr>
        <w:t xml:space="preserve"> </w:t>
      </w:r>
      <w:proofErr w:type="spellStart"/>
      <w:r w:rsidRPr="0093315A">
        <w:rPr>
          <w:rFonts w:ascii="Arial" w:hAnsi="Arial" w:cs="Arial"/>
        </w:rPr>
        <w:t>Alpys</w:t>
      </w:r>
      <w:proofErr w:type="spellEnd"/>
      <w:r w:rsidRPr="0093315A">
        <w:rPr>
          <w:rFonts w:ascii="Arial" w:hAnsi="Arial" w:cs="Arial"/>
        </w:rPr>
        <w:t xml:space="preserve"> and Hernández-</w:t>
      </w:r>
      <w:proofErr w:type="spellStart"/>
      <w:r w:rsidRPr="0093315A">
        <w:rPr>
          <w:rFonts w:ascii="Arial" w:hAnsi="Arial" w:cs="Arial"/>
        </w:rPr>
        <w:t>Torrano</w:t>
      </w:r>
      <w:proofErr w:type="spellEnd"/>
      <w:r w:rsidRPr="0093315A">
        <w:rPr>
          <w:rFonts w:ascii="Arial" w:hAnsi="Arial" w:cs="Arial"/>
        </w:rPr>
        <w:t>, D. (2025) ‘Scoping Review of Early Childhood Environment Rating Scale (ECERS): Assessing and Validating Quality in Early Childhood Education Settings’, </w:t>
      </w:r>
      <w:r w:rsidRPr="0093315A">
        <w:rPr>
          <w:rFonts w:ascii="Arial" w:hAnsi="Arial" w:cs="Arial"/>
          <w:i/>
          <w:iCs/>
        </w:rPr>
        <w:t>Early Education and Development</w:t>
      </w:r>
      <w:r w:rsidRPr="0093315A">
        <w:rPr>
          <w:rFonts w:ascii="Arial" w:hAnsi="Arial" w:cs="Arial"/>
        </w:rPr>
        <w:t>, pp. 1–21. Available at: https://doi.org/10.1080/10409289.2025.2585294.</w:t>
      </w:r>
    </w:p>
    <w:p w14:paraId="704F845F" w14:textId="77777777" w:rsidR="0093315A" w:rsidRPr="0093315A" w:rsidRDefault="0093315A" w:rsidP="0093315A">
      <w:pPr>
        <w:spacing w:line="360" w:lineRule="auto"/>
        <w:rPr>
          <w:rFonts w:ascii="Arial" w:hAnsi="Arial" w:cs="Arial"/>
        </w:rPr>
      </w:pPr>
    </w:p>
    <w:p w14:paraId="183072B0" w14:textId="77777777" w:rsidR="0093315A" w:rsidRPr="0093315A" w:rsidRDefault="0093315A" w:rsidP="0093315A">
      <w:pPr>
        <w:spacing w:line="360" w:lineRule="auto"/>
        <w:rPr>
          <w:rFonts w:ascii="Arial" w:hAnsi="Arial" w:cs="Arial"/>
        </w:rPr>
      </w:pPr>
      <w:proofErr w:type="spellStart"/>
      <w:r w:rsidRPr="0093315A">
        <w:rPr>
          <w:rFonts w:ascii="Arial" w:hAnsi="Arial" w:cs="Arial"/>
        </w:rPr>
        <w:t>Ballaschk</w:t>
      </w:r>
      <w:proofErr w:type="spellEnd"/>
      <w:r w:rsidRPr="0093315A">
        <w:rPr>
          <w:rFonts w:ascii="Arial" w:hAnsi="Arial" w:cs="Arial"/>
        </w:rPr>
        <w:t xml:space="preserve">, I., </w:t>
      </w:r>
      <w:proofErr w:type="spellStart"/>
      <w:r w:rsidRPr="0093315A">
        <w:rPr>
          <w:rFonts w:ascii="Arial" w:hAnsi="Arial" w:cs="Arial"/>
        </w:rPr>
        <w:t>Brauckmann-Sajkiewicz</w:t>
      </w:r>
      <w:proofErr w:type="spellEnd"/>
      <w:r w:rsidRPr="0093315A">
        <w:rPr>
          <w:rFonts w:ascii="Arial" w:hAnsi="Arial" w:cs="Arial"/>
        </w:rPr>
        <w:t xml:space="preserve">, S. and </w:t>
      </w:r>
      <w:proofErr w:type="spellStart"/>
      <w:r w:rsidRPr="0093315A">
        <w:rPr>
          <w:rFonts w:ascii="Arial" w:hAnsi="Arial" w:cs="Arial"/>
        </w:rPr>
        <w:t>Pashiardis</w:t>
      </w:r>
      <w:proofErr w:type="spellEnd"/>
      <w:r w:rsidRPr="0093315A">
        <w:rPr>
          <w:rFonts w:ascii="Arial" w:hAnsi="Arial" w:cs="Arial"/>
        </w:rPr>
        <w:t>, P. (2024) ‘Quality improvement through team development: the role of headteachers in Early Childhood Education settings in Germany’, </w:t>
      </w:r>
      <w:r w:rsidRPr="0093315A">
        <w:rPr>
          <w:rFonts w:ascii="Arial" w:hAnsi="Arial" w:cs="Arial"/>
          <w:i/>
          <w:iCs/>
        </w:rPr>
        <w:t>Education 3-13</w:t>
      </w:r>
      <w:r w:rsidRPr="0093315A">
        <w:rPr>
          <w:rFonts w:ascii="Arial" w:hAnsi="Arial" w:cs="Arial"/>
        </w:rPr>
        <w:t>, pp. 1–14. Available at: https://doi.org/10.1080/03004279.2024.2409927.</w:t>
      </w:r>
    </w:p>
    <w:p w14:paraId="7DF4764F" w14:textId="77777777" w:rsidR="0093315A" w:rsidRPr="0093315A" w:rsidRDefault="0093315A" w:rsidP="0093315A">
      <w:pPr>
        <w:spacing w:line="360" w:lineRule="auto"/>
        <w:rPr>
          <w:rFonts w:ascii="Arial" w:hAnsi="Arial" w:cs="Arial"/>
        </w:rPr>
      </w:pPr>
    </w:p>
    <w:p w14:paraId="2E06467A" w14:textId="4D613438" w:rsidR="0093315A" w:rsidRPr="0093315A" w:rsidRDefault="0093315A" w:rsidP="0093315A">
      <w:pPr>
        <w:spacing w:line="360" w:lineRule="auto"/>
        <w:rPr>
          <w:rFonts w:ascii="Arial" w:hAnsi="Arial" w:cs="Arial"/>
        </w:rPr>
      </w:pPr>
      <w:r w:rsidRPr="0093315A">
        <w:rPr>
          <w:rFonts w:ascii="Arial" w:hAnsi="Arial" w:cs="Arial"/>
        </w:rPr>
        <w:t>Brief, R. and Gardiner, J. (2017) </w:t>
      </w:r>
      <w:r w:rsidRPr="0093315A">
        <w:rPr>
          <w:rFonts w:ascii="Arial" w:hAnsi="Arial" w:cs="Arial"/>
          <w:i/>
          <w:iCs/>
        </w:rPr>
        <w:t>Study of Early Education and Development (SEED): Study of Quality of Early Years Provision in England (Revised)</w:t>
      </w:r>
      <w:r w:rsidRPr="0093315A">
        <w:rPr>
          <w:rFonts w:ascii="Arial" w:hAnsi="Arial" w:cs="Arial"/>
        </w:rPr>
        <w:t xml:space="preserve">. Available at: </w:t>
      </w:r>
      <w:hyperlink r:id="rId4" w:history="1">
        <w:r w:rsidRPr="0093315A">
          <w:rPr>
            <w:rStyle w:val="Hyperlink"/>
            <w:rFonts w:ascii="Arial" w:hAnsi="Arial" w:cs="Arial"/>
          </w:rPr>
          <w:t>https://assets.publishing.service.gov.uk/media/5b43861540f0b678c0a9f17e/Study_of_quality_of_early_years_provision_in_England_brief.pdf</w:t>
        </w:r>
      </w:hyperlink>
      <w:r w:rsidRPr="0093315A">
        <w:rPr>
          <w:rFonts w:ascii="Arial" w:hAnsi="Arial" w:cs="Arial"/>
        </w:rPr>
        <w:t xml:space="preserve"> (accessed: 4</w:t>
      </w:r>
      <w:r w:rsidRPr="0093315A">
        <w:rPr>
          <w:rFonts w:ascii="Arial" w:hAnsi="Arial" w:cs="Arial"/>
          <w:vertAlign w:val="superscript"/>
        </w:rPr>
        <w:t>th</w:t>
      </w:r>
      <w:r w:rsidRPr="0093315A">
        <w:rPr>
          <w:rFonts w:ascii="Arial" w:hAnsi="Arial" w:cs="Arial"/>
        </w:rPr>
        <w:t xml:space="preserve"> April 2025).</w:t>
      </w:r>
    </w:p>
    <w:p w14:paraId="16A2C369" w14:textId="77777777" w:rsidR="0093315A" w:rsidRPr="0093315A" w:rsidRDefault="0093315A" w:rsidP="0093315A">
      <w:pPr>
        <w:spacing w:line="360" w:lineRule="auto"/>
        <w:rPr>
          <w:rFonts w:ascii="Arial" w:hAnsi="Arial" w:cs="Arial"/>
        </w:rPr>
      </w:pPr>
    </w:p>
    <w:p w14:paraId="22827DD1" w14:textId="6D9B8320" w:rsidR="0093315A" w:rsidRPr="0093315A" w:rsidRDefault="0093315A" w:rsidP="0093315A">
      <w:pPr>
        <w:spacing w:line="360" w:lineRule="auto"/>
        <w:rPr>
          <w:rFonts w:ascii="Arial" w:hAnsi="Arial" w:cs="Arial"/>
        </w:rPr>
      </w:pPr>
      <w:r w:rsidRPr="0093315A">
        <w:rPr>
          <w:rFonts w:ascii="Arial" w:hAnsi="Arial" w:cs="Arial"/>
        </w:rPr>
        <w:t>Care Council for Wales (2016) </w:t>
      </w:r>
      <w:r w:rsidRPr="0093315A">
        <w:rPr>
          <w:rFonts w:ascii="Arial" w:hAnsi="Arial" w:cs="Arial"/>
          <w:i/>
          <w:iCs/>
        </w:rPr>
        <w:t>Continuing Professional Development Principles for the Early Years and Childcare Workforce in Wales</w:t>
      </w:r>
      <w:r w:rsidRPr="0093315A">
        <w:rPr>
          <w:rFonts w:ascii="Arial" w:hAnsi="Arial" w:cs="Arial"/>
        </w:rPr>
        <w:t xml:space="preserve">. Available at: </w:t>
      </w:r>
      <w:hyperlink r:id="rId5" w:history="1">
        <w:r w:rsidRPr="0093315A">
          <w:rPr>
            <w:rStyle w:val="Hyperlink"/>
            <w:rFonts w:ascii="Arial" w:hAnsi="Arial" w:cs="Arial"/>
          </w:rPr>
          <w:t>https://socialcare.wales/cms-assets/documents/Early-years-CPD-principles.pdf</w:t>
        </w:r>
      </w:hyperlink>
      <w:r w:rsidRPr="0093315A">
        <w:rPr>
          <w:rFonts w:ascii="Arial" w:hAnsi="Arial" w:cs="Arial"/>
        </w:rPr>
        <w:t xml:space="preserve"> (accessed: 4</w:t>
      </w:r>
      <w:r w:rsidRPr="0093315A">
        <w:rPr>
          <w:rFonts w:ascii="Arial" w:hAnsi="Arial" w:cs="Arial"/>
          <w:vertAlign w:val="superscript"/>
        </w:rPr>
        <w:t>th</w:t>
      </w:r>
      <w:r w:rsidRPr="0093315A">
        <w:rPr>
          <w:rFonts w:ascii="Arial" w:hAnsi="Arial" w:cs="Arial"/>
        </w:rPr>
        <w:t xml:space="preserve"> April 2026).</w:t>
      </w:r>
    </w:p>
    <w:p w14:paraId="68732831" w14:textId="77777777" w:rsidR="0093315A" w:rsidRPr="0093315A" w:rsidRDefault="0093315A" w:rsidP="0093315A">
      <w:pPr>
        <w:spacing w:line="360" w:lineRule="auto"/>
        <w:rPr>
          <w:rFonts w:ascii="Arial" w:hAnsi="Arial" w:cs="Arial"/>
        </w:rPr>
      </w:pPr>
    </w:p>
    <w:p w14:paraId="5DD61F90" w14:textId="77777777" w:rsidR="0093315A" w:rsidRPr="0093315A" w:rsidRDefault="0093315A" w:rsidP="0093315A">
      <w:pPr>
        <w:spacing w:line="360" w:lineRule="auto"/>
        <w:rPr>
          <w:rFonts w:ascii="Arial" w:hAnsi="Arial" w:cs="Arial"/>
        </w:rPr>
      </w:pPr>
      <w:r w:rsidRPr="0093315A">
        <w:rPr>
          <w:rFonts w:ascii="Arial" w:hAnsi="Arial" w:cs="Arial"/>
        </w:rPr>
        <w:t>Gordon, R.A. </w:t>
      </w:r>
      <w:r w:rsidRPr="0093315A">
        <w:rPr>
          <w:rFonts w:ascii="Arial" w:hAnsi="Arial" w:cs="Arial"/>
          <w:i/>
          <w:iCs/>
        </w:rPr>
        <w:t>et al.</w:t>
      </w:r>
      <w:r w:rsidRPr="0093315A">
        <w:rPr>
          <w:rFonts w:ascii="Arial" w:hAnsi="Arial" w:cs="Arial"/>
        </w:rPr>
        <w:t> (2013) ‘An Assessment of the Validity of the ECERS-R with Implications for Assessments of Child Care Quality and its Relation to Child Development’, </w:t>
      </w:r>
      <w:r w:rsidRPr="0093315A">
        <w:rPr>
          <w:rFonts w:ascii="Arial" w:hAnsi="Arial" w:cs="Arial"/>
          <w:i/>
          <w:iCs/>
        </w:rPr>
        <w:t>Developmental psychology</w:t>
      </w:r>
      <w:r w:rsidRPr="0093315A">
        <w:rPr>
          <w:rFonts w:ascii="Arial" w:hAnsi="Arial" w:cs="Arial"/>
        </w:rPr>
        <w:t>, 49(1), pp. 146–160. Available at: https://doi.org/10.1037/a0027899.</w:t>
      </w:r>
    </w:p>
    <w:p w14:paraId="26AD0E4B" w14:textId="77777777" w:rsidR="0093315A" w:rsidRPr="0093315A" w:rsidRDefault="0093315A" w:rsidP="0093315A">
      <w:pPr>
        <w:spacing w:line="360" w:lineRule="auto"/>
        <w:rPr>
          <w:rFonts w:ascii="Arial" w:hAnsi="Arial" w:cs="Arial"/>
        </w:rPr>
      </w:pPr>
    </w:p>
    <w:p w14:paraId="0A8E94A2" w14:textId="77777777" w:rsidR="0093315A" w:rsidRPr="0093315A" w:rsidRDefault="0093315A" w:rsidP="0093315A">
      <w:pPr>
        <w:spacing w:line="360" w:lineRule="auto"/>
        <w:rPr>
          <w:rFonts w:ascii="Arial" w:hAnsi="Arial" w:cs="Arial"/>
        </w:rPr>
      </w:pPr>
      <w:proofErr w:type="spellStart"/>
      <w:r w:rsidRPr="0093315A">
        <w:rPr>
          <w:rFonts w:ascii="Arial" w:hAnsi="Arial" w:cs="Arial"/>
        </w:rPr>
        <w:lastRenderedPageBreak/>
        <w:t>MacRae</w:t>
      </w:r>
      <w:proofErr w:type="spellEnd"/>
      <w:r w:rsidRPr="0093315A">
        <w:rPr>
          <w:rFonts w:ascii="Arial" w:hAnsi="Arial" w:cs="Arial"/>
        </w:rPr>
        <w:t>, C. and Jones, L. (2020) ‘A philosophical reflection on the “Leuven Scale” and young children’s expressions of involvement’, </w:t>
      </w:r>
      <w:r w:rsidRPr="0093315A">
        <w:rPr>
          <w:rFonts w:ascii="Arial" w:hAnsi="Arial" w:cs="Arial"/>
          <w:i/>
          <w:iCs/>
        </w:rPr>
        <w:t>International Journal of Qualitative Studies in Education</w:t>
      </w:r>
      <w:r w:rsidRPr="0093315A">
        <w:rPr>
          <w:rFonts w:ascii="Arial" w:hAnsi="Arial" w:cs="Arial"/>
        </w:rPr>
        <w:t>, 36(2), pp. 1–13. Available at: https://doi.org/10.1080/09518398.2020.1828650.</w:t>
      </w:r>
    </w:p>
    <w:p w14:paraId="39C912EE" w14:textId="30F35968" w:rsidR="0093315A" w:rsidRPr="0093315A" w:rsidRDefault="0093315A" w:rsidP="0093315A">
      <w:pPr>
        <w:spacing w:line="360" w:lineRule="auto"/>
        <w:rPr>
          <w:rFonts w:ascii="Arial" w:hAnsi="Arial" w:cs="Arial"/>
        </w:rPr>
      </w:pPr>
    </w:p>
    <w:p w14:paraId="3CC94F23" w14:textId="5E2F41F0" w:rsidR="0093315A" w:rsidRPr="0093315A" w:rsidRDefault="0093315A" w:rsidP="0093315A">
      <w:pPr>
        <w:spacing w:line="360" w:lineRule="auto"/>
        <w:rPr>
          <w:rFonts w:ascii="Arial" w:hAnsi="Arial" w:cs="Arial"/>
        </w:rPr>
      </w:pPr>
      <w:r w:rsidRPr="0093315A">
        <w:rPr>
          <w:rFonts w:ascii="Arial" w:hAnsi="Arial" w:cs="Arial"/>
        </w:rPr>
        <w:t>Moorhouse, P. (2024) </w:t>
      </w:r>
      <w:r w:rsidRPr="0093315A">
        <w:rPr>
          <w:rFonts w:ascii="Arial" w:hAnsi="Arial" w:cs="Arial"/>
          <w:i/>
          <w:iCs/>
        </w:rPr>
        <w:t>IRRESISTIBLE-LEARNING.CO.UK The Leuven Well-being and Involvement scales</w:t>
      </w:r>
      <w:r w:rsidRPr="0093315A">
        <w:rPr>
          <w:rFonts w:ascii="Arial" w:hAnsi="Arial" w:cs="Arial"/>
        </w:rPr>
        <w:t xml:space="preserve">. Available at: </w:t>
      </w:r>
      <w:hyperlink r:id="rId6" w:history="1">
        <w:r w:rsidRPr="0093315A">
          <w:rPr>
            <w:rStyle w:val="Hyperlink"/>
            <w:rFonts w:ascii="Arial" w:hAnsi="Arial" w:cs="Arial"/>
          </w:rPr>
          <w:t>https://irresistible-learning.co.uk/wp-content/uploads/2024/11/The-Leuven-Well-being-and-Involvement-scales.pdf</w:t>
        </w:r>
      </w:hyperlink>
      <w:r w:rsidRPr="0093315A">
        <w:rPr>
          <w:rFonts w:ascii="Arial" w:hAnsi="Arial" w:cs="Arial"/>
        </w:rPr>
        <w:t xml:space="preserve"> (Accessed: 4th April 2026).</w:t>
      </w:r>
    </w:p>
    <w:p w14:paraId="28C7BB52" w14:textId="77777777" w:rsidR="0093315A" w:rsidRPr="0093315A" w:rsidRDefault="0093315A" w:rsidP="0093315A">
      <w:pPr>
        <w:spacing w:line="360" w:lineRule="auto"/>
        <w:rPr>
          <w:rFonts w:ascii="Arial" w:hAnsi="Arial" w:cs="Arial"/>
        </w:rPr>
      </w:pPr>
    </w:p>
    <w:p w14:paraId="327CA9B0" w14:textId="2A595679" w:rsidR="0093315A" w:rsidRPr="0093315A" w:rsidRDefault="0093315A" w:rsidP="0093315A">
      <w:pPr>
        <w:spacing w:line="360" w:lineRule="auto"/>
        <w:rPr>
          <w:rFonts w:ascii="Arial" w:hAnsi="Arial" w:cs="Arial"/>
        </w:rPr>
      </w:pPr>
      <w:r w:rsidRPr="0093315A">
        <w:rPr>
          <w:rFonts w:ascii="Arial" w:hAnsi="Arial" w:cs="Arial"/>
        </w:rPr>
        <w:t>OECD (2006) </w:t>
      </w:r>
      <w:r w:rsidRPr="0093315A">
        <w:rPr>
          <w:rFonts w:ascii="Arial" w:hAnsi="Arial" w:cs="Arial"/>
          <w:i/>
          <w:iCs/>
        </w:rPr>
        <w:t>Starting Strong II EARLY CHILDHOOD EDUCATION AND CARE</w:t>
      </w:r>
      <w:r w:rsidRPr="0093315A">
        <w:rPr>
          <w:rFonts w:ascii="Arial" w:hAnsi="Arial" w:cs="Arial"/>
        </w:rPr>
        <w:t xml:space="preserve">. Available at: </w:t>
      </w:r>
      <w:hyperlink r:id="rId7" w:history="1">
        <w:r w:rsidRPr="0093315A">
          <w:rPr>
            <w:rStyle w:val="Hyperlink"/>
            <w:rFonts w:ascii="Arial" w:hAnsi="Arial" w:cs="Arial"/>
          </w:rPr>
          <w:t>https://www.oecd.org/content/dam/oecd/en/publications/reports/2006/09/starting-strong-ii_g1gh7238/9789264035461-en.pdf</w:t>
        </w:r>
      </w:hyperlink>
      <w:r w:rsidRPr="0093315A">
        <w:rPr>
          <w:rFonts w:ascii="Arial" w:hAnsi="Arial" w:cs="Arial"/>
        </w:rPr>
        <w:t xml:space="preserve"> (Accessed: 4</w:t>
      </w:r>
      <w:r w:rsidRPr="0093315A">
        <w:rPr>
          <w:rFonts w:ascii="Arial" w:hAnsi="Arial" w:cs="Arial"/>
          <w:vertAlign w:val="superscript"/>
        </w:rPr>
        <w:t>th</w:t>
      </w:r>
      <w:r w:rsidRPr="0093315A">
        <w:rPr>
          <w:rFonts w:ascii="Arial" w:hAnsi="Arial" w:cs="Arial"/>
        </w:rPr>
        <w:t xml:space="preserve"> April 2026).</w:t>
      </w:r>
    </w:p>
    <w:p w14:paraId="492FE2F6" w14:textId="77777777" w:rsidR="0093315A" w:rsidRPr="0093315A" w:rsidRDefault="0093315A" w:rsidP="0093315A">
      <w:pPr>
        <w:spacing w:line="360" w:lineRule="auto"/>
        <w:rPr>
          <w:rFonts w:ascii="Arial" w:hAnsi="Arial" w:cs="Arial"/>
        </w:rPr>
      </w:pPr>
    </w:p>
    <w:p w14:paraId="627782D0" w14:textId="77777777" w:rsidR="0093315A" w:rsidRPr="0093315A" w:rsidRDefault="0093315A" w:rsidP="0093315A">
      <w:pPr>
        <w:spacing w:line="360" w:lineRule="auto"/>
        <w:rPr>
          <w:rFonts w:ascii="Arial" w:hAnsi="Arial" w:cs="Arial"/>
        </w:rPr>
      </w:pPr>
    </w:p>
    <w:p w14:paraId="676A78BD" w14:textId="7C264023" w:rsidR="0093315A" w:rsidRPr="0093315A" w:rsidRDefault="0093315A" w:rsidP="0093315A">
      <w:pPr>
        <w:spacing w:line="360" w:lineRule="auto"/>
        <w:rPr>
          <w:rFonts w:ascii="Arial" w:hAnsi="Arial" w:cs="Arial"/>
        </w:rPr>
      </w:pPr>
      <w:proofErr w:type="spellStart"/>
      <w:r w:rsidRPr="0093315A">
        <w:rPr>
          <w:rFonts w:ascii="Arial" w:hAnsi="Arial" w:cs="Arial"/>
        </w:rPr>
        <w:t>Setodji</w:t>
      </w:r>
      <w:proofErr w:type="spellEnd"/>
      <w:r w:rsidRPr="0093315A">
        <w:rPr>
          <w:rFonts w:ascii="Arial" w:hAnsi="Arial" w:cs="Arial"/>
        </w:rPr>
        <w:t xml:space="preserve">, C.M., </w:t>
      </w:r>
      <w:proofErr w:type="spellStart"/>
      <w:r w:rsidRPr="0093315A">
        <w:rPr>
          <w:rFonts w:ascii="Arial" w:hAnsi="Arial" w:cs="Arial"/>
        </w:rPr>
        <w:t>Schaack</w:t>
      </w:r>
      <w:proofErr w:type="spellEnd"/>
      <w:r w:rsidRPr="0093315A">
        <w:rPr>
          <w:rFonts w:ascii="Arial" w:hAnsi="Arial" w:cs="Arial"/>
        </w:rPr>
        <w:t>, D. and Le, V.-N. (2018) ‘Using the early childhood environment rating scale-Revised in high stakes contexts: Does evidence warrant the practice?’, </w:t>
      </w:r>
      <w:r w:rsidRPr="0093315A">
        <w:rPr>
          <w:rFonts w:ascii="Arial" w:hAnsi="Arial" w:cs="Arial"/>
          <w:i/>
          <w:iCs/>
        </w:rPr>
        <w:t>Early Childhood Research Quarterly</w:t>
      </w:r>
      <w:r w:rsidRPr="0093315A">
        <w:rPr>
          <w:rFonts w:ascii="Arial" w:hAnsi="Arial" w:cs="Arial"/>
        </w:rPr>
        <w:t>, 42, pp. 158–169. Available at: https://doi.org/10.1016/j.ecresq.2017.10.001.</w:t>
      </w:r>
    </w:p>
    <w:p w14:paraId="5F481D52" w14:textId="77777777" w:rsidR="0093315A" w:rsidRPr="0093315A" w:rsidRDefault="0093315A" w:rsidP="0093315A">
      <w:pPr>
        <w:spacing w:line="360" w:lineRule="auto"/>
        <w:rPr>
          <w:rFonts w:ascii="Arial" w:hAnsi="Arial" w:cs="Arial"/>
        </w:rPr>
      </w:pPr>
    </w:p>
    <w:p w14:paraId="38DF00B6" w14:textId="1EB6D999" w:rsidR="0093315A" w:rsidRPr="0093315A" w:rsidRDefault="0093315A" w:rsidP="0093315A">
      <w:pPr>
        <w:spacing w:line="360" w:lineRule="auto"/>
        <w:rPr>
          <w:rFonts w:ascii="Arial" w:hAnsi="Arial" w:cs="Arial"/>
        </w:rPr>
      </w:pPr>
      <w:r w:rsidRPr="0093315A">
        <w:rPr>
          <w:rFonts w:ascii="Arial" w:hAnsi="Arial" w:cs="Arial"/>
        </w:rPr>
        <w:t>Sylva, K. </w:t>
      </w:r>
      <w:r w:rsidRPr="0093315A">
        <w:rPr>
          <w:rFonts w:ascii="Arial" w:hAnsi="Arial" w:cs="Arial"/>
          <w:i/>
          <w:iCs/>
        </w:rPr>
        <w:t>et al.</w:t>
      </w:r>
      <w:r w:rsidRPr="0093315A">
        <w:rPr>
          <w:rFonts w:ascii="Arial" w:hAnsi="Arial" w:cs="Arial"/>
        </w:rPr>
        <w:t> (2004) </w:t>
      </w:r>
      <w:r w:rsidRPr="0093315A">
        <w:rPr>
          <w:rFonts w:ascii="Arial" w:hAnsi="Arial" w:cs="Arial"/>
          <w:i/>
          <w:iCs/>
        </w:rPr>
        <w:t>The Effective Provision of Pre-School Education (EPPE) Project: Findings from Pre-school to end of Key Stage1</w:t>
      </w:r>
      <w:r w:rsidRPr="0093315A">
        <w:rPr>
          <w:rFonts w:ascii="Arial" w:hAnsi="Arial" w:cs="Arial"/>
        </w:rPr>
        <w:t xml:space="preserve">. Available at: </w:t>
      </w:r>
      <w:hyperlink r:id="rId8" w:history="1">
        <w:r w:rsidRPr="0093315A">
          <w:rPr>
            <w:rStyle w:val="Hyperlink"/>
            <w:rFonts w:ascii="Arial" w:hAnsi="Arial" w:cs="Arial"/>
          </w:rPr>
          <w:t>https://dera.ioe.ac.uk/id/eprint/18189/2/SSU-SF-2004-01.pdf</w:t>
        </w:r>
      </w:hyperlink>
      <w:r w:rsidRPr="0093315A">
        <w:rPr>
          <w:rFonts w:ascii="Arial" w:hAnsi="Arial" w:cs="Arial"/>
        </w:rPr>
        <w:t xml:space="preserve"> (Accessed: 3</w:t>
      </w:r>
      <w:r w:rsidRPr="0093315A">
        <w:rPr>
          <w:rFonts w:ascii="Arial" w:hAnsi="Arial" w:cs="Arial"/>
          <w:vertAlign w:val="superscript"/>
        </w:rPr>
        <w:t>rd</w:t>
      </w:r>
      <w:r w:rsidRPr="0093315A">
        <w:rPr>
          <w:rFonts w:ascii="Arial" w:hAnsi="Arial" w:cs="Arial"/>
        </w:rPr>
        <w:t xml:space="preserve"> April 2026).</w:t>
      </w:r>
    </w:p>
    <w:p w14:paraId="5A778874" w14:textId="77777777" w:rsidR="0093315A" w:rsidRPr="0093315A" w:rsidRDefault="0093315A" w:rsidP="0093315A">
      <w:pPr>
        <w:spacing w:line="360" w:lineRule="auto"/>
        <w:rPr>
          <w:rFonts w:ascii="Arial" w:hAnsi="Arial" w:cs="Arial"/>
        </w:rPr>
      </w:pPr>
    </w:p>
    <w:p w14:paraId="57AA516E" w14:textId="36B70CE8" w:rsidR="0093315A" w:rsidRPr="0093315A" w:rsidRDefault="0093315A" w:rsidP="0093315A">
      <w:pPr>
        <w:spacing w:line="360" w:lineRule="auto"/>
        <w:rPr>
          <w:rFonts w:ascii="Arial" w:hAnsi="Arial" w:cs="Arial"/>
        </w:rPr>
      </w:pPr>
      <w:r w:rsidRPr="0093315A">
        <w:rPr>
          <w:rFonts w:ascii="Arial" w:hAnsi="Arial" w:cs="Arial"/>
        </w:rPr>
        <w:t>UNICEF (2016) </w:t>
      </w:r>
      <w:r w:rsidRPr="0093315A">
        <w:rPr>
          <w:rFonts w:ascii="Arial" w:hAnsi="Arial" w:cs="Arial"/>
          <w:i/>
          <w:iCs/>
        </w:rPr>
        <w:t xml:space="preserve">The Right to Participation for Rights Respecting Schools - </w:t>
      </w:r>
      <w:proofErr w:type="spellStart"/>
      <w:r w:rsidRPr="0093315A">
        <w:rPr>
          <w:rFonts w:ascii="Arial" w:hAnsi="Arial" w:cs="Arial"/>
          <w:i/>
          <w:iCs/>
        </w:rPr>
        <w:t>Unicef</w:t>
      </w:r>
      <w:proofErr w:type="spellEnd"/>
      <w:r w:rsidRPr="0093315A">
        <w:rPr>
          <w:rFonts w:ascii="Arial" w:hAnsi="Arial" w:cs="Arial"/>
          <w:i/>
          <w:iCs/>
        </w:rPr>
        <w:t xml:space="preserve"> UK</w:t>
      </w:r>
      <w:r w:rsidRPr="0093315A">
        <w:rPr>
          <w:rFonts w:ascii="Arial" w:hAnsi="Arial" w:cs="Arial"/>
        </w:rPr>
        <w:t>, </w:t>
      </w:r>
      <w:r w:rsidRPr="0093315A">
        <w:rPr>
          <w:rFonts w:ascii="Arial" w:hAnsi="Arial" w:cs="Arial"/>
          <w:i/>
          <w:iCs/>
        </w:rPr>
        <w:t>Rights Respecting Schools Award</w:t>
      </w:r>
      <w:r w:rsidRPr="0093315A">
        <w:rPr>
          <w:rFonts w:ascii="Arial" w:hAnsi="Arial" w:cs="Arial"/>
        </w:rPr>
        <w:t xml:space="preserve">. UNICEF. Available at: </w:t>
      </w:r>
      <w:hyperlink r:id="rId9" w:history="1">
        <w:r w:rsidRPr="0093315A">
          <w:rPr>
            <w:rStyle w:val="Hyperlink"/>
            <w:rFonts w:ascii="Arial" w:hAnsi="Arial" w:cs="Arial"/>
          </w:rPr>
          <w:t>https://www.unicef.org.uk/rights-respecting-schools/the-right-to-participation/</w:t>
        </w:r>
      </w:hyperlink>
      <w:r w:rsidRPr="0093315A">
        <w:rPr>
          <w:rFonts w:ascii="Arial" w:hAnsi="Arial" w:cs="Arial"/>
        </w:rPr>
        <w:t xml:space="preserve"> (Accessed: 3</w:t>
      </w:r>
      <w:r w:rsidRPr="0093315A">
        <w:rPr>
          <w:rFonts w:ascii="Arial" w:hAnsi="Arial" w:cs="Arial"/>
          <w:vertAlign w:val="superscript"/>
        </w:rPr>
        <w:t>rd</w:t>
      </w:r>
      <w:r w:rsidRPr="0093315A">
        <w:rPr>
          <w:rFonts w:ascii="Arial" w:hAnsi="Arial" w:cs="Arial"/>
        </w:rPr>
        <w:t xml:space="preserve"> April 2026).</w:t>
      </w:r>
    </w:p>
    <w:p w14:paraId="0D001493" w14:textId="77777777" w:rsidR="0093315A" w:rsidRPr="0093315A" w:rsidRDefault="0093315A" w:rsidP="0093315A">
      <w:pPr>
        <w:spacing w:line="360" w:lineRule="auto"/>
        <w:rPr>
          <w:rFonts w:ascii="Arial" w:hAnsi="Arial" w:cs="Arial"/>
        </w:rPr>
      </w:pPr>
    </w:p>
    <w:p w14:paraId="0F156C97" w14:textId="6AF82352" w:rsidR="0093315A" w:rsidRPr="0093315A" w:rsidRDefault="0093315A" w:rsidP="0093315A">
      <w:pPr>
        <w:spacing w:line="360" w:lineRule="auto"/>
        <w:rPr>
          <w:rFonts w:ascii="Arial" w:hAnsi="Arial" w:cs="Arial"/>
        </w:rPr>
      </w:pPr>
      <w:r w:rsidRPr="0093315A">
        <w:rPr>
          <w:rFonts w:ascii="Arial" w:hAnsi="Arial" w:cs="Arial"/>
        </w:rPr>
        <w:t>United Nations (1989) </w:t>
      </w:r>
      <w:r w:rsidRPr="0093315A">
        <w:rPr>
          <w:rFonts w:ascii="Arial" w:hAnsi="Arial" w:cs="Arial"/>
          <w:i/>
          <w:iCs/>
        </w:rPr>
        <w:t>Convention on the Rights of the Child</w:t>
      </w:r>
      <w:r w:rsidRPr="0093315A">
        <w:rPr>
          <w:rFonts w:ascii="Arial" w:hAnsi="Arial" w:cs="Arial"/>
        </w:rPr>
        <w:t>, </w:t>
      </w:r>
      <w:r w:rsidRPr="0093315A">
        <w:rPr>
          <w:rFonts w:ascii="Arial" w:hAnsi="Arial" w:cs="Arial"/>
          <w:i/>
          <w:iCs/>
        </w:rPr>
        <w:t>OHCHR</w:t>
      </w:r>
      <w:r w:rsidRPr="0093315A">
        <w:rPr>
          <w:rFonts w:ascii="Arial" w:hAnsi="Arial" w:cs="Arial"/>
        </w:rPr>
        <w:t xml:space="preserve">. United Nations. Available at: </w:t>
      </w:r>
      <w:hyperlink r:id="rId10" w:history="1">
        <w:r w:rsidRPr="0093315A">
          <w:rPr>
            <w:rStyle w:val="Hyperlink"/>
            <w:rFonts w:ascii="Arial" w:hAnsi="Arial" w:cs="Arial"/>
          </w:rPr>
          <w:t>https://www.ohchr.org/en/instruments-mechanisms/instruments/convention-rights-child</w:t>
        </w:r>
      </w:hyperlink>
      <w:r w:rsidRPr="0093315A">
        <w:rPr>
          <w:rFonts w:ascii="Arial" w:hAnsi="Arial" w:cs="Arial"/>
        </w:rPr>
        <w:t xml:space="preserve"> (Accessed: 1</w:t>
      </w:r>
      <w:r w:rsidRPr="0093315A">
        <w:rPr>
          <w:rFonts w:ascii="Arial" w:hAnsi="Arial" w:cs="Arial"/>
          <w:vertAlign w:val="superscript"/>
        </w:rPr>
        <w:t>st</w:t>
      </w:r>
      <w:r w:rsidRPr="0093315A">
        <w:rPr>
          <w:rFonts w:ascii="Arial" w:hAnsi="Arial" w:cs="Arial"/>
        </w:rPr>
        <w:t xml:space="preserve"> April 2026).</w:t>
      </w:r>
    </w:p>
    <w:p w14:paraId="1453F260" w14:textId="77777777" w:rsidR="0093315A" w:rsidRPr="0093315A" w:rsidRDefault="0093315A" w:rsidP="0093315A">
      <w:pPr>
        <w:spacing w:line="360" w:lineRule="auto"/>
        <w:rPr>
          <w:rFonts w:ascii="Arial" w:hAnsi="Arial" w:cs="Arial"/>
        </w:rPr>
      </w:pPr>
    </w:p>
    <w:p w14:paraId="64835EEF" w14:textId="1654607D" w:rsidR="0093315A" w:rsidRPr="0093315A" w:rsidRDefault="0093315A" w:rsidP="0093315A">
      <w:pPr>
        <w:spacing w:line="360" w:lineRule="auto"/>
        <w:rPr>
          <w:rFonts w:ascii="Arial" w:hAnsi="Arial" w:cs="Arial"/>
        </w:rPr>
      </w:pPr>
      <w:r w:rsidRPr="0093315A">
        <w:rPr>
          <w:rFonts w:ascii="Arial" w:hAnsi="Arial" w:cs="Arial"/>
        </w:rPr>
        <w:t>Welsh Government (2023) </w:t>
      </w:r>
      <w:r w:rsidRPr="0093315A">
        <w:rPr>
          <w:rFonts w:ascii="Arial" w:hAnsi="Arial" w:cs="Arial"/>
          <w:i/>
          <w:iCs/>
        </w:rPr>
        <w:t>The duty of quality statutory guidance 2023 and health and care quality standards 2023</w:t>
      </w:r>
      <w:r w:rsidRPr="0093315A">
        <w:rPr>
          <w:rFonts w:ascii="Arial" w:hAnsi="Arial" w:cs="Arial"/>
        </w:rPr>
        <w:t xml:space="preserve">. Available at: </w:t>
      </w:r>
      <w:hyperlink r:id="rId11" w:history="1">
        <w:r w:rsidRPr="0093315A">
          <w:rPr>
            <w:rStyle w:val="Hyperlink"/>
            <w:rFonts w:ascii="Arial" w:hAnsi="Arial" w:cs="Arial"/>
          </w:rPr>
          <w:t>https://www.gov.wales/sites/default/files/publications/2023-04/duty-of-quality-statutory-guidance-2023_0.pdf</w:t>
        </w:r>
      </w:hyperlink>
      <w:r w:rsidRPr="0093315A">
        <w:rPr>
          <w:rFonts w:ascii="Arial" w:hAnsi="Arial" w:cs="Arial"/>
        </w:rPr>
        <w:t xml:space="preserve"> (Accessed: 2</w:t>
      </w:r>
      <w:r w:rsidRPr="0093315A">
        <w:rPr>
          <w:rFonts w:ascii="Arial" w:hAnsi="Arial" w:cs="Arial"/>
          <w:vertAlign w:val="superscript"/>
        </w:rPr>
        <w:t>nd</w:t>
      </w:r>
      <w:r w:rsidRPr="0093315A">
        <w:rPr>
          <w:rFonts w:ascii="Arial" w:hAnsi="Arial" w:cs="Arial"/>
        </w:rPr>
        <w:t xml:space="preserve"> April 2026).</w:t>
      </w:r>
    </w:p>
    <w:p w14:paraId="7CE23B4B" w14:textId="77777777" w:rsidR="0093315A" w:rsidRPr="0093315A" w:rsidRDefault="0093315A" w:rsidP="0093315A">
      <w:pPr>
        <w:spacing w:line="360" w:lineRule="auto"/>
        <w:rPr>
          <w:rFonts w:ascii="Arial" w:hAnsi="Arial" w:cs="Arial"/>
        </w:rPr>
      </w:pPr>
    </w:p>
    <w:p w14:paraId="4C058307" w14:textId="73AA1D04" w:rsidR="0093315A" w:rsidRPr="0093315A" w:rsidRDefault="0093315A" w:rsidP="0093315A">
      <w:pPr>
        <w:spacing w:line="360" w:lineRule="auto"/>
        <w:rPr>
          <w:rFonts w:ascii="Arial" w:hAnsi="Arial" w:cs="Arial"/>
        </w:rPr>
      </w:pPr>
      <w:r w:rsidRPr="0093315A">
        <w:rPr>
          <w:rFonts w:ascii="Arial" w:hAnsi="Arial" w:cs="Arial"/>
        </w:rPr>
        <w:t>Welsh Government (2025) </w:t>
      </w:r>
      <w:r w:rsidRPr="0093315A">
        <w:rPr>
          <w:rFonts w:ascii="Arial" w:hAnsi="Arial" w:cs="Arial"/>
          <w:i/>
          <w:iCs/>
        </w:rPr>
        <w:t>NMS introduction chapters: What do we mean by High Quality Provision [HTML] | GOV.WALES</w:t>
      </w:r>
      <w:r w:rsidRPr="0093315A">
        <w:rPr>
          <w:rFonts w:ascii="Arial" w:hAnsi="Arial" w:cs="Arial"/>
        </w:rPr>
        <w:t>, </w:t>
      </w:r>
      <w:r w:rsidRPr="0093315A">
        <w:rPr>
          <w:rFonts w:ascii="Arial" w:hAnsi="Arial" w:cs="Arial"/>
          <w:i/>
          <w:iCs/>
        </w:rPr>
        <w:t>GOV.WALES</w:t>
      </w:r>
      <w:r w:rsidRPr="0093315A">
        <w:rPr>
          <w:rFonts w:ascii="Arial" w:hAnsi="Arial" w:cs="Arial"/>
        </w:rPr>
        <w:t xml:space="preserve">. Available at: </w:t>
      </w:r>
      <w:hyperlink r:id="rId12" w:history="1">
        <w:r w:rsidRPr="0093315A">
          <w:rPr>
            <w:rStyle w:val="Hyperlink"/>
            <w:rFonts w:ascii="Arial" w:hAnsi="Arial" w:cs="Arial"/>
          </w:rPr>
          <w:t>https://www.gov.wales/nms-introduction-chapters-what-do-we-mean-high-quality-provision-html</w:t>
        </w:r>
      </w:hyperlink>
      <w:r w:rsidRPr="0093315A">
        <w:rPr>
          <w:rFonts w:ascii="Arial" w:hAnsi="Arial" w:cs="Arial"/>
        </w:rPr>
        <w:t xml:space="preserve"> (Accessed: 30</w:t>
      </w:r>
      <w:r w:rsidRPr="0093315A">
        <w:rPr>
          <w:rFonts w:ascii="Arial" w:hAnsi="Arial" w:cs="Arial"/>
          <w:vertAlign w:val="superscript"/>
        </w:rPr>
        <w:t>th</w:t>
      </w:r>
      <w:r w:rsidRPr="0093315A">
        <w:rPr>
          <w:rFonts w:ascii="Arial" w:hAnsi="Arial" w:cs="Arial"/>
        </w:rPr>
        <w:t xml:space="preserve"> March 2026).</w:t>
      </w:r>
    </w:p>
    <w:p w14:paraId="3FFD5983" w14:textId="77777777" w:rsidR="0093315A" w:rsidRPr="0093315A" w:rsidRDefault="0093315A" w:rsidP="0093315A">
      <w:pPr>
        <w:spacing w:line="360" w:lineRule="auto"/>
        <w:rPr>
          <w:rFonts w:ascii="Arial" w:hAnsi="Arial" w:cs="Arial"/>
        </w:rPr>
      </w:pPr>
    </w:p>
    <w:p w14:paraId="5F1BE356" w14:textId="279321AC" w:rsidR="0093315A" w:rsidRPr="0093315A" w:rsidRDefault="0093315A" w:rsidP="0093315A">
      <w:pPr>
        <w:spacing w:line="360" w:lineRule="auto"/>
        <w:rPr>
          <w:rFonts w:ascii="Arial" w:hAnsi="Arial" w:cs="Arial"/>
        </w:rPr>
      </w:pPr>
      <w:r w:rsidRPr="0093315A">
        <w:rPr>
          <w:rFonts w:ascii="Arial" w:hAnsi="Arial" w:cs="Arial"/>
        </w:rPr>
        <w:t>Welsh Government (2023) </w:t>
      </w:r>
      <w:r w:rsidRPr="0093315A">
        <w:rPr>
          <w:rFonts w:ascii="Arial" w:hAnsi="Arial" w:cs="Arial"/>
          <w:i/>
          <w:iCs/>
        </w:rPr>
        <w:t>National Minimum Standards for</w:t>
      </w:r>
      <w:r w:rsidRPr="0093315A">
        <w:rPr>
          <w:rFonts w:ascii="Arial" w:hAnsi="Arial" w:cs="Arial"/>
        </w:rPr>
        <w:t xml:space="preserve">. Available at: </w:t>
      </w:r>
      <w:hyperlink r:id="rId13" w:history="1">
        <w:r w:rsidRPr="0093315A">
          <w:rPr>
            <w:rStyle w:val="Hyperlink"/>
            <w:rFonts w:ascii="Arial" w:hAnsi="Arial" w:cs="Arial"/>
          </w:rPr>
          <w:t>https://www.gov.wales/sites/default/files/publications/2025-09/national-minimum-standards-for-regulated-childcare.pdf</w:t>
        </w:r>
      </w:hyperlink>
      <w:r w:rsidRPr="0093315A">
        <w:rPr>
          <w:rFonts w:ascii="Arial" w:hAnsi="Arial" w:cs="Arial"/>
        </w:rPr>
        <w:t xml:space="preserve"> (Accessed: 1</w:t>
      </w:r>
      <w:r w:rsidRPr="0093315A">
        <w:rPr>
          <w:rFonts w:ascii="Arial" w:hAnsi="Arial" w:cs="Arial"/>
          <w:vertAlign w:val="superscript"/>
        </w:rPr>
        <w:t>st</w:t>
      </w:r>
      <w:r w:rsidRPr="0093315A">
        <w:rPr>
          <w:rFonts w:ascii="Arial" w:hAnsi="Arial" w:cs="Arial"/>
        </w:rPr>
        <w:t xml:space="preserve"> April 2026).</w:t>
      </w:r>
    </w:p>
    <w:p w14:paraId="5F1019EC" w14:textId="77777777" w:rsidR="0093315A" w:rsidRPr="0093315A" w:rsidRDefault="0093315A" w:rsidP="0093315A">
      <w:pPr>
        <w:spacing w:line="360" w:lineRule="auto"/>
        <w:rPr>
          <w:rFonts w:ascii="Arial" w:hAnsi="Arial" w:cs="Arial"/>
        </w:rPr>
      </w:pPr>
    </w:p>
    <w:p w14:paraId="1FED0458" w14:textId="0102C34D" w:rsidR="0093315A" w:rsidRPr="0093315A" w:rsidRDefault="0093315A" w:rsidP="0093315A">
      <w:pPr>
        <w:spacing w:line="360" w:lineRule="auto"/>
        <w:rPr>
          <w:rFonts w:ascii="Arial" w:hAnsi="Arial" w:cs="Arial"/>
        </w:rPr>
      </w:pPr>
      <w:r w:rsidRPr="0093315A">
        <w:rPr>
          <w:rFonts w:ascii="Arial" w:hAnsi="Arial" w:cs="Arial"/>
        </w:rPr>
        <w:t>Welsh Government (2024) </w:t>
      </w:r>
      <w:r w:rsidRPr="0093315A">
        <w:rPr>
          <w:rFonts w:ascii="Arial" w:hAnsi="Arial" w:cs="Arial"/>
          <w:i/>
          <w:iCs/>
        </w:rPr>
        <w:t>A Quality Framework for Early Childhood Play, Learning and Care in Wales 2</w:t>
      </w:r>
      <w:r w:rsidRPr="0093315A">
        <w:rPr>
          <w:rFonts w:ascii="Arial" w:hAnsi="Arial" w:cs="Arial"/>
        </w:rPr>
        <w:t xml:space="preserve">. Available at: </w:t>
      </w:r>
      <w:hyperlink r:id="rId14" w:history="1">
        <w:r w:rsidRPr="0093315A">
          <w:rPr>
            <w:rStyle w:val="Hyperlink"/>
            <w:rFonts w:ascii="Arial" w:hAnsi="Arial" w:cs="Arial"/>
          </w:rPr>
          <w:t>https://hwb.gov.wales/api/storage/4901fbbb-6aa2-4412-be18-f73ca2c3c599/a-quality-framework-for-early-childhood-play-learning-and-care-v2.pdf</w:t>
        </w:r>
      </w:hyperlink>
      <w:r w:rsidRPr="0093315A">
        <w:rPr>
          <w:rFonts w:ascii="Arial" w:hAnsi="Arial" w:cs="Arial"/>
        </w:rPr>
        <w:t xml:space="preserve"> (Accessed: 1st April 2026).</w:t>
      </w:r>
    </w:p>
    <w:p w14:paraId="5E500E30" w14:textId="77777777" w:rsidR="0093315A" w:rsidRPr="0093315A" w:rsidRDefault="0093315A" w:rsidP="0093315A">
      <w:pPr>
        <w:spacing w:line="360" w:lineRule="auto"/>
        <w:rPr>
          <w:rFonts w:ascii="Arial" w:hAnsi="Arial" w:cs="Arial"/>
        </w:rPr>
      </w:pPr>
    </w:p>
    <w:p w14:paraId="78A29B5D" w14:textId="1EED1413" w:rsidR="0093315A" w:rsidRPr="0093315A" w:rsidRDefault="0093315A" w:rsidP="0093315A">
      <w:pPr>
        <w:spacing w:line="360" w:lineRule="auto"/>
        <w:rPr>
          <w:rFonts w:ascii="Arial" w:hAnsi="Arial" w:cs="Arial"/>
        </w:rPr>
      </w:pPr>
      <w:r w:rsidRPr="0093315A">
        <w:rPr>
          <w:rFonts w:ascii="Arial" w:hAnsi="Arial" w:cs="Arial"/>
        </w:rPr>
        <w:t>Williford, A.P. </w:t>
      </w:r>
      <w:r w:rsidRPr="0093315A">
        <w:rPr>
          <w:rFonts w:ascii="Arial" w:hAnsi="Arial" w:cs="Arial"/>
          <w:i/>
          <w:iCs/>
        </w:rPr>
        <w:t>et al.</w:t>
      </w:r>
      <w:r w:rsidRPr="0093315A">
        <w:rPr>
          <w:rFonts w:ascii="Arial" w:hAnsi="Arial" w:cs="Arial"/>
        </w:rPr>
        <w:t> (2013) ‘Understanding how children’s engagement and teachers’ interactions combine to predict school readiness’, </w:t>
      </w:r>
      <w:r w:rsidRPr="0093315A">
        <w:rPr>
          <w:rFonts w:ascii="Arial" w:hAnsi="Arial" w:cs="Arial"/>
          <w:i/>
          <w:iCs/>
        </w:rPr>
        <w:t>Journal of Applied Developmental Psychology</w:t>
      </w:r>
      <w:r w:rsidRPr="0093315A">
        <w:rPr>
          <w:rFonts w:ascii="Arial" w:hAnsi="Arial" w:cs="Arial"/>
        </w:rPr>
        <w:t xml:space="preserve">, 34(6), pp. 299–309. Available at: </w:t>
      </w:r>
      <w:hyperlink r:id="rId15" w:history="1">
        <w:r w:rsidRPr="0093315A">
          <w:rPr>
            <w:rStyle w:val="Hyperlink"/>
            <w:rFonts w:ascii="Arial" w:hAnsi="Arial" w:cs="Arial"/>
          </w:rPr>
          <w:t>https://doi.org/10.1016/j.appdev.2013.05.002</w:t>
        </w:r>
      </w:hyperlink>
      <w:r w:rsidRPr="0093315A">
        <w:rPr>
          <w:rFonts w:ascii="Arial" w:hAnsi="Arial" w:cs="Arial"/>
        </w:rPr>
        <w:t xml:space="preserve"> </w:t>
      </w:r>
    </w:p>
    <w:p w14:paraId="0B644814" w14:textId="77777777" w:rsidR="0093315A" w:rsidRPr="0093315A" w:rsidRDefault="0093315A">
      <w:pPr>
        <w:rPr>
          <w:rFonts w:ascii="Arial" w:hAnsi="Arial" w:cs="Arial"/>
        </w:rPr>
      </w:pPr>
    </w:p>
    <w:sectPr w:rsidR="0093315A" w:rsidRPr="009331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DB1"/>
    <w:rsid w:val="00200765"/>
    <w:rsid w:val="002E46A1"/>
    <w:rsid w:val="00423DB1"/>
    <w:rsid w:val="00593175"/>
    <w:rsid w:val="008C0574"/>
    <w:rsid w:val="0093315A"/>
    <w:rsid w:val="00D24002"/>
    <w:rsid w:val="00E90BFD"/>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377792"/>
  <w15:chartTrackingRefBased/>
  <w15:docId w15:val="{EF87A985-472B-4C43-AD86-14AF6119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D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3D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3D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3D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3D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3D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D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D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D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D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3D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3D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3D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3D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3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DB1"/>
    <w:rPr>
      <w:rFonts w:eastAsiaTheme="majorEastAsia" w:cstheme="majorBidi"/>
      <w:color w:val="272727" w:themeColor="text1" w:themeTint="D8"/>
    </w:rPr>
  </w:style>
  <w:style w:type="paragraph" w:styleId="Title">
    <w:name w:val="Title"/>
    <w:basedOn w:val="Normal"/>
    <w:next w:val="Normal"/>
    <w:link w:val="TitleChar"/>
    <w:uiPriority w:val="10"/>
    <w:qFormat/>
    <w:rsid w:val="00423D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D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D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3DB1"/>
    <w:rPr>
      <w:i/>
      <w:iCs/>
      <w:color w:val="404040" w:themeColor="text1" w:themeTint="BF"/>
    </w:rPr>
  </w:style>
  <w:style w:type="paragraph" w:styleId="ListParagraph">
    <w:name w:val="List Paragraph"/>
    <w:basedOn w:val="Normal"/>
    <w:uiPriority w:val="34"/>
    <w:qFormat/>
    <w:rsid w:val="00423DB1"/>
    <w:pPr>
      <w:ind w:left="720"/>
      <w:contextualSpacing/>
    </w:pPr>
  </w:style>
  <w:style w:type="character" w:styleId="IntenseEmphasis">
    <w:name w:val="Intense Emphasis"/>
    <w:basedOn w:val="DefaultParagraphFont"/>
    <w:uiPriority w:val="21"/>
    <w:qFormat/>
    <w:rsid w:val="00423DB1"/>
    <w:rPr>
      <w:i/>
      <w:iCs/>
      <w:color w:val="2F5496" w:themeColor="accent1" w:themeShade="BF"/>
    </w:rPr>
  </w:style>
  <w:style w:type="paragraph" w:styleId="IntenseQuote">
    <w:name w:val="Intense Quote"/>
    <w:basedOn w:val="Normal"/>
    <w:next w:val="Normal"/>
    <w:link w:val="IntenseQuoteChar"/>
    <w:uiPriority w:val="30"/>
    <w:qFormat/>
    <w:rsid w:val="00423D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3DB1"/>
    <w:rPr>
      <w:i/>
      <w:iCs/>
      <w:color w:val="2F5496" w:themeColor="accent1" w:themeShade="BF"/>
    </w:rPr>
  </w:style>
  <w:style w:type="character" w:styleId="IntenseReference">
    <w:name w:val="Intense Reference"/>
    <w:basedOn w:val="DefaultParagraphFont"/>
    <w:uiPriority w:val="32"/>
    <w:qFormat/>
    <w:rsid w:val="00423DB1"/>
    <w:rPr>
      <w:b/>
      <w:bCs/>
      <w:smallCaps/>
      <w:color w:val="2F5496" w:themeColor="accent1" w:themeShade="BF"/>
      <w:spacing w:val="5"/>
    </w:rPr>
  </w:style>
  <w:style w:type="paragraph" w:styleId="NormalWeb">
    <w:name w:val="Normal (Web)"/>
    <w:basedOn w:val="Normal"/>
    <w:uiPriority w:val="99"/>
    <w:semiHidden/>
    <w:unhideWhenUsed/>
    <w:rsid w:val="0093315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3315A"/>
  </w:style>
  <w:style w:type="character" w:styleId="Hyperlink">
    <w:name w:val="Hyperlink"/>
    <w:basedOn w:val="DefaultParagraphFont"/>
    <w:uiPriority w:val="99"/>
    <w:unhideWhenUsed/>
    <w:rsid w:val="0093315A"/>
    <w:rPr>
      <w:color w:val="0563C1" w:themeColor="hyperlink"/>
      <w:u w:val="single"/>
    </w:rPr>
  </w:style>
  <w:style w:type="character" w:styleId="UnresolvedMention">
    <w:name w:val="Unresolved Mention"/>
    <w:basedOn w:val="DefaultParagraphFont"/>
    <w:uiPriority w:val="99"/>
    <w:semiHidden/>
    <w:unhideWhenUsed/>
    <w:rsid w:val="00933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20478">
      <w:bodyDiv w:val="1"/>
      <w:marLeft w:val="0"/>
      <w:marRight w:val="0"/>
      <w:marTop w:val="0"/>
      <w:marBottom w:val="0"/>
      <w:divBdr>
        <w:top w:val="none" w:sz="0" w:space="0" w:color="auto"/>
        <w:left w:val="none" w:sz="0" w:space="0" w:color="auto"/>
        <w:bottom w:val="none" w:sz="0" w:space="0" w:color="auto"/>
        <w:right w:val="none" w:sz="0" w:space="0" w:color="auto"/>
      </w:divBdr>
      <w:divsChild>
        <w:div w:id="1317762560">
          <w:marLeft w:val="0"/>
          <w:marRight w:val="0"/>
          <w:marTop w:val="0"/>
          <w:marBottom w:val="0"/>
          <w:divBdr>
            <w:top w:val="none" w:sz="0" w:space="0" w:color="auto"/>
            <w:left w:val="none" w:sz="0" w:space="0" w:color="auto"/>
            <w:bottom w:val="none" w:sz="0" w:space="0" w:color="auto"/>
            <w:right w:val="none" w:sz="0" w:space="0" w:color="auto"/>
          </w:divBdr>
        </w:div>
      </w:divsChild>
    </w:div>
    <w:div w:id="115415763">
      <w:bodyDiv w:val="1"/>
      <w:marLeft w:val="0"/>
      <w:marRight w:val="0"/>
      <w:marTop w:val="0"/>
      <w:marBottom w:val="0"/>
      <w:divBdr>
        <w:top w:val="none" w:sz="0" w:space="0" w:color="auto"/>
        <w:left w:val="none" w:sz="0" w:space="0" w:color="auto"/>
        <w:bottom w:val="none" w:sz="0" w:space="0" w:color="auto"/>
        <w:right w:val="none" w:sz="0" w:space="0" w:color="auto"/>
      </w:divBdr>
    </w:div>
    <w:div w:id="136922169">
      <w:bodyDiv w:val="1"/>
      <w:marLeft w:val="0"/>
      <w:marRight w:val="0"/>
      <w:marTop w:val="0"/>
      <w:marBottom w:val="0"/>
      <w:divBdr>
        <w:top w:val="none" w:sz="0" w:space="0" w:color="auto"/>
        <w:left w:val="none" w:sz="0" w:space="0" w:color="auto"/>
        <w:bottom w:val="none" w:sz="0" w:space="0" w:color="auto"/>
        <w:right w:val="none" w:sz="0" w:space="0" w:color="auto"/>
      </w:divBdr>
    </w:div>
    <w:div w:id="307781819">
      <w:bodyDiv w:val="1"/>
      <w:marLeft w:val="0"/>
      <w:marRight w:val="0"/>
      <w:marTop w:val="0"/>
      <w:marBottom w:val="0"/>
      <w:divBdr>
        <w:top w:val="none" w:sz="0" w:space="0" w:color="auto"/>
        <w:left w:val="none" w:sz="0" w:space="0" w:color="auto"/>
        <w:bottom w:val="none" w:sz="0" w:space="0" w:color="auto"/>
        <w:right w:val="none" w:sz="0" w:space="0" w:color="auto"/>
      </w:divBdr>
      <w:divsChild>
        <w:div w:id="1507280668">
          <w:marLeft w:val="0"/>
          <w:marRight w:val="0"/>
          <w:marTop w:val="0"/>
          <w:marBottom w:val="0"/>
          <w:divBdr>
            <w:top w:val="none" w:sz="0" w:space="0" w:color="auto"/>
            <w:left w:val="none" w:sz="0" w:space="0" w:color="auto"/>
            <w:bottom w:val="none" w:sz="0" w:space="0" w:color="auto"/>
            <w:right w:val="none" w:sz="0" w:space="0" w:color="auto"/>
          </w:divBdr>
        </w:div>
      </w:divsChild>
    </w:div>
    <w:div w:id="347027638">
      <w:bodyDiv w:val="1"/>
      <w:marLeft w:val="0"/>
      <w:marRight w:val="0"/>
      <w:marTop w:val="0"/>
      <w:marBottom w:val="0"/>
      <w:divBdr>
        <w:top w:val="none" w:sz="0" w:space="0" w:color="auto"/>
        <w:left w:val="none" w:sz="0" w:space="0" w:color="auto"/>
        <w:bottom w:val="none" w:sz="0" w:space="0" w:color="auto"/>
        <w:right w:val="none" w:sz="0" w:space="0" w:color="auto"/>
      </w:divBdr>
      <w:divsChild>
        <w:div w:id="12659806">
          <w:marLeft w:val="0"/>
          <w:marRight w:val="0"/>
          <w:marTop w:val="0"/>
          <w:marBottom w:val="0"/>
          <w:divBdr>
            <w:top w:val="none" w:sz="0" w:space="0" w:color="auto"/>
            <w:left w:val="none" w:sz="0" w:space="0" w:color="auto"/>
            <w:bottom w:val="none" w:sz="0" w:space="0" w:color="auto"/>
            <w:right w:val="none" w:sz="0" w:space="0" w:color="auto"/>
          </w:divBdr>
        </w:div>
      </w:divsChild>
    </w:div>
    <w:div w:id="359281465">
      <w:bodyDiv w:val="1"/>
      <w:marLeft w:val="0"/>
      <w:marRight w:val="0"/>
      <w:marTop w:val="0"/>
      <w:marBottom w:val="0"/>
      <w:divBdr>
        <w:top w:val="none" w:sz="0" w:space="0" w:color="auto"/>
        <w:left w:val="none" w:sz="0" w:space="0" w:color="auto"/>
        <w:bottom w:val="none" w:sz="0" w:space="0" w:color="auto"/>
        <w:right w:val="none" w:sz="0" w:space="0" w:color="auto"/>
      </w:divBdr>
      <w:divsChild>
        <w:div w:id="188875206">
          <w:marLeft w:val="0"/>
          <w:marRight w:val="0"/>
          <w:marTop w:val="0"/>
          <w:marBottom w:val="0"/>
          <w:divBdr>
            <w:top w:val="none" w:sz="0" w:space="0" w:color="auto"/>
            <w:left w:val="none" w:sz="0" w:space="0" w:color="auto"/>
            <w:bottom w:val="none" w:sz="0" w:space="0" w:color="auto"/>
            <w:right w:val="none" w:sz="0" w:space="0" w:color="auto"/>
          </w:divBdr>
        </w:div>
      </w:divsChild>
    </w:div>
    <w:div w:id="427701372">
      <w:bodyDiv w:val="1"/>
      <w:marLeft w:val="0"/>
      <w:marRight w:val="0"/>
      <w:marTop w:val="0"/>
      <w:marBottom w:val="0"/>
      <w:divBdr>
        <w:top w:val="none" w:sz="0" w:space="0" w:color="auto"/>
        <w:left w:val="none" w:sz="0" w:space="0" w:color="auto"/>
        <w:bottom w:val="none" w:sz="0" w:space="0" w:color="auto"/>
        <w:right w:val="none" w:sz="0" w:space="0" w:color="auto"/>
      </w:divBdr>
    </w:div>
    <w:div w:id="428549613">
      <w:bodyDiv w:val="1"/>
      <w:marLeft w:val="0"/>
      <w:marRight w:val="0"/>
      <w:marTop w:val="0"/>
      <w:marBottom w:val="0"/>
      <w:divBdr>
        <w:top w:val="none" w:sz="0" w:space="0" w:color="auto"/>
        <w:left w:val="none" w:sz="0" w:space="0" w:color="auto"/>
        <w:bottom w:val="none" w:sz="0" w:space="0" w:color="auto"/>
        <w:right w:val="none" w:sz="0" w:space="0" w:color="auto"/>
      </w:divBdr>
      <w:divsChild>
        <w:div w:id="798956153">
          <w:marLeft w:val="0"/>
          <w:marRight w:val="0"/>
          <w:marTop w:val="0"/>
          <w:marBottom w:val="0"/>
          <w:divBdr>
            <w:top w:val="none" w:sz="0" w:space="0" w:color="auto"/>
            <w:left w:val="none" w:sz="0" w:space="0" w:color="auto"/>
            <w:bottom w:val="none" w:sz="0" w:space="0" w:color="auto"/>
            <w:right w:val="none" w:sz="0" w:space="0" w:color="auto"/>
          </w:divBdr>
        </w:div>
      </w:divsChild>
    </w:div>
    <w:div w:id="466046099">
      <w:bodyDiv w:val="1"/>
      <w:marLeft w:val="0"/>
      <w:marRight w:val="0"/>
      <w:marTop w:val="0"/>
      <w:marBottom w:val="0"/>
      <w:divBdr>
        <w:top w:val="none" w:sz="0" w:space="0" w:color="auto"/>
        <w:left w:val="none" w:sz="0" w:space="0" w:color="auto"/>
        <w:bottom w:val="none" w:sz="0" w:space="0" w:color="auto"/>
        <w:right w:val="none" w:sz="0" w:space="0" w:color="auto"/>
      </w:divBdr>
      <w:divsChild>
        <w:div w:id="955982761">
          <w:marLeft w:val="0"/>
          <w:marRight w:val="0"/>
          <w:marTop w:val="0"/>
          <w:marBottom w:val="0"/>
          <w:divBdr>
            <w:top w:val="none" w:sz="0" w:space="0" w:color="auto"/>
            <w:left w:val="none" w:sz="0" w:space="0" w:color="auto"/>
            <w:bottom w:val="none" w:sz="0" w:space="0" w:color="auto"/>
            <w:right w:val="none" w:sz="0" w:space="0" w:color="auto"/>
          </w:divBdr>
        </w:div>
      </w:divsChild>
    </w:div>
    <w:div w:id="548077802">
      <w:bodyDiv w:val="1"/>
      <w:marLeft w:val="0"/>
      <w:marRight w:val="0"/>
      <w:marTop w:val="0"/>
      <w:marBottom w:val="0"/>
      <w:divBdr>
        <w:top w:val="none" w:sz="0" w:space="0" w:color="auto"/>
        <w:left w:val="none" w:sz="0" w:space="0" w:color="auto"/>
        <w:bottom w:val="none" w:sz="0" w:space="0" w:color="auto"/>
        <w:right w:val="none" w:sz="0" w:space="0" w:color="auto"/>
      </w:divBdr>
      <w:divsChild>
        <w:div w:id="1901092177">
          <w:marLeft w:val="0"/>
          <w:marRight w:val="0"/>
          <w:marTop w:val="0"/>
          <w:marBottom w:val="0"/>
          <w:divBdr>
            <w:top w:val="none" w:sz="0" w:space="0" w:color="auto"/>
            <w:left w:val="none" w:sz="0" w:space="0" w:color="auto"/>
            <w:bottom w:val="none" w:sz="0" w:space="0" w:color="auto"/>
            <w:right w:val="none" w:sz="0" w:space="0" w:color="auto"/>
          </w:divBdr>
        </w:div>
      </w:divsChild>
    </w:div>
    <w:div w:id="571933043">
      <w:bodyDiv w:val="1"/>
      <w:marLeft w:val="0"/>
      <w:marRight w:val="0"/>
      <w:marTop w:val="0"/>
      <w:marBottom w:val="0"/>
      <w:divBdr>
        <w:top w:val="none" w:sz="0" w:space="0" w:color="auto"/>
        <w:left w:val="none" w:sz="0" w:space="0" w:color="auto"/>
        <w:bottom w:val="none" w:sz="0" w:space="0" w:color="auto"/>
        <w:right w:val="none" w:sz="0" w:space="0" w:color="auto"/>
      </w:divBdr>
      <w:divsChild>
        <w:div w:id="1661352011">
          <w:marLeft w:val="0"/>
          <w:marRight w:val="0"/>
          <w:marTop w:val="0"/>
          <w:marBottom w:val="0"/>
          <w:divBdr>
            <w:top w:val="none" w:sz="0" w:space="0" w:color="auto"/>
            <w:left w:val="none" w:sz="0" w:space="0" w:color="auto"/>
            <w:bottom w:val="none" w:sz="0" w:space="0" w:color="auto"/>
            <w:right w:val="none" w:sz="0" w:space="0" w:color="auto"/>
          </w:divBdr>
        </w:div>
      </w:divsChild>
    </w:div>
    <w:div w:id="677541342">
      <w:bodyDiv w:val="1"/>
      <w:marLeft w:val="0"/>
      <w:marRight w:val="0"/>
      <w:marTop w:val="0"/>
      <w:marBottom w:val="0"/>
      <w:divBdr>
        <w:top w:val="none" w:sz="0" w:space="0" w:color="auto"/>
        <w:left w:val="none" w:sz="0" w:space="0" w:color="auto"/>
        <w:bottom w:val="none" w:sz="0" w:space="0" w:color="auto"/>
        <w:right w:val="none" w:sz="0" w:space="0" w:color="auto"/>
      </w:divBdr>
      <w:divsChild>
        <w:div w:id="599026450">
          <w:marLeft w:val="0"/>
          <w:marRight w:val="0"/>
          <w:marTop w:val="0"/>
          <w:marBottom w:val="0"/>
          <w:divBdr>
            <w:top w:val="none" w:sz="0" w:space="0" w:color="auto"/>
            <w:left w:val="none" w:sz="0" w:space="0" w:color="auto"/>
            <w:bottom w:val="none" w:sz="0" w:space="0" w:color="auto"/>
            <w:right w:val="none" w:sz="0" w:space="0" w:color="auto"/>
          </w:divBdr>
        </w:div>
      </w:divsChild>
    </w:div>
    <w:div w:id="709115598">
      <w:bodyDiv w:val="1"/>
      <w:marLeft w:val="0"/>
      <w:marRight w:val="0"/>
      <w:marTop w:val="0"/>
      <w:marBottom w:val="0"/>
      <w:divBdr>
        <w:top w:val="none" w:sz="0" w:space="0" w:color="auto"/>
        <w:left w:val="none" w:sz="0" w:space="0" w:color="auto"/>
        <w:bottom w:val="none" w:sz="0" w:space="0" w:color="auto"/>
        <w:right w:val="none" w:sz="0" w:space="0" w:color="auto"/>
      </w:divBdr>
      <w:divsChild>
        <w:div w:id="1267930708">
          <w:marLeft w:val="0"/>
          <w:marRight w:val="0"/>
          <w:marTop w:val="0"/>
          <w:marBottom w:val="0"/>
          <w:divBdr>
            <w:top w:val="none" w:sz="0" w:space="0" w:color="auto"/>
            <w:left w:val="none" w:sz="0" w:space="0" w:color="auto"/>
            <w:bottom w:val="none" w:sz="0" w:space="0" w:color="auto"/>
            <w:right w:val="none" w:sz="0" w:space="0" w:color="auto"/>
          </w:divBdr>
        </w:div>
      </w:divsChild>
    </w:div>
    <w:div w:id="744762103">
      <w:bodyDiv w:val="1"/>
      <w:marLeft w:val="0"/>
      <w:marRight w:val="0"/>
      <w:marTop w:val="0"/>
      <w:marBottom w:val="0"/>
      <w:divBdr>
        <w:top w:val="none" w:sz="0" w:space="0" w:color="auto"/>
        <w:left w:val="none" w:sz="0" w:space="0" w:color="auto"/>
        <w:bottom w:val="none" w:sz="0" w:space="0" w:color="auto"/>
        <w:right w:val="none" w:sz="0" w:space="0" w:color="auto"/>
      </w:divBdr>
      <w:divsChild>
        <w:div w:id="1054934478">
          <w:marLeft w:val="0"/>
          <w:marRight w:val="0"/>
          <w:marTop w:val="0"/>
          <w:marBottom w:val="0"/>
          <w:divBdr>
            <w:top w:val="none" w:sz="0" w:space="0" w:color="auto"/>
            <w:left w:val="none" w:sz="0" w:space="0" w:color="auto"/>
            <w:bottom w:val="none" w:sz="0" w:space="0" w:color="auto"/>
            <w:right w:val="none" w:sz="0" w:space="0" w:color="auto"/>
          </w:divBdr>
        </w:div>
      </w:divsChild>
    </w:div>
    <w:div w:id="777603421">
      <w:bodyDiv w:val="1"/>
      <w:marLeft w:val="0"/>
      <w:marRight w:val="0"/>
      <w:marTop w:val="0"/>
      <w:marBottom w:val="0"/>
      <w:divBdr>
        <w:top w:val="none" w:sz="0" w:space="0" w:color="auto"/>
        <w:left w:val="none" w:sz="0" w:space="0" w:color="auto"/>
        <w:bottom w:val="none" w:sz="0" w:space="0" w:color="auto"/>
        <w:right w:val="none" w:sz="0" w:space="0" w:color="auto"/>
      </w:divBdr>
      <w:divsChild>
        <w:div w:id="206380075">
          <w:marLeft w:val="0"/>
          <w:marRight w:val="0"/>
          <w:marTop w:val="0"/>
          <w:marBottom w:val="0"/>
          <w:divBdr>
            <w:top w:val="none" w:sz="0" w:space="0" w:color="auto"/>
            <w:left w:val="none" w:sz="0" w:space="0" w:color="auto"/>
            <w:bottom w:val="none" w:sz="0" w:space="0" w:color="auto"/>
            <w:right w:val="none" w:sz="0" w:space="0" w:color="auto"/>
          </w:divBdr>
        </w:div>
      </w:divsChild>
    </w:div>
    <w:div w:id="777943545">
      <w:bodyDiv w:val="1"/>
      <w:marLeft w:val="0"/>
      <w:marRight w:val="0"/>
      <w:marTop w:val="0"/>
      <w:marBottom w:val="0"/>
      <w:divBdr>
        <w:top w:val="none" w:sz="0" w:space="0" w:color="auto"/>
        <w:left w:val="none" w:sz="0" w:space="0" w:color="auto"/>
        <w:bottom w:val="none" w:sz="0" w:space="0" w:color="auto"/>
        <w:right w:val="none" w:sz="0" w:space="0" w:color="auto"/>
      </w:divBdr>
      <w:divsChild>
        <w:div w:id="277180225">
          <w:marLeft w:val="0"/>
          <w:marRight w:val="0"/>
          <w:marTop w:val="0"/>
          <w:marBottom w:val="0"/>
          <w:divBdr>
            <w:top w:val="none" w:sz="0" w:space="0" w:color="auto"/>
            <w:left w:val="none" w:sz="0" w:space="0" w:color="auto"/>
            <w:bottom w:val="none" w:sz="0" w:space="0" w:color="auto"/>
            <w:right w:val="none" w:sz="0" w:space="0" w:color="auto"/>
          </w:divBdr>
        </w:div>
      </w:divsChild>
    </w:div>
    <w:div w:id="814102185">
      <w:bodyDiv w:val="1"/>
      <w:marLeft w:val="0"/>
      <w:marRight w:val="0"/>
      <w:marTop w:val="0"/>
      <w:marBottom w:val="0"/>
      <w:divBdr>
        <w:top w:val="none" w:sz="0" w:space="0" w:color="auto"/>
        <w:left w:val="none" w:sz="0" w:space="0" w:color="auto"/>
        <w:bottom w:val="none" w:sz="0" w:space="0" w:color="auto"/>
        <w:right w:val="none" w:sz="0" w:space="0" w:color="auto"/>
      </w:divBdr>
      <w:divsChild>
        <w:div w:id="1104303338">
          <w:marLeft w:val="0"/>
          <w:marRight w:val="0"/>
          <w:marTop w:val="0"/>
          <w:marBottom w:val="0"/>
          <w:divBdr>
            <w:top w:val="none" w:sz="0" w:space="0" w:color="auto"/>
            <w:left w:val="none" w:sz="0" w:space="0" w:color="auto"/>
            <w:bottom w:val="none" w:sz="0" w:space="0" w:color="auto"/>
            <w:right w:val="none" w:sz="0" w:space="0" w:color="auto"/>
          </w:divBdr>
        </w:div>
      </w:divsChild>
    </w:div>
    <w:div w:id="853348474">
      <w:bodyDiv w:val="1"/>
      <w:marLeft w:val="0"/>
      <w:marRight w:val="0"/>
      <w:marTop w:val="0"/>
      <w:marBottom w:val="0"/>
      <w:divBdr>
        <w:top w:val="none" w:sz="0" w:space="0" w:color="auto"/>
        <w:left w:val="none" w:sz="0" w:space="0" w:color="auto"/>
        <w:bottom w:val="none" w:sz="0" w:space="0" w:color="auto"/>
        <w:right w:val="none" w:sz="0" w:space="0" w:color="auto"/>
      </w:divBdr>
      <w:divsChild>
        <w:div w:id="2119982108">
          <w:marLeft w:val="0"/>
          <w:marRight w:val="0"/>
          <w:marTop w:val="0"/>
          <w:marBottom w:val="0"/>
          <w:divBdr>
            <w:top w:val="none" w:sz="0" w:space="0" w:color="auto"/>
            <w:left w:val="none" w:sz="0" w:space="0" w:color="auto"/>
            <w:bottom w:val="none" w:sz="0" w:space="0" w:color="auto"/>
            <w:right w:val="none" w:sz="0" w:space="0" w:color="auto"/>
          </w:divBdr>
        </w:div>
      </w:divsChild>
    </w:div>
    <w:div w:id="917445131">
      <w:bodyDiv w:val="1"/>
      <w:marLeft w:val="0"/>
      <w:marRight w:val="0"/>
      <w:marTop w:val="0"/>
      <w:marBottom w:val="0"/>
      <w:divBdr>
        <w:top w:val="none" w:sz="0" w:space="0" w:color="auto"/>
        <w:left w:val="none" w:sz="0" w:space="0" w:color="auto"/>
        <w:bottom w:val="none" w:sz="0" w:space="0" w:color="auto"/>
        <w:right w:val="none" w:sz="0" w:space="0" w:color="auto"/>
      </w:divBdr>
      <w:divsChild>
        <w:div w:id="1277758429">
          <w:marLeft w:val="0"/>
          <w:marRight w:val="0"/>
          <w:marTop w:val="0"/>
          <w:marBottom w:val="0"/>
          <w:divBdr>
            <w:top w:val="none" w:sz="0" w:space="0" w:color="auto"/>
            <w:left w:val="none" w:sz="0" w:space="0" w:color="auto"/>
            <w:bottom w:val="none" w:sz="0" w:space="0" w:color="auto"/>
            <w:right w:val="none" w:sz="0" w:space="0" w:color="auto"/>
          </w:divBdr>
        </w:div>
      </w:divsChild>
    </w:div>
    <w:div w:id="932859442">
      <w:bodyDiv w:val="1"/>
      <w:marLeft w:val="0"/>
      <w:marRight w:val="0"/>
      <w:marTop w:val="0"/>
      <w:marBottom w:val="0"/>
      <w:divBdr>
        <w:top w:val="none" w:sz="0" w:space="0" w:color="auto"/>
        <w:left w:val="none" w:sz="0" w:space="0" w:color="auto"/>
        <w:bottom w:val="none" w:sz="0" w:space="0" w:color="auto"/>
        <w:right w:val="none" w:sz="0" w:space="0" w:color="auto"/>
      </w:divBdr>
      <w:divsChild>
        <w:div w:id="508524694">
          <w:marLeft w:val="0"/>
          <w:marRight w:val="0"/>
          <w:marTop w:val="0"/>
          <w:marBottom w:val="0"/>
          <w:divBdr>
            <w:top w:val="none" w:sz="0" w:space="0" w:color="auto"/>
            <w:left w:val="none" w:sz="0" w:space="0" w:color="auto"/>
            <w:bottom w:val="none" w:sz="0" w:space="0" w:color="auto"/>
            <w:right w:val="none" w:sz="0" w:space="0" w:color="auto"/>
          </w:divBdr>
        </w:div>
      </w:divsChild>
    </w:div>
    <w:div w:id="992027369">
      <w:bodyDiv w:val="1"/>
      <w:marLeft w:val="0"/>
      <w:marRight w:val="0"/>
      <w:marTop w:val="0"/>
      <w:marBottom w:val="0"/>
      <w:divBdr>
        <w:top w:val="none" w:sz="0" w:space="0" w:color="auto"/>
        <w:left w:val="none" w:sz="0" w:space="0" w:color="auto"/>
        <w:bottom w:val="none" w:sz="0" w:space="0" w:color="auto"/>
        <w:right w:val="none" w:sz="0" w:space="0" w:color="auto"/>
      </w:divBdr>
      <w:divsChild>
        <w:div w:id="1501701878">
          <w:marLeft w:val="0"/>
          <w:marRight w:val="0"/>
          <w:marTop w:val="0"/>
          <w:marBottom w:val="0"/>
          <w:divBdr>
            <w:top w:val="none" w:sz="0" w:space="0" w:color="auto"/>
            <w:left w:val="none" w:sz="0" w:space="0" w:color="auto"/>
            <w:bottom w:val="none" w:sz="0" w:space="0" w:color="auto"/>
            <w:right w:val="none" w:sz="0" w:space="0" w:color="auto"/>
          </w:divBdr>
        </w:div>
      </w:divsChild>
    </w:div>
    <w:div w:id="1022323146">
      <w:bodyDiv w:val="1"/>
      <w:marLeft w:val="0"/>
      <w:marRight w:val="0"/>
      <w:marTop w:val="0"/>
      <w:marBottom w:val="0"/>
      <w:divBdr>
        <w:top w:val="none" w:sz="0" w:space="0" w:color="auto"/>
        <w:left w:val="none" w:sz="0" w:space="0" w:color="auto"/>
        <w:bottom w:val="none" w:sz="0" w:space="0" w:color="auto"/>
        <w:right w:val="none" w:sz="0" w:space="0" w:color="auto"/>
      </w:divBdr>
      <w:divsChild>
        <w:div w:id="1796026062">
          <w:marLeft w:val="0"/>
          <w:marRight w:val="0"/>
          <w:marTop w:val="0"/>
          <w:marBottom w:val="0"/>
          <w:divBdr>
            <w:top w:val="none" w:sz="0" w:space="0" w:color="auto"/>
            <w:left w:val="none" w:sz="0" w:space="0" w:color="auto"/>
            <w:bottom w:val="none" w:sz="0" w:space="0" w:color="auto"/>
            <w:right w:val="none" w:sz="0" w:space="0" w:color="auto"/>
          </w:divBdr>
        </w:div>
      </w:divsChild>
    </w:div>
    <w:div w:id="1070881721">
      <w:bodyDiv w:val="1"/>
      <w:marLeft w:val="0"/>
      <w:marRight w:val="0"/>
      <w:marTop w:val="0"/>
      <w:marBottom w:val="0"/>
      <w:divBdr>
        <w:top w:val="none" w:sz="0" w:space="0" w:color="auto"/>
        <w:left w:val="none" w:sz="0" w:space="0" w:color="auto"/>
        <w:bottom w:val="none" w:sz="0" w:space="0" w:color="auto"/>
        <w:right w:val="none" w:sz="0" w:space="0" w:color="auto"/>
      </w:divBdr>
    </w:div>
    <w:div w:id="1129475219">
      <w:bodyDiv w:val="1"/>
      <w:marLeft w:val="0"/>
      <w:marRight w:val="0"/>
      <w:marTop w:val="0"/>
      <w:marBottom w:val="0"/>
      <w:divBdr>
        <w:top w:val="none" w:sz="0" w:space="0" w:color="auto"/>
        <w:left w:val="none" w:sz="0" w:space="0" w:color="auto"/>
        <w:bottom w:val="none" w:sz="0" w:space="0" w:color="auto"/>
        <w:right w:val="none" w:sz="0" w:space="0" w:color="auto"/>
      </w:divBdr>
      <w:divsChild>
        <w:div w:id="388505424">
          <w:marLeft w:val="0"/>
          <w:marRight w:val="0"/>
          <w:marTop w:val="0"/>
          <w:marBottom w:val="0"/>
          <w:divBdr>
            <w:top w:val="none" w:sz="0" w:space="0" w:color="auto"/>
            <w:left w:val="none" w:sz="0" w:space="0" w:color="auto"/>
            <w:bottom w:val="none" w:sz="0" w:space="0" w:color="auto"/>
            <w:right w:val="none" w:sz="0" w:space="0" w:color="auto"/>
          </w:divBdr>
        </w:div>
      </w:divsChild>
    </w:div>
    <w:div w:id="1230069767">
      <w:bodyDiv w:val="1"/>
      <w:marLeft w:val="0"/>
      <w:marRight w:val="0"/>
      <w:marTop w:val="0"/>
      <w:marBottom w:val="0"/>
      <w:divBdr>
        <w:top w:val="none" w:sz="0" w:space="0" w:color="auto"/>
        <w:left w:val="none" w:sz="0" w:space="0" w:color="auto"/>
        <w:bottom w:val="none" w:sz="0" w:space="0" w:color="auto"/>
        <w:right w:val="none" w:sz="0" w:space="0" w:color="auto"/>
      </w:divBdr>
      <w:divsChild>
        <w:div w:id="1565330011">
          <w:marLeft w:val="0"/>
          <w:marRight w:val="0"/>
          <w:marTop w:val="0"/>
          <w:marBottom w:val="0"/>
          <w:divBdr>
            <w:top w:val="none" w:sz="0" w:space="0" w:color="auto"/>
            <w:left w:val="none" w:sz="0" w:space="0" w:color="auto"/>
            <w:bottom w:val="none" w:sz="0" w:space="0" w:color="auto"/>
            <w:right w:val="none" w:sz="0" w:space="0" w:color="auto"/>
          </w:divBdr>
        </w:div>
      </w:divsChild>
    </w:div>
    <w:div w:id="1327710451">
      <w:bodyDiv w:val="1"/>
      <w:marLeft w:val="0"/>
      <w:marRight w:val="0"/>
      <w:marTop w:val="0"/>
      <w:marBottom w:val="0"/>
      <w:divBdr>
        <w:top w:val="none" w:sz="0" w:space="0" w:color="auto"/>
        <w:left w:val="none" w:sz="0" w:space="0" w:color="auto"/>
        <w:bottom w:val="none" w:sz="0" w:space="0" w:color="auto"/>
        <w:right w:val="none" w:sz="0" w:space="0" w:color="auto"/>
      </w:divBdr>
      <w:divsChild>
        <w:div w:id="377046066">
          <w:marLeft w:val="0"/>
          <w:marRight w:val="0"/>
          <w:marTop w:val="0"/>
          <w:marBottom w:val="0"/>
          <w:divBdr>
            <w:top w:val="none" w:sz="0" w:space="0" w:color="auto"/>
            <w:left w:val="none" w:sz="0" w:space="0" w:color="auto"/>
            <w:bottom w:val="none" w:sz="0" w:space="0" w:color="auto"/>
            <w:right w:val="none" w:sz="0" w:space="0" w:color="auto"/>
          </w:divBdr>
        </w:div>
      </w:divsChild>
    </w:div>
    <w:div w:id="1333221215">
      <w:bodyDiv w:val="1"/>
      <w:marLeft w:val="0"/>
      <w:marRight w:val="0"/>
      <w:marTop w:val="0"/>
      <w:marBottom w:val="0"/>
      <w:divBdr>
        <w:top w:val="none" w:sz="0" w:space="0" w:color="auto"/>
        <w:left w:val="none" w:sz="0" w:space="0" w:color="auto"/>
        <w:bottom w:val="none" w:sz="0" w:space="0" w:color="auto"/>
        <w:right w:val="none" w:sz="0" w:space="0" w:color="auto"/>
      </w:divBdr>
      <w:divsChild>
        <w:div w:id="1307322149">
          <w:marLeft w:val="0"/>
          <w:marRight w:val="0"/>
          <w:marTop w:val="0"/>
          <w:marBottom w:val="0"/>
          <w:divBdr>
            <w:top w:val="none" w:sz="0" w:space="0" w:color="auto"/>
            <w:left w:val="none" w:sz="0" w:space="0" w:color="auto"/>
            <w:bottom w:val="none" w:sz="0" w:space="0" w:color="auto"/>
            <w:right w:val="none" w:sz="0" w:space="0" w:color="auto"/>
          </w:divBdr>
        </w:div>
      </w:divsChild>
    </w:div>
    <w:div w:id="1440176333">
      <w:bodyDiv w:val="1"/>
      <w:marLeft w:val="0"/>
      <w:marRight w:val="0"/>
      <w:marTop w:val="0"/>
      <w:marBottom w:val="0"/>
      <w:divBdr>
        <w:top w:val="none" w:sz="0" w:space="0" w:color="auto"/>
        <w:left w:val="none" w:sz="0" w:space="0" w:color="auto"/>
        <w:bottom w:val="none" w:sz="0" w:space="0" w:color="auto"/>
        <w:right w:val="none" w:sz="0" w:space="0" w:color="auto"/>
      </w:divBdr>
      <w:divsChild>
        <w:div w:id="1108353465">
          <w:marLeft w:val="0"/>
          <w:marRight w:val="0"/>
          <w:marTop w:val="0"/>
          <w:marBottom w:val="0"/>
          <w:divBdr>
            <w:top w:val="none" w:sz="0" w:space="0" w:color="auto"/>
            <w:left w:val="none" w:sz="0" w:space="0" w:color="auto"/>
            <w:bottom w:val="none" w:sz="0" w:space="0" w:color="auto"/>
            <w:right w:val="none" w:sz="0" w:space="0" w:color="auto"/>
          </w:divBdr>
        </w:div>
      </w:divsChild>
    </w:div>
    <w:div w:id="1440762096">
      <w:bodyDiv w:val="1"/>
      <w:marLeft w:val="0"/>
      <w:marRight w:val="0"/>
      <w:marTop w:val="0"/>
      <w:marBottom w:val="0"/>
      <w:divBdr>
        <w:top w:val="none" w:sz="0" w:space="0" w:color="auto"/>
        <w:left w:val="none" w:sz="0" w:space="0" w:color="auto"/>
        <w:bottom w:val="none" w:sz="0" w:space="0" w:color="auto"/>
        <w:right w:val="none" w:sz="0" w:space="0" w:color="auto"/>
      </w:divBdr>
      <w:divsChild>
        <w:div w:id="2028752180">
          <w:marLeft w:val="0"/>
          <w:marRight w:val="0"/>
          <w:marTop w:val="0"/>
          <w:marBottom w:val="0"/>
          <w:divBdr>
            <w:top w:val="none" w:sz="0" w:space="0" w:color="auto"/>
            <w:left w:val="none" w:sz="0" w:space="0" w:color="auto"/>
            <w:bottom w:val="none" w:sz="0" w:space="0" w:color="auto"/>
            <w:right w:val="none" w:sz="0" w:space="0" w:color="auto"/>
          </w:divBdr>
        </w:div>
      </w:divsChild>
    </w:div>
    <w:div w:id="1532841604">
      <w:bodyDiv w:val="1"/>
      <w:marLeft w:val="0"/>
      <w:marRight w:val="0"/>
      <w:marTop w:val="0"/>
      <w:marBottom w:val="0"/>
      <w:divBdr>
        <w:top w:val="none" w:sz="0" w:space="0" w:color="auto"/>
        <w:left w:val="none" w:sz="0" w:space="0" w:color="auto"/>
        <w:bottom w:val="none" w:sz="0" w:space="0" w:color="auto"/>
        <w:right w:val="none" w:sz="0" w:space="0" w:color="auto"/>
      </w:divBdr>
      <w:divsChild>
        <w:div w:id="1475563198">
          <w:marLeft w:val="0"/>
          <w:marRight w:val="0"/>
          <w:marTop w:val="0"/>
          <w:marBottom w:val="0"/>
          <w:divBdr>
            <w:top w:val="none" w:sz="0" w:space="0" w:color="auto"/>
            <w:left w:val="none" w:sz="0" w:space="0" w:color="auto"/>
            <w:bottom w:val="none" w:sz="0" w:space="0" w:color="auto"/>
            <w:right w:val="none" w:sz="0" w:space="0" w:color="auto"/>
          </w:divBdr>
        </w:div>
      </w:divsChild>
    </w:div>
    <w:div w:id="1575161049">
      <w:bodyDiv w:val="1"/>
      <w:marLeft w:val="0"/>
      <w:marRight w:val="0"/>
      <w:marTop w:val="0"/>
      <w:marBottom w:val="0"/>
      <w:divBdr>
        <w:top w:val="none" w:sz="0" w:space="0" w:color="auto"/>
        <w:left w:val="none" w:sz="0" w:space="0" w:color="auto"/>
        <w:bottom w:val="none" w:sz="0" w:space="0" w:color="auto"/>
        <w:right w:val="none" w:sz="0" w:space="0" w:color="auto"/>
      </w:divBdr>
      <w:divsChild>
        <w:div w:id="911820283">
          <w:marLeft w:val="0"/>
          <w:marRight w:val="0"/>
          <w:marTop w:val="0"/>
          <w:marBottom w:val="0"/>
          <w:divBdr>
            <w:top w:val="none" w:sz="0" w:space="0" w:color="auto"/>
            <w:left w:val="none" w:sz="0" w:space="0" w:color="auto"/>
            <w:bottom w:val="none" w:sz="0" w:space="0" w:color="auto"/>
            <w:right w:val="none" w:sz="0" w:space="0" w:color="auto"/>
          </w:divBdr>
        </w:div>
      </w:divsChild>
    </w:div>
    <w:div w:id="1623462806">
      <w:bodyDiv w:val="1"/>
      <w:marLeft w:val="0"/>
      <w:marRight w:val="0"/>
      <w:marTop w:val="0"/>
      <w:marBottom w:val="0"/>
      <w:divBdr>
        <w:top w:val="none" w:sz="0" w:space="0" w:color="auto"/>
        <w:left w:val="none" w:sz="0" w:space="0" w:color="auto"/>
        <w:bottom w:val="none" w:sz="0" w:space="0" w:color="auto"/>
        <w:right w:val="none" w:sz="0" w:space="0" w:color="auto"/>
      </w:divBdr>
    </w:div>
    <w:div w:id="1625117664">
      <w:bodyDiv w:val="1"/>
      <w:marLeft w:val="0"/>
      <w:marRight w:val="0"/>
      <w:marTop w:val="0"/>
      <w:marBottom w:val="0"/>
      <w:divBdr>
        <w:top w:val="none" w:sz="0" w:space="0" w:color="auto"/>
        <w:left w:val="none" w:sz="0" w:space="0" w:color="auto"/>
        <w:bottom w:val="none" w:sz="0" w:space="0" w:color="auto"/>
        <w:right w:val="none" w:sz="0" w:space="0" w:color="auto"/>
      </w:divBdr>
      <w:divsChild>
        <w:div w:id="369649764">
          <w:marLeft w:val="0"/>
          <w:marRight w:val="0"/>
          <w:marTop w:val="0"/>
          <w:marBottom w:val="0"/>
          <w:divBdr>
            <w:top w:val="none" w:sz="0" w:space="0" w:color="auto"/>
            <w:left w:val="none" w:sz="0" w:space="0" w:color="auto"/>
            <w:bottom w:val="none" w:sz="0" w:space="0" w:color="auto"/>
            <w:right w:val="none" w:sz="0" w:space="0" w:color="auto"/>
          </w:divBdr>
        </w:div>
      </w:divsChild>
    </w:div>
    <w:div w:id="1664048739">
      <w:bodyDiv w:val="1"/>
      <w:marLeft w:val="0"/>
      <w:marRight w:val="0"/>
      <w:marTop w:val="0"/>
      <w:marBottom w:val="0"/>
      <w:divBdr>
        <w:top w:val="none" w:sz="0" w:space="0" w:color="auto"/>
        <w:left w:val="none" w:sz="0" w:space="0" w:color="auto"/>
        <w:bottom w:val="none" w:sz="0" w:space="0" w:color="auto"/>
        <w:right w:val="none" w:sz="0" w:space="0" w:color="auto"/>
      </w:divBdr>
      <w:divsChild>
        <w:div w:id="245267240">
          <w:marLeft w:val="0"/>
          <w:marRight w:val="0"/>
          <w:marTop w:val="0"/>
          <w:marBottom w:val="0"/>
          <w:divBdr>
            <w:top w:val="none" w:sz="0" w:space="0" w:color="auto"/>
            <w:left w:val="none" w:sz="0" w:space="0" w:color="auto"/>
            <w:bottom w:val="none" w:sz="0" w:space="0" w:color="auto"/>
            <w:right w:val="none" w:sz="0" w:space="0" w:color="auto"/>
          </w:divBdr>
        </w:div>
      </w:divsChild>
    </w:div>
    <w:div w:id="1717730519">
      <w:bodyDiv w:val="1"/>
      <w:marLeft w:val="0"/>
      <w:marRight w:val="0"/>
      <w:marTop w:val="0"/>
      <w:marBottom w:val="0"/>
      <w:divBdr>
        <w:top w:val="none" w:sz="0" w:space="0" w:color="auto"/>
        <w:left w:val="none" w:sz="0" w:space="0" w:color="auto"/>
        <w:bottom w:val="none" w:sz="0" w:space="0" w:color="auto"/>
        <w:right w:val="none" w:sz="0" w:space="0" w:color="auto"/>
      </w:divBdr>
      <w:divsChild>
        <w:div w:id="1851021004">
          <w:marLeft w:val="0"/>
          <w:marRight w:val="0"/>
          <w:marTop w:val="0"/>
          <w:marBottom w:val="0"/>
          <w:divBdr>
            <w:top w:val="none" w:sz="0" w:space="0" w:color="auto"/>
            <w:left w:val="none" w:sz="0" w:space="0" w:color="auto"/>
            <w:bottom w:val="none" w:sz="0" w:space="0" w:color="auto"/>
            <w:right w:val="none" w:sz="0" w:space="0" w:color="auto"/>
          </w:divBdr>
        </w:div>
      </w:divsChild>
    </w:div>
    <w:div w:id="1779060695">
      <w:bodyDiv w:val="1"/>
      <w:marLeft w:val="0"/>
      <w:marRight w:val="0"/>
      <w:marTop w:val="0"/>
      <w:marBottom w:val="0"/>
      <w:divBdr>
        <w:top w:val="none" w:sz="0" w:space="0" w:color="auto"/>
        <w:left w:val="none" w:sz="0" w:space="0" w:color="auto"/>
        <w:bottom w:val="none" w:sz="0" w:space="0" w:color="auto"/>
        <w:right w:val="none" w:sz="0" w:space="0" w:color="auto"/>
      </w:divBdr>
      <w:divsChild>
        <w:div w:id="1206791961">
          <w:marLeft w:val="0"/>
          <w:marRight w:val="0"/>
          <w:marTop w:val="0"/>
          <w:marBottom w:val="0"/>
          <w:divBdr>
            <w:top w:val="none" w:sz="0" w:space="0" w:color="auto"/>
            <w:left w:val="none" w:sz="0" w:space="0" w:color="auto"/>
            <w:bottom w:val="none" w:sz="0" w:space="0" w:color="auto"/>
            <w:right w:val="none" w:sz="0" w:space="0" w:color="auto"/>
          </w:divBdr>
        </w:div>
      </w:divsChild>
    </w:div>
    <w:div w:id="1891257533">
      <w:bodyDiv w:val="1"/>
      <w:marLeft w:val="0"/>
      <w:marRight w:val="0"/>
      <w:marTop w:val="0"/>
      <w:marBottom w:val="0"/>
      <w:divBdr>
        <w:top w:val="none" w:sz="0" w:space="0" w:color="auto"/>
        <w:left w:val="none" w:sz="0" w:space="0" w:color="auto"/>
        <w:bottom w:val="none" w:sz="0" w:space="0" w:color="auto"/>
        <w:right w:val="none" w:sz="0" w:space="0" w:color="auto"/>
      </w:divBdr>
    </w:div>
    <w:div w:id="1980649856">
      <w:bodyDiv w:val="1"/>
      <w:marLeft w:val="0"/>
      <w:marRight w:val="0"/>
      <w:marTop w:val="0"/>
      <w:marBottom w:val="0"/>
      <w:divBdr>
        <w:top w:val="none" w:sz="0" w:space="0" w:color="auto"/>
        <w:left w:val="none" w:sz="0" w:space="0" w:color="auto"/>
        <w:bottom w:val="none" w:sz="0" w:space="0" w:color="auto"/>
        <w:right w:val="none" w:sz="0" w:space="0" w:color="auto"/>
      </w:divBdr>
      <w:divsChild>
        <w:div w:id="1066533474">
          <w:marLeft w:val="0"/>
          <w:marRight w:val="0"/>
          <w:marTop w:val="0"/>
          <w:marBottom w:val="0"/>
          <w:divBdr>
            <w:top w:val="none" w:sz="0" w:space="0" w:color="auto"/>
            <w:left w:val="none" w:sz="0" w:space="0" w:color="auto"/>
            <w:bottom w:val="none" w:sz="0" w:space="0" w:color="auto"/>
            <w:right w:val="none" w:sz="0" w:space="0" w:color="auto"/>
          </w:divBdr>
        </w:div>
      </w:divsChild>
    </w:div>
    <w:div w:id="2011564504">
      <w:bodyDiv w:val="1"/>
      <w:marLeft w:val="0"/>
      <w:marRight w:val="0"/>
      <w:marTop w:val="0"/>
      <w:marBottom w:val="0"/>
      <w:divBdr>
        <w:top w:val="none" w:sz="0" w:space="0" w:color="auto"/>
        <w:left w:val="none" w:sz="0" w:space="0" w:color="auto"/>
        <w:bottom w:val="none" w:sz="0" w:space="0" w:color="auto"/>
        <w:right w:val="none" w:sz="0" w:space="0" w:color="auto"/>
      </w:divBdr>
      <w:divsChild>
        <w:div w:id="619071302">
          <w:marLeft w:val="0"/>
          <w:marRight w:val="0"/>
          <w:marTop w:val="0"/>
          <w:marBottom w:val="0"/>
          <w:divBdr>
            <w:top w:val="none" w:sz="0" w:space="0" w:color="auto"/>
            <w:left w:val="none" w:sz="0" w:space="0" w:color="auto"/>
            <w:bottom w:val="none" w:sz="0" w:space="0" w:color="auto"/>
            <w:right w:val="none" w:sz="0" w:space="0" w:color="auto"/>
          </w:divBdr>
        </w:div>
      </w:divsChild>
    </w:div>
    <w:div w:id="2050062105">
      <w:bodyDiv w:val="1"/>
      <w:marLeft w:val="0"/>
      <w:marRight w:val="0"/>
      <w:marTop w:val="0"/>
      <w:marBottom w:val="0"/>
      <w:divBdr>
        <w:top w:val="none" w:sz="0" w:space="0" w:color="auto"/>
        <w:left w:val="none" w:sz="0" w:space="0" w:color="auto"/>
        <w:bottom w:val="none" w:sz="0" w:space="0" w:color="auto"/>
        <w:right w:val="none" w:sz="0" w:space="0" w:color="auto"/>
      </w:divBdr>
      <w:divsChild>
        <w:div w:id="1552499396">
          <w:marLeft w:val="0"/>
          <w:marRight w:val="0"/>
          <w:marTop w:val="0"/>
          <w:marBottom w:val="0"/>
          <w:divBdr>
            <w:top w:val="none" w:sz="0" w:space="0" w:color="auto"/>
            <w:left w:val="none" w:sz="0" w:space="0" w:color="auto"/>
            <w:bottom w:val="none" w:sz="0" w:space="0" w:color="auto"/>
            <w:right w:val="none" w:sz="0" w:space="0" w:color="auto"/>
          </w:divBdr>
        </w:div>
      </w:divsChild>
    </w:div>
    <w:div w:id="2074114705">
      <w:bodyDiv w:val="1"/>
      <w:marLeft w:val="0"/>
      <w:marRight w:val="0"/>
      <w:marTop w:val="0"/>
      <w:marBottom w:val="0"/>
      <w:divBdr>
        <w:top w:val="none" w:sz="0" w:space="0" w:color="auto"/>
        <w:left w:val="none" w:sz="0" w:space="0" w:color="auto"/>
        <w:bottom w:val="none" w:sz="0" w:space="0" w:color="auto"/>
        <w:right w:val="none" w:sz="0" w:space="0" w:color="auto"/>
      </w:divBdr>
      <w:divsChild>
        <w:div w:id="480930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id/eprint/18189/2/SSU-SF-2004-01.pdf" TargetMode="External"/><Relationship Id="rId13" Type="http://schemas.openxmlformats.org/officeDocument/2006/relationships/hyperlink" Target="https://www.gov.wales/sites/default/files/publications/2025-09/national-minimum-standards-for-regulated-childcare.pdf" TargetMode="External"/><Relationship Id="rId3" Type="http://schemas.openxmlformats.org/officeDocument/2006/relationships/webSettings" Target="webSettings.xml"/><Relationship Id="rId7" Type="http://schemas.openxmlformats.org/officeDocument/2006/relationships/hyperlink" Target="https://www.oecd.org/content/dam/oecd/en/publications/reports/2006/09/starting-strong-ii_g1gh7238/9789264035461-en.pdf" TargetMode="External"/><Relationship Id="rId12" Type="http://schemas.openxmlformats.org/officeDocument/2006/relationships/hyperlink" Target="https://www.gov.wales/nms-introduction-chapters-what-do-we-mean-high-quality-provision-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rresistible-learning.co.uk/wp-content/uploads/2024/11/The-Leuven-Well-being-and-Involvement-scales.pdf" TargetMode="External"/><Relationship Id="rId11" Type="http://schemas.openxmlformats.org/officeDocument/2006/relationships/hyperlink" Target="https://www.gov.wales/sites/default/files/publications/2023-04/duty-of-quality-statutory-guidance-2023_0.pdf" TargetMode="External"/><Relationship Id="rId5" Type="http://schemas.openxmlformats.org/officeDocument/2006/relationships/hyperlink" Target="https://socialcare.wales/cms-assets/documents/Early-years-CPD-principles.pdf" TargetMode="External"/><Relationship Id="rId15" Type="http://schemas.openxmlformats.org/officeDocument/2006/relationships/hyperlink" Target="https://doi.org/10.1016/j.appdev.2013.05.002" TargetMode="External"/><Relationship Id="rId10" Type="http://schemas.openxmlformats.org/officeDocument/2006/relationships/hyperlink" Target="https://www.ohchr.org/en/instruments-mechanisms/instruments/convention-rights-child" TargetMode="External"/><Relationship Id="rId4" Type="http://schemas.openxmlformats.org/officeDocument/2006/relationships/hyperlink" Target="https://assets.publishing.service.gov.uk/media/5b43861540f0b678c0a9f17e/Study_of_quality_of_early_years_provision_in_England_brief.pdf" TargetMode="External"/><Relationship Id="rId9" Type="http://schemas.openxmlformats.org/officeDocument/2006/relationships/hyperlink" Target="https://www.unicef.org.uk/rights-respecting-schools/the-right-to-participation/" TargetMode="External"/><Relationship Id="rId14" Type="http://schemas.openxmlformats.org/officeDocument/2006/relationships/hyperlink" Target="https://hwb.gov.wales/api/storage/4901fbbb-6aa2-4412-be18-f73ca2c3c599/a-quality-framework-for-early-childhood-play-learning-and-car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2899</Words>
  <Characters>16527</Characters>
  <Application>Microsoft Office Word</Application>
  <DocSecurity>0</DocSecurity>
  <Lines>137</Lines>
  <Paragraphs>38</Paragraphs>
  <ScaleCrop>false</ScaleCrop>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2026-04-05T13:04:00Z</dcterms:created>
  <dcterms:modified xsi:type="dcterms:W3CDTF">2026-04-05T13:04:00Z</dcterms:modified>
</cp:coreProperties>
</file>