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175079" w14:textId="77777777" w:rsidR="002D535C" w:rsidRPr="006B039D" w:rsidRDefault="002D535C" w:rsidP="00FC292A">
      <w:pPr>
        <w:spacing w:line="276" w:lineRule="auto"/>
        <w:outlineLvl w:val="0"/>
        <w:rPr>
          <w:rFonts w:ascii="Times New Roman" w:hAnsi="Times New Roman" w:cs="Times New Roman"/>
          <w:b/>
        </w:rPr>
      </w:pPr>
      <w:r w:rsidRPr="006B039D">
        <w:rPr>
          <w:rFonts w:ascii="Times New Roman" w:hAnsi="Times New Roman" w:cs="Times New Roman"/>
          <w:b/>
        </w:rPr>
        <w:t>Timeline 2</w:t>
      </w:r>
    </w:p>
    <w:tbl>
      <w:tblPr>
        <w:tblStyle w:val="TableGrid"/>
        <w:tblW w:w="0" w:type="auto"/>
        <w:tblLook w:val="04A0" w:firstRow="1" w:lastRow="0" w:firstColumn="1" w:lastColumn="0" w:noHBand="0" w:noVBand="1"/>
      </w:tblPr>
      <w:tblGrid>
        <w:gridCol w:w="1165"/>
        <w:gridCol w:w="2340"/>
        <w:gridCol w:w="5040"/>
        <w:gridCol w:w="5400"/>
      </w:tblGrid>
      <w:tr w:rsidR="00FC292A" w:rsidRPr="006B039D" w14:paraId="3C1D3F33" w14:textId="77777777" w:rsidTr="00FD40B4">
        <w:tc>
          <w:tcPr>
            <w:tcW w:w="1165" w:type="dxa"/>
          </w:tcPr>
          <w:p w14:paraId="718BBAE5" w14:textId="6605CE5C" w:rsidR="00FC292A" w:rsidRPr="006B039D" w:rsidRDefault="00FC292A" w:rsidP="00FC292A">
            <w:pPr>
              <w:spacing w:line="276" w:lineRule="auto"/>
              <w:rPr>
                <w:rFonts w:ascii="Times New Roman" w:hAnsi="Times New Roman" w:cs="Times New Roman"/>
                <w:b/>
              </w:rPr>
            </w:pPr>
            <w:r w:rsidRPr="006B039D">
              <w:rPr>
                <w:rFonts w:ascii="Times New Roman" w:hAnsi="Times New Roman" w:cs="Times New Roman"/>
                <w:b/>
              </w:rPr>
              <w:t>Date</w:t>
            </w:r>
          </w:p>
        </w:tc>
        <w:tc>
          <w:tcPr>
            <w:tcW w:w="2340" w:type="dxa"/>
          </w:tcPr>
          <w:p w14:paraId="188DCC05" w14:textId="07CA99B5" w:rsidR="00FC292A" w:rsidRPr="006B039D" w:rsidRDefault="00FC292A" w:rsidP="00FC292A">
            <w:pPr>
              <w:spacing w:line="276" w:lineRule="auto"/>
              <w:rPr>
                <w:rFonts w:ascii="Times New Roman" w:hAnsi="Times New Roman" w:cs="Times New Roman"/>
                <w:b/>
              </w:rPr>
            </w:pPr>
            <w:r w:rsidRPr="006B039D">
              <w:rPr>
                <w:rFonts w:ascii="Times New Roman" w:hAnsi="Times New Roman" w:cs="Times New Roman"/>
                <w:b/>
              </w:rPr>
              <w:t>Event</w:t>
            </w:r>
          </w:p>
        </w:tc>
        <w:tc>
          <w:tcPr>
            <w:tcW w:w="5040" w:type="dxa"/>
          </w:tcPr>
          <w:p w14:paraId="12D893CA" w14:textId="562A99B5" w:rsidR="00FC292A" w:rsidRPr="006B039D" w:rsidRDefault="00FC292A" w:rsidP="00FC292A">
            <w:pPr>
              <w:spacing w:line="276" w:lineRule="auto"/>
              <w:rPr>
                <w:rFonts w:ascii="Times New Roman" w:hAnsi="Times New Roman" w:cs="Times New Roman"/>
                <w:b/>
              </w:rPr>
            </w:pPr>
            <w:r w:rsidRPr="006B039D">
              <w:rPr>
                <w:rFonts w:ascii="Times New Roman" w:hAnsi="Times New Roman" w:cs="Times New Roman"/>
                <w:b/>
              </w:rPr>
              <w:t>Modern Source</w:t>
            </w:r>
          </w:p>
        </w:tc>
        <w:tc>
          <w:tcPr>
            <w:tcW w:w="5400" w:type="dxa"/>
          </w:tcPr>
          <w:p w14:paraId="19AA7A29" w14:textId="3C6A5423" w:rsidR="00FC292A" w:rsidRPr="006B039D" w:rsidRDefault="00FC292A" w:rsidP="00FC292A">
            <w:pPr>
              <w:spacing w:line="276" w:lineRule="auto"/>
              <w:rPr>
                <w:rFonts w:ascii="Times New Roman" w:hAnsi="Times New Roman" w:cs="Times New Roman"/>
                <w:b/>
              </w:rPr>
            </w:pPr>
            <w:r w:rsidRPr="006B039D">
              <w:rPr>
                <w:rFonts w:ascii="Times New Roman" w:hAnsi="Times New Roman" w:cs="Times New Roman"/>
                <w:b/>
              </w:rPr>
              <w:t>Ancient Source</w:t>
            </w:r>
          </w:p>
        </w:tc>
      </w:tr>
      <w:tr w:rsidR="00FC292A" w:rsidRPr="006B039D" w14:paraId="7A189AF1" w14:textId="77777777" w:rsidTr="00FD40B4">
        <w:tc>
          <w:tcPr>
            <w:tcW w:w="1165" w:type="dxa"/>
          </w:tcPr>
          <w:p w14:paraId="490E6C3B" w14:textId="41784F1A" w:rsidR="00FC292A" w:rsidRPr="006B039D" w:rsidRDefault="00FC292A" w:rsidP="00FC292A">
            <w:pPr>
              <w:spacing w:line="276" w:lineRule="auto"/>
              <w:rPr>
                <w:rFonts w:ascii="Times New Roman" w:hAnsi="Times New Roman" w:cs="Times New Roman"/>
              </w:rPr>
            </w:pPr>
            <w:r w:rsidRPr="006B039D">
              <w:rPr>
                <w:rFonts w:ascii="Times New Roman" w:hAnsi="Times New Roman" w:cs="Times New Roman"/>
                <w:b/>
              </w:rPr>
              <w:t>338 BC</w:t>
            </w:r>
          </w:p>
        </w:tc>
        <w:tc>
          <w:tcPr>
            <w:tcW w:w="2340" w:type="dxa"/>
          </w:tcPr>
          <w:p w14:paraId="495AF211" w14:textId="4EF8DBD3" w:rsidR="00FC292A" w:rsidRPr="006B039D" w:rsidRDefault="00FC292A" w:rsidP="00FC292A">
            <w:pPr>
              <w:spacing w:line="276" w:lineRule="auto"/>
              <w:rPr>
                <w:rFonts w:ascii="Times New Roman" w:hAnsi="Times New Roman" w:cs="Times New Roman"/>
                <w:b/>
              </w:rPr>
            </w:pPr>
            <w:r w:rsidRPr="006B039D">
              <w:rPr>
                <w:rFonts w:ascii="Times New Roman" w:hAnsi="Times New Roman" w:cs="Times New Roman"/>
                <w:b/>
              </w:rPr>
              <w:t>Battle of Chaironea</w:t>
            </w:r>
            <w:r w:rsidRPr="006B039D">
              <w:rPr>
                <w:rStyle w:val="FootnoteReference"/>
                <w:rFonts w:ascii="Times New Roman" w:hAnsi="Times New Roman" w:cs="Times New Roman"/>
                <w:b/>
              </w:rPr>
              <w:footnoteReference w:id="1"/>
            </w:r>
          </w:p>
        </w:tc>
        <w:tc>
          <w:tcPr>
            <w:tcW w:w="5040" w:type="dxa"/>
          </w:tcPr>
          <w:p w14:paraId="5E2B6E34" w14:textId="77777777" w:rsidR="00FC292A" w:rsidRPr="006B039D" w:rsidRDefault="00FC292A" w:rsidP="00FC292A">
            <w:pPr>
              <w:spacing w:line="276" w:lineRule="auto"/>
              <w:rPr>
                <w:rFonts w:ascii="Times New Roman" w:hAnsi="Times New Roman" w:cs="Times New Roman"/>
              </w:rPr>
            </w:pPr>
            <w:r w:rsidRPr="006B039D">
              <w:rPr>
                <w:rFonts w:ascii="Times New Roman" w:hAnsi="Times New Roman" w:cs="Times New Roman"/>
              </w:rPr>
              <w:t>The Battle of Chaironea was between Philip of Macedonia and the Greeks.</w:t>
            </w:r>
            <w:r w:rsidRPr="006B039D">
              <w:rPr>
                <w:rStyle w:val="FootnoteReference"/>
                <w:rFonts w:ascii="Times New Roman" w:hAnsi="Times New Roman" w:cs="Times New Roman"/>
              </w:rPr>
              <w:footnoteReference w:id="2"/>
            </w:r>
            <w:r w:rsidRPr="006B039D">
              <w:rPr>
                <w:rFonts w:ascii="Times New Roman" w:hAnsi="Times New Roman" w:cs="Times New Roman"/>
              </w:rPr>
              <w:t xml:space="preserve"> </w:t>
            </w:r>
          </w:p>
          <w:p w14:paraId="191B3263" w14:textId="77777777" w:rsidR="00FC292A" w:rsidRPr="006B039D" w:rsidRDefault="00FC292A" w:rsidP="00FC292A">
            <w:pPr>
              <w:spacing w:line="276" w:lineRule="auto"/>
              <w:rPr>
                <w:rFonts w:ascii="Times New Roman" w:hAnsi="Times New Roman" w:cs="Times New Roman"/>
              </w:rPr>
            </w:pPr>
            <w:r w:rsidRPr="006B039D">
              <w:rPr>
                <w:rFonts w:ascii="Times New Roman" w:hAnsi="Times New Roman" w:cs="Times New Roman"/>
              </w:rPr>
              <w:t>After this battle, Philip II created the Corinthian League.</w:t>
            </w:r>
            <w:r w:rsidRPr="006B039D">
              <w:rPr>
                <w:rStyle w:val="FootnoteReference"/>
                <w:rFonts w:ascii="Times New Roman" w:hAnsi="Times New Roman" w:cs="Times New Roman"/>
              </w:rPr>
              <w:footnoteReference w:id="3"/>
            </w:r>
            <w:r w:rsidRPr="006B039D">
              <w:rPr>
                <w:rFonts w:ascii="Times New Roman" w:hAnsi="Times New Roman" w:cs="Times New Roman"/>
              </w:rPr>
              <w:t xml:space="preserve"> </w:t>
            </w:r>
          </w:p>
          <w:p w14:paraId="3E2CC24C" w14:textId="77777777" w:rsidR="00FC292A" w:rsidRPr="006B039D" w:rsidRDefault="00FC292A" w:rsidP="00FC292A">
            <w:pPr>
              <w:spacing w:line="276" w:lineRule="auto"/>
              <w:rPr>
                <w:rFonts w:ascii="Times New Roman" w:hAnsi="Times New Roman" w:cs="Times New Roman"/>
              </w:rPr>
            </w:pPr>
            <w:r w:rsidRPr="006B039D">
              <w:rPr>
                <w:rFonts w:ascii="Times New Roman" w:hAnsi="Times New Roman" w:cs="Times New Roman"/>
              </w:rPr>
              <w:t>Hau discusses the victory celebrations following the Battle of Chaironea. She writes that such celebrations are rarely written about in ancient sources, and when they are, authors can be quite disparaging. In this case the criticism towards Philip’s celebrations are that they are undignified and arrogant.</w:t>
            </w:r>
            <w:r w:rsidRPr="006B039D">
              <w:rPr>
                <w:rStyle w:val="FootnoteReference"/>
                <w:rFonts w:ascii="Times New Roman" w:hAnsi="Times New Roman" w:cs="Times New Roman"/>
              </w:rPr>
              <w:footnoteReference w:id="4"/>
            </w:r>
          </w:p>
          <w:p w14:paraId="41055FD3" w14:textId="7165227D" w:rsidR="00FC292A" w:rsidRPr="006B039D" w:rsidRDefault="00FC292A" w:rsidP="00FC292A">
            <w:pPr>
              <w:spacing w:line="276" w:lineRule="auto"/>
              <w:rPr>
                <w:rFonts w:ascii="Times New Roman" w:hAnsi="Times New Roman" w:cs="Times New Roman"/>
                <w:b/>
              </w:rPr>
            </w:pPr>
          </w:p>
        </w:tc>
        <w:tc>
          <w:tcPr>
            <w:tcW w:w="5400" w:type="dxa"/>
          </w:tcPr>
          <w:p w14:paraId="401B8EAF" w14:textId="77777777" w:rsidR="00FC292A" w:rsidRPr="006B039D" w:rsidRDefault="00FC292A" w:rsidP="00FC292A">
            <w:pPr>
              <w:spacing w:line="276" w:lineRule="auto"/>
              <w:rPr>
                <w:rFonts w:ascii="Times New Roman" w:hAnsi="Times New Roman" w:cs="Times New Roman"/>
              </w:rPr>
            </w:pPr>
            <w:r w:rsidRPr="006B039D">
              <w:rPr>
                <w:rFonts w:ascii="Times New Roman" w:hAnsi="Times New Roman" w:cs="Times New Roman"/>
              </w:rPr>
              <w:t>Diodorus relates an anecdote in which Philip celebrates the victory of the Battle of Chaironea by getting drunk and taunting his captives. Demades, an orator who is one of the captors, rebukes him, causing Philip to have a change of heart and giving Demades his freedom.</w:t>
            </w:r>
            <w:r w:rsidRPr="006B039D">
              <w:rPr>
                <w:rStyle w:val="FootnoteReference"/>
                <w:rFonts w:ascii="Times New Roman" w:hAnsi="Times New Roman" w:cs="Times New Roman"/>
              </w:rPr>
              <w:footnoteReference w:id="5"/>
            </w:r>
          </w:p>
          <w:p w14:paraId="0639FFD7" w14:textId="77777777" w:rsidR="00FC292A" w:rsidRPr="006B039D" w:rsidRDefault="00FC292A" w:rsidP="00FC292A">
            <w:pPr>
              <w:spacing w:line="276" w:lineRule="auto"/>
              <w:rPr>
                <w:rFonts w:ascii="Times New Roman" w:hAnsi="Times New Roman" w:cs="Times New Roman"/>
                <w:b/>
              </w:rPr>
            </w:pPr>
          </w:p>
        </w:tc>
      </w:tr>
      <w:tr w:rsidR="00FC292A" w:rsidRPr="006B039D" w14:paraId="5A48D0B6" w14:textId="77777777" w:rsidTr="00FD40B4">
        <w:tc>
          <w:tcPr>
            <w:tcW w:w="1165" w:type="dxa"/>
          </w:tcPr>
          <w:p w14:paraId="1CFD0677" w14:textId="7B9099AD" w:rsidR="00FC292A" w:rsidRPr="006B039D" w:rsidRDefault="00FC292A" w:rsidP="00FC292A">
            <w:pPr>
              <w:spacing w:line="276" w:lineRule="auto"/>
              <w:rPr>
                <w:rFonts w:ascii="Times New Roman" w:hAnsi="Times New Roman" w:cs="Times New Roman"/>
                <w:b/>
              </w:rPr>
            </w:pPr>
            <w:r w:rsidRPr="006B039D">
              <w:rPr>
                <w:rFonts w:ascii="Times New Roman" w:hAnsi="Times New Roman" w:cs="Times New Roman"/>
                <w:b/>
              </w:rPr>
              <w:t>356 BC</w:t>
            </w:r>
          </w:p>
        </w:tc>
        <w:tc>
          <w:tcPr>
            <w:tcW w:w="2340" w:type="dxa"/>
          </w:tcPr>
          <w:p w14:paraId="31EDC0E6" w14:textId="3F87107E" w:rsidR="00FC292A" w:rsidRPr="006B039D" w:rsidRDefault="00FC292A" w:rsidP="00FC292A">
            <w:pPr>
              <w:spacing w:line="276" w:lineRule="auto"/>
              <w:rPr>
                <w:rFonts w:ascii="Times New Roman" w:hAnsi="Times New Roman" w:cs="Times New Roman"/>
                <w:b/>
              </w:rPr>
            </w:pPr>
            <w:r w:rsidRPr="006B039D">
              <w:rPr>
                <w:rFonts w:ascii="Times New Roman" w:hAnsi="Times New Roman" w:cs="Times New Roman"/>
                <w:b/>
              </w:rPr>
              <w:t>Birth of Alexander</w:t>
            </w:r>
          </w:p>
        </w:tc>
        <w:tc>
          <w:tcPr>
            <w:tcW w:w="5040" w:type="dxa"/>
          </w:tcPr>
          <w:p w14:paraId="014876A8" w14:textId="77777777" w:rsidR="00FC292A" w:rsidRPr="006B039D" w:rsidRDefault="00FC292A" w:rsidP="00FC292A">
            <w:pPr>
              <w:spacing w:line="276" w:lineRule="auto"/>
              <w:rPr>
                <w:rFonts w:ascii="Times New Roman" w:hAnsi="Times New Roman" w:cs="Times New Roman"/>
              </w:rPr>
            </w:pPr>
            <w:r w:rsidRPr="006B039D">
              <w:rPr>
                <w:rFonts w:ascii="Times New Roman" w:hAnsi="Times New Roman" w:cs="Times New Roman"/>
              </w:rPr>
              <w:t>Alexander the Great, also known as Alexander III of Macedon, was born in 356 BC, and was the son of Philip II and Olympias. He was taught by Aristotle, and became his father’s deputy at the age of 16.</w:t>
            </w:r>
            <w:r w:rsidRPr="006B039D">
              <w:rPr>
                <w:rStyle w:val="FootnoteReference"/>
                <w:rFonts w:ascii="Times New Roman" w:hAnsi="Times New Roman" w:cs="Times New Roman"/>
              </w:rPr>
              <w:footnoteReference w:id="6"/>
            </w:r>
          </w:p>
          <w:p w14:paraId="090DFDD7" w14:textId="77777777" w:rsidR="00FC292A" w:rsidRPr="006B039D" w:rsidRDefault="00FC292A" w:rsidP="00FC292A">
            <w:pPr>
              <w:spacing w:line="276" w:lineRule="auto"/>
              <w:rPr>
                <w:rFonts w:ascii="Times New Roman" w:hAnsi="Times New Roman" w:cs="Times New Roman"/>
                <w:b/>
              </w:rPr>
            </w:pPr>
          </w:p>
        </w:tc>
        <w:tc>
          <w:tcPr>
            <w:tcW w:w="5400" w:type="dxa"/>
          </w:tcPr>
          <w:p w14:paraId="3B2416AD" w14:textId="77777777" w:rsidR="00FC292A" w:rsidRPr="006B039D" w:rsidRDefault="00FC292A" w:rsidP="00FC292A">
            <w:pPr>
              <w:spacing w:line="276" w:lineRule="auto"/>
              <w:rPr>
                <w:rFonts w:ascii="Times New Roman" w:hAnsi="Times New Roman" w:cs="Times New Roman"/>
              </w:rPr>
            </w:pPr>
            <w:r w:rsidRPr="006B039D">
              <w:rPr>
                <w:rFonts w:ascii="Times New Roman" w:hAnsi="Times New Roman" w:cs="Times New Roman"/>
              </w:rPr>
              <w:t xml:space="preserve">Arrian compiled a history of Alexander, known as the </w:t>
            </w:r>
            <w:r w:rsidRPr="006B039D">
              <w:rPr>
                <w:rFonts w:ascii="Times New Roman" w:hAnsi="Times New Roman" w:cs="Times New Roman"/>
                <w:i/>
              </w:rPr>
              <w:t>Anabasis</w:t>
            </w:r>
            <w:r w:rsidRPr="006B039D">
              <w:rPr>
                <w:rFonts w:ascii="Times New Roman" w:hAnsi="Times New Roman" w:cs="Times New Roman"/>
              </w:rPr>
              <w:t xml:space="preserve">, and comments at the start about the many contradictory accounts of his life and exploits found in the writings of his time, writing: </w:t>
            </w:r>
            <w:r w:rsidRPr="006B039D">
              <w:rPr>
                <w:rFonts w:ascii="Times New Roman" w:eastAsia="Times New Roman" w:hAnsi="Times New Roman" w:cs="Times New Roman"/>
                <w:lang w:eastAsia="en-GB"/>
              </w:rPr>
              <w:t xml:space="preserve">‘In fact other writers have given a variety of accounts of Alexander, nor is there any other figure of whom </w:t>
            </w:r>
            <w:r w:rsidRPr="006B039D">
              <w:rPr>
                <w:rFonts w:ascii="Times New Roman" w:eastAsia="Times New Roman" w:hAnsi="Times New Roman" w:cs="Times New Roman"/>
                <w:lang w:eastAsia="en-GB"/>
              </w:rPr>
              <w:lastRenderedPageBreak/>
              <w:t>there are more historians who are more contradictory of each other’.</w:t>
            </w:r>
            <w:r w:rsidRPr="006B039D">
              <w:rPr>
                <w:rStyle w:val="FootnoteReference"/>
                <w:rFonts w:ascii="Times New Roman" w:eastAsia="Times New Roman" w:hAnsi="Times New Roman" w:cs="Times New Roman"/>
                <w:lang w:eastAsia="en-GB"/>
              </w:rPr>
              <w:footnoteReference w:id="7"/>
            </w:r>
          </w:p>
          <w:p w14:paraId="65190B7C" w14:textId="77777777" w:rsidR="00FC292A" w:rsidRPr="006B039D" w:rsidRDefault="00FC292A" w:rsidP="00FC292A">
            <w:pPr>
              <w:spacing w:line="276" w:lineRule="auto"/>
              <w:rPr>
                <w:rFonts w:ascii="Times New Roman" w:eastAsia="Times New Roman" w:hAnsi="Times New Roman" w:cs="Times New Roman"/>
                <w:lang w:eastAsia="en-GB"/>
              </w:rPr>
            </w:pPr>
            <w:r w:rsidRPr="006B039D">
              <w:rPr>
                <w:rFonts w:ascii="Times New Roman" w:eastAsia="Times New Roman" w:hAnsi="Times New Roman" w:cs="Times New Roman"/>
                <w:lang w:eastAsia="en-GB"/>
              </w:rPr>
              <w:t xml:space="preserve">One significant part of Alexander’s life that has been written about is his birth – specifically the myths behind it. In Plutarch’s </w:t>
            </w:r>
            <w:r w:rsidRPr="006B039D">
              <w:rPr>
                <w:rFonts w:ascii="Times New Roman" w:eastAsia="Times New Roman" w:hAnsi="Times New Roman" w:cs="Times New Roman"/>
                <w:i/>
                <w:lang w:eastAsia="en-GB"/>
              </w:rPr>
              <w:t>Life of Alexander</w:t>
            </w:r>
            <w:r w:rsidRPr="006B039D">
              <w:rPr>
                <w:rFonts w:ascii="Times New Roman" w:eastAsia="Times New Roman" w:hAnsi="Times New Roman" w:cs="Times New Roman"/>
                <w:lang w:eastAsia="en-GB"/>
              </w:rPr>
              <w:t>, the biographer records these myths, one being that the night before Philip and Olympias were to marry, a thunderbolt hit Olympias’ womb. Further on, Philip dreamt he had pressed ‘a seal upon his wife’s womb’, which was decorated with an image of a lion. With this, people came to the conclusion Olympias was pregnant. Alexander was said to have descended from Heracles on Philip’s side, and Aeacus on Olympias’ side.</w:t>
            </w:r>
            <w:r w:rsidRPr="006B039D">
              <w:rPr>
                <w:rStyle w:val="FootnoteReference"/>
                <w:rFonts w:ascii="Times New Roman" w:eastAsia="Times New Roman" w:hAnsi="Times New Roman" w:cs="Times New Roman"/>
                <w:lang w:eastAsia="en-GB"/>
              </w:rPr>
              <w:footnoteReference w:id="8"/>
            </w:r>
          </w:p>
          <w:p w14:paraId="78CFE31D" w14:textId="77777777" w:rsidR="00FC292A" w:rsidRPr="006B039D" w:rsidRDefault="00FC292A" w:rsidP="00FC292A">
            <w:pPr>
              <w:spacing w:line="276" w:lineRule="auto"/>
              <w:rPr>
                <w:rFonts w:ascii="Times New Roman" w:hAnsi="Times New Roman" w:cs="Times New Roman"/>
                <w:b/>
              </w:rPr>
            </w:pPr>
          </w:p>
        </w:tc>
      </w:tr>
      <w:tr w:rsidR="00FC292A" w:rsidRPr="006B039D" w14:paraId="47FA78C3" w14:textId="77777777" w:rsidTr="00FD40B4">
        <w:tc>
          <w:tcPr>
            <w:tcW w:w="1165" w:type="dxa"/>
          </w:tcPr>
          <w:p w14:paraId="367BB5A7" w14:textId="7DAFE5DC" w:rsidR="00FC292A" w:rsidRPr="006B039D" w:rsidRDefault="00B446D4" w:rsidP="00FC292A">
            <w:pPr>
              <w:spacing w:line="276" w:lineRule="auto"/>
              <w:rPr>
                <w:rFonts w:ascii="Times New Roman" w:hAnsi="Times New Roman" w:cs="Times New Roman"/>
                <w:b/>
              </w:rPr>
            </w:pPr>
            <w:r w:rsidRPr="006B039D">
              <w:rPr>
                <w:rFonts w:ascii="Times New Roman" w:hAnsi="Times New Roman" w:cs="Times New Roman"/>
                <w:b/>
              </w:rPr>
              <w:lastRenderedPageBreak/>
              <w:t>337 BC</w:t>
            </w:r>
            <w:r w:rsidRPr="006B039D">
              <w:rPr>
                <w:rStyle w:val="FootnoteReference"/>
                <w:rFonts w:ascii="Times New Roman" w:hAnsi="Times New Roman" w:cs="Times New Roman"/>
                <w:b/>
              </w:rPr>
              <w:footnoteReference w:id="9"/>
            </w:r>
          </w:p>
        </w:tc>
        <w:tc>
          <w:tcPr>
            <w:tcW w:w="2340" w:type="dxa"/>
          </w:tcPr>
          <w:p w14:paraId="42F491D9" w14:textId="72FED5DA" w:rsidR="00FC292A" w:rsidRPr="006B039D" w:rsidRDefault="00FC292A" w:rsidP="00FC292A">
            <w:pPr>
              <w:spacing w:line="276" w:lineRule="auto"/>
              <w:rPr>
                <w:rFonts w:ascii="Times New Roman" w:hAnsi="Times New Roman" w:cs="Times New Roman"/>
                <w:b/>
              </w:rPr>
            </w:pPr>
            <w:r w:rsidRPr="006B039D">
              <w:rPr>
                <w:rFonts w:ascii="Times New Roman" w:hAnsi="Times New Roman" w:cs="Times New Roman"/>
                <w:b/>
              </w:rPr>
              <w:t>Marriage of Philip and Cleopatra</w:t>
            </w:r>
          </w:p>
        </w:tc>
        <w:tc>
          <w:tcPr>
            <w:tcW w:w="5040" w:type="dxa"/>
          </w:tcPr>
          <w:p w14:paraId="3B8C04EE" w14:textId="03F9D6B7" w:rsidR="00FC292A" w:rsidRPr="006B039D" w:rsidRDefault="00FC292A" w:rsidP="00FC292A">
            <w:pPr>
              <w:spacing w:line="276" w:lineRule="auto"/>
              <w:rPr>
                <w:rFonts w:ascii="Times New Roman" w:hAnsi="Times New Roman" w:cs="Times New Roman"/>
              </w:rPr>
            </w:pPr>
            <w:r w:rsidRPr="006B039D">
              <w:rPr>
                <w:rFonts w:ascii="Times New Roman" w:hAnsi="Times New Roman" w:cs="Times New Roman"/>
              </w:rPr>
              <w:t>Hornblower and Spawforth write that Philip and Cleopatra’s love was problematic, firstly angering his wife, and then it caused Philip’s son, Alexander, to be temporarily exiled.</w:t>
            </w:r>
            <w:r w:rsidRPr="006B039D">
              <w:rPr>
                <w:rStyle w:val="FootnoteReference"/>
                <w:rFonts w:ascii="Times New Roman" w:hAnsi="Times New Roman" w:cs="Times New Roman"/>
              </w:rPr>
              <w:footnoteReference w:id="10"/>
            </w:r>
            <w:r w:rsidRPr="006B039D">
              <w:rPr>
                <w:rFonts w:ascii="Times New Roman" w:hAnsi="Times New Roman" w:cs="Times New Roman"/>
              </w:rPr>
              <w:t xml:space="preserve"> However, this marriage was normal for Macedonians, as they were a polygamous power,</w:t>
            </w:r>
            <w:r w:rsidRPr="006B039D">
              <w:rPr>
                <w:rStyle w:val="FootnoteReference"/>
                <w:rFonts w:ascii="Times New Roman" w:hAnsi="Times New Roman" w:cs="Times New Roman"/>
              </w:rPr>
              <w:footnoteReference w:id="11"/>
            </w:r>
            <w:r w:rsidRPr="006B039D">
              <w:rPr>
                <w:rFonts w:ascii="Times New Roman" w:hAnsi="Times New Roman" w:cs="Times New Roman"/>
              </w:rPr>
              <w:t xml:space="preserve"> with Philip </w:t>
            </w:r>
            <w:r w:rsidRPr="006B039D">
              <w:rPr>
                <w:rFonts w:ascii="Times New Roman" w:hAnsi="Times New Roman" w:cs="Times New Roman"/>
              </w:rPr>
              <w:lastRenderedPageBreak/>
              <w:t>having plenty of arguments ‘produced by many wives and loves’.</w:t>
            </w:r>
            <w:r w:rsidRPr="006B039D">
              <w:rPr>
                <w:rStyle w:val="FootnoteReference"/>
                <w:rFonts w:ascii="Times New Roman" w:hAnsi="Times New Roman" w:cs="Times New Roman"/>
              </w:rPr>
              <w:footnoteReference w:id="12"/>
            </w:r>
          </w:p>
        </w:tc>
        <w:tc>
          <w:tcPr>
            <w:tcW w:w="5400" w:type="dxa"/>
          </w:tcPr>
          <w:p w14:paraId="3E3DADDE" w14:textId="77777777" w:rsidR="00FC292A" w:rsidRPr="006B039D" w:rsidRDefault="00FC292A" w:rsidP="00FC292A">
            <w:pPr>
              <w:spacing w:line="276" w:lineRule="auto"/>
              <w:rPr>
                <w:rFonts w:ascii="Times New Roman" w:hAnsi="Times New Roman" w:cs="Times New Roman"/>
              </w:rPr>
            </w:pPr>
            <w:r w:rsidRPr="006B039D">
              <w:rPr>
                <w:rFonts w:ascii="Times New Roman" w:hAnsi="Times New Roman" w:cs="Times New Roman"/>
              </w:rPr>
              <w:lastRenderedPageBreak/>
              <w:t>Plutarch describes a row between Alexander and his father, Philip, over the proposed marriage between Philip and the young maiden, Cleopatra, which would potentially challenge Alexander’s succession should Cleopatra provide an heir.</w:t>
            </w:r>
            <w:r w:rsidRPr="006B039D">
              <w:rPr>
                <w:rStyle w:val="FootnoteReference"/>
                <w:rFonts w:ascii="Times New Roman" w:hAnsi="Times New Roman" w:cs="Times New Roman"/>
              </w:rPr>
              <w:footnoteReference w:id="13"/>
            </w:r>
            <w:r w:rsidRPr="006B039D">
              <w:rPr>
                <w:rFonts w:ascii="Times New Roman" w:hAnsi="Times New Roman" w:cs="Times New Roman"/>
              </w:rPr>
              <w:t xml:space="preserve"> </w:t>
            </w:r>
          </w:p>
          <w:p w14:paraId="05A5E2CD" w14:textId="51267315" w:rsidR="00FC292A" w:rsidRPr="006B039D" w:rsidRDefault="00A61EA0" w:rsidP="00FC292A">
            <w:pPr>
              <w:spacing w:line="276" w:lineRule="auto"/>
              <w:rPr>
                <w:rFonts w:ascii="Times New Roman" w:hAnsi="Times New Roman" w:cs="Times New Roman"/>
              </w:rPr>
            </w:pPr>
            <w:r w:rsidRPr="006B039D">
              <w:rPr>
                <w:rFonts w:ascii="Times New Roman" w:hAnsi="Times New Roman" w:cs="Times New Roman"/>
              </w:rPr>
              <w:lastRenderedPageBreak/>
              <w:t>In Satyrus’ Life of Philip, he writes about Cleopatra: ‘she was the daughter of Hippostratus and niece of Attalus… and Cleopatra presented Philip with a daughter who was called Europa’.</w:t>
            </w:r>
            <w:r w:rsidRPr="006B039D">
              <w:rPr>
                <w:rStyle w:val="FootnoteReference"/>
                <w:rFonts w:ascii="Times New Roman" w:hAnsi="Times New Roman" w:cs="Times New Roman"/>
              </w:rPr>
              <w:footnoteReference w:id="14"/>
            </w:r>
          </w:p>
        </w:tc>
      </w:tr>
      <w:tr w:rsidR="00FC292A" w:rsidRPr="006B039D" w14:paraId="60CAD553" w14:textId="77777777" w:rsidTr="00FD40B4">
        <w:tc>
          <w:tcPr>
            <w:tcW w:w="1165" w:type="dxa"/>
          </w:tcPr>
          <w:p w14:paraId="6EF7A3B5" w14:textId="13273E08" w:rsidR="00FC292A" w:rsidRPr="006B039D" w:rsidRDefault="00FC292A" w:rsidP="00FC292A">
            <w:pPr>
              <w:spacing w:line="276" w:lineRule="auto"/>
              <w:rPr>
                <w:rFonts w:ascii="Times New Roman" w:hAnsi="Times New Roman" w:cs="Times New Roman"/>
                <w:b/>
              </w:rPr>
            </w:pPr>
            <w:r w:rsidRPr="006B039D">
              <w:rPr>
                <w:rFonts w:ascii="Times New Roman" w:hAnsi="Times New Roman" w:cs="Times New Roman"/>
                <w:b/>
              </w:rPr>
              <w:lastRenderedPageBreak/>
              <w:t>336 BC</w:t>
            </w:r>
          </w:p>
        </w:tc>
        <w:tc>
          <w:tcPr>
            <w:tcW w:w="2340" w:type="dxa"/>
          </w:tcPr>
          <w:p w14:paraId="2D5052E9" w14:textId="3C1E06B7" w:rsidR="00FC292A" w:rsidRPr="006B039D" w:rsidRDefault="00FC292A" w:rsidP="00FC292A">
            <w:pPr>
              <w:spacing w:line="276" w:lineRule="auto"/>
              <w:rPr>
                <w:rFonts w:ascii="Times New Roman" w:hAnsi="Times New Roman" w:cs="Times New Roman"/>
                <w:b/>
              </w:rPr>
            </w:pPr>
            <w:r w:rsidRPr="006B039D">
              <w:rPr>
                <w:rFonts w:ascii="Times New Roman" w:hAnsi="Times New Roman" w:cs="Times New Roman"/>
                <w:b/>
              </w:rPr>
              <w:t>Death of Philip</w:t>
            </w:r>
          </w:p>
        </w:tc>
        <w:tc>
          <w:tcPr>
            <w:tcW w:w="5040" w:type="dxa"/>
          </w:tcPr>
          <w:p w14:paraId="7D898DBB" w14:textId="2B8E0FDF" w:rsidR="00A905A3" w:rsidRPr="00B77D74" w:rsidRDefault="00FC292A" w:rsidP="00B77D74">
            <w:pPr>
              <w:spacing w:line="276" w:lineRule="auto"/>
              <w:rPr>
                <w:rFonts w:ascii="Times New Roman" w:hAnsi="Times New Roman" w:cs="Times New Roman"/>
              </w:rPr>
            </w:pPr>
            <w:r w:rsidRPr="006B039D">
              <w:rPr>
                <w:rFonts w:ascii="Times New Roman" w:hAnsi="Times New Roman" w:cs="Times New Roman"/>
              </w:rPr>
              <w:t>Philip II was assassinated in 336 BC, leading to his son, Alexander, to become King of Macedon.</w:t>
            </w:r>
            <w:r w:rsidRPr="006B039D">
              <w:rPr>
                <w:rStyle w:val="FootnoteReference"/>
                <w:rFonts w:ascii="Times New Roman" w:hAnsi="Times New Roman" w:cs="Times New Roman"/>
              </w:rPr>
              <w:footnoteReference w:id="15"/>
            </w:r>
          </w:p>
        </w:tc>
        <w:tc>
          <w:tcPr>
            <w:tcW w:w="5400" w:type="dxa"/>
          </w:tcPr>
          <w:p w14:paraId="210F3E04" w14:textId="58CE69E4" w:rsidR="00FC292A" w:rsidRPr="006B039D" w:rsidRDefault="004863C6" w:rsidP="00FC292A">
            <w:pPr>
              <w:spacing w:line="276" w:lineRule="auto"/>
              <w:rPr>
                <w:rFonts w:ascii="Times New Roman" w:hAnsi="Times New Roman" w:cs="Times New Roman"/>
              </w:rPr>
            </w:pPr>
            <w:r w:rsidRPr="006B039D">
              <w:rPr>
                <w:rFonts w:ascii="Times New Roman" w:hAnsi="Times New Roman" w:cs="Times New Roman"/>
              </w:rPr>
              <w:t>Valerius Maximus writes about how Philip was warned to stay away from chariots by the oracle, otherwise his injuries caused by it would kill him, however, ‘Pausanias had an engraving of a four-horse chariot on the handle of the sword with which he killed him’.</w:t>
            </w:r>
            <w:r w:rsidRPr="006B039D">
              <w:rPr>
                <w:rStyle w:val="FootnoteReference"/>
                <w:rFonts w:ascii="Times New Roman" w:hAnsi="Times New Roman" w:cs="Times New Roman"/>
              </w:rPr>
              <w:footnoteReference w:id="16"/>
            </w:r>
          </w:p>
        </w:tc>
      </w:tr>
      <w:tr w:rsidR="00FC292A" w:rsidRPr="006B039D" w14:paraId="44946059" w14:textId="77777777" w:rsidTr="00FD40B4">
        <w:tc>
          <w:tcPr>
            <w:tcW w:w="1165" w:type="dxa"/>
          </w:tcPr>
          <w:p w14:paraId="6066C1FE" w14:textId="685BDA2E" w:rsidR="00FC292A" w:rsidRPr="006B039D" w:rsidRDefault="00C02BBE" w:rsidP="00FC292A">
            <w:pPr>
              <w:spacing w:line="276" w:lineRule="auto"/>
              <w:rPr>
                <w:rFonts w:ascii="Times New Roman" w:hAnsi="Times New Roman" w:cs="Times New Roman"/>
                <w:b/>
              </w:rPr>
            </w:pPr>
            <w:r>
              <w:rPr>
                <w:rFonts w:ascii="Times New Roman" w:hAnsi="Times New Roman" w:cs="Times New Roman"/>
                <w:b/>
              </w:rPr>
              <w:t>336/5</w:t>
            </w:r>
            <w:r w:rsidR="00A32DE1">
              <w:rPr>
                <w:rFonts w:ascii="Times New Roman" w:hAnsi="Times New Roman" w:cs="Times New Roman"/>
                <w:b/>
              </w:rPr>
              <w:t xml:space="preserve"> BC</w:t>
            </w:r>
            <w:r w:rsidR="00A32DE1">
              <w:rPr>
                <w:rStyle w:val="FootnoteReference"/>
                <w:rFonts w:ascii="Times New Roman" w:hAnsi="Times New Roman" w:cs="Times New Roman"/>
                <w:b/>
              </w:rPr>
              <w:footnoteReference w:id="17"/>
            </w:r>
          </w:p>
        </w:tc>
        <w:tc>
          <w:tcPr>
            <w:tcW w:w="2340" w:type="dxa"/>
          </w:tcPr>
          <w:p w14:paraId="612D1C3E" w14:textId="047B1F88" w:rsidR="00FC292A" w:rsidRPr="006B039D" w:rsidRDefault="00A905A3" w:rsidP="00FC292A">
            <w:pPr>
              <w:spacing w:line="276" w:lineRule="auto"/>
              <w:rPr>
                <w:rFonts w:ascii="Times New Roman" w:hAnsi="Times New Roman" w:cs="Times New Roman"/>
              </w:rPr>
            </w:pPr>
            <w:r w:rsidRPr="006B039D">
              <w:rPr>
                <w:rFonts w:ascii="Times New Roman" w:hAnsi="Times New Roman" w:cs="Times New Roman"/>
              </w:rPr>
              <w:t>Sack of Thebes</w:t>
            </w:r>
          </w:p>
        </w:tc>
        <w:tc>
          <w:tcPr>
            <w:tcW w:w="5040" w:type="dxa"/>
          </w:tcPr>
          <w:p w14:paraId="1AA150BD" w14:textId="7A1C6209" w:rsidR="00FC292A" w:rsidRPr="006B039D" w:rsidRDefault="005F19A9" w:rsidP="00FC292A">
            <w:pPr>
              <w:spacing w:line="276" w:lineRule="auto"/>
              <w:rPr>
                <w:rFonts w:ascii="Times New Roman" w:hAnsi="Times New Roman" w:cs="Times New Roman"/>
                <w:b/>
              </w:rPr>
            </w:pPr>
            <w:r>
              <w:rPr>
                <w:rFonts w:ascii="Times New Roman" w:hAnsi="Times New Roman" w:cs="Times New Roman"/>
                <w:b/>
              </w:rPr>
              <w:t>Alexander wished he could have saved Thebes, but due to the Thebans refusing Alexander, he and his allies voted to destroy the city</w:t>
            </w:r>
            <w:r w:rsidR="00995E42">
              <w:rPr>
                <w:rStyle w:val="FootnoteReference"/>
                <w:rFonts w:ascii="Times New Roman" w:hAnsi="Times New Roman" w:cs="Times New Roman"/>
                <w:b/>
              </w:rPr>
              <w:footnoteReference w:id="18"/>
            </w:r>
            <w:r>
              <w:rPr>
                <w:rFonts w:ascii="Times New Roman" w:hAnsi="Times New Roman" w:cs="Times New Roman"/>
                <w:b/>
              </w:rPr>
              <w:t>.</w:t>
            </w:r>
          </w:p>
        </w:tc>
        <w:tc>
          <w:tcPr>
            <w:tcW w:w="5400" w:type="dxa"/>
          </w:tcPr>
          <w:p w14:paraId="5AC3B1F1" w14:textId="77777777" w:rsidR="00FC292A" w:rsidRDefault="00D502F1" w:rsidP="00FC292A">
            <w:pPr>
              <w:spacing w:line="276" w:lineRule="auto"/>
              <w:rPr>
                <w:rFonts w:ascii="Times New Roman" w:hAnsi="Times New Roman" w:cs="Times New Roman"/>
              </w:rPr>
            </w:pPr>
            <w:r w:rsidRPr="006B039D">
              <w:rPr>
                <w:rFonts w:ascii="Times New Roman" w:hAnsi="Times New Roman" w:cs="Times New Roman"/>
              </w:rPr>
              <w:t>Justin talks about the Sack of Thebes, saying that Alexander ‘directed the army towards Thebes… But the Thebans resorted to arms rather than entreaties or appeals, and so after their defeat they were subjected to all the terrible punishments associated with a humiliating capitulation’.</w:t>
            </w:r>
            <w:r w:rsidRPr="006B039D">
              <w:rPr>
                <w:rStyle w:val="FootnoteReference"/>
                <w:rFonts w:ascii="Times New Roman" w:hAnsi="Times New Roman" w:cs="Times New Roman"/>
              </w:rPr>
              <w:footnoteReference w:id="19"/>
            </w:r>
          </w:p>
          <w:p w14:paraId="39A330D0" w14:textId="7281DF07" w:rsidR="00A762C7" w:rsidRPr="006B039D" w:rsidRDefault="00A762C7" w:rsidP="00FC292A">
            <w:pPr>
              <w:spacing w:line="276" w:lineRule="auto"/>
              <w:rPr>
                <w:rFonts w:ascii="Times New Roman" w:hAnsi="Times New Roman" w:cs="Times New Roman"/>
              </w:rPr>
            </w:pPr>
            <w:r>
              <w:rPr>
                <w:rFonts w:ascii="Times New Roman" w:hAnsi="Times New Roman" w:cs="Times New Roman"/>
              </w:rPr>
              <w:t>Polybius?</w:t>
            </w:r>
          </w:p>
        </w:tc>
      </w:tr>
      <w:tr w:rsidR="00FC292A" w:rsidRPr="006B039D" w14:paraId="5BC6D8A6" w14:textId="77777777" w:rsidTr="00FD40B4">
        <w:tc>
          <w:tcPr>
            <w:tcW w:w="1165" w:type="dxa"/>
          </w:tcPr>
          <w:p w14:paraId="0B41066F" w14:textId="666CFD38" w:rsidR="00FC292A" w:rsidRPr="006B039D" w:rsidRDefault="00C62F7D" w:rsidP="00FC292A">
            <w:pPr>
              <w:spacing w:line="276" w:lineRule="auto"/>
              <w:rPr>
                <w:rFonts w:ascii="Times New Roman" w:hAnsi="Times New Roman" w:cs="Times New Roman"/>
                <w:b/>
              </w:rPr>
            </w:pPr>
            <w:r>
              <w:rPr>
                <w:rFonts w:ascii="Times New Roman" w:hAnsi="Times New Roman" w:cs="Times New Roman"/>
                <w:b/>
              </w:rPr>
              <w:t>334 BC</w:t>
            </w:r>
            <w:r>
              <w:rPr>
                <w:rStyle w:val="FootnoteReference"/>
                <w:rFonts w:ascii="Times New Roman" w:hAnsi="Times New Roman" w:cs="Times New Roman"/>
                <w:b/>
              </w:rPr>
              <w:footnoteReference w:id="20"/>
            </w:r>
          </w:p>
        </w:tc>
        <w:tc>
          <w:tcPr>
            <w:tcW w:w="2340" w:type="dxa"/>
          </w:tcPr>
          <w:p w14:paraId="58A08A78" w14:textId="5F6EF75D" w:rsidR="00FC292A" w:rsidRPr="006B039D" w:rsidRDefault="00A905A3" w:rsidP="00FC292A">
            <w:pPr>
              <w:spacing w:line="276" w:lineRule="auto"/>
              <w:rPr>
                <w:rFonts w:ascii="Times New Roman" w:hAnsi="Times New Roman" w:cs="Times New Roman"/>
              </w:rPr>
            </w:pPr>
            <w:r w:rsidRPr="006B039D">
              <w:rPr>
                <w:rFonts w:ascii="Times New Roman" w:hAnsi="Times New Roman" w:cs="Times New Roman"/>
              </w:rPr>
              <w:t>Battle of Granicus</w:t>
            </w:r>
          </w:p>
        </w:tc>
        <w:tc>
          <w:tcPr>
            <w:tcW w:w="5040" w:type="dxa"/>
          </w:tcPr>
          <w:p w14:paraId="21ECF5A3" w14:textId="3D1418EB" w:rsidR="00FC292A" w:rsidRPr="006B039D" w:rsidRDefault="009F78EB" w:rsidP="00FC292A">
            <w:pPr>
              <w:spacing w:line="276" w:lineRule="auto"/>
              <w:rPr>
                <w:rFonts w:ascii="Times New Roman" w:hAnsi="Times New Roman" w:cs="Times New Roman"/>
                <w:b/>
              </w:rPr>
            </w:pPr>
            <w:r>
              <w:rPr>
                <w:rFonts w:ascii="Times New Roman" w:hAnsi="Times New Roman" w:cs="Times New Roman"/>
                <w:b/>
              </w:rPr>
              <w:t xml:space="preserve">Tucker points out the signinficance of the Battle of Granicus for Alexander, saying it was </w:t>
            </w:r>
            <w:r>
              <w:rPr>
                <w:rFonts w:ascii="Times New Roman" w:hAnsi="Times New Roman" w:cs="Times New Roman"/>
                <w:b/>
              </w:rPr>
              <w:lastRenderedPageBreak/>
              <w:t>his first major victory in Persian territory, and with this, Alexander was then able to ‘liberate the Greek city-states in Asia Minor and establish a base for further operations’</w:t>
            </w:r>
            <w:r w:rsidR="00A32DE1">
              <w:rPr>
                <w:rStyle w:val="FootnoteReference"/>
                <w:rFonts w:ascii="Times New Roman" w:hAnsi="Times New Roman" w:cs="Times New Roman"/>
                <w:b/>
              </w:rPr>
              <w:footnoteReference w:id="21"/>
            </w:r>
            <w:r>
              <w:rPr>
                <w:rFonts w:ascii="Times New Roman" w:hAnsi="Times New Roman" w:cs="Times New Roman"/>
                <w:b/>
              </w:rPr>
              <w:t>.</w:t>
            </w:r>
          </w:p>
        </w:tc>
        <w:tc>
          <w:tcPr>
            <w:tcW w:w="5400" w:type="dxa"/>
          </w:tcPr>
          <w:p w14:paraId="1A98321A" w14:textId="6DC85B87" w:rsidR="00FC292A" w:rsidRPr="006B039D" w:rsidRDefault="00BC6D8D" w:rsidP="00FC292A">
            <w:pPr>
              <w:spacing w:line="276" w:lineRule="auto"/>
              <w:rPr>
                <w:rFonts w:ascii="Times New Roman" w:hAnsi="Times New Roman" w:cs="Times New Roman"/>
                <w:b/>
              </w:rPr>
            </w:pPr>
            <w:r>
              <w:rPr>
                <w:rFonts w:ascii="Times New Roman" w:hAnsi="Times New Roman" w:cs="Times New Roman"/>
                <w:b/>
              </w:rPr>
              <w:lastRenderedPageBreak/>
              <w:t xml:space="preserve">Parmenio advised armies should start on the river bank, Alexander replied that by </w:t>
            </w:r>
            <w:r w:rsidR="00AA7D94">
              <w:rPr>
                <w:rFonts w:ascii="Times New Roman" w:hAnsi="Times New Roman" w:cs="Times New Roman"/>
                <w:b/>
              </w:rPr>
              <w:t xml:space="preserve">doing so the </w:t>
            </w:r>
            <w:r w:rsidR="00AA7D94">
              <w:rPr>
                <w:rFonts w:ascii="Times New Roman" w:hAnsi="Times New Roman" w:cs="Times New Roman"/>
                <w:b/>
              </w:rPr>
              <w:lastRenderedPageBreak/>
              <w:t>Persians would believe they were equal as ‘they have not experienced any immediate disaster to justify their alarm’</w:t>
            </w:r>
            <w:r w:rsidR="00AA7D94">
              <w:rPr>
                <w:rStyle w:val="FootnoteReference"/>
                <w:rFonts w:ascii="Times New Roman" w:hAnsi="Times New Roman" w:cs="Times New Roman"/>
                <w:b/>
              </w:rPr>
              <w:footnoteReference w:id="22"/>
            </w:r>
            <w:r w:rsidR="00AA7D94">
              <w:rPr>
                <w:rFonts w:ascii="Times New Roman" w:hAnsi="Times New Roman" w:cs="Times New Roman"/>
                <w:b/>
              </w:rPr>
              <w:t>.</w:t>
            </w:r>
          </w:p>
        </w:tc>
      </w:tr>
      <w:tr w:rsidR="00FC292A" w:rsidRPr="006B039D" w14:paraId="2609EE40" w14:textId="77777777" w:rsidTr="00FD40B4">
        <w:tc>
          <w:tcPr>
            <w:tcW w:w="1165" w:type="dxa"/>
          </w:tcPr>
          <w:p w14:paraId="767243E6" w14:textId="2AE3D9F8" w:rsidR="00FC292A" w:rsidRPr="006B039D" w:rsidRDefault="009D62DF" w:rsidP="009D62DF">
            <w:pPr>
              <w:tabs>
                <w:tab w:val="left" w:pos="771"/>
              </w:tabs>
              <w:spacing w:line="276" w:lineRule="auto"/>
              <w:rPr>
                <w:rFonts w:ascii="Times New Roman" w:hAnsi="Times New Roman" w:cs="Times New Roman"/>
                <w:b/>
              </w:rPr>
            </w:pPr>
            <w:r>
              <w:rPr>
                <w:rFonts w:ascii="Times New Roman" w:hAnsi="Times New Roman" w:cs="Times New Roman"/>
                <w:b/>
              </w:rPr>
              <w:lastRenderedPageBreak/>
              <w:t>333 BC</w:t>
            </w:r>
            <w:r w:rsidR="00C62F7D">
              <w:rPr>
                <w:rStyle w:val="FootnoteReference"/>
                <w:rFonts w:ascii="Times New Roman" w:hAnsi="Times New Roman" w:cs="Times New Roman"/>
                <w:b/>
              </w:rPr>
              <w:footnoteReference w:id="23"/>
            </w:r>
          </w:p>
        </w:tc>
        <w:tc>
          <w:tcPr>
            <w:tcW w:w="2340" w:type="dxa"/>
          </w:tcPr>
          <w:p w14:paraId="18A3C877" w14:textId="10C13730" w:rsidR="00FC292A" w:rsidRPr="006B039D" w:rsidRDefault="00A905A3" w:rsidP="00FC292A">
            <w:pPr>
              <w:spacing w:line="276" w:lineRule="auto"/>
              <w:rPr>
                <w:rFonts w:ascii="Times New Roman" w:hAnsi="Times New Roman" w:cs="Times New Roman"/>
              </w:rPr>
            </w:pPr>
            <w:r w:rsidRPr="006B039D">
              <w:rPr>
                <w:rFonts w:ascii="Times New Roman" w:hAnsi="Times New Roman" w:cs="Times New Roman"/>
              </w:rPr>
              <w:t>Battle of Issus</w:t>
            </w:r>
          </w:p>
        </w:tc>
        <w:tc>
          <w:tcPr>
            <w:tcW w:w="5040" w:type="dxa"/>
          </w:tcPr>
          <w:p w14:paraId="5E4E4516" w14:textId="6BBFA67F" w:rsidR="00FC292A" w:rsidRPr="006B039D" w:rsidRDefault="00C62F7D" w:rsidP="00FC292A">
            <w:pPr>
              <w:spacing w:line="276" w:lineRule="auto"/>
              <w:rPr>
                <w:rFonts w:ascii="Times New Roman" w:hAnsi="Times New Roman" w:cs="Times New Roman"/>
                <w:b/>
              </w:rPr>
            </w:pPr>
            <w:r>
              <w:rPr>
                <w:rFonts w:ascii="Times New Roman" w:hAnsi="Times New Roman" w:cs="Times New Roman"/>
                <w:b/>
              </w:rPr>
              <w:t xml:space="preserve">Tucker positions this battle in </w:t>
            </w:r>
            <w:r w:rsidR="00093F96">
              <w:rPr>
                <w:rFonts w:ascii="Times New Roman" w:hAnsi="Times New Roman" w:cs="Times New Roman"/>
                <w:b/>
              </w:rPr>
              <w:t>time, mentioning that it took place just after Alexander won the Battle of Granicus</w:t>
            </w:r>
            <w:r w:rsidR="00EE7216">
              <w:rPr>
                <w:rFonts w:ascii="Times New Roman" w:hAnsi="Times New Roman" w:cs="Times New Roman"/>
                <w:b/>
              </w:rPr>
              <w:t>, proceeding to march south. The significance of this battle is that with this win, Alexander was able ‘to campaign to the south and conquer Egypt’</w:t>
            </w:r>
            <w:r w:rsidR="00EE7216">
              <w:rPr>
                <w:rStyle w:val="FootnoteReference"/>
                <w:rFonts w:ascii="Times New Roman" w:hAnsi="Times New Roman" w:cs="Times New Roman"/>
                <w:b/>
              </w:rPr>
              <w:footnoteReference w:id="24"/>
            </w:r>
            <w:r w:rsidR="00EE7216">
              <w:rPr>
                <w:rFonts w:ascii="Times New Roman" w:hAnsi="Times New Roman" w:cs="Times New Roman"/>
                <w:b/>
              </w:rPr>
              <w:t>.</w:t>
            </w:r>
          </w:p>
        </w:tc>
        <w:tc>
          <w:tcPr>
            <w:tcW w:w="5400" w:type="dxa"/>
          </w:tcPr>
          <w:p w14:paraId="7BBD3E3F" w14:textId="636DA180" w:rsidR="00FC292A" w:rsidRPr="006B039D" w:rsidRDefault="00FE643F" w:rsidP="00FC292A">
            <w:pPr>
              <w:spacing w:line="276" w:lineRule="auto"/>
              <w:rPr>
                <w:rFonts w:ascii="Times New Roman" w:hAnsi="Times New Roman" w:cs="Times New Roman"/>
                <w:b/>
              </w:rPr>
            </w:pPr>
            <w:r>
              <w:rPr>
                <w:rFonts w:ascii="Times New Roman" w:hAnsi="Times New Roman" w:cs="Times New Roman"/>
                <w:b/>
              </w:rPr>
              <w:t>Diodorus records the Battle of Issus, commenting of Alexander’s army, saying ‘The fighting qualities of Alexander’</w:t>
            </w:r>
            <w:r w:rsidR="00A9155E">
              <w:rPr>
                <w:rFonts w:ascii="Times New Roman" w:hAnsi="Times New Roman" w:cs="Times New Roman"/>
                <w:b/>
              </w:rPr>
              <w:t>s group</w:t>
            </w:r>
            <w:r>
              <w:rPr>
                <w:rFonts w:ascii="Times New Roman" w:hAnsi="Times New Roman" w:cs="Times New Roman"/>
                <w:b/>
              </w:rPr>
              <w:t xml:space="preserve"> were superior, however, and quickly many bodies lay piled high about the chariot’</w:t>
            </w:r>
            <w:r w:rsidR="00552DC0">
              <w:rPr>
                <w:rStyle w:val="FootnoteReference"/>
                <w:rFonts w:ascii="Times New Roman" w:hAnsi="Times New Roman" w:cs="Times New Roman"/>
                <w:b/>
              </w:rPr>
              <w:footnoteReference w:id="25"/>
            </w:r>
            <w:r>
              <w:rPr>
                <w:rFonts w:ascii="Times New Roman" w:hAnsi="Times New Roman" w:cs="Times New Roman"/>
                <w:b/>
              </w:rPr>
              <w:t>.</w:t>
            </w:r>
          </w:p>
        </w:tc>
      </w:tr>
      <w:tr w:rsidR="00A905A3" w:rsidRPr="006B039D" w14:paraId="1C7F9ABD" w14:textId="77777777" w:rsidTr="00FD40B4">
        <w:tc>
          <w:tcPr>
            <w:tcW w:w="1165" w:type="dxa"/>
          </w:tcPr>
          <w:p w14:paraId="4384E65A" w14:textId="3CCFDBF2" w:rsidR="00A905A3" w:rsidRPr="006B039D" w:rsidRDefault="00345538" w:rsidP="00FC292A">
            <w:pPr>
              <w:spacing w:line="276" w:lineRule="auto"/>
              <w:rPr>
                <w:rFonts w:ascii="Times New Roman" w:hAnsi="Times New Roman" w:cs="Times New Roman"/>
                <w:b/>
              </w:rPr>
            </w:pPr>
            <w:r>
              <w:rPr>
                <w:rFonts w:ascii="Times New Roman" w:hAnsi="Times New Roman" w:cs="Times New Roman"/>
                <w:b/>
              </w:rPr>
              <w:t>332/1 BC</w:t>
            </w:r>
            <w:r>
              <w:rPr>
                <w:rStyle w:val="FootnoteReference"/>
                <w:rFonts w:ascii="Times New Roman" w:hAnsi="Times New Roman" w:cs="Times New Roman"/>
                <w:b/>
              </w:rPr>
              <w:footnoteReference w:id="26"/>
            </w:r>
          </w:p>
        </w:tc>
        <w:tc>
          <w:tcPr>
            <w:tcW w:w="2340" w:type="dxa"/>
          </w:tcPr>
          <w:p w14:paraId="5C85F671" w14:textId="3C68786E" w:rsidR="00A905A3" w:rsidRPr="006B039D" w:rsidRDefault="00A905A3" w:rsidP="00FC292A">
            <w:pPr>
              <w:spacing w:line="276" w:lineRule="auto"/>
              <w:rPr>
                <w:rFonts w:ascii="Times New Roman" w:hAnsi="Times New Roman" w:cs="Times New Roman"/>
              </w:rPr>
            </w:pPr>
            <w:r w:rsidRPr="006B039D">
              <w:rPr>
                <w:rFonts w:ascii="Times New Roman" w:hAnsi="Times New Roman" w:cs="Times New Roman"/>
              </w:rPr>
              <w:t>Visit to shrine of Ammon</w:t>
            </w:r>
          </w:p>
        </w:tc>
        <w:tc>
          <w:tcPr>
            <w:tcW w:w="5040" w:type="dxa"/>
          </w:tcPr>
          <w:p w14:paraId="1A4C2E89" w14:textId="020CBEE7" w:rsidR="00A905A3" w:rsidRPr="006B039D" w:rsidRDefault="00E513D9" w:rsidP="00FC292A">
            <w:pPr>
              <w:spacing w:line="276" w:lineRule="auto"/>
              <w:rPr>
                <w:rFonts w:ascii="Times New Roman" w:hAnsi="Times New Roman" w:cs="Times New Roman"/>
                <w:b/>
              </w:rPr>
            </w:pPr>
            <w:r>
              <w:rPr>
                <w:rFonts w:ascii="Times New Roman" w:hAnsi="Times New Roman" w:cs="Times New Roman"/>
                <w:b/>
              </w:rPr>
              <w:t>This visit to Ammon</w:t>
            </w:r>
            <w:r w:rsidR="007514C5">
              <w:rPr>
                <w:rFonts w:ascii="Times New Roman" w:hAnsi="Times New Roman" w:cs="Times New Roman"/>
                <w:b/>
              </w:rPr>
              <w:t>’s shrine, who was an Egyptian god equivalent to Zeus for the Greeks, was very important to Alexander, however nobody knows exactly what he asked or what the received answer was</w:t>
            </w:r>
            <w:r w:rsidR="007514C5">
              <w:rPr>
                <w:rStyle w:val="FootnoteReference"/>
                <w:rFonts w:ascii="Times New Roman" w:hAnsi="Times New Roman" w:cs="Times New Roman"/>
                <w:b/>
              </w:rPr>
              <w:footnoteReference w:id="27"/>
            </w:r>
            <w:r w:rsidR="007514C5">
              <w:rPr>
                <w:rFonts w:ascii="Times New Roman" w:hAnsi="Times New Roman" w:cs="Times New Roman"/>
                <w:b/>
              </w:rPr>
              <w:t>.</w:t>
            </w:r>
          </w:p>
        </w:tc>
        <w:tc>
          <w:tcPr>
            <w:tcW w:w="5400" w:type="dxa"/>
          </w:tcPr>
          <w:p w14:paraId="77A1FD4E" w14:textId="37C422C7" w:rsidR="00A905A3" w:rsidRPr="006B039D" w:rsidRDefault="007514C5" w:rsidP="00FC292A">
            <w:pPr>
              <w:spacing w:line="276" w:lineRule="auto"/>
              <w:rPr>
                <w:rFonts w:ascii="Times New Roman" w:hAnsi="Times New Roman" w:cs="Times New Roman"/>
                <w:b/>
              </w:rPr>
            </w:pPr>
            <w:r>
              <w:rPr>
                <w:rFonts w:ascii="Times New Roman" w:hAnsi="Times New Roman" w:cs="Times New Roman"/>
                <w:b/>
              </w:rPr>
              <w:t xml:space="preserve">Arrian talks about the journey to Ammon, and how Alexander had the intent to further find out his descent, as well as to challenge Perseus and Heracles who </w:t>
            </w:r>
            <w:r w:rsidR="003B6CB7">
              <w:rPr>
                <w:rFonts w:ascii="Times New Roman" w:hAnsi="Times New Roman" w:cs="Times New Roman"/>
                <w:b/>
              </w:rPr>
              <w:t xml:space="preserve">both had also </w:t>
            </w:r>
            <w:r w:rsidR="00324338">
              <w:rPr>
                <w:rFonts w:ascii="Times New Roman" w:hAnsi="Times New Roman" w:cs="Times New Roman"/>
                <w:b/>
              </w:rPr>
              <w:t>visited Ammon. The journey was mostly deserted, but by Alexander’s belief of divine intervention, water was supplied via heavy rainfall. Arrian mentions other historians who discuss how Alexander was able to find Ammon’s shrine</w:t>
            </w:r>
            <w:r w:rsidR="00F07914">
              <w:rPr>
                <w:rFonts w:ascii="Times New Roman" w:hAnsi="Times New Roman" w:cs="Times New Roman"/>
                <w:b/>
              </w:rPr>
              <w:t xml:space="preserve"> despite his guides being lost; </w:t>
            </w:r>
            <w:r w:rsidR="00F07914">
              <w:rPr>
                <w:rFonts w:ascii="Times New Roman" w:hAnsi="Times New Roman" w:cs="Times New Roman"/>
                <w:b/>
              </w:rPr>
              <w:lastRenderedPageBreak/>
              <w:t>Ptolemy writes that they all followed two snakes there and back, but Aristobulus claims it was two crows. Arrian further comments that most writers agree with Aristobulus rather than Ptolemy</w:t>
            </w:r>
            <w:r w:rsidR="000F2579">
              <w:rPr>
                <w:rStyle w:val="FootnoteReference"/>
                <w:rFonts w:ascii="Times New Roman" w:hAnsi="Times New Roman" w:cs="Times New Roman"/>
                <w:b/>
              </w:rPr>
              <w:footnoteReference w:id="28"/>
            </w:r>
            <w:r w:rsidR="00F07914">
              <w:rPr>
                <w:rFonts w:ascii="Times New Roman" w:hAnsi="Times New Roman" w:cs="Times New Roman"/>
                <w:b/>
              </w:rPr>
              <w:t>.</w:t>
            </w:r>
          </w:p>
        </w:tc>
      </w:tr>
      <w:tr w:rsidR="00A905A3" w:rsidRPr="006B039D" w14:paraId="77FC983F" w14:textId="77777777" w:rsidTr="00FD40B4">
        <w:tc>
          <w:tcPr>
            <w:tcW w:w="1165" w:type="dxa"/>
          </w:tcPr>
          <w:p w14:paraId="6BAECDE6" w14:textId="37D54092" w:rsidR="00A905A3" w:rsidRPr="006B039D" w:rsidRDefault="00A32DE1" w:rsidP="00FC292A">
            <w:pPr>
              <w:spacing w:line="276" w:lineRule="auto"/>
              <w:rPr>
                <w:rFonts w:ascii="Times New Roman" w:hAnsi="Times New Roman" w:cs="Times New Roman"/>
                <w:b/>
              </w:rPr>
            </w:pPr>
            <w:r>
              <w:rPr>
                <w:rFonts w:ascii="Times New Roman" w:hAnsi="Times New Roman" w:cs="Times New Roman"/>
                <w:b/>
              </w:rPr>
              <w:lastRenderedPageBreak/>
              <w:t>331 BC</w:t>
            </w:r>
            <w:r>
              <w:rPr>
                <w:rStyle w:val="FootnoteReference"/>
                <w:rFonts w:ascii="Times New Roman" w:hAnsi="Times New Roman" w:cs="Times New Roman"/>
                <w:b/>
              </w:rPr>
              <w:footnoteReference w:id="29"/>
            </w:r>
          </w:p>
        </w:tc>
        <w:tc>
          <w:tcPr>
            <w:tcW w:w="2340" w:type="dxa"/>
          </w:tcPr>
          <w:p w14:paraId="2C1DEA77" w14:textId="22E1B072" w:rsidR="00A905A3" w:rsidRPr="006B039D" w:rsidRDefault="00A905A3" w:rsidP="00FC292A">
            <w:pPr>
              <w:spacing w:line="276" w:lineRule="auto"/>
              <w:rPr>
                <w:rFonts w:ascii="Times New Roman" w:hAnsi="Times New Roman" w:cs="Times New Roman"/>
              </w:rPr>
            </w:pPr>
            <w:r w:rsidRPr="006B039D">
              <w:rPr>
                <w:rFonts w:ascii="Times New Roman" w:hAnsi="Times New Roman" w:cs="Times New Roman"/>
              </w:rPr>
              <w:t>Battle of Gaugamela</w:t>
            </w:r>
          </w:p>
        </w:tc>
        <w:tc>
          <w:tcPr>
            <w:tcW w:w="5040" w:type="dxa"/>
          </w:tcPr>
          <w:p w14:paraId="12B89F17" w14:textId="06F0AA67" w:rsidR="00A905A3" w:rsidRPr="006B039D" w:rsidRDefault="00A32DE1" w:rsidP="00FC292A">
            <w:pPr>
              <w:spacing w:line="276" w:lineRule="auto"/>
              <w:rPr>
                <w:rFonts w:ascii="Times New Roman" w:hAnsi="Times New Roman" w:cs="Times New Roman"/>
                <w:b/>
              </w:rPr>
            </w:pPr>
            <w:r>
              <w:rPr>
                <w:rFonts w:ascii="Times New Roman" w:hAnsi="Times New Roman" w:cs="Times New Roman"/>
                <w:b/>
              </w:rPr>
              <w:t>In Tucker’s work, he explains that Alexander’s win of this battle led to the destruction and collapse of the Persian Empire</w:t>
            </w:r>
            <w:r>
              <w:rPr>
                <w:rStyle w:val="FootnoteReference"/>
                <w:rFonts w:ascii="Times New Roman" w:hAnsi="Times New Roman" w:cs="Times New Roman"/>
                <w:b/>
              </w:rPr>
              <w:footnoteReference w:id="30"/>
            </w:r>
            <w:r>
              <w:rPr>
                <w:rFonts w:ascii="Times New Roman" w:hAnsi="Times New Roman" w:cs="Times New Roman"/>
                <w:b/>
              </w:rPr>
              <w:t>.</w:t>
            </w:r>
          </w:p>
        </w:tc>
        <w:tc>
          <w:tcPr>
            <w:tcW w:w="5400" w:type="dxa"/>
          </w:tcPr>
          <w:p w14:paraId="4FBBF040" w14:textId="1972CDE2" w:rsidR="00A905A3" w:rsidRPr="006B039D" w:rsidRDefault="008107D8" w:rsidP="00FC292A">
            <w:pPr>
              <w:spacing w:line="276" w:lineRule="auto"/>
              <w:rPr>
                <w:rFonts w:ascii="Times New Roman" w:hAnsi="Times New Roman" w:cs="Times New Roman"/>
                <w:b/>
              </w:rPr>
            </w:pPr>
            <w:r>
              <w:rPr>
                <w:rFonts w:ascii="Times New Roman" w:hAnsi="Times New Roman" w:cs="Times New Roman"/>
                <w:b/>
              </w:rPr>
              <w:t>Arrian describes when Mazaeus, heard that Alexander was nearly ready to cross the bridge he was building to attack, the satrap and his army fled</w:t>
            </w:r>
            <w:r>
              <w:rPr>
                <w:rStyle w:val="FootnoteReference"/>
                <w:rFonts w:ascii="Times New Roman" w:hAnsi="Times New Roman" w:cs="Times New Roman"/>
                <w:b/>
              </w:rPr>
              <w:footnoteReference w:id="31"/>
            </w:r>
            <w:r>
              <w:rPr>
                <w:rFonts w:ascii="Times New Roman" w:hAnsi="Times New Roman" w:cs="Times New Roman"/>
                <w:b/>
              </w:rPr>
              <w:t>.</w:t>
            </w:r>
          </w:p>
        </w:tc>
      </w:tr>
      <w:tr w:rsidR="00A905A3" w:rsidRPr="006B039D" w14:paraId="577F411C" w14:textId="77777777" w:rsidTr="00A762C7">
        <w:trPr>
          <w:trHeight w:val="2582"/>
        </w:trPr>
        <w:tc>
          <w:tcPr>
            <w:tcW w:w="1165" w:type="dxa"/>
          </w:tcPr>
          <w:p w14:paraId="6E092456" w14:textId="08E9A0C1" w:rsidR="00A905A3" w:rsidRPr="006B039D" w:rsidRDefault="00517531" w:rsidP="00FC292A">
            <w:pPr>
              <w:spacing w:line="276" w:lineRule="auto"/>
              <w:rPr>
                <w:rFonts w:ascii="Times New Roman" w:hAnsi="Times New Roman" w:cs="Times New Roman"/>
                <w:b/>
              </w:rPr>
            </w:pPr>
            <w:r w:rsidRPr="006B039D">
              <w:rPr>
                <w:rFonts w:ascii="Times New Roman" w:hAnsi="Times New Roman" w:cs="Times New Roman"/>
                <w:b/>
              </w:rPr>
              <w:t>331 BC</w:t>
            </w:r>
            <w:r w:rsidR="00966417" w:rsidRPr="006B039D">
              <w:rPr>
                <w:rStyle w:val="FootnoteReference"/>
                <w:rFonts w:ascii="Times New Roman" w:hAnsi="Times New Roman" w:cs="Times New Roman"/>
                <w:b/>
              </w:rPr>
              <w:footnoteReference w:id="32"/>
            </w:r>
          </w:p>
        </w:tc>
        <w:tc>
          <w:tcPr>
            <w:tcW w:w="2340" w:type="dxa"/>
          </w:tcPr>
          <w:p w14:paraId="6FC3E144" w14:textId="3E6D7A69" w:rsidR="00A905A3" w:rsidRPr="006B039D" w:rsidRDefault="00A905A3" w:rsidP="00FC292A">
            <w:pPr>
              <w:spacing w:line="276" w:lineRule="auto"/>
              <w:rPr>
                <w:rFonts w:ascii="Times New Roman" w:hAnsi="Times New Roman" w:cs="Times New Roman"/>
              </w:rPr>
            </w:pPr>
            <w:r w:rsidRPr="006B039D">
              <w:rPr>
                <w:rFonts w:ascii="Times New Roman" w:hAnsi="Times New Roman" w:cs="Times New Roman"/>
              </w:rPr>
              <w:t>Sack of Persepolis</w:t>
            </w:r>
          </w:p>
        </w:tc>
        <w:tc>
          <w:tcPr>
            <w:tcW w:w="5040" w:type="dxa"/>
          </w:tcPr>
          <w:p w14:paraId="48A5DF5F" w14:textId="328EC11C" w:rsidR="00A905A3" w:rsidRPr="003069FA" w:rsidRDefault="006B039D" w:rsidP="00FC292A">
            <w:pPr>
              <w:spacing w:line="276" w:lineRule="auto"/>
              <w:rPr>
                <w:rFonts w:ascii="Times New Roman" w:hAnsi="Times New Roman" w:cs="Times New Roman"/>
              </w:rPr>
            </w:pPr>
            <w:r w:rsidRPr="003069FA">
              <w:rPr>
                <w:rFonts w:ascii="Times New Roman" w:hAnsi="Times New Roman" w:cs="Times New Roman"/>
              </w:rPr>
              <w:t xml:space="preserve">Hornblower and Spawforth summarise the Sack </w:t>
            </w:r>
            <w:r w:rsidR="001C43ED" w:rsidRPr="003069FA">
              <w:rPr>
                <w:rFonts w:ascii="Times New Roman" w:hAnsi="Times New Roman" w:cs="Times New Roman"/>
              </w:rPr>
              <w:t>of Persepolis, led by Alexander</w:t>
            </w:r>
            <w:r w:rsidR="002506A8" w:rsidRPr="003069FA">
              <w:rPr>
                <w:rFonts w:ascii="Times New Roman" w:hAnsi="Times New Roman" w:cs="Times New Roman"/>
              </w:rPr>
              <w:t xml:space="preserve"> the Great</w:t>
            </w:r>
            <w:r w:rsidR="00520FD5" w:rsidRPr="003069FA">
              <w:rPr>
                <w:rFonts w:ascii="Times New Roman" w:hAnsi="Times New Roman" w:cs="Times New Roman"/>
              </w:rPr>
              <w:t>, who ‘took and looted Persepolis and set fire to the palaces’</w:t>
            </w:r>
            <w:r w:rsidR="00520FD5" w:rsidRPr="003069FA">
              <w:rPr>
                <w:rStyle w:val="FootnoteReference"/>
                <w:rFonts w:ascii="Times New Roman" w:hAnsi="Times New Roman" w:cs="Times New Roman"/>
              </w:rPr>
              <w:footnoteReference w:id="33"/>
            </w:r>
            <w:r w:rsidR="00520FD5" w:rsidRPr="003069FA">
              <w:rPr>
                <w:rFonts w:ascii="Times New Roman" w:hAnsi="Times New Roman" w:cs="Times New Roman"/>
              </w:rPr>
              <w:t>.</w:t>
            </w:r>
          </w:p>
        </w:tc>
        <w:tc>
          <w:tcPr>
            <w:tcW w:w="5400" w:type="dxa"/>
          </w:tcPr>
          <w:p w14:paraId="1E77081F" w14:textId="0674CF79" w:rsidR="00A905A3" w:rsidRPr="003069FA" w:rsidRDefault="00520FD5" w:rsidP="00FC292A">
            <w:pPr>
              <w:spacing w:line="276" w:lineRule="auto"/>
              <w:rPr>
                <w:rFonts w:ascii="Times New Roman" w:hAnsi="Times New Roman" w:cs="Times New Roman"/>
              </w:rPr>
            </w:pPr>
            <w:r w:rsidRPr="003069FA">
              <w:rPr>
                <w:rFonts w:ascii="Times New Roman" w:hAnsi="Times New Roman" w:cs="Times New Roman"/>
              </w:rPr>
              <w:t>Diodorus sums up the Sack of Persepolis</w:t>
            </w:r>
            <w:r w:rsidR="00EC3DCC" w:rsidRPr="003069FA">
              <w:rPr>
                <w:rFonts w:ascii="Times New Roman" w:hAnsi="Times New Roman" w:cs="Times New Roman"/>
              </w:rPr>
              <w:t xml:space="preserve"> </w:t>
            </w:r>
            <w:r w:rsidR="006B093D" w:rsidRPr="003069FA">
              <w:rPr>
                <w:rFonts w:ascii="Times New Roman" w:hAnsi="Times New Roman" w:cs="Times New Roman"/>
              </w:rPr>
              <w:t xml:space="preserve">in his </w:t>
            </w:r>
            <w:r w:rsidR="00753383" w:rsidRPr="003069FA">
              <w:rPr>
                <w:rFonts w:ascii="Times New Roman" w:hAnsi="Times New Roman" w:cs="Times New Roman"/>
              </w:rPr>
              <w:t>Library of History, saying: ‘The Macedonians rushed into it, killing all the men and plundering the houses, which were numerous and full of furniture and precious objects of every kind’</w:t>
            </w:r>
            <w:r w:rsidR="00753383" w:rsidRPr="003069FA">
              <w:rPr>
                <w:rStyle w:val="FootnoteReference"/>
                <w:rFonts w:ascii="Times New Roman" w:hAnsi="Times New Roman" w:cs="Times New Roman"/>
              </w:rPr>
              <w:footnoteReference w:id="34"/>
            </w:r>
            <w:r w:rsidR="00753383" w:rsidRPr="003069FA">
              <w:rPr>
                <w:rFonts w:ascii="Times New Roman" w:hAnsi="Times New Roman" w:cs="Times New Roman"/>
              </w:rPr>
              <w:t xml:space="preserve">. With this description, we are able to see the greatness of Persepolis and how much Alexander would gain from destroying it. Diodorus continues to explain how Alexander ‘took possession of the treasures’ and how he intended to ‘take part of the money with him, for </w:t>
            </w:r>
            <w:r w:rsidR="00753383" w:rsidRPr="003069FA">
              <w:rPr>
                <w:rFonts w:ascii="Times New Roman" w:hAnsi="Times New Roman" w:cs="Times New Roman"/>
              </w:rPr>
              <w:lastRenderedPageBreak/>
              <w:t>the expenses of war and to deposit the rest at Susa under close guard’</w:t>
            </w:r>
            <w:r w:rsidR="00753383" w:rsidRPr="003069FA">
              <w:rPr>
                <w:rStyle w:val="FootnoteReference"/>
                <w:rFonts w:ascii="Times New Roman" w:hAnsi="Times New Roman" w:cs="Times New Roman"/>
              </w:rPr>
              <w:footnoteReference w:id="35"/>
            </w:r>
            <w:r w:rsidR="00753383" w:rsidRPr="003069FA">
              <w:rPr>
                <w:rFonts w:ascii="Times New Roman" w:hAnsi="Times New Roman" w:cs="Times New Roman"/>
              </w:rPr>
              <w:t>.</w:t>
            </w:r>
          </w:p>
        </w:tc>
      </w:tr>
      <w:tr w:rsidR="00A905A3" w:rsidRPr="006B039D" w14:paraId="13DB2757" w14:textId="77777777" w:rsidTr="00FD40B4">
        <w:tc>
          <w:tcPr>
            <w:tcW w:w="1165" w:type="dxa"/>
          </w:tcPr>
          <w:p w14:paraId="392AFE83" w14:textId="54D5586E" w:rsidR="00A905A3" w:rsidRPr="006B039D" w:rsidRDefault="00D367D8" w:rsidP="00FC292A">
            <w:pPr>
              <w:spacing w:line="276" w:lineRule="auto"/>
              <w:rPr>
                <w:rFonts w:ascii="Times New Roman" w:hAnsi="Times New Roman" w:cs="Times New Roman"/>
                <w:b/>
              </w:rPr>
            </w:pPr>
            <w:r>
              <w:rPr>
                <w:rFonts w:ascii="Times New Roman" w:hAnsi="Times New Roman" w:cs="Times New Roman"/>
                <w:b/>
              </w:rPr>
              <w:lastRenderedPageBreak/>
              <w:t>326 BC</w:t>
            </w:r>
            <w:r>
              <w:rPr>
                <w:rStyle w:val="FootnoteReference"/>
                <w:rFonts w:ascii="Times New Roman" w:hAnsi="Times New Roman" w:cs="Times New Roman"/>
                <w:b/>
              </w:rPr>
              <w:footnoteReference w:id="36"/>
            </w:r>
          </w:p>
        </w:tc>
        <w:tc>
          <w:tcPr>
            <w:tcW w:w="2340" w:type="dxa"/>
          </w:tcPr>
          <w:p w14:paraId="4172AB7A" w14:textId="262AD90C" w:rsidR="00D5719D" w:rsidRPr="006B039D" w:rsidRDefault="00A905A3" w:rsidP="00FC292A">
            <w:pPr>
              <w:spacing w:line="276" w:lineRule="auto"/>
              <w:rPr>
                <w:rFonts w:ascii="Times New Roman" w:hAnsi="Times New Roman" w:cs="Times New Roman"/>
              </w:rPr>
            </w:pPr>
            <w:r w:rsidRPr="006B039D">
              <w:rPr>
                <w:rFonts w:ascii="Times New Roman" w:hAnsi="Times New Roman" w:cs="Times New Roman"/>
              </w:rPr>
              <w:t>Battle of Porus</w:t>
            </w:r>
          </w:p>
        </w:tc>
        <w:tc>
          <w:tcPr>
            <w:tcW w:w="5040" w:type="dxa"/>
          </w:tcPr>
          <w:p w14:paraId="67293086" w14:textId="6043F24D" w:rsidR="00A905A3" w:rsidRPr="003069FA" w:rsidRDefault="00A762C7" w:rsidP="00FC292A">
            <w:pPr>
              <w:spacing w:line="276" w:lineRule="auto"/>
              <w:rPr>
                <w:rFonts w:ascii="Times New Roman" w:hAnsi="Times New Roman" w:cs="Times New Roman"/>
              </w:rPr>
            </w:pPr>
            <w:r>
              <w:rPr>
                <w:rFonts w:ascii="Times New Roman" w:hAnsi="Times New Roman" w:cs="Times New Roman"/>
              </w:rPr>
              <w:t xml:space="preserve">This battle is also named the Battle at the Hydaspes, which was Alexander leading battle against Porus, the current Indian king at the time. This battle allowed Alexander to more exposure of weapons, one being the elephant. Despite this new problem, Alexander easily </w:t>
            </w:r>
            <w:r w:rsidR="00E158B0">
              <w:rPr>
                <w:rFonts w:ascii="Times New Roman" w:hAnsi="Times New Roman" w:cs="Times New Roman"/>
              </w:rPr>
              <w:t>overcame this</w:t>
            </w:r>
            <w:r w:rsidR="00F4032E">
              <w:rPr>
                <w:rFonts w:ascii="Times New Roman" w:hAnsi="Times New Roman" w:cs="Times New Roman"/>
              </w:rPr>
              <w:t xml:space="preserve"> as said by Hamilton</w:t>
            </w:r>
            <w:r w:rsidR="007F7A4E">
              <w:rPr>
                <w:rStyle w:val="FootnoteReference"/>
                <w:rFonts w:ascii="Times New Roman" w:hAnsi="Times New Roman" w:cs="Times New Roman"/>
              </w:rPr>
              <w:footnoteReference w:id="37"/>
            </w:r>
            <w:r w:rsidR="00F4032E">
              <w:rPr>
                <w:rFonts w:ascii="Times New Roman" w:hAnsi="Times New Roman" w:cs="Times New Roman"/>
              </w:rPr>
              <w:t>.</w:t>
            </w:r>
          </w:p>
        </w:tc>
        <w:tc>
          <w:tcPr>
            <w:tcW w:w="5400" w:type="dxa"/>
          </w:tcPr>
          <w:p w14:paraId="32377047" w14:textId="5141ACFE" w:rsidR="00A905A3" w:rsidRPr="003069FA" w:rsidRDefault="00916A04" w:rsidP="00FC292A">
            <w:pPr>
              <w:spacing w:line="276" w:lineRule="auto"/>
              <w:rPr>
                <w:rFonts w:ascii="Times New Roman" w:hAnsi="Times New Roman" w:cs="Times New Roman"/>
              </w:rPr>
            </w:pPr>
            <w:r>
              <w:rPr>
                <w:rFonts w:ascii="Times New Roman" w:hAnsi="Times New Roman" w:cs="Times New Roman"/>
              </w:rPr>
              <w:t>Arrian writes that Alexander was camping of the Hydaspes bank</w:t>
            </w:r>
            <w:r w:rsidR="00B43CC3">
              <w:rPr>
                <w:rFonts w:ascii="Times New Roman" w:hAnsi="Times New Roman" w:cs="Times New Roman"/>
              </w:rPr>
              <w:t>, and when Porus saw his position, the king guarded the crossings so Alexander’s army could not cross.</w:t>
            </w:r>
            <w:r w:rsidR="00D11085">
              <w:rPr>
                <w:rFonts w:ascii="Times New Roman" w:hAnsi="Times New Roman" w:cs="Times New Roman"/>
              </w:rPr>
              <w:t xml:space="preserve"> However, Alexander still came out victorious</w:t>
            </w:r>
            <w:r w:rsidR="000F2579">
              <w:rPr>
                <w:rStyle w:val="FootnoteReference"/>
                <w:rFonts w:ascii="Times New Roman" w:hAnsi="Times New Roman" w:cs="Times New Roman"/>
              </w:rPr>
              <w:footnoteReference w:id="38"/>
            </w:r>
            <w:r w:rsidR="00D11085">
              <w:rPr>
                <w:rFonts w:ascii="Times New Roman" w:hAnsi="Times New Roman" w:cs="Times New Roman"/>
              </w:rPr>
              <w:t>.</w:t>
            </w:r>
          </w:p>
        </w:tc>
      </w:tr>
      <w:tr w:rsidR="00A905A3" w:rsidRPr="006B039D" w14:paraId="0092B4D9" w14:textId="77777777" w:rsidTr="00FD40B4">
        <w:tc>
          <w:tcPr>
            <w:tcW w:w="1165" w:type="dxa"/>
          </w:tcPr>
          <w:p w14:paraId="195637D8" w14:textId="71839912" w:rsidR="00A905A3" w:rsidRPr="006B039D" w:rsidRDefault="005035EF" w:rsidP="00FC292A">
            <w:pPr>
              <w:spacing w:line="276" w:lineRule="auto"/>
              <w:rPr>
                <w:rFonts w:ascii="Times New Roman" w:hAnsi="Times New Roman" w:cs="Times New Roman"/>
                <w:b/>
              </w:rPr>
            </w:pPr>
            <w:r>
              <w:rPr>
                <w:rFonts w:ascii="Times New Roman" w:hAnsi="Times New Roman" w:cs="Times New Roman"/>
                <w:b/>
              </w:rPr>
              <w:t>324 BC</w:t>
            </w:r>
            <w:r w:rsidR="00FD40B4">
              <w:rPr>
                <w:rStyle w:val="FootnoteReference"/>
                <w:rFonts w:ascii="Times New Roman" w:hAnsi="Times New Roman" w:cs="Times New Roman"/>
                <w:b/>
              </w:rPr>
              <w:footnoteReference w:id="39"/>
            </w:r>
          </w:p>
        </w:tc>
        <w:tc>
          <w:tcPr>
            <w:tcW w:w="2340" w:type="dxa"/>
          </w:tcPr>
          <w:p w14:paraId="1BA91018" w14:textId="2757AC97" w:rsidR="00A905A3" w:rsidRPr="006B039D" w:rsidRDefault="00A905A3" w:rsidP="00FC292A">
            <w:pPr>
              <w:spacing w:line="276" w:lineRule="auto"/>
              <w:rPr>
                <w:rFonts w:ascii="Times New Roman" w:hAnsi="Times New Roman" w:cs="Times New Roman"/>
              </w:rPr>
            </w:pPr>
            <w:r w:rsidRPr="006B039D">
              <w:rPr>
                <w:rFonts w:ascii="Times New Roman" w:hAnsi="Times New Roman" w:cs="Times New Roman"/>
              </w:rPr>
              <w:t>Mutiny at Opis</w:t>
            </w:r>
          </w:p>
        </w:tc>
        <w:tc>
          <w:tcPr>
            <w:tcW w:w="5040" w:type="dxa"/>
          </w:tcPr>
          <w:p w14:paraId="3FDB2C28" w14:textId="2ED941A1" w:rsidR="00A905A3" w:rsidRPr="003069FA" w:rsidRDefault="00EF4119" w:rsidP="00FC292A">
            <w:pPr>
              <w:spacing w:line="276" w:lineRule="auto"/>
              <w:rPr>
                <w:rFonts w:ascii="Times New Roman" w:hAnsi="Times New Roman" w:cs="Times New Roman"/>
              </w:rPr>
            </w:pPr>
            <w:r>
              <w:rPr>
                <w:rFonts w:ascii="Times New Roman" w:hAnsi="Times New Roman" w:cs="Times New Roman"/>
              </w:rPr>
              <w:t xml:space="preserve">The Mutiny at Opis was an event in which Alexander’s soldiers were revolting, and they were not happy with what they thought their king meant by sending soldiers back, rather than him being </w:t>
            </w:r>
            <w:r w:rsidR="00D94468">
              <w:rPr>
                <w:rFonts w:ascii="Times New Roman" w:hAnsi="Times New Roman" w:cs="Times New Roman"/>
              </w:rPr>
              <w:t>just and wanting his soldiers to heal</w:t>
            </w:r>
            <w:r w:rsidR="002D4A6B">
              <w:rPr>
                <w:rStyle w:val="FootnoteReference"/>
                <w:rFonts w:ascii="Times New Roman" w:hAnsi="Times New Roman" w:cs="Times New Roman"/>
              </w:rPr>
              <w:footnoteReference w:id="40"/>
            </w:r>
            <w:r w:rsidR="00D94468">
              <w:rPr>
                <w:rFonts w:ascii="Times New Roman" w:hAnsi="Times New Roman" w:cs="Times New Roman"/>
              </w:rPr>
              <w:t>.</w:t>
            </w:r>
          </w:p>
        </w:tc>
        <w:tc>
          <w:tcPr>
            <w:tcW w:w="5400" w:type="dxa"/>
          </w:tcPr>
          <w:p w14:paraId="5639C04A" w14:textId="7EBDBCAC" w:rsidR="00A905A3" w:rsidRPr="003069FA" w:rsidRDefault="00F56CE5" w:rsidP="00FC292A">
            <w:pPr>
              <w:spacing w:line="276" w:lineRule="auto"/>
              <w:rPr>
                <w:rFonts w:ascii="Times New Roman" w:hAnsi="Times New Roman" w:cs="Times New Roman"/>
              </w:rPr>
            </w:pPr>
            <w:r w:rsidRPr="003069FA">
              <w:rPr>
                <w:rFonts w:ascii="Times New Roman" w:hAnsi="Times New Roman" w:cs="Times New Roman"/>
              </w:rPr>
              <w:t xml:space="preserve">Arrian </w:t>
            </w:r>
            <w:r w:rsidR="006E0880">
              <w:rPr>
                <w:rFonts w:ascii="Times New Roman" w:hAnsi="Times New Roman" w:cs="Times New Roman"/>
              </w:rPr>
              <w:t>talks about this mutiny</w:t>
            </w:r>
            <w:r w:rsidR="000D383D">
              <w:rPr>
                <w:rFonts w:ascii="Times New Roman" w:hAnsi="Times New Roman" w:cs="Times New Roman"/>
              </w:rPr>
              <w:t xml:space="preserve">, including when Alexander sents the wounded and aged soldiers back, their immediate thoughts were that Alexander ‘despised’ them. They couldn’t keep these thoughts to themselves and angered Alexander by telling him to ‘discharge them from service and take his father on </w:t>
            </w:r>
            <w:r w:rsidR="000D383D">
              <w:rPr>
                <w:rFonts w:ascii="Times New Roman" w:hAnsi="Times New Roman" w:cs="Times New Roman"/>
              </w:rPr>
              <w:lastRenderedPageBreak/>
              <w:t>the expedition (by this insult they meant Ammon)’.</w:t>
            </w:r>
            <w:r w:rsidR="00675264">
              <w:rPr>
                <w:rFonts w:ascii="Times New Roman" w:hAnsi="Times New Roman" w:cs="Times New Roman"/>
              </w:rPr>
              <w:t xml:space="preserve"> After Alexander gave everyone a speech</w:t>
            </w:r>
            <w:r w:rsidR="00E8185B">
              <w:rPr>
                <w:rFonts w:ascii="Times New Roman" w:hAnsi="Times New Roman" w:cs="Times New Roman"/>
              </w:rPr>
              <w:t xml:space="preserve"> about how he has done so much </w:t>
            </w:r>
            <w:r w:rsidR="00485949">
              <w:rPr>
                <w:rFonts w:ascii="Times New Roman" w:hAnsi="Times New Roman" w:cs="Times New Roman"/>
              </w:rPr>
              <w:t>for them and his kingdom</w:t>
            </w:r>
            <w:r w:rsidR="007345CA">
              <w:rPr>
                <w:rFonts w:ascii="Times New Roman" w:hAnsi="Times New Roman" w:cs="Times New Roman"/>
              </w:rPr>
              <w:t>, he left them to go back to his tent and didn’t allow anyone to see him for nearly three days</w:t>
            </w:r>
            <w:r w:rsidR="00B65256">
              <w:rPr>
                <w:rStyle w:val="FootnoteReference"/>
                <w:rFonts w:ascii="Times New Roman" w:hAnsi="Times New Roman" w:cs="Times New Roman"/>
              </w:rPr>
              <w:footnoteReference w:id="41"/>
            </w:r>
            <w:r w:rsidR="007345CA">
              <w:rPr>
                <w:rFonts w:ascii="Times New Roman" w:hAnsi="Times New Roman" w:cs="Times New Roman"/>
              </w:rPr>
              <w:t>.</w:t>
            </w:r>
          </w:p>
        </w:tc>
      </w:tr>
      <w:tr w:rsidR="00A905A3" w:rsidRPr="006B039D" w14:paraId="14FE6D0F" w14:textId="77777777" w:rsidTr="00FD40B4">
        <w:tc>
          <w:tcPr>
            <w:tcW w:w="1165" w:type="dxa"/>
          </w:tcPr>
          <w:p w14:paraId="62E1BA6E" w14:textId="6E9DC087" w:rsidR="00A905A3" w:rsidRPr="006B039D" w:rsidRDefault="00A905A3" w:rsidP="00FC292A">
            <w:pPr>
              <w:spacing w:line="276" w:lineRule="auto"/>
              <w:rPr>
                <w:rFonts w:ascii="Times New Roman" w:hAnsi="Times New Roman" w:cs="Times New Roman"/>
                <w:b/>
              </w:rPr>
            </w:pPr>
            <w:r w:rsidRPr="006B039D">
              <w:rPr>
                <w:rFonts w:ascii="Times New Roman" w:hAnsi="Times New Roman" w:cs="Times New Roman"/>
                <w:b/>
              </w:rPr>
              <w:lastRenderedPageBreak/>
              <w:t>323 BC</w:t>
            </w:r>
            <w:r w:rsidR="00AB6DCC">
              <w:rPr>
                <w:rStyle w:val="FootnoteReference"/>
                <w:rFonts w:ascii="Times New Roman" w:hAnsi="Times New Roman" w:cs="Times New Roman"/>
                <w:b/>
              </w:rPr>
              <w:footnoteReference w:id="42"/>
            </w:r>
          </w:p>
        </w:tc>
        <w:tc>
          <w:tcPr>
            <w:tcW w:w="2340" w:type="dxa"/>
          </w:tcPr>
          <w:p w14:paraId="08B9EE9F" w14:textId="08629EC6" w:rsidR="00A905A3" w:rsidRPr="006B039D" w:rsidRDefault="00DD336D" w:rsidP="00FC292A">
            <w:pPr>
              <w:spacing w:line="276" w:lineRule="auto"/>
              <w:rPr>
                <w:rFonts w:ascii="Times New Roman" w:hAnsi="Times New Roman" w:cs="Times New Roman"/>
              </w:rPr>
            </w:pPr>
            <w:r w:rsidRPr="006B039D">
              <w:rPr>
                <w:rFonts w:ascii="Times New Roman" w:hAnsi="Times New Roman" w:cs="Times New Roman"/>
                <w:b/>
              </w:rPr>
              <w:t>Death of Alexander</w:t>
            </w:r>
          </w:p>
        </w:tc>
        <w:tc>
          <w:tcPr>
            <w:tcW w:w="5040" w:type="dxa"/>
          </w:tcPr>
          <w:p w14:paraId="60040960" w14:textId="568E12E4" w:rsidR="00A905A3" w:rsidRPr="006B039D" w:rsidRDefault="003849CC" w:rsidP="00FC292A">
            <w:pPr>
              <w:spacing w:line="276" w:lineRule="auto"/>
              <w:rPr>
                <w:rFonts w:ascii="Times New Roman" w:hAnsi="Times New Roman" w:cs="Times New Roman"/>
                <w:b/>
              </w:rPr>
            </w:pPr>
            <w:r>
              <w:rPr>
                <w:rFonts w:ascii="Times New Roman" w:hAnsi="Times New Roman" w:cs="Times New Roman"/>
                <w:b/>
              </w:rPr>
              <w:t xml:space="preserve">Depuydt sums up the lead up to Alexander’s death, </w:t>
            </w:r>
            <w:r w:rsidR="00FF6269">
              <w:rPr>
                <w:rFonts w:ascii="Times New Roman" w:hAnsi="Times New Roman" w:cs="Times New Roman"/>
                <w:b/>
              </w:rPr>
              <w:t xml:space="preserve">with </w:t>
            </w:r>
            <w:r w:rsidR="00090EF7">
              <w:rPr>
                <w:rFonts w:ascii="Times New Roman" w:hAnsi="Times New Roman" w:cs="Times New Roman"/>
                <w:b/>
              </w:rPr>
              <w:t>it all starting by Alexander go</w:t>
            </w:r>
            <w:r w:rsidR="00FF6269">
              <w:rPr>
                <w:rFonts w:ascii="Times New Roman" w:hAnsi="Times New Roman" w:cs="Times New Roman"/>
                <w:b/>
              </w:rPr>
              <w:t xml:space="preserve">ing out for </w:t>
            </w:r>
            <w:r w:rsidR="00090EF7">
              <w:rPr>
                <w:rFonts w:ascii="Times New Roman" w:hAnsi="Times New Roman" w:cs="Times New Roman"/>
                <w:b/>
              </w:rPr>
              <w:t>drinks, and on the second night he came back with a fever. Later, his bed was moved to the baths where it is cooler, however this does not help. On 11 June, Alexander the Great dies at the age of 32</w:t>
            </w:r>
            <w:r w:rsidR="00090EF7">
              <w:rPr>
                <w:rStyle w:val="FootnoteReference"/>
                <w:rFonts w:ascii="Times New Roman" w:hAnsi="Times New Roman" w:cs="Times New Roman"/>
                <w:b/>
              </w:rPr>
              <w:footnoteReference w:id="43"/>
            </w:r>
            <w:r w:rsidR="00090EF7">
              <w:rPr>
                <w:rFonts w:ascii="Times New Roman" w:hAnsi="Times New Roman" w:cs="Times New Roman"/>
                <w:b/>
              </w:rPr>
              <w:t>.</w:t>
            </w:r>
          </w:p>
        </w:tc>
        <w:tc>
          <w:tcPr>
            <w:tcW w:w="5400" w:type="dxa"/>
          </w:tcPr>
          <w:p w14:paraId="15E889E2" w14:textId="12723938" w:rsidR="00A905A3" w:rsidRPr="006B039D" w:rsidRDefault="00DD336D" w:rsidP="00DD336D">
            <w:pPr>
              <w:spacing w:line="276" w:lineRule="auto"/>
              <w:rPr>
                <w:rFonts w:ascii="Times New Roman" w:hAnsi="Times New Roman" w:cs="Times New Roman"/>
              </w:rPr>
            </w:pPr>
            <w:r w:rsidRPr="006B039D">
              <w:rPr>
                <w:rFonts w:ascii="Times New Roman" w:hAnsi="Times New Roman" w:cs="Times New Roman"/>
              </w:rPr>
              <w:t>Diodorus talks of the ‘many strange portents and signs’ that foretold the death of Alexander.</w:t>
            </w:r>
            <w:r w:rsidRPr="006B039D">
              <w:rPr>
                <w:rStyle w:val="FootnoteReference"/>
                <w:rFonts w:ascii="Times New Roman" w:hAnsi="Times New Roman" w:cs="Times New Roman"/>
              </w:rPr>
              <w:footnoteReference w:id="44"/>
            </w:r>
            <w:r w:rsidRPr="006B039D">
              <w:rPr>
                <w:rFonts w:ascii="Times New Roman" w:hAnsi="Times New Roman" w:cs="Times New Roman"/>
              </w:rPr>
              <w:t xml:space="preserve"> Of his death, Diodorus writes, ‘When he, at length, despaired of life, he took off his ring and handed it to Perdiccas. His Friends asked: “To whom do you leave the kingdom?” and he replied: “To the strongest.”’.</w:t>
            </w:r>
            <w:r w:rsidRPr="006B039D">
              <w:rPr>
                <w:rStyle w:val="FootnoteReference"/>
                <w:rFonts w:ascii="Times New Roman" w:hAnsi="Times New Roman" w:cs="Times New Roman"/>
              </w:rPr>
              <w:footnoteReference w:id="45"/>
            </w:r>
          </w:p>
        </w:tc>
      </w:tr>
      <w:tr w:rsidR="00A905A3" w:rsidRPr="006B039D" w14:paraId="0DBAD9B9" w14:textId="77777777" w:rsidTr="00FD40B4">
        <w:trPr>
          <w:trHeight w:val="341"/>
        </w:trPr>
        <w:tc>
          <w:tcPr>
            <w:tcW w:w="1165" w:type="dxa"/>
          </w:tcPr>
          <w:p w14:paraId="471B9DD8" w14:textId="117F0771" w:rsidR="00A905A3" w:rsidRPr="006B039D" w:rsidRDefault="00870508" w:rsidP="00FC292A">
            <w:pPr>
              <w:spacing w:line="276" w:lineRule="auto"/>
              <w:rPr>
                <w:rFonts w:ascii="Times New Roman" w:hAnsi="Times New Roman" w:cs="Times New Roman"/>
                <w:b/>
              </w:rPr>
            </w:pPr>
            <w:r>
              <w:rPr>
                <w:rFonts w:ascii="Times New Roman" w:hAnsi="Times New Roman" w:cs="Times New Roman"/>
                <w:b/>
              </w:rPr>
              <w:t>323 BC</w:t>
            </w:r>
            <w:r>
              <w:rPr>
                <w:rStyle w:val="FootnoteReference"/>
                <w:rFonts w:ascii="Times New Roman" w:hAnsi="Times New Roman" w:cs="Times New Roman"/>
                <w:b/>
              </w:rPr>
              <w:footnoteReference w:id="46"/>
            </w:r>
          </w:p>
        </w:tc>
        <w:tc>
          <w:tcPr>
            <w:tcW w:w="2340" w:type="dxa"/>
          </w:tcPr>
          <w:p w14:paraId="09833B3E" w14:textId="2A8EA8D2" w:rsidR="00A905A3"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Babylonian Settlement</w:t>
            </w:r>
          </w:p>
        </w:tc>
        <w:tc>
          <w:tcPr>
            <w:tcW w:w="5040" w:type="dxa"/>
          </w:tcPr>
          <w:p w14:paraId="0A846FDA" w14:textId="391C6524" w:rsidR="00A905A3" w:rsidRPr="006B039D" w:rsidRDefault="00400010" w:rsidP="00FC292A">
            <w:pPr>
              <w:spacing w:line="276" w:lineRule="auto"/>
              <w:rPr>
                <w:rFonts w:ascii="Times New Roman" w:hAnsi="Times New Roman" w:cs="Times New Roman"/>
                <w:b/>
              </w:rPr>
            </w:pPr>
            <w:r>
              <w:rPr>
                <w:rFonts w:ascii="Times New Roman" w:hAnsi="Times New Roman" w:cs="Times New Roman"/>
                <w:b/>
              </w:rPr>
              <w:t xml:space="preserve">There was competitiveness between the Macedonian </w:t>
            </w:r>
            <w:r w:rsidR="00805CF6">
              <w:rPr>
                <w:rFonts w:ascii="Times New Roman" w:hAnsi="Times New Roman" w:cs="Times New Roman"/>
                <w:b/>
              </w:rPr>
              <w:t xml:space="preserve">leaders after Alexander’s death, as there was the </w:t>
            </w:r>
            <w:r w:rsidR="00F40857">
              <w:rPr>
                <w:rFonts w:ascii="Times New Roman" w:hAnsi="Times New Roman" w:cs="Times New Roman"/>
                <w:b/>
              </w:rPr>
              <w:t>matter of giving out areas of land for people to control</w:t>
            </w:r>
            <w:r w:rsidR="00F40857">
              <w:rPr>
                <w:rStyle w:val="FootnoteReference"/>
                <w:rFonts w:ascii="Times New Roman" w:hAnsi="Times New Roman" w:cs="Times New Roman"/>
                <w:b/>
              </w:rPr>
              <w:footnoteReference w:id="47"/>
            </w:r>
            <w:r w:rsidR="00F40857">
              <w:rPr>
                <w:rFonts w:ascii="Times New Roman" w:hAnsi="Times New Roman" w:cs="Times New Roman"/>
                <w:b/>
              </w:rPr>
              <w:t>.</w:t>
            </w:r>
          </w:p>
        </w:tc>
        <w:tc>
          <w:tcPr>
            <w:tcW w:w="5400" w:type="dxa"/>
          </w:tcPr>
          <w:p w14:paraId="15C3A5C3" w14:textId="0E8D746C" w:rsidR="00A905A3" w:rsidRPr="006B039D" w:rsidRDefault="000E5AF9" w:rsidP="00FC292A">
            <w:pPr>
              <w:spacing w:line="276" w:lineRule="auto"/>
              <w:rPr>
                <w:rFonts w:ascii="Times New Roman" w:hAnsi="Times New Roman" w:cs="Times New Roman"/>
                <w:b/>
              </w:rPr>
            </w:pPr>
            <w:r>
              <w:rPr>
                <w:rFonts w:ascii="Times New Roman" w:hAnsi="Times New Roman" w:cs="Times New Roman"/>
                <w:b/>
              </w:rPr>
              <w:t>Di</w:t>
            </w:r>
            <w:r w:rsidR="00372813">
              <w:rPr>
                <w:rFonts w:ascii="Times New Roman" w:hAnsi="Times New Roman" w:cs="Times New Roman"/>
                <w:b/>
              </w:rPr>
              <w:t xml:space="preserve">odorus gives a list of which people were given </w:t>
            </w:r>
            <w:r w:rsidR="000C5DD3">
              <w:rPr>
                <w:rFonts w:ascii="Times New Roman" w:hAnsi="Times New Roman" w:cs="Times New Roman"/>
                <w:b/>
              </w:rPr>
              <w:t>what areas to keep control of after Alexander’s death; some of the arrangements were pre-decided by Alexander, while the rest were decided by Perdiccas</w:t>
            </w:r>
            <w:r w:rsidR="00D976C7">
              <w:rPr>
                <w:rStyle w:val="FootnoteReference"/>
                <w:rFonts w:ascii="Times New Roman" w:hAnsi="Times New Roman" w:cs="Times New Roman"/>
                <w:b/>
              </w:rPr>
              <w:footnoteReference w:id="48"/>
            </w:r>
            <w:r w:rsidR="000C5DD3">
              <w:rPr>
                <w:rFonts w:ascii="Times New Roman" w:hAnsi="Times New Roman" w:cs="Times New Roman"/>
                <w:b/>
              </w:rPr>
              <w:t>.</w:t>
            </w:r>
          </w:p>
        </w:tc>
      </w:tr>
      <w:tr w:rsidR="00A905A3" w:rsidRPr="006B039D" w14:paraId="24C92669" w14:textId="77777777" w:rsidTr="00FD40B4">
        <w:tc>
          <w:tcPr>
            <w:tcW w:w="1165" w:type="dxa"/>
          </w:tcPr>
          <w:p w14:paraId="38C3C97C" w14:textId="6D7EA1C9" w:rsidR="00A905A3" w:rsidRPr="006B039D" w:rsidRDefault="00870508" w:rsidP="00FC292A">
            <w:pPr>
              <w:spacing w:line="276" w:lineRule="auto"/>
              <w:rPr>
                <w:rFonts w:ascii="Times New Roman" w:hAnsi="Times New Roman" w:cs="Times New Roman"/>
                <w:b/>
              </w:rPr>
            </w:pPr>
            <w:r>
              <w:rPr>
                <w:rFonts w:ascii="Times New Roman" w:hAnsi="Times New Roman" w:cs="Times New Roman"/>
                <w:b/>
              </w:rPr>
              <w:t>321 BC</w:t>
            </w:r>
            <w:r>
              <w:rPr>
                <w:rStyle w:val="FootnoteReference"/>
                <w:rFonts w:ascii="Times New Roman" w:hAnsi="Times New Roman" w:cs="Times New Roman"/>
                <w:b/>
              </w:rPr>
              <w:footnoteReference w:id="49"/>
            </w:r>
          </w:p>
        </w:tc>
        <w:tc>
          <w:tcPr>
            <w:tcW w:w="2340" w:type="dxa"/>
          </w:tcPr>
          <w:p w14:paraId="4A156DBE" w14:textId="31B63027" w:rsidR="00A905A3"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Triparadeisos</w:t>
            </w:r>
          </w:p>
        </w:tc>
        <w:tc>
          <w:tcPr>
            <w:tcW w:w="5040" w:type="dxa"/>
          </w:tcPr>
          <w:p w14:paraId="331FE7BE" w14:textId="431D8BCD" w:rsidR="00A905A3" w:rsidRPr="006B039D" w:rsidRDefault="00C164FE" w:rsidP="00FC292A">
            <w:pPr>
              <w:spacing w:line="276" w:lineRule="auto"/>
              <w:rPr>
                <w:rFonts w:ascii="Times New Roman" w:hAnsi="Times New Roman" w:cs="Times New Roman"/>
                <w:b/>
              </w:rPr>
            </w:pPr>
            <w:r>
              <w:rPr>
                <w:rFonts w:ascii="Times New Roman" w:hAnsi="Times New Roman" w:cs="Times New Roman"/>
                <w:b/>
              </w:rPr>
              <w:t xml:space="preserve">Austin summarises that </w:t>
            </w:r>
            <w:r w:rsidR="00E432DD">
              <w:rPr>
                <w:rFonts w:ascii="Times New Roman" w:hAnsi="Times New Roman" w:cs="Times New Roman"/>
                <w:b/>
              </w:rPr>
              <w:t xml:space="preserve">Perdiccas wanted complete control of the entire empire after he </w:t>
            </w:r>
            <w:r w:rsidR="00E432DD">
              <w:rPr>
                <w:rFonts w:ascii="Times New Roman" w:hAnsi="Times New Roman" w:cs="Times New Roman"/>
                <w:b/>
              </w:rPr>
              <w:lastRenderedPageBreak/>
              <w:t>organised the Babylonian Settlement, however he was not successful. Other Macedonian leaders resisted, and in 321, Perdiccas was assassinated. Antipater came to power, and arranged a new settlement in north Syria</w:t>
            </w:r>
            <w:r w:rsidR="00051DCF">
              <w:rPr>
                <w:rStyle w:val="FootnoteReference"/>
                <w:rFonts w:ascii="Times New Roman" w:hAnsi="Times New Roman" w:cs="Times New Roman"/>
                <w:b/>
              </w:rPr>
              <w:footnoteReference w:id="50"/>
            </w:r>
            <w:r w:rsidR="00E432DD">
              <w:rPr>
                <w:rFonts w:ascii="Times New Roman" w:hAnsi="Times New Roman" w:cs="Times New Roman"/>
                <w:b/>
              </w:rPr>
              <w:t>.</w:t>
            </w:r>
          </w:p>
        </w:tc>
        <w:tc>
          <w:tcPr>
            <w:tcW w:w="5400" w:type="dxa"/>
          </w:tcPr>
          <w:p w14:paraId="6A0A3611" w14:textId="66992B3A" w:rsidR="00A905A3" w:rsidRPr="006B039D" w:rsidRDefault="00D93597" w:rsidP="00BE4160">
            <w:pPr>
              <w:spacing w:line="276" w:lineRule="auto"/>
              <w:rPr>
                <w:rFonts w:ascii="Times New Roman" w:hAnsi="Times New Roman" w:cs="Times New Roman"/>
                <w:b/>
              </w:rPr>
            </w:pPr>
            <w:r>
              <w:rPr>
                <w:rFonts w:ascii="Times New Roman" w:hAnsi="Times New Roman" w:cs="Times New Roman"/>
                <w:b/>
              </w:rPr>
              <w:lastRenderedPageBreak/>
              <w:t>Arrian</w:t>
            </w:r>
            <w:r w:rsidR="00BE4160">
              <w:rPr>
                <w:rFonts w:ascii="Times New Roman" w:hAnsi="Times New Roman" w:cs="Times New Roman"/>
                <w:b/>
              </w:rPr>
              <w:t xml:space="preserve"> </w:t>
            </w:r>
            <w:r w:rsidR="0086363B">
              <w:rPr>
                <w:rFonts w:ascii="Times New Roman" w:hAnsi="Times New Roman" w:cs="Times New Roman"/>
                <w:b/>
              </w:rPr>
              <w:t>comments on the settlement at Triparadisus</w:t>
            </w:r>
            <w:r w:rsidR="000425C9">
              <w:rPr>
                <w:rFonts w:ascii="Times New Roman" w:hAnsi="Times New Roman" w:cs="Times New Roman"/>
                <w:b/>
              </w:rPr>
              <w:t xml:space="preserve">, giving out the names of who would </w:t>
            </w:r>
            <w:r w:rsidR="000425C9">
              <w:rPr>
                <w:rFonts w:ascii="Times New Roman" w:hAnsi="Times New Roman" w:cs="Times New Roman"/>
                <w:b/>
              </w:rPr>
              <w:lastRenderedPageBreak/>
              <w:t xml:space="preserve">control each area, with </w:t>
            </w:r>
            <w:r w:rsidR="002734EA">
              <w:rPr>
                <w:rFonts w:ascii="Times New Roman" w:hAnsi="Times New Roman" w:cs="Times New Roman"/>
                <w:b/>
              </w:rPr>
              <w:t>Ptolemy controlling Egypt, Libya and ‘all the expanse of territory</w:t>
            </w:r>
            <w:r w:rsidR="00395181">
              <w:rPr>
                <w:rFonts w:ascii="Times New Roman" w:hAnsi="Times New Roman" w:cs="Times New Roman"/>
                <w:b/>
              </w:rPr>
              <w:t xml:space="preserve"> beyond it together with any further </w:t>
            </w:r>
            <w:r w:rsidR="00FA677D">
              <w:rPr>
                <w:rFonts w:ascii="Times New Roman" w:hAnsi="Times New Roman" w:cs="Times New Roman"/>
                <w:b/>
              </w:rPr>
              <w:t>conquests he made to the west’</w:t>
            </w:r>
            <w:r w:rsidR="00FA677D">
              <w:rPr>
                <w:rStyle w:val="FootnoteReference"/>
                <w:rFonts w:ascii="Times New Roman" w:hAnsi="Times New Roman" w:cs="Times New Roman"/>
                <w:b/>
              </w:rPr>
              <w:footnoteReference w:id="51"/>
            </w:r>
            <w:r w:rsidR="00FA677D">
              <w:rPr>
                <w:rFonts w:ascii="Times New Roman" w:hAnsi="Times New Roman" w:cs="Times New Roman"/>
                <w:b/>
              </w:rPr>
              <w:t>.</w:t>
            </w:r>
          </w:p>
        </w:tc>
      </w:tr>
      <w:tr w:rsidR="00A905A3" w:rsidRPr="006B039D" w14:paraId="19D899DF" w14:textId="77777777" w:rsidTr="00FD40B4">
        <w:tc>
          <w:tcPr>
            <w:tcW w:w="1165" w:type="dxa"/>
          </w:tcPr>
          <w:p w14:paraId="187C72A4" w14:textId="6B239EEC" w:rsidR="00A905A3" w:rsidRPr="006B039D" w:rsidRDefault="00870508" w:rsidP="00FC292A">
            <w:pPr>
              <w:spacing w:line="276" w:lineRule="auto"/>
              <w:rPr>
                <w:rFonts w:ascii="Times New Roman" w:hAnsi="Times New Roman" w:cs="Times New Roman"/>
                <w:b/>
              </w:rPr>
            </w:pPr>
            <w:r>
              <w:rPr>
                <w:rFonts w:ascii="Times New Roman" w:hAnsi="Times New Roman" w:cs="Times New Roman"/>
                <w:b/>
              </w:rPr>
              <w:lastRenderedPageBreak/>
              <w:t>323/2 BC</w:t>
            </w:r>
            <w:r>
              <w:rPr>
                <w:rStyle w:val="FootnoteReference"/>
                <w:rFonts w:ascii="Times New Roman" w:hAnsi="Times New Roman" w:cs="Times New Roman"/>
                <w:b/>
              </w:rPr>
              <w:footnoteReference w:id="52"/>
            </w:r>
          </w:p>
        </w:tc>
        <w:tc>
          <w:tcPr>
            <w:tcW w:w="2340" w:type="dxa"/>
          </w:tcPr>
          <w:p w14:paraId="7946B46C" w14:textId="1A74B947" w:rsidR="00A905A3"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Lamian War</w:t>
            </w:r>
          </w:p>
        </w:tc>
        <w:tc>
          <w:tcPr>
            <w:tcW w:w="5040" w:type="dxa"/>
          </w:tcPr>
          <w:p w14:paraId="288491F1" w14:textId="30BE9B8F" w:rsidR="00A905A3" w:rsidRPr="006B039D" w:rsidRDefault="00617A73" w:rsidP="00FC292A">
            <w:pPr>
              <w:spacing w:line="276" w:lineRule="auto"/>
              <w:rPr>
                <w:rFonts w:ascii="Times New Roman" w:hAnsi="Times New Roman" w:cs="Times New Roman"/>
                <w:b/>
              </w:rPr>
            </w:pPr>
            <w:r>
              <w:rPr>
                <w:rFonts w:ascii="Times New Roman" w:hAnsi="Times New Roman" w:cs="Times New Roman"/>
                <w:b/>
              </w:rPr>
              <w:t>Ashton talks about the Lamian War, and how the name has ‘universal currency, identifying the overall conflict through reference to the siege of Lamia in the winter of 323/2’</w:t>
            </w:r>
            <w:r>
              <w:rPr>
                <w:rStyle w:val="FootnoteReference"/>
                <w:rFonts w:ascii="Times New Roman" w:hAnsi="Times New Roman" w:cs="Times New Roman"/>
                <w:b/>
              </w:rPr>
              <w:footnoteReference w:id="53"/>
            </w:r>
            <w:r>
              <w:rPr>
                <w:rFonts w:ascii="Times New Roman" w:hAnsi="Times New Roman" w:cs="Times New Roman"/>
                <w:b/>
              </w:rPr>
              <w:t>.</w:t>
            </w:r>
          </w:p>
        </w:tc>
        <w:tc>
          <w:tcPr>
            <w:tcW w:w="5400" w:type="dxa"/>
          </w:tcPr>
          <w:p w14:paraId="00DF8406" w14:textId="68ECE1D4" w:rsidR="00A905A3" w:rsidRPr="006B039D" w:rsidRDefault="00B75D3A" w:rsidP="00FC292A">
            <w:pPr>
              <w:spacing w:line="276" w:lineRule="auto"/>
              <w:rPr>
                <w:rFonts w:ascii="Times New Roman" w:hAnsi="Times New Roman" w:cs="Times New Roman"/>
                <w:b/>
              </w:rPr>
            </w:pPr>
            <w:r>
              <w:rPr>
                <w:rFonts w:ascii="Times New Roman" w:hAnsi="Times New Roman" w:cs="Times New Roman"/>
                <w:b/>
              </w:rPr>
              <w:t>Pausanias</w:t>
            </w:r>
            <w:r w:rsidR="00694ED0">
              <w:rPr>
                <w:rFonts w:ascii="Times New Roman" w:hAnsi="Times New Roman" w:cs="Times New Roman"/>
                <w:b/>
              </w:rPr>
              <w:t xml:space="preserve"> </w:t>
            </w:r>
            <w:r w:rsidR="00FA321D">
              <w:rPr>
                <w:rFonts w:ascii="Times New Roman" w:hAnsi="Times New Roman" w:cs="Times New Roman"/>
                <w:b/>
              </w:rPr>
              <w:t xml:space="preserve">comments that Athens was now under Macedonian control, </w:t>
            </w:r>
            <w:r w:rsidR="00144B50">
              <w:rPr>
                <w:rFonts w:ascii="Times New Roman" w:hAnsi="Times New Roman" w:cs="Times New Roman"/>
                <w:b/>
              </w:rPr>
              <w:t>and Alexander chose to treat them well. His death supposedly caused the ‘Greek defeat’; afterwards a ‘Macedonian garrison was placed in Athens, occupying Munychia and later Piraeus and the Long Walls as well’</w:t>
            </w:r>
            <w:r w:rsidR="00144B50">
              <w:rPr>
                <w:rStyle w:val="FootnoteReference"/>
                <w:rFonts w:ascii="Times New Roman" w:hAnsi="Times New Roman" w:cs="Times New Roman"/>
                <w:b/>
              </w:rPr>
              <w:footnoteReference w:id="54"/>
            </w:r>
            <w:r w:rsidR="00144B50">
              <w:rPr>
                <w:rFonts w:ascii="Times New Roman" w:hAnsi="Times New Roman" w:cs="Times New Roman"/>
                <w:b/>
              </w:rPr>
              <w:t>.</w:t>
            </w:r>
          </w:p>
        </w:tc>
      </w:tr>
      <w:tr w:rsidR="00A905A3" w:rsidRPr="006B039D" w14:paraId="30BDF4F4" w14:textId="77777777" w:rsidTr="00FD40B4">
        <w:tc>
          <w:tcPr>
            <w:tcW w:w="1165" w:type="dxa"/>
          </w:tcPr>
          <w:p w14:paraId="166D2A60" w14:textId="6DAF31D2" w:rsidR="00A905A3" w:rsidRPr="006B039D" w:rsidRDefault="003111D2" w:rsidP="00FC292A">
            <w:pPr>
              <w:spacing w:line="276" w:lineRule="auto"/>
              <w:rPr>
                <w:rFonts w:ascii="Times New Roman" w:hAnsi="Times New Roman" w:cs="Times New Roman"/>
                <w:b/>
              </w:rPr>
            </w:pPr>
            <w:r>
              <w:rPr>
                <w:rFonts w:ascii="Times New Roman" w:hAnsi="Times New Roman" w:cs="Times New Roman"/>
                <w:b/>
              </w:rPr>
              <w:t>321 BC</w:t>
            </w:r>
            <w:r>
              <w:rPr>
                <w:rStyle w:val="FootnoteReference"/>
                <w:rFonts w:ascii="Times New Roman" w:hAnsi="Times New Roman" w:cs="Times New Roman"/>
                <w:b/>
              </w:rPr>
              <w:footnoteReference w:id="55"/>
            </w:r>
          </w:p>
        </w:tc>
        <w:tc>
          <w:tcPr>
            <w:tcW w:w="2340" w:type="dxa"/>
          </w:tcPr>
          <w:p w14:paraId="74FF6A08" w14:textId="2D207D25" w:rsidR="00A905A3"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Perdiccas’ Invasion of Egypt</w:t>
            </w:r>
          </w:p>
        </w:tc>
        <w:tc>
          <w:tcPr>
            <w:tcW w:w="5040" w:type="dxa"/>
          </w:tcPr>
          <w:p w14:paraId="0593A7DA" w14:textId="7D1E8B1D" w:rsidR="00A905A3" w:rsidRPr="006B039D" w:rsidRDefault="00FF4657" w:rsidP="00FC292A">
            <w:pPr>
              <w:spacing w:line="276" w:lineRule="auto"/>
              <w:rPr>
                <w:rFonts w:ascii="Times New Roman" w:hAnsi="Times New Roman" w:cs="Times New Roman"/>
                <w:b/>
              </w:rPr>
            </w:pPr>
            <w:r>
              <w:rPr>
                <w:rFonts w:ascii="Times New Roman" w:hAnsi="Times New Roman" w:cs="Times New Roman"/>
                <w:b/>
              </w:rPr>
              <w:t>Perdiccas sent Alexander’s remains to Aegae, where there was a tomb prepared for the previous king to be buried. However, when it arrived in Damascus, Ptolemy told the leader of the delivery that Alexander wanted to be buried at Ammon’s shrine in Egypt. When Perdiccas found this out, he invaded Egypt</w:t>
            </w:r>
            <w:r>
              <w:rPr>
                <w:rStyle w:val="FootnoteReference"/>
                <w:rFonts w:ascii="Times New Roman" w:hAnsi="Times New Roman" w:cs="Times New Roman"/>
                <w:b/>
              </w:rPr>
              <w:footnoteReference w:id="56"/>
            </w:r>
            <w:r>
              <w:rPr>
                <w:rFonts w:ascii="Times New Roman" w:hAnsi="Times New Roman" w:cs="Times New Roman"/>
                <w:b/>
              </w:rPr>
              <w:t>.</w:t>
            </w:r>
          </w:p>
        </w:tc>
        <w:tc>
          <w:tcPr>
            <w:tcW w:w="5400" w:type="dxa"/>
          </w:tcPr>
          <w:p w14:paraId="0C9AFBE3" w14:textId="492B3004" w:rsidR="00A905A3" w:rsidRPr="006B039D" w:rsidRDefault="00171E9F" w:rsidP="00FC292A">
            <w:pPr>
              <w:spacing w:line="276" w:lineRule="auto"/>
              <w:rPr>
                <w:rFonts w:ascii="Times New Roman" w:hAnsi="Times New Roman" w:cs="Times New Roman"/>
                <w:b/>
              </w:rPr>
            </w:pPr>
            <w:r>
              <w:rPr>
                <w:rFonts w:ascii="Times New Roman" w:hAnsi="Times New Roman" w:cs="Times New Roman"/>
                <w:b/>
              </w:rPr>
              <w:t xml:space="preserve">Justin also summarises Perdiccas hearing that Alexander’s remains </w:t>
            </w:r>
            <w:r w:rsidR="0047584E">
              <w:rPr>
                <w:rFonts w:ascii="Times New Roman" w:hAnsi="Times New Roman" w:cs="Times New Roman"/>
                <w:b/>
              </w:rPr>
              <w:t>were to be buried in Egypt, but describes Perdiccas’ life as ‘</w:t>
            </w:r>
            <w:r w:rsidR="008D51CA">
              <w:rPr>
                <w:rFonts w:ascii="Times New Roman" w:hAnsi="Times New Roman" w:cs="Times New Roman"/>
                <w:b/>
              </w:rPr>
              <w:t>distinguished</w:t>
            </w:r>
            <w:r w:rsidR="0047584E">
              <w:rPr>
                <w:rFonts w:ascii="Times New Roman" w:hAnsi="Times New Roman" w:cs="Times New Roman"/>
                <w:b/>
              </w:rPr>
              <w:t>, and the circumstances of whose death, as if ordered by an oracle, were worthy of record’</w:t>
            </w:r>
            <w:r w:rsidR="008D5612">
              <w:rPr>
                <w:rStyle w:val="FootnoteReference"/>
                <w:rFonts w:ascii="Times New Roman" w:hAnsi="Times New Roman" w:cs="Times New Roman"/>
                <w:b/>
              </w:rPr>
              <w:footnoteReference w:id="57"/>
            </w:r>
            <w:r w:rsidR="0047584E">
              <w:rPr>
                <w:rFonts w:ascii="Times New Roman" w:hAnsi="Times New Roman" w:cs="Times New Roman"/>
                <w:b/>
              </w:rPr>
              <w:t>.</w:t>
            </w:r>
          </w:p>
        </w:tc>
      </w:tr>
      <w:tr w:rsidR="00A905A3" w:rsidRPr="006B039D" w14:paraId="0DB541D5" w14:textId="77777777" w:rsidTr="00FD40B4">
        <w:tc>
          <w:tcPr>
            <w:tcW w:w="1165" w:type="dxa"/>
          </w:tcPr>
          <w:p w14:paraId="01B715EC" w14:textId="55B3F095" w:rsidR="00A905A3" w:rsidRPr="006B039D" w:rsidRDefault="001447B7" w:rsidP="00FC292A">
            <w:pPr>
              <w:spacing w:line="276" w:lineRule="auto"/>
              <w:rPr>
                <w:rFonts w:ascii="Times New Roman" w:hAnsi="Times New Roman" w:cs="Times New Roman"/>
                <w:b/>
              </w:rPr>
            </w:pPr>
            <w:r>
              <w:rPr>
                <w:rFonts w:ascii="Times New Roman" w:hAnsi="Times New Roman" w:cs="Times New Roman"/>
                <w:b/>
              </w:rPr>
              <w:lastRenderedPageBreak/>
              <w:t>315 BC</w:t>
            </w:r>
            <w:r>
              <w:rPr>
                <w:rStyle w:val="FootnoteReference"/>
                <w:rFonts w:ascii="Times New Roman" w:hAnsi="Times New Roman" w:cs="Times New Roman"/>
                <w:b/>
              </w:rPr>
              <w:footnoteReference w:id="58"/>
            </w:r>
          </w:p>
        </w:tc>
        <w:tc>
          <w:tcPr>
            <w:tcW w:w="2340" w:type="dxa"/>
          </w:tcPr>
          <w:p w14:paraId="67D0BF18" w14:textId="20ABDFD2" w:rsidR="00A905A3"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Death of Eumenes</w:t>
            </w:r>
          </w:p>
        </w:tc>
        <w:tc>
          <w:tcPr>
            <w:tcW w:w="5040" w:type="dxa"/>
          </w:tcPr>
          <w:p w14:paraId="4E3FFD0C" w14:textId="2B27FD64" w:rsidR="00A905A3" w:rsidRPr="006B039D" w:rsidRDefault="001447B7" w:rsidP="00FC292A">
            <w:pPr>
              <w:spacing w:line="276" w:lineRule="auto"/>
              <w:rPr>
                <w:rFonts w:ascii="Times New Roman" w:hAnsi="Times New Roman" w:cs="Times New Roman"/>
                <w:b/>
              </w:rPr>
            </w:pPr>
            <w:r>
              <w:rPr>
                <w:rFonts w:ascii="Times New Roman" w:hAnsi="Times New Roman" w:cs="Times New Roman"/>
                <w:b/>
              </w:rPr>
              <w:t>Eumenes became secretary of Philip II of Macedonia in 341 BC, until his assassination in 336 when he became the secretary to Alexander the Great. In 318, Eumenes and Polyperchon were against Antigonus and Cassander (son of Antipater) with the Second Diadoch War, which lead to Antigonus defeating Eumenes through the latter’s</w:t>
            </w:r>
            <w:r w:rsidR="007B6AD8">
              <w:rPr>
                <w:rFonts w:ascii="Times New Roman" w:hAnsi="Times New Roman" w:cs="Times New Roman"/>
                <w:b/>
              </w:rPr>
              <w:t xml:space="preserve"> soldiers handing him over. Anti</w:t>
            </w:r>
            <w:r>
              <w:rPr>
                <w:rFonts w:ascii="Times New Roman" w:hAnsi="Times New Roman" w:cs="Times New Roman"/>
                <w:b/>
              </w:rPr>
              <w:t>gonus orders Eumenes’ execution in 315</w:t>
            </w:r>
            <w:r>
              <w:rPr>
                <w:rStyle w:val="FootnoteReference"/>
                <w:rFonts w:ascii="Times New Roman" w:hAnsi="Times New Roman" w:cs="Times New Roman"/>
                <w:b/>
              </w:rPr>
              <w:footnoteReference w:id="59"/>
            </w:r>
            <w:r>
              <w:rPr>
                <w:rFonts w:ascii="Times New Roman" w:hAnsi="Times New Roman" w:cs="Times New Roman"/>
                <w:b/>
              </w:rPr>
              <w:t>.</w:t>
            </w:r>
          </w:p>
        </w:tc>
        <w:tc>
          <w:tcPr>
            <w:tcW w:w="5400" w:type="dxa"/>
          </w:tcPr>
          <w:p w14:paraId="07DB9379" w14:textId="6595D64A" w:rsidR="00A905A3" w:rsidRPr="006B039D" w:rsidRDefault="002819F5" w:rsidP="004A23F3">
            <w:pPr>
              <w:spacing w:line="276" w:lineRule="auto"/>
              <w:rPr>
                <w:rFonts w:ascii="Times New Roman" w:hAnsi="Times New Roman" w:cs="Times New Roman"/>
                <w:b/>
              </w:rPr>
            </w:pPr>
            <w:r>
              <w:rPr>
                <w:rFonts w:ascii="Times New Roman" w:hAnsi="Times New Roman" w:cs="Times New Roman"/>
                <w:b/>
              </w:rPr>
              <w:t>Eumenes left the empire to Attalus, after he fought on the Romans’ side against Antiochus</w:t>
            </w:r>
            <w:r w:rsidR="00AE2D09">
              <w:rPr>
                <w:rStyle w:val="FootnoteReference"/>
                <w:rFonts w:ascii="Times New Roman" w:hAnsi="Times New Roman" w:cs="Times New Roman"/>
                <w:b/>
              </w:rPr>
              <w:footnoteReference w:id="60"/>
            </w:r>
            <w:r>
              <w:rPr>
                <w:rFonts w:ascii="Times New Roman" w:hAnsi="Times New Roman" w:cs="Times New Roman"/>
                <w:b/>
              </w:rPr>
              <w:t>.</w:t>
            </w:r>
          </w:p>
        </w:tc>
      </w:tr>
      <w:tr w:rsidR="00DD336D" w:rsidRPr="006B039D" w14:paraId="26D5EB3B" w14:textId="77777777" w:rsidTr="00FD40B4">
        <w:tc>
          <w:tcPr>
            <w:tcW w:w="1165" w:type="dxa"/>
          </w:tcPr>
          <w:p w14:paraId="6C9C8BBA" w14:textId="33839613" w:rsidR="00DD336D" w:rsidRPr="006B039D" w:rsidRDefault="00256429" w:rsidP="00FC292A">
            <w:pPr>
              <w:spacing w:line="276" w:lineRule="auto"/>
              <w:rPr>
                <w:rFonts w:ascii="Times New Roman" w:hAnsi="Times New Roman" w:cs="Times New Roman"/>
                <w:b/>
              </w:rPr>
            </w:pPr>
            <w:r>
              <w:rPr>
                <w:rFonts w:ascii="Times New Roman" w:hAnsi="Times New Roman" w:cs="Times New Roman"/>
                <w:b/>
              </w:rPr>
              <w:t>319 BC</w:t>
            </w:r>
            <w:r w:rsidR="005517FE">
              <w:rPr>
                <w:rStyle w:val="FootnoteReference"/>
                <w:rFonts w:ascii="Times New Roman" w:hAnsi="Times New Roman" w:cs="Times New Roman"/>
                <w:b/>
              </w:rPr>
              <w:footnoteReference w:id="61"/>
            </w:r>
          </w:p>
        </w:tc>
        <w:tc>
          <w:tcPr>
            <w:tcW w:w="2340" w:type="dxa"/>
          </w:tcPr>
          <w:p w14:paraId="4CA94599" w14:textId="12F7C379"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Death of Antipater</w:t>
            </w:r>
          </w:p>
        </w:tc>
        <w:tc>
          <w:tcPr>
            <w:tcW w:w="5040" w:type="dxa"/>
          </w:tcPr>
          <w:p w14:paraId="14DFCF22" w14:textId="70A4F4DC" w:rsidR="00DD336D" w:rsidRPr="006B039D" w:rsidRDefault="00DC22A6" w:rsidP="00FC292A">
            <w:pPr>
              <w:spacing w:line="276" w:lineRule="auto"/>
              <w:rPr>
                <w:rFonts w:ascii="Times New Roman" w:hAnsi="Times New Roman" w:cs="Times New Roman"/>
                <w:b/>
              </w:rPr>
            </w:pPr>
            <w:r>
              <w:rPr>
                <w:rFonts w:ascii="Times New Roman" w:hAnsi="Times New Roman" w:cs="Times New Roman"/>
                <w:b/>
              </w:rPr>
              <w:t>The year before his death, Antipater split up the mpire, with Ptolmey in control of Egypt, Antigonus being supreme commander of the Macedonian forces in Asia, and himself being the ‘sole ruler of Macedonia proper’, but his death only brought large changes</w:t>
            </w:r>
            <w:r>
              <w:rPr>
                <w:rStyle w:val="FootnoteReference"/>
                <w:rFonts w:ascii="Times New Roman" w:hAnsi="Times New Roman" w:cs="Times New Roman"/>
                <w:b/>
              </w:rPr>
              <w:footnoteReference w:id="62"/>
            </w:r>
            <w:r>
              <w:rPr>
                <w:rFonts w:ascii="Times New Roman" w:hAnsi="Times New Roman" w:cs="Times New Roman"/>
                <w:b/>
              </w:rPr>
              <w:t>.</w:t>
            </w:r>
          </w:p>
        </w:tc>
        <w:tc>
          <w:tcPr>
            <w:tcW w:w="5400" w:type="dxa"/>
          </w:tcPr>
          <w:p w14:paraId="691A08F1" w14:textId="27D595F2" w:rsidR="00DD336D" w:rsidRPr="006B039D" w:rsidRDefault="00522129" w:rsidP="00FC292A">
            <w:pPr>
              <w:spacing w:line="276" w:lineRule="auto"/>
              <w:rPr>
                <w:rFonts w:ascii="Times New Roman" w:hAnsi="Times New Roman" w:cs="Times New Roman"/>
                <w:b/>
              </w:rPr>
            </w:pPr>
            <w:r>
              <w:rPr>
                <w:rFonts w:ascii="Times New Roman" w:hAnsi="Times New Roman" w:cs="Times New Roman"/>
                <w:b/>
              </w:rPr>
              <w:t>Diodorus records that Antipater made Polyperchon ‘guardian of the kings and general with full powers’, as he was highly respected amongst the Macedonians after being the oldest member of Alexander’s expeditions, and his son, Cassander was appointed as ‘chiliarch and second in authority’</w:t>
            </w:r>
            <w:r>
              <w:rPr>
                <w:rStyle w:val="FootnoteReference"/>
                <w:rFonts w:ascii="Times New Roman" w:hAnsi="Times New Roman" w:cs="Times New Roman"/>
                <w:b/>
              </w:rPr>
              <w:footnoteReference w:id="63"/>
            </w:r>
            <w:r>
              <w:rPr>
                <w:rFonts w:ascii="Times New Roman" w:hAnsi="Times New Roman" w:cs="Times New Roman"/>
                <w:b/>
              </w:rPr>
              <w:t>.</w:t>
            </w:r>
          </w:p>
        </w:tc>
      </w:tr>
      <w:tr w:rsidR="00DD336D" w:rsidRPr="006B039D" w14:paraId="29850BFA" w14:textId="77777777" w:rsidTr="00FD40B4">
        <w:tc>
          <w:tcPr>
            <w:tcW w:w="1165" w:type="dxa"/>
          </w:tcPr>
          <w:p w14:paraId="38C4E9B1" w14:textId="6C63F2AD" w:rsidR="00DD336D" w:rsidRPr="006B039D" w:rsidRDefault="0031340C" w:rsidP="00FC292A">
            <w:pPr>
              <w:spacing w:line="276" w:lineRule="auto"/>
              <w:rPr>
                <w:rFonts w:ascii="Times New Roman" w:hAnsi="Times New Roman" w:cs="Times New Roman"/>
                <w:b/>
              </w:rPr>
            </w:pPr>
            <w:r>
              <w:rPr>
                <w:rFonts w:ascii="Times New Roman" w:hAnsi="Times New Roman" w:cs="Times New Roman"/>
                <w:b/>
              </w:rPr>
              <w:t>310 BC</w:t>
            </w:r>
            <w:r>
              <w:rPr>
                <w:rStyle w:val="FootnoteReference"/>
                <w:rFonts w:ascii="Times New Roman" w:hAnsi="Times New Roman" w:cs="Times New Roman"/>
                <w:b/>
              </w:rPr>
              <w:footnoteReference w:id="64"/>
            </w:r>
          </w:p>
        </w:tc>
        <w:tc>
          <w:tcPr>
            <w:tcW w:w="2340" w:type="dxa"/>
          </w:tcPr>
          <w:p w14:paraId="754601B1" w14:textId="01255885"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Death of Rhoxane and Alexander IV</w:t>
            </w:r>
          </w:p>
        </w:tc>
        <w:tc>
          <w:tcPr>
            <w:tcW w:w="5040" w:type="dxa"/>
          </w:tcPr>
          <w:p w14:paraId="19BBCDB4" w14:textId="461DE8CD" w:rsidR="00DD336D" w:rsidRPr="006B039D" w:rsidRDefault="0031340C" w:rsidP="00FC292A">
            <w:pPr>
              <w:spacing w:line="276" w:lineRule="auto"/>
              <w:rPr>
                <w:rFonts w:ascii="Times New Roman" w:hAnsi="Times New Roman" w:cs="Times New Roman"/>
                <w:b/>
              </w:rPr>
            </w:pPr>
            <w:r>
              <w:rPr>
                <w:rFonts w:ascii="Times New Roman" w:hAnsi="Times New Roman" w:cs="Times New Roman"/>
                <w:b/>
              </w:rPr>
              <w:t xml:space="preserve">Alexander IV was son of Alexander the Great, who ruled with great influence from his regent, Perdiccas. In order to come to an end </w:t>
            </w:r>
            <w:r>
              <w:rPr>
                <w:rFonts w:ascii="Times New Roman" w:hAnsi="Times New Roman" w:cs="Times New Roman"/>
                <w:b/>
              </w:rPr>
              <w:lastRenderedPageBreak/>
              <w:t xml:space="preserve">for the Third Diadoch War in 314, ‘Antigonus and his rivals concluded a peace treaty’. They were to rule for Alexander until he would come of age to take over the throne. However, Rhoxane and Alexander, </w:t>
            </w:r>
            <w:r w:rsidR="00980505">
              <w:rPr>
                <w:rFonts w:ascii="Times New Roman" w:hAnsi="Times New Roman" w:cs="Times New Roman"/>
                <w:b/>
              </w:rPr>
              <w:t xml:space="preserve">son of Rhoxane, </w:t>
            </w:r>
            <w:r>
              <w:rPr>
                <w:rFonts w:ascii="Times New Roman" w:hAnsi="Times New Roman" w:cs="Times New Roman"/>
                <w:b/>
              </w:rPr>
              <w:t>who was just twelve years of age, died, as Cassander ‘nor his enemies could allow the boy to live’</w:t>
            </w:r>
            <w:r>
              <w:rPr>
                <w:rStyle w:val="FootnoteReference"/>
                <w:rFonts w:ascii="Times New Roman" w:hAnsi="Times New Roman" w:cs="Times New Roman"/>
                <w:b/>
              </w:rPr>
              <w:footnoteReference w:id="65"/>
            </w:r>
            <w:r>
              <w:rPr>
                <w:rFonts w:ascii="Times New Roman" w:hAnsi="Times New Roman" w:cs="Times New Roman"/>
                <w:b/>
              </w:rPr>
              <w:t>.</w:t>
            </w:r>
          </w:p>
        </w:tc>
        <w:tc>
          <w:tcPr>
            <w:tcW w:w="5400" w:type="dxa"/>
          </w:tcPr>
          <w:p w14:paraId="54CF232B" w14:textId="6A3C1C06" w:rsidR="00DD336D" w:rsidRPr="006B039D" w:rsidRDefault="00942041" w:rsidP="00FC292A">
            <w:pPr>
              <w:spacing w:line="276" w:lineRule="auto"/>
              <w:rPr>
                <w:rFonts w:ascii="Times New Roman" w:hAnsi="Times New Roman" w:cs="Times New Roman"/>
                <w:b/>
              </w:rPr>
            </w:pPr>
            <w:r>
              <w:rPr>
                <w:rFonts w:ascii="Times New Roman" w:hAnsi="Times New Roman" w:cs="Times New Roman"/>
                <w:b/>
              </w:rPr>
              <w:lastRenderedPageBreak/>
              <w:t>Diodorus comments of Cassander’</w:t>
            </w:r>
            <w:r w:rsidR="001A52D5">
              <w:rPr>
                <w:rFonts w:ascii="Times New Roman" w:hAnsi="Times New Roman" w:cs="Times New Roman"/>
                <w:b/>
              </w:rPr>
              <w:t xml:space="preserve">s decision, in which he ‘instructed Glaucias, who was in command of the guard over the child, to murder </w:t>
            </w:r>
            <w:r w:rsidR="001A52D5">
              <w:rPr>
                <w:rFonts w:ascii="Times New Roman" w:hAnsi="Times New Roman" w:cs="Times New Roman"/>
                <w:b/>
              </w:rPr>
              <w:lastRenderedPageBreak/>
              <w:t>Rhoxane and the king and conceal their bodies, but to disclose to no one else what had been done’</w:t>
            </w:r>
            <w:r w:rsidR="001A52D5">
              <w:rPr>
                <w:rStyle w:val="FootnoteReference"/>
                <w:rFonts w:ascii="Times New Roman" w:hAnsi="Times New Roman" w:cs="Times New Roman"/>
                <w:b/>
              </w:rPr>
              <w:footnoteReference w:id="66"/>
            </w:r>
            <w:r w:rsidR="001A52D5">
              <w:rPr>
                <w:rFonts w:ascii="Times New Roman" w:hAnsi="Times New Roman" w:cs="Times New Roman"/>
                <w:b/>
              </w:rPr>
              <w:t>.</w:t>
            </w:r>
          </w:p>
        </w:tc>
      </w:tr>
      <w:tr w:rsidR="00DD336D" w:rsidRPr="006B039D" w14:paraId="4021EBFB" w14:textId="77777777" w:rsidTr="00FD40B4">
        <w:tc>
          <w:tcPr>
            <w:tcW w:w="1165" w:type="dxa"/>
          </w:tcPr>
          <w:p w14:paraId="083FF53D" w14:textId="61F12105" w:rsidR="00DD336D" w:rsidRPr="006B039D" w:rsidRDefault="009F6F9B" w:rsidP="00FC292A">
            <w:pPr>
              <w:spacing w:line="276" w:lineRule="auto"/>
              <w:rPr>
                <w:rFonts w:ascii="Times New Roman" w:hAnsi="Times New Roman" w:cs="Times New Roman"/>
                <w:b/>
              </w:rPr>
            </w:pPr>
            <w:r>
              <w:rPr>
                <w:rFonts w:ascii="Times New Roman" w:hAnsi="Times New Roman" w:cs="Times New Roman"/>
                <w:b/>
              </w:rPr>
              <w:lastRenderedPageBreak/>
              <w:t>312 BC</w:t>
            </w:r>
            <w:r>
              <w:rPr>
                <w:rStyle w:val="FootnoteReference"/>
                <w:rFonts w:ascii="Times New Roman" w:hAnsi="Times New Roman" w:cs="Times New Roman"/>
                <w:b/>
              </w:rPr>
              <w:footnoteReference w:id="67"/>
            </w:r>
          </w:p>
        </w:tc>
        <w:tc>
          <w:tcPr>
            <w:tcW w:w="2340" w:type="dxa"/>
          </w:tcPr>
          <w:p w14:paraId="18AFE36E" w14:textId="5461A2AB"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Battle of Gaza</w:t>
            </w:r>
          </w:p>
        </w:tc>
        <w:tc>
          <w:tcPr>
            <w:tcW w:w="5040" w:type="dxa"/>
          </w:tcPr>
          <w:p w14:paraId="2EB4A444" w14:textId="5B35E4E3" w:rsidR="00DD336D" w:rsidRPr="006B039D" w:rsidRDefault="009F6F9B" w:rsidP="00FC292A">
            <w:pPr>
              <w:spacing w:line="276" w:lineRule="auto"/>
              <w:rPr>
                <w:rFonts w:ascii="Times New Roman" w:hAnsi="Times New Roman" w:cs="Times New Roman"/>
                <w:b/>
              </w:rPr>
            </w:pPr>
            <w:r>
              <w:rPr>
                <w:rFonts w:ascii="Times New Roman" w:hAnsi="Times New Roman" w:cs="Times New Roman"/>
                <w:b/>
              </w:rPr>
              <w:t>Devine summarises Diodorus’ account of the Battle of Gaza</w:t>
            </w:r>
            <w:r w:rsidR="005B515B">
              <w:rPr>
                <w:rFonts w:ascii="Times New Roman" w:hAnsi="Times New Roman" w:cs="Times New Roman"/>
                <w:b/>
              </w:rPr>
              <w:t>, saying it was ‘small and relatively easy to control’. Devine also comes to the conclusion that ‘Ptolemy emerges as a worthy student of Alexander the Great’</w:t>
            </w:r>
            <w:r w:rsidR="009C1D47">
              <w:rPr>
                <w:rStyle w:val="FootnoteReference"/>
                <w:rFonts w:ascii="Times New Roman" w:hAnsi="Times New Roman" w:cs="Times New Roman"/>
                <w:b/>
              </w:rPr>
              <w:footnoteReference w:id="68"/>
            </w:r>
            <w:r w:rsidR="005B515B">
              <w:rPr>
                <w:rFonts w:ascii="Times New Roman" w:hAnsi="Times New Roman" w:cs="Times New Roman"/>
                <w:b/>
              </w:rPr>
              <w:t>.</w:t>
            </w:r>
          </w:p>
        </w:tc>
        <w:tc>
          <w:tcPr>
            <w:tcW w:w="5400" w:type="dxa"/>
          </w:tcPr>
          <w:p w14:paraId="630E8C1C" w14:textId="4D57CFAA" w:rsidR="00DD336D" w:rsidRPr="006B039D" w:rsidRDefault="00435E27" w:rsidP="00FC292A">
            <w:pPr>
              <w:spacing w:line="276" w:lineRule="auto"/>
              <w:rPr>
                <w:rFonts w:ascii="Times New Roman" w:hAnsi="Times New Roman" w:cs="Times New Roman"/>
                <w:b/>
              </w:rPr>
            </w:pPr>
            <w:r>
              <w:rPr>
                <w:rFonts w:ascii="Times New Roman" w:hAnsi="Times New Roman" w:cs="Times New Roman"/>
                <w:b/>
              </w:rPr>
              <w:t>Diodorus talks about the Battle of Gaza</w:t>
            </w:r>
            <w:r w:rsidR="00B25B7A">
              <w:rPr>
                <w:rFonts w:ascii="Times New Roman" w:hAnsi="Times New Roman" w:cs="Times New Roman"/>
                <w:b/>
              </w:rPr>
              <w:t>, including how Demetrius had some of his transports ‘towed by the swifter ships’ as the weather was calm. However, a wind came and some of these were destroyed, leaving him with less supplies</w:t>
            </w:r>
            <w:r w:rsidR="00121F95">
              <w:rPr>
                <w:rStyle w:val="FootnoteReference"/>
                <w:rFonts w:ascii="Times New Roman" w:hAnsi="Times New Roman" w:cs="Times New Roman"/>
                <w:b/>
              </w:rPr>
              <w:footnoteReference w:id="69"/>
            </w:r>
            <w:r w:rsidR="00B25B7A">
              <w:rPr>
                <w:rFonts w:ascii="Times New Roman" w:hAnsi="Times New Roman" w:cs="Times New Roman"/>
                <w:b/>
              </w:rPr>
              <w:t>.</w:t>
            </w:r>
          </w:p>
        </w:tc>
      </w:tr>
      <w:tr w:rsidR="00DD336D" w:rsidRPr="006B039D" w14:paraId="287D1B85" w14:textId="77777777" w:rsidTr="00FD40B4">
        <w:tc>
          <w:tcPr>
            <w:tcW w:w="1165" w:type="dxa"/>
          </w:tcPr>
          <w:p w14:paraId="71E4A19A" w14:textId="1D399881" w:rsidR="00DD336D" w:rsidRPr="006B039D" w:rsidRDefault="00A35262" w:rsidP="00FC292A">
            <w:pPr>
              <w:spacing w:line="276" w:lineRule="auto"/>
              <w:rPr>
                <w:rFonts w:ascii="Times New Roman" w:hAnsi="Times New Roman" w:cs="Times New Roman"/>
                <w:b/>
              </w:rPr>
            </w:pPr>
            <w:r>
              <w:rPr>
                <w:rFonts w:ascii="Times New Roman" w:hAnsi="Times New Roman" w:cs="Times New Roman"/>
                <w:b/>
              </w:rPr>
              <w:t>306 BC</w:t>
            </w:r>
            <w:r>
              <w:rPr>
                <w:rStyle w:val="FootnoteReference"/>
                <w:rFonts w:ascii="Times New Roman" w:hAnsi="Times New Roman" w:cs="Times New Roman"/>
                <w:b/>
              </w:rPr>
              <w:footnoteReference w:id="70"/>
            </w:r>
          </w:p>
        </w:tc>
        <w:tc>
          <w:tcPr>
            <w:tcW w:w="2340" w:type="dxa"/>
          </w:tcPr>
          <w:p w14:paraId="6B188921" w14:textId="53ACA61B"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Antigonus and Demetrius declared kings</w:t>
            </w:r>
          </w:p>
        </w:tc>
        <w:tc>
          <w:tcPr>
            <w:tcW w:w="5040" w:type="dxa"/>
          </w:tcPr>
          <w:p w14:paraId="27519E51" w14:textId="22604F38" w:rsidR="00DD336D" w:rsidRPr="006B039D" w:rsidRDefault="00A35262" w:rsidP="00FC292A">
            <w:pPr>
              <w:spacing w:line="276" w:lineRule="auto"/>
              <w:rPr>
                <w:rFonts w:ascii="Times New Roman" w:hAnsi="Times New Roman" w:cs="Times New Roman"/>
                <w:b/>
              </w:rPr>
            </w:pPr>
            <w:r>
              <w:rPr>
                <w:rFonts w:ascii="Times New Roman" w:hAnsi="Times New Roman" w:cs="Times New Roman"/>
                <w:b/>
              </w:rPr>
              <w:t>In 306 BC, Demetrius, Antiognus’ son, wins against Ptolemy in the battle of Salamis, and due to this the two were able to accept the royal title.</w:t>
            </w:r>
          </w:p>
        </w:tc>
        <w:tc>
          <w:tcPr>
            <w:tcW w:w="5400" w:type="dxa"/>
          </w:tcPr>
          <w:p w14:paraId="01334F7D" w14:textId="52CE8FE9" w:rsidR="00DD336D" w:rsidRPr="006B039D" w:rsidRDefault="00A35262" w:rsidP="00FC292A">
            <w:pPr>
              <w:spacing w:line="276" w:lineRule="auto"/>
              <w:rPr>
                <w:rFonts w:ascii="Times New Roman" w:hAnsi="Times New Roman" w:cs="Times New Roman"/>
                <w:b/>
              </w:rPr>
            </w:pPr>
            <w:r>
              <w:rPr>
                <w:rFonts w:ascii="Times New Roman" w:hAnsi="Times New Roman" w:cs="Times New Roman"/>
                <w:b/>
              </w:rPr>
              <w:t>Demetrius was able to become king when Antigonus died in the Battle of Ipsus</w:t>
            </w:r>
            <w:r w:rsidR="00FA6F61">
              <w:rPr>
                <w:rStyle w:val="FootnoteReference"/>
                <w:rFonts w:ascii="Times New Roman" w:hAnsi="Times New Roman" w:cs="Times New Roman"/>
                <w:b/>
              </w:rPr>
              <w:footnoteReference w:id="71"/>
            </w:r>
            <w:r w:rsidR="00FA6F61">
              <w:rPr>
                <w:rFonts w:ascii="Times New Roman" w:hAnsi="Times New Roman" w:cs="Times New Roman"/>
                <w:b/>
              </w:rPr>
              <w:t>.</w:t>
            </w:r>
          </w:p>
        </w:tc>
      </w:tr>
      <w:tr w:rsidR="00DD336D" w:rsidRPr="006B039D" w14:paraId="45B893BA" w14:textId="77777777" w:rsidTr="00FD40B4">
        <w:tc>
          <w:tcPr>
            <w:tcW w:w="1165" w:type="dxa"/>
          </w:tcPr>
          <w:p w14:paraId="628BB349" w14:textId="4D7B48D6" w:rsidR="00DD336D" w:rsidRPr="006B039D" w:rsidRDefault="00767919" w:rsidP="00FC292A">
            <w:pPr>
              <w:spacing w:line="276" w:lineRule="auto"/>
              <w:rPr>
                <w:rFonts w:ascii="Times New Roman" w:hAnsi="Times New Roman" w:cs="Times New Roman"/>
                <w:b/>
              </w:rPr>
            </w:pPr>
            <w:r>
              <w:rPr>
                <w:rFonts w:ascii="Times New Roman" w:hAnsi="Times New Roman" w:cs="Times New Roman"/>
                <w:b/>
              </w:rPr>
              <w:t>301 BC</w:t>
            </w:r>
            <w:r>
              <w:rPr>
                <w:rStyle w:val="FootnoteReference"/>
                <w:rFonts w:ascii="Times New Roman" w:hAnsi="Times New Roman" w:cs="Times New Roman"/>
                <w:b/>
              </w:rPr>
              <w:footnoteReference w:id="72"/>
            </w:r>
          </w:p>
        </w:tc>
        <w:tc>
          <w:tcPr>
            <w:tcW w:w="2340" w:type="dxa"/>
          </w:tcPr>
          <w:p w14:paraId="2469F553" w14:textId="45038E90"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Battle of Ipsus</w:t>
            </w:r>
          </w:p>
        </w:tc>
        <w:tc>
          <w:tcPr>
            <w:tcW w:w="5040" w:type="dxa"/>
          </w:tcPr>
          <w:p w14:paraId="0FF54A05" w14:textId="72A8D019" w:rsidR="00DD336D" w:rsidRPr="006B039D" w:rsidRDefault="001A70D6" w:rsidP="00FC292A">
            <w:pPr>
              <w:spacing w:line="276" w:lineRule="auto"/>
              <w:rPr>
                <w:rFonts w:ascii="Times New Roman" w:hAnsi="Times New Roman" w:cs="Times New Roman"/>
                <w:b/>
              </w:rPr>
            </w:pPr>
            <w:r>
              <w:rPr>
                <w:rFonts w:ascii="Times New Roman" w:hAnsi="Times New Roman" w:cs="Times New Roman"/>
                <w:b/>
              </w:rPr>
              <w:t xml:space="preserve">The battle included Antigonus and his son Demetrius, fighting against Lysimachus, </w:t>
            </w:r>
            <w:r>
              <w:rPr>
                <w:rFonts w:ascii="Times New Roman" w:hAnsi="Times New Roman" w:cs="Times New Roman"/>
                <w:b/>
              </w:rPr>
              <w:lastRenderedPageBreak/>
              <w:t>Cassander and Seleucus. Lysimachus’ army was increased when Seleucus suddenly joined with his son, Antiochus, an army, and approximately 400 elephants. With these added, the armies were near enough equal in size</w:t>
            </w:r>
            <w:r>
              <w:rPr>
                <w:rStyle w:val="FootnoteReference"/>
                <w:rFonts w:ascii="Times New Roman" w:hAnsi="Times New Roman" w:cs="Times New Roman"/>
                <w:b/>
              </w:rPr>
              <w:footnoteReference w:id="73"/>
            </w:r>
            <w:r>
              <w:rPr>
                <w:rFonts w:ascii="Times New Roman" w:hAnsi="Times New Roman" w:cs="Times New Roman"/>
                <w:b/>
              </w:rPr>
              <w:t>.</w:t>
            </w:r>
          </w:p>
        </w:tc>
        <w:tc>
          <w:tcPr>
            <w:tcW w:w="5400" w:type="dxa"/>
          </w:tcPr>
          <w:p w14:paraId="502565A0" w14:textId="1A6DAF5A" w:rsidR="00DD336D" w:rsidRPr="006B039D" w:rsidRDefault="001A70D6" w:rsidP="00FC292A">
            <w:pPr>
              <w:spacing w:line="276" w:lineRule="auto"/>
              <w:rPr>
                <w:rFonts w:ascii="Times New Roman" w:hAnsi="Times New Roman" w:cs="Times New Roman"/>
                <w:b/>
              </w:rPr>
            </w:pPr>
            <w:r>
              <w:rPr>
                <w:rFonts w:ascii="Times New Roman" w:hAnsi="Times New Roman" w:cs="Times New Roman"/>
                <w:b/>
              </w:rPr>
              <w:lastRenderedPageBreak/>
              <w:t xml:space="preserve">Plutarch writes that Antigonus was killed ‘by a whole multitude of darts’ while waiting for his son </w:t>
            </w:r>
            <w:r>
              <w:rPr>
                <w:rFonts w:ascii="Times New Roman" w:hAnsi="Times New Roman" w:cs="Times New Roman"/>
                <w:b/>
              </w:rPr>
              <w:lastRenderedPageBreak/>
              <w:t>to come save him, however Demetrius was blocked by Seleucus’ army of elephants</w:t>
            </w:r>
            <w:r w:rsidR="000D3D6C">
              <w:rPr>
                <w:rStyle w:val="FootnoteReference"/>
                <w:rFonts w:ascii="Times New Roman" w:hAnsi="Times New Roman" w:cs="Times New Roman"/>
                <w:b/>
              </w:rPr>
              <w:footnoteReference w:id="74"/>
            </w:r>
            <w:r>
              <w:rPr>
                <w:rFonts w:ascii="Times New Roman" w:hAnsi="Times New Roman" w:cs="Times New Roman"/>
                <w:b/>
              </w:rPr>
              <w:t>.</w:t>
            </w:r>
          </w:p>
        </w:tc>
      </w:tr>
      <w:tr w:rsidR="00DD336D" w:rsidRPr="006B039D" w14:paraId="4F2B42F0" w14:textId="77777777" w:rsidTr="00FD40B4">
        <w:tc>
          <w:tcPr>
            <w:tcW w:w="1165" w:type="dxa"/>
          </w:tcPr>
          <w:p w14:paraId="3867EE3E" w14:textId="04BC9EC7" w:rsidR="00DD336D" w:rsidRPr="006B039D" w:rsidRDefault="0017390B" w:rsidP="00FC292A">
            <w:pPr>
              <w:spacing w:line="276" w:lineRule="auto"/>
              <w:rPr>
                <w:rFonts w:ascii="Times New Roman" w:hAnsi="Times New Roman" w:cs="Times New Roman"/>
                <w:b/>
              </w:rPr>
            </w:pPr>
            <w:r>
              <w:rPr>
                <w:rFonts w:ascii="Times New Roman" w:hAnsi="Times New Roman" w:cs="Times New Roman"/>
                <w:b/>
              </w:rPr>
              <w:lastRenderedPageBreak/>
              <w:t>281 BC</w:t>
            </w:r>
            <w:r>
              <w:rPr>
                <w:rStyle w:val="FootnoteReference"/>
                <w:rFonts w:ascii="Times New Roman" w:hAnsi="Times New Roman" w:cs="Times New Roman"/>
                <w:b/>
              </w:rPr>
              <w:footnoteReference w:id="75"/>
            </w:r>
          </w:p>
        </w:tc>
        <w:tc>
          <w:tcPr>
            <w:tcW w:w="2340" w:type="dxa"/>
          </w:tcPr>
          <w:p w14:paraId="062B92CC" w14:textId="2F94D70D"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Galatian Invasion</w:t>
            </w:r>
          </w:p>
        </w:tc>
        <w:tc>
          <w:tcPr>
            <w:tcW w:w="5040" w:type="dxa"/>
          </w:tcPr>
          <w:p w14:paraId="50AB6085" w14:textId="7B39E2BC" w:rsidR="00DD336D" w:rsidRPr="006B039D" w:rsidRDefault="003C4BFF" w:rsidP="00FC292A">
            <w:pPr>
              <w:spacing w:line="276" w:lineRule="auto"/>
              <w:rPr>
                <w:rFonts w:ascii="Times New Roman" w:hAnsi="Times New Roman" w:cs="Times New Roman"/>
                <w:b/>
              </w:rPr>
            </w:pPr>
            <w:r>
              <w:rPr>
                <w:rFonts w:ascii="Times New Roman" w:hAnsi="Times New Roman" w:cs="Times New Roman"/>
                <w:b/>
              </w:rPr>
              <w:t>There were many causes to the collapse of the kingdom, but the largest one was Lysimachus – the king’s – death</w:t>
            </w:r>
            <w:r>
              <w:rPr>
                <w:rStyle w:val="FootnoteReference"/>
                <w:rFonts w:ascii="Times New Roman" w:hAnsi="Times New Roman" w:cs="Times New Roman"/>
                <w:b/>
              </w:rPr>
              <w:footnoteReference w:id="76"/>
            </w:r>
            <w:r>
              <w:rPr>
                <w:rFonts w:ascii="Times New Roman" w:hAnsi="Times New Roman" w:cs="Times New Roman"/>
                <w:b/>
              </w:rPr>
              <w:t>.</w:t>
            </w:r>
          </w:p>
        </w:tc>
        <w:tc>
          <w:tcPr>
            <w:tcW w:w="5400" w:type="dxa"/>
          </w:tcPr>
          <w:p w14:paraId="59A2A1EF" w14:textId="21F636F2" w:rsidR="00DD336D" w:rsidRPr="006B039D" w:rsidRDefault="003C4BFF" w:rsidP="00FC292A">
            <w:pPr>
              <w:spacing w:line="276" w:lineRule="auto"/>
              <w:rPr>
                <w:rFonts w:ascii="Times New Roman" w:hAnsi="Times New Roman" w:cs="Times New Roman"/>
                <w:b/>
              </w:rPr>
            </w:pPr>
            <w:r>
              <w:rPr>
                <w:rFonts w:ascii="Times New Roman" w:hAnsi="Times New Roman" w:cs="Times New Roman"/>
                <w:b/>
              </w:rPr>
              <w:t>Pausanias talks about the Galatian Invasion</w:t>
            </w:r>
            <w:r w:rsidR="00A16D0F">
              <w:rPr>
                <w:rFonts w:ascii="Times New Roman" w:hAnsi="Times New Roman" w:cs="Times New Roman"/>
                <w:b/>
              </w:rPr>
              <w:t>, saying that when the Greek army was ready at Thermopylae, they found out the Gauls were in Magnesia and Phthiotis, so they decided to ‘send out their cavalry with a thousand light infantry to the Spercheius, and not to let the barbarians cross the river in security without a fight’</w:t>
            </w:r>
            <w:r w:rsidR="002347CF">
              <w:rPr>
                <w:rStyle w:val="FootnoteReference"/>
                <w:rFonts w:ascii="Times New Roman" w:hAnsi="Times New Roman" w:cs="Times New Roman"/>
                <w:b/>
              </w:rPr>
              <w:footnoteReference w:id="77"/>
            </w:r>
            <w:r w:rsidR="00A16D0F">
              <w:rPr>
                <w:rFonts w:ascii="Times New Roman" w:hAnsi="Times New Roman" w:cs="Times New Roman"/>
                <w:b/>
              </w:rPr>
              <w:t>.</w:t>
            </w:r>
          </w:p>
        </w:tc>
      </w:tr>
      <w:tr w:rsidR="00DD336D" w:rsidRPr="006B039D" w14:paraId="46B3371A" w14:textId="77777777" w:rsidTr="00FD40B4">
        <w:tc>
          <w:tcPr>
            <w:tcW w:w="1165" w:type="dxa"/>
          </w:tcPr>
          <w:p w14:paraId="6A63A768" w14:textId="4B71B0DE" w:rsidR="00DD336D" w:rsidRPr="006B039D" w:rsidRDefault="005E350D" w:rsidP="00FC292A">
            <w:pPr>
              <w:spacing w:line="276" w:lineRule="auto"/>
              <w:rPr>
                <w:rFonts w:ascii="Times New Roman" w:hAnsi="Times New Roman" w:cs="Times New Roman"/>
                <w:b/>
              </w:rPr>
            </w:pPr>
            <w:r>
              <w:rPr>
                <w:rFonts w:ascii="Times New Roman" w:hAnsi="Times New Roman" w:cs="Times New Roman"/>
                <w:b/>
              </w:rPr>
              <w:t>260-253 BC</w:t>
            </w:r>
            <w:r w:rsidR="00621481">
              <w:rPr>
                <w:rStyle w:val="FootnoteReference"/>
                <w:rFonts w:ascii="Times New Roman" w:hAnsi="Times New Roman" w:cs="Times New Roman"/>
                <w:b/>
              </w:rPr>
              <w:footnoteReference w:id="78"/>
            </w:r>
          </w:p>
        </w:tc>
        <w:tc>
          <w:tcPr>
            <w:tcW w:w="2340" w:type="dxa"/>
          </w:tcPr>
          <w:p w14:paraId="0C1A1FF2" w14:textId="46424EC6"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Second Syrian War</w:t>
            </w:r>
          </w:p>
        </w:tc>
        <w:tc>
          <w:tcPr>
            <w:tcW w:w="5040" w:type="dxa"/>
          </w:tcPr>
          <w:p w14:paraId="61482E40" w14:textId="480886CA" w:rsidR="00DD336D" w:rsidRPr="006B039D" w:rsidRDefault="00DB5301" w:rsidP="00FC292A">
            <w:pPr>
              <w:spacing w:line="276" w:lineRule="auto"/>
              <w:rPr>
                <w:rFonts w:ascii="Times New Roman" w:hAnsi="Times New Roman" w:cs="Times New Roman"/>
                <w:b/>
              </w:rPr>
            </w:pPr>
            <w:r>
              <w:rPr>
                <w:rFonts w:ascii="Times New Roman" w:hAnsi="Times New Roman" w:cs="Times New Roman"/>
                <w:b/>
              </w:rPr>
              <w:t>Antiochus II is named king in 260, and wants revenge for the First Syrian War, leading to the attack of Ptolemy II</w:t>
            </w:r>
            <w:r w:rsidR="007640D2">
              <w:rPr>
                <w:rFonts w:ascii="Times New Roman" w:hAnsi="Times New Roman" w:cs="Times New Roman"/>
                <w:b/>
              </w:rPr>
              <w:t xml:space="preserve">. Eventually in 253, </w:t>
            </w:r>
            <w:r w:rsidR="005A3612">
              <w:rPr>
                <w:rFonts w:ascii="Times New Roman" w:hAnsi="Times New Roman" w:cs="Times New Roman"/>
                <w:b/>
              </w:rPr>
              <w:t xml:space="preserve">there is peace with Antiochus II, who then marries Ptolemy’s daughter. Ptolemy further </w:t>
            </w:r>
            <w:r w:rsidR="005A3612">
              <w:rPr>
                <w:rFonts w:ascii="Times New Roman" w:hAnsi="Times New Roman" w:cs="Times New Roman"/>
                <w:b/>
              </w:rPr>
              <w:lastRenderedPageBreak/>
              <w:t>gains land in Cilicia, while the Seleucis have control on western Asia Minor</w:t>
            </w:r>
            <w:r w:rsidR="00621481">
              <w:rPr>
                <w:rStyle w:val="FootnoteReference"/>
                <w:rFonts w:ascii="Times New Roman" w:hAnsi="Times New Roman" w:cs="Times New Roman"/>
                <w:b/>
              </w:rPr>
              <w:footnoteReference w:id="79"/>
            </w:r>
            <w:r w:rsidR="005A3612">
              <w:rPr>
                <w:rFonts w:ascii="Times New Roman" w:hAnsi="Times New Roman" w:cs="Times New Roman"/>
                <w:b/>
              </w:rPr>
              <w:t>.</w:t>
            </w:r>
          </w:p>
        </w:tc>
        <w:tc>
          <w:tcPr>
            <w:tcW w:w="5400" w:type="dxa"/>
          </w:tcPr>
          <w:p w14:paraId="292334F4" w14:textId="6AB07249" w:rsidR="00DD336D" w:rsidRPr="006B039D" w:rsidRDefault="008F794A" w:rsidP="00FC292A">
            <w:pPr>
              <w:spacing w:line="276" w:lineRule="auto"/>
              <w:rPr>
                <w:rFonts w:ascii="Times New Roman" w:hAnsi="Times New Roman" w:cs="Times New Roman"/>
                <w:b/>
              </w:rPr>
            </w:pPr>
            <w:r>
              <w:rPr>
                <w:rFonts w:ascii="Times New Roman" w:hAnsi="Times New Roman" w:cs="Times New Roman"/>
                <w:b/>
              </w:rPr>
              <w:lastRenderedPageBreak/>
              <w:t xml:space="preserve">Appian’s </w:t>
            </w:r>
            <w:r w:rsidR="00C87595">
              <w:rPr>
                <w:rFonts w:ascii="Times New Roman" w:hAnsi="Times New Roman" w:cs="Times New Roman"/>
                <w:b/>
              </w:rPr>
              <w:t xml:space="preserve">The </w:t>
            </w:r>
            <w:r>
              <w:rPr>
                <w:rFonts w:ascii="Times New Roman" w:hAnsi="Times New Roman" w:cs="Times New Roman"/>
                <w:b/>
              </w:rPr>
              <w:t>Syrian Wars</w:t>
            </w:r>
            <w:r w:rsidR="00C87595">
              <w:rPr>
                <w:rFonts w:ascii="Times New Roman" w:hAnsi="Times New Roman" w:cs="Times New Roman"/>
                <w:b/>
              </w:rPr>
              <w:t xml:space="preserve"> contains information about Seleucus’ power: ‘Seleucus had seventy-two satraps under him, so extensive was the territory over which he ruled’</w:t>
            </w:r>
            <w:r w:rsidR="00C87595">
              <w:rPr>
                <w:rStyle w:val="FootnoteReference"/>
                <w:rFonts w:ascii="Times New Roman" w:hAnsi="Times New Roman" w:cs="Times New Roman"/>
                <w:b/>
              </w:rPr>
              <w:footnoteReference w:id="80"/>
            </w:r>
            <w:r w:rsidR="00C87595">
              <w:rPr>
                <w:rFonts w:ascii="Times New Roman" w:hAnsi="Times New Roman" w:cs="Times New Roman"/>
                <w:b/>
              </w:rPr>
              <w:t>.</w:t>
            </w:r>
          </w:p>
        </w:tc>
      </w:tr>
      <w:tr w:rsidR="00DD336D" w:rsidRPr="006B039D" w14:paraId="1B851AE4" w14:textId="77777777" w:rsidTr="00FD40B4">
        <w:tc>
          <w:tcPr>
            <w:tcW w:w="1165" w:type="dxa"/>
          </w:tcPr>
          <w:p w14:paraId="54F66611" w14:textId="76E96DF7" w:rsidR="00DD336D" w:rsidRPr="006B039D" w:rsidRDefault="00E61CFB" w:rsidP="00FC292A">
            <w:pPr>
              <w:spacing w:line="276" w:lineRule="auto"/>
              <w:rPr>
                <w:rFonts w:ascii="Times New Roman" w:hAnsi="Times New Roman" w:cs="Times New Roman"/>
                <w:b/>
              </w:rPr>
            </w:pPr>
            <w:r>
              <w:rPr>
                <w:rFonts w:ascii="Times New Roman" w:hAnsi="Times New Roman" w:cs="Times New Roman"/>
                <w:b/>
              </w:rPr>
              <w:lastRenderedPageBreak/>
              <w:t>206 BC</w:t>
            </w:r>
            <w:r>
              <w:rPr>
                <w:rStyle w:val="FootnoteReference"/>
                <w:rFonts w:ascii="Times New Roman" w:hAnsi="Times New Roman" w:cs="Times New Roman"/>
                <w:b/>
              </w:rPr>
              <w:footnoteReference w:id="81"/>
            </w:r>
          </w:p>
        </w:tc>
        <w:tc>
          <w:tcPr>
            <w:tcW w:w="2340" w:type="dxa"/>
          </w:tcPr>
          <w:p w14:paraId="0BB67238" w14:textId="1851D73E"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Bactrian Independence</w:t>
            </w:r>
          </w:p>
        </w:tc>
        <w:tc>
          <w:tcPr>
            <w:tcW w:w="5040" w:type="dxa"/>
          </w:tcPr>
          <w:p w14:paraId="7148923A" w14:textId="474244CC" w:rsidR="00DD336D" w:rsidRPr="006B039D" w:rsidRDefault="00E27E31" w:rsidP="00FC292A">
            <w:pPr>
              <w:spacing w:line="276" w:lineRule="auto"/>
              <w:rPr>
                <w:rFonts w:ascii="Times New Roman" w:hAnsi="Times New Roman" w:cs="Times New Roman"/>
                <w:b/>
              </w:rPr>
            </w:pPr>
            <w:r>
              <w:rPr>
                <w:rFonts w:ascii="Times New Roman" w:hAnsi="Times New Roman" w:cs="Times New Roman"/>
                <w:b/>
              </w:rPr>
              <w:t xml:space="preserve">Bactria became independent </w:t>
            </w:r>
            <w:r w:rsidR="004320D5">
              <w:rPr>
                <w:rFonts w:ascii="Times New Roman" w:hAnsi="Times New Roman" w:cs="Times New Roman"/>
                <w:b/>
              </w:rPr>
              <w:t xml:space="preserve">when the Greeks and Macedonians were separated from the West. Diodotus led the kingdom, and he was a successful rule, which can be seen when Antiochus III invaded in 206, </w:t>
            </w:r>
            <w:r w:rsidR="00EF60D1">
              <w:rPr>
                <w:rFonts w:ascii="Times New Roman" w:hAnsi="Times New Roman" w:cs="Times New Roman"/>
                <w:b/>
              </w:rPr>
              <w:t>they were able to keep their independence</w:t>
            </w:r>
            <w:r w:rsidR="00EF60D1">
              <w:rPr>
                <w:rStyle w:val="FootnoteReference"/>
                <w:rFonts w:ascii="Times New Roman" w:hAnsi="Times New Roman" w:cs="Times New Roman"/>
                <w:b/>
              </w:rPr>
              <w:footnoteReference w:id="82"/>
            </w:r>
            <w:r w:rsidR="00EF60D1">
              <w:rPr>
                <w:rFonts w:ascii="Times New Roman" w:hAnsi="Times New Roman" w:cs="Times New Roman"/>
                <w:b/>
              </w:rPr>
              <w:t>.</w:t>
            </w:r>
          </w:p>
        </w:tc>
        <w:tc>
          <w:tcPr>
            <w:tcW w:w="5400" w:type="dxa"/>
          </w:tcPr>
          <w:p w14:paraId="081EAAA4" w14:textId="6089E415" w:rsidR="00DD336D" w:rsidRPr="006B039D" w:rsidRDefault="00341F69" w:rsidP="00FC292A">
            <w:pPr>
              <w:spacing w:line="276" w:lineRule="auto"/>
              <w:rPr>
                <w:rFonts w:ascii="Times New Roman" w:hAnsi="Times New Roman" w:cs="Times New Roman"/>
                <w:b/>
              </w:rPr>
            </w:pPr>
            <w:r>
              <w:rPr>
                <w:rFonts w:ascii="Times New Roman" w:hAnsi="Times New Roman" w:cs="Times New Roman"/>
                <w:b/>
              </w:rPr>
              <w:t>In Pliny’s Natural Histories</w:t>
            </w:r>
            <w:r w:rsidR="00D86FDE">
              <w:rPr>
                <w:rFonts w:ascii="Times New Roman" w:hAnsi="Times New Roman" w:cs="Times New Roman"/>
                <w:b/>
              </w:rPr>
              <w:t>, he describes the area around the river which Demodamas</w:t>
            </w:r>
            <w:r w:rsidR="00BA3F08">
              <w:rPr>
                <w:rFonts w:ascii="Times New Roman" w:hAnsi="Times New Roman" w:cs="Times New Roman"/>
                <w:b/>
              </w:rPr>
              <w:t>, who was a general of Seleucus and Antiochus, crossed. Part of the description includes ‘At this spot are the altars which were raised by Hercules and Father Liber, as also by Cyrus, Semiramis, and Alexander’</w:t>
            </w:r>
            <w:r w:rsidR="00BA3F08">
              <w:rPr>
                <w:rStyle w:val="FootnoteReference"/>
                <w:rFonts w:ascii="Times New Roman" w:hAnsi="Times New Roman" w:cs="Times New Roman"/>
                <w:b/>
              </w:rPr>
              <w:footnoteReference w:id="83"/>
            </w:r>
            <w:r w:rsidR="00BA3F08">
              <w:rPr>
                <w:rFonts w:ascii="Times New Roman" w:hAnsi="Times New Roman" w:cs="Times New Roman"/>
                <w:b/>
              </w:rPr>
              <w:t>.</w:t>
            </w:r>
          </w:p>
        </w:tc>
      </w:tr>
      <w:tr w:rsidR="00DD336D" w:rsidRPr="006B039D" w14:paraId="44870107" w14:textId="77777777" w:rsidTr="00FD40B4">
        <w:trPr>
          <w:trHeight w:val="296"/>
        </w:trPr>
        <w:tc>
          <w:tcPr>
            <w:tcW w:w="1165" w:type="dxa"/>
          </w:tcPr>
          <w:p w14:paraId="0EC1D2C7" w14:textId="0685F58B" w:rsidR="00DD336D" w:rsidRPr="006B039D" w:rsidRDefault="003A2C37" w:rsidP="00FC292A">
            <w:pPr>
              <w:spacing w:line="276" w:lineRule="auto"/>
              <w:rPr>
                <w:rFonts w:ascii="Times New Roman" w:hAnsi="Times New Roman" w:cs="Times New Roman"/>
                <w:b/>
              </w:rPr>
            </w:pPr>
            <w:r>
              <w:rPr>
                <w:rFonts w:ascii="Times New Roman" w:hAnsi="Times New Roman" w:cs="Times New Roman"/>
                <w:b/>
              </w:rPr>
              <w:t>188 BC</w:t>
            </w:r>
            <w:r>
              <w:rPr>
                <w:rStyle w:val="FootnoteReference"/>
                <w:rFonts w:ascii="Times New Roman" w:hAnsi="Times New Roman" w:cs="Times New Roman"/>
                <w:b/>
              </w:rPr>
              <w:footnoteReference w:id="84"/>
            </w:r>
          </w:p>
        </w:tc>
        <w:tc>
          <w:tcPr>
            <w:tcW w:w="2340" w:type="dxa"/>
          </w:tcPr>
          <w:p w14:paraId="3CBFCF3F" w14:textId="51F53AB3"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Parthian Independence</w:t>
            </w:r>
          </w:p>
        </w:tc>
        <w:tc>
          <w:tcPr>
            <w:tcW w:w="5040" w:type="dxa"/>
          </w:tcPr>
          <w:p w14:paraId="257E6B25" w14:textId="6EB9C37B" w:rsidR="00DD336D" w:rsidRPr="006B039D" w:rsidRDefault="00EF60D1" w:rsidP="00FC292A">
            <w:pPr>
              <w:spacing w:line="276" w:lineRule="auto"/>
              <w:rPr>
                <w:rFonts w:ascii="Times New Roman" w:hAnsi="Times New Roman" w:cs="Times New Roman"/>
                <w:b/>
              </w:rPr>
            </w:pPr>
            <w:r>
              <w:rPr>
                <w:rFonts w:ascii="Times New Roman" w:hAnsi="Times New Roman" w:cs="Times New Roman"/>
                <w:b/>
              </w:rPr>
              <w:t>Antiochus was recognised by kings of Parthia</w:t>
            </w:r>
            <w:r w:rsidR="005611B6">
              <w:rPr>
                <w:rFonts w:ascii="Times New Roman" w:hAnsi="Times New Roman" w:cs="Times New Roman"/>
                <w:b/>
              </w:rPr>
              <w:t xml:space="preserve"> as superior, but after </w:t>
            </w:r>
            <w:r w:rsidR="00341F69">
              <w:rPr>
                <w:rFonts w:ascii="Times New Roman" w:hAnsi="Times New Roman" w:cs="Times New Roman"/>
                <w:b/>
              </w:rPr>
              <w:t>he died, Parthia started expanding. King Mithridates I started by attacking Bactria, then moving onto conquering Media</w:t>
            </w:r>
            <w:r w:rsidR="00341F69">
              <w:rPr>
                <w:rStyle w:val="FootnoteReference"/>
                <w:rFonts w:ascii="Times New Roman" w:hAnsi="Times New Roman" w:cs="Times New Roman"/>
                <w:b/>
              </w:rPr>
              <w:footnoteReference w:id="85"/>
            </w:r>
            <w:r w:rsidR="00341F69">
              <w:rPr>
                <w:rFonts w:ascii="Times New Roman" w:hAnsi="Times New Roman" w:cs="Times New Roman"/>
                <w:b/>
              </w:rPr>
              <w:t>.</w:t>
            </w:r>
          </w:p>
        </w:tc>
        <w:tc>
          <w:tcPr>
            <w:tcW w:w="5400" w:type="dxa"/>
          </w:tcPr>
          <w:p w14:paraId="7DE13A50" w14:textId="56211DCB" w:rsidR="00DD336D" w:rsidRPr="006B039D" w:rsidRDefault="002D04CD" w:rsidP="00FC292A">
            <w:pPr>
              <w:spacing w:line="276" w:lineRule="auto"/>
              <w:rPr>
                <w:rFonts w:ascii="Times New Roman" w:hAnsi="Times New Roman" w:cs="Times New Roman"/>
                <w:b/>
              </w:rPr>
            </w:pPr>
            <w:r>
              <w:rPr>
                <w:rFonts w:ascii="Times New Roman" w:hAnsi="Times New Roman" w:cs="Times New Roman"/>
                <w:b/>
              </w:rPr>
              <w:t>Justin, the Roman historian, writes ‘After the death</w:t>
            </w:r>
            <w:r w:rsidR="00467B88">
              <w:rPr>
                <w:rFonts w:ascii="Times New Roman" w:hAnsi="Times New Roman" w:cs="Times New Roman"/>
                <w:b/>
              </w:rPr>
              <w:t xml:space="preserve"> of Mithridates, king of the Parthians, Phraates his son was made king, who, having proceeded to make war with Syria, in revenge for the attempts of Antiochus on the Parthian dominions, was recalled, by hostilities on the part of the Scythians, to defend his own country’</w:t>
            </w:r>
            <w:r w:rsidR="00467B88">
              <w:rPr>
                <w:rStyle w:val="FootnoteReference"/>
                <w:rFonts w:ascii="Times New Roman" w:hAnsi="Times New Roman" w:cs="Times New Roman"/>
                <w:b/>
              </w:rPr>
              <w:footnoteReference w:id="86"/>
            </w:r>
            <w:r w:rsidR="00467B88">
              <w:rPr>
                <w:rFonts w:ascii="Times New Roman" w:hAnsi="Times New Roman" w:cs="Times New Roman"/>
                <w:b/>
              </w:rPr>
              <w:t>.</w:t>
            </w:r>
          </w:p>
        </w:tc>
      </w:tr>
      <w:tr w:rsidR="00DD336D" w:rsidRPr="006B039D" w14:paraId="0E1CB52F" w14:textId="77777777" w:rsidTr="00FD40B4">
        <w:trPr>
          <w:trHeight w:val="296"/>
        </w:trPr>
        <w:tc>
          <w:tcPr>
            <w:tcW w:w="1165" w:type="dxa"/>
          </w:tcPr>
          <w:p w14:paraId="6C8E3640" w14:textId="4074EDEB" w:rsidR="00DD336D" w:rsidRPr="006B039D" w:rsidRDefault="00F144D1" w:rsidP="00FC292A">
            <w:pPr>
              <w:spacing w:line="276" w:lineRule="auto"/>
              <w:rPr>
                <w:rFonts w:ascii="Times New Roman" w:hAnsi="Times New Roman" w:cs="Times New Roman"/>
                <w:b/>
              </w:rPr>
            </w:pPr>
            <w:r>
              <w:rPr>
                <w:rFonts w:ascii="Times New Roman" w:hAnsi="Times New Roman" w:cs="Times New Roman"/>
                <w:b/>
              </w:rPr>
              <w:t>222 BC</w:t>
            </w:r>
            <w:r>
              <w:rPr>
                <w:rStyle w:val="FootnoteReference"/>
                <w:rFonts w:ascii="Times New Roman" w:hAnsi="Times New Roman" w:cs="Times New Roman"/>
                <w:b/>
              </w:rPr>
              <w:footnoteReference w:id="87"/>
            </w:r>
          </w:p>
        </w:tc>
        <w:tc>
          <w:tcPr>
            <w:tcW w:w="2340" w:type="dxa"/>
          </w:tcPr>
          <w:p w14:paraId="26C42B44" w14:textId="4D623A44"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End of Parthian Empire</w:t>
            </w:r>
          </w:p>
        </w:tc>
        <w:tc>
          <w:tcPr>
            <w:tcW w:w="5040" w:type="dxa"/>
          </w:tcPr>
          <w:p w14:paraId="4EBC867A" w14:textId="16A3B5E3" w:rsidR="00DD336D" w:rsidRPr="006B039D" w:rsidRDefault="00446090" w:rsidP="00FC292A">
            <w:pPr>
              <w:spacing w:line="276" w:lineRule="auto"/>
              <w:rPr>
                <w:rFonts w:ascii="Times New Roman" w:hAnsi="Times New Roman" w:cs="Times New Roman"/>
                <w:b/>
              </w:rPr>
            </w:pPr>
            <w:r>
              <w:rPr>
                <w:rFonts w:ascii="Times New Roman" w:hAnsi="Times New Roman" w:cs="Times New Roman"/>
                <w:b/>
              </w:rPr>
              <w:t xml:space="preserve">Parthia had lost land and had no hope in recovering it. In 224 BC, </w:t>
            </w:r>
            <w:r w:rsidR="00A2021B">
              <w:rPr>
                <w:rFonts w:ascii="Times New Roman" w:hAnsi="Times New Roman" w:cs="Times New Roman"/>
                <w:b/>
              </w:rPr>
              <w:t>there was a revolt by Ardasir, a Persian vassal king</w:t>
            </w:r>
            <w:r w:rsidR="004923C5">
              <w:rPr>
                <w:rFonts w:ascii="Times New Roman" w:hAnsi="Times New Roman" w:cs="Times New Roman"/>
                <w:b/>
              </w:rPr>
              <w:t xml:space="preserve">, which led to </w:t>
            </w:r>
            <w:r w:rsidR="004923C5">
              <w:rPr>
                <w:rFonts w:ascii="Times New Roman" w:hAnsi="Times New Roman" w:cs="Times New Roman"/>
                <w:b/>
              </w:rPr>
              <w:lastRenderedPageBreak/>
              <w:t xml:space="preserve">him </w:t>
            </w:r>
            <w:r w:rsidR="00362A23">
              <w:rPr>
                <w:rFonts w:ascii="Times New Roman" w:hAnsi="Times New Roman" w:cs="Times New Roman"/>
                <w:b/>
              </w:rPr>
              <w:t>taking Ctesiphon, the capital of the Parthian Empire, two years later. This was the end of the Parthian Empire, which was also the beginning of the second Persian Empire</w:t>
            </w:r>
            <w:r w:rsidR="00885AFE">
              <w:rPr>
                <w:rStyle w:val="FootnoteReference"/>
                <w:rFonts w:ascii="Times New Roman" w:hAnsi="Times New Roman" w:cs="Times New Roman"/>
                <w:b/>
              </w:rPr>
              <w:footnoteReference w:id="88"/>
            </w:r>
            <w:r w:rsidR="00362A23">
              <w:rPr>
                <w:rFonts w:ascii="Times New Roman" w:hAnsi="Times New Roman" w:cs="Times New Roman"/>
                <w:b/>
              </w:rPr>
              <w:t>.</w:t>
            </w:r>
          </w:p>
        </w:tc>
        <w:tc>
          <w:tcPr>
            <w:tcW w:w="5400" w:type="dxa"/>
          </w:tcPr>
          <w:p w14:paraId="317FC7B2" w14:textId="75BF2F0D" w:rsidR="00DD336D" w:rsidRPr="006B039D" w:rsidRDefault="008046C3" w:rsidP="00FC292A">
            <w:pPr>
              <w:spacing w:line="276" w:lineRule="auto"/>
              <w:rPr>
                <w:rFonts w:ascii="Times New Roman" w:hAnsi="Times New Roman" w:cs="Times New Roman"/>
                <w:b/>
              </w:rPr>
            </w:pPr>
            <w:r>
              <w:rPr>
                <w:rFonts w:ascii="Times New Roman" w:hAnsi="Times New Roman" w:cs="Times New Roman"/>
                <w:b/>
              </w:rPr>
              <w:lastRenderedPageBreak/>
              <w:t>Justin records the death of Phraates, the king of the</w:t>
            </w:r>
            <w:r w:rsidR="00703446">
              <w:rPr>
                <w:rFonts w:ascii="Times New Roman" w:hAnsi="Times New Roman" w:cs="Times New Roman"/>
                <w:b/>
              </w:rPr>
              <w:t xml:space="preserve"> Parthian Empire, saying that as soon at Antiochus’ army saw the Parthians, ‘they went </w:t>
            </w:r>
            <w:r w:rsidR="00703446">
              <w:rPr>
                <w:rFonts w:ascii="Times New Roman" w:hAnsi="Times New Roman" w:cs="Times New Roman"/>
                <w:b/>
              </w:rPr>
              <w:lastRenderedPageBreak/>
              <w:t>over to the enemy, and executed that revenge for their captivity, which they had long desired, by a sanguinary</w:t>
            </w:r>
            <w:r w:rsidR="00444C27">
              <w:rPr>
                <w:rFonts w:ascii="Times New Roman" w:hAnsi="Times New Roman" w:cs="Times New Roman"/>
                <w:b/>
              </w:rPr>
              <w:t xml:space="preserve"> destruction of the Parthian army and of king Phraates himself’</w:t>
            </w:r>
            <w:r w:rsidR="00444C27">
              <w:rPr>
                <w:rStyle w:val="FootnoteReference"/>
                <w:rFonts w:ascii="Times New Roman" w:hAnsi="Times New Roman" w:cs="Times New Roman"/>
                <w:b/>
              </w:rPr>
              <w:footnoteReference w:id="89"/>
            </w:r>
            <w:r w:rsidR="00444C27">
              <w:rPr>
                <w:rFonts w:ascii="Times New Roman" w:hAnsi="Times New Roman" w:cs="Times New Roman"/>
                <w:b/>
              </w:rPr>
              <w:t>.</w:t>
            </w:r>
          </w:p>
        </w:tc>
      </w:tr>
      <w:tr w:rsidR="00DD336D" w:rsidRPr="006B039D" w14:paraId="21F70C0E" w14:textId="77777777" w:rsidTr="00FD40B4">
        <w:trPr>
          <w:trHeight w:val="296"/>
        </w:trPr>
        <w:tc>
          <w:tcPr>
            <w:tcW w:w="1165" w:type="dxa"/>
          </w:tcPr>
          <w:p w14:paraId="45DA44D6" w14:textId="374055AF" w:rsidR="00DD336D" w:rsidRPr="006B039D" w:rsidRDefault="00FE0455" w:rsidP="00FC292A">
            <w:pPr>
              <w:spacing w:line="276" w:lineRule="auto"/>
              <w:rPr>
                <w:rFonts w:ascii="Times New Roman" w:hAnsi="Times New Roman" w:cs="Times New Roman"/>
                <w:b/>
              </w:rPr>
            </w:pPr>
            <w:r>
              <w:rPr>
                <w:rFonts w:ascii="Times New Roman" w:hAnsi="Times New Roman" w:cs="Times New Roman"/>
                <w:b/>
              </w:rPr>
              <w:lastRenderedPageBreak/>
              <w:t>285</w:t>
            </w:r>
            <w:r w:rsidR="00747859">
              <w:rPr>
                <w:rFonts w:ascii="Times New Roman" w:hAnsi="Times New Roman" w:cs="Times New Roman"/>
                <w:b/>
              </w:rPr>
              <w:t xml:space="preserve"> BC</w:t>
            </w:r>
            <w:r w:rsidR="00747859">
              <w:rPr>
                <w:rStyle w:val="FootnoteReference"/>
                <w:rFonts w:ascii="Times New Roman" w:hAnsi="Times New Roman" w:cs="Times New Roman"/>
                <w:b/>
              </w:rPr>
              <w:footnoteReference w:id="90"/>
            </w:r>
          </w:p>
        </w:tc>
        <w:tc>
          <w:tcPr>
            <w:tcW w:w="2340" w:type="dxa"/>
          </w:tcPr>
          <w:p w14:paraId="618FA37A" w14:textId="5BE09F70"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Accession of Ptolemy II</w:t>
            </w:r>
          </w:p>
        </w:tc>
        <w:tc>
          <w:tcPr>
            <w:tcW w:w="5040" w:type="dxa"/>
          </w:tcPr>
          <w:p w14:paraId="5E7F6213" w14:textId="3170A05E" w:rsidR="00DD336D" w:rsidRPr="006B039D" w:rsidRDefault="006063AC" w:rsidP="00FC292A">
            <w:pPr>
              <w:spacing w:line="276" w:lineRule="auto"/>
              <w:rPr>
                <w:rFonts w:ascii="Times New Roman" w:hAnsi="Times New Roman" w:cs="Times New Roman"/>
                <w:b/>
              </w:rPr>
            </w:pPr>
            <w:r>
              <w:rPr>
                <w:rFonts w:ascii="Times New Roman" w:hAnsi="Times New Roman" w:cs="Times New Roman"/>
                <w:b/>
              </w:rPr>
              <w:t xml:space="preserve">In 282 BC, </w:t>
            </w:r>
            <w:r w:rsidR="00FE0455">
              <w:rPr>
                <w:rFonts w:ascii="Times New Roman" w:hAnsi="Times New Roman" w:cs="Times New Roman"/>
                <w:b/>
              </w:rPr>
              <w:t xml:space="preserve">Ptolemy II was crowned as Pharaoh, however he </w:t>
            </w:r>
            <w:r w:rsidR="00533A93">
              <w:rPr>
                <w:rFonts w:ascii="Times New Roman" w:hAnsi="Times New Roman" w:cs="Times New Roman"/>
                <w:b/>
              </w:rPr>
              <w:t>started counting his years as Pharaoh from 285 BC</w:t>
            </w:r>
            <w:r w:rsidR="00885AFE">
              <w:rPr>
                <w:rStyle w:val="FootnoteReference"/>
                <w:rFonts w:ascii="Times New Roman" w:hAnsi="Times New Roman" w:cs="Times New Roman"/>
                <w:b/>
              </w:rPr>
              <w:footnoteReference w:id="91"/>
            </w:r>
            <w:r w:rsidR="00533A93">
              <w:rPr>
                <w:rFonts w:ascii="Times New Roman" w:hAnsi="Times New Roman" w:cs="Times New Roman"/>
                <w:b/>
              </w:rPr>
              <w:t>.</w:t>
            </w:r>
          </w:p>
        </w:tc>
        <w:tc>
          <w:tcPr>
            <w:tcW w:w="5400" w:type="dxa"/>
          </w:tcPr>
          <w:p w14:paraId="57E25C2D" w14:textId="7D6F0D50" w:rsidR="00DD336D" w:rsidRPr="006B039D" w:rsidRDefault="00C90E51" w:rsidP="00FC292A">
            <w:pPr>
              <w:spacing w:line="276" w:lineRule="auto"/>
              <w:rPr>
                <w:rFonts w:ascii="Times New Roman" w:hAnsi="Times New Roman" w:cs="Times New Roman"/>
                <w:b/>
              </w:rPr>
            </w:pPr>
            <w:r>
              <w:rPr>
                <w:rFonts w:ascii="Times New Roman" w:hAnsi="Times New Roman" w:cs="Times New Roman"/>
                <w:b/>
              </w:rPr>
              <w:t>Justin records</w:t>
            </w:r>
            <w:r w:rsidR="002E1034">
              <w:rPr>
                <w:rFonts w:ascii="Times New Roman" w:hAnsi="Times New Roman" w:cs="Times New Roman"/>
                <w:b/>
              </w:rPr>
              <w:t xml:space="preserve"> that ‘At the termination of the war died Ptolemy… he had resigned his kingdom, before his illness, to the youngest of his sons’</w:t>
            </w:r>
            <w:r w:rsidR="002E1034">
              <w:rPr>
                <w:rStyle w:val="FootnoteReference"/>
                <w:rFonts w:ascii="Times New Roman" w:hAnsi="Times New Roman" w:cs="Times New Roman"/>
                <w:b/>
              </w:rPr>
              <w:footnoteReference w:id="92"/>
            </w:r>
            <w:r w:rsidR="002E1034">
              <w:rPr>
                <w:rFonts w:ascii="Times New Roman" w:hAnsi="Times New Roman" w:cs="Times New Roman"/>
                <w:b/>
              </w:rPr>
              <w:t>.</w:t>
            </w:r>
          </w:p>
        </w:tc>
      </w:tr>
      <w:tr w:rsidR="00DD336D" w:rsidRPr="006B039D" w14:paraId="01FB91F7" w14:textId="77777777" w:rsidTr="00456305">
        <w:trPr>
          <w:trHeight w:val="1304"/>
        </w:trPr>
        <w:tc>
          <w:tcPr>
            <w:tcW w:w="1165" w:type="dxa"/>
          </w:tcPr>
          <w:p w14:paraId="70AF869E" w14:textId="189209DF" w:rsidR="00DD336D" w:rsidRPr="006B039D" w:rsidRDefault="0042682E" w:rsidP="00FC292A">
            <w:pPr>
              <w:spacing w:line="276" w:lineRule="auto"/>
              <w:rPr>
                <w:rFonts w:ascii="Times New Roman" w:hAnsi="Times New Roman" w:cs="Times New Roman"/>
                <w:b/>
              </w:rPr>
            </w:pPr>
            <w:r>
              <w:rPr>
                <w:rFonts w:ascii="Times New Roman" w:hAnsi="Times New Roman" w:cs="Times New Roman"/>
                <w:b/>
              </w:rPr>
              <w:t>246-241 BC</w:t>
            </w:r>
            <w:r w:rsidR="00621481">
              <w:rPr>
                <w:rStyle w:val="FootnoteReference"/>
                <w:rFonts w:ascii="Times New Roman" w:hAnsi="Times New Roman" w:cs="Times New Roman"/>
                <w:b/>
              </w:rPr>
              <w:footnoteReference w:id="93"/>
            </w:r>
          </w:p>
        </w:tc>
        <w:tc>
          <w:tcPr>
            <w:tcW w:w="2340" w:type="dxa"/>
          </w:tcPr>
          <w:p w14:paraId="18CC4127" w14:textId="72213DF0"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Third Syrian War</w:t>
            </w:r>
          </w:p>
        </w:tc>
        <w:tc>
          <w:tcPr>
            <w:tcW w:w="5040" w:type="dxa"/>
          </w:tcPr>
          <w:p w14:paraId="6EEC426B" w14:textId="65A2D5C7" w:rsidR="00DD336D" w:rsidRPr="006B039D" w:rsidRDefault="005A3612" w:rsidP="00FC292A">
            <w:pPr>
              <w:spacing w:line="276" w:lineRule="auto"/>
              <w:rPr>
                <w:rFonts w:ascii="Times New Roman" w:hAnsi="Times New Roman" w:cs="Times New Roman"/>
                <w:b/>
              </w:rPr>
            </w:pPr>
            <w:r>
              <w:rPr>
                <w:rFonts w:ascii="Times New Roman" w:hAnsi="Times New Roman" w:cs="Times New Roman"/>
                <w:b/>
              </w:rPr>
              <w:t>In 246, Antiochus II died with 3 children as heirs, the eldest being Seleucus II who was recognised as the next king the day he was born. Later that year, the second child is killed by ‘partisans of Laodice’, leading to Ptolemy III wanting revenge; this started the Third Syrian War. By the end of the war, Ptolemy has gained the coast of Syria, but have also lost some of their Aegean possessions</w:t>
            </w:r>
            <w:r>
              <w:rPr>
                <w:rStyle w:val="FootnoteReference"/>
                <w:rFonts w:ascii="Times New Roman" w:hAnsi="Times New Roman" w:cs="Times New Roman"/>
                <w:b/>
              </w:rPr>
              <w:footnoteReference w:id="94"/>
            </w:r>
            <w:r>
              <w:rPr>
                <w:rFonts w:ascii="Times New Roman" w:hAnsi="Times New Roman" w:cs="Times New Roman"/>
                <w:b/>
              </w:rPr>
              <w:t>.</w:t>
            </w:r>
          </w:p>
        </w:tc>
        <w:tc>
          <w:tcPr>
            <w:tcW w:w="5400" w:type="dxa"/>
          </w:tcPr>
          <w:p w14:paraId="78BCE71F" w14:textId="269E9569" w:rsidR="00DD336D" w:rsidRPr="006B039D" w:rsidRDefault="002E1034" w:rsidP="00FC292A">
            <w:pPr>
              <w:spacing w:line="276" w:lineRule="auto"/>
              <w:rPr>
                <w:rFonts w:ascii="Times New Roman" w:hAnsi="Times New Roman" w:cs="Times New Roman"/>
                <w:b/>
              </w:rPr>
            </w:pPr>
            <w:r>
              <w:rPr>
                <w:rFonts w:ascii="Times New Roman" w:hAnsi="Times New Roman" w:cs="Times New Roman"/>
                <w:b/>
              </w:rPr>
              <w:t xml:space="preserve">Justin </w:t>
            </w:r>
            <w:r w:rsidR="006A6EC1">
              <w:rPr>
                <w:rFonts w:ascii="Times New Roman" w:hAnsi="Times New Roman" w:cs="Times New Roman"/>
                <w:b/>
              </w:rPr>
              <w:t>comments that ‘Ptolemy Euergetes, in the meantime, learning that Antiochus was coming to the aid of Seleucus, and not wishing to have to contend with two enemies at once, made peace with Seleucus for ten years’</w:t>
            </w:r>
            <w:r w:rsidR="006A6EC1">
              <w:rPr>
                <w:rStyle w:val="FootnoteReference"/>
                <w:rFonts w:ascii="Times New Roman" w:hAnsi="Times New Roman" w:cs="Times New Roman"/>
                <w:b/>
              </w:rPr>
              <w:footnoteReference w:id="95"/>
            </w:r>
            <w:r w:rsidR="006A6EC1">
              <w:rPr>
                <w:rFonts w:ascii="Times New Roman" w:hAnsi="Times New Roman" w:cs="Times New Roman"/>
                <w:b/>
              </w:rPr>
              <w:t>.</w:t>
            </w:r>
          </w:p>
        </w:tc>
      </w:tr>
      <w:tr w:rsidR="00DD336D" w:rsidRPr="006B039D" w14:paraId="172135A8" w14:textId="77777777" w:rsidTr="00FD40B4">
        <w:trPr>
          <w:trHeight w:val="296"/>
        </w:trPr>
        <w:tc>
          <w:tcPr>
            <w:tcW w:w="1165" w:type="dxa"/>
          </w:tcPr>
          <w:p w14:paraId="4649251B" w14:textId="3AEA93EB" w:rsidR="00DD336D" w:rsidRPr="006B039D" w:rsidRDefault="00FF4DE7" w:rsidP="00FC292A">
            <w:pPr>
              <w:spacing w:line="276" w:lineRule="auto"/>
              <w:rPr>
                <w:rFonts w:ascii="Times New Roman" w:hAnsi="Times New Roman" w:cs="Times New Roman"/>
                <w:b/>
              </w:rPr>
            </w:pPr>
            <w:r>
              <w:rPr>
                <w:rFonts w:ascii="Times New Roman" w:hAnsi="Times New Roman" w:cs="Times New Roman"/>
                <w:b/>
              </w:rPr>
              <w:t>219 BC</w:t>
            </w:r>
            <w:r>
              <w:rPr>
                <w:rStyle w:val="FootnoteReference"/>
                <w:rFonts w:ascii="Times New Roman" w:hAnsi="Times New Roman" w:cs="Times New Roman"/>
                <w:b/>
              </w:rPr>
              <w:footnoteReference w:id="96"/>
            </w:r>
          </w:p>
        </w:tc>
        <w:tc>
          <w:tcPr>
            <w:tcW w:w="2340" w:type="dxa"/>
          </w:tcPr>
          <w:p w14:paraId="7F214842" w14:textId="7864F76A"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Second Illyrian War</w:t>
            </w:r>
          </w:p>
        </w:tc>
        <w:tc>
          <w:tcPr>
            <w:tcW w:w="5040" w:type="dxa"/>
          </w:tcPr>
          <w:p w14:paraId="3ADE08CF" w14:textId="49C67583" w:rsidR="00DD336D" w:rsidRPr="006B039D" w:rsidRDefault="009F2021" w:rsidP="00FC292A">
            <w:pPr>
              <w:spacing w:line="276" w:lineRule="auto"/>
              <w:rPr>
                <w:rFonts w:ascii="Times New Roman" w:hAnsi="Times New Roman" w:cs="Times New Roman"/>
                <w:b/>
              </w:rPr>
            </w:pPr>
            <w:r>
              <w:rPr>
                <w:rFonts w:ascii="Times New Roman" w:hAnsi="Times New Roman" w:cs="Times New Roman"/>
                <w:b/>
              </w:rPr>
              <w:t xml:space="preserve">Eckstein says that ‘scholars have long been puzzled as to the causes and purpose of this conflict’ and that the war ‘seems to come at an </w:t>
            </w:r>
            <w:r>
              <w:rPr>
                <w:rFonts w:ascii="Times New Roman" w:hAnsi="Times New Roman" w:cs="Times New Roman"/>
                <w:b/>
              </w:rPr>
              <w:lastRenderedPageBreak/>
              <w:t>odd time’ because Rome was already dealing with the serious crisis of ‘Carthage over Saguntum in Spain’</w:t>
            </w:r>
            <w:r w:rsidR="005A49DA">
              <w:rPr>
                <w:rStyle w:val="FootnoteReference"/>
                <w:rFonts w:ascii="Times New Roman" w:hAnsi="Times New Roman" w:cs="Times New Roman"/>
                <w:b/>
              </w:rPr>
              <w:footnoteReference w:id="97"/>
            </w:r>
            <w:r w:rsidR="005A49DA">
              <w:rPr>
                <w:rFonts w:ascii="Times New Roman" w:hAnsi="Times New Roman" w:cs="Times New Roman"/>
                <w:b/>
              </w:rPr>
              <w:t>.</w:t>
            </w:r>
          </w:p>
        </w:tc>
        <w:tc>
          <w:tcPr>
            <w:tcW w:w="5400" w:type="dxa"/>
          </w:tcPr>
          <w:p w14:paraId="7304B859" w14:textId="24323A9A" w:rsidR="00DD336D" w:rsidRPr="006B039D" w:rsidRDefault="00456305" w:rsidP="00FC292A">
            <w:pPr>
              <w:spacing w:line="276" w:lineRule="auto"/>
              <w:rPr>
                <w:rFonts w:ascii="Times New Roman" w:hAnsi="Times New Roman" w:cs="Times New Roman"/>
                <w:b/>
              </w:rPr>
            </w:pPr>
            <w:r>
              <w:rPr>
                <w:rFonts w:ascii="Times New Roman" w:hAnsi="Times New Roman" w:cs="Times New Roman"/>
                <w:b/>
              </w:rPr>
              <w:lastRenderedPageBreak/>
              <w:t>Appian records the Second Illyrian War</w:t>
            </w:r>
            <w:r w:rsidR="00451CFA">
              <w:rPr>
                <w:rFonts w:ascii="Times New Roman" w:hAnsi="Times New Roman" w:cs="Times New Roman"/>
                <w:b/>
              </w:rPr>
              <w:t xml:space="preserve">, starting with how the </w:t>
            </w:r>
            <w:r w:rsidR="003C22D6">
              <w:rPr>
                <w:rFonts w:ascii="Times New Roman" w:hAnsi="Times New Roman" w:cs="Times New Roman"/>
                <w:b/>
              </w:rPr>
              <w:t>Romans marched against Demetrius and the Illyrians</w:t>
            </w:r>
            <w:r w:rsidR="009F2021">
              <w:rPr>
                <w:rFonts w:ascii="Times New Roman" w:hAnsi="Times New Roman" w:cs="Times New Roman"/>
                <w:b/>
              </w:rPr>
              <w:t xml:space="preserve">, who were beaten. The Romans </w:t>
            </w:r>
            <w:r w:rsidR="009F2021">
              <w:rPr>
                <w:rFonts w:ascii="Times New Roman" w:hAnsi="Times New Roman" w:cs="Times New Roman"/>
                <w:b/>
              </w:rPr>
              <w:lastRenderedPageBreak/>
              <w:t>spared the Illyrians due to Pines; a treaty was then written</w:t>
            </w:r>
            <w:r w:rsidR="00FF4DE7">
              <w:rPr>
                <w:rStyle w:val="FootnoteReference"/>
                <w:rFonts w:ascii="Times New Roman" w:hAnsi="Times New Roman" w:cs="Times New Roman"/>
                <w:b/>
              </w:rPr>
              <w:footnoteReference w:id="98"/>
            </w:r>
            <w:r w:rsidR="009F2021">
              <w:rPr>
                <w:rFonts w:ascii="Times New Roman" w:hAnsi="Times New Roman" w:cs="Times New Roman"/>
                <w:b/>
              </w:rPr>
              <w:t>.</w:t>
            </w:r>
          </w:p>
        </w:tc>
      </w:tr>
      <w:tr w:rsidR="00DD336D" w:rsidRPr="006B039D" w14:paraId="4E4E7ADC" w14:textId="77777777" w:rsidTr="00FD40B4">
        <w:trPr>
          <w:trHeight w:val="296"/>
        </w:trPr>
        <w:tc>
          <w:tcPr>
            <w:tcW w:w="1165" w:type="dxa"/>
          </w:tcPr>
          <w:p w14:paraId="415A9DBC" w14:textId="4605E837" w:rsidR="00DD336D" w:rsidRPr="006B039D" w:rsidRDefault="0099196C" w:rsidP="00FC292A">
            <w:pPr>
              <w:spacing w:line="276" w:lineRule="auto"/>
              <w:rPr>
                <w:rFonts w:ascii="Times New Roman" w:hAnsi="Times New Roman" w:cs="Times New Roman"/>
                <w:b/>
              </w:rPr>
            </w:pPr>
            <w:r>
              <w:rPr>
                <w:rFonts w:ascii="Times New Roman" w:hAnsi="Times New Roman" w:cs="Times New Roman"/>
                <w:b/>
              </w:rPr>
              <w:lastRenderedPageBreak/>
              <w:t>168 BC</w:t>
            </w:r>
            <w:r>
              <w:rPr>
                <w:rStyle w:val="FootnoteReference"/>
                <w:rFonts w:ascii="Times New Roman" w:hAnsi="Times New Roman" w:cs="Times New Roman"/>
                <w:b/>
              </w:rPr>
              <w:footnoteReference w:id="99"/>
            </w:r>
          </w:p>
        </w:tc>
        <w:tc>
          <w:tcPr>
            <w:tcW w:w="2340" w:type="dxa"/>
          </w:tcPr>
          <w:p w14:paraId="4C621953" w14:textId="0D7699BD"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Battle of Pydna</w:t>
            </w:r>
          </w:p>
        </w:tc>
        <w:tc>
          <w:tcPr>
            <w:tcW w:w="5040" w:type="dxa"/>
          </w:tcPr>
          <w:p w14:paraId="6A7271CC" w14:textId="32CF7CC7" w:rsidR="00DD336D" w:rsidRPr="006B039D" w:rsidRDefault="0099196C" w:rsidP="00FC292A">
            <w:pPr>
              <w:spacing w:line="276" w:lineRule="auto"/>
              <w:rPr>
                <w:rFonts w:ascii="Times New Roman" w:hAnsi="Times New Roman" w:cs="Times New Roman"/>
                <w:b/>
              </w:rPr>
            </w:pPr>
            <w:r>
              <w:rPr>
                <w:rFonts w:ascii="Times New Roman" w:hAnsi="Times New Roman" w:cs="Times New Roman"/>
                <w:b/>
              </w:rPr>
              <w:t xml:space="preserve">In 168 BC, Lucius Aemilius Paullus </w:t>
            </w:r>
            <w:r w:rsidR="006E2B90">
              <w:rPr>
                <w:rFonts w:ascii="Times New Roman" w:hAnsi="Times New Roman" w:cs="Times New Roman"/>
                <w:b/>
              </w:rPr>
              <w:t>started battle against Philip V of Macedon at Pydna. This battle ended with the Macedonian Empire coming to an end, letting Rome become the largest power on the Mediterranean Sea</w:t>
            </w:r>
            <w:r w:rsidR="00BA163F">
              <w:rPr>
                <w:rStyle w:val="FootnoteReference"/>
                <w:rFonts w:ascii="Times New Roman" w:hAnsi="Times New Roman" w:cs="Times New Roman"/>
                <w:b/>
              </w:rPr>
              <w:footnoteReference w:id="100"/>
            </w:r>
            <w:r w:rsidR="006E2B90">
              <w:rPr>
                <w:rFonts w:ascii="Times New Roman" w:hAnsi="Times New Roman" w:cs="Times New Roman"/>
                <w:b/>
              </w:rPr>
              <w:t>.</w:t>
            </w:r>
          </w:p>
        </w:tc>
        <w:tc>
          <w:tcPr>
            <w:tcW w:w="5400" w:type="dxa"/>
          </w:tcPr>
          <w:p w14:paraId="4384877C" w14:textId="5C4650F3" w:rsidR="00DD336D" w:rsidRPr="006B039D" w:rsidRDefault="00D3021C" w:rsidP="00FC292A">
            <w:pPr>
              <w:spacing w:line="276" w:lineRule="auto"/>
              <w:rPr>
                <w:rFonts w:ascii="Times New Roman" w:hAnsi="Times New Roman" w:cs="Times New Roman"/>
                <w:b/>
              </w:rPr>
            </w:pPr>
            <w:r>
              <w:rPr>
                <w:rFonts w:ascii="Times New Roman" w:hAnsi="Times New Roman" w:cs="Times New Roman"/>
                <w:b/>
              </w:rPr>
              <w:t>Livy writes ‘The heralds of victory travelled to Rome with the utmost possible speed, but on their arrival they found that the rejoicings over it had forestalled them. Four days after the battle… a whispered rumour suddenly spread amongst the whole concourse of spectators to the effect that a battle had taken place in Macedonia resulting in the utter defeat of the king’</w:t>
            </w:r>
            <w:r>
              <w:rPr>
                <w:rStyle w:val="FootnoteReference"/>
                <w:rFonts w:ascii="Times New Roman" w:hAnsi="Times New Roman" w:cs="Times New Roman"/>
                <w:b/>
              </w:rPr>
              <w:footnoteReference w:id="101"/>
            </w:r>
            <w:r>
              <w:rPr>
                <w:rFonts w:ascii="Times New Roman" w:hAnsi="Times New Roman" w:cs="Times New Roman"/>
                <w:b/>
              </w:rPr>
              <w:t>.</w:t>
            </w:r>
          </w:p>
        </w:tc>
      </w:tr>
      <w:tr w:rsidR="00DD336D" w:rsidRPr="006B039D" w14:paraId="0A4552E7" w14:textId="77777777" w:rsidTr="00FD40B4">
        <w:trPr>
          <w:trHeight w:val="296"/>
        </w:trPr>
        <w:tc>
          <w:tcPr>
            <w:tcW w:w="1165" w:type="dxa"/>
          </w:tcPr>
          <w:p w14:paraId="2600E5F1" w14:textId="150E6933" w:rsidR="00C3678E" w:rsidRDefault="00C3678E" w:rsidP="00FC292A">
            <w:pPr>
              <w:spacing w:line="276" w:lineRule="auto"/>
              <w:rPr>
                <w:rFonts w:ascii="Times New Roman" w:hAnsi="Times New Roman" w:cs="Times New Roman"/>
                <w:b/>
              </w:rPr>
            </w:pPr>
            <w:r>
              <w:rPr>
                <w:rFonts w:ascii="Times New Roman" w:hAnsi="Times New Roman" w:cs="Times New Roman"/>
                <w:b/>
              </w:rPr>
              <w:t>197 BC</w:t>
            </w:r>
            <w:r>
              <w:rPr>
                <w:rStyle w:val="FootnoteReference"/>
                <w:rFonts w:ascii="Times New Roman" w:hAnsi="Times New Roman" w:cs="Times New Roman"/>
                <w:b/>
              </w:rPr>
              <w:footnoteReference w:id="102"/>
            </w:r>
          </w:p>
          <w:p w14:paraId="6E1C8C4E" w14:textId="77777777" w:rsidR="00DD336D" w:rsidRPr="00C3678E" w:rsidRDefault="00DD336D" w:rsidP="00C3678E">
            <w:pPr>
              <w:rPr>
                <w:rFonts w:ascii="Times New Roman" w:hAnsi="Times New Roman" w:cs="Times New Roman"/>
              </w:rPr>
            </w:pPr>
          </w:p>
        </w:tc>
        <w:tc>
          <w:tcPr>
            <w:tcW w:w="2340" w:type="dxa"/>
          </w:tcPr>
          <w:p w14:paraId="0B822180" w14:textId="1DAAD043"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Battle of Cyno</w:t>
            </w:r>
            <w:r w:rsidR="00BA163F">
              <w:rPr>
                <w:rFonts w:ascii="Times New Roman" w:hAnsi="Times New Roman" w:cs="Times New Roman"/>
              </w:rPr>
              <w:t>s</w:t>
            </w:r>
            <w:r w:rsidRPr="006B039D">
              <w:rPr>
                <w:rFonts w:ascii="Times New Roman" w:hAnsi="Times New Roman" w:cs="Times New Roman"/>
              </w:rPr>
              <w:t>cephalae</w:t>
            </w:r>
          </w:p>
        </w:tc>
        <w:tc>
          <w:tcPr>
            <w:tcW w:w="5040" w:type="dxa"/>
          </w:tcPr>
          <w:p w14:paraId="1A4BE1E7" w14:textId="1E2D525A" w:rsidR="00DD336D" w:rsidRPr="006B039D" w:rsidRDefault="00C3678E" w:rsidP="00FC292A">
            <w:pPr>
              <w:spacing w:line="276" w:lineRule="auto"/>
              <w:rPr>
                <w:rFonts w:ascii="Times New Roman" w:hAnsi="Times New Roman" w:cs="Times New Roman"/>
                <w:b/>
              </w:rPr>
            </w:pPr>
            <w:r>
              <w:rPr>
                <w:rFonts w:ascii="Times New Roman" w:hAnsi="Times New Roman" w:cs="Times New Roman"/>
                <w:b/>
              </w:rPr>
              <w:t xml:space="preserve">This battle was between </w:t>
            </w:r>
            <w:r w:rsidR="00D24235">
              <w:rPr>
                <w:rFonts w:ascii="Times New Roman" w:hAnsi="Times New Roman" w:cs="Times New Roman"/>
                <w:b/>
              </w:rPr>
              <w:t>the Ptolemaic kingdom, which had recently changed their ruler, and Philip V of Macedon with Antiochus III</w:t>
            </w:r>
            <w:r w:rsidR="00055222">
              <w:rPr>
                <w:rFonts w:ascii="Times New Roman" w:hAnsi="Times New Roman" w:cs="Times New Roman"/>
                <w:b/>
              </w:rPr>
              <w:t xml:space="preserve">. Macedonian power increased, which the Romans did not agree with; this led to them sending anti-Macedonian coalitions, which was only interpreted as weakness of the Romans due to their armies being tired of their recent </w:t>
            </w:r>
            <w:r w:rsidR="00055222">
              <w:rPr>
                <w:rFonts w:ascii="Times New Roman" w:hAnsi="Times New Roman" w:cs="Times New Roman"/>
                <w:b/>
              </w:rPr>
              <w:lastRenderedPageBreak/>
              <w:t>Second Punic War.</w:t>
            </w:r>
            <w:r w:rsidR="00FD0CE3">
              <w:rPr>
                <w:rFonts w:ascii="Times New Roman" w:hAnsi="Times New Roman" w:cs="Times New Roman"/>
                <w:b/>
              </w:rPr>
              <w:t xml:space="preserve"> Philip refused to </w:t>
            </w:r>
            <w:r w:rsidR="00025F71">
              <w:rPr>
                <w:rFonts w:ascii="Times New Roman" w:hAnsi="Times New Roman" w:cs="Times New Roman"/>
                <w:b/>
              </w:rPr>
              <w:t>end his conquest, meaning the Senate declared war</w:t>
            </w:r>
            <w:r w:rsidR="00025F71">
              <w:rPr>
                <w:rStyle w:val="FootnoteReference"/>
                <w:rFonts w:ascii="Times New Roman" w:hAnsi="Times New Roman" w:cs="Times New Roman"/>
                <w:b/>
              </w:rPr>
              <w:footnoteReference w:id="103"/>
            </w:r>
            <w:r w:rsidR="00025F71">
              <w:rPr>
                <w:rFonts w:ascii="Times New Roman" w:hAnsi="Times New Roman" w:cs="Times New Roman"/>
                <w:b/>
              </w:rPr>
              <w:t>.</w:t>
            </w:r>
          </w:p>
        </w:tc>
        <w:tc>
          <w:tcPr>
            <w:tcW w:w="5400" w:type="dxa"/>
          </w:tcPr>
          <w:p w14:paraId="6C260972" w14:textId="209B6FB3" w:rsidR="00DD336D" w:rsidRPr="006B039D" w:rsidRDefault="00025F71" w:rsidP="00FC292A">
            <w:pPr>
              <w:spacing w:line="276" w:lineRule="auto"/>
              <w:rPr>
                <w:rFonts w:ascii="Times New Roman" w:hAnsi="Times New Roman" w:cs="Times New Roman"/>
                <w:b/>
              </w:rPr>
            </w:pPr>
            <w:r>
              <w:rPr>
                <w:rFonts w:ascii="Times New Roman" w:hAnsi="Times New Roman" w:cs="Times New Roman"/>
                <w:b/>
              </w:rPr>
              <w:lastRenderedPageBreak/>
              <w:t>Appian says that the dead of this battle were unburied and still lay at Cynoscephalae in 191 BC</w:t>
            </w:r>
            <w:r w:rsidR="00E03F7B">
              <w:rPr>
                <w:rStyle w:val="FootnoteReference"/>
                <w:rFonts w:ascii="Times New Roman" w:hAnsi="Times New Roman" w:cs="Times New Roman"/>
                <w:b/>
              </w:rPr>
              <w:footnoteReference w:id="104"/>
            </w:r>
            <w:r>
              <w:rPr>
                <w:rFonts w:ascii="Times New Roman" w:hAnsi="Times New Roman" w:cs="Times New Roman"/>
                <w:b/>
              </w:rPr>
              <w:t>.</w:t>
            </w:r>
          </w:p>
        </w:tc>
      </w:tr>
      <w:tr w:rsidR="00DD336D" w:rsidRPr="006B039D" w14:paraId="4AAE1914" w14:textId="77777777" w:rsidTr="00FD40B4">
        <w:trPr>
          <w:trHeight w:val="296"/>
        </w:trPr>
        <w:tc>
          <w:tcPr>
            <w:tcW w:w="1165" w:type="dxa"/>
          </w:tcPr>
          <w:p w14:paraId="717F21A1" w14:textId="124F9884" w:rsidR="00DD336D" w:rsidRPr="00FF4C67" w:rsidRDefault="00FF4C67" w:rsidP="00FF4C67">
            <w:pPr>
              <w:rPr>
                <w:rFonts w:ascii="Times New Roman" w:hAnsi="Times New Roman" w:cs="Times New Roman"/>
              </w:rPr>
            </w:pPr>
            <w:r>
              <w:rPr>
                <w:rFonts w:ascii="Times New Roman" w:hAnsi="Times New Roman" w:cs="Times New Roman"/>
              </w:rPr>
              <w:lastRenderedPageBreak/>
              <w:t>196 BC</w:t>
            </w:r>
            <w:r>
              <w:rPr>
                <w:rStyle w:val="FootnoteReference"/>
                <w:rFonts w:ascii="Times New Roman" w:hAnsi="Times New Roman" w:cs="Times New Roman"/>
              </w:rPr>
              <w:footnoteReference w:id="105"/>
            </w:r>
          </w:p>
        </w:tc>
        <w:tc>
          <w:tcPr>
            <w:tcW w:w="2340" w:type="dxa"/>
          </w:tcPr>
          <w:p w14:paraId="6B3F3B86" w14:textId="7E981933"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Flamininus’ declaration at the Isthmian Games</w:t>
            </w:r>
          </w:p>
        </w:tc>
        <w:tc>
          <w:tcPr>
            <w:tcW w:w="5040" w:type="dxa"/>
          </w:tcPr>
          <w:p w14:paraId="73DB8561" w14:textId="7AEB0804" w:rsidR="00DD336D" w:rsidRPr="006B039D" w:rsidRDefault="00FF4C67" w:rsidP="00FF4C67">
            <w:pPr>
              <w:spacing w:line="276" w:lineRule="auto"/>
              <w:rPr>
                <w:rFonts w:ascii="Times New Roman" w:hAnsi="Times New Roman" w:cs="Times New Roman"/>
                <w:b/>
              </w:rPr>
            </w:pPr>
            <w:r>
              <w:rPr>
                <w:rFonts w:ascii="Times New Roman" w:hAnsi="Times New Roman" w:cs="Times New Roman"/>
                <w:b/>
              </w:rPr>
              <w:t>Walsh talks about the Isthmian Declaration, saying that the commissioners sent to help Flamininus announced that ‘all the other Greeks in Asia and Europe were to be free and to be subject to their own laws’</w:t>
            </w:r>
            <w:r w:rsidR="00FF4DE7">
              <w:rPr>
                <w:rStyle w:val="FootnoteReference"/>
                <w:rFonts w:ascii="Times New Roman" w:hAnsi="Times New Roman" w:cs="Times New Roman"/>
                <w:b/>
              </w:rPr>
              <w:footnoteReference w:id="106"/>
            </w:r>
            <w:r w:rsidR="00C81761">
              <w:rPr>
                <w:rFonts w:ascii="Times New Roman" w:hAnsi="Times New Roman" w:cs="Times New Roman"/>
                <w:b/>
              </w:rPr>
              <w:t>.</w:t>
            </w:r>
          </w:p>
        </w:tc>
        <w:tc>
          <w:tcPr>
            <w:tcW w:w="5400" w:type="dxa"/>
          </w:tcPr>
          <w:p w14:paraId="4798C443" w14:textId="6462B356" w:rsidR="002F5EC5" w:rsidRPr="006B039D" w:rsidRDefault="002F5EC5" w:rsidP="00FC292A">
            <w:pPr>
              <w:spacing w:line="276" w:lineRule="auto"/>
              <w:rPr>
                <w:rFonts w:ascii="Times New Roman" w:hAnsi="Times New Roman" w:cs="Times New Roman"/>
                <w:b/>
              </w:rPr>
            </w:pPr>
            <w:r>
              <w:rPr>
                <w:rFonts w:ascii="Times New Roman" w:hAnsi="Times New Roman" w:cs="Times New Roman"/>
                <w:b/>
              </w:rPr>
              <w:t xml:space="preserve">Plutarch writes about the Isthmian Declaration, </w:t>
            </w:r>
            <w:r w:rsidR="006D4AC8">
              <w:rPr>
                <w:rFonts w:ascii="Times New Roman" w:hAnsi="Times New Roman" w:cs="Times New Roman"/>
                <w:b/>
              </w:rPr>
              <w:t>saying ‘At first, the proclamation was</w:t>
            </w:r>
            <w:r w:rsidR="00562CAC">
              <w:rPr>
                <w:rFonts w:ascii="Times New Roman" w:hAnsi="Times New Roman" w:cs="Times New Roman"/>
                <w:b/>
              </w:rPr>
              <w:t xml:space="preserve"> by no means generally or distinctly heard, but there was a confused and tumultuous movement in the stadium of people who wondered what had been said, and asked one another questions about it, and called out to have the proclamation made again; but when silence had been restores, and the herald in tones that were louder than before and reached the ears of all, had recited the proclamation, a shout of joy arose , so incredibly loud that it reached the sea’</w:t>
            </w:r>
            <w:r w:rsidR="00562CAC">
              <w:rPr>
                <w:rStyle w:val="FootnoteReference"/>
                <w:rFonts w:ascii="Times New Roman" w:hAnsi="Times New Roman" w:cs="Times New Roman"/>
                <w:b/>
              </w:rPr>
              <w:footnoteReference w:id="107"/>
            </w:r>
            <w:r w:rsidR="00562CAC">
              <w:rPr>
                <w:rFonts w:ascii="Times New Roman" w:hAnsi="Times New Roman" w:cs="Times New Roman"/>
                <w:b/>
              </w:rPr>
              <w:t>.</w:t>
            </w:r>
          </w:p>
        </w:tc>
      </w:tr>
      <w:tr w:rsidR="00DD336D" w:rsidRPr="006B039D" w14:paraId="1C4308D8" w14:textId="77777777" w:rsidTr="00FD40B4">
        <w:trPr>
          <w:trHeight w:val="296"/>
        </w:trPr>
        <w:tc>
          <w:tcPr>
            <w:tcW w:w="1165" w:type="dxa"/>
          </w:tcPr>
          <w:p w14:paraId="5C594277" w14:textId="3FDC42F0" w:rsidR="00DD336D" w:rsidRPr="006B039D" w:rsidRDefault="00341B59" w:rsidP="00FC292A">
            <w:pPr>
              <w:spacing w:line="276" w:lineRule="auto"/>
              <w:rPr>
                <w:rFonts w:ascii="Times New Roman" w:hAnsi="Times New Roman" w:cs="Times New Roman"/>
                <w:b/>
              </w:rPr>
            </w:pPr>
            <w:r>
              <w:rPr>
                <w:rFonts w:ascii="Times New Roman" w:hAnsi="Times New Roman" w:cs="Times New Roman"/>
                <w:b/>
              </w:rPr>
              <w:t>188 BC</w:t>
            </w:r>
            <w:r>
              <w:rPr>
                <w:rStyle w:val="FootnoteReference"/>
                <w:rFonts w:ascii="Times New Roman" w:hAnsi="Times New Roman" w:cs="Times New Roman"/>
                <w:b/>
              </w:rPr>
              <w:footnoteReference w:id="108"/>
            </w:r>
          </w:p>
        </w:tc>
        <w:tc>
          <w:tcPr>
            <w:tcW w:w="2340" w:type="dxa"/>
          </w:tcPr>
          <w:p w14:paraId="6757C697" w14:textId="69F25B2A"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Treaty of Apameia</w:t>
            </w:r>
          </w:p>
        </w:tc>
        <w:tc>
          <w:tcPr>
            <w:tcW w:w="5040" w:type="dxa"/>
          </w:tcPr>
          <w:p w14:paraId="2D6A7642" w14:textId="13D6DD67" w:rsidR="00DD336D" w:rsidRPr="006B039D" w:rsidRDefault="00144BDD" w:rsidP="00FC292A">
            <w:pPr>
              <w:spacing w:line="276" w:lineRule="auto"/>
              <w:rPr>
                <w:rFonts w:ascii="Times New Roman" w:hAnsi="Times New Roman" w:cs="Times New Roman"/>
                <w:b/>
              </w:rPr>
            </w:pPr>
            <w:r>
              <w:rPr>
                <w:rFonts w:ascii="Times New Roman" w:hAnsi="Times New Roman" w:cs="Times New Roman"/>
                <w:b/>
              </w:rPr>
              <w:t>McDonalds looks at the territorial demands of the treaty, saying ‘one does not enter lightly into a controversy which has developed all its possible features – or rather, I suggest, in all save one’. He looks at the agreements with a ‘fresh approach to the topographic evidence and the conditions of the Roman settlement’</w:t>
            </w:r>
            <w:r w:rsidR="00C40FB4">
              <w:rPr>
                <w:rStyle w:val="FootnoteReference"/>
                <w:rFonts w:ascii="Times New Roman" w:hAnsi="Times New Roman" w:cs="Times New Roman"/>
                <w:b/>
              </w:rPr>
              <w:footnoteReference w:id="109"/>
            </w:r>
            <w:r>
              <w:rPr>
                <w:rFonts w:ascii="Times New Roman" w:hAnsi="Times New Roman" w:cs="Times New Roman"/>
                <w:b/>
              </w:rPr>
              <w:t>.</w:t>
            </w:r>
          </w:p>
        </w:tc>
        <w:tc>
          <w:tcPr>
            <w:tcW w:w="5400" w:type="dxa"/>
          </w:tcPr>
          <w:p w14:paraId="68478EED" w14:textId="736CB092" w:rsidR="00FD0294" w:rsidRPr="006B039D" w:rsidRDefault="006A4A42" w:rsidP="00FC292A">
            <w:pPr>
              <w:spacing w:line="276" w:lineRule="auto"/>
              <w:rPr>
                <w:rFonts w:ascii="Times New Roman" w:hAnsi="Times New Roman" w:cs="Times New Roman"/>
                <w:b/>
              </w:rPr>
            </w:pPr>
            <w:r>
              <w:rPr>
                <w:rFonts w:ascii="Times New Roman" w:hAnsi="Times New Roman" w:cs="Times New Roman"/>
                <w:b/>
              </w:rPr>
              <w:t>‘The Senate ratified their acts</w:t>
            </w:r>
            <w:r w:rsidR="00174617">
              <w:rPr>
                <w:rFonts w:ascii="Times New Roman" w:hAnsi="Times New Roman" w:cs="Times New Roman"/>
                <w:b/>
              </w:rPr>
              <w:t xml:space="preserve">, and a treaty was written carrying out Scipio’s views, a few things being </w:t>
            </w:r>
            <w:r w:rsidR="00D442DA">
              <w:rPr>
                <w:rFonts w:ascii="Times New Roman" w:hAnsi="Times New Roman" w:cs="Times New Roman"/>
                <w:b/>
              </w:rPr>
              <w:t xml:space="preserve">added or made plain that had been left indefinite… He should only have twelve war-ships for the purpose of keeping his subjects under control, but he might have more if he were attacked… This treaty was engraved on brazen </w:t>
            </w:r>
            <w:r w:rsidR="00D442DA">
              <w:rPr>
                <w:rFonts w:ascii="Times New Roman" w:hAnsi="Times New Roman" w:cs="Times New Roman"/>
                <w:b/>
              </w:rPr>
              <w:lastRenderedPageBreak/>
              <w:t>tablets and deposited in the Capital… and a copy of it was sent to Manlius Vulso, Scipio’s successor in the Command’</w:t>
            </w:r>
            <w:r w:rsidR="00D442DA">
              <w:rPr>
                <w:rStyle w:val="FootnoteReference"/>
                <w:rFonts w:ascii="Times New Roman" w:hAnsi="Times New Roman" w:cs="Times New Roman"/>
                <w:b/>
              </w:rPr>
              <w:footnoteReference w:id="110"/>
            </w:r>
            <w:r w:rsidR="00D442DA">
              <w:rPr>
                <w:rFonts w:ascii="Times New Roman" w:hAnsi="Times New Roman" w:cs="Times New Roman"/>
                <w:b/>
              </w:rPr>
              <w:t>.</w:t>
            </w:r>
          </w:p>
        </w:tc>
      </w:tr>
      <w:tr w:rsidR="00DD336D" w:rsidRPr="006B039D" w14:paraId="2F84A960" w14:textId="77777777" w:rsidTr="00FD40B4">
        <w:trPr>
          <w:trHeight w:val="296"/>
        </w:trPr>
        <w:tc>
          <w:tcPr>
            <w:tcW w:w="1165" w:type="dxa"/>
          </w:tcPr>
          <w:p w14:paraId="570EF517" w14:textId="1AFE4817" w:rsidR="00DD336D" w:rsidRPr="006B039D" w:rsidRDefault="004558E6" w:rsidP="00FC292A">
            <w:pPr>
              <w:spacing w:line="276" w:lineRule="auto"/>
              <w:rPr>
                <w:rFonts w:ascii="Times New Roman" w:hAnsi="Times New Roman" w:cs="Times New Roman"/>
                <w:b/>
              </w:rPr>
            </w:pPr>
            <w:r>
              <w:rPr>
                <w:rFonts w:ascii="Times New Roman" w:hAnsi="Times New Roman" w:cs="Times New Roman"/>
                <w:b/>
              </w:rPr>
              <w:lastRenderedPageBreak/>
              <w:t>146 BC</w:t>
            </w:r>
            <w:r>
              <w:rPr>
                <w:rStyle w:val="FootnoteReference"/>
                <w:rFonts w:ascii="Times New Roman" w:hAnsi="Times New Roman" w:cs="Times New Roman"/>
                <w:b/>
              </w:rPr>
              <w:footnoteReference w:id="111"/>
            </w:r>
          </w:p>
        </w:tc>
        <w:tc>
          <w:tcPr>
            <w:tcW w:w="2340" w:type="dxa"/>
          </w:tcPr>
          <w:p w14:paraId="73DD45C6" w14:textId="6B424675"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Sack of Corinth</w:t>
            </w:r>
          </w:p>
        </w:tc>
        <w:tc>
          <w:tcPr>
            <w:tcW w:w="5040" w:type="dxa"/>
          </w:tcPr>
          <w:p w14:paraId="0ACAB5A5" w14:textId="782C71E9" w:rsidR="00DD336D" w:rsidRPr="006B039D" w:rsidRDefault="007A300E" w:rsidP="00FC292A">
            <w:pPr>
              <w:spacing w:line="276" w:lineRule="auto"/>
              <w:rPr>
                <w:rFonts w:ascii="Times New Roman" w:hAnsi="Times New Roman" w:cs="Times New Roman"/>
                <w:b/>
              </w:rPr>
            </w:pPr>
            <w:r>
              <w:rPr>
                <w:rFonts w:ascii="Times New Roman" w:hAnsi="Times New Roman" w:cs="Times New Roman"/>
                <w:b/>
              </w:rPr>
              <w:t>In 146 BC, the Romans sacked Rome, leaving it practically abandoned. The city was later re-founded by Julius Caesar in 46 BC, however, due to his assassination, the real founder was Octavian</w:t>
            </w:r>
            <w:r w:rsidR="005D2FFB">
              <w:rPr>
                <w:rStyle w:val="FootnoteReference"/>
                <w:rFonts w:ascii="Times New Roman" w:hAnsi="Times New Roman" w:cs="Times New Roman"/>
                <w:b/>
              </w:rPr>
              <w:footnoteReference w:id="112"/>
            </w:r>
            <w:r>
              <w:rPr>
                <w:rFonts w:ascii="Times New Roman" w:hAnsi="Times New Roman" w:cs="Times New Roman"/>
                <w:b/>
              </w:rPr>
              <w:t>.</w:t>
            </w:r>
          </w:p>
        </w:tc>
        <w:tc>
          <w:tcPr>
            <w:tcW w:w="5400" w:type="dxa"/>
          </w:tcPr>
          <w:p w14:paraId="1DA72009" w14:textId="7C64F205" w:rsidR="00DD336D" w:rsidRPr="00C3387E" w:rsidRDefault="005D2FFB" w:rsidP="00C3387E">
            <w:pPr>
              <w:rPr>
                <w:rFonts w:ascii="Times New Roman" w:eastAsia="Times New Roman" w:hAnsi="Times New Roman" w:cs="Times New Roman"/>
                <w:lang w:eastAsia="en-GB"/>
              </w:rPr>
            </w:pPr>
            <w:r>
              <w:rPr>
                <w:rFonts w:ascii="Times New Roman" w:hAnsi="Times New Roman" w:cs="Times New Roman"/>
                <w:b/>
              </w:rPr>
              <w:t xml:space="preserve">Polybius summarises the end of the war, specifically M. Porcius Cato, who </w:t>
            </w:r>
            <w:r w:rsidR="00C3387E">
              <w:rPr>
                <w:rFonts w:ascii="Times New Roman" w:hAnsi="Times New Roman" w:cs="Times New Roman"/>
                <w:b/>
              </w:rPr>
              <w:t>‘</w:t>
            </w:r>
            <w:r w:rsidR="00C3387E" w:rsidRPr="00C3387E">
              <w:rPr>
                <w:rFonts w:ascii="Times New Roman" w:eastAsia="Times New Roman" w:hAnsi="Times New Roman" w:cs="Times New Roman"/>
                <w:lang w:eastAsia="en-GB"/>
              </w:rPr>
              <w:t xml:space="preserve">he had imitated all the worst points in Greek fashions; </w:t>
            </w:r>
            <w:r w:rsidR="00C3387E">
              <w:rPr>
                <w:rFonts w:ascii="Times New Roman" w:eastAsia="Times New Roman" w:hAnsi="Times New Roman" w:cs="Times New Roman"/>
                <w:lang w:eastAsia="en-GB"/>
              </w:rPr>
              <w:t>…</w:t>
            </w:r>
            <w:r w:rsidR="00C3387E" w:rsidRPr="00C3387E">
              <w:rPr>
                <w:rFonts w:ascii="Times New Roman" w:eastAsia="Times New Roman" w:hAnsi="Times New Roman" w:cs="Times New Roman"/>
                <w:lang w:eastAsia="en-GB"/>
              </w:rPr>
              <w:t> for being among the first to enter Greece at the time that the battle in Phocis took place, he retired to Thebes on the pretence of illness, in order to avoid taking part in the engagement; but, when the battle was ended, he was the first to write to the Senate announcing the victory, entering into every detail as though he had himself been present at the conflict</w:t>
            </w:r>
            <w:r w:rsidR="00C3387E">
              <w:rPr>
                <w:rFonts w:ascii="Times New Roman" w:eastAsia="Times New Roman" w:hAnsi="Times New Roman" w:cs="Times New Roman"/>
                <w:lang w:eastAsia="en-GB"/>
              </w:rPr>
              <w:t>’</w:t>
            </w:r>
            <w:r w:rsidR="00C3387E">
              <w:rPr>
                <w:rStyle w:val="FootnoteReference"/>
                <w:rFonts w:ascii="Times New Roman" w:eastAsia="Times New Roman" w:hAnsi="Times New Roman" w:cs="Times New Roman"/>
                <w:lang w:eastAsia="en-GB"/>
              </w:rPr>
              <w:footnoteReference w:id="113"/>
            </w:r>
            <w:r w:rsidR="00C3387E">
              <w:rPr>
                <w:rFonts w:ascii="Times New Roman" w:eastAsia="Times New Roman" w:hAnsi="Times New Roman" w:cs="Times New Roman"/>
                <w:lang w:eastAsia="en-GB"/>
              </w:rPr>
              <w:t>.</w:t>
            </w:r>
          </w:p>
        </w:tc>
      </w:tr>
      <w:tr w:rsidR="00DD336D" w:rsidRPr="006B039D" w14:paraId="0A046AD1" w14:textId="77777777" w:rsidTr="00FD40B4">
        <w:trPr>
          <w:trHeight w:val="296"/>
        </w:trPr>
        <w:tc>
          <w:tcPr>
            <w:tcW w:w="1165" w:type="dxa"/>
          </w:tcPr>
          <w:p w14:paraId="78E46309" w14:textId="33A7B752" w:rsidR="00D7314B" w:rsidRDefault="00D7314B" w:rsidP="00FC292A">
            <w:pPr>
              <w:spacing w:line="276" w:lineRule="auto"/>
              <w:rPr>
                <w:rFonts w:ascii="Times New Roman" w:hAnsi="Times New Roman" w:cs="Times New Roman"/>
                <w:b/>
              </w:rPr>
            </w:pPr>
            <w:r>
              <w:rPr>
                <w:rFonts w:ascii="Times New Roman" w:hAnsi="Times New Roman" w:cs="Times New Roman"/>
                <w:b/>
              </w:rPr>
              <w:t>168 BC</w:t>
            </w:r>
            <w:r>
              <w:rPr>
                <w:rStyle w:val="FootnoteReference"/>
                <w:rFonts w:ascii="Times New Roman" w:hAnsi="Times New Roman" w:cs="Times New Roman"/>
                <w:b/>
              </w:rPr>
              <w:footnoteReference w:id="114"/>
            </w:r>
          </w:p>
          <w:p w14:paraId="03047329" w14:textId="77777777" w:rsidR="00DD336D" w:rsidRPr="00D7314B" w:rsidRDefault="00DD336D" w:rsidP="00D7314B">
            <w:pPr>
              <w:rPr>
                <w:rFonts w:ascii="Times New Roman" w:hAnsi="Times New Roman" w:cs="Times New Roman"/>
              </w:rPr>
            </w:pPr>
          </w:p>
        </w:tc>
        <w:tc>
          <w:tcPr>
            <w:tcW w:w="2340" w:type="dxa"/>
          </w:tcPr>
          <w:p w14:paraId="6CB84FF3" w14:textId="4EA1ADA0"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Antiochus IV’s second invasion of Egypt</w:t>
            </w:r>
          </w:p>
        </w:tc>
        <w:tc>
          <w:tcPr>
            <w:tcW w:w="5040" w:type="dxa"/>
          </w:tcPr>
          <w:p w14:paraId="75DFFB9C" w14:textId="3CF31415" w:rsidR="00DD336D" w:rsidRPr="006B039D" w:rsidRDefault="00F70370" w:rsidP="00FC292A">
            <w:pPr>
              <w:spacing w:line="276" w:lineRule="auto"/>
              <w:rPr>
                <w:rFonts w:ascii="Times New Roman" w:hAnsi="Times New Roman" w:cs="Times New Roman"/>
                <w:b/>
              </w:rPr>
            </w:pPr>
            <w:r>
              <w:rPr>
                <w:rFonts w:ascii="Times New Roman" w:hAnsi="Times New Roman" w:cs="Times New Roman"/>
                <w:b/>
              </w:rPr>
              <w:t xml:space="preserve">During the </w:t>
            </w:r>
            <w:r w:rsidR="00C23FE9">
              <w:rPr>
                <w:rFonts w:ascii="Times New Roman" w:hAnsi="Times New Roman" w:cs="Times New Roman"/>
                <w:b/>
              </w:rPr>
              <w:t>Sixth Syrian War, Ptolemy attacked the Seleucid Empire, despite being too young to rule. Antiochus ignored the terms of the Treaty of Apameia and builds a navy, allowing him further to take large sections of Egypt</w:t>
            </w:r>
            <w:r w:rsidR="00C23FE9">
              <w:rPr>
                <w:rStyle w:val="FootnoteReference"/>
                <w:rFonts w:ascii="Times New Roman" w:hAnsi="Times New Roman" w:cs="Times New Roman"/>
                <w:b/>
              </w:rPr>
              <w:footnoteReference w:id="115"/>
            </w:r>
            <w:r w:rsidR="00C23FE9">
              <w:rPr>
                <w:rFonts w:ascii="Times New Roman" w:hAnsi="Times New Roman" w:cs="Times New Roman"/>
                <w:b/>
              </w:rPr>
              <w:t>.</w:t>
            </w:r>
          </w:p>
        </w:tc>
        <w:tc>
          <w:tcPr>
            <w:tcW w:w="5400" w:type="dxa"/>
          </w:tcPr>
          <w:p w14:paraId="2CC483E3" w14:textId="04AE0F5E" w:rsidR="00DD336D" w:rsidRPr="006B039D" w:rsidRDefault="00B61B4D" w:rsidP="00FC292A">
            <w:pPr>
              <w:spacing w:line="276" w:lineRule="auto"/>
              <w:rPr>
                <w:rFonts w:ascii="Times New Roman" w:hAnsi="Times New Roman" w:cs="Times New Roman"/>
                <w:b/>
              </w:rPr>
            </w:pPr>
            <w:r>
              <w:rPr>
                <w:rFonts w:ascii="Times New Roman" w:hAnsi="Times New Roman" w:cs="Times New Roman"/>
                <w:b/>
              </w:rPr>
              <w:t xml:space="preserve">Livy calls Antiochus the ‘master of the rest of Egypt’, and continues to explain how Ptolemy ‘began a correspondence with his sister and his brother’s friends, and continued to write to them until he had come to terms with them… It was obvious that Antiochus was holding the key to Egypt in order to make a fresh invasion whenever he chose, and for Ptolemy to engage in intestine strife with his brother would prove to be his ruin, since, even victorious, he would be no match for </w:t>
            </w:r>
            <w:r>
              <w:rPr>
                <w:rFonts w:ascii="Times New Roman" w:hAnsi="Times New Roman" w:cs="Times New Roman"/>
                <w:b/>
              </w:rPr>
              <w:lastRenderedPageBreak/>
              <w:t>Antiochus after an exhausting war… peace was made, and he was admitted into Alexandria with everybody’s consent; even the populace manifested no opposition’</w:t>
            </w:r>
            <w:r>
              <w:rPr>
                <w:rStyle w:val="FootnoteReference"/>
                <w:rFonts w:ascii="Times New Roman" w:hAnsi="Times New Roman" w:cs="Times New Roman"/>
                <w:b/>
              </w:rPr>
              <w:footnoteReference w:id="116"/>
            </w:r>
            <w:r>
              <w:rPr>
                <w:rFonts w:ascii="Times New Roman" w:hAnsi="Times New Roman" w:cs="Times New Roman"/>
                <w:b/>
              </w:rPr>
              <w:t>.</w:t>
            </w:r>
          </w:p>
        </w:tc>
      </w:tr>
      <w:tr w:rsidR="00DD336D" w:rsidRPr="006B039D" w14:paraId="193666F5" w14:textId="77777777" w:rsidTr="00FD40B4">
        <w:trPr>
          <w:trHeight w:val="296"/>
        </w:trPr>
        <w:tc>
          <w:tcPr>
            <w:tcW w:w="1165" w:type="dxa"/>
          </w:tcPr>
          <w:p w14:paraId="26F42369" w14:textId="608B050A" w:rsidR="00DD336D" w:rsidRPr="006B039D" w:rsidRDefault="00F23545" w:rsidP="00FC292A">
            <w:pPr>
              <w:spacing w:line="276" w:lineRule="auto"/>
              <w:rPr>
                <w:rFonts w:ascii="Times New Roman" w:hAnsi="Times New Roman" w:cs="Times New Roman"/>
                <w:b/>
              </w:rPr>
            </w:pPr>
            <w:r>
              <w:rPr>
                <w:rFonts w:ascii="Times New Roman" w:hAnsi="Times New Roman" w:cs="Times New Roman"/>
                <w:b/>
              </w:rPr>
              <w:lastRenderedPageBreak/>
              <w:t>169 BC</w:t>
            </w:r>
          </w:p>
        </w:tc>
        <w:tc>
          <w:tcPr>
            <w:tcW w:w="2340" w:type="dxa"/>
          </w:tcPr>
          <w:p w14:paraId="7EFF2D5C" w14:textId="576782D9"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Maccabean Revolt</w:t>
            </w:r>
          </w:p>
        </w:tc>
        <w:tc>
          <w:tcPr>
            <w:tcW w:w="5040" w:type="dxa"/>
          </w:tcPr>
          <w:p w14:paraId="1E7C27CC" w14:textId="1C6666A3" w:rsidR="00DD336D" w:rsidRPr="006B039D" w:rsidRDefault="001B7A32" w:rsidP="00FC292A">
            <w:pPr>
              <w:spacing w:line="276" w:lineRule="auto"/>
              <w:rPr>
                <w:rFonts w:ascii="Times New Roman" w:hAnsi="Times New Roman" w:cs="Times New Roman"/>
                <w:b/>
              </w:rPr>
            </w:pPr>
            <w:r>
              <w:rPr>
                <w:rFonts w:ascii="Times New Roman" w:hAnsi="Times New Roman" w:cs="Times New Roman"/>
                <w:b/>
              </w:rPr>
              <w:t>The Sixth Syrian War took place in 169 BC, in which the Seleucid troops fought the Delta of the Nile Valley</w:t>
            </w:r>
            <w:r w:rsidR="008D06E1">
              <w:rPr>
                <w:rFonts w:ascii="Times New Roman" w:hAnsi="Times New Roman" w:cs="Times New Roman"/>
                <w:b/>
              </w:rPr>
              <w:t>. This went downhill, as the only person who could have saved Judea from going into a civil war, who was the king, was in Egypt during this time</w:t>
            </w:r>
            <w:r w:rsidR="008D06E1">
              <w:rPr>
                <w:rStyle w:val="FootnoteReference"/>
                <w:rFonts w:ascii="Times New Roman" w:hAnsi="Times New Roman" w:cs="Times New Roman"/>
                <w:b/>
              </w:rPr>
              <w:footnoteReference w:id="117"/>
            </w:r>
            <w:r w:rsidR="008D06E1">
              <w:rPr>
                <w:rFonts w:ascii="Times New Roman" w:hAnsi="Times New Roman" w:cs="Times New Roman"/>
                <w:b/>
              </w:rPr>
              <w:t>.</w:t>
            </w:r>
          </w:p>
        </w:tc>
        <w:tc>
          <w:tcPr>
            <w:tcW w:w="5400" w:type="dxa"/>
          </w:tcPr>
          <w:p w14:paraId="1C0F7CE0" w14:textId="0E4ABD56" w:rsidR="00DD336D" w:rsidRPr="006B039D" w:rsidRDefault="008D06E1" w:rsidP="00FC292A">
            <w:pPr>
              <w:spacing w:line="276" w:lineRule="auto"/>
              <w:rPr>
                <w:rFonts w:ascii="Times New Roman" w:hAnsi="Times New Roman" w:cs="Times New Roman"/>
                <w:b/>
              </w:rPr>
            </w:pPr>
            <w:r>
              <w:rPr>
                <w:rFonts w:ascii="Times New Roman" w:hAnsi="Times New Roman" w:cs="Times New Roman"/>
                <w:b/>
              </w:rPr>
              <w:t xml:space="preserve">In the Second Book of the Maccabees, Jason, a high priest, </w:t>
            </w:r>
            <w:r w:rsidR="00201C23">
              <w:rPr>
                <w:rFonts w:ascii="Times New Roman" w:hAnsi="Times New Roman" w:cs="Times New Roman"/>
                <w:b/>
              </w:rPr>
              <w:t>tried to regain his position in the war, but once he arrived, Antiochus drove him out of Jerusalem again.</w:t>
            </w:r>
            <w:r w:rsidR="00201C23">
              <w:rPr>
                <w:rStyle w:val="FootnoteReference"/>
                <w:rFonts w:ascii="Times New Roman" w:hAnsi="Times New Roman" w:cs="Times New Roman"/>
                <w:b/>
              </w:rPr>
              <w:footnoteReference w:id="118"/>
            </w:r>
          </w:p>
        </w:tc>
      </w:tr>
      <w:tr w:rsidR="00DD336D" w:rsidRPr="006B039D" w14:paraId="440D8E1B" w14:textId="77777777" w:rsidTr="00FD40B4">
        <w:trPr>
          <w:trHeight w:val="296"/>
        </w:trPr>
        <w:tc>
          <w:tcPr>
            <w:tcW w:w="1165" w:type="dxa"/>
          </w:tcPr>
          <w:p w14:paraId="54080060" w14:textId="1C4A7198" w:rsidR="00DD336D" w:rsidRPr="006B039D" w:rsidRDefault="00F16342" w:rsidP="00FC292A">
            <w:pPr>
              <w:spacing w:line="276" w:lineRule="auto"/>
              <w:rPr>
                <w:rFonts w:ascii="Times New Roman" w:hAnsi="Times New Roman" w:cs="Times New Roman"/>
                <w:b/>
              </w:rPr>
            </w:pPr>
            <w:r>
              <w:rPr>
                <w:rFonts w:ascii="Times New Roman" w:hAnsi="Times New Roman" w:cs="Times New Roman"/>
                <w:b/>
              </w:rPr>
              <w:t>63 BC</w:t>
            </w:r>
            <w:r>
              <w:rPr>
                <w:rStyle w:val="FootnoteReference"/>
                <w:rFonts w:ascii="Times New Roman" w:hAnsi="Times New Roman" w:cs="Times New Roman"/>
                <w:b/>
              </w:rPr>
              <w:footnoteReference w:id="119"/>
            </w:r>
          </w:p>
        </w:tc>
        <w:tc>
          <w:tcPr>
            <w:tcW w:w="2340" w:type="dxa"/>
          </w:tcPr>
          <w:p w14:paraId="52033AD7" w14:textId="3A8E4552" w:rsidR="00DD336D" w:rsidRPr="006B039D" w:rsidRDefault="003A4DCC" w:rsidP="00FC292A">
            <w:pPr>
              <w:spacing w:line="276" w:lineRule="auto"/>
              <w:rPr>
                <w:rFonts w:ascii="Times New Roman" w:hAnsi="Times New Roman" w:cs="Times New Roman"/>
              </w:rPr>
            </w:pPr>
            <w:r>
              <w:rPr>
                <w:rFonts w:ascii="Times New Roman" w:hAnsi="Times New Roman" w:cs="Times New Roman"/>
              </w:rPr>
              <w:t>Death of Mithri</w:t>
            </w:r>
            <w:r w:rsidR="00DD336D" w:rsidRPr="006B039D">
              <w:rPr>
                <w:rFonts w:ascii="Times New Roman" w:hAnsi="Times New Roman" w:cs="Times New Roman"/>
              </w:rPr>
              <w:t>dates</w:t>
            </w:r>
          </w:p>
        </w:tc>
        <w:tc>
          <w:tcPr>
            <w:tcW w:w="5040" w:type="dxa"/>
          </w:tcPr>
          <w:p w14:paraId="60F52D62" w14:textId="39419FDF" w:rsidR="00DD336D" w:rsidRPr="006B039D" w:rsidRDefault="003A4DCC" w:rsidP="00FC292A">
            <w:pPr>
              <w:spacing w:line="276" w:lineRule="auto"/>
              <w:rPr>
                <w:rFonts w:ascii="Times New Roman" w:hAnsi="Times New Roman" w:cs="Times New Roman"/>
                <w:b/>
              </w:rPr>
            </w:pPr>
            <w:r>
              <w:rPr>
                <w:rFonts w:ascii="Times New Roman" w:hAnsi="Times New Roman" w:cs="Times New Roman"/>
                <w:b/>
              </w:rPr>
              <w:t>Mithridates committed suicide after his son revolted at the end of the Third Mithridatic. He was able to collect the support of the remaining loyal soldiers, leaving Mithridates alone. He was buried in Sinope, which was the capital of the kingdom he lost</w:t>
            </w:r>
            <w:r>
              <w:rPr>
                <w:rStyle w:val="FootnoteReference"/>
                <w:rFonts w:ascii="Times New Roman" w:hAnsi="Times New Roman" w:cs="Times New Roman"/>
                <w:b/>
              </w:rPr>
              <w:footnoteReference w:id="120"/>
            </w:r>
            <w:r>
              <w:rPr>
                <w:rFonts w:ascii="Times New Roman" w:hAnsi="Times New Roman" w:cs="Times New Roman"/>
                <w:b/>
              </w:rPr>
              <w:t>.</w:t>
            </w:r>
          </w:p>
        </w:tc>
        <w:tc>
          <w:tcPr>
            <w:tcW w:w="5400" w:type="dxa"/>
          </w:tcPr>
          <w:p w14:paraId="38DAFC4B" w14:textId="59C1F1AB" w:rsidR="00DD336D" w:rsidRPr="006B039D" w:rsidRDefault="00A925DB" w:rsidP="00FC292A">
            <w:pPr>
              <w:spacing w:line="276" w:lineRule="auto"/>
              <w:rPr>
                <w:rFonts w:ascii="Times New Roman" w:hAnsi="Times New Roman" w:cs="Times New Roman"/>
                <w:b/>
              </w:rPr>
            </w:pPr>
            <w:r>
              <w:rPr>
                <w:rFonts w:ascii="Times New Roman" w:hAnsi="Times New Roman" w:cs="Times New Roman"/>
                <w:b/>
              </w:rPr>
              <w:t>Plutarch writes about how Mithridates’ body was sent to Pompeius</w:t>
            </w:r>
            <w:r w:rsidR="009D312B">
              <w:rPr>
                <w:rFonts w:ascii="Times New Roman" w:hAnsi="Times New Roman" w:cs="Times New Roman"/>
                <w:b/>
              </w:rPr>
              <w:t>. Ptolemy was brought many gifts from Pharnaces, including ‘the corpse of Mithridates himself, which was not easy to recognise by the face (for the embalmers had neglected to remove the brain), but those who cared to see the body recognised it by the scars’</w:t>
            </w:r>
            <w:r w:rsidR="009D312B">
              <w:rPr>
                <w:rStyle w:val="FootnoteReference"/>
                <w:rFonts w:ascii="Times New Roman" w:hAnsi="Times New Roman" w:cs="Times New Roman"/>
                <w:b/>
              </w:rPr>
              <w:footnoteReference w:id="121"/>
            </w:r>
            <w:r w:rsidR="009D312B">
              <w:rPr>
                <w:rFonts w:ascii="Times New Roman" w:hAnsi="Times New Roman" w:cs="Times New Roman"/>
                <w:b/>
              </w:rPr>
              <w:t>.</w:t>
            </w:r>
          </w:p>
        </w:tc>
      </w:tr>
      <w:tr w:rsidR="00DD336D" w:rsidRPr="006B039D" w14:paraId="01A6614F" w14:textId="77777777" w:rsidTr="00FD40B4">
        <w:trPr>
          <w:trHeight w:val="296"/>
        </w:trPr>
        <w:tc>
          <w:tcPr>
            <w:tcW w:w="1165" w:type="dxa"/>
          </w:tcPr>
          <w:p w14:paraId="20DAEA92" w14:textId="686275F2" w:rsidR="00DD336D" w:rsidRPr="006B039D" w:rsidRDefault="00DB3D89" w:rsidP="00FC292A">
            <w:pPr>
              <w:spacing w:line="276" w:lineRule="auto"/>
              <w:rPr>
                <w:rFonts w:ascii="Times New Roman" w:hAnsi="Times New Roman" w:cs="Times New Roman"/>
                <w:b/>
              </w:rPr>
            </w:pPr>
            <w:r>
              <w:rPr>
                <w:rFonts w:ascii="Times New Roman" w:hAnsi="Times New Roman" w:cs="Times New Roman"/>
                <w:b/>
              </w:rPr>
              <w:t>31 BC</w:t>
            </w:r>
            <w:r>
              <w:rPr>
                <w:rStyle w:val="FootnoteReference"/>
                <w:rFonts w:ascii="Times New Roman" w:hAnsi="Times New Roman" w:cs="Times New Roman"/>
                <w:b/>
              </w:rPr>
              <w:footnoteReference w:id="122"/>
            </w:r>
          </w:p>
        </w:tc>
        <w:tc>
          <w:tcPr>
            <w:tcW w:w="2340" w:type="dxa"/>
          </w:tcPr>
          <w:p w14:paraId="0965AA26" w14:textId="0F028A38" w:rsidR="00DD336D" w:rsidRPr="006B039D" w:rsidRDefault="00DD336D" w:rsidP="00FC292A">
            <w:pPr>
              <w:spacing w:line="276" w:lineRule="auto"/>
              <w:rPr>
                <w:rFonts w:ascii="Times New Roman" w:hAnsi="Times New Roman" w:cs="Times New Roman"/>
              </w:rPr>
            </w:pPr>
            <w:r w:rsidRPr="006B039D">
              <w:rPr>
                <w:rFonts w:ascii="Times New Roman" w:hAnsi="Times New Roman" w:cs="Times New Roman"/>
              </w:rPr>
              <w:t>Battle of Actium</w:t>
            </w:r>
          </w:p>
        </w:tc>
        <w:tc>
          <w:tcPr>
            <w:tcW w:w="5040" w:type="dxa"/>
          </w:tcPr>
          <w:p w14:paraId="1C3D35BE" w14:textId="4818F408" w:rsidR="00DD336D" w:rsidRPr="006B039D" w:rsidRDefault="004326ED" w:rsidP="00FC292A">
            <w:pPr>
              <w:spacing w:line="276" w:lineRule="auto"/>
              <w:rPr>
                <w:rFonts w:ascii="Times New Roman" w:hAnsi="Times New Roman" w:cs="Times New Roman"/>
                <w:b/>
              </w:rPr>
            </w:pPr>
            <w:r>
              <w:rPr>
                <w:rFonts w:ascii="Times New Roman" w:hAnsi="Times New Roman" w:cs="Times New Roman"/>
                <w:b/>
              </w:rPr>
              <w:t>Th</w:t>
            </w:r>
            <w:r w:rsidR="00BC3526">
              <w:rPr>
                <w:rFonts w:ascii="Times New Roman" w:hAnsi="Times New Roman" w:cs="Times New Roman"/>
                <w:b/>
              </w:rPr>
              <w:t xml:space="preserve">is battle was between Octavian and Cleopatra with Antony, and was also the last civil war of the Roman Republic. Octavian </w:t>
            </w:r>
            <w:r w:rsidR="00BC3526">
              <w:rPr>
                <w:rFonts w:ascii="Times New Roman" w:hAnsi="Times New Roman" w:cs="Times New Roman"/>
                <w:b/>
              </w:rPr>
              <w:lastRenderedPageBreak/>
              <w:t>won, and with this victory, he was able to start the monarchy</w:t>
            </w:r>
            <w:r w:rsidR="00BC3526">
              <w:rPr>
                <w:rStyle w:val="FootnoteReference"/>
                <w:rFonts w:ascii="Times New Roman" w:hAnsi="Times New Roman" w:cs="Times New Roman"/>
                <w:b/>
              </w:rPr>
              <w:footnoteReference w:id="123"/>
            </w:r>
            <w:r w:rsidR="00BC3526">
              <w:rPr>
                <w:rFonts w:ascii="Times New Roman" w:hAnsi="Times New Roman" w:cs="Times New Roman"/>
                <w:b/>
              </w:rPr>
              <w:t>.</w:t>
            </w:r>
          </w:p>
        </w:tc>
        <w:tc>
          <w:tcPr>
            <w:tcW w:w="5400" w:type="dxa"/>
          </w:tcPr>
          <w:p w14:paraId="73438DDE" w14:textId="1E0F7B1F" w:rsidR="00DD336D" w:rsidRPr="006B039D" w:rsidRDefault="00BC3526" w:rsidP="00FC292A">
            <w:pPr>
              <w:spacing w:line="276" w:lineRule="auto"/>
              <w:rPr>
                <w:rFonts w:ascii="Times New Roman" w:hAnsi="Times New Roman" w:cs="Times New Roman"/>
                <w:b/>
              </w:rPr>
            </w:pPr>
            <w:r>
              <w:rPr>
                <w:rFonts w:ascii="Times New Roman" w:hAnsi="Times New Roman" w:cs="Times New Roman"/>
                <w:b/>
              </w:rPr>
              <w:lastRenderedPageBreak/>
              <w:t xml:space="preserve">Cassius Dio gives a description of how the ships from Italy attacked the boats from the east – </w:t>
            </w:r>
            <w:r>
              <w:rPr>
                <w:rFonts w:ascii="Times New Roman" w:hAnsi="Times New Roman" w:cs="Times New Roman"/>
                <w:b/>
              </w:rPr>
              <w:lastRenderedPageBreak/>
              <w:t>Octavian’s boats were able to burn down Antony’s</w:t>
            </w:r>
            <w:r w:rsidR="006F5DF1">
              <w:rPr>
                <w:rStyle w:val="FootnoteReference"/>
                <w:rFonts w:ascii="Times New Roman" w:hAnsi="Times New Roman" w:cs="Times New Roman"/>
                <w:b/>
              </w:rPr>
              <w:footnoteReference w:id="124"/>
            </w:r>
            <w:r>
              <w:rPr>
                <w:rFonts w:ascii="Times New Roman" w:hAnsi="Times New Roman" w:cs="Times New Roman"/>
                <w:b/>
              </w:rPr>
              <w:t>.</w:t>
            </w:r>
          </w:p>
        </w:tc>
      </w:tr>
    </w:tbl>
    <w:p w14:paraId="668F5D57" w14:textId="571FFC77" w:rsidR="002D535C" w:rsidRPr="006B039D" w:rsidRDefault="002D535C" w:rsidP="00FC292A">
      <w:pPr>
        <w:spacing w:line="276" w:lineRule="auto"/>
        <w:rPr>
          <w:rFonts w:ascii="Times New Roman" w:hAnsi="Times New Roman" w:cs="Times New Roman"/>
        </w:rPr>
      </w:pPr>
    </w:p>
    <w:p w14:paraId="7B4B3DEE" w14:textId="77777777" w:rsidR="002D535C" w:rsidRPr="006B039D" w:rsidRDefault="002D535C" w:rsidP="00FC292A">
      <w:pPr>
        <w:spacing w:line="276" w:lineRule="auto"/>
        <w:rPr>
          <w:rFonts w:ascii="Times New Roman" w:hAnsi="Times New Roman" w:cs="Times New Roman"/>
        </w:rPr>
      </w:pPr>
    </w:p>
    <w:p w14:paraId="1093C5CE" w14:textId="77777777" w:rsidR="002D535C" w:rsidRPr="006B039D" w:rsidRDefault="002D535C" w:rsidP="00FC292A">
      <w:pPr>
        <w:spacing w:line="276" w:lineRule="auto"/>
        <w:rPr>
          <w:rFonts w:ascii="Times New Roman" w:hAnsi="Times New Roman" w:cs="Times New Roman"/>
        </w:rPr>
      </w:pPr>
    </w:p>
    <w:p w14:paraId="10182A82" w14:textId="77777777" w:rsidR="002D535C" w:rsidRPr="006B039D" w:rsidRDefault="002D535C" w:rsidP="00FC292A">
      <w:pPr>
        <w:spacing w:line="276" w:lineRule="auto"/>
        <w:rPr>
          <w:rFonts w:ascii="Times New Roman" w:hAnsi="Times New Roman" w:cs="Times New Roman"/>
        </w:rPr>
      </w:pPr>
    </w:p>
    <w:p w14:paraId="0A237953" w14:textId="77777777" w:rsidR="002D535C" w:rsidRPr="006B039D" w:rsidRDefault="002D535C" w:rsidP="00FC292A">
      <w:pPr>
        <w:tabs>
          <w:tab w:val="left" w:pos="3413"/>
        </w:tabs>
        <w:spacing w:line="276" w:lineRule="auto"/>
        <w:rPr>
          <w:rFonts w:ascii="Times New Roman" w:hAnsi="Times New Roman" w:cs="Times New Roman"/>
        </w:rPr>
      </w:pPr>
      <w:r w:rsidRPr="006B039D">
        <w:rPr>
          <w:rFonts w:ascii="Times New Roman" w:hAnsi="Times New Roman" w:cs="Times New Roman"/>
        </w:rPr>
        <w:tab/>
      </w:r>
    </w:p>
    <w:p w14:paraId="0DF20C32" w14:textId="77777777" w:rsidR="002D535C" w:rsidRPr="006B039D" w:rsidRDefault="002D535C" w:rsidP="00FC292A">
      <w:pPr>
        <w:tabs>
          <w:tab w:val="left" w:pos="3413"/>
        </w:tabs>
        <w:spacing w:line="276" w:lineRule="auto"/>
        <w:rPr>
          <w:rFonts w:ascii="Times New Roman" w:hAnsi="Times New Roman" w:cs="Times New Roman"/>
        </w:rPr>
      </w:pPr>
    </w:p>
    <w:p w14:paraId="19CA7FA2" w14:textId="77777777" w:rsidR="002D535C" w:rsidRPr="006B039D" w:rsidRDefault="002D535C" w:rsidP="00FC292A">
      <w:pPr>
        <w:tabs>
          <w:tab w:val="left" w:pos="3413"/>
        </w:tabs>
        <w:spacing w:line="276" w:lineRule="auto"/>
        <w:rPr>
          <w:rFonts w:ascii="Times New Roman" w:hAnsi="Times New Roman" w:cs="Times New Roman"/>
        </w:rPr>
      </w:pPr>
    </w:p>
    <w:p w14:paraId="088F1670" w14:textId="77777777" w:rsidR="002D535C" w:rsidRPr="006B039D" w:rsidRDefault="002D535C" w:rsidP="00FC292A">
      <w:pPr>
        <w:tabs>
          <w:tab w:val="left" w:pos="3413"/>
        </w:tabs>
        <w:spacing w:line="276" w:lineRule="auto"/>
        <w:rPr>
          <w:rFonts w:ascii="Times New Roman" w:hAnsi="Times New Roman" w:cs="Times New Roman"/>
        </w:rPr>
      </w:pPr>
    </w:p>
    <w:p w14:paraId="745C7D15" w14:textId="77777777" w:rsidR="002D535C" w:rsidRPr="006B039D" w:rsidRDefault="002D535C" w:rsidP="00FC292A">
      <w:pPr>
        <w:tabs>
          <w:tab w:val="left" w:pos="3413"/>
        </w:tabs>
        <w:spacing w:line="276" w:lineRule="auto"/>
        <w:rPr>
          <w:rFonts w:ascii="Times New Roman" w:hAnsi="Times New Roman" w:cs="Times New Roman"/>
        </w:rPr>
      </w:pPr>
    </w:p>
    <w:p w14:paraId="1B3789E3" w14:textId="77777777" w:rsidR="002D535C" w:rsidRPr="006B039D" w:rsidRDefault="002D535C" w:rsidP="00FC292A">
      <w:pPr>
        <w:tabs>
          <w:tab w:val="left" w:pos="3413"/>
        </w:tabs>
        <w:spacing w:line="276" w:lineRule="auto"/>
        <w:rPr>
          <w:rFonts w:ascii="Times New Roman" w:hAnsi="Times New Roman" w:cs="Times New Roman"/>
        </w:rPr>
      </w:pPr>
    </w:p>
    <w:p w14:paraId="3CB19BA9" w14:textId="77777777" w:rsidR="002D535C" w:rsidRPr="006B039D" w:rsidRDefault="002D535C" w:rsidP="00FC292A">
      <w:pPr>
        <w:tabs>
          <w:tab w:val="left" w:pos="3413"/>
        </w:tabs>
        <w:spacing w:line="276" w:lineRule="auto"/>
        <w:rPr>
          <w:rFonts w:ascii="Times New Roman" w:hAnsi="Times New Roman" w:cs="Times New Roman"/>
        </w:rPr>
      </w:pPr>
    </w:p>
    <w:p w14:paraId="04AD8634" w14:textId="77777777" w:rsidR="002D535C" w:rsidRPr="006B039D" w:rsidRDefault="002D535C" w:rsidP="00FC292A">
      <w:pPr>
        <w:tabs>
          <w:tab w:val="left" w:pos="3413"/>
        </w:tabs>
        <w:spacing w:line="276" w:lineRule="auto"/>
        <w:rPr>
          <w:rFonts w:ascii="Times New Roman" w:hAnsi="Times New Roman" w:cs="Times New Roman"/>
        </w:rPr>
      </w:pPr>
    </w:p>
    <w:p w14:paraId="10022A46" w14:textId="77777777" w:rsidR="002D535C" w:rsidRPr="006B039D" w:rsidRDefault="002D535C" w:rsidP="00FC292A">
      <w:pPr>
        <w:tabs>
          <w:tab w:val="left" w:pos="3413"/>
        </w:tabs>
        <w:spacing w:line="276" w:lineRule="auto"/>
        <w:rPr>
          <w:rFonts w:ascii="Times New Roman" w:hAnsi="Times New Roman" w:cs="Times New Roman"/>
        </w:rPr>
      </w:pPr>
    </w:p>
    <w:p w14:paraId="3E1C6771" w14:textId="77777777" w:rsidR="002D535C" w:rsidRPr="006B039D" w:rsidRDefault="002D535C" w:rsidP="00FC292A">
      <w:pPr>
        <w:tabs>
          <w:tab w:val="left" w:pos="3413"/>
        </w:tabs>
        <w:spacing w:line="276" w:lineRule="auto"/>
        <w:rPr>
          <w:rFonts w:ascii="Times New Roman" w:hAnsi="Times New Roman" w:cs="Times New Roman"/>
        </w:rPr>
      </w:pPr>
    </w:p>
    <w:p w14:paraId="62B933BD" w14:textId="77777777" w:rsidR="002D535C" w:rsidRPr="006B039D" w:rsidRDefault="002D535C" w:rsidP="00FC292A">
      <w:pPr>
        <w:tabs>
          <w:tab w:val="left" w:pos="3413"/>
        </w:tabs>
        <w:spacing w:line="276" w:lineRule="auto"/>
        <w:rPr>
          <w:rFonts w:ascii="Times New Roman" w:hAnsi="Times New Roman" w:cs="Times New Roman"/>
        </w:rPr>
      </w:pPr>
    </w:p>
    <w:p w14:paraId="7602C3C1" w14:textId="77777777" w:rsidR="002D535C" w:rsidRPr="006B039D" w:rsidRDefault="002D535C" w:rsidP="00FC292A">
      <w:pPr>
        <w:tabs>
          <w:tab w:val="left" w:pos="3413"/>
        </w:tabs>
        <w:spacing w:line="276" w:lineRule="auto"/>
        <w:rPr>
          <w:rFonts w:ascii="Times New Roman" w:hAnsi="Times New Roman" w:cs="Times New Roman"/>
        </w:rPr>
      </w:pPr>
    </w:p>
    <w:p w14:paraId="631CCB1B" w14:textId="77777777" w:rsidR="002D535C" w:rsidRPr="006B039D" w:rsidRDefault="002D535C" w:rsidP="00FC292A">
      <w:pPr>
        <w:tabs>
          <w:tab w:val="left" w:pos="3413"/>
        </w:tabs>
        <w:spacing w:line="276" w:lineRule="auto"/>
        <w:rPr>
          <w:rFonts w:ascii="Times New Roman" w:hAnsi="Times New Roman" w:cs="Times New Roman"/>
        </w:rPr>
      </w:pPr>
    </w:p>
    <w:p w14:paraId="62A8BEB9" w14:textId="77777777" w:rsidR="002D535C" w:rsidRPr="006B039D" w:rsidRDefault="002D535C" w:rsidP="00FC292A">
      <w:pPr>
        <w:tabs>
          <w:tab w:val="left" w:pos="3413"/>
        </w:tabs>
        <w:spacing w:line="276" w:lineRule="auto"/>
        <w:rPr>
          <w:rFonts w:ascii="Times New Roman" w:hAnsi="Times New Roman" w:cs="Times New Roman"/>
        </w:rPr>
      </w:pPr>
    </w:p>
    <w:p w14:paraId="7EA998F8" w14:textId="77777777" w:rsidR="002D535C" w:rsidRPr="006B039D" w:rsidRDefault="002D535C" w:rsidP="00FC292A">
      <w:pPr>
        <w:tabs>
          <w:tab w:val="left" w:pos="3413"/>
        </w:tabs>
        <w:spacing w:line="276" w:lineRule="auto"/>
        <w:rPr>
          <w:rFonts w:ascii="Times New Roman" w:hAnsi="Times New Roman" w:cs="Times New Roman"/>
        </w:rPr>
      </w:pPr>
    </w:p>
    <w:p w14:paraId="4B5E5329" w14:textId="77777777" w:rsidR="002D535C" w:rsidRPr="006B039D" w:rsidRDefault="002D535C" w:rsidP="00FC292A">
      <w:pPr>
        <w:tabs>
          <w:tab w:val="left" w:pos="3413"/>
        </w:tabs>
        <w:spacing w:line="276" w:lineRule="auto"/>
        <w:rPr>
          <w:rFonts w:ascii="Times New Roman" w:hAnsi="Times New Roman" w:cs="Times New Roman"/>
        </w:rPr>
      </w:pPr>
    </w:p>
    <w:p w14:paraId="7CA9297A" w14:textId="77777777" w:rsidR="002D535C" w:rsidRPr="006B039D" w:rsidRDefault="002D535C" w:rsidP="00FC292A">
      <w:pPr>
        <w:tabs>
          <w:tab w:val="left" w:pos="3413"/>
        </w:tabs>
        <w:spacing w:line="276" w:lineRule="auto"/>
        <w:rPr>
          <w:rFonts w:ascii="Times New Roman" w:hAnsi="Times New Roman" w:cs="Times New Roman"/>
        </w:rPr>
      </w:pPr>
    </w:p>
    <w:p w14:paraId="00A92882" w14:textId="77777777" w:rsidR="002D535C" w:rsidRPr="006B039D" w:rsidRDefault="002D535C" w:rsidP="00FC292A">
      <w:pPr>
        <w:tabs>
          <w:tab w:val="left" w:pos="3413"/>
        </w:tabs>
        <w:spacing w:line="276" w:lineRule="auto"/>
        <w:rPr>
          <w:rFonts w:ascii="Times New Roman" w:hAnsi="Times New Roman" w:cs="Times New Roman"/>
        </w:rPr>
      </w:pPr>
    </w:p>
    <w:p w14:paraId="20043EB6" w14:textId="77777777" w:rsidR="000D3010" w:rsidRDefault="000D3010" w:rsidP="00FC292A">
      <w:pPr>
        <w:spacing w:line="276" w:lineRule="auto"/>
        <w:rPr>
          <w:rFonts w:ascii="Times New Roman" w:hAnsi="Times New Roman" w:cs="Times New Roman"/>
        </w:rPr>
      </w:pPr>
    </w:p>
    <w:p w14:paraId="71B099BF" w14:textId="77777777" w:rsidR="000D3010" w:rsidRPr="00CE704F" w:rsidRDefault="000D3010" w:rsidP="000D3010">
      <w:pPr>
        <w:rPr>
          <w:lang w:val="en-US"/>
        </w:rPr>
      </w:pPr>
      <w:r w:rsidRPr="00CE704F">
        <w:rPr>
          <w:lang w:val="en-US"/>
        </w:rPr>
        <w:lastRenderedPageBreak/>
        <w:t>Ancient Sources</w:t>
      </w:r>
    </w:p>
    <w:p w14:paraId="1F07265B" w14:textId="77777777" w:rsidR="000D3010" w:rsidRPr="00CE704F" w:rsidRDefault="000D3010" w:rsidP="000D3010">
      <w:pPr>
        <w:rPr>
          <w:lang w:val="en-US"/>
        </w:rPr>
      </w:pPr>
    </w:p>
    <w:p w14:paraId="70572F2C" w14:textId="77777777" w:rsidR="000D3010" w:rsidRPr="007A1BB3" w:rsidRDefault="000D3010" w:rsidP="000D3010">
      <w:pPr>
        <w:rPr>
          <w:rFonts w:ascii="Times New Roman" w:eastAsia="Times New Roman" w:hAnsi="Times New Roman" w:cs="Times New Roman"/>
          <w:lang w:eastAsia="en-GB"/>
        </w:rPr>
      </w:pPr>
      <w:r w:rsidRPr="00CE704F">
        <w:rPr>
          <w:rFonts w:ascii="zephtextregular" w:eastAsia="Times New Roman" w:hAnsi="zephtextregular" w:cs="Times New Roman"/>
          <w:color w:val="333333"/>
          <w:shd w:val="clear" w:color="auto" w:fill="FFFFFF"/>
          <w:lang w:eastAsia="en-GB"/>
        </w:rPr>
        <w:t>Arrian</w:t>
      </w:r>
      <w:r w:rsidRPr="007A1BB3">
        <w:rPr>
          <w:rFonts w:ascii="zephtextregular" w:eastAsia="Times New Roman" w:hAnsi="zephtextregular" w:cs="Times New Roman"/>
          <w:color w:val="333333"/>
          <w:shd w:val="clear" w:color="auto" w:fill="FFFFFF"/>
          <w:lang w:eastAsia="en-GB"/>
        </w:rPr>
        <w:t>. </w:t>
      </w:r>
      <w:r w:rsidRPr="00CE704F">
        <w:rPr>
          <w:rFonts w:ascii="zephtextregular" w:eastAsia="Times New Roman" w:hAnsi="zephtextregular" w:cs="Times New Roman"/>
          <w:i/>
          <w:iCs/>
          <w:color w:val="333333"/>
          <w:shd w:val="clear" w:color="auto" w:fill="FFFFFF"/>
          <w:lang w:eastAsia="en-GB"/>
        </w:rPr>
        <w:t>Anabasis of Alexander.</w:t>
      </w:r>
      <w:r w:rsidRPr="007A1BB3">
        <w:rPr>
          <w:rFonts w:ascii="zephtextregular" w:eastAsia="Times New Roman" w:hAnsi="zephtextregular" w:cs="Times New Roman"/>
          <w:i/>
          <w:iCs/>
          <w:color w:val="333333"/>
          <w:shd w:val="clear" w:color="auto" w:fill="FFFFFF"/>
          <w:lang w:eastAsia="en-GB"/>
        </w:rPr>
        <w:t> </w:t>
      </w:r>
      <w:r w:rsidRPr="00CE704F">
        <w:rPr>
          <w:rFonts w:ascii="zephtextregular" w:eastAsia="Times New Roman" w:hAnsi="zephtextregular" w:cs="Times New Roman"/>
          <w:color w:val="333333"/>
          <w:shd w:val="clear" w:color="auto" w:fill="FFFFFF"/>
          <w:lang w:eastAsia="en-GB"/>
        </w:rPr>
        <w:t>P. A. Brunt (trans.). 1976. Cambridge, MA: Harvard University Press</w:t>
      </w:r>
    </w:p>
    <w:p w14:paraId="5BB99B13" w14:textId="77777777" w:rsidR="000D3010" w:rsidRPr="00CE704F" w:rsidRDefault="000D3010" w:rsidP="000D3010">
      <w:pPr>
        <w:rPr>
          <w:lang w:val="en-US"/>
        </w:rPr>
      </w:pPr>
    </w:p>
    <w:p w14:paraId="7A7F1DE9"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r w:rsidRPr="00CE704F">
        <w:rPr>
          <w:rFonts w:ascii="zephtextregular" w:eastAsia="Times New Roman" w:hAnsi="zephtextregular" w:cs="Times New Roman"/>
          <w:color w:val="333333"/>
          <w:shd w:val="clear" w:color="auto" w:fill="FFFFFF"/>
          <w:lang w:eastAsia="en-GB"/>
        </w:rPr>
        <w:t>Diodorus Siculus</w:t>
      </w:r>
      <w:r w:rsidRPr="00EA6DCA">
        <w:rPr>
          <w:rFonts w:ascii="zephtextregular" w:eastAsia="Times New Roman" w:hAnsi="zephtextregular" w:cs="Times New Roman"/>
          <w:color w:val="333333"/>
          <w:shd w:val="clear" w:color="auto" w:fill="FFFFFF"/>
          <w:lang w:eastAsia="en-GB"/>
        </w:rPr>
        <w:t>. </w:t>
      </w:r>
      <w:r w:rsidRPr="00CE704F">
        <w:rPr>
          <w:rFonts w:ascii="zephtextregular" w:eastAsia="Times New Roman" w:hAnsi="zephtextregular" w:cs="Times New Roman"/>
          <w:i/>
          <w:iCs/>
          <w:color w:val="333333"/>
          <w:shd w:val="clear" w:color="auto" w:fill="FFFFFF"/>
          <w:lang w:eastAsia="en-GB"/>
        </w:rPr>
        <w:t>Library of History</w:t>
      </w:r>
      <w:r w:rsidRPr="00EA6DCA">
        <w:rPr>
          <w:rFonts w:ascii="zephtextregular" w:eastAsia="Times New Roman" w:hAnsi="zephtextregular" w:cs="Times New Roman"/>
          <w:i/>
          <w:iCs/>
          <w:color w:val="333333"/>
          <w:shd w:val="clear" w:color="auto" w:fill="FFFFFF"/>
          <w:lang w:eastAsia="en-GB"/>
        </w:rPr>
        <w:t>. </w:t>
      </w:r>
      <w:r w:rsidRPr="00CE704F">
        <w:rPr>
          <w:rFonts w:ascii="zephtextregular" w:eastAsia="Times New Roman" w:hAnsi="zephtextregular" w:cs="Times New Roman"/>
          <w:color w:val="333333"/>
          <w:shd w:val="clear" w:color="auto" w:fill="FFFFFF"/>
          <w:lang w:eastAsia="en-GB"/>
        </w:rPr>
        <w:t>C. H. Oldfather (trans.). 1993.</w:t>
      </w:r>
      <w:r w:rsidRPr="00EA6DCA">
        <w:rPr>
          <w:rFonts w:ascii="zephtextregular" w:eastAsia="Times New Roman" w:hAnsi="zephtextregular" w:cs="Times New Roman"/>
          <w:color w:val="333333"/>
          <w:shd w:val="clear" w:color="auto" w:fill="FFFFFF"/>
          <w:lang w:eastAsia="en-GB"/>
        </w:rPr>
        <w:t xml:space="preserve"> Cambridg</w:t>
      </w:r>
      <w:r w:rsidRPr="00CE704F">
        <w:rPr>
          <w:rFonts w:ascii="zephtextregular" w:eastAsia="Times New Roman" w:hAnsi="zephtextregular" w:cs="Times New Roman"/>
          <w:color w:val="333333"/>
          <w:shd w:val="clear" w:color="auto" w:fill="FFFFFF"/>
          <w:lang w:eastAsia="en-GB"/>
        </w:rPr>
        <w:t>e, MA: Harvard University Press</w:t>
      </w:r>
    </w:p>
    <w:p w14:paraId="79AB7711"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p>
    <w:p w14:paraId="4203B818"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r w:rsidRPr="00CE704F">
        <w:rPr>
          <w:rFonts w:ascii="zephtextregular" w:eastAsia="Times New Roman" w:hAnsi="zephtextregular" w:cs="Times New Roman"/>
          <w:color w:val="333333"/>
          <w:shd w:val="clear" w:color="auto" w:fill="FFFFFF"/>
          <w:lang w:eastAsia="en-GB"/>
        </w:rPr>
        <w:t>Plutarch</w:t>
      </w:r>
      <w:r w:rsidRPr="0056274B">
        <w:rPr>
          <w:rFonts w:ascii="zephtextregular" w:eastAsia="Times New Roman" w:hAnsi="zephtextregular" w:cs="Times New Roman"/>
          <w:color w:val="333333"/>
          <w:shd w:val="clear" w:color="auto" w:fill="FFFFFF"/>
          <w:lang w:eastAsia="en-GB"/>
        </w:rPr>
        <w:t>. </w:t>
      </w:r>
      <w:r w:rsidRPr="0056274B">
        <w:rPr>
          <w:rFonts w:ascii="zephtextregular" w:eastAsia="Times New Roman" w:hAnsi="zephtextregular" w:cs="Times New Roman"/>
          <w:i/>
          <w:iCs/>
          <w:color w:val="333333"/>
          <w:shd w:val="clear" w:color="auto" w:fill="FFFFFF"/>
          <w:lang w:eastAsia="en-GB"/>
        </w:rPr>
        <w:t>Lives, Volume VII: Demosthenes and Cicero. Alexander and Caesar. </w:t>
      </w:r>
      <w:r w:rsidRPr="00CE704F">
        <w:rPr>
          <w:rFonts w:ascii="zephtextregular" w:eastAsia="Times New Roman" w:hAnsi="zephtextregular" w:cs="Times New Roman"/>
          <w:color w:val="333333"/>
          <w:shd w:val="clear" w:color="auto" w:fill="FFFFFF"/>
          <w:lang w:eastAsia="en-GB"/>
        </w:rPr>
        <w:t xml:space="preserve">Bernadotte Perrin (trans.). 1919. </w:t>
      </w:r>
      <w:r w:rsidRPr="0056274B">
        <w:rPr>
          <w:rFonts w:ascii="zephtextregular" w:eastAsia="Times New Roman" w:hAnsi="zephtextregular" w:cs="Times New Roman"/>
          <w:color w:val="333333"/>
          <w:shd w:val="clear" w:color="auto" w:fill="FFFFFF"/>
          <w:lang w:eastAsia="en-GB"/>
        </w:rPr>
        <w:t>Cambridg</w:t>
      </w:r>
      <w:r w:rsidRPr="00CE704F">
        <w:rPr>
          <w:rFonts w:ascii="zephtextregular" w:eastAsia="Times New Roman" w:hAnsi="zephtextregular" w:cs="Times New Roman"/>
          <w:color w:val="333333"/>
          <w:shd w:val="clear" w:color="auto" w:fill="FFFFFF"/>
          <w:lang w:eastAsia="en-GB"/>
        </w:rPr>
        <w:t>e, MA: Harvard University Press</w:t>
      </w:r>
    </w:p>
    <w:p w14:paraId="23BA405F"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p>
    <w:p w14:paraId="3B443336"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r w:rsidRPr="00CE704F">
        <w:rPr>
          <w:rFonts w:ascii="zephtextregular" w:eastAsia="Times New Roman" w:hAnsi="zephtextregular" w:cs="Times New Roman"/>
          <w:color w:val="333333"/>
          <w:shd w:val="clear" w:color="auto" w:fill="FFFFFF"/>
          <w:lang w:eastAsia="en-GB"/>
        </w:rPr>
        <w:t>Plutarch</w:t>
      </w:r>
      <w:r w:rsidRPr="00EF2C7B">
        <w:rPr>
          <w:rFonts w:ascii="zephtextregular" w:eastAsia="Times New Roman" w:hAnsi="zephtextregular" w:cs="Times New Roman"/>
          <w:color w:val="333333"/>
          <w:shd w:val="clear" w:color="auto" w:fill="FFFFFF"/>
          <w:lang w:eastAsia="en-GB"/>
        </w:rPr>
        <w:t>. </w:t>
      </w:r>
      <w:r w:rsidRPr="00EF2C7B">
        <w:rPr>
          <w:rFonts w:ascii="zephtextregular" w:eastAsia="Times New Roman" w:hAnsi="zephtextregular" w:cs="Times New Roman"/>
          <w:i/>
          <w:iCs/>
          <w:color w:val="333333"/>
          <w:shd w:val="clear" w:color="auto" w:fill="FFFFFF"/>
          <w:lang w:eastAsia="en-GB"/>
        </w:rPr>
        <w:t>Lives, Volume IX: Demetrius and Antony. Pyrrhus and Gaius Marius.</w:t>
      </w:r>
      <w:r w:rsidRPr="00CE704F">
        <w:rPr>
          <w:rFonts w:ascii="zephtextregular" w:eastAsia="Times New Roman" w:hAnsi="zephtextregular" w:cs="Times New Roman"/>
          <w:color w:val="333333"/>
          <w:shd w:val="clear" w:color="auto" w:fill="FFFFFF"/>
          <w:lang w:eastAsia="en-GB"/>
        </w:rPr>
        <w:t xml:space="preserve"> Bernadotte Perrin (trans.). 1920.</w:t>
      </w:r>
      <w:r w:rsidRPr="00EF2C7B">
        <w:rPr>
          <w:rFonts w:ascii="zephtextregular" w:eastAsia="Times New Roman" w:hAnsi="zephtextregular" w:cs="Times New Roman"/>
          <w:color w:val="333333"/>
          <w:shd w:val="clear" w:color="auto" w:fill="FFFFFF"/>
          <w:lang w:eastAsia="en-GB"/>
        </w:rPr>
        <w:t xml:space="preserve"> Cambridge</w:t>
      </w:r>
      <w:r w:rsidRPr="00CE704F">
        <w:rPr>
          <w:rFonts w:ascii="zephtextregular" w:eastAsia="Times New Roman" w:hAnsi="zephtextregular" w:cs="Times New Roman"/>
          <w:color w:val="333333"/>
          <w:shd w:val="clear" w:color="auto" w:fill="FFFFFF"/>
          <w:lang w:eastAsia="en-GB"/>
        </w:rPr>
        <w:t>, MA: Harvard University Press</w:t>
      </w:r>
    </w:p>
    <w:p w14:paraId="426D6905"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p>
    <w:p w14:paraId="7A62CCD0"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r w:rsidRPr="00CE704F">
        <w:rPr>
          <w:rFonts w:ascii="zephtextregular" w:eastAsia="Times New Roman" w:hAnsi="zephtextregular" w:cs="Times New Roman"/>
          <w:color w:val="333333"/>
          <w:shd w:val="clear" w:color="auto" w:fill="FFFFFF"/>
          <w:lang w:eastAsia="en-GB"/>
        </w:rPr>
        <w:t>Plutarch</w:t>
      </w:r>
      <w:r w:rsidRPr="00406FB4">
        <w:rPr>
          <w:rFonts w:ascii="zephtextregular" w:eastAsia="Times New Roman" w:hAnsi="zephtextregular" w:cs="Times New Roman"/>
          <w:color w:val="333333"/>
          <w:shd w:val="clear" w:color="auto" w:fill="FFFFFF"/>
          <w:lang w:eastAsia="en-GB"/>
        </w:rPr>
        <w:t>. </w:t>
      </w:r>
      <w:r w:rsidRPr="00406FB4">
        <w:rPr>
          <w:rFonts w:ascii="zephtextregular" w:eastAsia="Times New Roman" w:hAnsi="zephtextregular" w:cs="Times New Roman"/>
          <w:i/>
          <w:iCs/>
          <w:color w:val="333333"/>
          <w:shd w:val="clear" w:color="auto" w:fill="FFFFFF"/>
          <w:lang w:eastAsia="en-GB"/>
        </w:rPr>
        <w:t>Lives, Volume X: Agis and Cleomenes. Tiberius and Gaius Gracchus. Philopoemen and Flamininus.</w:t>
      </w:r>
      <w:r w:rsidRPr="00CE704F">
        <w:rPr>
          <w:rFonts w:ascii="zephtextregular" w:eastAsia="Times New Roman" w:hAnsi="zephtextregular" w:cs="Times New Roman"/>
          <w:color w:val="333333"/>
          <w:shd w:val="clear" w:color="auto" w:fill="FFFFFF"/>
          <w:lang w:eastAsia="en-GB"/>
        </w:rPr>
        <w:t xml:space="preserve"> Bernadotte Perrin (trans.). 1921. </w:t>
      </w:r>
      <w:r w:rsidRPr="00406FB4">
        <w:rPr>
          <w:rFonts w:ascii="zephtextregular" w:eastAsia="Times New Roman" w:hAnsi="zephtextregular" w:cs="Times New Roman"/>
          <w:color w:val="333333"/>
          <w:shd w:val="clear" w:color="auto" w:fill="FFFFFF"/>
          <w:lang w:eastAsia="en-GB"/>
        </w:rPr>
        <w:t>Cambridge,</w:t>
      </w:r>
      <w:r w:rsidRPr="00CE704F">
        <w:rPr>
          <w:rFonts w:ascii="zephtextregular" w:eastAsia="Times New Roman" w:hAnsi="zephtextregular" w:cs="Times New Roman"/>
          <w:color w:val="333333"/>
          <w:shd w:val="clear" w:color="auto" w:fill="FFFFFF"/>
          <w:lang w:eastAsia="en-GB"/>
        </w:rPr>
        <w:t xml:space="preserve"> MA: Harvard University Press</w:t>
      </w:r>
    </w:p>
    <w:p w14:paraId="3B584C43"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p>
    <w:p w14:paraId="45727431" w14:textId="77777777" w:rsidR="000D3010" w:rsidRPr="00577259" w:rsidRDefault="000D3010" w:rsidP="000D3010">
      <w:pPr>
        <w:rPr>
          <w:rFonts w:ascii="Times New Roman" w:eastAsia="Times New Roman" w:hAnsi="Times New Roman" w:cs="Times New Roman"/>
          <w:lang w:eastAsia="en-GB"/>
        </w:rPr>
      </w:pPr>
      <w:r w:rsidRPr="00CE704F">
        <w:rPr>
          <w:rFonts w:ascii="zephtextregular" w:eastAsia="Times New Roman" w:hAnsi="zephtextregular" w:cs="Times New Roman"/>
          <w:color w:val="333333"/>
          <w:shd w:val="clear" w:color="auto" w:fill="FFFFFF"/>
          <w:lang w:eastAsia="en-GB"/>
        </w:rPr>
        <w:t>Plutarch</w:t>
      </w:r>
      <w:r w:rsidRPr="00577259">
        <w:rPr>
          <w:rFonts w:ascii="zephtextregular" w:eastAsia="Times New Roman" w:hAnsi="zephtextregular" w:cs="Times New Roman"/>
          <w:color w:val="333333"/>
          <w:shd w:val="clear" w:color="auto" w:fill="FFFFFF"/>
          <w:lang w:eastAsia="en-GB"/>
        </w:rPr>
        <w:t>. </w:t>
      </w:r>
      <w:r w:rsidRPr="00577259">
        <w:rPr>
          <w:rFonts w:ascii="zephtextregular" w:eastAsia="Times New Roman" w:hAnsi="zephtextregular" w:cs="Times New Roman"/>
          <w:i/>
          <w:iCs/>
          <w:color w:val="333333"/>
          <w:shd w:val="clear" w:color="auto" w:fill="FFFFFF"/>
          <w:lang w:eastAsia="en-GB"/>
        </w:rPr>
        <w:t>Lives, Volume V: Agesilaus and Pompey. Pelopidas and Marcellus. </w:t>
      </w:r>
      <w:r w:rsidRPr="00CE704F">
        <w:rPr>
          <w:rFonts w:ascii="zephtextregular" w:eastAsia="Times New Roman" w:hAnsi="zephtextregular" w:cs="Times New Roman"/>
          <w:color w:val="333333"/>
          <w:shd w:val="clear" w:color="auto" w:fill="FFFFFF"/>
          <w:lang w:eastAsia="en-GB"/>
        </w:rPr>
        <w:t xml:space="preserve"> Bernadotte Perrin (trans.). 1917</w:t>
      </w:r>
      <w:r w:rsidRPr="00577259">
        <w:rPr>
          <w:rFonts w:ascii="zephtextregular" w:eastAsia="Times New Roman" w:hAnsi="zephtextregular" w:cs="Times New Roman"/>
          <w:color w:val="333333"/>
          <w:shd w:val="clear" w:color="auto" w:fill="FFFFFF"/>
          <w:lang w:eastAsia="en-GB"/>
        </w:rPr>
        <w:t>. Cambridg</w:t>
      </w:r>
      <w:r w:rsidRPr="00CE704F">
        <w:rPr>
          <w:rFonts w:ascii="zephtextregular" w:eastAsia="Times New Roman" w:hAnsi="zephtextregular" w:cs="Times New Roman"/>
          <w:color w:val="333333"/>
          <w:shd w:val="clear" w:color="auto" w:fill="FFFFFF"/>
          <w:lang w:eastAsia="en-GB"/>
        </w:rPr>
        <w:t>e, MA: Harvard University Press</w:t>
      </w:r>
    </w:p>
    <w:p w14:paraId="52E04B13" w14:textId="77777777" w:rsidR="000D3010" w:rsidRPr="00CE704F" w:rsidRDefault="000D3010" w:rsidP="000D3010">
      <w:pPr>
        <w:rPr>
          <w:rFonts w:ascii="Times New Roman" w:eastAsia="Times New Roman" w:hAnsi="Times New Roman" w:cs="Times New Roman"/>
          <w:lang w:eastAsia="en-GB"/>
        </w:rPr>
      </w:pPr>
    </w:p>
    <w:p w14:paraId="01ACF87D"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r w:rsidRPr="00CE704F">
        <w:rPr>
          <w:rFonts w:ascii="zephtextregular" w:eastAsia="Times New Roman" w:hAnsi="zephtextregular" w:cs="Times New Roman"/>
          <w:color w:val="333333"/>
          <w:shd w:val="clear" w:color="auto" w:fill="FFFFFF"/>
          <w:lang w:eastAsia="en-GB"/>
        </w:rPr>
        <w:t>Valerius Maximus</w:t>
      </w:r>
      <w:r w:rsidRPr="00134C4A">
        <w:rPr>
          <w:rFonts w:ascii="zephtextregular" w:eastAsia="Times New Roman" w:hAnsi="zephtextregular" w:cs="Times New Roman"/>
          <w:color w:val="333333"/>
          <w:shd w:val="clear" w:color="auto" w:fill="FFFFFF"/>
          <w:lang w:eastAsia="en-GB"/>
        </w:rPr>
        <w:t>. </w:t>
      </w:r>
      <w:r w:rsidRPr="00134C4A">
        <w:rPr>
          <w:rFonts w:ascii="zephtextregular" w:eastAsia="Times New Roman" w:hAnsi="zephtextregular" w:cs="Times New Roman"/>
          <w:i/>
          <w:iCs/>
          <w:color w:val="333333"/>
          <w:shd w:val="clear" w:color="auto" w:fill="FFFFFF"/>
          <w:lang w:eastAsia="en-GB"/>
        </w:rPr>
        <w:t>Memorable Doings and Sayings, Volume I: Books 1-5. </w:t>
      </w:r>
      <w:r w:rsidRPr="00CE704F">
        <w:rPr>
          <w:rFonts w:ascii="zephtextregular" w:eastAsia="Times New Roman" w:hAnsi="zephtextregular" w:cs="Times New Roman"/>
          <w:color w:val="333333"/>
          <w:shd w:val="clear" w:color="auto" w:fill="FFFFFF"/>
          <w:lang w:eastAsia="en-GB"/>
        </w:rPr>
        <w:t xml:space="preserve">D. R. Shackleton Bailey (trans.). 2000. </w:t>
      </w:r>
      <w:r w:rsidRPr="00134C4A">
        <w:rPr>
          <w:rFonts w:ascii="zephtextregular" w:eastAsia="Times New Roman" w:hAnsi="zephtextregular" w:cs="Times New Roman"/>
          <w:color w:val="333333"/>
          <w:shd w:val="clear" w:color="auto" w:fill="FFFFFF"/>
          <w:lang w:eastAsia="en-GB"/>
        </w:rPr>
        <w:t>Cambridge,</w:t>
      </w:r>
      <w:r w:rsidRPr="00CE704F">
        <w:rPr>
          <w:rFonts w:ascii="zephtextregular" w:eastAsia="Times New Roman" w:hAnsi="zephtextregular" w:cs="Times New Roman"/>
          <w:color w:val="333333"/>
          <w:shd w:val="clear" w:color="auto" w:fill="FFFFFF"/>
          <w:lang w:eastAsia="en-GB"/>
        </w:rPr>
        <w:t xml:space="preserve"> MA: Harvard University Press</w:t>
      </w:r>
    </w:p>
    <w:p w14:paraId="63C58C0E"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p>
    <w:p w14:paraId="2C9ADB38"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r w:rsidRPr="00CE704F">
        <w:rPr>
          <w:rFonts w:ascii="zephtextregular" w:eastAsia="Times New Roman" w:hAnsi="zephtextregular" w:cs="Times New Roman"/>
          <w:color w:val="333333"/>
          <w:shd w:val="clear" w:color="auto" w:fill="FFFFFF"/>
          <w:lang w:eastAsia="en-GB"/>
        </w:rPr>
        <w:t>Pausanias</w:t>
      </w:r>
      <w:r w:rsidRPr="00C20864">
        <w:rPr>
          <w:rFonts w:ascii="zephtextregular" w:eastAsia="Times New Roman" w:hAnsi="zephtextregular" w:cs="Times New Roman"/>
          <w:color w:val="333333"/>
          <w:shd w:val="clear" w:color="auto" w:fill="FFFFFF"/>
          <w:lang w:eastAsia="en-GB"/>
        </w:rPr>
        <w:t>. </w:t>
      </w:r>
      <w:r w:rsidRPr="00C20864">
        <w:rPr>
          <w:rFonts w:ascii="zephtextregular" w:eastAsia="Times New Roman" w:hAnsi="zephtextregular" w:cs="Times New Roman"/>
          <w:i/>
          <w:iCs/>
          <w:color w:val="333333"/>
          <w:shd w:val="clear" w:color="auto" w:fill="FFFFFF"/>
          <w:lang w:eastAsia="en-GB"/>
        </w:rPr>
        <w:t>Description of Greece, Volume I: Books 1-2 (Attica and Corinth).</w:t>
      </w:r>
      <w:r w:rsidRPr="00CE704F">
        <w:rPr>
          <w:rFonts w:ascii="zephtextregular" w:eastAsia="Times New Roman" w:hAnsi="zephtextregular" w:cs="Times New Roman"/>
          <w:color w:val="333333"/>
          <w:shd w:val="clear" w:color="auto" w:fill="FFFFFF"/>
          <w:lang w:eastAsia="en-GB"/>
        </w:rPr>
        <w:t xml:space="preserve"> W. H. S. Jones (trans.). 1918. </w:t>
      </w:r>
      <w:r w:rsidRPr="00C20864">
        <w:rPr>
          <w:rFonts w:ascii="zephtextregular" w:eastAsia="Times New Roman" w:hAnsi="zephtextregular" w:cs="Times New Roman"/>
          <w:color w:val="333333"/>
          <w:shd w:val="clear" w:color="auto" w:fill="FFFFFF"/>
          <w:lang w:eastAsia="en-GB"/>
        </w:rPr>
        <w:t>Cambridge, MA: Harvard University Press</w:t>
      </w:r>
    </w:p>
    <w:p w14:paraId="4BD8AD90"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p>
    <w:p w14:paraId="52874C52"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r w:rsidRPr="00CE704F">
        <w:rPr>
          <w:rFonts w:ascii="zephtextregular" w:eastAsia="Times New Roman" w:hAnsi="zephtextregular" w:cs="Times New Roman"/>
          <w:color w:val="333333"/>
          <w:shd w:val="clear" w:color="auto" w:fill="FFFFFF"/>
          <w:lang w:eastAsia="en-GB"/>
        </w:rPr>
        <w:t>Strabo</w:t>
      </w:r>
      <w:r w:rsidRPr="00BA7A02">
        <w:rPr>
          <w:rFonts w:ascii="zephtextregular" w:eastAsia="Times New Roman" w:hAnsi="zephtextregular" w:cs="Times New Roman"/>
          <w:color w:val="333333"/>
          <w:shd w:val="clear" w:color="auto" w:fill="FFFFFF"/>
          <w:lang w:eastAsia="en-GB"/>
        </w:rPr>
        <w:t>. </w:t>
      </w:r>
      <w:r w:rsidRPr="00BA7A02">
        <w:rPr>
          <w:rFonts w:ascii="zephtextregular" w:eastAsia="Times New Roman" w:hAnsi="zephtextregular" w:cs="Times New Roman"/>
          <w:i/>
          <w:iCs/>
          <w:color w:val="333333"/>
          <w:shd w:val="clear" w:color="auto" w:fill="FFFFFF"/>
          <w:lang w:eastAsia="en-GB"/>
        </w:rPr>
        <w:t>Geography, Volume I: Books 1-2.</w:t>
      </w:r>
      <w:r w:rsidRPr="00CE704F">
        <w:rPr>
          <w:rFonts w:ascii="zephtextregular" w:eastAsia="Times New Roman" w:hAnsi="zephtextregular" w:cs="Times New Roman"/>
          <w:color w:val="333333"/>
          <w:shd w:val="clear" w:color="auto" w:fill="FFFFFF"/>
          <w:lang w:eastAsia="en-GB"/>
        </w:rPr>
        <w:t xml:space="preserve"> Horace Leonard Jones (trans.). 1917.</w:t>
      </w:r>
      <w:r w:rsidRPr="00BA7A02">
        <w:rPr>
          <w:rFonts w:ascii="zephtextregular" w:eastAsia="Times New Roman" w:hAnsi="zephtextregular" w:cs="Times New Roman"/>
          <w:color w:val="333333"/>
          <w:shd w:val="clear" w:color="auto" w:fill="FFFFFF"/>
          <w:lang w:eastAsia="en-GB"/>
        </w:rPr>
        <w:t xml:space="preserve"> Cambridg</w:t>
      </w:r>
      <w:r w:rsidRPr="00CE704F">
        <w:rPr>
          <w:rFonts w:ascii="zephtextregular" w:eastAsia="Times New Roman" w:hAnsi="zephtextregular" w:cs="Times New Roman"/>
          <w:color w:val="333333"/>
          <w:shd w:val="clear" w:color="auto" w:fill="FFFFFF"/>
          <w:lang w:eastAsia="en-GB"/>
        </w:rPr>
        <w:t>e, MA: Harvard University Press</w:t>
      </w:r>
    </w:p>
    <w:p w14:paraId="2B87CBEB"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p>
    <w:p w14:paraId="13A6BFF4"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r w:rsidRPr="00CE704F">
        <w:rPr>
          <w:rFonts w:ascii="zephtextregular" w:eastAsia="Times New Roman" w:hAnsi="zephtextregular" w:cs="Times New Roman"/>
          <w:color w:val="333333"/>
          <w:shd w:val="clear" w:color="auto" w:fill="FFFFFF"/>
          <w:lang w:eastAsia="en-GB"/>
        </w:rPr>
        <w:t>Appian</w:t>
      </w:r>
      <w:r w:rsidRPr="00FD0298">
        <w:rPr>
          <w:rFonts w:ascii="zephtextregular" w:eastAsia="Times New Roman" w:hAnsi="zephtextregular" w:cs="Times New Roman"/>
          <w:color w:val="333333"/>
          <w:shd w:val="clear" w:color="auto" w:fill="FFFFFF"/>
          <w:lang w:eastAsia="en-GB"/>
        </w:rPr>
        <w:t>. </w:t>
      </w:r>
      <w:r w:rsidRPr="00FD0298">
        <w:rPr>
          <w:rFonts w:ascii="zephtextregular" w:eastAsia="Times New Roman" w:hAnsi="zephtextregular" w:cs="Times New Roman"/>
          <w:i/>
          <w:iCs/>
          <w:color w:val="333333"/>
          <w:shd w:val="clear" w:color="auto" w:fill="FFFFFF"/>
          <w:lang w:eastAsia="en-GB"/>
        </w:rPr>
        <w:t>Roman History, Volume II. </w:t>
      </w:r>
      <w:r w:rsidRPr="00CE704F">
        <w:rPr>
          <w:rFonts w:ascii="zephtextregular" w:eastAsia="Times New Roman" w:hAnsi="zephtextregular" w:cs="Times New Roman"/>
          <w:color w:val="333333"/>
          <w:shd w:val="clear" w:color="auto" w:fill="FFFFFF"/>
          <w:lang w:eastAsia="en-GB"/>
        </w:rPr>
        <w:t xml:space="preserve"> Brian McGing (trans.). 1912. </w:t>
      </w:r>
      <w:r w:rsidRPr="00FD0298">
        <w:rPr>
          <w:rFonts w:ascii="zephtextregular" w:eastAsia="Times New Roman" w:hAnsi="zephtextregular" w:cs="Times New Roman"/>
          <w:color w:val="333333"/>
          <w:shd w:val="clear" w:color="auto" w:fill="FFFFFF"/>
          <w:lang w:eastAsia="en-GB"/>
        </w:rPr>
        <w:t>Cambridg</w:t>
      </w:r>
      <w:r w:rsidRPr="00CE704F">
        <w:rPr>
          <w:rFonts w:ascii="zephtextregular" w:eastAsia="Times New Roman" w:hAnsi="zephtextregular" w:cs="Times New Roman"/>
          <w:color w:val="333333"/>
          <w:shd w:val="clear" w:color="auto" w:fill="FFFFFF"/>
          <w:lang w:eastAsia="en-GB"/>
        </w:rPr>
        <w:t>e, MA: Harvard University Press</w:t>
      </w:r>
    </w:p>
    <w:p w14:paraId="7F1EB559"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p>
    <w:p w14:paraId="582022FF"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r w:rsidRPr="00CE704F">
        <w:rPr>
          <w:rFonts w:ascii="zephtextregular" w:eastAsia="Times New Roman" w:hAnsi="zephtextregular" w:cs="Times New Roman"/>
          <w:color w:val="333333"/>
          <w:shd w:val="clear" w:color="auto" w:fill="FFFFFF"/>
          <w:lang w:eastAsia="en-GB"/>
        </w:rPr>
        <w:t>Pliny</w:t>
      </w:r>
      <w:r w:rsidRPr="00EE58EF">
        <w:rPr>
          <w:rFonts w:ascii="zephtextregular" w:eastAsia="Times New Roman" w:hAnsi="zephtextregular" w:cs="Times New Roman"/>
          <w:color w:val="333333"/>
          <w:shd w:val="clear" w:color="auto" w:fill="FFFFFF"/>
          <w:lang w:eastAsia="en-GB"/>
        </w:rPr>
        <w:t>. </w:t>
      </w:r>
      <w:r w:rsidRPr="00EE58EF">
        <w:rPr>
          <w:rFonts w:ascii="zephtextregular" w:eastAsia="Times New Roman" w:hAnsi="zephtextregular" w:cs="Times New Roman"/>
          <w:i/>
          <w:iCs/>
          <w:color w:val="333333"/>
          <w:shd w:val="clear" w:color="auto" w:fill="FFFFFF"/>
          <w:lang w:eastAsia="en-GB"/>
        </w:rPr>
        <w:t>Natural History, Volume I: Books 1-2.</w:t>
      </w:r>
      <w:r w:rsidRPr="00CE704F">
        <w:rPr>
          <w:rFonts w:ascii="zephtextregular" w:eastAsia="Times New Roman" w:hAnsi="zephtextregular" w:cs="Times New Roman"/>
          <w:color w:val="333333"/>
          <w:shd w:val="clear" w:color="auto" w:fill="FFFFFF"/>
          <w:lang w:eastAsia="en-GB"/>
        </w:rPr>
        <w:t xml:space="preserve"> H. Rackham (trans.). 1938. </w:t>
      </w:r>
      <w:r w:rsidRPr="00EE58EF">
        <w:rPr>
          <w:rFonts w:ascii="zephtextregular" w:eastAsia="Times New Roman" w:hAnsi="zephtextregular" w:cs="Times New Roman"/>
          <w:color w:val="333333"/>
          <w:shd w:val="clear" w:color="auto" w:fill="FFFFFF"/>
          <w:lang w:eastAsia="en-GB"/>
        </w:rPr>
        <w:t>Cambridge, MA: Harvard University Press</w:t>
      </w:r>
    </w:p>
    <w:p w14:paraId="63EB80A7"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p>
    <w:p w14:paraId="5CB375B6"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r w:rsidRPr="00CE704F">
        <w:rPr>
          <w:rFonts w:ascii="zephtextregular" w:eastAsia="Times New Roman" w:hAnsi="zephtextregular" w:cs="Times New Roman"/>
          <w:color w:val="333333"/>
          <w:shd w:val="clear" w:color="auto" w:fill="FFFFFF"/>
          <w:lang w:eastAsia="en-GB"/>
        </w:rPr>
        <w:t>Livy</w:t>
      </w:r>
      <w:r w:rsidRPr="00311947">
        <w:rPr>
          <w:rFonts w:ascii="zephtextregular" w:eastAsia="Times New Roman" w:hAnsi="zephtextregular" w:cs="Times New Roman"/>
          <w:color w:val="333333"/>
          <w:shd w:val="clear" w:color="auto" w:fill="FFFFFF"/>
          <w:lang w:eastAsia="en-GB"/>
        </w:rPr>
        <w:t>. </w:t>
      </w:r>
      <w:r w:rsidRPr="00311947">
        <w:rPr>
          <w:rFonts w:ascii="zephtextregular" w:eastAsia="Times New Roman" w:hAnsi="zephtextregular" w:cs="Times New Roman"/>
          <w:i/>
          <w:iCs/>
          <w:color w:val="333333"/>
          <w:shd w:val="clear" w:color="auto" w:fill="FFFFFF"/>
          <w:lang w:eastAsia="en-GB"/>
        </w:rPr>
        <w:t>History of Rome, Volume IX: Books 31–34.</w:t>
      </w:r>
      <w:r w:rsidRPr="00CE704F">
        <w:rPr>
          <w:rFonts w:ascii="zephtextregular" w:eastAsia="Times New Roman" w:hAnsi="zephtextregular" w:cs="Times New Roman"/>
          <w:color w:val="333333"/>
          <w:shd w:val="clear" w:color="auto" w:fill="FFFFFF"/>
          <w:lang w:eastAsia="en-GB"/>
        </w:rPr>
        <w:t> J. C. Yardley (trans.)</w:t>
      </w:r>
      <w:r w:rsidRPr="00311947">
        <w:rPr>
          <w:rFonts w:ascii="zephtextregular" w:eastAsia="Times New Roman" w:hAnsi="zephtextregular" w:cs="Times New Roman"/>
          <w:color w:val="333333"/>
          <w:shd w:val="clear" w:color="auto" w:fill="FFFFFF"/>
          <w:lang w:eastAsia="en-GB"/>
        </w:rPr>
        <w:t xml:space="preserve">. </w:t>
      </w:r>
      <w:r w:rsidRPr="00CE704F">
        <w:rPr>
          <w:rFonts w:ascii="zephtextregular" w:eastAsia="Times New Roman" w:hAnsi="zephtextregular" w:cs="Times New Roman"/>
          <w:color w:val="333333"/>
          <w:shd w:val="clear" w:color="auto" w:fill="FFFFFF"/>
          <w:lang w:eastAsia="en-GB"/>
        </w:rPr>
        <w:t xml:space="preserve">2017. </w:t>
      </w:r>
      <w:r w:rsidRPr="00311947">
        <w:rPr>
          <w:rFonts w:ascii="zephtextregular" w:eastAsia="Times New Roman" w:hAnsi="zephtextregular" w:cs="Times New Roman"/>
          <w:color w:val="333333"/>
          <w:shd w:val="clear" w:color="auto" w:fill="FFFFFF"/>
          <w:lang w:eastAsia="en-GB"/>
        </w:rPr>
        <w:t>Cambridg</w:t>
      </w:r>
      <w:r w:rsidRPr="00CE704F">
        <w:rPr>
          <w:rFonts w:ascii="zephtextregular" w:eastAsia="Times New Roman" w:hAnsi="zephtextregular" w:cs="Times New Roman"/>
          <w:color w:val="333333"/>
          <w:shd w:val="clear" w:color="auto" w:fill="FFFFFF"/>
          <w:lang w:eastAsia="en-GB"/>
        </w:rPr>
        <w:t>e, MA: Harvard University Press</w:t>
      </w:r>
    </w:p>
    <w:p w14:paraId="6BB7A84C"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p>
    <w:p w14:paraId="7FC05C00"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r w:rsidRPr="00CE704F">
        <w:rPr>
          <w:rFonts w:ascii="zephtextregular" w:eastAsia="Times New Roman" w:hAnsi="zephtextregular" w:cs="Times New Roman"/>
          <w:color w:val="333333"/>
          <w:shd w:val="clear" w:color="auto" w:fill="FFFFFF"/>
          <w:lang w:eastAsia="en-GB"/>
        </w:rPr>
        <w:lastRenderedPageBreak/>
        <w:t>Polybius</w:t>
      </w:r>
      <w:r w:rsidRPr="00752EE9">
        <w:rPr>
          <w:rFonts w:ascii="zephtextregular" w:eastAsia="Times New Roman" w:hAnsi="zephtextregular" w:cs="Times New Roman"/>
          <w:color w:val="333333"/>
          <w:shd w:val="clear" w:color="auto" w:fill="FFFFFF"/>
          <w:lang w:eastAsia="en-GB"/>
        </w:rPr>
        <w:t>. </w:t>
      </w:r>
      <w:r w:rsidRPr="00752EE9">
        <w:rPr>
          <w:rFonts w:ascii="zephtextregular" w:eastAsia="Times New Roman" w:hAnsi="zephtextregular" w:cs="Times New Roman"/>
          <w:i/>
          <w:iCs/>
          <w:color w:val="333333"/>
          <w:shd w:val="clear" w:color="auto" w:fill="FFFFFF"/>
          <w:lang w:eastAsia="en-GB"/>
        </w:rPr>
        <w:t>The Histories, Volume I: Books 1-2. </w:t>
      </w:r>
      <w:r w:rsidRPr="00CE704F">
        <w:rPr>
          <w:rFonts w:ascii="zephtextregular" w:eastAsia="Times New Roman" w:hAnsi="zephtextregular" w:cs="Times New Roman"/>
          <w:color w:val="333333"/>
          <w:shd w:val="clear" w:color="auto" w:fill="FFFFFF"/>
          <w:lang w:eastAsia="en-GB"/>
        </w:rPr>
        <w:t>W. R. Paton (trans.). 2010.</w:t>
      </w:r>
      <w:r w:rsidRPr="00752EE9">
        <w:rPr>
          <w:rFonts w:ascii="zephtextregular" w:eastAsia="Times New Roman" w:hAnsi="zephtextregular" w:cs="Times New Roman"/>
          <w:color w:val="333333"/>
          <w:shd w:val="clear" w:color="auto" w:fill="FFFFFF"/>
          <w:lang w:eastAsia="en-GB"/>
        </w:rPr>
        <w:t xml:space="preserve"> Cambridg</w:t>
      </w:r>
      <w:r w:rsidRPr="00CE704F">
        <w:rPr>
          <w:rFonts w:ascii="zephtextregular" w:eastAsia="Times New Roman" w:hAnsi="zephtextregular" w:cs="Times New Roman"/>
          <w:color w:val="333333"/>
          <w:shd w:val="clear" w:color="auto" w:fill="FFFFFF"/>
          <w:lang w:eastAsia="en-GB"/>
        </w:rPr>
        <w:t>e, MA: Harvard University Press</w:t>
      </w:r>
    </w:p>
    <w:p w14:paraId="11965786" w14:textId="77777777" w:rsidR="000D3010" w:rsidRPr="00CE704F" w:rsidRDefault="000D3010" w:rsidP="000D3010">
      <w:pPr>
        <w:rPr>
          <w:rFonts w:ascii="zephtextregular" w:eastAsia="Times New Roman" w:hAnsi="zephtextregular" w:cs="Times New Roman"/>
          <w:color w:val="333333"/>
          <w:shd w:val="clear" w:color="auto" w:fill="FFFFFF"/>
          <w:lang w:eastAsia="en-GB"/>
        </w:rPr>
      </w:pPr>
    </w:p>
    <w:p w14:paraId="4FA87C55" w14:textId="77777777" w:rsidR="000D3010" w:rsidRPr="00A40CE9" w:rsidRDefault="000D3010" w:rsidP="000D3010">
      <w:pPr>
        <w:rPr>
          <w:rFonts w:ascii="Times New Roman" w:eastAsia="Times New Roman" w:hAnsi="Times New Roman" w:cs="Times New Roman"/>
          <w:lang w:eastAsia="en-GB"/>
        </w:rPr>
      </w:pPr>
      <w:r w:rsidRPr="00CE704F">
        <w:rPr>
          <w:rFonts w:ascii="zephtextregular" w:eastAsia="Times New Roman" w:hAnsi="zephtextregular" w:cs="Times New Roman"/>
          <w:color w:val="333333"/>
          <w:shd w:val="clear" w:color="auto" w:fill="FFFFFF"/>
          <w:lang w:eastAsia="en-GB"/>
        </w:rPr>
        <w:t>Dio Cassius</w:t>
      </w:r>
      <w:r w:rsidRPr="00A40CE9">
        <w:rPr>
          <w:rFonts w:ascii="zephtextregular" w:eastAsia="Times New Roman" w:hAnsi="zephtextregular" w:cs="Times New Roman"/>
          <w:color w:val="333333"/>
          <w:shd w:val="clear" w:color="auto" w:fill="FFFFFF"/>
          <w:lang w:eastAsia="en-GB"/>
        </w:rPr>
        <w:t>. </w:t>
      </w:r>
      <w:r w:rsidRPr="00A40CE9">
        <w:rPr>
          <w:rFonts w:ascii="zephtextregular" w:eastAsia="Times New Roman" w:hAnsi="zephtextregular" w:cs="Times New Roman"/>
          <w:i/>
          <w:iCs/>
          <w:color w:val="333333"/>
          <w:shd w:val="clear" w:color="auto" w:fill="FFFFFF"/>
          <w:lang w:eastAsia="en-GB"/>
        </w:rPr>
        <w:t>Roman History, Volume I: Books 1-11.</w:t>
      </w:r>
      <w:r w:rsidRPr="00CE704F">
        <w:rPr>
          <w:rFonts w:ascii="zephtextregular" w:eastAsia="Times New Roman" w:hAnsi="zephtextregular" w:cs="Times New Roman"/>
          <w:color w:val="333333"/>
          <w:shd w:val="clear" w:color="auto" w:fill="FFFFFF"/>
          <w:lang w:eastAsia="en-GB"/>
        </w:rPr>
        <w:t xml:space="preserve"> Earnest Cary, Herbert B. Foster (trans.). 1914</w:t>
      </w:r>
      <w:r w:rsidRPr="00A40CE9">
        <w:rPr>
          <w:rFonts w:ascii="zephtextregular" w:eastAsia="Times New Roman" w:hAnsi="zephtextregular" w:cs="Times New Roman"/>
          <w:color w:val="333333"/>
          <w:shd w:val="clear" w:color="auto" w:fill="FFFFFF"/>
          <w:lang w:eastAsia="en-GB"/>
        </w:rPr>
        <w:t>. Cambridg</w:t>
      </w:r>
      <w:r w:rsidRPr="00CE704F">
        <w:rPr>
          <w:rFonts w:ascii="zephtextregular" w:eastAsia="Times New Roman" w:hAnsi="zephtextregular" w:cs="Times New Roman"/>
          <w:color w:val="333333"/>
          <w:shd w:val="clear" w:color="auto" w:fill="FFFFFF"/>
          <w:lang w:eastAsia="en-GB"/>
        </w:rPr>
        <w:t>e, MA: Harvard University Press</w:t>
      </w:r>
    </w:p>
    <w:p w14:paraId="0DB69BC1" w14:textId="77777777" w:rsidR="000D3010" w:rsidRPr="00CE704F" w:rsidRDefault="000D3010" w:rsidP="000D3010">
      <w:pPr>
        <w:rPr>
          <w:rFonts w:ascii="Times New Roman" w:eastAsia="Times New Roman" w:hAnsi="Times New Roman" w:cs="Times New Roman"/>
          <w:lang w:eastAsia="en-GB"/>
        </w:rPr>
      </w:pPr>
    </w:p>
    <w:p w14:paraId="3181EA8B" w14:textId="77777777" w:rsidR="000D3010" w:rsidRPr="00CE704F" w:rsidRDefault="000D3010" w:rsidP="000D3010">
      <w:pPr>
        <w:rPr>
          <w:rFonts w:ascii="Times New Roman" w:eastAsia="Times New Roman" w:hAnsi="Times New Roman" w:cs="Times New Roman"/>
          <w:lang w:eastAsia="en-GB"/>
        </w:rPr>
      </w:pPr>
      <w:r w:rsidRPr="00CE704F">
        <w:rPr>
          <w:rFonts w:ascii="Times New Roman" w:eastAsia="Times New Roman" w:hAnsi="Times New Roman" w:cs="Times New Roman"/>
          <w:lang w:eastAsia="en-GB"/>
        </w:rPr>
        <w:t>Justinus. Epitome of Pompeius Torgus’ Philippic Histories. Rev. J. S. Watson (trans.). 1853. Accessed from: attalus.org</w:t>
      </w:r>
    </w:p>
    <w:p w14:paraId="600FAF82" w14:textId="77777777" w:rsidR="000D3010" w:rsidRPr="00CE704F" w:rsidRDefault="000D3010" w:rsidP="000D3010">
      <w:pPr>
        <w:rPr>
          <w:rFonts w:ascii="Times New Roman" w:eastAsia="Times New Roman" w:hAnsi="Times New Roman" w:cs="Times New Roman"/>
          <w:lang w:eastAsia="en-GB"/>
        </w:rPr>
      </w:pPr>
    </w:p>
    <w:p w14:paraId="54CD0656" w14:textId="77777777" w:rsidR="000D3010" w:rsidRPr="00CE704F" w:rsidRDefault="000D3010" w:rsidP="000D3010">
      <w:pPr>
        <w:rPr>
          <w:rFonts w:ascii="Times New Roman" w:eastAsia="Times New Roman" w:hAnsi="Times New Roman" w:cs="Times New Roman"/>
          <w:lang w:eastAsia="en-GB"/>
        </w:rPr>
      </w:pPr>
    </w:p>
    <w:p w14:paraId="5878F199" w14:textId="77777777" w:rsidR="000D3010" w:rsidRPr="00CE704F" w:rsidRDefault="000D3010" w:rsidP="000D3010">
      <w:pPr>
        <w:rPr>
          <w:rFonts w:ascii="Times New Roman" w:eastAsia="Times New Roman" w:hAnsi="Times New Roman" w:cs="Times New Roman"/>
          <w:lang w:eastAsia="en-GB"/>
        </w:rPr>
      </w:pPr>
    </w:p>
    <w:p w14:paraId="32D96B0D" w14:textId="77777777" w:rsidR="000D3010" w:rsidRPr="00CE704F" w:rsidRDefault="000D3010" w:rsidP="000D3010">
      <w:pPr>
        <w:rPr>
          <w:rFonts w:ascii="Times New Roman" w:eastAsia="Times New Roman" w:hAnsi="Times New Roman" w:cs="Times New Roman"/>
          <w:lang w:eastAsia="en-GB"/>
        </w:rPr>
      </w:pPr>
      <w:r w:rsidRPr="00CE704F">
        <w:rPr>
          <w:rFonts w:ascii="Times New Roman" w:eastAsia="Times New Roman" w:hAnsi="Times New Roman" w:cs="Times New Roman"/>
          <w:lang w:eastAsia="en-GB"/>
        </w:rPr>
        <w:t>Modern Scholarship</w:t>
      </w:r>
    </w:p>
    <w:p w14:paraId="59EC9DD9" w14:textId="77777777" w:rsidR="000D3010" w:rsidRPr="00CE704F" w:rsidRDefault="000D3010" w:rsidP="000D3010">
      <w:pPr>
        <w:rPr>
          <w:rFonts w:ascii="Times New Roman" w:eastAsia="Times New Roman" w:hAnsi="Times New Roman" w:cs="Times New Roman"/>
          <w:lang w:eastAsia="en-GB"/>
        </w:rPr>
      </w:pPr>
    </w:p>
    <w:p w14:paraId="65707CA6" w14:textId="77777777" w:rsidR="000D3010" w:rsidRPr="00CE704F" w:rsidRDefault="000D3010" w:rsidP="000D3010">
      <w:pPr>
        <w:rPr>
          <w:rFonts w:ascii="Times New Roman" w:hAnsi="Times New Roman" w:cs="Times New Roman"/>
          <w:color w:val="000000"/>
        </w:rPr>
      </w:pPr>
      <w:r w:rsidRPr="00CE704F">
        <w:rPr>
          <w:rFonts w:ascii="Times New Roman" w:hAnsi="Times New Roman" w:cs="Times New Roman"/>
          <w:color w:val="000000"/>
        </w:rPr>
        <w:t xml:space="preserve">Hornblower, S. Spawforth, A. </w:t>
      </w:r>
      <w:r w:rsidRPr="00CE704F">
        <w:rPr>
          <w:rFonts w:ascii="Times New Roman" w:hAnsi="Times New Roman" w:cs="Times New Roman"/>
          <w:i/>
          <w:iCs/>
          <w:color w:val="000000"/>
        </w:rPr>
        <w:t>The Oxford Companion to Classical Civilisation</w:t>
      </w:r>
      <w:r w:rsidRPr="00CE704F">
        <w:rPr>
          <w:rFonts w:ascii="Times New Roman" w:hAnsi="Times New Roman" w:cs="Times New Roman"/>
          <w:color w:val="000000"/>
        </w:rPr>
        <w:t>, Oxford University Press, New York, 2004</w:t>
      </w:r>
    </w:p>
    <w:p w14:paraId="276ADEF2" w14:textId="77777777" w:rsidR="000D3010" w:rsidRPr="00CE704F" w:rsidRDefault="000D3010" w:rsidP="000D3010">
      <w:pPr>
        <w:rPr>
          <w:rFonts w:ascii="Times New Roman" w:hAnsi="Times New Roman" w:cs="Times New Roman"/>
          <w:color w:val="000000"/>
        </w:rPr>
      </w:pPr>
    </w:p>
    <w:p w14:paraId="49F7C04E" w14:textId="77777777" w:rsidR="000D3010" w:rsidRPr="00CE704F" w:rsidRDefault="000D3010" w:rsidP="000D3010">
      <w:pPr>
        <w:rPr>
          <w:rFonts w:ascii="Times New Roman" w:hAnsi="Times New Roman" w:cs="Times New Roman"/>
          <w:color w:val="000000"/>
        </w:rPr>
      </w:pPr>
      <w:r w:rsidRPr="00CE704F">
        <w:rPr>
          <w:rFonts w:ascii="Times New Roman" w:hAnsi="Times New Roman" w:cs="Times New Roman"/>
          <w:color w:val="000000"/>
        </w:rPr>
        <w:t>Hau, L. I. 2013. ‘Nothing to Celebrate? The lack or disparagement of victory celebrations in the Greek Historians’, Culture and History of the Ancient Near East, Vol. 63</w:t>
      </w:r>
    </w:p>
    <w:p w14:paraId="40995ABC" w14:textId="77777777" w:rsidR="000D3010" w:rsidRPr="00CE704F" w:rsidRDefault="000D3010" w:rsidP="000D3010">
      <w:pPr>
        <w:rPr>
          <w:rFonts w:ascii="Times New Roman" w:eastAsia="Times New Roman" w:hAnsi="Times New Roman" w:cs="Times New Roman"/>
          <w:lang w:eastAsia="en-GB"/>
        </w:rPr>
      </w:pPr>
    </w:p>
    <w:p w14:paraId="563AB570" w14:textId="77777777" w:rsidR="000D3010" w:rsidRPr="00CE704F" w:rsidRDefault="000D3010" w:rsidP="000D3010">
      <w:pPr>
        <w:rPr>
          <w:lang w:val="en-US"/>
        </w:rPr>
      </w:pPr>
      <w:r w:rsidRPr="00CE704F">
        <w:rPr>
          <w:lang w:val="en-US"/>
        </w:rPr>
        <w:t>Carney, E. 1992. ‘The Politics of Polygamy: Olympias, Alexander and the Murder of Philip’. Historia: Zeitschrift fur Alte Geschichte, Vol. 41</w:t>
      </w:r>
    </w:p>
    <w:p w14:paraId="254F6D0B" w14:textId="77777777" w:rsidR="000D3010" w:rsidRPr="00CE704F" w:rsidRDefault="000D3010" w:rsidP="000D3010">
      <w:pPr>
        <w:rPr>
          <w:lang w:val="en-US"/>
        </w:rPr>
      </w:pPr>
    </w:p>
    <w:p w14:paraId="7317134A" w14:textId="77777777" w:rsidR="000D3010" w:rsidRPr="00CE704F" w:rsidRDefault="000D3010" w:rsidP="000D3010">
      <w:pPr>
        <w:rPr>
          <w:lang w:val="en-US"/>
        </w:rPr>
      </w:pPr>
      <w:r w:rsidRPr="00CE704F">
        <w:rPr>
          <w:lang w:val="en-US"/>
        </w:rPr>
        <w:t xml:space="preserve">Ogden, D. </w:t>
      </w:r>
      <w:r w:rsidRPr="00CE704F">
        <w:rPr>
          <w:i/>
          <w:lang w:val="en-US"/>
        </w:rPr>
        <w:t>Alexander the Great: Myth, Genesis and Sexuality</w:t>
      </w:r>
      <w:r w:rsidRPr="00CE704F">
        <w:rPr>
          <w:lang w:val="en-US"/>
        </w:rPr>
        <w:t>, Liverpool University Press, Liverpool, 2011</w:t>
      </w:r>
    </w:p>
    <w:p w14:paraId="574BE4FC" w14:textId="77777777" w:rsidR="000D3010" w:rsidRPr="00CE704F" w:rsidRDefault="000D3010" w:rsidP="000D3010">
      <w:pPr>
        <w:rPr>
          <w:rFonts w:ascii="Times New Roman" w:eastAsia="Times New Roman" w:hAnsi="Times New Roman" w:cs="Times New Roman"/>
          <w:lang w:eastAsia="en-GB"/>
        </w:rPr>
      </w:pPr>
    </w:p>
    <w:p w14:paraId="159C6EFE" w14:textId="77777777" w:rsidR="000D3010" w:rsidRPr="00CE704F" w:rsidRDefault="000D3010" w:rsidP="000D3010">
      <w:pPr>
        <w:rPr>
          <w:rFonts w:ascii="Times New Roman" w:eastAsia="Times New Roman" w:hAnsi="Times New Roman" w:cs="Times New Roman"/>
          <w:lang w:eastAsia="en-GB"/>
        </w:rPr>
      </w:pPr>
      <w:r w:rsidRPr="00CE704F">
        <w:rPr>
          <w:rFonts w:ascii="Times New Roman" w:eastAsia="Times New Roman" w:hAnsi="Times New Roman" w:cs="Times New Roman"/>
          <w:lang w:eastAsia="en-GB"/>
        </w:rPr>
        <w:t>Hamilton, J. R., 1965. ‘Alexander’s Early Life’. Alexander the Great, Vol. 12, No. 2</w:t>
      </w:r>
    </w:p>
    <w:p w14:paraId="2D5AB8C7" w14:textId="77777777" w:rsidR="000D3010" w:rsidRPr="00CE704F" w:rsidRDefault="000D3010" w:rsidP="000D3010">
      <w:pPr>
        <w:rPr>
          <w:rFonts w:ascii="Times New Roman" w:eastAsia="Times New Roman" w:hAnsi="Times New Roman" w:cs="Times New Roman"/>
          <w:lang w:eastAsia="en-GB"/>
        </w:rPr>
      </w:pPr>
    </w:p>
    <w:p w14:paraId="0C6F6E1B" w14:textId="77777777" w:rsidR="000D3010" w:rsidRPr="00CE704F" w:rsidRDefault="000D3010" w:rsidP="000D3010">
      <w:pPr>
        <w:rPr>
          <w:rFonts w:ascii="Times New Roman" w:eastAsia="Times New Roman" w:hAnsi="Times New Roman" w:cs="Times New Roman"/>
          <w:lang w:eastAsia="en-GB"/>
        </w:rPr>
      </w:pPr>
      <w:r w:rsidRPr="00CE704F">
        <w:rPr>
          <w:rFonts w:ascii="Times New Roman" w:eastAsia="Times New Roman" w:hAnsi="Times New Roman" w:cs="Times New Roman"/>
          <w:lang w:eastAsia="en-GB"/>
        </w:rPr>
        <w:t xml:space="preserve">Errington, R. M. </w:t>
      </w:r>
      <w:r w:rsidRPr="00CE704F">
        <w:rPr>
          <w:rFonts w:ascii="Times New Roman" w:eastAsia="Times New Roman" w:hAnsi="Times New Roman" w:cs="Times New Roman"/>
          <w:i/>
          <w:lang w:eastAsia="en-GB"/>
        </w:rPr>
        <w:t>A History of the Hellenistic World: 323-30 BC</w:t>
      </w:r>
      <w:r w:rsidRPr="00CE704F">
        <w:rPr>
          <w:rFonts w:ascii="Times New Roman" w:eastAsia="Times New Roman" w:hAnsi="Times New Roman" w:cs="Times New Roman"/>
          <w:lang w:eastAsia="en-GB"/>
        </w:rPr>
        <w:t>, Blackwell Publishing, Oxford, 2008</w:t>
      </w:r>
    </w:p>
    <w:p w14:paraId="29DFC40C" w14:textId="77777777" w:rsidR="000D3010" w:rsidRPr="00CE704F" w:rsidRDefault="000D3010" w:rsidP="000D3010">
      <w:pPr>
        <w:rPr>
          <w:rFonts w:ascii="Times New Roman" w:eastAsia="Times New Roman" w:hAnsi="Times New Roman" w:cs="Times New Roman"/>
          <w:lang w:eastAsia="en-GB"/>
        </w:rPr>
      </w:pPr>
    </w:p>
    <w:p w14:paraId="0870C9B8" w14:textId="77777777" w:rsidR="000D3010" w:rsidRPr="00CE704F" w:rsidRDefault="000D3010" w:rsidP="000D3010">
      <w:pPr>
        <w:rPr>
          <w:rFonts w:ascii="Times New Roman" w:eastAsia="Times New Roman" w:hAnsi="Times New Roman" w:cs="Times New Roman"/>
          <w:lang w:eastAsia="en-GB"/>
        </w:rPr>
      </w:pPr>
      <w:r w:rsidRPr="00CE704F">
        <w:rPr>
          <w:rFonts w:ascii="Times New Roman" w:eastAsia="Times New Roman" w:hAnsi="Times New Roman" w:cs="Times New Roman"/>
          <w:lang w:eastAsia="en-GB"/>
        </w:rPr>
        <w:t xml:space="preserve">Austin, M. </w:t>
      </w:r>
      <w:r w:rsidRPr="00CE704F">
        <w:rPr>
          <w:rFonts w:ascii="Times New Roman" w:eastAsia="Times New Roman" w:hAnsi="Times New Roman" w:cs="Times New Roman"/>
          <w:i/>
          <w:lang w:eastAsia="en-GB"/>
        </w:rPr>
        <w:t>The Hellenistic World from Alexander to the Roman Conquest: A Selection of Ancient Sources in Translation</w:t>
      </w:r>
      <w:r w:rsidRPr="00CE704F">
        <w:rPr>
          <w:rFonts w:ascii="Times New Roman" w:eastAsia="Times New Roman" w:hAnsi="Times New Roman" w:cs="Times New Roman"/>
          <w:lang w:eastAsia="en-GB"/>
        </w:rPr>
        <w:t>, Cambridge University Press, Cambridge, 2006</w:t>
      </w:r>
    </w:p>
    <w:p w14:paraId="69F744A6" w14:textId="77777777" w:rsidR="000D3010" w:rsidRPr="00CE704F" w:rsidRDefault="000D3010" w:rsidP="000D3010">
      <w:pPr>
        <w:rPr>
          <w:rFonts w:ascii="Times New Roman" w:eastAsia="Times New Roman" w:hAnsi="Times New Roman" w:cs="Times New Roman"/>
          <w:lang w:eastAsia="en-GB"/>
        </w:rPr>
      </w:pPr>
    </w:p>
    <w:p w14:paraId="4E1185F8" w14:textId="77777777" w:rsidR="000D3010" w:rsidRPr="00CE704F" w:rsidRDefault="000D3010" w:rsidP="000D3010">
      <w:pPr>
        <w:rPr>
          <w:rFonts w:ascii="Times New Roman" w:eastAsia="Times New Roman" w:hAnsi="Times New Roman" w:cs="Times New Roman"/>
          <w:lang w:eastAsia="en-GB"/>
        </w:rPr>
      </w:pPr>
      <w:r w:rsidRPr="00CE704F">
        <w:rPr>
          <w:rFonts w:ascii="Times New Roman" w:eastAsia="Times New Roman" w:hAnsi="Times New Roman" w:cs="Times New Roman"/>
          <w:lang w:eastAsia="en-GB"/>
        </w:rPr>
        <w:t xml:space="preserve">Tucker, S. </w:t>
      </w:r>
      <w:r w:rsidRPr="00CE704F">
        <w:rPr>
          <w:rFonts w:ascii="Times New Roman" w:eastAsia="Times New Roman" w:hAnsi="Times New Roman" w:cs="Times New Roman"/>
          <w:i/>
          <w:lang w:eastAsia="en-GB"/>
        </w:rPr>
        <w:t>Battles that Changed History: An Encyclopedia of World Conflict</w:t>
      </w:r>
      <w:r w:rsidRPr="00CE704F">
        <w:rPr>
          <w:rFonts w:ascii="Times New Roman" w:eastAsia="Times New Roman" w:hAnsi="Times New Roman" w:cs="Times New Roman"/>
          <w:lang w:eastAsia="en-GB"/>
        </w:rPr>
        <w:t>, ABC-CLIO, California, 2011</w:t>
      </w:r>
    </w:p>
    <w:p w14:paraId="114D69FE" w14:textId="77777777" w:rsidR="000D3010" w:rsidRPr="00CE704F" w:rsidRDefault="000D3010" w:rsidP="000D3010">
      <w:pPr>
        <w:rPr>
          <w:rFonts w:ascii="Times New Roman" w:eastAsia="Times New Roman" w:hAnsi="Times New Roman" w:cs="Times New Roman"/>
          <w:lang w:eastAsia="en-GB"/>
        </w:rPr>
      </w:pPr>
    </w:p>
    <w:p w14:paraId="61E7E227" w14:textId="77777777" w:rsidR="000D3010" w:rsidRPr="00CE704F" w:rsidRDefault="000D3010" w:rsidP="000D3010">
      <w:pPr>
        <w:rPr>
          <w:rFonts w:ascii="Times New Roman" w:eastAsia="Times New Roman" w:hAnsi="Times New Roman" w:cs="Times New Roman"/>
          <w:lang w:eastAsia="en-GB"/>
        </w:rPr>
      </w:pPr>
      <w:r w:rsidRPr="00CE704F">
        <w:rPr>
          <w:rFonts w:ascii="Times New Roman" w:eastAsia="Times New Roman" w:hAnsi="Times New Roman" w:cs="Times New Roman"/>
          <w:lang w:eastAsia="en-GB"/>
        </w:rPr>
        <w:t>Hamilton, J.R., 1956. ‘The Cavalry Battle at the Hydaspes’. The Journal of Hellenistic Studies, Vol. 76</w:t>
      </w:r>
    </w:p>
    <w:p w14:paraId="17DBEACE" w14:textId="77777777" w:rsidR="000D3010" w:rsidRPr="00CE704F" w:rsidRDefault="000D3010" w:rsidP="000D3010">
      <w:pPr>
        <w:rPr>
          <w:rFonts w:ascii="Times New Roman" w:eastAsia="Times New Roman" w:hAnsi="Times New Roman" w:cs="Times New Roman"/>
          <w:lang w:eastAsia="en-GB"/>
        </w:rPr>
      </w:pPr>
    </w:p>
    <w:p w14:paraId="6ACBA53E" w14:textId="77777777" w:rsidR="000D3010" w:rsidRPr="00CE704F" w:rsidRDefault="000D3010" w:rsidP="000D3010">
      <w:pPr>
        <w:rPr>
          <w:rFonts w:ascii="Times New Roman" w:eastAsia="Times New Roman" w:hAnsi="Times New Roman" w:cs="Times New Roman"/>
          <w:lang w:eastAsia="en-GB"/>
        </w:rPr>
      </w:pPr>
      <w:r w:rsidRPr="00CE704F">
        <w:rPr>
          <w:rFonts w:ascii="Times New Roman" w:eastAsia="Times New Roman" w:hAnsi="Times New Roman" w:cs="Times New Roman"/>
          <w:lang w:eastAsia="en-GB"/>
        </w:rPr>
        <w:t>Depuydt, L. 1997. ‘The Time of Death of Alexander the Great: 11 June 323 B.C. (-322), ca. 4:00-5:00 PM’. Die Welt des Orients, Vol. 28</w:t>
      </w:r>
    </w:p>
    <w:p w14:paraId="218F3582" w14:textId="77777777" w:rsidR="000D3010" w:rsidRPr="00CE704F" w:rsidRDefault="000D3010" w:rsidP="000D3010">
      <w:pPr>
        <w:rPr>
          <w:rFonts w:ascii="Times New Roman" w:eastAsia="Times New Roman" w:hAnsi="Times New Roman" w:cs="Times New Roman"/>
          <w:lang w:eastAsia="en-GB"/>
        </w:rPr>
      </w:pPr>
    </w:p>
    <w:p w14:paraId="0E048AFB" w14:textId="77777777" w:rsidR="000D3010" w:rsidRPr="00CE704F" w:rsidRDefault="000D3010" w:rsidP="000D3010">
      <w:pPr>
        <w:rPr>
          <w:rFonts w:ascii="Times New Roman" w:eastAsia="Times New Roman" w:hAnsi="Times New Roman" w:cs="Times New Roman"/>
          <w:lang w:eastAsia="en-GB"/>
        </w:rPr>
      </w:pPr>
      <w:r w:rsidRPr="00CE704F">
        <w:rPr>
          <w:rFonts w:ascii="Times New Roman" w:eastAsia="Times New Roman" w:hAnsi="Times New Roman" w:cs="Times New Roman"/>
          <w:lang w:eastAsia="en-GB"/>
        </w:rPr>
        <w:lastRenderedPageBreak/>
        <w:t>Ashton, N. G., 1984. ‘The Lamian War-stat magni nominis umbra’. The Journal of Hellenistic Studies, Vol. 104</w:t>
      </w:r>
    </w:p>
    <w:p w14:paraId="5F546EFC" w14:textId="77777777" w:rsidR="000D3010" w:rsidRPr="00CE704F" w:rsidRDefault="000D3010" w:rsidP="000D3010">
      <w:pPr>
        <w:rPr>
          <w:rFonts w:ascii="Times New Roman" w:eastAsia="Times New Roman" w:hAnsi="Times New Roman" w:cs="Times New Roman"/>
          <w:lang w:eastAsia="en-GB"/>
        </w:rPr>
      </w:pPr>
    </w:p>
    <w:p w14:paraId="4532B567" w14:textId="77777777" w:rsidR="000D3010" w:rsidRPr="00CE704F" w:rsidRDefault="000D3010" w:rsidP="000D3010">
      <w:pPr>
        <w:rPr>
          <w:rFonts w:ascii="Times New Roman" w:eastAsia="Times New Roman" w:hAnsi="Times New Roman" w:cs="Times New Roman"/>
          <w:lang w:eastAsia="en-GB"/>
        </w:rPr>
      </w:pPr>
      <w:r w:rsidRPr="00CE704F">
        <w:rPr>
          <w:rFonts w:ascii="Times New Roman" w:eastAsia="Times New Roman" w:hAnsi="Times New Roman" w:cs="Times New Roman"/>
          <w:lang w:eastAsia="en-GB"/>
        </w:rPr>
        <w:t>Devine, A. M., 1984. ‘Diodorus’ Account of the Battle of Gaza’. Acta Classica, Vol. 27</w:t>
      </w:r>
    </w:p>
    <w:p w14:paraId="456613EC" w14:textId="77777777" w:rsidR="000D3010" w:rsidRPr="00CE704F" w:rsidRDefault="000D3010" w:rsidP="000D3010">
      <w:pPr>
        <w:rPr>
          <w:rFonts w:ascii="Times New Roman" w:eastAsia="Times New Roman" w:hAnsi="Times New Roman" w:cs="Times New Roman"/>
          <w:lang w:eastAsia="en-GB"/>
        </w:rPr>
      </w:pPr>
    </w:p>
    <w:p w14:paraId="781726F6" w14:textId="77777777" w:rsidR="000D3010" w:rsidRPr="00CE704F" w:rsidRDefault="000D3010" w:rsidP="000D3010">
      <w:pPr>
        <w:rPr>
          <w:rFonts w:ascii="Times New Roman" w:eastAsia="Times New Roman" w:hAnsi="Times New Roman" w:cs="Times New Roman"/>
          <w:lang w:eastAsia="en-GB"/>
        </w:rPr>
      </w:pPr>
      <w:r w:rsidRPr="00CE704F">
        <w:rPr>
          <w:rFonts w:ascii="Times New Roman" w:eastAsia="Times New Roman" w:hAnsi="Times New Roman" w:cs="Times New Roman"/>
          <w:lang w:eastAsia="en-GB"/>
        </w:rPr>
        <w:t>Eckstein, A. M., 1994. ‘Polybius, Demetrius of Pharus, and the Origins of the Second Illyrian War’. Classical Philology, Vol. 89, No. 1</w:t>
      </w:r>
    </w:p>
    <w:p w14:paraId="2B3EB097" w14:textId="77777777" w:rsidR="000D3010" w:rsidRPr="00CE704F" w:rsidRDefault="000D3010" w:rsidP="000D3010">
      <w:pPr>
        <w:rPr>
          <w:rFonts w:ascii="Times New Roman" w:eastAsia="Times New Roman" w:hAnsi="Times New Roman" w:cs="Times New Roman"/>
          <w:lang w:eastAsia="en-GB"/>
        </w:rPr>
      </w:pPr>
    </w:p>
    <w:p w14:paraId="1F096933" w14:textId="77777777" w:rsidR="000D3010" w:rsidRPr="00CE704F" w:rsidRDefault="000D3010" w:rsidP="000D3010">
      <w:pPr>
        <w:rPr>
          <w:rFonts w:ascii="Times New Roman" w:eastAsia="Times New Roman" w:hAnsi="Times New Roman" w:cs="Times New Roman"/>
          <w:lang w:eastAsia="en-GB"/>
        </w:rPr>
      </w:pPr>
      <w:r w:rsidRPr="00CE704F">
        <w:rPr>
          <w:rFonts w:ascii="Times New Roman" w:eastAsia="Times New Roman" w:hAnsi="Times New Roman" w:cs="Times New Roman"/>
          <w:lang w:eastAsia="en-GB"/>
        </w:rPr>
        <w:t>Walsh, J. J. 1996. ‘Flaminus and the Propaganda of Liberation’. Historia: Zeitschrift fur Alte Geschichte, Vol. 45, No. 3</w:t>
      </w:r>
    </w:p>
    <w:p w14:paraId="471582EC" w14:textId="77777777" w:rsidR="000D3010" w:rsidRPr="00CE704F" w:rsidRDefault="000D3010" w:rsidP="000D3010">
      <w:pPr>
        <w:rPr>
          <w:rFonts w:ascii="Times New Roman" w:eastAsia="Times New Roman" w:hAnsi="Times New Roman" w:cs="Times New Roman"/>
          <w:lang w:eastAsia="en-GB"/>
        </w:rPr>
      </w:pPr>
    </w:p>
    <w:p w14:paraId="1F4C76D2" w14:textId="77777777" w:rsidR="000D3010" w:rsidRPr="00CE704F" w:rsidRDefault="000D3010" w:rsidP="000D3010">
      <w:pPr>
        <w:rPr>
          <w:rFonts w:ascii="Times New Roman" w:eastAsia="Times New Roman" w:hAnsi="Times New Roman" w:cs="Times New Roman"/>
          <w:lang w:eastAsia="en-GB"/>
        </w:rPr>
      </w:pPr>
      <w:r w:rsidRPr="00CE704F">
        <w:rPr>
          <w:rFonts w:ascii="Times New Roman" w:eastAsia="Times New Roman" w:hAnsi="Times New Roman" w:cs="Times New Roman"/>
          <w:lang w:eastAsia="en-GB"/>
        </w:rPr>
        <w:t>McDonalds, A. H. 1967. ‘The Treaty of Apameia (188 B.C.)’. The Journal of Roman Studies, Vol. 57, No. ½</w:t>
      </w:r>
    </w:p>
    <w:p w14:paraId="53771D05" w14:textId="77777777" w:rsidR="000D3010" w:rsidRPr="00CE704F" w:rsidRDefault="000D3010" w:rsidP="000D3010">
      <w:pPr>
        <w:rPr>
          <w:rFonts w:ascii="Times New Roman" w:eastAsia="Times New Roman" w:hAnsi="Times New Roman" w:cs="Times New Roman"/>
          <w:lang w:eastAsia="en-GB"/>
        </w:rPr>
      </w:pPr>
    </w:p>
    <w:p w14:paraId="1BA134A4" w14:textId="77777777" w:rsidR="000D3010" w:rsidRPr="00CE704F" w:rsidRDefault="000D3010" w:rsidP="000D3010">
      <w:pPr>
        <w:rPr>
          <w:rFonts w:ascii="Times New Roman" w:eastAsia="Times New Roman" w:hAnsi="Times New Roman" w:cs="Times New Roman"/>
          <w:lang w:eastAsia="en-GB"/>
        </w:rPr>
      </w:pPr>
      <w:r w:rsidRPr="00CE704F">
        <w:rPr>
          <w:rFonts w:ascii="Times New Roman" w:eastAsia="Times New Roman" w:hAnsi="Times New Roman" w:cs="Times New Roman"/>
          <w:lang w:eastAsia="en-GB"/>
        </w:rPr>
        <w:t xml:space="preserve">Livius. ‘Hydaspes (326 BCE)’ 10 August 2015. www.livius.org. </w:t>
      </w:r>
      <w:hyperlink r:id="rId8" w:history="1">
        <w:r w:rsidRPr="00CE704F">
          <w:rPr>
            <w:rStyle w:val="Hyperlink"/>
            <w:rFonts w:ascii="Times New Roman" w:eastAsia="Times New Roman" w:hAnsi="Times New Roman" w:cs="Times New Roman"/>
            <w:lang w:eastAsia="en-GB"/>
          </w:rPr>
          <w:t>http://www.livius.org/articles/battle/hydaspes/</w:t>
        </w:r>
      </w:hyperlink>
      <w:r w:rsidRPr="00CE704F">
        <w:rPr>
          <w:rFonts w:ascii="Times New Roman" w:eastAsia="Times New Roman" w:hAnsi="Times New Roman" w:cs="Times New Roman"/>
          <w:lang w:eastAsia="en-GB"/>
        </w:rPr>
        <w:t>. [Accessed on: 2</w:t>
      </w:r>
      <w:r w:rsidRPr="00CE704F">
        <w:rPr>
          <w:rFonts w:ascii="Times New Roman" w:eastAsia="Times New Roman" w:hAnsi="Times New Roman" w:cs="Times New Roman"/>
          <w:vertAlign w:val="superscript"/>
          <w:lang w:eastAsia="en-GB"/>
        </w:rPr>
        <w:t>nd</w:t>
      </w:r>
      <w:r w:rsidRPr="00CE704F">
        <w:rPr>
          <w:rFonts w:ascii="Times New Roman" w:eastAsia="Times New Roman" w:hAnsi="Times New Roman" w:cs="Times New Roman"/>
          <w:lang w:eastAsia="en-GB"/>
        </w:rPr>
        <w:t xml:space="preserve"> May 2018]</w:t>
      </w:r>
    </w:p>
    <w:p w14:paraId="126D39AB" w14:textId="77777777" w:rsidR="000D3010" w:rsidRPr="00CE704F" w:rsidRDefault="000D3010" w:rsidP="000D3010">
      <w:pPr>
        <w:rPr>
          <w:rFonts w:ascii="Times New Roman" w:eastAsia="Times New Roman" w:hAnsi="Times New Roman" w:cs="Times New Roman"/>
          <w:lang w:eastAsia="en-GB"/>
        </w:rPr>
      </w:pPr>
    </w:p>
    <w:p w14:paraId="034A108B" w14:textId="77777777" w:rsidR="000D3010" w:rsidRPr="00CE704F" w:rsidRDefault="000D3010" w:rsidP="000D3010">
      <w:pPr>
        <w:pStyle w:val="FootnoteText"/>
      </w:pPr>
      <w:r w:rsidRPr="00CE704F">
        <w:rPr>
          <w:rFonts w:ascii="Times New Roman" w:eastAsia="Times New Roman" w:hAnsi="Times New Roman" w:cs="Times New Roman"/>
          <w:lang w:eastAsia="en-GB"/>
        </w:rPr>
        <w:t xml:space="preserve">Livius. ‘Mutiny at Opis’ 15 January 2017. </w:t>
      </w:r>
      <w:hyperlink r:id="rId9" w:history="1">
        <w:r w:rsidRPr="00CE704F">
          <w:rPr>
            <w:rStyle w:val="Hyperlink"/>
            <w:rFonts w:ascii="Times New Roman" w:eastAsia="Times New Roman" w:hAnsi="Times New Roman" w:cs="Times New Roman"/>
            <w:lang w:eastAsia="en-GB"/>
          </w:rPr>
          <w:t>www.livius.org</w:t>
        </w:r>
      </w:hyperlink>
      <w:r w:rsidRPr="00CE704F">
        <w:rPr>
          <w:rFonts w:ascii="Times New Roman" w:eastAsia="Times New Roman" w:hAnsi="Times New Roman" w:cs="Times New Roman"/>
          <w:lang w:eastAsia="en-GB"/>
        </w:rPr>
        <w:t xml:space="preserve">. </w:t>
      </w:r>
      <w:hyperlink r:id="rId10" w:history="1">
        <w:r w:rsidRPr="00CE704F">
          <w:rPr>
            <w:rStyle w:val="Hyperlink"/>
          </w:rPr>
          <w:t>http://www.livius.org/sources/content/arrian/anabasis/mutiny-at-opis/</w:t>
        </w:r>
      </w:hyperlink>
      <w:r w:rsidRPr="00CE704F">
        <w:t>. [Accessed on: 5</w:t>
      </w:r>
      <w:r w:rsidRPr="00CE704F">
        <w:rPr>
          <w:vertAlign w:val="superscript"/>
        </w:rPr>
        <w:t>th</w:t>
      </w:r>
      <w:r w:rsidRPr="00CE704F">
        <w:t xml:space="preserve"> May 2018]</w:t>
      </w:r>
    </w:p>
    <w:p w14:paraId="4B69598C" w14:textId="77777777" w:rsidR="000D3010" w:rsidRPr="00CE704F" w:rsidRDefault="000D3010" w:rsidP="000D3010">
      <w:pPr>
        <w:pStyle w:val="FootnoteText"/>
      </w:pPr>
    </w:p>
    <w:p w14:paraId="239D1A6B" w14:textId="77777777" w:rsidR="000D3010" w:rsidRPr="00CE704F" w:rsidRDefault="000D3010" w:rsidP="000D3010">
      <w:pPr>
        <w:pStyle w:val="FootnoteText"/>
        <w:rPr>
          <w:lang w:val="en-US"/>
        </w:rPr>
      </w:pPr>
      <w:r w:rsidRPr="00CE704F">
        <w:t>Livius. ‘Perdiccas’ 2</w:t>
      </w:r>
      <w:r w:rsidRPr="00CE704F">
        <w:rPr>
          <w:vertAlign w:val="superscript"/>
        </w:rPr>
        <w:t xml:space="preserve"> </w:t>
      </w:r>
      <w:r w:rsidRPr="00CE704F">
        <w:rPr>
          <w:lang w:val="en-US"/>
        </w:rPr>
        <w:t xml:space="preserve">April 2018. </w:t>
      </w:r>
      <w:hyperlink r:id="rId11" w:history="1">
        <w:r w:rsidRPr="00CE704F">
          <w:rPr>
            <w:rStyle w:val="Hyperlink"/>
            <w:lang w:val="en-US"/>
          </w:rPr>
          <w:t>www.livius.org</w:t>
        </w:r>
      </w:hyperlink>
      <w:r w:rsidRPr="00CE704F">
        <w:rPr>
          <w:lang w:val="en-US"/>
        </w:rPr>
        <w:t xml:space="preserve">. </w:t>
      </w:r>
      <w:hyperlink r:id="rId12" w:history="1">
        <w:r w:rsidRPr="00CE704F">
          <w:rPr>
            <w:rStyle w:val="Hyperlink"/>
          </w:rPr>
          <w:t>http://www.livius.org/articles/person/perdiccas/</w:t>
        </w:r>
      </w:hyperlink>
      <w:r w:rsidRPr="00CE704F">
        <w:rPr>
          <w:lang w:val="en-US"/>
        </w:rPr>
        <w:t>. [Accessed on: 24</w:t>
      </w:r>
      <w:r w:rsidRPr="00CE704F">
        <w:rPr>
          <w:vertAlign w:val="superscript"/>
          <w:lang w:val="en-US"/>
        </w:rPr>
        <w:t>th</w:t>
      </w:r>
      <w:r w:rsidRPr="00CE704F">
        <w:rPr>
          <w:lang w:val="en-US"/>
        </w:rPr>
        <w:t xml:space="preserve"> April 2018]</w:t>
      </w:r>
    </w:p>
    <w:p w14:paraId="5D0B3B15" w14:textId="77777777" w:rsidR="000D3010" w:rsidRPr="00CE704F" w:rsidRDefault="000D3010" w:rsidP="000D3010">
      <w:pPr>
        <w:pStyle w:val="FootnoteText"/>
        <w:rPr>
          <w:lang w:val="en-US"/>
        </w:rPr>
      </w:pPr>
    </w:p>
    <w:p w14:paraId="12E68806" w14:textId="77777777" w:rsidR="000D3010" w:rsidRPr="00CE704F" w:rsidRDefault="000D3010" w:rsidP="000D3010">
      <w:pPr>
        <w:pStyle w:val="FootnoteText"/>
        <w:rPr>
          <w:lang w:val="en-US"/>
        </w:rPr>
      </w:pPr>
      <w:r w:rsidRPr="00CE704F">
        <w:rPr>
          <w:lang w:val="en-US"/>
        </w:rPr>
        <w:t xml:space="preserve">Livius. ‘Eumenes’ 18 August 2017. </w:t>
      </w:r>
      <w:hyperlink r:id="rId13" w:history="1">
        <w:r w:rsidRPr="00CE704F">
          <w:rPr>
            <w:rStyle w:val="Hyperlink"/>
            <w:lang w:val="en-US"/>
          </w:rPr>
          <w:t>www.livius.org</w:t>
        </w:r>
      </w:hyperlink>
      <w:r w:rsidRPr="00CE704F">
        <w:rPr>
          <w:lang w:val="en-US"/>
        </w:rPr>
        <w:t xml:space="preserve">. </w:t>
      </w:r>
      <w:hyperlink r:id="rId14" w:history="1">
        <w:r w:rsidRPr="00CE704F">
          <w:rPr>
            <w:rStyle w:val="Hyperlink"/>
          </w:rPr>
          <w:t>http://www.livius.org/articles/person/eumenes/</w:t>
        </w:r>
      </w:hyperlink>
      <w:r w:rsidRPr="00CE704F">
        <w:rPr>
          <w:lang w:val="en-US"/>
        </w:rPr>
        <w:t xml:space="preserve"> [Accessed on: 30</w:t>
      </w:r>
      <w:r w:rsidRPr="00CE704F">
        <w:rPr>
          <w:vertAlign w:val="superscript"/>
          <w:lang w:val="en-US"/>
        </w:rPr>
        <w:t>th</w:t>
      </w:r>
      <w:r w:rsidRPr="00CE704F">
        <w:rPr>
          <w:lang w:val="en-US"/>
        </w:rPr>
        <w:t xml:space="preserve"> April 2018]</w:t>
      </w:r>
    </w:p>
    <w:p w14:paraId="30FCF72B" w14:textId="77777777" w:rsidR="000D3010" w:rsidRPr="00CE704F" w:rsidRDefault="000D3010" w:rsidP="000D3010">
      <w:pPr>
        <w:pStyle w:val="FootnoteText"/>
        <w:rPr>
          <w:lang w:val="en-US"/>
        </w:rPr>
      </w:pPr>
    </w:p>
    <w:p w14:paraId="73A2EDCE" w14:textId="77777777" w:rsidR="000D3010" w:rsidRPr="00CE704F" w:rsidRDefault="000D3010" w:rsidP="000D3010">
      <w:pPr>
        <w:pStyle w:val="FootnoteText"/>
        <w:rPr>
          <w:lang w:val="en-US"/>
        </w:rPr>
      </w:pPr>
      <w:r w:rsidRPr="00CE704F">
        <w:rPr>
          <w:lang w:val="en-US"/>
        </w:rPr>
        <w:t xml:space="preserve">Livius. ‘The Death of Antipater’ 23 July 2016. </w:t>
      </w:r>
      <w:hyperlink r:id="rId15" w:history="1">
        <w:r w:rsidRPr="00CE704F">
          <w:rPr>
            <w:rStyle w:val="Hyperlink"/>
            <w:lang w:val="en-US"/>
          </w:rPr>
          <w:t>www.livius.org</w:t>
        </w:r>
      </w:hyperlink>
      <w:r w:rsidRPr="00CE704F">
        <w:rPr>
          <w:lang w:val="en-US"/>
        </w:rPr>
        <w:t xml:space="preserve">. </w:t>
      </w:r>
      <w:hyperlink r:id="rId16" w:history="1">
        <w:r w:rsidRPr="00CE704F">
          <w:rPr>
            <w:rStyle w:val="Hyperlink"/>
          </w:rPr>
          <w:t>http://www.livius.org/sources/content/diodorus/the-death-of-antipater/</w:t>
        </w:r>
      </w:hyperlink>
      <w:r w:rsidRPr="00CE704F">
        <w:rPr>
          <w:lang w:val="en-US"/>
        </w:rPr>
        <w:t>. [Accessed on: 5</w:t>
      </w:r>
      <w:r w:rsidRPr="00CE704F">
        <w:rPr>
          <w:vertAlign w:val="superscript"/>
          <w:lang w:val="en-US"/>
        </w:rPr>
        <w:t>th</w:t>
      </w:r>
      <w:r w:rsidRPr="00CE704F">
        <w:rPr>
          <w:lang w:val="en-US"/>
        </w:rPr>
        <w:t xml:space="preserve"> May 2018]</w:t>
      </w:r>
    </w:p>
    <w:p w14:paraId="4C89F916" w14:textId="77777777" w:rsidR="000D3010" w:rsidRPr="00CE704F" w:rsidRDefault="000D3010" w:rsidP="000D3010">
      <w:pPr>
        <w:pStyle w:val="FootnoteText"/>
        <w:rPr>
          <w:lang w:val="en-US"/>
        </w:rPr>
      </w:pPr>
    </w:p>
    <w:p w14:paraId="6425A791" w14:textId="77777777" w:rsidR="000D3010" w:rsidRPr="00CE704F" w:rsidRDefault="000D3010" w:rsidP="000D3010">
      <w:pPr>
        <w:pStyle w:val="FootnoteText"/>
        <w:rPr>
          <w:lang w:val="en-US"/>
        </w:rPr>
      </w:pPr>
      <w:r w:rsidRPr="00CE704F">
        <w:rPr>
          <w:lang w:val="en-US"/>
        </w:rPr>
        <w:t xml:space="preserve">Livius. ‘Alexander IV’ 28 July 2015. </w:t>
      </w:r>
      <w:hyperlink r:id="rId17" w:history="1">
        <w:r w:rsidRPr="00CE704F">
          <w:rPr>
            <w:rStyle w:val="Hyperlink"/>
            <w:lang w:val="en-US"/>
          </w:rPr>
          <w:t>www.livius.org</w:t>
        </w:r>
      </w:hyperlink>
      <w:r w:rsidRPr="00CE704F">
        <w:rPr>
          <w:lang w:val="en-US"/>
        </w:rPr>
        <w:t xml:space="preserve">. </w:t>
      </w:r>
      <w:hyperlink r:id="rId18" w:history="1">
        <w:r w:rsidRPr="00CE704F">
          <w:rPr>
            <w:rStyle w:val="Hyperlink"/>
          </w:rPr>
          <w:t>http://www.livius.org/articles/person/alexander-iv/</w:t>
        </w:r>
      </w:hyperlink>
      <w:r w:rsidRPr="00CE704F">
        <w:rPr>
          <w:lang w:val="en-US"/>
        </w:rPr>
        <w:t xml:space="preserve"> [Accessed on: 11 May 2018]</w:t>
      </w:r>
    </w:p>
    <w:p w14:paraId="139A5912" w14:textId="77777777" w:rsidR="000D3010" w:rsidRPr="00CE704F" w:rsidRDefault="000D3010" w:rsidP="000D3010">
      <w:pPr>
        <w:pStyle w:val="FootnoteText"/>
        <w:rPr>
          <w:lang w:val="en-US"/>
        </w:rPr>
      </w:pPr>
    </w:p>
    <w:p w14:paraId="2357B087" w14:textId="77777777" w:rsidR="000D3010" w:rsidRPr="00CE704F" w:rsidRDefault="000D3010" w:rsidP="000D3010">
      <w:pPr>
        <w:pStyle w:val="FootnoteText"/>
        <w:rPr>
          <w:lang w:val="en-US"/>
        </w:rPr>
      </w:pPr>
      <w:r w:rsidRPr="00CE704F">
        <w:rPr>
          <w:lang w:val="en-US"/>
        </w:rPr>
        <w:t xml:space="preserve">Livius. ‘Antigonus Monophthalmus’ 16 June 2017. </w:t>
      </w:r>
      <w:hyperlink r:id="rId19" w:history="1">
        <w:r w:rsidRPr="00CE704F">
          <w:rPr>
            <w:rStyle w:val="Hyperlink"/>
            <w:lang w:val="en-US"/>
          </w:rPr>
          <w:t>www.livius.org</w:t>
        </w:r>
      </w:hyperlink>
      <w:r w:rsidRPr="00CE704F">
        <w:rPr>
          <w:lang w:val="en-US"/>
        </w:rPr>
        <w:t xml:space="preserve">. </w:t>
      </w:r>
      <w:hyperlink r:id="rId20" w:history="1">
        <w:r w:rsidRPr="00CE704F">
          <w:rPr>
            <w:rStyle w:val="Hyperlink"/>
          </w:rPr>
          <w:t>http://www.livius.org/articles/person/antigonus-monophthalmus/</w:t>
        </w:r>
      </w:hyperlink>
      <w:r w:rsidRPr="00CE704F">
        <w:rPr>
          <w:lang w:val="en-US"/>
        </w:rPr>
        <w:t xml:space="preserve"> [Accessed on: 11 May 2018]</w:t>
      </w:r>
    </w:p>
    <w:p w14:paraId="761BEC3A" w14:textId="77777777" w:rsidR="000D3010" w:rsidRPr="00CE704F" w:rsidRDefault="000D3010" w:rsidP="000D3010">
      <w:pPr>
        <w:pStyle w:val="FootnoteText"/>
        <w:rPr>
          <w:lang w:val="en-US"/>
        </w:rPr>
      </w:pPr>
    </w:p>
    <w:p w14:paraId="28426E53" w14:textId="77777777" w:rsidR="000D3010" w:rsidRPr="00CE704F" w:rsidRDefault="000D3010" w:rsidP="000D3010">
      <w:pPr>
        <w:pStyle w:val="FootnoteText"/>
        <w:rPr>
          <w:lang w:val="en-US"/>
        </w:rPr>
      </w:pPr>
      <w:r w:rsidRPr="00CE704F">
        <w:rPr>
          <w:lang w:val="en-US"/>
        </w:rPr>
        <w:t xml:space="preserve">Livius. ‘The Battle of Ipsus’. 18 August 2017. </w:t>
      </w:r>
      <w:hyperlink r:id="rId21" w:history="1">
        <w:r w:rsidRPr="00CE704F">
          <w:rPr>
            <w:rStyle w:val="Hyperlink"/>
            <w:lang w:val="en-US"/>
          </w:rPr>
          <w:t>www.livius.org</w:t>
        </w:r>
      </w:hyperlink>
      <w:r w:rsidRPr="00CE704F">
        <w:rPr>
          <w:lang w:val="en-US"/>
        </w:rPr>
        <w:t xml:space="preserve">. </w:t>
      </w:r>
      <w:hyperlink r:id="rId22" w:history="1">
        <w:r w:rsidRPr="00CE704F">
          <w:rPr>
            <w:rStyle w:val="Hyperlink"/>
          </w:rPr>
          <w:t>http://www.livius.org/articles/battle/ipsus/</w:t>
        </w:r>
      </w:hyperlink>
      <w:r w:rsidRPr="00CE704F">
        <w:rPr>
          <w:lang w:val="en-US"/>
        </w:rPr>
        <w:t xml:space="preserve"> [Accessed on: 20</w:t>
      </w:r>
      <w:r w:rsidRPr="00CE704F">
        <w:rPr>
          <w:vertAlign w:val="superscript"/>
          <w:lang w:val="en-US"/>
        </w:rPr>
        <w:t>th</w:t>
      </w:r>
      <w:r w:rsidRPr="00CE704F">
        <w:rPr>
          <w:lang w:val="en-US"/>
        </w:rPr>
        <w:t xml:space="preserve"> April 2018]</w:t>
      </w:r>
    </w:p>
    <w:p w14:paraId="178F265E" w14:textId="77777777" w:rsidR="000D3010" w:rsidRPr="00CE704F" w:rsidRDefault="000D3010" w:rsidP="000D3010">
      <w:pPr>
        <w:pStyle w:val="FootnoteText"/>
        <w:rPr>
          <w:lang w:val="en-US"/>
        </w:rPr>
      </w:pPr>
    </w:p>
    <w:p w14:paraId="69BFB12C" w14:textId="77777777" w:rsidR="000D3010" w:rsidRPr="00CE704F" w:rsidRDefault="000D3010" w:rsidP="000D3010">
      <w:pPr>
        <w:pStyle w:val="FootnoteText"/>
      </w:pPr>
      <w:r w:rsidRPr="00CE704F">
        <w:rPr>
          <w:lang w:val="en-US"/>
        </w:rPr>
        <w:t xml:space="preserve">Livius. ‘The Invasion of the Gauls’. 23 July 2016. </w:t>
      </w:r>
      <w:hyperlink r:id="rId23" w:history="1">
        <w:r w:rsidRPr="00CE704F">
          <w:rPr>
            <w:rStyle w:val="Hyperlink"/>
            <w:lang w:val="en-US"/>
          </w:rPr>
          <w:t>www.livius.org</w:t>
        </w:r>
      </w:hyperlink>
      <w:r w:rsidRPr="00CE704F">
        <w:rPr>
          <w:lang w:val="en-US"/>
        </w:rPr>
        <w:t xml:space="preserve">. </w:t>
      </w:r>
      <w:hyperlink r:id="rId24" w:history="1">
        <w:r w:rsidRPr="00CE704F">
          <w:rPr>
            <w:rStyle w:val="Hyperlink"/>
          </w:rPr>
          <w:t>http://www.livius.org/sources/content/pausanias-guide-to-greece/the-invasion-of-the-gauls/</w:t>
        </w:r>
      </w:hyperlink>
      <w:r w:rsidRPr="00CE704F">
        <w:t xml:space="preserve"> [Accessed on: 24</w:t>
      </w:r>
      <w:r w:rsidRPr="00CE704F">
        <w:rPr>
          <w:vertAlign w:val="superscript"/>
        </w:rPr>
        <w:t>th</w:t>
      </w:r>
      <w:r w:rsidRPr="00CE704F">
        <w:t xml:space="preserve"> April 2018]</w:t>
      </w:r>
    </w:p>
    <w:p w14:paraId="79FCDAB2" w14:textId="77777777" w:rsidR="000D3010" w:rsidRPr="00CE704F" w:rsidRDefault="000D3010" w:rsidP="000D3010">
      <w:pPr>
        <w:pStyle w:val="FootnoteText"/>
      </w:pPr>
    </w:p>
    <w:p w14:paraId="745EC636" w14:textId="77777777" w:rsidR="000D3010" w:rsidRPr="00CE704F" w:rsidRDefault="000D3010" w:rsidP="000D3010">
      <w:pPr>
        <w:pStyle w:val="FootnoteText"/>
      </w:pPr>
      <w:r w:rsidRPr="00CE704F">
        <w:rPr>
          <w:lang w:val="en-US"/>
        </w:rPr>
        <w:t xml:space="preserve">Livius. ‘Second Syrian War (260-253). 19 June 2017. </w:t>
      </w:r>
      <w:hyperlink r:id="rId25" w:history="1">
        <w:r w:rsidRPr="00CE704F">
          <w:rPr>
            <w:rStyle w:val="Hyperlink"/>
            <w:lang w:val="en-US"/>
          </w:rPr>
          <w:t>www.livius.org</w:t>
        </w:r>
      </w:hyperlink>
      <w:r w:rsidRPr="00CE704F">
        <w:rPr>
          <w:lang w:val="en-US"/>
        </w:rPr>
        <w:t xml:space="preserve">. </w:t>
      </w:r>
      <w:hyperlink r:id="rId26" w:history="1">
        <w:r w:rsidRPr="00CE704F">
          <w:rPr>
            <w:rStyle w:val="Hyperlink"/>
          </w:rPr>
          <w:t>http://www.livius.org/articles/concept/syrian-war-2/</w:t>
        </w:r>
      </w:hyperlink>
      <w:r w:rsidRPr="00CE704F">
        <w:t>. [Accessed on: 10</w:t>
      </w:r>
      <w:r w:rsidRPr="00CE704F">
        <w:rPr>
          <w:vertAlign w:val="superscript"/>
        </w:rPr>
        <w:t>th</w:t>
      </w:r>
      <w:r w:rsidRPr="00CE704F">
        <w:t xml:space="preserve"> May 2018]</w:t>
      </w:r>
    </w:p>
    <w:p w14:paraId="72E70704" w14:textId="77777777" w:rsidR="000D3010" w:rsidRPr="00CE704F" w:rsidRDefault="000D3010" w:rsidP="000D3010">
      <w:pPr>
        <w:pStyle w:val="FootnoteText"/>
      </w:pPr>
    </w:p>
    <w:p w14:paraId="240518F8" w14:textId="77777777" w:rsidR="000D3010" w:rsidRPr="00CE704F" w:rsidRDefault="000D3010" w:rsidP="000D3010">
      <w:pPr>
        <w:pStyle w:val="FootnoteText"/>
      </w:pPr>
      <w:r w:rsidRPr="00CE704F">
        <w:rPr>
          <w:lang w:val="en-US"/>
        </w:rPr>
        <w:t xml:space="preserve">Livius. ‘Bactria’. 20 October 2017. </w:t>
      </w:r>
      <w:hyperlink r:id="rId27" w:history="1">
        <w:r w:rsidRPr="00CE704F">
          <w:rPr>
            <w:rStyle w:val="Hyperlink"/>
            <w:lang w:val="en-US"/>
          </w:rPr>
          <w:t>www.livius.org</w:t>
        </w:r>
      </w:hyperlink>
      <w:r w:rsidRPr="00CE704F">
        <w:rPr>
          <w:lang w:val="en-US"/>
        </w:rPr>
        <w:t xml:space="preserve">. </w:t>
      </w:r>
      <w:hyperlink r:id="rId28" w:history="1">
        <w:r w:rsidRPr="00CE704F">
          <w:rPr>
            <w:rStyle w:val="Hyperlink"/>
          </w:rPr>
          <w:t>http://www.livius.org/articles/place/bactria/</w:t>
        </w:r>
      </w:hyperlink>
      <w:r w:rsidRPr="00CE704F">
        <w:t>. [Accessed on: 12</w:t>
      </w:r>
      <w:r w:rsidRPr="00CE704F">
        <w:rPr>
          <w:vertAlign w:val="superscript"/>
        </w:rPr>
        <w:t>th</w:t>
      </w:r>
      <w:r w:rsidRPr="00CE704F">
        <w:t xml:space="preserve"> May 2018]</w:t>
      </w:r>
    </w:p>
    <w:p w14:paraId="729BA6F3" w14:textId="77777777" w:rsidR="000D3010" w:rsidRPr="00CE704F" w:rsidRDefault="000D3010" w:rsidP="000D3010">
      <w:pPr>
        <w:pStyle w:val="FootnoteText"/>
      </w:pPr>
    </w:p>
    <w:p w14:paraId="5860B5B5" w14:textId="77777777" w:rsidR="000D3010" w:rsidRPr="00CE704F" w:rsidRDefault="000D3010" w:rsidP="000D3010">
      <w:pPr>
        <w:pStyle w:val="FootnoteText"/>
      </w:pPr>
      <w:r w:rsidRPr="00CE704F">
        <w:t xml:space="preserve">Livius. ‘Parthian Empire’. 16 September 2017. </w:t>
      </w:r>
      <w:hyperlink r:id="rId29" w:history="1">
        <w:r w:rsidRPr="00CE704F">
          <w:rPr>
            <w:rStyle w:val="Hyperlink"/>
          </w:rPr>
          <w:t>www.livius.org</w:t>
        </w:r>
      </w:hyperlink>
      <w:r w:rsidRPr="00CE704F">
        <w:t xml:space="preserve">. </w:t>
      </w:r>
      <w:hyperlink r:id="rId30" w:history="1">
        <w:r w:rsidRPr="00CE704F">
          <w:rPr>
            <w:rStyle w:val="Hyperlink"/>
          </w:rPr>
          <w:t>http://www.livius.org/articles/misc/parthian-empire/</w:t>
        </w:r>
      </w:hyperlink>
      <w:r w:rsidRPr="00CE704F">
        <w:t>. [Accessed on: 12</w:t>
      </w:r>
      <w:r w:rsidRPr="00CE704F">
        <w:rPr>
          <w:vertAlign w:val="superscript"/>
        </w:rPr>
        <w:t>th</w:t>
      </w:r>
      <w:r w:rsidRPr="00CE704F">
        <w:t xml:space="preserve"> May 2018]</w:t>
      </w:r>
    </w:p>
    <w:p w14:paraId="1127BD4B" w14:textId="77777777" w:rsidR="000D3010" w:rsidRPr="00CE704F" w:rsidRDefault="000D3010" w:rsidP="000D3010">
      <w:pPr>
        <w:pStyle w:val="FootnoteText"/>
      </w:pPr>
    </w:p>
    <w:p w14:paraId="3C95A63C" w14:textId="77777777" w:rsidR="000D3010" w:rsidRDefault="000D3010" w:rsidP="000D3010">
      <w:pPr>
        <w:pStyle w:val="FootnoteText"/>
      </w:pPr>
      <w:r w:rsidRPr="00CE704F">
        <w:t xml:space="preserve">Livius. ‘Ptolemy II Philadelphus’. 3 April 2018. </w:t>
      </w:r>
      <w:hyperlink r:id="rId31" w:history="1">
        <w:r w:rsidRPr="00CE704F">
          <w:rPr>
            <w:rStyle w:val="Hyperlink"/>
          </w:rPr>
          <w:t>www.livius.org</w:t>
        </w:r>
      </w:hyperlink>
      <w:r w:rsidRPr="00CE704F">
        <w:t xml:space="preserve">. </w:t>
      </w:r>
      <w:hyperlink r:id="rId32" w:history="1">
        <w:r w:rsidRPr="00CE704F">
          <w:rPr>
            <w:rStyle w:val="Hyperlink"/>
          </w:rPr>
          <w:t>http://www.livius.org/articles/person/ptolemy-ii-philadelphus/</w:t>
        </w:r>
      </w:hyperlink>
      <w:r w:rsidRPr="00CE704F">
        <w:t>. [Accessed on: 11</w:t>
      </w:r>
      <w:r w:rsidRPr="00CE704F">
        <w:rPr>
          <w:vertAlign w:val="superscript"/>
        </w:rPr>
        <w:t>th</w:t>
      </w:r>
      <w:r w:rsidRPr="00CE704F">
        <w:t xml:space="preserve"> May 2018]</w:t>
      </w:r>
    </w:p>
    <w:p w14:paraId="54172A48" w14:textId="77777777" w:rsidR="000D3010" w:rsidRPr="00CE704F" w:rsidRDefault="000D3010" w:rsidP="000D3010">
      <w:pPr>
        <w:pStyle w:val="FootnoteText"/>
      </w:pPr>
    </w:p>
    <w:p w14:paraId="17BDE7DF" w14:textId="77777777" w:rsidR="000D3010" w:rsidRPr="00CE704F" w:rsidRDefault="000D3010" w:rsidP="000D3010">
      <w:pPr>
        <w:pStyle w:val="FootnoteText"/>
      </w:pPr>
      <w:r w:rsidRPr="00CE704F">
        <w:t xml:space="preserve">Livius. ‘Third Syrian War (246-241’ Laodicean War)’. 19 June 2017. </w:t>
      </w:r>
      <w:hyperlink r:id="rId33" w:history="1">
        <w:r w:rsidRPr="00CE704F">
          <w:rPr>
            <w:rStyle w:val="Hyperlink"/>
          </w:rPr>
          <w:t>www.livius.org</w:t>
        </w:r>
      </w:hyperlink>
      <w:r w:rsidRPr="00CE704F">
        <w:t xml:space="preserve">. </w:t>
      </w:r>
      <w:hyperlink r:id="rId34" w:history="1">
        <w:r w:rsidRPr="00CE704F">
          <w:rPr>
            <w:rStyle w:val="Hyperlink"/>
          </w:rPr>
          <w:t>http://www.livius.org/articles/concept/syrian-war-3/</w:t>
        </w:r>
      </w:hyperlink>
      <w:r w:rsidRPr="00CE704F">
        <w:t>. [Accessed on: 12</w:t>
      </w:r>
      <w:r w:rsidRPr="00CE704F">
        <w:rPr>
          <w:vertAlign w:val="superscript"/>
        </w:rPr>
        <w:t>th</w:t>
      </w:r>
      <w:r w:rsidRPr="00CE704F">
        <w:t xml:space="preserve"> May 2018]</w:t>
      </w:r>
    </w:p>
    <w:p w14:paraId="6B751613" w14:textId="77777777" w:rsidR="000D3010" w:rsidRPr="00CE704F" w:rsidRDefault="000D3010" w:rsidP="000D3010">
      <w:pPr>
        <w:pStyle w:val="FootnoteText"/>
      </w:pPr>
    </w:p>
    <w:p w14:paraId="05DCBC5C" w14:textId="77777777" w:rsidR="000D3010" w:rsidRPr="00CE704F" w:rsidRDefault="000D3010" w:rsidP="000D3010">
      <w:pPr>
        <w:pStyle w:val="FootnoteText"/>
      </w:pPr>
      <w:r w:rsidRPr="00CE704F">
        <w:t xml:space="preserve">Livius. ‘Appian, The Illyrian Wars 2’. 16 October 2017. </w:t>
      </w:r>
      <w:hyperlink r:id="rId35" w:history="1">
        <w:r w:rsidRPr="00CE704F">
          <w:rPr>
            <w:rStyle w:val="Hyperlink"/>
          </w:rPr>
          <w:t>www.livius.org</w:t>
        </w:r>
      </w:hyperlink>
      <w:r w:rsidRPr="00CE704F">
        <w:t xml:space="preserve">. </w:t>
      </w:r>
      <w:hyperlink r:id="rId36" w:history="1">
        <w:r w:rsidRPr="00CE704F">
          <w:rPr>
            <w:rStyle w:val="Hyperlink"/>
          </w:rPr>
          <w:t>http://www.livius.org/sources/content/appian/appian-the-illyrian-wars/appian-the-illyrian-wars-2/</w:t>
        </w:r>
      </w:hyperlink>
      <w:r w:rsidRPr="00CE704F">
        <w:t>. [Accessed on: 11</w:t>
      </w:r>
      <w:r w:rsidRPr="00CE704F">
        <w:rPr>
          <w:vertAlign w:val="superscript"/>
        </w:rPr>
        <w:t>th</w:t>
      </w:r>
      <w:r w:rsidRPr="00CE704F">
        <w:t xml:space="preserve"> May 2018]</w:t>
      </w:r>
    </w:p>
    <w:p w14:paraId="0032C6CE" w14:textId="77777777" w:rsidR="000D3010" w:rsidRPr="00CE704F" w:rsidRDefault="000D3010" w:rsidP="000D3010">
      <w:pPr>
        <w:pStyle w:val="FootnoteText"/>
      </w:pPr>
    </w:p>
    <w:p w14:paraId="370174D9" w14:textId="77777777" w:rsidR="000D3010" w:rsidRPr="00CE704F" w:rsidRDefault="000D3010" w:rsidP="000D3010">
      <w:pPr>
        <w:pStyle w:val="FootnoteText"/>
      </w:pPr>
      <w:r w:rsidRPr="00CE704F">
        <w:t xml:space="preserve">Ancient History Encyclopaedia. ‘Battle of Pydna’ 19 February 2015. </w:t>
      </w:r>
      <w:hyperlink r:id="rId37" w:history="1">
        <w:r w:rsidRPr="00CE704F">
          <w:rPr>
            <w:rStyle w:val="Hyperlink"/>
          </w:rPr>
          <w:t>www.ancient.eu</w:t>
        </w:r>
      </w:hyperlink>
      <w:r w:rsidRPr="00CE704F">
        <w:t xml:space="preserve">. </w:t>
      </w:r>
      <w:hyperlink r:id="rId38" w:history="1">
        <w:r w:rsidRPr="00CE704F">
          <w:rPr>
            <w:rStyle w:val="Hyperlink"/>
          </w:rPr>
          <w:t>https://www.ancient.eu/Battle_of_Pydna/</w:t>
        </w:r>
      </w:hyperlink>
      <w:r w:rsidRPr="00CE704F">
        <w:t>. [Accessed on: 13</w:t>
      </w:r>
      <w:r w:rsidRPr="00CE704F">
        <w:rPr>
          <w:vertAlign w:val="superscript"/>
        </w:rPr>
        <w:t>th</w:t>
      </w:r>
      <w:r w:rsidRPr="00CE704F">
        <w:t xml:space="preserve"> May 2018]</w:t>
      </w:r>
    </w:p>
    <w:p w14:paraId="4DEC8286" w14:textId="77777777" w:rsidR="000D3010" w:rsidRPr="00CE704F" w:rsidRDefault="000D3010" w:rsidP="000D3010">
      <w:pPr>
        <w:pStyle w:val="FootnoteText"/>
      </w:pPr>
    </w:p>
    <w:p w14:paraId="055820CE" w14:textId="77777777" w:rsidR="000D3010" w:rsidRPr="00CE704F" w:rsidRDefault="000D3010" w:rsidP="000D3010">
      <w:pPr>
        <w:pStyle w:val="FootnoteText"/>
      </w:pPr>
      <w:r w:rsidRPr="00CE704F">
        <w:t xml:space="preserve">Livius. ‘Cynoscephalae’. 19 June 2017. </w:t>
      </w:r>
      <w:hyperlink r:id="rId39" w:history="1">
        <w:r w:rsidRPr="00CE704F">
          <w:rPr>
            <w:rStyle w:val="Hyperlink"/>
          </w:rPr>
          <w:t>www.livius.org</w:t>
        </w:r>
      </w:hyperlink>
      <w:r w:rsidRPr="00CE704F">
        <w:t xml:space="preserve">. </w:t>
      </w:r>
      <w:hyperlink r:id="rId40" w:history="1">
        <w:r w:rsidRPr="00CE704F">
          <w:rPr>
            <w:rStyle w:val="Hyperlink"/>
          </w:rPr>
          <w:t>http://www.livius.org/articles/battle/cynoscephalae-197-bce/</w:t>
        </w:r>
      </w:hyperlink>
      <w:r w:rsidRPr="00CE704F">
        <w:t>. [Accessed on: 13</w:t>
      </w:r>
      <w:r w:rsidRPr="00CE704F">
        <w:rPr>
          <w:vertAlign w:val="superscript"/>
        </w:rPr>
        <w:t>th</w:t>
      </w:r>
      <w:r w:rsidRPr="00CE704F">
        <w:t xml:space="preserve"> May 2018]</w:t>
      </w:r>
    </w:p>
    <w:p w14:paraId="20EF3550" w14:textId="77777777" w:rsidR="000D3010" w:rsidRPr="00CE704F" w:rsidRDefault="000D3010" w:rsidP="000D3010">
      <w:pPr>
        <w:pStyle w:val="FootnoteText"/>
      </w:pPr>
    </w:p>
    <w:p w14:paraId="13DCF390" w14:textId="77777777" w:rsidR="000D3010" w:rsidRPr="00CE704F" w:rsidRDefault="000D3010" w:rsidP="000D3010">
      <w:pPr>
        <w:pStyle w:val="FootnoteText"/>
      </w:pPr>
      <w:r w:rsidRPr="00CE704F">
        <w:t xml:space="preserve">Livius. ‘Corinth’. 3 April 2018. </w:t>
      </w:r>
      <w:hyperlink r:id="rId41" w:history="1">
        <w:r w:rsidRPr="00CE704F">
          <w:rPr>
            <w:rStyle w:val="Hyperlink"/>
          </w:rPr>
          <w:t>www.livius.org</w:t>
        </w:r>
      </w:hyperlink>
      <w:r w:rsidRPr="00CE704F">
        <w:t xml:space="preserve">. </w:t>
      </w:r>
      <w:hyperlink r:id="rId42" w:history="1">
        <w:r w:rsidRPr="00CE704F">
          <w:rPr>
            <w:rStyle w:val="Hyperlink"/>
          </w:rPr>
          <w:t>http://www.livius.org/articles/place/corinth/</w:t>
        </w:r>
      </w:hyperlink>
      <w:r w:rsidRPr="00CE704F">
        <w:t>. [Accessed on: 14</w:t>
      </w:r>
      <w:r w:rsidRPr="00CE704F">
        <w:rPr>
          <w:vertAlign w:val="superscript"/>
        </w:rPr>
        <w:t>th</w:t>
      </w:r>
      <w:r w:rsidRPr="00CE704F">
        <w:t xml:space="preserve"> May 2018]</w:t>
      </w:r>
    </w:p>
    <w:p w14:paraId="1E78A951" w14:textId="77777777" w:rsidR="000D3010" w:rsidRPr="00CE704F" w:rsidRDefault="000D3010" w:rsidP="000D3010">
      <w:pPr>
        <w:pStyle w:val="FootnoteText"/>
      </w:pPr>
    </w:p>
    <w:p w14:paraId="16043F47" w14:textId="77777777" w:rsidR="000D3010" w:rsidRPr="00CE704F" w:rsidRDefault="000D3010" w:rsidP="000D3010">
      <w:pPr>
        <w:pStyle w:val="FootnoteText"/>
        <w:rPr>
          <w:lang w:val="en-US"/>
        </w:rPr>
      </w:pPr>
      <w:r w:rsidRPr="00CE704F">
        <w:t xml:space="preserve">Livius. ‘Antiochus IV Epiphanes’. 12 April 2018. </w:t>
      </w:r>
      <w:hyperlink r:id="rId43" w:history="1">
        <w:r w:rsidRPr="00CE704F">
          <w:rPr>
            <w:rStyle w:val="Hyperlink"/>
          </w:rPr>
          <w:t>www.livius.org</w:t>
        </w:r>
      </w:hyperlink>
      <w:r w:rsidRPr="00CE704F">
        <w:t xml:space="preserve">. </w:t>
      </w:r>
      <w:hyperlink r:id="rId44" w:history="1">
        <w:r w:rsidRPr="00CE704F">
          <w:rPr>
            <w:rStyle w:val="Hyperlink"/>
          </w:rPr>
          <w:t>http://www.livius.org/articles/person/antiochus-iv-epiphanes/</w:t>
        </w:r>
      </w:hyperlink>
      <w:r w:rsidRPr="00CE704F">
        <w:rPr>
          <w:lang w:val="en-US"/>
        </w:rPr>
        <w:t>. [Accessed on: 15</w:t>
      </w:r>
      <w:r w:rsidRPr="00CE704F">
        <w:rPr>
          <w:vertAlign w:val="superscript"/>
          <w:lang w:val="en-US"/>
        </w:rPr>
        <w:t>th</w:t>
      </w:r>
      <w:r w:rsidRPr="00CE704F">
        <w:rPr>
          <w:lang w:val="en-US"/>
        </w:rPr>
        <w:t xml:space="preserve"> May 2018]</w:t>
      </w:r>
    </w:p>
    <w:p w14:paraId="3BFC38C5" w14:textId="77777777" w:rsidR="000D3010" w:rsidRPr="00CE704F" w:rsidRDefault="000D3010" w:rsidP="000D3010">
      <w:pPr>
        <w:pStyle w:val="FootnoteText"/>
        <w:rPr>
          <w:lang w:val="en-US"/>
        </w:rPr>
      </w:pPr>
    </w:p>
    <w:p w14:paraId="561ABD53" w14:textId="77777777" w:rsidR="000D3010" w:rsidRPr="00CE704F" w:rsidRDefault="000D3010" w:rsidP="000D3010">
      <w:pPr>
        <w:pStyle w:val="FootnoteText"/>
      </w:pPr>
      <w:r w:rsidRPr="00CE704F">
        <w:rPr>
          <w:lang w:val="en-US"/>
        </w:rPr>
        <w:lastRenderedPageBreak/>
        <w:t>Livius. ‘Maccabees and Method’. 15</w:t>
      </w:r>
      <w:r w:rsidRPr="00CE704F">
        <w:rPr>
          <w:vertAlign w:val="superscript"/>
          <w:lang w:val="en-US"/>
        </w:rPr>
        <w:t>th</w:t>
      </w:r>
      <w:r w:rsidRPr="00CE704F">
        <w:rPr>
          <w:lang w:val="en-US"/>
        </w:rPr>
        <w:t xml:space="preserve"> May 2018. </w:t>
      </w:r>
      <w:hyperlink r:id="rId45" w:history="1">
        <w:r w:rsidRPr="00CE704F">
          <w:rPr>
            <w:rStyle w:val="Hyperlink"/>
            <w:lang w:val="en-US"/>
          </w:rPr>
          <w:t>www.livius.org</w:t>
        </w:r>
      </w:hyperlink>
      <w:r w:rsidRPr="00CE704F">
        <w:rPr>
          <w:lang w:val="en-US"/>
        </w:rPr>
        <w:t xml:space="preserve">. </w:t>
      </w:r>
      <w:hyperlink r:id="rId46" w:history="1">
        <w:r w:rsidRPr="00CE704F">
          <w:rPr>
            <w:rStyle w:val="Hyperlink"/>
          </w:rPr>
          <w:t>http://www.livius.org/articles/misc/maccabees-and-method/</w:t>
        </w:r>
      </w:hyperlink>
      <w:r w:rsidRPr="00CE704F">
        <w:t>. [Accessed on: 15</w:t>
      </w:r>
      <w:r w:rsidRPr="00CE704F">
        <w:rPr>
          <w:vertAlign w:val="superscript"/>
        </w:rPr>
        <w:t>th</w:t>
      </w:r>
      <w:r w:rsidRPr="00CE704F">
        <w:t xml:space="preserve"> May 2018]</w:t>
      </w:r>
    </w:p>
    <w:p w14:paraId="5ADDF83C" w14:textId="77777777" w:rsidR="000D3010" w:rsidRPr="00CE704F" w:rsidRDefault="000D3010" w:rsidP="000D3010">
      <w:pPr>
        <w:pStyle w:val="FootnoteText"/>
      </w:pPr>
    </w:p>
    <w:p w14:paraId="108902E5" w14:textId="77777777" w:rsidR="000D3010" w:rsidRPr="00CE704F" w:rsidRDefault="000D3010" w:rsidP="000D3010">
      <w:pPr>
        <w:pStyle w:val="FootnoteText"/>
      </w:pPr>
      <w:r w:rsidRPr="00CE704F">
        <w:t xml:space="preserve">Livius. ‘Mithridates’. 18 August 2017. </w:t>
      </w:r>
      <w:hyperlink r:id="rId47" w:history="1">
        <w:r w:rsidRPr="00CE704F">
          <w:rPr>
            <w:rStyle w:val="Hyperlink"/>
          </w:rPr>
          <w:t>www.livius.org</w:t>
        </w:r>
      </w:hyperlink>
      <w:r w:rsidRPr="00CE704F">
        <w:t xml:space="preserve">. </w:t>
      </w:r>
      <w:hyperlink r:id="rId48" w:history="1">
        <w:r w:rsidRPr="00CE704F">
          <w:rPr>
            <w:rStyle w:val="Hyperlink"/>
          </w:rPr>
          <w:t>http://www.livius.org/articles/person/mithridates/</w:t>
        </w:r>
      </w:hyperlink>
      <w:r w:rsidRPr="00CE704F">
        <w:t>. [Accessed on: 15</w:t>
      </w:r>
      <w:r w:rsidRPr="00CE704F">
        <w:rPr>
          <w:vertAlign w:val="superscript"/>
        </w:rPr>
        <w:t>th</w:t>
      </w:r>
      <w:r w:rsidRPr="00CE704F">
        <w:t xml:space="preserve"> May 2018]</w:t>
      </w:r>
    </w:p>
    <w:p w14:paraId="7340D0A6" w14:textId="77777777" w:rsidR="000D3010" w:rsidRPr="00CE704F" w:rsidRDefault="000D3010" w:rsidP="000D3010">
      <w:pPr>
        <w:pStyle w:val="FootnoteText"/>
      </w:pPr>
    </w:p>
    <w:p w14:paraId="189158C2" w14:textId="77777777" w:rsidR="000D3010" w:rsidRPr="00CE704F" w:rsidRDefault="000D3010" w:rsidP="000D3010">
      <w:pPr>
        <w:pStyle w:val="FootnoteText"/>
      </w:pPr>
      <w:r w:rsidRPr="00CE704F">
        <w:t xml:space="preserve">Livius. ‘Actium (31 BCE)’. 16 October 2017. </w:t>
      </w:r>
      <w:hyperlink r:id="rId49" w:history="1">
        <w:r w:rsidRPr="00CE704F">
          <w:rPr>
            <w:rStyle w:val="Hyperlink"/>
          </w:rPr>
          <w:t>www.livius.org</w:t>
        </w:r>
      </w:hyperlink>
      <w:r w:rsidRPr="00CE704F">
        <w:t>. http://www.livius.org/articles/battle/actium-31-bce/ . [Accessed on: 15</w:t>
      </w:r>
      <w:r w:rsidRPr="00CE704F">
        <w:rPr>
          <w:vertAlign w:val="superscript"/>
        </w:rPr>
        <w:t>th</w:t>
      </w:r>
      <w:r w:rsidRPr="00CE704F">
        <w:t xml:space="preserve"> May 2018]</w:t>
      </w:r>
      <w:r w:rsidRPr="00CE704F">
        <w:rPr>
          <w:vanish/>
        </w:rPr>
        <w:t xml:space="preserve"> </w:t>
      </w:r>
    </w:p>
    <w:p w14:paraId="5DE6935F" w14:textId="77777777" w:rsidR="000D3010" w:rsidRPr="006B039D" w:rsidRDefault="000D3010" w:rsidP="00FC292A">
      <w:pPr>
        <w:spacing w:line="276" w:lineRule="auto"/>
      </w:pPr>
      <w:bookmarkStart w:id="0" w:name="_GoBack"/>
      <w:bookmarkEnd w:id="0"/>
    </w:p>
    <w:sectPr w:rsidR="000D3010" w:rsidRPr="006B039D" w:rsidSect="00FC292A">
      <w:pgSz w:w="16840" w:h="1190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4F0980" w14:textId="77777777" w:rsidR="009F5F5A" w:rsidRDefault="009F5F5A" w:rsidP="002D535C">
      <w:r>
        <w:separator/>
      </w:r>
    </w:p>
  </w:endnote>
  <w:endnote w:type="continuationSeparator" w:id="0">
    <w:p w14:paraId="7932422B" w14:textId="77777777" w:rsidR="009F5F5A" w:rsidRDefault="009F5F5A" w:rsidP="002D53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zephtextregular">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A335F5" w14:textId="77777777" w:rsidR="009F5F5A" w:rsidRDefault="009F5F5A" w:rsidP="002D535C">
      <w:r>
        <w:separator/>
      </w:r>
    </w:p>
  </w:footnote>
  <w:footnote w:type="continuationSeparator" w:id="0">
    <w:p w14:paraId="42F94FF3" w14:textId="77777777" w:rsidR="009F5F5A" w:rsidRDefault="009F5F5A" w:rsidP="002D535C">
      <w:r>
        <w:continuationSeparator/>
      </w:r>
    </w:p>
  </w:footnote>
  <w:footnote w:id="1">
    <w:p w14:paraId="3C161BDF" w14:textId="37C87E3A" w:rsidR="0017390B" w:rsidRPr="00B72F99" w:rsidRDefault="0017390B" w:rsidP="00FC292A">
      <w:pPr>
        <w:pStyle w:val="FootnoteText"/>
        <w:rPr>
          <w:lang w:val="en-US"/>
        </w:rPr>
      </w:pPr>
      <w:r w:rsidRPr="00B72F99">
        <w:rPr>
          <w:rStyle w:val="FootnoteReference"/>
        </w:rPr>
        <w:footnoteRef/>
      </w:r>
      <w:r w:rsidRPr="00B72F99">
        <w:t xml:space="preserve"> </w:t>
      </w:r>
      <w:r w:rsidRPr="00B72F99">
        <w:rPr>
          <w:lang w:val="en-US"/>
        </w:rPr>
        <w:t>Hornblower and Spawforth 20</w:t>
      </w:r>
      <w:r w:rsidR="00B72F99" w:rsidRPr="00B72F99">
        <w:rPr>
          <w:lang w:val="en-US"/>
        </w:rPr>
        <w:t>0</w:t>
      </w:r>
      <w:r w:rsidRPr="00B72F99">
        <w:rPr>
          <w:lang w:val="en-US"/>
        </w:rPr>
        <w:t>4: 27</w:t>
      </w:r>
    </w:p>
  </w:footnote>
  <w:footnote w:id="2">
    <w:p w14:paraId="4FE8F8B1" w14:textId="75018E11" w:rsidR="0017390B" w:rsidRPr="00B72F99" w:rsidRDefault="0017390B" w:rsidP="00FC292A">
      <w:pPr>
        <w:pStyle w:val="FootnoteText"/>
        <w:rPr>
          <w:lang w:val="en-US"/>
        </w:rPr>
      </w:pPr>
      <w:r w:rsidRPr="00B72F99">
        <w:rPr>
          <w:rStyle w:val="FootnoteReference"/>
        </w:rPr>
        <w:footnoteRef/>
      </w:r>
      <w:r w:rsidRPr="00B72F99">
        <w:t xml:space="preserve"> </w:t>
      </w:r>
      <w:r w:rsidR="00B72F99" w:rsidRPr="00B72F99">
        <w:rPr>
          <w:lang w:val="en-US"/>
        </w:rPr>
        <w:t xml:space="preserve">Hau 2013: </w:t>
      </w:r>
      <w:r w:rsidRPr="00B72F99">
        <w:rPr>
          <w:lang w:val="en-US"/>
        </w:rPr>
        <w:t>11</w:t>
      </w:r>
    </w:p>
  </w:footnote>
  <w:footnote w:id="3">
    <w:p w14:paraId="4368B803" w14:textId="34BD133B" w:rsidR="0017390B" w:rsidRPr="00B72F99" w:rsidRDefault="0017390B" w:rsidP="00FC292A">
      <w:pPr>
        <w:pStyle w:val="FootnoteText"/>
        <w:rPr>
          <w:lang w:val="en-US"/>
        </w:rPr>
      </w:pPr>
      <w:r w:rsidRPr="00B72F99">
        <w:rPr>
          <w:rStyle w:val="FootnoteReference"/>
        </w:rPr>
        <w:footnoteRef/>
      </w:r>
      <w:r w:rsidRPr="00B72F99">
        <w:t xml:space="preserve"> </w:t>
      </w:r>
      <w:r w:rsidRPr="00B72F99">
        <w:rPr>
          <w:lang w:val="en-US"/>
        </w:rPr>
        <w:t>A Hi</w:t>
      </w:r>
      <w:r w:rsidR="00B72F99" w:rsidRPr="00B72F99">
        <w:rPr>
          <w:lang w:val="en-US"/>
        </w:rPr>
        <w:t xml:space="preserve">story of the Hellenistic World 2008: </w:t>
      </w:r>
      <w:r w:rsidRPr="00B72F99">
        <w:rPr>
          <w:lang w:val="en-US"/>
        </w:rPr>
        <w:t>1</w:t>
      </w:r>
    </w:p>
  </w:footnote>
  <w:footnote w:id="4">
    <w:p w14:paraId="5626B98C" w14:textId="5460C221" w:rsidR="0017390B" w:rsidRPr="00B72F99" w:rsidRDefault="0017390B" w:rsidP="00FC292A">
      <w:pPr>
        <w:pStyle w:val="FootnoteText"/>
        <w:rPr>
          <w:lang w:val="en-US"/>
        </w:rPr>
      </w:pPr>
      <w:r w:rsidRPr="00B72F99">
        <w:rPr>
          <w:rStyle w:val="FootnoteReference"/>
        </w:rPr>
        <w:footnoteRef/>
      </w:r>
      <w:r w:rsidRPr="00B72F99">
        <w:t xml:space="preserve"> </w:t>
      </w:r>
      <w:r w:rsidR="00B72F99" w:rsidRPr="00B72F99">
        <w:rPr>
          <w:lang w:val="en-US"/>
        </w:rPr>
        <w:t xml:space="preserve">Hau 2013: </w:t>
      </w:r>
      <w:r w:rsidRPr="00B72F99">
        <w:rPr>
          <w:lang w:val="en-US"/>
        </w:rPr>
        <w:t>11</w:t>
      </w:r>
    </w:p>
  </w:footnote>
  <w:footnote w:id="5">
    <w:p w14:paraId="7C3DA151" w14:textId="34E368B5" w:rsidR="0017390B" w:rsidRPr="00B72F99" w:rsidRDefault="0017390B" w:rsidP="00FC292A">
      <w:pPr>
        <w:rPr>
          <w:rFonts w:ascii="Times New Roman" w:hAnsi="Times New Roman" w:cs="Times New Roman"/>
          <w:lang w:val="en-US"/>
        </w:rPr>
      </w:pPr>
      <w:r w:rsidRPr="00B72F99">
        <w:rPr>
          <w:rStyle w:val="FootnoteReference"/>
        </w:rPr>
        <w:footnoteRef/>
      </w:r>
      <w:r w:rsidRPr="00B72F99">
        <w:t xml:space="preserve"> </w:t>
      </w:r>
      <w:r w:rsidRPr="00B72F99">
        <w:rPr>
          <w:rFonts w:ascii="Times New Roman" w:hAnsi="Times New Roman" w:cs="Times New Roman"/>
          <w:lang w:val="en-US"/>
        </w:rPr>
        <w:t>Diod. 16.87</w:t>
      </w:r>
    </w:p>
  </w:footnote>
  <w:footnote w:id="6">
    <w:p w14:paraId="53FCCBFE" w14:textId="00CBF5BB" w:rsidR="0017390B" w:rsidRPr="00B72F99" w:rsidRDefault="0017390B" w:rsidP="00FC292A">
      <w:pPr>
        <w:pStyle w:val="FootnoteText"/>
        <w:rPr>
          <w:lang w:val="en-US"/>
        </w:rPr>
      </w:pPr>
      <w:r w:rsidRPr="00B72F99">
        <w:rPr>
          <w:rStyle w:val="FootnoteReference"/>
        </w:rPr>
        <w:footnoteRef/>
      </w:r>
      <w:r w:rsidRPr="00B72F99">
        <w:t xml:space="preserve"> </w:t>
      </w:r>
      <w:r w:rsidR="00B72F99" w:rsidRPr="00B72F99">
        <w:rPr>
          <w:lang w:val="en-US"/>
        </w:rPr>
        <w:t>Hornblower and Spawforth 2004: 27</w:t>
      </w:r>
    </w:p>
  </w:footnote>
  <w:footnote w:id="7">
    <w:p w14:paraId="7286ABF5" w14:textId="77777777" w:rsidR="0017390B" w:rsidRPr="00B72F99" w:rsidRDefault="0017390B" w:rsidP="00FC292A">
      <w:pPr>
        <w:pStyle w:val="FootnoteText"/>
        <w:rPr>
          <w:lang w:val="en-US"/>
        </w:rPr>
      </w:pPr>
      <w:r w:rsidRPr="00B72F99">
        <w:rPr>
          <w:rStyle w:val="FootnoteReference"/>
        </w:rPr>
        <w:footnoteRef/>
      </w:r>
      <w:r w:rsidRPr="00B72F99">
        <w:t xml:space="preserve"> Arrian, </w:t>
      </w:r>
      <w:r w:rsidRPr="00B72F99">
        <w:rPr>
          <w:lang w:val="en-US"/>
        </w:rPr>
        <w:t>Anabasis, Book 1.2</w:t>
      </w:r>
    </w:p>
  </w:footnote>
  <w:footnote w:id="8">
    <w:p w14:paraId="0CDA89EA" w14:textId="77777777" w:rsidR="0017390B" w:rsidRPr="00B72F99" w:rsidRDefault="0017390B" w:rsidP="00FC292A">
      <w:pPr>
        <w:pStyle w:val="FootnoteText"/>
        <w:rPr>
          <w:lang w:val="en-US"/>
        </w:rPr>
      </w:pPr>
      <w:r w:rsidRPr="00B72F99">
        <w:rPr>
          <w:rStyle w:val="FootnoteReference"/>
        </w:rPr>
        <w:footnoteRef/>
      </w:r>
      <w:r w:rsidRPr="00B72F99">
        <w:t xml:space="preserve"> </w:t>
      </w:r>
      <w:r w:rsidRPr="00B72F99">
        <w:rPr>
          <w:lang w:val="en-US"/>
        </w:rPr>
        <w:t>Plutarch, Life of Alexander, LOOK ON LOEB</w:t>
      </w:r>
    </w:p>
  </w:footnote>
  <w:footnote w:id="9">
    <w:p w14:paraId="60122D78" w14:textId="3F8F77B8" w:rsidR="0017390B" w:rsidRPr="00B72F99" w:rsidRDefault="0017390B">
      <w:pPr>
        <w:pStyle w:val="FootnoteText"/>
        <w:rPr>
          <w:lang w:val="en-US"/>
        </w:rPr>
      </w:pPr>
      <w:r w:rsidRPr="00B72F99">
        <w:rPr>
          <w:rStyle w:val="FootnoteReference"/>
        </w:rPr>
        <w:footnoteRef/>
      </w:r>
      <w:r w:rsidRPr="00B72F99">
        <w:t xml:space="preserve"> </w:t>
      </w:r>
      <w:r w:rsidR="005C6E2B" w:rsidRPr="00B72F99">
        <w:t>Carney 1992</w:t>
      </w:r>
    </w:p>
  </w:footnote>
  <w:footnote w:id="10">
    <w:p w14:paraId="6801AF1C" w14:textId="121438DB" w:rsidR="0017390B" w:rsidRPr="00B72F99" w:rsidRDefault="0017390B" w:rsidP="00FC292A">
      <w:pPr>
        <w:pStyle w:val="FootnoteText"/>
        <w:rPr>
          <w:lang w:val="en-US"/>
        </w:rPr>
      </w:pPr>
      <w:r w:rsidRPr="00B72F99">
        <w:rPr>
          <w:rStyle w:val="FootnoteReference"/>
        </w:rPr>
        <w:footnoteRef/>
      </w:r>
      <w:r w:rsidRPr="00B72F99">
        <w:t xml:space="preserve"> </w:t>
      </w:r>
      <w:r w:rsidR="00B72F99" w:rsidRPr="00B72F99">
        <w:rPr>
          <w:lang w:val="en-US"/>
        </w:rPr>
        <w:t xml:space="preserve">Hornblower and Spawforth 2004: </w:t>
      </w:r>
      <w:r w:rsidRPr="00B72F99">
        <w:rPr>
          <w:lang w:val="en-US"/>
        </w:rPr>
        <w:t>531</w:t>
      </w:r>
    </w:p>
  </w:footnote>
  <w:footnote w:id="11">
    <w:p w14:paraId="23A7BBB6" w14:textId="62078FE9" w:rsidR="0017390B" w:rsidRPr="00B72F99" w:rsidRDefault="0017390B" w:rsidP="00FC292A">
      <w:pPr>
        <w:pStyle w:val="FootnoteText"/>
        <w:rPr>
          <w:lang w:val="en-US"/>
        </w:rPr>
      </w:pPr>
      <w:r w:rsidRPr="00B72F99">
        <w:rPr>
          <w:rStyle w:val="FootnoteReference"/>
        </w:rPr>
        <w:footnoteRef/>
      </w:r>
      <w:r w:rsidRPr="00B72F99">
        <w:t xml:space="preserve"> </w:t>
      </w:r>
      <w:r w:rsidRPr="00B72F99">
        <w:rPr>
          <w:lang w:val="en-US"/>
        </w:rPr>
        <w:t>Ogde</w:t>
      </w:r>
      <w:r w:rsidR="00F8429B">
        <w:rPr>
          <w:lang w:val="en-US"/>
        </w:rPr>
        <w:t xml:space="preserve">n 2011: </w:t>
      </w:r>
      <w:r w:rsidRPr="00B72F99">
        <w:rPr>
          <w:lang w:val="en-US"/>
        </w:rPr>
        <w:t>1</w:t>
      </w:r>
    </w:p>
  </w:footnote>
  <w:footnote w:id="12">
    <w:p w14:paraId="74D8F63A" w14:textId="5ACF2ABB" w:rsidR="0017390B" w:rsidRPr="00B72F99" w:rsidRDefault="0017390B" w:rsidP="00FC292A">
      <w:pPr>
        <w:pStyle w:val="FootnoteText"/>
        <w:rPr>
          <w:lang w:val="en-US"/>
        </w:rPr>
      </w:pPr>
      <w:r w:rsidRPr="00B72F99">
        <w:rPr>
          <w:rStyle w:val="FootnoteReference"/>
        </w:rPr>
        <w:footnoteRef/>
      </w:r>
      <w:r w:rsidRPr="00B72F99">
        <w:t xml:space="preserve"> </w:t>
      </w:r>
      <w:r w:rsidR="005C6E2B" w:rsidRPr="00B72F99">
        <w:rPr>
          <w:lang w:val="en-US"/>
        </w:rPr>
        <w:t>Elizabeth Carney 1992</w:t>
      </w:r>
    </w:p>
  </w:footnote>
  <w:footnote w:id="13">
    <w:p w14:paraId="5F43FC95" w14:textId="77777777" w:rsidR="0017390B" w:rsidRPr="00B72F99" w:rsidRDefault="0017390B" w:rsidP="00FC292A">
      <w:pPr>
        <w:pStyle w:val="FootnoteText"/>
        <w:rPr>
          <w:lang w:val="en-US"/>
        </w:rPr>
      </w:pPr>
      <w:r w:rsidRPr="00B72F99">
        <w:rPr>
          <w:rStyle w:val="FootnoteReference"/>
        </w:rPr>
        <w:footnoteRef/>
      </w:r>
      <w:r w:rsidRPr="00B72F99">
        <w:t xml:space="preserve"> </w:t>
      </w:r>
      <w:r w:rsidRPr="00B72F99">
        <w:rPr>
          <w:rFonts w:ascii="Times New Roman" w:hAnsi="Times New Roman" w:cs="Times New Roman"/>
          <w:lang w:val="en-US"/>
        </w:rPr>
        <w:t>Plutarch, Alexander, 9.5.11</w:t>
      </w:r>
    </w:p>
  </w:footnote>
  <w:footnote w:id="14">
    <w:p w14:paraId="68B7871B" w14:textId="4B8923F2" w:rsidR="0017390B" w:rsidRPr="00B72F99" w:rsidRDefault="0017390B">
      <w:pPr>
        <w:pStyle w:val="FootnoteText"/>
        <w:rPr>
          <w:lang w:val="en-US"/>
        </w:rPr>
      </w:pPr>
      <w:r w:rsidRPr="00B72F99">
        <w:rPr>
          <w:rStyle w:val="FootnoteReference"/>
        </w:rPr>
        <w:footnoteRef/>
      </w:r>
      <w:r w:rsidRPr="00B72F99">
        <w:t xml:space="preserve"> </w:t>
      </w:r>
      <w:r w:rsidR="00F36A36">
        <w:rPr>
          <w:lang w:val="en-US"/>
        </w:rPr>
        <w:t>Bradford</w:t>
      </w:r>
    </w:p>
  </w:footnote>
  <w:footnote w:id="15">
    <w:p w14:paraId="588DA068" w14:textId="7782B18E" w:rsidR="0017390B" w:rsidRPr="00B72F99" w:rsidRDefault="0017390B" w:rsidP="00FC292A">
      <w:pPr>
        <w:pStyle w:val="FootnoteText"/>
        <w:rPr>
          <w:lang w:val="en-US"/>
        </w:rPr>
      </w:pPr>
      <w:r w:rsidRPr="00B72F99">
        <w:rPr>
          <w:rStyle w:val="FootnoteReference"/>
        </w:rPr>
        <w:footnoteRef/>
      </w:r>
      <w:r w:rsidRPr="00B72F99">
        <w:t xml:space="preserve"> </w:t>
      </w:r>
      <w:r w:rsidR="00B72F99" w:rsidRPr="00B72F99">
        <w:rPr>
          <w:lang w:val="en-US"/>
        </w:rPr>
        <w:t xml:space="preserve">Hornblower and Spawforth 2004: </w:t>
      </w:r>
      <w:r w:rsidRPr="00B72F99">
        <w:rPr>
          <w:lang w:val="en-US"/>
        </w:rPr>
        <w:t>531</w:t>
      </w:r>
    </w:p>
  </w:footnote>
  <w:footnote w:id="16">
    <w:p w14:paraId="01C12254" w14:textId="603B0712"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Valerius Maximus 1.8. ext. 9</w:t>
      </w:r>
    </w:p>
  </w:footnote>
  <w:footnote w:id="17">
    <w:p w14:paraId="20E54A73" w14:textId="605593F7" w:rsidR="0017390B" w:rsidRPr="00B72F99" w:rsidRDefault="0017390B">
      <w:pPr>
        <w:pStyle w:val="FootnoteText"/>
        <w:rPr>
          <w:lang w:val="en-US"/>
        </w:rPr>
      </w:pPr>
      <w:r w:rsidRPr="00B72F99">
        <w:rPr>
          <w:rStyle w:val="FootnoteReference"/>
        </w:rPr>
        <w:footnoteRef/>
      </w:r>
      <w:r w:rsidRPr="00B72F99">
        <w:t xml:space="preserve"> </w:t>
      </w:r>
      <w:r w:rsidR="003A1CB8">
        <w:rPr>
          <w:lang w:val="en-US"/>
        </w:rPr>
        <w:t>Austin 2006:</w:t>
      </w:r>
      <w:r w:rsidRPr="00B72F99">
        <w:rPr>
          <w:lang w:val="en-US"/>
        </w:rPr>
        <w:t xml:space="preserve"> v</w:t>
      </w:r>
    </w:p>
  </w:footnote>
  <w:footnote w:id="18">
    <w:p w14:paraId="0303B40B" w14:textId="24F6A368" w:rsidR="0017390B" w:rsidRPr="00B72F99" w:rsidRDefault="0017390B">
      <w:pPr>
        <w:pStyle w:val="FootnoteText"/>
        <w:rPr>
          <w:rFonts w:ascii="Times New Roman" w:hAnsi="Times New Roman" w:cs="Times New Roman"/>
        </w:rPr>
      </w:pPr>
      <w:r w:rsidRPr="00B72F99">
        <w:rPr>
          <w:rStyle w:val="FootnoteReference"/>
        </w:rPr>
        <w:footnoteRef/>
      </w:r>
      <w:r w:rsidRPr="00B72F99">
        <w:t xml:space="preserve"> </w:t>
      </w:r>
      <w:r w:rsidR="003A1CB8">
        <w:rPr>
          <w:rFonts w:ascii="Times New Roman" w:hAnsi="Times New Roman" w:cs="Times New Roman"/>
        </w:rPr>
        <w:t>Hamilto</w:t>
      </w:r>
      <w:r w:rsidR="00B72F99" w:rsidRPr="00B72F99">
        <w:rPr>
          <w:rFonts w:ascii="Times New Roman" w:hAnsi="Times New Roman" w:cs="Times New Roman"/>
        </w:rPr>
        <w:t xml:space="preserve">n 1965: </w:t>
      </w:r>
      <w:r w:rsidRPr="00B72F99">
        <w:rPr>
          <w:rFonts w:ascii="Times New Roman" w:hAnsi="Times New Roman" w:cs="Times New Roman"/>
        </w:rPr>
        <w:t>123</w:t>
      </w:r>
    </w:p>
  </w:footnote>
  <w:footnote w:id="19">
    <w:p w14:paraId="653C2D65" w14:textId="616AA133"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Justin 11.3.6-7</w:t>
      </w:r>
    </w:p>
  </w:footnote>
  <w:footnote w:id="20">
    <w:p w14:paraId="7E3B4B25" w14:textId="074430D0" w:rsidR="0017390B" w:rsidRPr="00B72F99" w:rsidRDefault="0017390B">
      <w:pPr>
        <w:pStyle w:val="FootnoteText"/>
        <w:rPr>
          <w:lang w:val="en-US"/>
        </w:rPr>
      </w:pPr>
      <w:r w:rsidRPr="00B72F99">
        <w:rPr>
          <w:rStyle w:val="FootnoteReference"/>
        </w:rPr>
        <w:footnoteRef/>
      </w:r>
      <w:r w:rsidRPr="00B72F99">
        <w:t xml:space="preserve"> </w:t>
      </w:r>
      <w:r w:rsidR="00B72F99">
        <w:rPr>
          <w:lang w:val="en-US"/>
        </w:rPr>
        <w:t>T</w:t>
      </w:r>
      <w:r w:rsidRPr="00B72F99">
        <w:rPr>
          <w:lang w:val="en-US"/>
        </w:rPr>
        <w:t>ucker</w:t>
      </w:r>
      <w:r w:rsidR="00B72F99">
        <w:rPr>
          <w:lang w:val="en-US"/>
        </w:rPr>
        <w:t xml:space="preserve"> 2011: </w:t>
      </w:r>
      <w:r w:rsidRPr="00B72F99">
        <w:rPr>
          <w:lang w:val="en-US"/>
        </w:rPr>
        <w:t>37</w:t>
      </w:r>
    </w:p>
  </w:footnote>
  <w:footnote w:id="21">
    <w:p w14:paraId="470CD08E" w14:textId="2FD0FE7F" w:rsidR="0017390B" w:rsidRPr="00B72F99" w:rsidRDefault="0017390B">
      <w:pPr>
        <w:pStyle w:val="FootnoteText"/>
        <w:rPr>
          <w:lang w:val="en-US"/>
        </w:rPr>
      </w:pPr>
      <w:r w:rsidRPr="00B72F99">
        <w:rPr>
          <w:rStyle w:val="FootnoteReference"/>
        </w:rPr>
        <w:footnoteRef/>
      </w:r>
      <w:r w:rsidRPr="00B72F99">
        <w:t xml:space="preserve"> </w:t>
      </w:r>
      <w:r w:rsidR="00B72F99">
        <w:rPr>
          <w:lang w:val="en-US"/>
        </w:rPr>
        <w:t>T</w:t>
      </w:r>
      <w:r w:rsidR="00B72F99" w:rsidRPr="00B72F99">
        <w:rPr>
          <w:lang w:val="en-US"/>
        </w:rPr>
        <w:t>ucker</w:t>
      </w:r>
      <w:r w:rsidR="00B72F99">
        <w:rPr>
          <w:lang w:val="en-US"/>
        </w:rPr>
        <w:t xml:space="preserve"> 2011:</w:t>
      </w:r>
      <w:r w:rsidR="00B72F99">
        <w:rPr>
          <w:lang w:val="en-US"/>
        </w:rPr>
        <w:t xml:space="preserve"> </w:t>
      </w:r>
      <w:r w:rsidRPr="00B72F99">
        <w:rPr>
          <w:lang w:val="en-US"/>
        </w:rPr>
        <w:t xml:space="preserve">35 </w:t>
      </w:r>
    </w:p>
  </w:footnote>
  <w:footnote w:id="22">
    <w:p w14:paraId="3A6C381D" w14:textId="6F7154EB"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Arrian Anabasis 1.13</w:t>
      </w:r>
    </w:p>
  </w:footnote>
  <w:footnote w:id="23">
    <w:p w14:paraId="022DD304" w14:textId="77063902" w:rsidR="0017390B" w:rsidRPr="00B72F99" w:rsidRDefault="0017390B">
      <w:pPr>
        <w:pStyle w:val="FootnoteText"/>
        <w:rPr>
          <w:lang w:val="en-US"/>
        </w:rPr>
      </w:pPr>
      <w:r w:rsidRPr="00B72F99">
        <w:rPr>
          <w:rStyle w:val="FootnoteReference"/>
        </w:rPr>
        <w:footnoteRef/>
      </w:r>
      <w:r w:rsidRPr="00B72F99">
        <w:t xml:space="preserve"> </w:t>
      </w:r>
      <w:r w:rsidR="00B72F99">
        <w:rPr>
          <w:lang w:val="en-US"/>
        </w:rPr>
        <w:t>T</w:t>
      </w:r>
      <w:r w:rsidR="00B72F99" w:rsidRPr="00B72F99">
        <w:rPr>
          <w:lang w:val="en-US"/>
        </w:rPr>
        <w:t>ucker</w:t>
      </w:r>
      <w:r w:rsidR="00B72F99">
        <w:rPr>
          <w:lang w:val="en-US"/>
        </w:rPr>
        <w:t xml:space="preserve"> 2011:</w:t>
      </w:r>
      <w:r w:rsidR="00B72F99">
        <w:rPr>
          <w:lang w:val="en-US"/>
        </w:rPr>
        <w:t xml:space="preserve"> </w:t>
      </w:r>
      <w:r w:rsidRPr="00B72F99">
        <w:rPr>
          <w:lang w:val="en-US"/>
        </w:rPr>
        <w:t>37</w:t>
      </w:r>
    </w:p>
  </w:footnote>
  <w:footnote w:id="24">
    <w:p w14:paraId="326335E5" w14:textId="1F779E99" w:rsidR="0017390B" w:rsidRPr="00B72F99" w:rsidRDefault="0017390B">
      <w:pPr>
        <w:pStyle w:val="FootnoteText"/>
        <w:rPr>
          <w:lang w:val="en-US"/>
        </w:rPr>
      </w:pPr>
      <w:r w:rsidRPr="00B72F99">
        <w:rPr>
          <w:rStyle w:val="FootnoteReference"/>
        </w:rPr>
        <w:footnoteRef/>
      </w:r>
      <w:r w:rsidRPr="00B72F99">
        <w:t xml:space="preserve"> </w:t>
      </w:r>
      <w:r w:rsidR="00B72F99">
        <w:rPr>
          <w:lang w:val="en-US"/>
        </w:rPr>
        <w:t>T</w:t>
      </w:r>
      <w:r w:rsidR="00B72F99" w:rsidRPr="00B72F99">
        <w:rPr>
          <w:lang w:val="en-US"/>
        </w:rPr>
        <w:t>ucker</w:t>
      </w:r>
      <w:r w:rsidR="00B72F99">
        <w:rPr>
          <w:lang w:val="en-US"/>
        </w:rPr>
        <w:t xml:space="preserve"> 2011:</w:t>
      </w:r>
      <w:r w:rsidR="00B72F99">
        <w:rPr>
          <w:lang w:val="en-US"/>
        </w:rPr>
        <w:t xml:space="preserve"> </w:t>
      </w:r>
      <w:r w:rsidRPr="00B72F99">
        <w:rPr>
          <w:lang w:val="en-US"/>
        </w:rPr>
        <w:t>37</w:t>
      </w:r>
    </w:p>
  </w:footnote>
  <w:footnote w:id="25">
    <w:p w14:paraId="7FD99166" w14:textId="534F1ED1"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Diodorus, Library of History 17.34.4</w:t>
      </w:r>
    </w:p>
  </w:footnote>
  <w:footnote w:id="26">
    <w:p w14:paraId="0D35B333" w14:textId="6CC1FE77" w:rsidR="0017390B" w:rsidRPr="00B72F99" w:rsidRDefault="0017390B">
      <w:pPr>
        <w:pStyle w:val="FootnoteText"/>
        <w:rPr>
          <w:lang w:val="en-US"/>
        </w:rPr>
      </w:pPr>
      <w:r w:rsidRPr="00B72F99">
        <w:rPr>
          <w:rStyle w:val="FootnoteReference"/>
        </w:rPr>
        <w:footnoteRef/>
      </w:r>
      <w:r w:rsidRPr="00B72F99">
        <w:t xml:space="preserve"> </w:t>
      </w:r>
      <w:r w:rsidR="003A1CB8">
        <w:rPr>
          <w:lang w:val="en-US"/>
        </w:rPr>
        <w:t>Austin 2006:</w:t>
      </w:r>
      <w:r w:rsidRPr="00B72F99">
        <w:rPr>
          <w:lang w:val="en-US"/>
        </w:rPr>
        <w:t xml:space="preserve"> v</w:t>
      </w:r>
    </w:p>
  </w:footnote>
  <w:footnote w:id="27">
    <w:p w14:paraId="3E045D9D" w14:textId="470DC481"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Austin</w:t>
      </w:r>
      <w:r w:rsidR="003A1CB8">
        <w:rPr>
          <w:lang w:val="en-US"/>
        </w:rPr>
        <w:t xml:space="preserve"> 2006: </w:t>
      </w:r>
      <w:r w:rsidRPr="00B72F99">
        <w:rPr>
          <w:lang w:val="en-US"/>
        </w:rPr>
        <w:t>35</w:t>
      </w:r>
    </w:p>
  </w:footnote>
  <w:footnote w:id="28">
    <w:p w14:paraId="7A76F27F" w14:textId="7D36D523"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Arrian III.3-4</w:t>
      </w:r>
    </w:p>
  </w:footnote>
  <w:footnote w:id="29">
    <w:p w14:paraId="0B1AF171" w14:textId="088C6964" w:rsidR="0017390B" w:rsidRPr="00B72F99" w:rsidRDefault="0017390B">
      <w:pPr>
        <w:pStyle w:val="FootnoteText"/>
        <w:rPr>
          <w:lang w:val="en-US"/>
        </w:rPr>
      </w:pPr>
      <w:r w:rsidRPr="00B72F99">
        <w:rPr>
          <w:rStyle w:val="FootnoteReference"/>
        </w:rPr>
        <w:footnoteRef/>
      </w:r>
      <w:r w:rsidRPr="00B72F99">
        <w:t xml:space="preserve"> </w:t>
      </w:r>
      <w:r w:rsidR="00B72F99">
        <w:rPr>
          <w:lang w:val="en-US"/>
        </w:rPr>
        <w:t>T</w:t>
      </w:r>
      <w:r w:rsidR="00B72F99" w:rsidRPr="00B72F99">
        <w:rPr>
          <w:lang w:val="en-US"/>
        </w:rPr>
        <w:t>ucker</w:t>
      </w:r>
      <w:r w:rsidR="00B72F99">
        <w:rPr>
          <w:lang w:val="en-US"/>
        </w:rPr>
        <w:t xml:space="preserve"> 2011:</w:t>
      </w:r>
      <w:r w:rsidR="00B72F99">
        <w:rPr>
          <w:lang w:val="en-US"/>
        </w:rPr>
        <w:t xml:space="preserve"> </w:t>
      </w:r>
      <w:r w:rsidRPr="00B72F99">
        <w:rPr>
          <w:lang w:val="en-US"/>
        </w:rPr>
        <w:t>43</w:t>
      </w:r>
    </w:p>
  </w:footnote>
  <w:footnote w:id="30">
    <w:p w14:paraId="59C5E0FF" w14:textId="5D3FB528" w:rsidR="0017390B" w:rsidRPr="00B72F99" w:rsidRDefault="0017390B">
      <w:pPr>
        <w:pStyle w:val="FootnoteText"/>
        <w:rPr>
          <w:lang w:val="en-US"/>
        </w:rPr>
      </w:pPr>
      <w:r w:rsidRPr="00B72F99">
        <w:rPr>
          <w:rStyle w:val="FootnoteReference"/>
        </w:rPr>
        <w:footnoteRef/>
      </w:r>
      <w:r w:rsidRPr="00B72F99">
        <w:t xml:space="preserve"> </w:t>
      </w:r>
      <w:r w:rsidR="00B72F99">
        <w:rPr>
          <w:lang w:val="en-US"/>
        </w:rPr>
        <w:t>T</w:t>
      </w:r>
      <w:r w:rsidR="00B72F99" w:rsidRPr="00B72F99">
        <w:rPr>
          <w:lang w:val="en-US"/>
        </w:rPr>
        <w:t>ucker</w:t>
      </w:r>
      <w:r w:rsidR="00B72F99">
        <w:rPr>
          <w:lang w:val="en-US"/>
        </w:rPr>
        <w:t xml:space="preserve"> 2011:</w:t>
      </w:r>
      <w:r w:rsidR="00B72F99">
        <w:rPr>
          <w:lang w:val="en-US"/>
        </w:rPr>
        <w:t xml:space="preserve"> </w:t>
      </w:r>
      <w:r w:rsidRPr="00B72F99">
        <w:rPr>
          <w:lang w:val="en-US"/>
        </w:rPr>
        <w:t>43</w:t>
      </w:r>
    </w:p>
  </w:footnote>
  <w:footnote w:id="31">
    <w:p w14:paraId="6451209B" w14:textId="0DA62C1C"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Arrian, Anabasis 3.7.2</w:t>
      </w:r>
    </w:p>
  </w:footnote>
  <w:footnote w:id="32">
    <w:p w14:paraId="05C8C9DC" w14:textId="2EF23E0C" w:rsidR="0017390B" w:rsidRPr="00B72F99" w:rsidRDefault="0017390B">
      <w:pPr>
        <w:pStyle w:val="FootnoteText"/>
        <w:rPr>
          <w:lang w:val="en-US"/>
        </w:rPr>
      </w:pPr>
      <w:r w:rsidRPr="00B72F99">
        <w:rPr>
          <w:rStyle w:val="FootnoteReference"/>
        </w:rPr>
        <w:footnoteRef/>
      </w:r>
      <w:r w:rsidRPr="00B72F99">
        <w:t xml:space="preserve"> </w:t>
      </w:r>
      <w:r w:rsidR="00B72F99" w:rsidRPr="00B72F99">
        <w:rPr>
          <w:lang w:val="en-US"/>
        </w:rPr>
        <w:t xml:space="preserve">Hornblower and Spawforth 2004: </w:t>
      </w:r>
      <w:r w:rsidRPr="00B72F99">
        <w:rPr>
          <w:lang w:val="en-US"/>
        </w:rPr>
        <w:t>528</w:t>
      </w:r>
    </w:p>
  </w:footnote>
  <w:footnote w:id="33">
    <w:p w14:paraId="299317A1" w14:textId="58B36BA8" w:rsidR="0017390B" w:rsidRPr="00B72F99" w:rsidRDefault="0017390B">
      <w:pPr>
        <w:pStyle w:val="FootnoteText"/>
        <w:rPr>
          <w:lang w:val="en-US"/>
        </w:rPr>
      </w:pPr>
      <w:r w:rsidRPr="00B72F99">
        <w:rPr>
          <w:rStyle w:val="FootnoteReference"/>
        </w:rPr>
        <w:footnoteRef/>
      </w:r>
      <w:r w:rsidRPr="00B72F99">
        <w:t xml:space="preserve"> </w:t>
      </w:r>
      <w:r w:rsidR="00B72F99" w:rsidRPr="00B72F99">
        <w:rPr>
          <w:lang w:val="en-US"/>
        </w:rPr>
        <w:t>Hornblower and Spawforth 2004: 528</w:t>
      </w:r>
    </w:p>
  </w:footnote>
  <w:footnote w:id="34">
    <w:p w14:paraId="4A4807D5" w14:textId="08C1F341" w:rsidR="0017390B" w:rsidRPr="00B72F99" w:rsidRDefault="0017390B">
      <w:pPr>
        <w:pStyle w:val="FootnoteText"/>
        <w:rPr>
          <w:lang w:val="en-US"/>
        </w:rPr>
      </w:pPr>
      <w:r w:rsidRPr="00B72F99">
        <w:rPr>
          <w:rStyle w:val="FootnoteReference"/>
        </w:rPr>
        <w:footnoteRef/>
      </w:r>
      <w:r w:rsidRPr="00B72F99">
        <w:t xml:space="preserve"> Diod. </w:t>
      </w:r>
      <w:r w:rsidRPr="00B72F99">
        <w:rPr>
          <w:lang w:val="en-US"/>
        </w:rPr>
        <w:t>17.70</w:t>
      </w:r>
    </w:p>
  </w:footnote>
  <w:footnote w:id="35">
    <w:p w14:paraId="211FA047" w14:textId="255E5403"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Diod. 17.71</w:t>
      </w:r>
    </w:p>
  </w:footnote>
  <w:footnote w:id="36">
    <w:p w14:paraId="17AE6136" w14:textId="5D260394" w:rsidR="0017390B" w:rsidRPr="00B72F99" w:rsidRDefault="0017390B">
      <w:pPr>
        <w:pStyle w:val="FootnoteText"/>
        <w:rPr>
          <w:lang w:val="en-US"/>
        </w:rPr>
      </w:pPr>
      <w:r w:rsidRPr="00B72F99">
        <w:rPr>
          <w:rStyle w:val="FootnoteReference"/>
        </w:rPr>
        <w:footnoteRef/>
      </w:r>
      <w:r w:rsidRPr="00B72F99">
        <w:t xml:space="preserve"> </w:t>
      </w:r>
      <w:r w:rsidR="000A42A8">
        <w:t>Livius 2015</w:t>
      </w:r>
    </w:p>
  </w:footnote>
  <w:footnote w:id="37">
    <w:p w14:paraId="29B35083" w14:textId="5939E975"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 xml:space="preserve">Hamilton </w:t>
      </w:r>
      <w:r w:rsidR="000A42A8">
        <w:rPr>
          <w:lang w:val="en-US"/>
        </w:rPr>
        <w:t>1956</w:t>
      </w:r>
    </w:p>
  </w:footnote>
  <w:footnote w:id="38">
    <w:p w14:paraId="5F966A75" w14:textId="24963059" w:rsidR="0017390B" w:rsidRPr="00B72F99" w:rsidRDefault="0017390B">
      <w:pPr>
        <w:pStyle w:val="FootnoteText"/>
        <w:rPr>
          <w:lang w:val="en-US"/>
        </w:rPr>
      </w:pPr>
      <w:r w:rsidRPr="00B72F99">
        <w:rPr>
          <w:rStyle w:val="FootnoteReference"/>
        </w:rPr>
        <w:footnoteRef/>
      </w:r>
      <w:r w:rsidRPr="00B72F99">
        <w:t xml:space="preserve"> </w:t>
      </w:r>
      <w:r w:rsidR="003A1CB8">
        <w:rPr>
          <w:lang w:val="en-US"/>
        </w:rPr>
        <w:t>Arrian 5</w:t>
      </w:r>
      <w:r w:rsidRPr="00B72F99">
        <w:rPr>
          <w:lang w:val="en-US"/>
        </w:rPr>
        <w:t>.9</w:t>
      </w:r>
    </w:p>
  </w:footnote>
  <w:footnote w:id="39">
    <w:p w14:paraId="60943947" w14:textId="525979EC" w:rsidR="0017390B" w:rsidRPr="00B72F99" w:rsidRDefault="0017390B">
      <w:pPr>
        <w:pStyle w:val="FootnoteText"/>
        <w:rPr>
          <w:lang w:val="en-US"/>
        </w:rPr>
      </w:pPr>
      <w:r w:rsidRPr="00B72F99">
        <w:rPr>
          <w:rStyle w:val="FootnoteReference"/>
        </w:rPr>
        <w:footnoteRef/>
      </w:r>
      <w:r w:rsidRPr="00B72F99">
        <w:t xml:space="preserve"> </w:t>
      </w:r>
      <w:r w:rsidR="003A1CB8">
        <w:rPr>
          <w:lang w:val="en-US"/>
        </w:rPr>
        <w:t>Austin 2006:</w:t>
      </w:r>
      <w:r w:rsidRPr="00B72F99">
        <w:rPr>
          <w:lang w:val="en-US"/>
        </w:rPr>
        <w:t xml:space="preserve"> 50</w:t>
      </w:r>
    </w:p>
  </w:footnote>
  <w:footnote w:id="40">
    <w:p w14:paraId="5FB78AE3" w14:textId="5B5023B8" w:rsidR="002D4A6B" w:rsidRPr="00B72F99" w:rsidRDefault="002D4A6B">
      <w:pPr>
        <w:pStyle w:val="FootnoteText"/>
        <w:rPr>
          <w:lang w:val="en-US"/>
        </w:rPr>
      </w:pPr>
      <w:r w:rsidRPr="00B72F99">
        <w:rPr>
          <w:rStyle w:val="FootnoteReference"/>
        </w:rPr>
        <w:footnoteRef/>
      </w:r>
      <w:r w:rsidRPr="00B72F99">
        <w:t xml:space="preserve"> </w:t>
      </w:r>
      <w:r w:rsidR="000A42A8">
        <w:t>Livius 2017</w:t>
      </w:r>
    </w:p>
  </w:footnote>
  <w:footnote w:id="41">
    <w:p w14:paraId="4FFC0B0B" w14:textId="4B42571F"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Arrian</w:t>
      </w:r>
      <w:r w:rsidR="003A1CB8">
        <w:rPr>
          <w:lang w:val="en-US"/>
        </w:rPr>
        <w:t xml:space="preserve"> 7</w:t>
      </w:r>
      <w:r w:rsidRPr="00B72F99">
        <w:rPr>
          <w:lang w:val="en-US"/>
        </w:rPr>
        <w:t>.8-9 and 11</w:t>
      </w:r>
    </w:p>
  </w:footnote>
  <w:footnote w:id="42">
    <w:p w14:paraId="34EFE85D" w14:textId="72951740"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Depuydt</w:t>
      </w:r>
      <w:r w:rsidR="000A42A8">
        <w:rPr>
          <w:lang w:val="en-US"/>
        </w:rPr>
        <w:t xml:space="preserve"> 1997</w:t>
      </w:r>
    </w:p>
  </w:footnote>
  <w:footnote w:id="43">
    <w:p w14:paraId="48FD221C" w14:textId="7DF54766" w:rsidR="0017390B" w:rsidRPr="00B72F99" w:rsidRDefault="0017390B">
      <w:pPr>
        <w:pStyle w:val="FootnoteText"/>
        <w:rPr>
          <w:lang w:val="en-US"/>
        </w:rPr>
      </w:pPr>
      <w:r w:rsidRPr="00B72F99">
        <w:rPr>
          <w:rStyle w:val="FootnoteReference"/>
        </w:rPr>
        <w:footnoteRef/>
      </w:r>
      <w:r w:rsidRPr="00B72F99">
        <w:t xml:space="preserve"> </w:t>
      </w:r>
      <w:r w:rsidRPr="00B72F99">
        <w:rPr>
          <w:rFonts w:ascii="Times New Roman" w:hAnsi="Times New Roman" w:cs="Times New Roman"/>
        </w:rPr>
        <w:t>Depuydt</w:t>
      </w:r>
      <w:r w:rsidR="000A42A8">
        <w:rPr>
          <w:rFonts w:ascii="Times New Roman" w:hAnsi="Times New Roman" w:cs="Times New Roman"/>
        </w:rPr>
        <w:t xml:space="preserve"> 1997</w:t>
      </w:r>
    </w:p>
  </w:footnote>
  <w:footnote w:id="44">
    <w:p w14:paraId="35C3550F" w14:textId="3C4CA8D0" w:rsidR="0017390B" w:rsidRPr="00B72F99" w:rsidRDefault="0017390B">
      <w:pPr>
        <w:pStyle w:val="FootnoteText"/>
        <w:rPr>
          <w:lang w:val="en-US"/>
        </w:rPr>
      </w:pPr>
      <w:r w:rsidRPr="00B72F99">
        <w:rPr>
          <w:rStyle w:val="FootnoteReference"/>
        </w:rPr>
        <w:footnoteRef/>
      </w:r>
      <w:r w:rsidRPr="00B72F99">
        <w:t xml:space="preserve"> </w:t>
      </w:r>
      <w:r w:rsidRPr="00B72F99">
        <w:rPr>
          <w:rFonts w:ascii="Times New Roman" w:hAnsi="Times New Roman" w:cs="Times New Roman"/>
          <w:lang w:val="en-US"/>
        </w:rPr>
        <w:t>Diod. 17.116.1-4</w:t>
      </w:r>
    </w:p>
  </w:footnote>
  <w:footnote w:id="45">
    <w:p w14:paraId="1B825C82" w14:textId="58CBA28A"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Diod. 17.117.3-4</w:t>
      </w:r>
    </w:p>
  </w:footnote>
  <w:footnote w:id="46">
    <w:p w14:paraId="514D2429" w14:textId="4FBBA8FB" w:rsidR="0017390B" w:rsidRPr="00B72F99" w:rsidRDefault="0017390B">
      <w:pPr>
        <w:pStyle w:val="FootnoteText"/>
        <w:rPr>
          <w:lang w:val="en-US"/>
        </w:rPr>
      </w:pPr>
      <w:r w:rsidRPr="00B72F99">
        <w:rPr>
          <w:rStyle w:val="FootnoteReference"/>
        </w:rPr>
        <w:footnoteRef/>
      </w:r>
      <w:r w:rsidRPr="00B72F99">
        <w:t xml:space="preserve"> </w:t>
      </w:r>
      <w:r w:rsidR="003A1CB8">
        <w:rPr>
          <w:lang w:val="en-US"/>
        </w:rPr>
        <w:t>Austin 2006:</w:t>
      </w:r>
      <w:r w:rsidRPr="00B72F99">
        <w:rPr>
          <w:lang w:val="en-US"/>
        </w:rPr>
        <w:t xml:space="preserve"> vi</w:t>
      </w:r>
    </w:p>
  </w:footnote>
  <w:footnote w:id="47">
    <w:p w14:paraId="1160ED00" w14:textId="6367C2E8" w:rsidR="0017390B" w:rsidRPr="00B72F99" w:rsidRDefault="0017390B">
      <w:pPr>
        <w:pStyle w:val="FootnoteText"/>
        <w:rPr>
          <w:lang w:val="en-US"/>
        </w:rPr>
      </w:pPr>
      <w:r w:rsidRPr="00B72F99">
        <w:rPr>
          <w:rStyle w:val="FootnoteReference"/>
        </w:rPr>
        <w:footnoteRef/>
      </w:r>
      <w:r w:rsidRPr="00B72F99">
        <w:t xml:space="preserve"> </w:t>
      </w:r>
      <w:r w:rsidR="003A1CB8">
        <w:rPr>
          <w:lang w:val="en-US"/>
        </w:rPr>
        <w:t xml:space="preserve">Austin 2006: </w:t>
      </w:r>
      <w:r w:rsidRPr="00B72F99">
        <w:rPr>
          <w:lang w:val="en-US"/>
        </w:rPr>
        <w:t>63</w:t>
      </w:r>
    </w:p>
  </w:footnote>
  <w:footnote w:id="48">
    <w:p w14:paraId="63B81432" w14:textId="769164AD" w:rsidR="0017390B" w:rsidRPr="00B72F99" w:rsidRDefault="0017390B">
      <w:pPr>
        <w:pStyle w:val="FootnoteText"/>
        <w:rPr>
          <w:lang w:val="en-US"/>
        </w:rPr>
      </w:pPr>
      <w:r w:rsidRPr="00B72F99">
        <w:rPr>
          <w:rStyle w:val="FootnoteReference"/>
        </w:rPr>
        <w:footnoteRef/>
      </w:r>
      <w:r w:rsidRPr="00B72F99">
        <w:t xml:space="preserve"> </w:t>
      </w:r>
      <w:r w:rsidR="003A1CB8">
        <w:rPr>
          <w:lang w:val="en-US"/>
        </w:rPr>
        <w:t>Diodorus 18</w:t>
      </w:r>
      <w:r w:rsidRPr="00B72F99">
        <w:rPr>
          <w:lang w:val="en-US"/>
        </w:rPr>
        <w:t>.3.2-5</w:t>
      </w:r>
    </w:p>
  </w:footnote>
  <w:footnote w:id="49">
    <w:p w14:paraId="2E1193D5" w14:textId="42BE4F70" w:rsidR="0017390B" w:rsidRPr="00B72F99" w:rsidRDefault="0017390B">
      <w:pPr>
        <w:pStyle w:val="FootnoteText"/>
        <w:rPr>
          <w:lang w:val="en-US"/>
        </w:rPr>
      </w:pPr>
      <w:r w:rsidRPr="00B72F99">
        <w:rPr>
          <w:rStyle w:val="FootnoteReference"/>
        </w:rPr>
        <w:footnoteRef/>
      </w:r>
      <w:r w:rsidRPr="00B72F99">
        <w:t xml:space="preserve"> </w:t>
      </w:r>
      <w:r w:rsidR="003A1CB8">
        <w:rPr>
          <w:lang w:val="en-US"/>
        </w:rPr>
        <w:t>Austin 2006:</w:t>
      </w:r>
      <w:r w:rsidRPr="00B72F99">
        <w:rPr>
          <w:lang w:val="en-US"/>
        </w:rPr>
        <w:t xml:space="preserve"> vi</w:t>
      </w:r>
    </w:p>
  </w:footnote>
  <w:footnote w:id="50">
    <w:p w14:paraId="5F891AFA" w14:textId="2E3B1B7F" w:rsidR="0017390B" w:rsidRPr="00B72F99" w:rsidRDefault="0017390B">
      <w:pPr>
        <w:pStyle w:val="FootnoteText"/>
        <w:rPr>
          <w:lang w:val="en-US"/>
        </w:rPr>
      </w:pPr>
      <w:r w:rsidRPr="00B72F99">
        <w:rPr>
          <w:rStyle w:val="FootnoteReference"/>
        </w:rPr>
        <w:footnoteRef/>
      </w:r>
      <w:r w:rsidRPr="00B72F99">
        <w:t xml:space="preserve"> </w:t>
      </w:r>
      <w:r w:rsidR="003A1CB8">
        <w:rPr>
          <w:lang w:val="en-US"/>
        </w:rPr>
        <w:t xml:space="preserve">Austin 2006: </w:t>
      </w:r>
      <w:r w:rsidRPr="00B72F99">
        <w:rPr>
          <w:lang w:val="en-US"/>
        </w:rPr>
        <w:t>71</w:t>
      </w:r>
    </w:p>
  </w:footnote>
  <w:footnote w:id="51">
    <w:p w14:paraId="1D1C38AC" w14:textId="73691279"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Arrian FGrH 156 F 9 34-8</w:t>
      </w:r>
    </w:p>
  </w:footnote>
  <w:footnote w:id="52">
    <w:p w14:paraId="5094B746" w14:textId="255326AA" w:rsidR="0017390B" w:rsidRPr="00B72F99" w:rsidRDefault="0017390B">
      <w:pPr>
        <w:pStyle w:val="FootnoteText"/>
        <w:rPr>
          <w:lang w:val="en-US"/>
        </w:rPr>
      </w:pPr>
      <w:r w:rsidRPr="00B72F99">
        <w:rPr>
          <w:rStyle w:val="FootnoteReference"/>
        </w:rPr>
        <w:footnoteRef/>
      </w:r>
      <w:r w:rsidRPr="00B72F99">
        <w:t xml:space="preserve"> </w:t>
      </w:r>
      <w:r w:rsidR="003A1CB8">
        <w:rPr>
          <w:lang w:val="en-US"/>
        </w:rPr>
        <w:t>Austin 2006:</w:t>
      </w:r>
      <w:r w:rsidRPr="00B72F99">
        <w:rPr>
          <w:lang w:val="en-US"/>
        </w:rPr>
        <w:t xml:space="preserve"> vi</w:t>
      </w:r>
    </w:p>
  </w:footnote>
  <w:footnote w:id="53">
    <w:p w14:paraId="1B629571" w14:textId="783C08BE" w:rsidR="0017390B" w:rsidRPr="00B72F99" w:rsidRDefault="0017390B">
      <w:pPr>
        <w:pStyle w:val="FootnoteText"/>
        <w:rPr>
          <w:lang w:val="en-US"/>
        </w:rPr>
      </w:pPr>
      <w:r w:rsidRPr="00B72F99">
        <w:rPr>
          <w:rStyle w:val="FootnoteReference"/>
        </w:rPr>
        <w:footnoteRef/>
      </w:r>
      <w:r w:rsidRPr="00B72F99">
        <w:t xml:space="preserve"> </w:t>
      </w:r>
      <w:r w:rsidR="000A42A8">
        <w:rPr>
          <w:lang w:val="en-US"/>
        </w:rPr>
        <w:t>Ashton 1984</w:t>
      </w:r>
    </w:p>
  </w:footnote>
  <w:footnote w:id="54">
    <w:p w14:paraId="62A06BD0" w14:textId="4311DA11"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Pausanias 1.25.3-6</w:t>
      </w:r>
    </w:p>
  </w:footnote>
  <w:footnote w:id="55">
    <w:p w14:paraId="751739CD" w14:textId="1B3E5838"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Austin</w:t>
      </w:r>
      <w:r w:rsidR="003A1CB8">
        <w:rPr>
          <w:lang w:val="en-US"/>
        </w:rPr>
        <w:t xml:space="preserve"> 2006: </w:t>
      </w:r>
      <w:r w:rsidRPr="00B72F99">
        <w:rPr>
          <w:lang w:val="en-US"/>
        </w:rPr>
        <w:t>71</w:t>
      </w:r>
    </w:p>
  </w:footnote>
  <w:footnote w:id="56">
    <w:p w14:paraId="17CBD7D1" w14:textId="3EED20CB" w:rsidR="0017390B" w:rsidRPr="00B72F99" w:rsidRDefault="0017390B">
      <w:pPr>
        <w:pStyle w:val="FootnoteText"/>
        <w:rPr>
          <w:lang w:val="en-US"/>
        </w:rPr>
      </w:pPr>
      <w:r w:rsidRPr="00B72F99">
        <w:rPr>
          <w:rStyle w:val="FootnoteReference"/>
        </w:rPr>
        <w:footnoteRef/>
      </w:r>
      <w:r w:rsidRPr="00B72F99">
        <w:t xml:space="preserve"> </w:t>
      </w:r>
      <w:r w:rsidR="006C6F86">
        <w:t>Livius 2018</w:t>
      </w:r>
    </w:p>
  </w:footnote>
  <w:footnote w:id="57">
    <w:p w14:paraId="18DDF2F4" w14:textId="3833BE72"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Justin 7.2</w:t>
      </w:r>
    </w:p>
  </w:footnote>
  <w:footnote w:id="58">
    <w:p w14:paraId="732160F6" w14:textId="3C13124E" w:rsidR="0017390B" w:rsidRPr="00B72F99" w:rsidRDefault="0017390B">
      <w:pPr>
        <w:pStyle w:val="FootnoteText"/>
        <w:rPr>
          <w:lang w:val="en-US"/>
        </w:rPr>
      </w:pPr>
      <w:r w:rsidRPr="00B72F99">
        <w:rPr>
          <w:rStyle w:val="FootnoteReference"/>
        </w:rPr>
        <w:footnoteRef/>
      </w:r>
      <w:r w:rsidRPr="00B72F99">
        <w:t xml:space="preserve"> </w:t>
      </w:r>
      <w:r w:rsidR="006C6F86">
        <w:t>Livius 2017</w:t>
      </w:r>
    </w:p>
  </w:footnote>
  <w:footnote w:id="59">
    <w:p w14:paraId="04393537" w14:textId="6A3C176E" w:rsidR="0017390B" w:rsidRPr="00B72F99" w:rsidRDefault="0017390B">
      <w:pPr>
        <w:pStyle w:val="FootnoteText"/>
        <w:rPr>
          <w:lang w:val="en-US"/>
        </w:rPr>
      </w:pPr>
      <w:r w:rsidRPr="00B72F99">
        <w:rPr>
          <w:rStyle w:val="FootnoteReference"/>
        </w:rPr>
        <w:footnoteRef/>
      </w:r>
      <w:r w:rsidRPr="00B72F99">
        <w:t xml:space="preserve"> </w:t>
      </w:r>
      <w:r w:rsidR="006C6F86">
        <w:t>Livius 2017</w:t>
      </w:r>
    </w:p>
  </w:footnote>
  <w:footnote w:id="60">
    <w:p w14:paraId="404AC2E1" w14:textId="0901E01C"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Strabo 13.4.2</w:t>
      </w:r>
    </w:p>
  </w:footnote>
  <w:footnote w:id="61">
    <w:p w14:paraId="5A21298C" w14:textId="2E95A1A8" w:rsidR="0017390B" w:rsidRPr="00B72F99" w:rsidRDefault="0017390B">
      <w:pPr>
        <w:pStyle w:val="FootnoteText"/>
        <w:rPr>
          <w:lang w:val="en-US"/>
        </w:rPr>
      </w:pPr>
      <w:r w:rsidRPr="00B72F99">
        <w:rPr>
          <w:rStyle w:val="FootnoteReference"/>
        </w:rPr>
        <w:footnoteRef/>
      </w:r>
      <w:r w:rsidRPr="00B72F99">
        <w:t xml:space="preserve"> </w:t>
      </w:r>
      <w:r w:rsidR="003A1CB8">
        <w:rPr>
          <w:lang w:val="en-US"/>
        </w:rPr>
        <w:t>Austin 2006:</w:t>
      </w:r>
      <w:r w:rsidRPr="00B72F99">
        <w:rPr>
          <w:lang w:val="en-US"/>
        </w:rPr>
        <w:t xml:space="preserve"> vi</w:t>
      </w:r>
    </w:p>
  </w:footnote>
  <w:footnote w:id="62">
    <w:p w14:paraId="03528C65" w14:textId="43B93F2C" w:rsidR="0017390B" w:rsidRPr="00B72F99" w:rsidRDefault="0017390B">
      <w:pPr>
        <w:pStyle w:val="FootnoteText"/>
        <w:rPr>
          <w:lang w:val="en-US"/>
        </w:rPr>
      </w:pPr>
      <w:r w:rsidRPr="00B72F99">
        <w:rPr>
          <w:rStyle w:val="FootnoteReference"/>
        </w:rPr>
        <w:footnoteRef/>
      </w:r>
      <w:r w:rsidRPr="00B72F99">
        <w:t xml:space="preserve"> </w:t>
      </w:r>
      <w:r w:rsidR="006C6F86">
        <w:t>Livius 2016</w:t>
      </w:r>
    </w:p>
  </w:footnote>
  <w:footnote w:id="63">
    <w:p w14:paraId="47E61ED5" w14:textId="0DF17E41" w:rsidR="0017390B" w:rsidRPr="00B72F99" w:rsidRDefault="0017390B">
      <w:pPr>
        <w:pStyle w:val="FootnoteText"/>
        <w:rPr>
          <w:lang w:val="en-US"/>
        </w:rPr>
      </w:pPr>
      <w:r w:rsidRPr="00B72F99">
        <w:rPr>
          <w:rStyle w:val="FootnoteReference"/>
        </w:rPr>
        <w:footnoteRef/>
      </w:r>
      <w:r w:rsidRPr="00B72F99">
        <w:t xml:space="preserve"> </w:t>
      </w:r>
      <w:r w:rsidR="003A1CB8">
        <w:rPr>
          <w:lang w:val="en-US"/>
        </w:rPr>
        <w:t>Diodorus 18</w:t>
      </w:r>
      <w:r w:rsidRPr="00B72F99">
        <w:rPr>
          <w:lang w:val="en-US"/>
        </w:rPr>
        <w:t>.48.4</w:t>
      </w:r>
    </w:p>
  </w:footnote>
  <w:footnote w:id="64">
    <w:p w14:paraId="5161B7CE" w14:textId="53F1C152" w:rsidR="0017390B" w:rsidRPr="00B72F99" w:rsidRDefault="0017390B">
      <w:pPr>
        <w:pStyle w:val="FootnoteText"/>
        <w:rPr>
          <w:lang w:val="en-US"/>
        </w:rPr>
      </w:pPr>
      <w:r w:rsidRPr="00B72F99">
        <w:rPr>
          <w:rStyle w:val="FootnoteReference"/>
        </w:rPr>
        <w:footnoteRef/>
      </w:r>
      <w:r w:rsidRPr="00B72F99">
        <w:t xml:space="preserve"> </w:t>
      </w:r>
      <w:r w:rsidR="006C6F86">
        <w:t>Livius 2015</w:t>
      </w:r>
    </w:p>
  </w:footnote>
  <w:footnote w:id="65">
    <w:p w14:paraId="3962352A" w14:textId="15E522B3" w:rsidR="0017390B" w:rsidRPr="00B72F99" w:rsidRDefault="0017390B">
      <w:pPr>
        <w:pStyle w:val="FootnoteText"/>
        <w:rPr>
          <w:lang w:val="en-US"/>
        </w:rPr>
      </w:pPr>
      <w:r w:rsidRPr="00B72F99">
        <w:rPr>
          <w:rStyle w:val="FootnoteReference"/>
        </w:rPr>
        <w:footnoteRef/>
      </w:r>
      <w:r w:rsidRPr="00B72F99">
        <w:t xml:space="preserve"> </w:t>
      </w:r>
      <w:r w:rsidR="006C6F86">
        <w:t>Livius 2015</w:t>
      </w:r>
    </w:p>
  </w:footnote>
  <w:footnote w:id="66">
    <w:p w14:paraId="1F0C0A84" w14:textId="40640E68" w:rsidR="0017390B" w:rsidRPr="00B72F99" w:rsidRDefault="0017390B">
      <w:pPr>
        <w:pStyle w:val="FootnoteText"/>
        <w:rPr>
          <w:lang w:val="en-US"/>
        </w:rPr>
      </w:pPr>
      <w:r w:rsidRPr="00B72F99">
        <w:rPr>
          <w:rStyle w:val="FootnoteReference"/>
        </w:rPr>
        <w:footnoteRef/>
      </w:r>
      <w:r w:rsidRPr="00B72F99">
        <w:t xml:space="preserve"> </w:t>
      </w:r>
      <w:r w:rsidR="003A1CB8">
        <w:rPr>
          <w:lang w:val="en-US"/>
        </w:rPr>
        <w:t>Diodorus 19</w:t>
      </w:r>
      <w:r w:rsidRPr="00B72F99">
        <w:rPr>
          <w:lang w:val="en-US"/>
        </w:rPr>
        <w:t>. 105</w:t>
      </w:r>
    </w:p>
  </w:footnote>
  <w:footnote w:id="67">
    <w:p w14:paraId="7A8CA377" w14:textId="17370374" w:rsidR="0017390B" w:rsidRPr="00B72F99" w:rsidRDefault="0017390B">
      <w:pPr>
        <w:pStyle w:val="FootnoteText"/>
        <w:rPr>
          <w:lang w:val="en-US"/>
        </w:rPr>
      </w:pPr>
      <w:r w:rsidRPr="00B72F99">
        <w:rPr>
          <w:rStyle w:val="FootnoteReference"/>
        </w:rPr>
        <w:footnoteRef/>
      </w:r>
      <w:r w:rsidRPr="00B72F99">
        <w:t xml:space="preserve"> </w:t>
      </w:r>
      <w:r w:rsidR="006C6F86">
        <w:t>Devine 1984</w:t>
      </w:r>
    </w:p>
  </w:footnote>
  <w:footnote w:id="68">
    <w:p w14:paraId="3D9ACF9A" w14:textId="3140534D" w:rsidR="0017390B" w:rsidRPr="00B72F99" w:rsidRDefault="0017390B">
      <w:pPr>
        <w:pStyle w:val="FootnoteText"/>
        <w:rPr>
          <w:lang w:val="en-US"/>
        </w:rPr>
      </w:pPr>
      <w:r w:rsidRPr="00B72F99">
        <w:rPr>
          <w:rStyle w:val="FootnoteReference"/>
        </w:rPr>
        <w:footnoteRef/>
      </w:r>
      <w:r w:rsidRPr="00B72F99">
        <w:t xml:space="preserve"> </w:t>
      </w:r>
      <w:r w:rsidR="006C6F86">
        <w:rPr>
          <w:lang w:val="en-US"/>
        </w:rPr>
        <w:t>Devine 1984</w:t>
      </w:r>
    </w:p>
  </w:footnote>
  <w:footnote w:id="69">
    <w:p w14:paraId="3CC67E0E" w14:textId="7AE2A44D" w:rsidR="0017390B" w:rsidRPr="00B72F99" w:rsidRDefault="0017390B">
      <w:pPr>
        <w:pStyle w:val="FootnoteText"/>
        <w:rPr>
          <w:lang w:val="en-US"/>
        </w:rPr>
      </w:pPr>
      <w:r w:rsidRPr="00B72F99">
        <w:rPr>
          <w:rStyle w:val="FootnoteReference"/>
        </w:rPr>
        <w:footnoteRef/>
      </w:r>
      <w:r w:rsidRPr="00B72F99">
        <w:t xml:space="preserve"> </w:t>
      </w:r>
      <w:r w:rsidR="003A1CB8">
        <w:rPr>
          <w:lang w:val="en-US"/>
        </w:rPr>
        <w:t>Diodorus 20</w:t>
      </w:r>
      <w:r w:rsidRPr="00B72F99">
        <w:rPr>
          <w:lang w:val="en-US"/>
        </w:rPr>
        <w:t>. 74</w:t>
      </w:r>
    </w:p>
  </w:footnote>
  <w:footnote w:id="70">
    <w:p w14:paraId="459C534C" w14:textId="7DCCA686" w:rsidR="0017390B" w:rsidRPr="00B72F99" w:rsidRDefault="0017390B">
      <w:pPr>
        <w:pStyle w:val="FootnoteText"/>
        <w:rPr>
          <w:lang w:val="en-US"/>
        </w:rPr>
      </w:pPr>
      <w:r w:rsidRPr="00B72F99">
        <w:rPr>
          <w:rStyle w:val="FootnoteReference"/>
        </w:rPr>
        <w:footnoteRef/>
      </w:r>
      <w:r w:rsidRPr="00B72F99">
        <w:t xml:space="preserve"> </w:t>
      </w:r>
      <w:r w:rsidR="006C6F86">
        <w:t>Livius 2017</w:t>
      </w:r>
    </w:p>
  </w:footnote>
  <w:footnote w:id="71">
    <w:p w14:paraId="5973B383" w14:textId="59301646"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Plutarch, Life of Demetrius, 28-29</w:t>
      </w:r>
    </w:p>
  </w:footnote>
  <w:footnote w:id="72">
    <w:p w14:paraId="0DA621E5" w14:textId="5A81DCE8" w:rsidR="0017390B" w:rsidRPr="00B72F99" w:rsidRDefault="0017390B">
      <w:pPr>
        <w:pStyle w:val="FootnoteText"/>
        <w:rPr>
          <w:lang w:val="en-US"/>
        </w:rPr>
      </w:pPr>
      <w:r w:rsidRPr="00B72F99">
        <w:rPr>
          <w:rStyle w:val="FootnoteReference"/>
        </w:rPr>
        <w:footnoteRef/>
      </w:r>
      <w:r w:rsidRPr="00B72F99">
        <w:t xml:space="preserve"> </w:t>
      </w:r>
      <w:r w:rsidR="006C6F86">
        <w:t>Livius 2017</w:t>
      </w:r>
    </w:p>
  </w:footnote>
  <w:footnote w:id="73">
    <w:p w14:paraId="51444EC2" w14:textId="1FB51EA0" w:rsidR="0017390B" w:rsidRPr="00B72F99" w:rsidRDefault="0017390B">
      <w:pPr>
        <w:pStyle w:val="FootnoteText"/>
        <w:rPr>
          <w:lang w:val="en-US"/>
        </w:rPr>
      </w:pPr>
      <w:r w:rsidRPr="00B72F99">
        <w:rPr>
          <w:rStyle w:val="FootnoteReference"/>
        </w:rPr>
        <w:footnoteRef/>
      </w:r>
      <w:r w:rsidRPr="00B72F99">
        <w:t xml:space="preserve"> </w:t>
      </w:r>
      <w:r w:rsidR="006C6F86">
        <w:t>Livius 2017</w:t>
      </w:r>
    </w:p>
  </w:footnote>
  <w:footnote w:id="74">
    <w:p w14:paraId="7CECD527" w14:textId="441C5BDD" w:rsidR="0017390B" w:rsidRPr="00B72F99" w:rsidRDefault="0017390B">
      <w:pPr>
        <w:pStyle w:val="FootnoteText"/>
        <w:rPr>
          <w:lang w:val="en-US"/>
        </w:rPr>
      </w:pPr>
      <w:r w:rsidRPr="00B72F99">
        <w:rPr>
          <w:rStyle w:val="FootnoteReference"/>
        </w:rPr>
        <w:footnoteRef/>
      </w:r>
      <w:r w:rsidRPr="00B72F99">
        <w:t xml:space="preserve"> </w:t>
      </w:r>
      <w:r w:rsidRPr="00B72F99">
        <w:rPr>
          <w:lang w:val="en-US"/>
        </w:rPr>
        <w:t>Plutarch, Life of Demetrius, 28-29</w:t>
      </w:r>
    </w:p>
  </w:footnote>
  <w:footnote w:id="75">
    <w:p w14:paraId="5323EE51" w14:textId="2B967A1B" w:rsidR="0017390B" w:rsidRPr="00B72F99" w:rsidRDefault="0017390B">
      <w:pPr>
        <w:pStyle w:val="FootnoteText"/>
        <w:rPr>
          <w:lang w:val="en-US"/>
        </w:rPr>
      </w:pPr>
      <w:r w:rsidRPr="00B72F99">
        <w:rPr>
          <w:rStyle w:val="FootnoteReference"/>
        </w:rPr>
        <w:footnoteRef/>
      </w:r>
      <w:r w:rsidRPr="00B72F99">
        <w:t xml:space="preserve"> </w:t>
      </w:r>
      <w:r w:rsidR="001D35A7">
        <w:t>Livius 2016</w:t>
      </w:r>
    </w:p>
  </w:footnote>
  <w:footnote w:id="76">
    <w:p w14:paraId="76BC42C0" w14:textId="05F05228" w:rsidR="003C4BFF" w:rsidRPr="00B72F99" w:rsidRDefault="003C4BFF">
      <w:pPr>
        <w:pStyle w:val="FootnoteText"/>
        <w:rPr>
          <w:lang w:val="en-US"/>
        </w:rPr>
      </w:pPr>
      <w:r w:rsidRPr="00B72F99">
        <w:rPr>
          <w:rStyle w:val="FootnoteReference"/>
        </w:rPr>
        <w:footnoteRef/>
      </w:r>
      <w:r w:rsidRPr="00B72F99">
        <w:t xml:space="preserve"> </w:t>
      </w:r>
      <w:r w:rsidR="00D60C24">
        <w:t>Livius 2016</w:t>
      </w:r>
    </w:p>
  </w:footnote>
  <w:footnote w:id="77">
    <w:p w14:paraId="7DA693BD" w14:textId="7801622A" w:rsidR="002347CF" w:rsidRPr="00B72F99" w:rsidRDefault="002347CF">
      <w:pPr>
        <w:pStyle w:val="FootnoteText"/>
        <w:rPr>
          <w:lang w:val="en-US"/>
        </w:rPr>
      </w:pPr>
      <w:r w:rsidRPr="00B72F99">
        <w:rPr>
          <w:rStyle w:val="FootnoteReference"/>
        </w:rPr>
        <w:footnoteRef/>
      </w:r>
      <w:r w:rsidRPr="00B72F99">
        <w:t xml:space="preserve"> </w:t>
      </w:r>
      <w:r w:rsidRPr="00B72F99">
        <w:rPr>
          <w:lang w:val="en-US"/>
        </w:rPr>
        <w:t>Pausanias 10.20.4</w:t>
      </w:r>
    </w:p>
  </w:footnote>
  <w:footnote w:id="78">
    <w:p w14:paraId="639B1215" w14:textId="43517297" w:rsidR="0017390B" w:rsidRPr="00B72F99" w:rsidRDefault="0017390B">
      <w:pPr>
        <w:pStyle w:val="FootnoteText"/>
        <w:rPr>
          <w:lang w:val="en-US"/>
        </w:rPr>
      </w:pPr>
      <w:r w:rsidRPr="00B72F99">
        <w:rPr>
          <w:rStyle w:val="FootnoteReference"/>
        </w:rPr>
        <w:footnoteRef/>
      </w:r>
      <w:r w:rsidRPr="00B72F99">
        <w:t xml:space="preserve"> </w:t>
      </w:r>
      <w:r w:rsidR="00D60C24">
        <w:t>Livius 2017</w:t>
      </w:r>
    </w:p>
  </w:footnote>
  <w:footnote w:id="79">
    <w:p w14:paraId="0A27D40B" w14:textId="6C63D502" w:rsidR="0017390B" w:rsidRPr="00B72F99" w:rsidRDefault="0017390B">
      <w:pPr>
        <w:pStyle w:val="FootnoteText"/>
        <w:rPr>
          <w:lang w:val="en-US"/>
        </w:rPr>
      </w:pPr>
      <w:r w:rsidRPr="00B72F99">
        <w:rPr>
          <w:rStyle w:val="FootnoteReference"/>
        </w:rPr>
        <w:footnoteRef/>
      </w:r>
      <w:r w:rsidRPr="00B72F99">
        <w:t xml:space="preserve"> </w:t>
      </w:r>
      <w:r w:rsidR="00D60C24">
        <w:t>Livius 2017</w:t>
      </w:r>
    </w:p>
  </w:footnote>
  <w:footnote w:id="80">
    <w:p w14:paraId="0E1D4AB1" w14:textId="25B9C845" w:rsidR="00C87595" w:rsidRPr="00B72F99" w:rsidRDefault="00C87595">
      <w:pPr>
        <w:pStyle w:val="FootnoteText"/>
        <w:rPr>
          <w:lang w:val="en-US"/>
        </w:rPr>
      </w:pPr>
      <w:r w:rsidRPr="00B72F99">
        <w:rPr>
          <w:rStyle w:val="FootnoteReference"/>
        </w:rPr>
        <w:footnoteRef/>
      </w:r>
      <w:r w:rsidRPr="00B72F99">
        <w:t xml:space="preserve"> </w:t>
      </w:r>
      <w:r w:rsidRPr="00B72F99">
        <w:rPr>
          <w:lang w:val="en-US"/>
        </w:rPr>
        <w:t>Appian</w:t>
      </w:r>
      <w:r w:rsidR="001401E0" w:rsidRPr="00B72F99">
        <w:rPr>
          <w:lang w:val="en-US"/>
        </w:rPr>
        <w:t xml:space="preserve"> 13.62</w:t>
      </w:r>
    </w:p>
  </w:footnote>
  <w:footnote w:id="81">
    <w:p w14:paraId="742C8AF2" w14:textId="144A04CD" w:rsidR="00E61CFB" w:rsidRPr="00B72F99" w:rsidRDefault="00E61CFB">
      <w:pPr>
        <w:pStyle w:val="FootnoteText"/>
        <w:rPr>
          <w:lang w:val="en-US"/>
        </w:rPr>
      </w:pPr>
      <w:r w:rsidRPr="00B72F99">
        <w:rPr>
          <w:rStyle w:val="FootnoteReference"/>
        </w:rPr>
        <w:footnoteRef/>
      </w:r>
      <w:r w:rsidRPr="00B72F99">
        <w:t xml:space="preserve"> </w:t>
      </w:r>
      <w:r w:rsidR="00D60C24">
        <w:t>Livius 2017</w:t>
      </w:r>
    </w:p>
  </w:footnote>
  <w:footnote w:id="82">
    <w:p w14:paraId="54562C63" w14:textId="7C518EC8" w:rsidR="00EF60D1" w:rsidRPr="00B72F99" w:rsidRDefault="00EF60D1">
      <w:pPr>
        <w:pStyle w:val="FootnoteText"/>
        <w:rPr>
          <w:lang w:val="en-US"/>
        </w:rPr>
      </w:pPr>
      <w:r w:rsidRPr="00B72F99">
        <w:rPr>
          <w:rStyle w:val="FootnoteReference"/>
        </w:rPr>
        <w:footnoteRef/>
      </w:r>
      <w:r w:rsidRPr="00B72F99">
        <w:t xml:space="preserve"> </w:t>
      </w:r>
      <w:r w:rsidR="00D60C24">
        <w:t>Livius 2017</w:t>
      </w:r>
    </w:p>
  </w:footnote>
  <w:footnote w:id="83">
    <w:p w14:paraId="24FFE29B" w14:textId="728165E6" w:rsidR="00BA3F08" w:rsidRPr="00B72F99" w:rsidRDefault="00BA3F08">
      <w:pPr>
        <w:pStyle w:val="FootnoteText"/>
        <w:rPr>
          <w:lang w:val="en-US"/>
        </w:rPr>
      </w:pPr>
      <w:r w:rsidRPr="00B72F99">
        <w:rPr>
          <w:rStyle w:val="FootnoteReference"/>
        </w:rPr>
        <w:footnoteRef/>
      </w:r>
      <w:r w:rsidRPr="00B72F99">
        <w:t xml:space="preserve"> </w:t>
      </w:r>
      <w:r w:rsidRPr="00B72F99">
        <w:rPr>
          <w:lang w:val="en-US"/>
        </w:rPr>
        <w:t>Pliny, NT 6.49</w:t>
      </w:r>
    </w:p>
  </w:footnote>
  <w:footnote w:id="84">
    <w:p w14:paraId="5C2976B0" w14:textId="10617811" w:rsidR="003A2C37" w:rsidRPr="00B72F99" w:rsidRDefault="003A2C37">
      <w:pPr>
        <w:pStyle w:val="FootnoteText"/>
        <w:rPr>
          <w:lang w:val="en-US"/>
        </w:rPr>
      </w:pPr>
      <w:r w:rsidRPr="00B72F99">
        <w:rPr>
          <w:rStyle w:val="FootnoteReference"/>
        </w:rPr>
        <w:footnoteRef/>
      </w:r>
      <w:r w:rsidRPr="00B72F99">
        <w:t xml:space="preserve"> </w:t>
      </w:r>
      <w:r w:rsidR="00D60C24">
        <w:t>Livius 2017</w:t>
      </w:r>
    </w:p>
  </w:footnote>
  <w:footnote w:id="85">
    <w:p w14:paraId="678D39AC" w14:textId="0D796FB9" w:rsidR="00341F69" w:rsidRPr="00B72F99" w:rsidRDefault="00341F69">
      <w:pPr>
        <w:pStyle w:val="FootnoteText"/>
        <w:rPr>
          <w:lang w:val="en-US"/>
        </w:rPr>
      </w:pPr>
      <w:r w:rsidRPr="00B72F99">
        <w:rPr>
          <w:rStyle w:val="FootnoteReference"/>
        </w:rPr>
        <w:footnoteRef/>
      </w:r>
      <w:r w:rsidRPr="00B72F99">
        <w:t xml:space="preserve"> </w:t>
      </w:r>
      <w:r w:rsidR="00D60C24">
        <w:t>Livius 2017</w:t>
      </w:r>
    </w:p>
  </w:footnote>
  <w:footnote w:id="86">
    <w:p w14:paraId="4F80E13E" w14:textId="07F27706" w:rsidR="00467B88" w:rsidRPr="00B72F99" w:rsidRDefault="00467B88">
      <w:pPr>
        <w:pStyle w:val="FootnoteText"/>
        <w:rPr>
          <w:lang w:val="en-US"/>
        </w:rPr>
      </w:pPr>
      <w:r w:rsidRPr="00B72F99">
        <w:rPr>
          <w:rStyle w:val="FootnoteReference"/>
        </w:rPr>
        <w:footnoteRef/>
      </w:r>
      <w:r w:rsidRPr="00B72F99">
        <w:t xml:space="preserve"> </w:t>
      </w:r>
      <w:r w:rsidRPr="00B72F99">
        <w:rPr>
          <w:lang w:val="en-US"/>
        </w:rPr>
        <w:t>Justin 42.1</w:t>
      </w:r>
    </w:p>
  </w:footnote>
  <w:footnote w:id="87">
    <w:p w14:paraId="60D82FD4" w14:textId="050CAF8B" w:rsidR="00F144D1" w:rsidRPr="00B72F99" w:rsidRDefault="00F144D1">
      <w:pPr>
        <w:pStyle w:val="FootnoteText"/>
        <w:rPr>
          <w:lang w:val="en-US"/>
        </w:rPr>
      </w:pPr>
      <w:r w:rsidRPr="00B72F99">
        <w:rPr>
          <w:rStyle w:val="FootnoteReference"/>
        </w:rPr>
        <w:footnoteRef/>
      </w:r>
      <w:r w:rsidRPr="00B72F99">
        <w:t xml:space="preserve"> </w:t>
      </w:r>
      <w:r w:rsidR="00D60C24">
        <w:t>Livius 2017</w:t>
      </w:r>
    </w:p>
  </w:footnote>
  <w:footnote w:id="88">
    <w:p w14:paraId="21857559" w14:textId="55EE8FFD" w:rsidR="00885AFE" w:rsidRPr="00B72F99" w:rsidRDefault="00885AFE">
      <w:pPr>
        <w:pStyle w:val="FootnoteText"/>
        <w:rPr>
          <w:lang w:val="en-US"/>
        </w:rPr>
      </w:pPr>
      <w:r w:rsidRPr="00B72F99">
        <w:rPr>
          <w:rStyle w:val="FootnoteReference"/>
        </w:rPr>
        <w:footnoteRef/>
      </w:r>
      <w:r w:rsidRPr="00B72F99">
        <w:t xml:space="preserve"> </w:t>
      </w:r>
      <w:r w:rsidR="00D60C24">
        <w:t>Livius 2017</w:t>
      </w:r>
    </w:p>
  </w:footnote>
  <w:footnote w:id="89">
    <w:p w14:paraId="427D0D1E" w14:textId="787AFE95" w:rsidR="00444C27" w:rsidRPr="00B72F99" w:rsidRDefault="00444C27">
      <w:pPr>
        <w:pStyle w:val="FootnoteText"/>
        <w:rPr>
          <w:lang w:val="en-US"/>
        </w:rPr>
      </w:pPr>
      <w:r w:rsidRPr="00B72F99">
        <w:rPr>
          <w:rStyle w:val="FootnoteReference"/>
        </w:rPr>
        <w:footnoteRef/>
      </w:r>
      <w:r w:rsidRPr="00B72F99">
        <w:t xml:space="preserve"> </w:t>
      </w:r>
      <w:r w:rsidRPr="00B72F99">
        <w:rPr>
          <w:lang w:val="en-US"/>
        </w:rPr>
        <w:t>Justin 42.1</w:t>
      </w:r>
    </w:p>
  </w:footnote>
  <w:footnote w:id="90">
    <w:p w14:paraId="7D693947" w14:textId="0BF6AD0E" w:rsidR="00747859" w:rsidRPr="00B72F99" w:rsidRDefault="00747859">
      <w:pPr>
        <w:pStyle w:val="FootnoteText"/>
        <w:rPr>
          <w:lang w:val="en-US"/>
        </w:rPr>
      </w:pPr>
      <w:r w:rsidRPr="00B72F99">
        <w:rPr>
          <w:rStyle w:val="FootnoteReference"/>
        </w:rPr>
        <w:footnoteRef/>
      </w:r>
      <w:r w:rsidRPr="00B72F99">
        <w:t xml:space="preserve"> </w:t>
      </w:r>
      <w:r w:rsidR="00D60C24">
        <w:t>Livius 2018</w:t>
      </w:r>
    </w:p>
  </w:footnote>
  <w:footnote w:id="91">
    <w:p w14:paraId="48C50BDE" w14:textId="7E9185F4" w:rsidR="00885AFE" w:rsidRPr="00B72F99" w:rsidRDefault="00885AFE">
      <w:pPr>
        <w:pStyle w:val="FootnoteText"/>
        <w:rPr>
          <w:lang w:val="en-US"/>
        </w:rPr>
      </w:pPr>
      <w:r w:rsidRPr="00B72F99">
        <w:rPr>
          <w:rStyle w:val="FootnoteReference"/>
        </w:rPr>
        <w:footnoteRef/>
      </w:r>
      <w:r w:rsidRPr="00B72F99">
        <w:t xml:space="preserve"> </w:t>
      </w:r>
      <w:r w:rsidR="00D60C24">
        <w:t>Livius 2018</w:t>
      </w:r>
    </w:p>
  </w:footnote>
  <w:footnote w:id="92">
    <w:p w14:paraId="285EBC30" w14:textId="74A8E3DF" w:rsidR="002E1034" w:rsidRPr="00B72F99" w:rsidRDefault="002E1034">
      <w:pPr>
        <w:pStyle w:val="FootnoteText"/>
        <w:rPr>
          <w:lang w:val="en-US"/>
        </w:rPr>
      </w:pPr>
      <w:r w:rsidRPr="00B72F99">
        <w:rPr>
          <w:rStyle w:val="FootnoteReference"/>
        </w:rPr>
        <w:footnoteRef/>
      </w:r>
      <w:r w:rsidRPr="00B72F99">
        <w:t xml:space="preserve"> </w:t>
      </w:r>
      <w:r w:rsidR="006A6EC1" w:rsidRPr="00B72F99">
        <w:rPr>
          <w:lang w:val="en-US"/>
        </w:rPr>
        <w:t>Justin 16.2</w:t>
      </w:r>
    </w:p>
  </w:footnote>
  <w:footnote w:id="93">
    <w:p w14:paraId="35915CF8" w14:textId="3ED45505" w:rsidR="0017390B" w:rsidRPr="00B72F99" w:rsidRDefault="0017390B">
      <w:pPr>
        <w:pStyle w:val="FootnoteText"/>
        <w:rPr>
          <w:lang w:val="en-US"/>
        </w:rPr>
      </w:pPr>
      <w:r w:rsidRPr="00B72F99">
        <w:rPr>
          <w:rStyle w:val="FootnoteReference"/>
        </w:rPr>
        <w:footnoteRef/>
      </w:r>
      <w:r w:rsidRPr="00B72F99">
        <w:t xml:space="preserve"> </w:t>
      </w:r>
      <w:r w:rsidR="0036031E">
        <w:t>Livius 2017</w:t>
      </w:r>
    </w:p>
  </w:footnote>
  <w:footnote w:id="94">
    <w:p w14:paraId="32F00D48" w14:textId="7106BFB0" w:rsidR="0017390B" w:rsidRPr="00B72F99" w:rsidRDefault="0017390B" w:rsidP="005A3612">
      <w:pPr>
        <w:pStyle w:val="FootnoteText"/>
        <w:rPr>
          <w:lang w:val="en-US"/>
        </w:rPr>
      </w:pPr>
      <w:r w:rsidRPr="00B72F99">
        <w:rPr>
          <w:rStyle w:val="FootnoteReference"/>
        </w:rPr>
        <w:footnoteRef/>
      </w:r>
      <w:r w:rsidRPr="00B72F99">
        <w:t xml:space="preserve"> </w:t>
      </w:r>
      <w:r w:rsidR="0036031E">
        <w:t>Livius 2017</w:t>
      </w:r>
    </w:p>
  </w:footnote>
  <w:footnote w:id="95">
    <w:p w14:paraId="2CD6AE85" w14:textId="2258479D" w:rsidR="006A6EC1" w:rsidRPr="00B72F99" w:rsidRDefault="006A6EC1">
      <w:pPr>
        <w:pStyle w:val="FootnoteText"/>
        <w:rPr>
          <w:lang w:val="en-US"/>
        </w:rPr>
      </w:pPr>
      <w:r w:rsidRPr="00B72F99">
        <w:rPr>
          <w:rStyle w:val="FootnoteReference"/>
        </w:rPr>
        <w:footnoteRef/>
      </w:r>
      <w:r w:rsidRPr="00B72F99">
        <w:t xml:space="preserve"> </w:t>
      </w:r>
      <w:r w:rsidRPr="00B72F99">
        <w:rPr>
          <w:lang w:val="en-US"/>
        </w:rPr>
        <w:t>Justin 27.2</w:t>
      </w:r>
    </w:p>
  </w:footnote>
  <w:footnote w:id="96">
    <w:p w14:paraId="543968D9" w14:textId="13E1FD1E" w:rsidR="00FF4DE7" w:rsidRPr="00B72F99" w:rsidRDefault="00FF4DE7">
      <w:pPr>
        <w:pStyle w:val="FootnoteText"/>
        <w:rPr>
          <w:lang w:val="en-US"/>
        </w:rPr>
      </w:pPr>
      <w:r w:rsidRPr="00B72F99">
        <w:rPr>
          <w:rStyle w:val="FootnoteReference"/>
        </w:rPr>
        <w:footnoteRef/>
      </w:r>
      <w:r w:rsidRPr="00B72F99">
        <w:t xml:space="preserve"> </w:t>
      </w:r>
      <w:r w:rsidR="0036031E">
        <w:t>Eckstein 1994</w:t>
      </w:r>
    </w:p>
  </w:footnote>
  <w:footnote w:id="97">
    <w:p w14:paraId="5D96F024" w14:textId="38299F14" w:rsidR="005A49DA" w:rsidRPr="00B72F99" w:rsidRDefault="005A49DA">
      <w:pPr>
        <w:pStyle w:val="FootnoteText"/>
        <w:rPr>
          <w:lang w:val="en-US"/>
        </w:rPr>
      </w:pPr>
      <w:r w:rsidRPr="00B72F99">
        <w:rPr>
          <w:rStyle w:val="FootnoteReference"/>
        </w:rPr>
        <w:footnoteRef/>
      </w:r>
      <w:r w:rsidRPr="00B72F99">
        <w:t xml:space="preserve"> </w:t>
      </w:r>
      <w:r w:rsidR="0036031E">
        <w:t>Eckstein 1994</w:t>
      </w:r>
    </w:p>
  </w:footnote>
  <w:footnote w:id="98">
    <w:p w14:paraId="35FEE9D5" w14:textId="6DA3484C" w:rsidR="00FF4DE7" w:rsidRPr="00B72F99" w:rsidRDefault="00FF4DE7">
      <w:pPr>
        <w:pStyle w:val="FootnoteText"/>
        <w:rPr>
          <w:lang w:val="en-US"/>
        </w:rPr>
      </w:pPr>
      <w:r w:rsidRPr="00B72F99">
        <w:rPr>
          <w:rStyle w:val="FootnoteReference"/>
        </w:rPr>
        <w:footnoteRef/>
      </w:r>
      <w:r w:rsidRPr="00B72F99">
        <w:t xml:space="preserve"> </w:t>
      </w:r>
      <w:r w:rsidR="0036031E">
        <w:t>Livius 2017</w:t>
      </w:r>
    </w:p>
  </w:footnote>
  <w:footnote w:id="99">
    <w:p w14:paraId="6BAA4E6F" w14:textId="16B684BE" w:rsidR="0099196C" w:rsidRPr="00B72F99" w:rsidRDefault="0099196C">
      <w:pPr>
        <w:pStyle w:val="FootnoteText"/>
        <w:rPr>
          <w:lang w:val="en-US"/>
        </w:rPr>
      </w:pPr>
      <w:r w:rsidRPr="00B72F99">
        <w:rPr>
          <w:rStyle w:val="FootnoteReference"/>
        </w:rPr>
        <w:footnoteRef/>
      </w:r>
      <w:r w:rsidRPr="00B72F99">
        <w:t xml:space="preserve"> </w:t>
      </w:r>
      <w:r w:rsidR="0036031E">
        <w:t>Ancient History Encyclopaedia 2015</w:t>
      </w:r>
    </w:p>
  </w:footnote>
  <w:footnote w:id="100">
    <w:p w14:paraId="5CF2AEC4" w14:textId="02D868A3" w:rsidR="00BA163F" w:rsidRPr="00B72F99" w:rsidRDefault="00BA163F">
      <w:pPr>
        <w:pStyle w:val="FootnoteText"/>
        <w:rPr>
          <w:lang w:val="en-US"/>
        </w:rPr>
      </w:pPr>
      <w:r w:rsidRPr="00B72F99">
        <w:rPr>
          <w:rStyle w:val="FootnoteReference"/>
        </w:rPr>
        <w:footnoteRef/>
      </w:r>
      <w:r w:rsidRPr="00B72F99">
        <w:t xml:space="preserve"> </w:t>
      </w:r>
      <w:r w:rsidR="0036031E">
        <w:t>Ancient History Encyclopaedia 2015</w:t>
      </w:r>
    </w:p>
  </w:footnote>
  <w:footnote w:id="101">
    <w:p w14:paraId="109C67C0" w14:textId="0387500B" w:rsidR="00D3021C" w:rsidRPr="00B72F99" w:rsidRDefault="00D3021C">
      <w:pPr>
        <w:pStyle w:val="FootnoteText"/>
        <w:rPr>
          <w:lang w:val="en-US"/>
        </w:rPr>
      </w:pPr>
      <w:r w:rsidRPr="00B72F99">
        <w:rPr>
          <w:rStyle w:val="FootnoteReference"/>
        </w:rPr>
        <w:footnoteRef/>
      </w:r>
      <w:r w:rsidRPr="00B72F99">
        <w:t xml:space="preserve"> Livy 45.1</w:t>
      </w:r>
    </w:p>
  </w:footnote>
  <w:footnote w:id="102">
    <w:p w14:paraId="64E6979A" w14:textId="1995BE5C" w:rsidR="00C3678E" w:rsidRPr="00B72F99" w:rsidRDefault="00C3678E">
      <w:pPr>
        <w:pStyle w:val="FootnoteText"/>
        <w:rPr>
          <w:lang w:val="en-US"/>
        </w:rPr>
      </w:pPr>
      <w:r w:rsidRPr="00B72F99">
        <w:rPr>
          <w:rStyle w:val="FootnoteReference"/>
        </w:rPr>
        <w:footnoteRef/>
      </w:r>
      <w:r w:rsidRPr="00B72F99">
        <w:t xml:space="preserve"> </w:t>
      </w:r>
      <w:r w:rsidR="005C3B8F">
        <w:t>Livius 2017</w:t>
      </w:r>
    </w:p>
  </w:footnote>
  <w:footnote w:id="103">
    <w:p w14:paraId="4BBCFA8C" w14:textId="60D8A3FC" w:rsidR="00025F71" w:rsidRPr="00B72F99" w:rsidRDefault="00025F71">
      <w:pPr>
        <w:pStyle w:val="FootnoteText"/>
        <w:rPr>
          <w:lang w:val="en-US"/>
        </w:rPr>
      </w:pPr>
      <w:r w:rsidRPr="00B72F99">
        <w:rPr>
          <w:rStyle w:val="FootnoteReference"/>
        </w:rPr>
        <w:footnoteRef/>
      </w:r>
      <w:r w:rsidRPr="00B72F99">
        <w:t xml:space="preserve"> </w:t>
      </w:r>
      <w:r w:rsidR="005C3B8F">
        <w:t>Livius 2017</w:t>
      </w:r>
    </w:p>
  </w:footnote>
  <w:footnote w:id="104">
    <w:p w14:paraId="0618DE3A" w14:textId="3F993EC0" w:rsidR="00E03F7B" w:rsidRPr="00B72F99" w:rsidRDefault="00E03F7B">
      <w:pPr>
        <w:pStyle w:val="FootnoteText"/>
        <w:rPr>
          <w:lang w:val="en-US"/>
        </w:rPr>
      </w:pPr>
      <w:r w:rsidRPr="00B72F99">
        <w:rPr>
          <w:rStyle w:val="FootnoteReference"/>
        </w:rPr>
        <w:footnoteRef/>
      </w:r>
      <w:r w:rsidRPr="00B72F99">
        <w:t xml:space="preserve"> </w:t>
      </w:r>
      <w:r w:rsidR="003A1CB8">
        <w:rPr>
          <w:lang w:val="en-US"/>
        </w:rPr>
        <w:t>Appian, Syrian Wars</w:t>
      </w:r>
      <w:r w:rsidRPr="00B72F99">
        <w:rPr>
          <w:lang w:val="en-US"/>
        </w:rPr>
        <w:t xml:space="preserve"> 4</w:t>
      </w:r>
      <w:r w:rsidR="000B03CB" w:rsidRPr="00B72F99">
        <w:rPr>
          <w:lang w:val="en-US"/>
        </w:rPr>
        <w:t>.16</w:t>
      </w:r>
      <w:r w:rsidR="00D2135D" w:rsidRPr="00B72F99">
        <w:rPr>
          <w:lang w:val="en-US"/>
        </w:rPr>
        <w:t xml:space="preserve"> </w:t>
      </w:r>
    </w:p>
  </w:footnote>
  <w:footnote w:id="105">
    <w:p w14:paraId="129AB681" w14:textId="7C203274" w:rsidR="0017390B" w:rsidRPr="00B72F99" w:rsidRDefault="0017390B">
      <w:pPr>
        <w:pStyle w:val="FootnoteText"/>
        <w:rPr>
          <w:lang w:val="en-US"/>
        </w:rPr>
      </w:pPr>
      <w:r w:rsidRPr="00B72F99">
        <w:rPr>
          <w:rStyle w:val="FootnoteReference"/>
        </w:rPr>
        <w:footnoteRef/>
      </w:r>
      <w:r w:rsidR="005C3B8F">
        <w:t>Walsh 1996</w:t>
      </w:r>
    </w:p>
  </w:footnote>
  <w:footnote w:id="106">
    <w:p w14:paraId="259F88C7" w14:textId="007C27D5" w:rsidR="00FF4DE7" w:rsidRPr="00B72F99" w:rsidRDefault="00FF4DE7">
      <w:pPr>
        <w:pStyle w:val="FootnoteText"/>
        <w:rPr>
          <w:lang w:val="en-US"/>
        </w:rPr>
      </w:pPr>
      <w:r w:rsidRPr="00B72F99">
        <w:rPr>
          <w:rStyle w:val="FootnoteReference"/>
        </w:rPr>
        <w:footnoteRef/>
      </w:r>
      <w:r w:rsidRPr="00B72F99">
        <w:t xml:space="preserve"> </w:t>
      </w:r>
      <w:r w:rsidR="005C3B8F">
        <w:t>Walsh 1996</w:t>
      </w:r>
    </w:p>
  </w:footnote>
  <w:footnote w:id="107">
    <w:p w14:paraId="3986CF05" w14:textId="2C365160" w:rsidR="00562CAC" w:rsidRPr="00B72F99" w:rsidRDefault="00562CAC">
      <w:pPr>
        <w:pStyle w:val="FootnoteText"/>
        <w:rPr>
          <w:lang w:val="en-US"/>
        </w:rPr>
      </w:pPr>
      <w:r w:rsidRPr="00B72F99">
        <w:rPr>
          <w:rStyle w:val="FootnoteReference"/>
        </w:rPr>
        <w:footnoteRef/>
      </w:r>
      <w:r w:rsidRPr="00B72F99">
        <w:t xml:space="preserve"> </w:t>
      </w:r>
      <w:r w:rsidR="007D15F7">
        <w:rPr>
          <w:lang w:val="en-US"/>
        </w:rPr>
        <w:t xml:space="preserve">Plutarch, </w:t>
      </w:r>
      <w:r w:rsidRPr="00B72F99">
        <w:rPr>
          <w:lang w:val="en-US"/>
        </w:rPr>
        <w:t>Life of Flamininus, 10.3-5</w:t>
      </w:r>
    </w:p>
  </w:footnote>
  <w:footnote w:id="108">
    <w:p w14:paraId="3CD47D80" w14:textId="42574B3B" w:rsidR="00341B59" w:rsidRPr="00B72F99" w:rsidRDefault="00341B59">
      <w:pPr>
        <w:pStyle w:val="FootnoteText"/>
        <w:rPr>
          <w:lang w:val="en-US"/>
        </w:rPr>
      </w:pPr>
      <w:r w:rsidRPr="00B72F99">
        <w:rPr>
          <w:rStyle w:val="FootnoteReference"/>
        </w:rPr>
        <w:footnoteRef/>
      </w:r>
      <w:r w:rsidRPr="00B72F99">
        <w:t xml:space="preserve"> </w:t>
      </w:r>
      <w:r w:rsidR="005C3B8F">
        <w:t>McDonalds 1967</w:t>
      </w:r>
    </w:p>
  </w:footnote>
  <w:footnote w:id="109">
    <w:p w14:paraId="34F87500" w14:textId="19FD3CCC" w:rsidR="00C40FB4" w:rsidRPr="00B72F99" w:rsidRDefault="00C40FB4">
      <w:pPr>
        <w:pStyle w:val="FootnoteText"/>
        <w:rPr>
          <w:lang w:val="en-US"/>
        </w:rPr>
      </w:pPr>
      <w:r w:rsidRPr="00B72F99">
        <w:rPr>
          <w:rStyle w:val="FootnoteReference"/>
        </w:rPr>
        <w:footnoteRef/>
      </w:r>
      <w:r w:rsidRPr="00B72F99">
        <w:t xml:space="preserve"> </w:t>
      </w:r>
      <w:r w:rsidR="003C32EF">
        <w:t>McDonalds 1967</w:t>
      </w:r>
    </w:p>
  </w:footnote>
  <w:footnote w:id="110">
    <w:p w14:paraId="2BBEC674" w14:textId="4B1510DA" w:rsidR="00D442DA" w:rsidRPr="00B72F99" w:rsidRDefault="00D442DA">
      <w:pPr>
        <w:pStyle w:val="FootnoteText"/>
        <w:rPr>
          <w:lang w:val="en-US"/>
        </w:rPr>
      </w:pPr>
      <w:r w:rsidRPr="00B72F99">
        <w:rPr>
          <w:rStyle w:val="FootnoteReference"/>
        </w:rPr>
        <w:footnoteRef/>
      </w:r>
      <w:r w:rsidRPr="00B72F99">
        <w:t xml:space="preserve"> </w:t>
      </w:r>
      <w:r w:rsidRPr="00B72F99">
        <w:rPr>
          <w:lang w:val="en-US"/>
        </w:rPr>
        <w:t>Appian</w:t>
      </w:r>
      <w:r w:rsidR="007D15F7">
        <w:rPr>
          <w:lang w:val="en-US"/>
        </w:rPr>
        <w:t>,</w:t>
      </w:r>
      <w:r w:rsidRPr="00B72F99">
        <w:rPr>
          <w:lang w:val="en-US"/>
        </w:rPr>
        <w:t xml:space="preserve"> The Syrian Wars 8.39</w:t>
      </w:r>
    </w:p>
  </w:footnote>
  <w:footnote w:id="111">
    <w:p w14:paraId="28204EF5" w14:textId="129706DB" w:rsidR="004558E6" w:rsidRPr="00B72F99" w:rsidRDefault="004558E6">
      <w:pPr>
        <w:pStyle w:val="FootnoteText"/>
        <w:rPr>
          <w:lang w:val="en-US"/>
        </w:rPr>
      </w:pPr>
      <w:r w:rsidRPr="00B72F99">
        <w:rPr>
          <w:rStyle w:val="FootnoteReference"/>
        </w:rPr>
        <w:footnoteRef/>
      </w:r>
      <w:r w:rsidRPr="00B72F99">
        <w:t xml:space="preserve"> </w:t>
      </w:r>
      <w:r w:rsidR="00967C88">
        <w:t>Livius 2018</w:t>
      </w:r>
    </w:p>
  </w:footnote>
  <w:footnote w:id="112">
    <w:p w14:paraId="5C1AFEAA" w14:textId="51A72BCA" w:rsidR="005D2FFB" w:rsidRPr="00B72F99" w:rsidRDefault="005D2FFB">
      <w:pPr>
        <w:pStyle w:val="FootnoteText"/>
        <w:rPr>
          <w:lang w:val="en-US"/>
        </w:rPr>
      </w:pPr>
      <w:r w:rsidRPr="00B72F99">
        <w:rPr>
          <w:rStyle w:val="FootnoteReference"/>
        </w:rPr>
        <w:footnoteRef/>
      </w:r>
      <w:r w:rsidRPr="00B72F99">
        <w:t xml:space="preserve"> </w:t>
      </w:r>
      <w:r w:rsidR="00967C88">
        <w:t>Livius 2018</w:t>
      </w:r>
    </w:p>
  </w:footnote>
  <w:footnote w:id="113">
    <w:p w14:paraId="47A5A154" w14:textId="770E8811" w:rsidR="00C3387E" w:rsidRPr="00B72F99" w:rsidRDefault="00C3387E">
      <w:pPr>
        <w:pStyle w:val="FootnoteText"/>
        <w:rPr>
          <w:lang w:val="en-US"/>
        </w:rPr>
      </w:pPr>
      <w:r w:rsidRPr="00B72F99">
        <w:rPr>
          <w:rStyle w:val="FootnoteReference"/>
        </w:rPr>
        <w:footnoteRef/>
      </w:r>
      <w:r w:rsidRPr="00B72F99">
        <w:t xml:space="preserve"> </w:t>
      </w:r>
      <w:r w:rsidRPr="00B72F99">
        <w:rPr>
          <w:lang w:val="en-US"/>
        </w:rPr>
        <w:t>Polybius. Hist. 39.12</w:t>
      </w:r>
    </w:p>
  </w:footnote>
  <w:footnote w:id="114">
    <w:p w14:paraId="4430A299" w14:textId="5C06FE7B" w:rsidR="00D7314B" w:rsidRPr="00B72F99" w:rsidRDefault="00D7314B">
      <w:pPr>
        <w:pStyle w:val="FootnoteText"/>
        <w:rPr>
          <w:lang w:val="en-US"/>
        </w:rPr>
      </w:pPr>
      <w:r w:rsidRPr="00B72F99">
        <w:rPr>
          <w:rStyle w:val="FootnoteReference"/>
        </w:rPr>
        <w:footnoteRef/>
      </w:r>
      <w:r w:rsidRPr="00B72F99">
        <w:t xml:space="preserve"> </w:t>
      </w:r>
      <w:r w:rsidR="00967C88">
        <w:t>Livius 2018</w:t>
      </w:r>
    </w:p>
  </w:footnote>
  <w:footnote w:id="115">
    <w:p w14:paraId="54564231" w14:textId="0A509867" w:rsidR="00C23FE9" w:rsidRPr="00B72F99" w:rsidRDefault="00C23FE9">
      <w:pPr>
        <w:pStyle w:val="FootnoteText"/>
        <w:rPr>
          <w:lang w:val="en-US"/>
        </w:rPr>
      </w:pPr>
      <w:r w:rsidRPr="00B72F99">
        <w:rPr>
          <w:rStyle w:val="FootnoteReference"/>
        </w:rPr>
        <w:footnoteRef/>
      </w:r>
      <w:r w:rsidRPr="00B72F99">
        <w:t xml:space="preserve"> </w:t>
      </w:r>
      <w:r w:rsidR="00967C88">
        <w:t>Livius 2018</w:t>
      </w:r>
    </w:p>
  </w:footnote>
  <w:footnote w:id="116">
    <w:p w14:paraId="24903D00" w14:textId="3CEEDE2A" w:rsidR="00B61B4D" w:rsidRPr="00B72F99" w:rsidRDefault="00B61B4D">
      <w:pPr>
        <w:pStyle w:val="FootnoteText"/>
        <w:rPr>
          <w:lang w:val="en-US"/>
        </w:rPr>
      </w:pPr>
      <w:r w:rsidRPr="00B72F99">
        <w:rPr>
          <w:rStyle w:val="FootnoteReference"/>
        </w:rPr>
        <w:footnoteRef/>
      </w:r>
      <w:r w:rsidRPr="00B72F99">
        <w:t xml:space="preserve"> </w:t>
      </w:r>
      <w:r w:rsidRPr="00B72F99">
        <w:rPr>
          <w:lang w:val="en-US"/>
        </w:rPr>
        <w:t>Livy</w:t>
      </w:r>
      <w:r w:rsidR="00B03796">
        <w:rPr>
          <w:lang w:val="en-US"/>
        </w:rPr>
        <w:t xml:space="preserve"> </w:t>
      </w:r>
      <w:r w:rsidRPr="00B72F99">
        <w:rPr>
          <w:lang w:val="en-US"/>
        </w:rPr>
        <w:t>45.11</w:t>
      </w:r>
    </w:p>
  </w:footnote>
  <w:footnote w:id="117">
    <w:p w14:paraId="1F7C3955" w14:textId="79C804B2" w:rsidR="008D06E1" w:rsidRPr="00B72F99" w:rsidRDefault="008D06E1">
      <w:pPr>
        <w:pStyle w:val="FootnoteText"/>
        <w:rPr>
          <w:lang w:val="en-US"/>
        </w:rPr>
      </w:pPr>
      <w:r w:rsidRPr="00B72F99">
        <w:rPr>
          <w:rStyle w:val="FootnoteReference"/>
        </w:rPr>
        <w:footnoteRef/>
      </w:r>
      <w:r w:rsidRPr="00B72F99">
        <w:t xml:space="preserve"> </w:t>
      </w:r>
      <w:r w:rsidR="00B03796">
        <w:t>Livius 2017</w:t>
      </w:r>
    </w:p>
  </w:footnote>
  <w:footnote w:id="118">
    <w:p w14:paraId="644E3753" w14:textId="1ECBB118" w:rsidR="00201C23" w:rsidRPr="00B72F99" w:rsidRDefault="00201C23">
      <w:pPr>
        <w:pStyle w:val="FootnoteText"/>
        <w:rPr>
          <w:lang w:val="en-US"/>
        </w:rPr>
      </w:pPr>
      <w:r w:rsidRPr="00B72F99">
        <w:rPr>
          <w:rStyle w:val="FootnoteReference"/>
        </w:rPr>
        <w:footnoteRef/>
      </w:r>
      <w:r w:rsidRPr="00B72F99">
        <w:t xml:space="preserve"> </w:t>
      </w:r>
      <w:r w:rsidR="00B03796">
        <w:t>Livius 2017</w:t>
      </w:r>
    </w:p>
  </w:footnote>
  <w:footnote w:id="119">
    <w:p w14:paraId="6EF49D0C" w14:textId="52CC266F" w:rsidR="00F16342" w:rsidRPr="00B72F99" w:rsidRDefault="00F16342">
      <w:pPr>
        <w:pStyle w:val="FootnoteText"/>
        <w:rPr>
          <w:lang w:val="en-US"/>
        </w:rPr>
      </w:pPr>
      <w:r w:rsidRPr="00B72F99">
        <w:rPr>
          <w:rStyle w:val="FootnoteReference"/>
        </w:rPr>
        <w:footnoteRef/>
      </w:r>
      <w:r w:rsidRPr="00B72F99">
        <w:t xml:space="preserve"> </w:t>
      </w:r>
      <w:r w:rsidR="00B03796">
        <w:t>Livius 2017</w:t>
      </w:r>
    </w:p>
  </w:footnote>
  <w:footnote w:id="120">
    <w:p w14:paraId="259F1065" w14:textId="6D0F9652" w:rsidR="003A4DCC" w:rsidRPr="00B72F99" w:rsidRDefault="003A4DCC">
      <w:pPr>
        <w:pStyle w:val="FootnoteText"/>
        <w:rPr>
          <w:lang w:val="en-US"/>
        </w:rPr>
      </w:pPr>
      <w:r w:rsidRPr="00B72F99">
        <w:rPr>
          <w:rStyle w:val="FootnoteReference"/>
        </w:rPr>
        <w:footnoteRef/>
      </w:r>
      <w:r w:rsidRPr="00B72F99">
        <w:t xml:space="preserve"> </w:t>
      </w:r>
      <w:r w:rsidR="00B03796">
        <w:t>Livius 2017</w:t>
      </w:r>
    </w:p>
  </w:footnote>
  <w:footnote w:id="121">
    <w:p w14:paraId="00610983" w14:textId="3B87DB43" w:rsidR="009D312B" w:rsidRPr="00B72F99" w:rsidRDefault="009D312B">
      <w:pPr>
        <w:pStyle w:val="FootnoteText"/>
        <w:rPr>
          <w:lang w:val="en-US"/>
        </w:rPr>
      </w:pPr>
      <w:r w:rsidRPr="00B72F99">
        <w:rPr>
          <w:rStyle w:val="FootnoteReference"/>
        </w:rPr>
        <w:footnoteRef/>
      </w:r>
      <w:r w:rsidRPr="00B72F99">
        <w:t xml:space="preserve"> </w:t>
      </w:r>
      <w:r w:rsidR="00B03796">
        <w:rPr>
          <w:lang w:val="en-US"/>
        </w:rPr>
        <w:t xml:space="preserve">Plutarch, </w:t>
      </w:r>
      <w:r w:rsidR="007D15F7">
        <w:rPr>
          <w:lang w:val="en-US"/>
        </w:rPr>
        <w:t>Life of Pompey</w:t>
      </w:r>
      <w:r w:rsidRPr="00B72F99">
        <w:rPr>
          <w:lang w:val="en-US"/>
        </w:rPr>
        <w:t xml:space="preserve"> 42</w:t>
      </w:r>
    </w:p>
  </w:footnote>
  <w:footnote w:id="122">
    <w:p w14:paraId="2453A4E6" w14:textId="4C07E398" w:rsidR="00DB3D89" w:rsidRPr="00B72F99" w:rsidRDefault="00DB3D89">
      <w:pPr>
        <w:pStyle w:val="FootnoteText"/>
        <w:rPr>
          <w:lang w:val="en-US"/>
        </w:rPr>
      </w:pPr>
      <w:r w:rsidRPr="00B72F99">
        <w:rPr>
          <w:rStyle w:val="FootnoteReference"/>
        </w:rPr>
        <w:footnoteRef/>
      </w:r>
      <w:r w:rsidRPr="00B72F99">
        <w:t xml:space="preserve"> </w:t>
      </w:r>
      <w:r w:rsidR="0000225C">
        <w:t>Livius 2017</w:t>
      </w:r>
    </w:p>
  </w:footnote>
  <w:footnote w:id="123">
    <w:p w14:paraId="0056AEE1" w14:textId="23DC9B8B" w:rsidR="00BC3526" w:rsidRPr="00B72F99" w:rsidRDefault="00BC3526">
      <w:pPr>
        <w:pStyle w:val="FootnoteText"/>
        <w:rPr>
          <w:lang w:val="en-US"/>
        </w:rPr>
      </w:pPr>
      <w:r w:rsidRPr="00B72F99">
        <w:rPr>
          <w:rStyle w:val="FootnoteReference"/>
        </w:rPr>
        <w:footnoteRef/>
      </w:r>
      <w:r w:rsidRPr="00B72F99">
        <w:t xml:space="preserve"> </w:t>
      </w:r>
      <w:r w:rsidR="0000225C">
        <w:t>Livius 2017</w:t>
      </w:r>
    </w:p>
  </w:footnote>
  <w:footnote w:id="124">
    <w:p w14:paraId="52F3282E" w14:textId="5F9151B0" w:rsidR="006F5DF1" w:rsidRPr="00B72F99" w:rsidRDefault="006F5DF1">
      <w:pPr>
        <w:pStyle w:val="FootnoteText"/>
        <w:rPr>
          <w:lang w:val="en-US"/>
        </w:rPr>
      </w:pPr>
      <w:r w:rsidRPr="00B72F99">
        <w:rPr>
          <w:rStyle w:val="FootnoteReference"/>
        </w:rPr>
        <w:footnoteRef/>
      </w:r>
      <w:r w:rsidRPr="00B72F99">
        <w:t xml:space="preserve"> </w:t>
      </w:r>
      <w:r w:rsidR="0000225C">
        <w:t xml:space="preserve">Cassius </w:t>
      </w:r>
      <w:r w:rsidR="0000225C">
        <w:rPr>
          <w:lang w:val="en-US"/>
        </w:rPr>
        <w:t xml:space="preserve">Dio </w:t>
      </w:r>
      <w:r w:rsidRPr="00B72F99">
        <w:rPr>
          <w:lang w:val="en-US"/>
        </w:rPr>
        <w:t>50.32-35</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7297930"/>
    <w:multiLevelType w:val="hybridMultilevel"/>
    <w:tmpl w:val="3AB489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535C"/>
    <w:rsid w:val="0000225C"/>
    <w:rsid w:val="00025F71"/>
    <w:rsid w:val="00036707"/>
    <w:rsid w:val="000425C9"/>
    <w:rsid w:val="00051DCF"/>
    <w:rsid w:val="00055222"/>
    <w:rsid w:val="00090EF7"/>
    <w:rsid w:val="00093F96"/>
    <w:rsid w:val="000A42A8"/>
    <w:rsid w:val="000B03CB"/>
    <w:rsid w:val="000C4442"/>
    <w:rsid w:val="000C5DD3"/>
    <w:rsid w:val="000D3010"/>
    <w:rsid w:val="000D383D"/>
    <w:rsid w:val="000D3D6C"/>
    <w:rsid w:val="000E5AF9"/>
    <w:rsid w:val="000E7771"/>
    <w:rsid w:val="000F2579"/>
    <w:rsid w:val="00121F95"/>
    <w:rsid w:val="00125683"/>
    <w:rsid w:val="001401E0"/>
    <w:rsid w:val="001447B7"/>
    <w:rsid w:val="00144B50"/>
    <w:rsid w:val="00144BDD"/>
    <w:rsid w:val="00146AA0"/>
    <w:rsid w:val="00171E9F"/>
    <w:rsid w:val="0017390B"/>
    <w:rsid w:val="00174617"/>
    <w:rsid w:val="001A52D5"/>
    <w:rsid w:val="001A70D6"/>
    <w:rsid w:val="001B292B"/>
    <w:rsid w:val="001B7A32"/>
    <w:rsid w:val="001C43ED"/>
    <w:rsid w:val="001D24AE"/>
    <w:rsid w:val="001D35A7"/>
    <w:rsid w:val="00201C23"/>
    <w:rsid w:val="002347CF"/>
    <w:rsid w:val="002506A8"/>
    <w:rsid w:val="00256429"/>
    <w:rsid w:val="002734EA"/>
    <w:rsid w:val="002819F5"/>
    <w:rsid w:val="002B7E42"/>
    <w:rsid w:val="002D04CD"/>
    <w:rsid w:val="002D4A6B"/>
    <w:rsid w:val="002D535C"/>
    <w:rsid w:val="002E1034"/>
    <w:rsid w:val="002F5EC5"/>
    <w:rsid w:val="003069FA"/>
    <w:rsid w:val="003111D2"/>
    <w:rsid w:val="0031340C"/>
    <w:rsid w:val="00324338"/>
    <w:rsid w:val="003410EA"/>
    <w:rsid w:val="00341B59"/>
    <w:rsid w:val="00341F69"/>
    <w:rsid w:val="00345538"/>
    <w:rsid w:val="003547F3"/>
    <w:rsid w:val="00356C54"/>
    <w:rsid w:val="0036031E"/>
    <w:rsid w:val="00362A23"/>
    <w:rsid w:val="00372813"/>
    <w:rsid w:val="003849CC"/>
    <w:rsid w:val="00395181"/>
    <w:rsid w:val="003A1CB8"/>
    <w:rsid w:val="003A2C37"/>
    <w:rsid w:val="003A4DCC"/>
    <w:rsid w:val="003B6CB7"/>
    <w:rsid w:val="003C22D6"/>
    <w:rsid w:val="003C32EF"/>
    <w:rsid w:val="003C4BFF"/>
    <w:rsid w:val="00400010"/>
    <w:rsid w:val="0042682E"/>
    <w:rsid w:val="004320D5"/>
    <w:rsid w:val="004326ED"/>
    <w:rsid w:val="00435E27"/>
    <w:rsid w:val="00444C27"/>
    <w:rsid w:val="00446090"/>
    <w:rsid w:val="00451CFA"/>
    <w:rsid w:val="004558E6"/>
    <w:rsid w:val="00456305"/>
    <w:rsid w:val="00467B88"/>
    <w:rsid w:val="0047584E"/>
    <w:rsid w:val="00475AA0"/>
    <w:rsid w:val="00485949"/>
    <w:rsid w:val="004863C6"/>
    <w:rsid w:val="004923C5"/>
    <w:rsid w:val="00493B7F"/>
    <w:rsid w:val="004A23F3"/>
    <w:rsid w:val="004B371F"/>
    <w:rsid w:val="004F7B6B"/>
    <w:rsid w:val="005035EF"/>
    <w:rsid w:val="00506D66"/>
    <w:rsid w:val="0051542D"/>
    <w:rsid w:val="00517531"/>
    <w:rsid w:val="00520FD5"/>
    <w:rsid w:val="00522129"/>
    <w:rsid w:val="00533A93"/>
    <w:rsid w:val="005517FE"/>
    <w:rsid w:val="00552DC0"/>
    <w:rsid w:val="005611B6"/>
    <w:rsid w:val="00562CAC"/>
    <w:rsid w:val="005A3612"/>
    <w:rsid w:val="005A49DA"/>
    <w:rsid w:val="005B515B"/>
    <w:rsid w:val="005C2537"/>
    <w:rsid w:val="005C3B8F"/>
    <w:rsid w:val="005C6E2B"/>
    <w:rsid w:val="005D2FFB"/>
    <w:rsid w:val="005E350D"/>
    <w:rsid w:val="005F19A9"/>
    <w:rsid w:val="006063AC"/>
    <w:rsid w:val="00617A73"/>
    <w:rsid w:val="00621481"/>
    <w:rsid w:val="00675264"/>
    <w:rsid w:val="00694ED0"/>
    <w:rsid w:val="006A4A42"/>
    <w:rsid w:val="006A6EC1"/>
    <w:rsid w:val="006B039D"/>
    <w:rsid w:val="006B093D"/>
    <w:rsid w:val="006C6F86"/>
    <w:rsid w:val="006D4AC8"/>
    <w:rsid w:val="006E0880"/>
    <w:rsid w:val="006E2B90"/>
    <w:rsid w:val="006F5DF1"/>
    <w:rsid w:val="0070197F"/>
    <w:rsid w:val="00703446"/>
    <w:rsid w:val="00732C1A"/>
    <w:rsid w:val="007345CA"/>
    <w:rsid w:val="00747859"/>
    <w:rsid w:val="007514C5"/>
    <w:rsid w:val="00753383"/>
    <w:rsid w:val="00755B96"/>
    <w:rsid w:val="007640D2"/>
    <w:rsid w:val="00767919"/>
    <w:rsid w:val="007A300E"/>
    <w:rsid w:val="007B6AD8"/>
    <w:rsid w:val="007D15F7"/>
    <w:rsid w:val="007F7A4E"/>
    <w:rsid w:val="00801960"/>
    <w:rsid w:val="008046C3"/>
    <w:rsid w:val="00805CF6"/>
    <w:rsid w:val="008107D8"/>
    <w:rsid w:val="008151F2"/>
    <w:rsid w:val="0082463D"/>
    <w:rsid w:val="0086363B"/>
    <w:rsid w:val="00870508"/>
    <w:rsid w:val="00885AFE"/>
    <w:rsid w:val="008D0096"/>
    <w:rsid w:val="008D06E1"/>
    <w:rsid w:val="008D3D97"/>
    <w:rsid w:val="008D51CA"/>
    <w:rsid w:val="008D5612"/>
    <w:rsid w:val="008F794A"/>
    <w:rsid w:val="0090546B"/>
    <w:rsid w:val="00916A04"/>
    <w:rsid w:val="00942041"/>
    <w:rsid w:val="00946F24"/>
    <w:rsid w:val="00966417"/>
    <w:rsid w:val="00967606"/>
    <w:rsid w:val="00967C88"/>
    <w:rsid w:val="009725A3"/>
    <w:rsid w:val="00980505"/>
    <w:rsid w:val="0099196C"/>
    <w:rsid w:val="00995E42"/>
    <w:rsid w:val="009A2BE0"/>
    <w:rsid w:val="009C1D47"/>
    <w:rsid w:val="009D312B"/>
    <w:rsid w:val="009D62DF"/>
    <w:rsid w:val="009F2021"/>
    <w:rsid w:val="009F5F5A"/>
    <w:rsid w:val="009F6F9B"/>
    <w:rsid w:val="009F78EB"/>
    <w:rsid w:val="00A105C0"/>
    <w:rsid w:val="00A13D42"/>
    <w:rsid w:val="00A16D0F"/>
    <w:rsid w:val="00A2021B"/>
    <w:rsid w:val="00A32DE1"/>
    <w:rsid w:val="00A35262"/>
    <w:rsid w:val="00A46F83"/>
    <w:rsid w:val="00A61EA0"/>
    <w:rsid w:val="00A762C7"/>
    <w:rsid w:val="00A905A3"/>
    <w:rsid w:val="00A9155E"/>
    <w:rsid w:val="00A925DB"/>
    <w:rsid w:val="00AA7D94"/>
    <w:rsid w:val="00AB6DCC"/>
    <w:rsid w:val="00AC6BA6"/>
    <w:rsid w:val="00AE2D09"/>
    <w:rsid w:val="00AE7208"/>
    <w:rsid w:val="00B03796"/>
    <w:rsid w:val="00B25B7A"/>
    <w:rsid w:val="00B43CC3"/>
    <w:rsid w:val="00B446D4"/>
    <w:rsid w:val="00B61B4D"/>
    <w:rsid w:val="00B65256"/>
    <w:rsid w:val="00B72F99"/>
    <w:rsid w:val="00B75D3A"/>
    <w:rsid w:val="00B77D74"/>
    <w:rsid w:val="00BA163F"/>
    <w:rsid w:val="00BA3F08"/>
    <w:rsid w:val="00BA7A95"/>
    <w:rsid w:val="00BC3526"/>
    <w:rsid w:val="00BC6D8D"/>
    <w:rsid w:val="00BE14BA"/>
    <w:rsid w:val="00BE4160"/>
    <w:rsid w:val="00C02BBE"/>
    <w:rsid w:val="00C12884"/>
    <w:rsid w:val="00C164FE"/>
    <w:rsid w:val="00C23FE9"/>
    <w:rsid w:val="00C3387E"/>
    <w:rsid w:val="00C3678E"/>
    <w:rsid w:val="00C40FB4"/>
    <w:rsid w:val="00C456BD"/>
    <w:rsid w:val="00C62F7D"/>
    <w:rsid w:val="00C81761"/>
    <w:rsid w:val="00C87595"/>
    <w:rsid w:val="00C90E51"/>
    <w:rsid w:val="00C91AC0"/>
    <w:rsid w:val="00C924F5"/>
    <w:rsid w:val="00CA3D29"/>
    <w:rsid w:val="00CD73E3"/>
    <w:rsid w:val="00D11085"/>
    <w:rsid w:val="00D2135D"/>
    <w:rsid w:val="00D24235"/>
    <w:rsid w:val="00D3021C"/>
    <w:rsid w:val="00D367D8"/>
    <w:rsid w:val="00D409C8"/>
    <w:rsid w:val="00D42312"/>
    <w:rsid w:val="00D442DA"/>
    <w:rsid w:val="00D502F1"/>
    <w:rsid w:val="00D5719D"/>
    <w:rsid w:val="00D60C24"/>
    <w:rsid w:val="00D7314B"/>
    <w:rsid w:val="00D86FDE"/>
    <w:rsid w:val="00D93597"/>
    <w:rsid w:val="00D94468"/>
    <w:rsid w:val="00D976C7"/>
    <w:rsid w:val="00D97962"/>
    <w:rsid w:val="00DB3675"/>
    <w:rsid w:val="00DB3D89"/>
    <w:rsid w:val="00DB5301"/>
    <w:rsid w:val="00DC22A6"/>
    <w:rsid w:val="00DD336D"/>
    <w:rsid w:val="00E03F7B"/>
    <w:rsid w:val="00E158B0"/>
    <w:rsid w:val="00E216E9"/>
    <w:rsid w:val="00E27E31"/>
    <w:rsid w:val="00E432DD"/>
    <w:rsid w:val="00E513D9"/>
    <w:rsid w:val="00E61CFB"/>
    <w:rsid w:val="00E8036A"/>
    <w:rsid w:val="00E8185B"/>
    <w:rsid w:val="00E90D46"/>
    <w:rsid w:val="00EC3DCC"/>
    <w:rsid w:val="00ED45DE"/>
    <w:rsid w:val="00EE7216"/>
    <w:rsid w:val="00EF4119"/>
    <w:rsid w:val="00EF60D1"/>
    <w:rsid w:val="00F07914"/>
    <w:rsid w:val="00F144D1"/>
    <w:rsid w:val="00F16342"/>
    <w:rsid w:val="00F23545"/>
    <w:rsid w:val="00F36A36"/>
    <w:rsid w:val="00F4032E"/>
    <w:rsid w:val="00F40857"/>
    <w:rsid w:val="00F41BC2"/>
    <w:rsid w:val="00F56CE5"/>
    <w:rsid w:val="00F70370"/>
    <w:rsid w:val="00F8429B"/>
    <w:rsid w:val="00F93C48"/>
    <w:rsid w:val="00FA321D"/>
    <w:rsid w:val="00FA677D"/>
    <w:rsid w:val="00FA6F61"/>
    <w:rsid w:val="00FC292A"/>
    <w:rsid w:val="00FD0294"/>
    <w:rsid w:val="00FD0CE3"/>
    <w:rsid w:val="00FD40B4"/>
    <w:rsid w:val="00FD77FB"/>
    <w:rsid w:val="00FE0455"/>
    <w:rsid w:val="00FE643F"/>
    <w:rsid w:val="00FE7B32"/>
    <w:rsid w:val="00FF4657"/>
    <w:rsid w:val="00FF4C67"/>
    <w:rsid w:val="00FF4DE7"/>
    <w:rsid w:val="00FF62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B8BC2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D535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D535C"/>
  </w:style>
  <w:style w:type="character" w:customStyle="1" w:styleId="FootnoteTextChar">
    <w:name w:val="Footnote Text Char"/>
    <w:basedOn w:val="DefaultParagraphFont"/>
    <w:link w:val="FootnoteText"/>
    <w:uiPriority w:val="99"/>
    <w:rsid w:val="002D535C"/>
  </w:style>
  <w:style w:type="paragraph" w:styleId="ListParagraph">
    <w:name w:val="List Paragraph"/>
    <w:basedOn w:val="Normal"/>
    <w:uiPriority w:val="34"/>
    <w:qFormat/>
    <w:rsid w:val="002D535C"/>
    <w:pPr>
      <w:ind w:left="720"/>
      <w:contextualSpacing/>
    </w:pPr>
  </w:style>
  <w:style w:type="character" w:styleId="FootnoteReference">
    <w:name w:val="footnote reference"/>
    <w:basedOn w:val="DefaultParagraphFont"/>
    <w:uiPriority w:val="99"/>
    <w:unhideWhenUsed/>
    <w:rsid w:val="002D535C"/>
    <w:rPr>
      <w:vertAlign w:val="superscript"/>
    </w:rPr>
  </w:style>
  <w:style w:type="table" w:styleId="TableGrid">
    <w:name w:val="Table Grid"/>
    <w:basedOn w:val="TableNormal"/>
    <w:uiPriority w:val="39"/>
    <w:rsid w:val="00FC292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0D30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2628901">
      <w:bodyDiv w:val="1"/>
      <w:marLeft w:val="0"/>
      <w:marRight w:val="0"/>
      <w:marTop w:val="0"/>
      <w:marBottom w:val="0"/>
      <w:divBdr>
        <w:top w:val="none" w:sz="0" w:space="0" w:color="auto"/>
        <w:left w:val="none" w:sz="0" w:space="0" w:color="auto"/>
        <w:bottom w:val="none" w:sz="0" w:space="0" w:color="auto"/>
        <w:right w:val="none" w:sz="0" w:space="0" w:color="auto"/>
      </w:divBdr>
    </w:div>
    <w:div w:id="196650249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46" Type="http://schemas.openxmlformats.org/officeDocument/2006/relationships/hyperlink" Target="http://www.livius.org/articles/misc/maccabees-and-method/" TargetMode="External"/><Relationship Id="rId47" Type="http://schemas.openxmlformats.org/officeDocument/2006/relationships/hyperlink" Target="http://www.livius.org" TargetMode="External"/><Relationship Id="rId48" Type="http://schemas.openxmlformats.org/officeDocument/2006/relationships/hyperlink" Target="http://www.livius.org/articles/person/mithridates/" TargetMode="External"/><Relationship Id="rId49" Type="http://schemas.openxmlformats.org/officeDocument/2006/relationships/hyperlink" Target="http://www.livius.org" TargetMode="External"/><Relationship Id="rId20" Type="http://schemas.openxmlformats.org/officeDocument/2006/relationships/hyperlink" Target="http://www.livius.org/articles/person/antigonus-monophthalmus/" TargetMode="External"/><Relationship Id="rId21" Type="http://schemas.openxmlformats.org/officeDocument/2006/relationships/hyperlink" Target="http://www.livius.org" TargetMode="External"/><Relationship Id="rId22" Type="http://schemas.openxmlformats.org/officeDocument/2006/relationships/hyperlink" Target="http://www.livius.org/articles/battle/ipsus/" TargetMode="External"/><Relationship Id="rId23" Type="http://schemas.openxmlformats.org/officeDocument/2006/relationships/hyperlink" Target="http://www.livius.org" TargetMode="External"/><Relationship Id="rId24" Type="http://schemas.openxmlformats.org/officeDocument/2006/relationships/hyperlink" Target="http://www.livius.org/sources/content/pausanias-guide-to-greece/the-invasion-of-the-gauls/" TargetMode="External"/><Relationship Id="rId25" Type="http://schemas.openxmlformats.org/officeDocument/2006/relationships/hyperlink" Target="http://www.livius.org" TargetMode="External"/><Relationship Id="rId26" Type="http://schemas.openxmlformats.org/officeDocument/2006/relationships/hyperlink" Target="http://www.livius.org/articles/concept/syrian-war-2/" TargetMode="External"/><Relationship Id="rId27" Type="http://schemas.openxmlformats.org/officeDocument/2006/relationships/hyperlink" Target="http://www.livius.org" TargetMode="External"/><Relationship Id="rId28" Type="http://schemas.openxmlformats.org/officeDocument/2006/relationships/hyperlink" Target="http://www.livius.org/articles/place/bactria/" TargetMode="External"/><Relationship Id="rId29" Type="http://schemas.openxmlformats.org/officeDocument/2006/relationships/hyperlink" Target="http://www.livius.org" TargetMode="External"/><Relationship Id="rId50" Type="http://schemas.openxmlformats.org/officeDocument/2006/relationships/fontTable" Target="fontTable.xml"/><Relationship Id="rId5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www.livius.org/articles/misc/parthian-empire/" TargetMode="External"/><Relationship Id="rId31" Type="http://schemas.openxmlformats.org/officeDocument/2006/relationships/hyperlink" Target="http://www.livius.org" TargetMode="External"/><Relationship Id="rId32" Type="http://schemas.openxmlformats.org/officeDocument/2006/relationships/hyperlink" Target="http://www.livius.org/articles/person/ptolemy-ii-philadelphus/" TargetMode="External"/><Relationship Id="rId9" Type="http://schemas.openxmlformats.org/officeDocument/2006/relationships/hyperlink" Target="http://www.livius.org"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livius.org/articles/battle/hydaspes/" TargetMode="External"/><Relationship Id="rId33" Type="http://schemas.openxmlformats.org/officeDocument/2006/relationships/hyperlink" Target="http://www.livius.org" TargetMode="External"/><Relationship Id="rId34" Type="http://schemas.openxmlformats.org/officeDocument/2006/relationships/hyperlink" Target="http://www.livius.org/articles/concept/syrian-war-3/" TargetMode="External"/><Relationship Id="rId35" Type="http://schemas.openxmlformats.org/officeDocument/2006/relationships/hyperlink" Target="http://www.livius.org" TargetMode="External"/><Relationship Id="rId36" Type="http://schemas.openxmlformats.org/officeDocument/2006/relationships/hyperlink" Target="http://www.livius.org/sources/content/appian/appian-the-illyrian-wars/appian-the-illyrian-wars-2/" TargetMode="External"/><Relationship Id="rId10" Type="http://schemas.openxmlformats.org/officeDocument/2006/relationships/hyperlink" Target="http://www.livius.org/sources/content/arrian/anabasis/mutiny-at-opis/" TargetMode="External"/><Relationship Id="rId11" Type="http://schemas.openxmlformats.org/officeDocument/2006/relationships/hyperlink" Target="http://www.livius.org" TargetMode="External"/><Relationship Id="rId12" Type="http://schemas.openxmlformats.org/officeDocument/2006/relationships/hyperlink" Target="http://www.livius.org/articles/person/perdiccas/" TargetMode="External"/><Relationship Id="rId13" Type="http://schemas.openxmlformats.org/officeDocument/2006/relationships/hyperlink" Target="http://www.livius.org" TargetMode="External"/><Relationship Id="rId14" Type="http://schemas.openxmlformats.org/officeDocument/2006/relationships/hyperlink" Target="http://www.livius.org/articles/person/eumenes/" TargetMode="External"/><Relationship Id="rId15" Type="http://schemas.openxmlformats.org/officeDocument/2006/relationships/hyperlink" Target="http://www.livius.org" TargetMode="External"/><Relationship Id="rId16" Type="http://schemas.openxmlformats.org/officeDocument/2006/relationships/hyperlink" Target="http://www.livius.org/sources/content/diodorus/the-death-of-antipater/" TargetMode="External"/><Relationship Id="rId17" Type="http://schemas.openxmlformats.org/officeDocument/2006/relationships/hyperlink" Target="http://www.livius.org" TargetMode="External"/><Relationship Id="rId18" Type="http://schemas.openxmlformats.org/officeDocument/2006/relationships/hyperlink" Target="http://www.livius.org/articles/person/alexander-iv/" TargetMode="External"/><Relationship Id="rId19" Type="http://schemas.openxmlformats.org/officeDocument/2006/relationships/hyperlink" Target="http://www.livius.org" TargetMode="External"/><Relationship Id="rId37" Type="http://schemas.openxmlformats.org/officeDocument/2006/relationships/hyperlink" Target="http://www.ancient.eu" TargetMode="External"/><Relationship Id="rId38" Type="http://schemas.openxmlformats.org/officeDocument/2006/relationships/hyperlink" Target="https://www.ancient.eu/Battle_of_Pydna/" TargetMode="External"/><Relationship Id="rId39" Type="http://schemas.openxmlformats.org/officeDocument/2006/relationships/hyperlink" Target="http://www.livius.org" TargetMode="External"/><Relationship Id="rId40" Type="http://schemas.openxmlformats.org/officeDocument/2006/relationships/hyperlink" Target="http://www.livius.org/articles/battle/cynoscephalae-197-bce/" TargetMode="External"/><Relationship Id="rId41" Type="http://schemas.openxmlformats.org/officeDocument/2006/relationships/hyperlink" Target="http://www.livius.org" TargetMode="External"/><Relationship Id="rId42" Type="http://schemas.openxmlformats.org/officeDocument/2006/relationships/hyperlink" Target="http://www.livius.org/articles/place/corinth/" TargetMode="External"/><Relationship Id="rId43" Type="http://schemas.openxmlformats.org/officeDocument/2006/relationships/hyperlink" Target="http://www.livius.org" TargetMode="External"/><Relationship Id="rId44" Type="http://schemas.openxmlformats.org/officeDocument/2006/relationships/hyperlink" Target="http://www.livius.org/articles/person/antiochus-iv-epiphanes/" TargetMode="External"/><Relationship Id="rId45" Type="http://schemas.openxmlformats.org/officeDocument/2006/relationships/hyperlink" Target="http://www.liviu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0917D9E-6452-0F4C-9BFE-4490FDD938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592</TotalTime>
  <Pages>23</Pages>
  <Words>4944</Words>
  <Characters>28186</Characters>
  <Application>Microsoft Macintosh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33064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Sykes (1700547)</dc:creator>
  <cp:keywords/>
  <dc:description/>
  <cp:lastModifiedBy>Emily Sykes (1700547)</cp:lastModifiedBy>
  <cp:revision>150</cp:revision>
  <dcterms:created xsi:type="dcterms:W3CDTF">2018-03-20T16:24:00Z</dcterms:created>
  <dcterms:modified xsi:type="dcterms:W3CDTF">2018-05-15T12:52:00Z</dcterms:modified>
</cp:coreProperties>
</file>