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885953" w:rsidRDefault="00E502B8">
      <w:r>
        <w:rPr>
          <w:b/>
          <w:sz w:val="32"/>
          <w:u w:val="single"/>
        </w:rPr>
        <w:t>ECSP6001 Assignment Part B</w:t>
      </w:r>
    </w:p>
    <w:p w:rsidR="00885953" w:rsidRDefault="00885953">
      <w:pPr>
        <w:rPr>
          <w:b/>
          <w:sz w:val="32"/>
          <w:u w:val="single"/>
        </w:rPr>
      </w:pPr>
    </w:p>
    <w:p w:rsidR="00885953" w:rsidRDefault="00E502B8">
      <w:r>
        <w:rPr>
          <w:b/>
          <w:sz w:val="32"/>
          <w:u w:val="single"/>
        </w:rPr>
        <w:t>Part bi</w:t>
      </w:r>
    </w:p>
    <w:p w:rsidR="00885953" w:rsidRDefault="00885953">
      <w:pPr>
        <w:rPr>
          <w:sz w:val="32"/>
        </w:rPr>
      </w:pPr>
    </w:p>
    <w:p w:rsidR="00885953" w:rsidRDefault="00E502B8">
      <w:r>
        <w:rPr>
          <w:sz w:val="28"/>
          <w:szCs w:val="28"/>
        </w:rPr>
        <w:t>The scheme of work I used in the micro-teach has a lot of similarities with the scheme of work on proportion from my placement school, “School A”. School A’s scheme of work specifies that it should take approximately 7 lessons, but it also includes 2 lesso</w:t>
      </w:r>
      <w:r>
        <w:rPr>
          <w:sz w:val="28"/>
          <w:szCs w:val="28"/>
        </w:rPr>
        <w:t>ns on ratios which mine does not. In light of my teaching experience at School A, I feel it would have been more appropriate to disregard the first lesson in my scheme of work “converting between percentages, fractions, and decimals” and to instead have th</w:t>
      </w:r>
      <w:r>
        <w:rPr>
          <w:sz w:val="28"/>
          <w:szCs w:val="28"/>
        </w:rPr>
        <w:t>is as a starter during lesson 2. Perhaps for a lower-attainment class it would have been appropriate to keep this extra lesson, but for year 8 set 2 it would have made sense to condense it. It would also have been more appropriate to have “increasing/decre</w:t>
      </w:r>
      <w:r>
        <w:rPr>
          <w:sz w:val="28"/>
          <w:szCs w:val="28"/>
        </w:rPr>
        <w:t>asing by a percentage” and “undoing a percentage increase/decrease” as two separate lessons, as this is what was done at School A for year 8 set 1. School A also taught percentages before fractions as it was considered a more intuitive and accessible topic</w:t>
      </w:r>
      <w:r>
        <w:rPr>
          <w:sz w:val="28"/>
          <w:szCs w:val="28"/>
        </w:rPr>
        <w:t>, and so if I were to design the scheme of work again, I would have taught percentages before fractions. Teaching fractions before percentages as I did also contributed to the instrumental approach I used- students were told to multiply the numbers togethe</w:t>
      </w:r>
      <w:r>
        <w:rPr>
          <w:sz w:val="28"/>
          <w:szCs w:val="28"/>
        </w:rPr>
        <w:t>r and divide by 100- when more relational approaches (explained further in part bii) are available. Thus, switching the order and teaching percentages before fractions would have both the benefit of being more accessible, and of helping promote a relationa</w:t>
      </w:r>
      <w:r>
        <w:rPr>
          <w:sz w:val="28"/>
          <w:szCs w:val="28"/>
        </w:rPr>
        <w:t xml:space="preserve">l understanding of percentages. </w:t>
      </w:r>
    </w:p>
    <w:p w:rsidR="00885953" w:rsidRDefault="00885953">
      <w:pPr>
        <w:rPr>
          <w:sz w:val="32"/>
        </w:rPr>
      </w:pPr>
    </w:p>
    <w:p w:rsidR="00885953" w:rsidRDefault="00E502B8">
      <w:r>
        <w:rPr>
          <w:rFonts w:cs="Arial"/>
          <w:color w:val="000000"/>
          <w:sz w:val="28"/>
          <w:szCs w:val="28"/>
        </w:rPr>
        <w:t xml:space="preserve">One of the questions contributed towards Cwricwlwm Cymreig (Welsh Government, 2013)- students were asked to calculate the number of Welsh speakers in Wales given that there are 3,000,000 people in Wales 19% of which speak </w:t>
      </w:r>
      <w:r>
        <w:rPr>
          <w:rFonts w:cs="Arial"/>
          <w:color w:val="000000"/>
          <w:sz w:val="28"/>
          <w:szCs w:val="28"/>
        </w:rPr>
        <w:t>Welsh. Though this mentions the Welsh language, I didn’t actually use any Welsh throughout the micro-teach, and so considerably more could be done to contribute towards Cwricwlwm Cymreig</w:t>
      </w:r>
      <w:r>
        <w:rPr>
          <w:rFonts w:cs="Arial"/>
          <w:color w:val="212121"/>
          <w:sz w:val="28"/>
          <w:szCs w:val="28"/>
          <w:shd w:val="clear" w:color="auto" w:fill="FFFFFF"/>
        </w:rPr>
        <w:t>. For example, the worksheets could have had “enw” (“name”), “blwyddyn</w:t>
      </w:r>
      <w:r>
        <w:rPr>
          <w:rFonts w:cs="Arial"/>
          <w:color w:val="212121"/>
          <w:sz w:val="28"/>
          <w:szCs w:val="28"/>
          <w:shd w:val="clear" w:color="auto" w:fill="FFFFFF"/>
        </w:rPr>
        <w:t xml:space="preserve">” (“year”) and so on. Commands such as “eisteddwch” (“sit”), “sefwch” (“stand”) and so on could also have </w:t>
      </w:r>
      <w:r>
        <w:rPr>
          <w:rFonts w:cs="Arial"/>
          <w:color w:val="212121"/>
          <w:sz w:val="28"/>
          <w:szCs w:val="28"/>
          <w:shd w:val="clear" w:color="auto" w:fill="FFFFFF"/>
        </w:rPr>
        <w:lastRenderedPageBreak/>
        <w:t xml:space="preserve">been used. In future, I will ensure I incorporate more of the Welsh language in the classroom where possible. Part of my reluctance to do this before </w:t>
      </w:r>
      <w:r>
        <w:rPr>
          <w:rFonts w:cs="Arial"/>
          <w:color w:val="212121"/>
          <w:sz w:val="28"/>
          <w:szCs w:val="28"/>
          <w:shd w:val="clear" w:color="auto" w:fill="FFFFFF"/>
        </w:rPr>
        <w:t>was due to my lack of confidence in the Welsh language, which has since grown, and also my idea that students would rather I used no Welsh at all than that I tried to speak Welsh but did so badly. However, I spoke to Welsh-speaking students in School A and</w:t>
      </w:r>
      <w:r>
        <w:rPr>
          <w:rFonts w:cs="Arial"/>
          <w:color w:val="212121"/>
          <w:sz w:val="28"/>
          <w:szCs w:val="28"/>
          <w:shd w:val="clear" w:color="auto" w:fill="FFFFFF"/>
        </w:rPr>
        <w:t xml:space="preserve"> they advised me that they appreciate the effort teachers make when speaking Welsh, even if the teachers don’t get the language completely right. </w:t>
      </w:r>
    </w:p>
    <w:p w:rsidR="00885953" w:rsidRDefault="00885953">
      <w:pPr>
        <w:rPr>
          <w:rFonts w:cs="Arial"/>
          <w:color w:val="212121"/>
          <w:sz w:val="28"/>
          <w:szCs w:val="28"/>
          <w:highlight w:val="white"/>
        </w:rPr>
      </w:pPr>
    </w:p>
    <w:p w:rsidR="00885953" w:rsidRDefault="00E502B8">
      <w:r>
        <w:rPr>
          <w:rFonts w:cs="Arial"/>
          <w:color w:val="212121"/>
          <w:sz w:val="28"/>
          <w:szCs w:val="28"/>
          <w:shd w:val="clear" w:color="auto" w:fill="FFFFFF"/>
        </w:rPr>
        <w:t>Questions 3:10 of the worksheet and 1:5 of the extension are numeracy questions, and this contributes to the</w:t>
      </w:r>
      <w:r>
        <w:rPr>
          <w:rFonts w:cs="Arial"/>
          <w:color w:val="212121"/>
          <w:sz w:val="28"/>
          <w:szCs w:val="28"/>
          <w:shd w:val="clear" w:color="auto" w:fill="FFFFFF"/>
        </w:rPr>
        <w:t xml:space="preserve"> Literacy and Numeracy framework (Welsh Government, 2016) as it develops students’ reading and comprehension skills and promotes problem solving skills. Though these examples incorporated the Literacy and Numeracy framework quite well, all of the questions</w:t>
      </w:r>
      <w:r>
        <w:rPr>
          <w:rFonts w:cs="Arial"/>
          <w:color w:val="212121"/>
          <w:sz w:val="28"/>
          <w:szCs w:val="28"/>
          <w:shd w:val="clear" w:color="auto" w:fill="FFFFFF"/>
        </w:rPr>
        <w:t xml:space="preserve"> in the worksheet were different variations of the same problem- finding “a%” of “b”- and so students didn’t actually need to thoroughly read the question in order to understand what to do, and this was made worse by the instrumental approach to the topic </w:t>
      </w:r>
      <w:r>
        <w:rPr>
          <w:rFonts w:cs="Arial"/>
          <w:color w:val="212121"/>
          <w:sz w:val="28"/>
          <w:szCs w:val="28"/>
          <w:shd w:val="clear" w:color="auto" w:fill="FFFFFF"/>
        </w:rPr>
        <w:t>and the commutative nature of “a%” of “b” being equivalent to “b%” of “a”. Therefore, an improvement to the worksheet in terms of the Literacy and Numeracy framework would be to incorporate one or two written questions which do not fit the pattern of findi</w:t>
      </w:r>
      <w:r>
        <w:rPr>
          <w:rFonts w:cs="Arial"/>
          <w:color w:val="212121"/>
          <w:sz w:val="28"/>
          <w:szCs w:val="28"/>
          <w:shd w:val="clear" w:color="auto" w:fill="FFFFFF"/>
        </w:rPr>
        <w:t>ng “a%” of “b”- for example, requiring students to turn a test score of “15 out of 20” into a percentage- as this would necessitate that the students thoroughly read and comprehend each question rather than merely skim-reading for the required numbers. Tel</w:t>
      </w:r>
      <w:r>
        <w:rPr>
          <w:rFonts w:cs="Arial"/>
          <w:color w:val="212121"/>
          <w:sz w:val="28"/>
          <w:szCs w:val="28"/>
          <w:shd w:val="clear" w:color="auto" w:fill="FFFFFF"/>
        </w:rPr>
        <w:t>ling the students to write down given examples meets the oracy aspect of the Literacy &amp; Numeracy framework as this allows them to show the ability to “</w:t>
      </w:r>
      <w:r>
        <w:rPr>
          <w:sz w:val="28"/>
          <w:szCs w:val="28"/>
        </w:rPr>
        <w:t xml:space="preserve">listen and respond appropriately to instruction” </w:t>
      </w:r>
      <w:r>
        <w:rPr>
          <w:rFonts w:cs="Arial"/>
          <w:color w:val="212121"/>
          <w:sz w:val="28"/>
          <w:szCs w:val="28"/>
          <w:shd w:val="clear" w:color="auto" w:fill="FFFFFF"/>
        </w:rPr>
        <w:t>(Welsh Government, 2016)</w:t>
      </w:r>
      <w:r>
        <w:rPr>
          <w:sz w:val="28"/>
          <w:szCs w:val="28"/>
        </w:rPr>
        <w:t xml:space="preserve">. This skill was also developed </w:t>
      </w:r>
      <w:r>
        <w:rPr>
          <w:sz w:val="28"/>
          <w:szCs w:val="28"/>
        </w:rPr>
        <w:t>by having students co-operate in a socio-constructivist (Largey and Timmins, 2006) way to verify that “a%” of “b” is equal to “b%” of “a” for their choices of “a” and “b” as they had to comprehend verbal instruction and then perform the given task when req</w:t>
      </w:r>
      <w:r>
        <w:rPr>
          <w:sz w:val="28"/>
          <w:szCs w:val="28"/>
        </w:rPr>
        <w:t xml:space="preserve">uired. All in all, I felt that the incorporation of the Literacy &amp; Numeracy framework in the micro-teach was done well, and though I would make the change incorporating different kinds of numeracy question, there is little more progress to be made in this </w:t>
      </w:r>
      <w:r>
        <w:rPr>
          <w:sz w:val="28"/>
          <w:szCs w:val="28"/>
        </w:rPr>
        <w:t>area.</w:t>
      </w:r>
      <w:r>
        <w:rPr>
          <w:rFonts w:cs="Arial"/>
          <w:color w:val="212121"/>
          <w:sz w:val="28"/>
          <w:szCs w:val="28"/>
          <w:shd w:val="clear" w:color="auto" w:fill="FFFFFF"/>
        </w:rPr>
        <w:br/>
      </w:r>
      <w:r>
        <w:rPr>
          <w:rFonts w:cs="Arial"/>
          <w:color w:val="212121"/>
          <w:sz w:val="28"/>
          <w:szCs w:val="28"/>
          <w:shd w:val="clear" w:color="auto" w:fill="FFFFFF"/>
        </w:rPr>
        <w:br/>
        <w:t xml:space="preserve">Digital Competence Framework (Welsh Government, 2018, ii) is difficult to </w:t>
      </w:r>
      <w:r>
        <w:rPr>
          <w:rFonts w:cs="Arial"/>
          <w:color w:val="212121"/>
          <w:sz w:val="28"/>
          <w:szCs w:val="28"/>
          <w:shd w:val="clear" w:color="auto" w:fill="FFFFFF"/>
        </w:rPr>
        <w:lastRenderedPageBreak/>
        <w:t>incorporate in mathematics, and “finding a percentage of an amount” does not clearly lend itself to using information technology. However, a trivial level of digital competenc</w:t>
      </w:r>
      <w:r>
        <w:rPr>
          <w:rFonts w:cs="Arial"/>
          <w:color w:val="212121"/>
          <w:sz w:val="28"/>
          <w:szCs w:val="28"/>
          <w:shd w:val="clear" w:color="auto" w:fill="FFFFFF"/>
        </w:rPr>
        <w:t>e was used through putting up worksheets on the interactive whiteboard. The digital competence framework could potentially have been taken further using the site “Kahoot” (Kahoot.it, 2013) or similar site and having students answer questions on their phone</w:t>
      </w:r>
      <w:r>
        <w:rPr>
          <w:rFonts w:cs="Arial"/>
          <w:color w:val="212121"/>
          <w:sz w:val="28"/>
          <w:szCs w:val="28"/>
          <w:shd w:val="clear" w:color="auto" w:fill="FFFFFF"/>
        </w:rPr>
        <w:t xml:space="preserve">s. However, this is against most schools’ policies- for example, School A’s policy requires that students’ phones must be turned off and remain in their bag while the student is on school premises. Another problem with using Kahoot or similar is that some </w:t>
      </w:r>
      <w:r>
        <w:rPr>
          <w:rFonts w:cs="Arial"/>
          <w:color w:val="212121"/>
          <w:sz w:val="28"/>
          <w:szCs w:val="28"/>
          <w:shd w:val="clear" w:color="auto" w:fill="FFFFFF"/>
        </w:rPr>
        <w:t>students may not have brought their phone, may be unable to connect to the internet, or a similar technical problem.  Thus, though using Kahoot would have contributed towards the digital competence framework, it seemed the logistical trade off was not wort</w:t>
      </w:r>
      <w:r>
        <w:rPr>
          <w:rFonts w:cs="Arial"/>
          <w:color w:val="212121"/>
          <w:sz w:val="28"/>
          <w:szCs w:val="28"/>
          <w:shd w:val="clear" w:color="auto" w:fill="FFFFFF"/>
        </w:rPr>
        <w:t>h it.  Another way that the digital competence framework could have been used is through “MyMaths” (mymaths.co.uk, 2018) or a similar site- students could have been set a homework on “finding a percentage of an amount” using this site, and so gained famili</w:t>
      </w:r>
      <w:r>
        <w:rPr>
          <w:rFonts w:cs="Arial"/>
          <w:color w:val="212121"/>
          <w:sz w:val="28"/>
          <w:szCs w:val="28"/>
          <w:shd w:val="clear" w:color="auto" w:fill="FFFFFF"/>
        </w:rPr>
        <w:t>arity with information technology. This, too, has a number of trade-offs; as an advantage, it’s ticking the metaphorical box of incorporating the digital competence framework, and also makes marking the work quick and straightforward. Conversely, it does n</w:t>
      </w:r>
      <w:r>
        <w:rPr>
          <w:rFonts w:cs="Arial"/>
          <w:color w:val="212121"/>
          <w:sz w:val="28"/>
          <w:szCs w:val="28"/>
          <w:shd w:val="clear" w:color="auto" w:fill="FFFFFF"/>
        </w:rPr>
        <w:t>ot provide students with feedback for incorrect answers and so struggling students get less scaffolding than they would were a homework set and marked in paper, and so this potentially hinders the differentiation in this topic. All things considered, I fee</w:t>
      </w:r>
      <w:r>
        <w:rPr>
          <w:rFonts w:cs="Arial"/>
          <w:color w:val="212121"/>
          <w:sz w:val="28"/>
          <w:szCs w:val="28"/>
          <w:shd w:val="clear" w:color="auto" w:fill="FFFFFF"/>
        </w:rPr>
        <w:t>l it would be sensible for me to attempt to use “MyMaths” in future lessons, especially with a group like year 8 set 2, but I would be very cautious about using it for students of lower attainment or who tend to behave poorly, as the lack of supervision an</w:t>
      </w:r>
      <w:r>
        <w:rPr>
          <w:rFonts w:cs="Arial"/>
          <w:color w:val="212121"/>
          <w:sz w:val="28"/>
          <w:szCs w:val="28"/>
          <w:shd w:val="clear" w:color="auto" w:fill="FFFFFF"/>
        </w:rPr>
        <w:t>d scaffolding could have greater negative effects on those students.</w:t>
      </w:r>
    </w:p>
    <w:p w:rsidR="00885953" w:rsidRDefault="00885953">
      <w:pPr>
        <w:rPr>
          <w:rFonts w:cs="Arial"/>
          <w:color w:val="212121"/>
          <w:sz w:val="28"/>
          <w:szCs w:val="28"/>
          <w:highlight w:val="white"/>
        </w:rPr>
      </w:pPr>
    </w:p>
    <w:p w:rsidR="00885953" w:rsidRDefault="00E502B8">
      <w:r>
        <w:rPr>
          <w:rFonts w:cs="Arial"/>
          <w:color w:val="212121"/>
          <w:sz w:val="28"/>
          <w:szCs w:val="28"/>
          <w:shd w:val="clear" w:color="auto" w:fill="FFFFFF"/>
        </w:rPr>
        <w:t>Differentiation was done mostly by outcome and by the level of scaffolding provided. Though this is a solid start to differentiation, it is crucial that extension work is available for h</w:t>
      </w:r>
      <w:r>
        <w:rPr>
          <w:rFonts w:cs="Arial"/>
          <w:color w:val="212121"/>
          <w:sz w:val="28"/>
          <w:szCs w:val="28"/>
          <w:shd w:val="clear" w:color="auto" w:fill="FFFFFF"/>
        </w:rPr>
        <w:t>igher-attaining students who finish the standard worksheet before their peers do. Though an extension activity was prepared, I failed to print this in advance of the session due to a technical issue, and so it is vital that in future I ensure I have printe</w:t>
      </w:r>
      <w:r>
        <w:rPr>
          <w:rFonts w:cs="Arial"/>
          <w:color w:val="212121"/>
          <w:sz w:val="28"/>
          <w:szCs w:val="28"/>
          <w:shd w:val="clear" w:color="auto" w:fill="FFFFFF"/>
        </w:rPr>
        <w:t>d extension work prepared for more able and talented (MAT) students, so that differentiation can be by content as well as by outcome and scaffolding.</w:t>
      </w:r>
    </w:p>
    <w:p w:rsidR="00885953" w:rsidRDefault="00885953">
      <w:pPr>
        <w:rPr>
          <w:rFonts w:cs="Arial"/>
          <w:color w:val="212121"/>
          <w:sz w:val="28"/>
          <w:szCs w:val="28"/>
          <w:highlight w:val="white"/>
        </w:rPr>
      </w:pPr>
    </w:p>
    <w:p w:rsidR="00885953" w:rsidRDefault="00E502B8">
      <w:r>
        <w:rPr>
          <w:rFonts w:cs="Arial"/>
          <w:color w:val="212121"/>
          <w:sz w:val="28"/>
          <w:szCs w:val="28"/>
          <w:shd w:val="clear" w:color="auto" w:fill="FFFFFF"/>
        </w:rPr>
        <w:t>In summary, various improvements can be made to the scheme of work in light of the corresponding scheme o</w:t>
      </w:r>
      <w:r>
        <w:rPr>
          <w:rFonts w:cs="Arial"/>
          <w:color w:val="212121"/>
          <w:sz w:val="28"/>
          <w:szCs w:val="28"/>
          <w:shd w:val="clear" w:color="auto" w:fill="FFFFFF"/>
        </w:rPr>
        <w:t xml:space="preserve">f work used by School A, in particular the order in which topics were taught and the number of lessons spent on them.   </w:t>
      </w:r>
      <w:r>
        <w:rPr>
          <w:rFonts w:cs="Arial"/>
          <w:color w:val="000000"/>
          <w:sz w:val="28"/>
          <w:szCs w:val="28"/>
          <w:highlight w:val="white"/>
        </w:rPr>
        <w:t xml:space="preserve">Cwricwlwm Cymreig was only incidentally incorporated, and so considerable improvement is needed in this area- the use (rather than mere </w:t>
      </w:r>
      <w:r>
        <w:rPr>
          <w:rFonts w:cs="Arial"/>
          <w:color w:val="000000"/>
          <w:sz w:val="28"/>
          <w:szCs w:val="28"/>
          <w:highlight w:val="white"/>
        </w:rPr>
        <w:t>mention) of the Welsh language in the classroom is vital. The Numeracy &amp; Literacy framework was done well, but improvements have been made in order to prevent students from merely scanning the questions for the relevant numbers and then using an instrument</w:t>
      </w:r>
      <w:r>
        <w:rPr>
          <w:rFonts w:cs="Arial"/>
          <w:color w:val="000000"/>
          <w:sz w:val="28"/>
          <w:szCs w:val="28"/>
          <w:highlight w:val="white"/>
        </w:rPr>
        <w:t>al method to solve them. Digital competence can be improved upon, but all of the ways in which one could incorporate information technology in the classroom come with corresponding trade-offs and logistical issues, and so discretion is needed here. Differe</w:t>
      </w:r>
      <w:r>
        <w:rPr>
          <w:rFonts w:cs="Arial"/>
          <w:color w:val="000000"/>
          <w:sz w:val="28"/>
          <w:szCs w:val="28"/>
          <w:highlight w:val="white"/>
        </w:rPr>
        <w:t>ntiation by outcome and scaffolding are a decent start, but ensuring printed extension work is available for MAT students will also allow differentiation by content, which will further improve in this area.</w:t>
      </w:r>
    </w:p>
    <w:p w:rsidR="00885953" w:rsidRDefault="00E502B8">
      <w:r>
        <w:rPr>
          <w:b/>
          <w:sz w:val="32"/>
          <w:u w:val="single"/>
        </w:rPr>
        <w:t>Part bii</w:t>
      </w:r>
    </w:p>
    <w:p w:rsidR="00885953" w:rsidRDefault="00885953">
      <w:pPr>
        <w:rPr>
          <w:sz w:val="28"/>
          <w:szCs w:val="28"/>
        </w:rPr>
      </w:pPr>
    </w:p>
    <w:p w:rsidR="00885953" w:rsidRDefault="00E502B8">
      <w:r>
        <w:rPr>
          <w:sz w:val="28"/>
          <w:szCs w:val="28"/>
        </w:rPr>
        <w:t>One of the most noticeable flaws in the</w:t>
      </w:r>
      <w:r>
        <w:rPr>
          <w:sz w:val="28"/>
          <w:szCs w:val="28"/>
        </w:rPr>
        <w:t xml:space="preserve"> micro-teach lesson is the instrumental approach to finding a percentage of an amount- students were shown that to find “a%” of “b”, you multiply “a” by “b” and divide by 100. Though this is an effective way of finding a percentage of an amount, it is a co</w:t>
      </w:r>
      <w:r>
        <w:rPr>
          <w:sz w:val="28"/>
          <w:szCs w:val="28"/>
        </w:rPr>
        <w:t>nsiderably more instrumental approach than most schools prefer to use. My placement school, “School A”, would prefer that students find easier percentages and add them. This is demonstrated as follows:</w:t>
      </w:r>
    </w:p>
    <w:p w:rsidR="00885953" w:rsidRDefault="00E502B8">
      <w:pPr>
        <w:rPr>
          <w:i/>
          <w:iCs/>
        </w:rPr>
      </w:pPr>
      <w:r>
        <w:rPr>
          <w:i/>
          <w:iCs/>
          <w:sz w:val="28"/>
          <w:szCs w:val="28"/>
        </w:rPr>
        <w:t>35% of 200</w:t>
      </w:r>
    </w:p>
    <w:p w:rsidR="00885953" w:rsidRDefault="00E502B8">
      <w:pPr>
        <w:rPr>
          <w:i/>
          <w:iCs/>
        </w:rPr>
      </w:pPr>
      <w:r>
        <w:rPr>
          <w:i/>
          <w:iCs/>
          <w:sz w:val="28"/>
          <w:szCs w:val="28"/>
        </w:rPr>
        <w:t>step 1: find 10% by dividing 100% by 10: 20</w:t>
      </w:r>
      <w:r>
        <w:rPr>
          <w:i/>
          <w:iCs/>
          <w:sz w:val="28"/>
          <w:szCs w:val="28"/>
        </w:rPr>
        <w:t>0/10 = 20</w:t>
      </w:r>
    </w:p>
    <w:p w:rsidR="00885953" w:rsidRDefault="00E502B8">
      <w:pPr>
        <w:rPr>
          <w:i/>
          <w:iCs/>
        </w:rPr>
      </w:pPr>
      <w:r>
        <w:rPr>
          <w:i/>
          <w:iCs/>
          <w:sz w:val="28"/>
          <w:szCs w:val="28"/>
        </w:rPr>
        <w:t>step 2: find 5% by dividing 10% by 2: 20/2 = 10</w:t>
      </w:r>
    </w:p>
    <w:p w:rsidR="00885953" w:rsidRDefault="00E502B8">
      <w:pPr>
        <w:rPr>
          <w:i/>
          <w:iCs/>
        </w:rPr>
      </w:pPr>
      <w:r>
        <w:rPr>
          <w:i/>
          <w:iCs/>
          <w:sz w:val="28"/>
          <w:szCs w:val="28"/>
        </w:rPr>
        <w:t>step 3: find 30% by multiplying 10% by 3: 20 x 3 = 60</w:t>
      </w:r>
    </w:p>
    <w:p w:rsidR="00885953" w:rsidRDefault="00E502B8">
      <w:pPr>
        <w:rPr>
          <w:i/>
          <w:iCs/>
        </w:rPr>
      </w:pPr>
      <w:r>
        <w:rPr>
          <w:i/>
          <w:iCs/>
          <w:sz w:val="28"/>
          <w:szCs w:val="28"/>
        </w:rPr>
        <w:t>step 4: find 35% by adding 30% and 5%: 60 + 10 = 70.</w:t>
      </w:r>
    </w:p>
    <w:p w:rsidR="00885953" w:rsidRDefault="00E502B8">
      <w:r>
        <w:rPr>
          <w:sz w:val="28"/>
          <w:szCs w:val="28"/>
        </w:rPr>
        <w:t xml:space="preserve">If I were to teach an equivalent lesson again, I would place more of an emphasis on School </w:t>
      </w:r>
      <w:r>
        <w:rPr>
          <w:sz w:val="28"/>
          <w:szCs w:val="28"/>
        </w:rPr>
        <w:t xml:space="preserve">A’s method- finding easier percentages and adding them- rather than having students immediately resort to multiplying and then </w:t>
      </w:r>
      <w:r>
        <w:rPr>
          <w:sz w:val="28"/>
          <w:szCs w:val="28"/>
        </w:rPr>
        <w:lastRenderedPageBreak/>
        <w:t>dividing by 100. This would impact the teaching and learning process as it is a more nuanced approach that is potentially more ac</w:t>
      </w:r>
      <w:r>
        <w:rPr>
          <w:sz w:val="28"/>
          <w:szCs w:val="28"/>
        </w:rPr>
        <w:t>cessible to students, rather than a seemingly arbitrary approach which, despite working, provides a less relational understanding of the topic. School A’s more accessible and relational approach to finding a percentage of an amount impacts students’ behavi</w:t>
      </w:r>
      <w:r>
        <w:rPr>
          <w:sz w:val="28"/>
          <w:szCs w:val="28"/>
        </w:rPr>
        <w:t xml:space="preserve">our, as it keeps them engaged with the subject by making it more easily attainable and understandable. Though the micro-teach lesson did not have any considerable classroom management issues, such issues are likely to arrive if the same lesson were taught </w:t>
      </w:r>
      <w:r>
        <w:rPr>
          <w:sz w:val="28"/>
          <w:szCs w:val="28"/>
        </w:rPr>
        <w:t>to an authentic group of year 8 students as they would struggle and become disinterested, and therefore disengage and begin to misbehave. Therefore, switching to School A’s approach helps with QTS standard S2.7 (Welsh Government, 2018) as it helps ‘to prom</w:t>
      </w:r>
      <w:r>
        <w:rPr>
          <w:sz w:val="28"/>
          <w:szCs w:val="28"/>
        </w:rPr>
        <w:t>ote good behaviour and establish a purposeful learning environment’.</w:t>
      </w:r>
    </w:p>
    <w:p w:rsidR="00885953" w:rsidRDefault="00E502B8">
      <w:r>
        <w:rPr>
          <w:sz w:val="28"/>
          <w:szCs w:val="28"/>
        </w:rPr>
        <w:t>Though few, if any, behaviour management issues were present, I had prepared an authoritarian behaviourist (Marshall &amp; Scott, 2009) approach to behaviour management- along the lines of ‘I</w:t>
      </w:r>
      <w:r>
        <w:rPr>
          <w:sz w:val="28"/>
          <w:szCs w:val="28"/>
        </w:rPr>
        <w:t xml:space="preserve"> am the teacher, and you will do what I say because I am in charge’- but this is widely considered an outdated practise. During bridging week, I visited “School B” and they provided information about restorative practise- asking students questions such as:</w:t>
      </w:r>
      <w:r>
        <w:rPr>
          <w:sz w:val="28"/>
          <w:szCs w:val="28"/>
        </w:rPr>
        <w:t xml:space="preserve"> -</w:t>
      </w:r>
    </w:p>
    <w:p w:rsidR="00885953" w:rsidRDefault="00E502B8">
      <w:r>
        <w:rPr>
          <w:sz w:val="28"/>
          <w:szCs w:val="28"/>
        </w:rPr>
        <w:t>- “What happened?”</w:t>
      </w:r>
    </w:p>
    <w:p w:rsidR="00885953" w:rsidRDefault="00E502B8">
      <w:r>
        <w:rPr>
          <w:sz w:val="28"/>
          <w:szCs w:val="28"/>
        </w:rPr>
        <w:t>- “What were you thinking about at the time?”</w:t>
      </w:r>
    </w:p>
    <w:p w:rsidR="00885953" w:rsidRDefault="00E502B8">
      <w:r>
        <w:rPr>
          <w:sz w:val="28"/>
          <w:szCs w:val="28"/>
        </w:rPr>
        <w:t>- “What have you thought about since it happened?”</w:t>
      </w:r>
    </w:p>
    <w:p w:rsidR="00885953" w:rsidRDefault="00E502B8">
      <w:r>
        <w:rPr>
          <w:sz w:val="28"/>
          <w:szCs w:val="28"/>
        </w:rPr>
        <w:t>- “Who was affected by what happened? How were they affected?”</w:t>
      </w:r>
    </w:p>
    <w:p w:rsidR="00885953" w:rsidRDefault="00E502B8">
      <w:r>
        <w:rPr>
          <w:sz w:val="28"/>
          <w:szCs w:val="28"/>
        </w:rPr>
        <w:t>- “What do you think needs to happen in order to sort this out?”</w:t>
      </w:r>
      <w:r>
        <w:rPr>
          <w:sz w:val="28"/>
          <w:szCs w:val="28"/>
        </w:rPr>
        <w:br/>
      </w:r>
    </w:p>
    <w:p w:rsidR="00885953" w:rsidRDefault="00E502B8">
      <w:r>
        <w:rPr>
          <w:sz w:val="28"/>
          <w:szCs w:val="28"/>
        </w:rPr>
        <w:t>and so o</w:t>
      </w:r>
      <w:r>
        <w:rPr>
          <w:sz w:val="28"/>
          <w:szCs w:val="28"/>
        </w:rPr>
        <w:t xml:space="preserve">n. I observed restorative practise in action at School A following a lesson in which there was conflict between two year 7 students; the class teacher kept both students behind after the lesson and asked them similar questions, and both students reflected </w:t>
      </w:r>
      <w:r>
        <w:rPr>
          <w:sz w:val="28"/>
          <w:szCs w:val="28"/>
        </w:rPr>
        <w:t>positively on their behaviour. Therefore, if I were to teach a similar lesson to the micro-teach again, I would be sure to use restorative practise to deal with considerably disruptive behaviour, as this has been shown to work far more positively- students</w:t>
      </w:r>
      <w:r>
        <w:rPr>
          <w:sz w:val="28"/>
          <w:szCs w:val="28"/>
        </w:rPr>
        <w:t xml:space="preserve"> who were dealt with using restorative practise seemed to behave much better in the subsequent lessons, while students dealt with in my original approach are </w:t>
      </w:r>
      <w:r>
        <w:rPr>
          <w:sz w:val="28"/>
          <w:szCs w:val="28"/>
        </w:rPr>
        <w:lastRenderedPageBreak/>
        <w:t>more likely to become resentful towards their teacher and therefore to misbehave again in future.</w:t>
      </w:r>
    </w:p>
    <w:p w:rsidR="00885953" w:rsidRDefault="00885953">
      <w:pPr>
        <w:rPr>
          <w:sz w:val="28"/>
          <w:szCs w:val="28"/>
        </w:rPr>
      </w:pPr>
    </w:p>
    <w:p w:rsidR="00885953" w:rsidRDefault="00E502B8">
      <w:r>
        <w:rPr>
          <w:sz w:val="28"/>
          <w:szCs w:val="28"/>
        </w:rPr>
        <w:t>Also in bridging week, “School C” explained their class management policy, called PIPRIP- “praise in public, reprimand in private”. School A also used a similar approach, as misbehaving students were reprimanded discreetly while students who work hard and</w:t>
      </w:r>
      <w:r>
        <w:rPr>
          <w:sz w:val="28"/>
          <w:szCs w:val="28"/>
        </w:rPr>
        <w:t xml:space="preserve"> contribute were praised in front of others. This approach uses operant, also known as Type-R, conditioning (Skinner, 1966) where a neutral action (participation in lesson) is responded to with a positive stimulus (praise) which encourages that action in f</w:t>
      </w:r>
      <w:r>
        <w:rPr>
          <w:sz w:val="28"/>
          <w:szCs w:val="28"/>
        </w:rPr>
        <w:t xml:space="preserve">uture. “Reprimand in private” also prevents operant conditioning from working against the teacher- if a teacher were to respond to bad behaviour by reprimanding the pupil in front of their peers, the positive stimulus of attention from the teacher and the </w:t>
      </w:r>
      <w:r>
        <w:rPr>
          <w:sz w:val="28"/>
          <w:szCs w:val="28"/>
        </w:rPr>
        <w:t xml:space="preserve">student’s peers would reinforce the bad behaviour and encourage such behaviour in future. </w:t>
      </w:r>
    </w:p>
    <w:p w:rsidR="00885953" w:rsidRDefault="00E502B8">
      <w:r>
        <w:rPr>
          <w:sz w:val="28"/>
          <w:szCs w:val="28"/>
        </w:rPr>
        <w:t>Though PIPRIP is still a behaviourist approach, it is a much more theoretically-sound and evidence-backed method than simply telling students to obey one’s authority</w:t>
      </w:r>
      <w:r>
        <w:rPr>
          <w:sz w:val="28"/>
          <w:szCs w:val="28"/>
        </w:rPr>
        <w:t>. Thus, if I were to teach a similar lesson again, I would ensure that I use PIPRIP to deal with behaviour management issues and to promote good behaviour.</w:t>
      </w:r>
    </w:p>
    <w:p w:rsidR="00885953" w:rsidRDefault="00E502B8">
      <w:r>
        <w:rPr>
          <w:sz w:val="28"/>
          <w:szCs w:val="28"/>
        </w:rPr>
        <w:t>The nature of the micro-teach meant I was not provided with information on any additional learning n</w:t>
      </w:r>
      <w:r>
        <w:rPr>
          <w:sz w:val="28"/>
          <w:szCs w:val="28"/>
        </w:rPr>
        <w:t xml:space="preserve">eeds (ALNs) </w:t>
      </w:r>
      <w:r>
        <w:rPr>
          <w:rFonts w:cs="Arial"/>
          <w:color w:val="000000"/>
          <w:sz w:val="28"/>
          <w:szCs w:val="28"/>
          <w:shd w:val="clear" w:color="auto" w:fill="FFFFFF"/>
        </w:rPr>
        <w:t xml:space="preserve">(McLachlan and Davis, 2013) </w:t>
      </w:r>
      <w:r>
        <w:rPr>
          <w:sz w:val="28"/>
          <w:szCs w:val="28"/>
        </w:rPr>
        <w:t>that the class had aside from anything they had chosen to share in previous sessions. However, if teaching a similar lesson to an authentic class of year 8 students, it would be crucial that I ensure I have this info</w:t>
      </w:r>
      <w:r>
        <w:rPr>
          <w:sz w:val="28"/>
          <w:szCs w:val="28"/>
        </w:rPr>
        <w:t>rmation in advance of the session, that I meet the students’ individual learning plans (ILPs) and that I work with those students and any of their support staff to produce strategies to help them best benefit from the class- this is crucial to meet QTS sta</w:t>
      </w:r>
      <w:r>
        <w:rPr>
          <w:sz w:val="28"/>
          <w:szCs w:val="28"/>
        </w:rPr>
        <w:t xml:space="preserve">ndard S3.1.4 </w:t>
      </w:r>
      <w:r>
        <w:rPr>
          <w:rFonts w:cs="Bliss-Light"/>
          <w:color w:val="000000"/>
          <w:sz w:val="28"/>
          <w:szCs w:val="28"/>
        </w:rPr>
        <w:t xml:space="preserve">(Welsh Government 2018) </w:t>
      </w:r>
      <w:r>
        <w:rPr>
          <w:sz w:val="28"/>
          <w:szCs w:val="28"/>
        </w:rPr>
        <w:t>which requires me to “</w:t>
      </w:r>
      <w:r>
        <w:rPr>
          <w:color w:val="000000"/>
          <w:sz w:val="28"/>
          <w:szCs w:val="28"/>
        </w:rPr>
        <w:t xml:space="preserve">plan for the deployment of additional adults who support learning in </w:t>
      </w:r>
      <w:r>
        <w:rPr>
          <w:rFonts w:cs="Bliss-Light"/>
          <w:color w:val="1A171B"/>
          <w:sz w:val="28"/>
          <w:szCs w:val="28"/>
        </w:rPr>
        <w:t>children and young people</w:t>
      </w:r>
      <w:r>
        <w:rPr>
          <w:color w:val="000000"/>
          <w:sz w:val="28"/>
          <w:szCs w:val="28"/>
        </w:rPr>
        <w:t>.</w:t>
      </w:r>
      <w:r>
        <w:rPr>
          <w:rFonts w:cs="Bliss-Light"/>
          <w:color w:val="000000"/>
          <w:sz w:val="28"/>
          <w:szCs w:val="28"/>
        </w:rPr>
        <w:t xml:space="preserve">” </w:t>
      </w:r>
    </w:p>
    <w:p w:rsidR="00885953" w:rsidRDefault="00E502B8">
      <w:r>
        <w:rPr>
          <w:rFonts w:cs="Arial"/>
          <w:color w:val="000000"/>
          <w:sz w:val="28"/>
          <w:szCs w:val="28"/>
        </w:rPr>
        <w:t>Cwricwlwm Cymreig (Welsh Government, 2013) was incorporated in the lesson through the use of a ques</w:t>
      </w:r>
      <w:r>
        <w:rPr>
          <w:rFonts w:cs="Arial"/>
          <w:color w:val="000000"/>
          <w:sz w:val="28"/>
          <w:szCs w:val="28"/>
        </w:rPr>
        <w:t xml:space="preserve">tion in which students were asked to calculate the number of Welsh speakers in Wales given that there are 3,000,000 people in Wales 19% of which speak Welsh. This helps meet QTS requirement S3.1.3 </w:t>
      </w:r>
      <w:r>
        <w:rPr>
          <w:rFonts w:cs="Bliss-Light"/>
          <w:color w:val="000000"/>
          <w:sz w:val="28"/>
          <w:szCs w:val="28"/>
        </w:rPr>
        <w:t>(Welsh Government, 2018) requiring teachers to engage in ‘</w:t>
      </w:r>
      <w:r>
        <w:rPr>
          <w:color w:val="000000"/>
          <w:sz w:val="28"/>
          <w:szCs w:val="28"/>
        </w:rPr>
        <w:t>t</w:t>
      </w:r>
      <w:r>
        <w:rPr>
          <w:color w:val="000000"/>
          <w:sz w:val="28"/>
          <w:szCs w:val="28"/>
        </w:rPr>
        <w:t xml:space="preserve">aking account of </w:t>
      </w:r>
      <w:r>
        <w:rPr>
          <w:color w:val="000000"/>
          <w:sz w:val="28"/>
          <w:szCs w:val="28"/>
        </w:rPr>
        <w:lastRenderedPageBreak/>
        <w:t xml:space="preserve">learners’ interests and their language and cultural backgrounds’. </w:t>
      </w:r>
      <w:r>
        <w:rPr>
          <w:rFonts w:cs="Arial"/>
          <w:color w:val="000000"/>
          <w:sz w:val="28"/>
          <w:szCs w:val="28"/>
        </w:rPr>
        <w:t>Cwricwlwm Cymreig</w:t>
      </w:r>
      <w:r>
        <w:rPr>
          <w:rFonts w:cs="Bliss-Light"/>
          <w:color w:val="000000"/>
          <w:sz w:val="28"/>
          <w:szCs w:val="28"/>
        </w:rPr>
        <w:t xml:space="preserve"> could have been developed further by actually using the Welsh language as teachers in Schools A, B, &amp; C do by using phrases such as:- </w:t>
      </w:r>
      <w:r>
        <w:rPr>
          <w:rFonts w:cs="Bliss-Light"/>
          <w:color w:val="000000"/>
          <w:sz w:val="28"/>
          <w:szCs w:val="28"/>
        </w:rPr>
        <w:br/>
        <w:t>- “Nod y wers” (“Lea</w:t>
      </w:r>
      <w:r>
        <w:rPr>
          <w:rFonts w:cs="Bliss-Light"/>
          <w:color w:val="000000"/>
          <w:sz w:val="28"/>
          <w:szCs w:val="28"/>
        </w:rPr>
        <w:t>rning objective”)</w:t>
      </w:r>
    </w:p>
    <w:p w:rsidR="00885953" w:rsidRDefault="00E502B8">
      <w:r>
        <w:rPr>
          <w:rFonts w:cs="Bliss-Light"/>
          <w:color w:val="000000"/>
          <w:sz w:val="28"/>
          <w:szCs w:val="28"/>
        </w:rPr>
        <w:t>- “Da iawn” (“Good”/“Well done”)</w:t>
      </w:r>
    </w:p>
    <w:p w:rsidR="00885953" w:rsidRDefault="00E502B8">
      <w:r>
        <w:rPr>
          <w:rFonts w:cs="Arial"/>
          <w:color w:val="212121"/>
          <w:sz w:val="28"/>
          <w:szCs w:val="28"/>
          <w:shd w:val="clear" w:color="auto" w:fill="FFFFFF"/>
        </w:rPr>
        <w:t>- “tri, dau, un, tawel” (“Three, two, one, quiet”</w:t>
      </w:r>
      <w:r w:rsidR="009367B6">
        <w:rPr>
          <w:rFonts w:cs="Arial"/>
          <w:color w:val="212121"/>
          <w:sz w:val="28"/>
          <w:szCs w:val="28"/>
          <w:shd w:val="clear" w:color="auto" w:fill="FFFFFF"/>
        </w:rPr>
        <w:t>)</w:t>
      </w:r>
    </w:p>
    <w:p w:rsidR="00885953" w:rsidRDefault="00E502B8">
      <w:r>
        <w:rPr>
          <w:rFonts w:cs="Arial"/>
          <w:color w:val="212121"/>
          <w:sz w:val="28"/>
          <w:szCs w:val="28"/>
          <w:shd w:val="clear" w:color="auto" w:fill="FFFFFF"/>
        </w:rPr>
        <w:t xml:space="preserve">and writing the date in Welsh. This would promote the use of the Welsh language and encourage students who speak Welsh to feel proud of their heritage and </w:t>
      </w:r>
      <w:r>
        <w:rPr>
          <w:rFonts w:cs="Arial"/>
          <w:color w:val="212121"/>
          <w:sz w:val="28"/>
          <w:szCs w:val="28"/>
          <w:shd w:val="clear" w:color="auto" w:fill="FFFFFF"/>
        </w:rPr>
        <w:t>make them feel valued in the class. This in turn contributes to their learning as it means they are more likely to have a positive attitude and to therefore engage with classes more.</w:t>
      </w:r>
    </w:p>
    <w:p w:rsidR="00885953" w:rsidRDefault="00885953">
      <w:pPr>
        <w:rPr>
          <w:rFonts w:cs="Arial"/>
          <w:color w:val="212121"/>
          <w:sz w:val="28"/>
          <w:szCs w:val="28"/>
          <w:highlight w:val="white"/>
        </w:rPr>
      </w:pPr>
    </w:p>
    <w:p w:rsidR="00885953" w:rsidRDefault="00E502B8">
      <w:r>
        <w:rPr>
          <w:rFonts w:cs="Arial"/>
          <w:color w:val="212121"/>
          <w:sz w:val="28"/>
          <w:szCs w:val="28"/>
          <w:shd w:val="clear" w:color="auto" w:fill="FFFFFF"/>
        </w:rPr>
        <w:t xml:space="preserve">At one point during the lesson, I was circulating and asked two of the </w:t>
      </w:r>
      <w:r w:rsidR="00C62EB3">
        <w:rPr>
          <w:rFonts w:cs="Arial"/>
          <w:color w:val="212121"/>
          <w:sz w:val="28"/>
          <w:szCs w:val="28"/>
          <w:shd w:val="clear" w:color="auto" w:fill="FFFFFF"/>
        </w:rPr>
        <w:t>students “</w:t>
      </w:r>
      <w:r>
        <w:rPr>
          <w:rFonts w:cs="Arial"/>
          <w:color w:val="212121"/>
          <w:sz w:val="28"/>
          <w:szCs w:val="28"/>
          <w:shd w:val="clear" w:color="auto" w:fill="FFFFFF"/>
        </w:rPr>
        <w:t>Are you okay? Are you two stuck? Almost everyone else has finished- what have you got so far?”  This was an attempt to meet QTS S3.2.2 (Welsh Government, 2018) ‘</w:t>
      </w:r>
      <w:r>
        <w:rPr>
          <w:color w:val="000000"/>
          <w:sz w:val="28"/>
          <w:szCs w:val="28"/>
        </w:rPr>
        <w:t xml:space="preserve">They monitor and assess as they teach, giving immediate and constructive feedback to </w:t>
      </w:r>
      <w:r>
        <w:rPr>
          <w:color w:val="000000"/>
          <w:sz w:val="28"/>
          <w:szCs w:val="28"/>
        </w:rPr>
        <w:t>support learners as they progress.’ but I was told by a mentor that this came across as harsh. This accidental harshness has the potential to hinder my progress towards QTS S1.2. (Welsh Government, 2018) ‘They demonstrate the professionalism to ensure that</w:t>
      </w:r>
      <w:r>
        <w:rPr>
          <w:color w:val="000000"/>
          <w:sz w:val="28"/>
          <w:szCs w:val="28"/>
        </w:rPr>
        <w:t xml:space="preserve"> relationships with learners are built on mutual trust and respect’ as the student likely did not feel respected, which, especially in the case of an authentic year 8 student, is likely to negatively impact her attitude towards the lesson and therefore her</w:t>
      </w:r>
      <w:r>
        <w:rPr>
          <w:color w:val="000000"/>
          <w:sz w:val="28"/>
          <w:szCs w:val="28"/>
        </w:rPr>
        <w:t xml:space="preserve"> learning. Thus, if I were to teach an equivalent session again, I would pay particular attention to how I phrase things when monitoring students’ progress, in order to better meet S3.2.2 and S1.2.</w:t>
      </w:r>
    </w:p>
    <w:p w:rsidR="00885953" w:rsidRDefault="00885953">
      <w:pPr>
        <w:rPr>
          <w:color w:val="000000"/>
          <w:sz w:val="28"/>
          <w:szCs w:val="28"/>
        </w:rPr>
      </w:pPr>
    </w:p>
    <w:p w:rsidR="00885953" w:rsidRDefault="00E502B8">
      <w:r>
        <w:rPr>
          <w:color w:val="000000"/>
          <w:sz w:val="28"/>
          <w:szCs w:val="28"/>
        </w:rPr>
        <w:t xml:space="preserve">Differentiation is also very important for S3.3.4 (Welsh </w:t>
      </w:r>
      <w:r>
        <w:rPr>
          <w:color w:val="000000"/>
          <w:sz w:val="28"/>
          <w:szCs w:val="28"/>
        </w:rPr>
        <w:t xml:space="preserve">Government, 2018) ‘They differentiate their teaching to meet the needs of learners, including the more able and talented, and those with special educational needs’. My approach to differentiation had been to provide extension work for those who finish the </w:t>
      </w:r>
      <w:r>
        <w:rPr>
          <w:color w:val="000000"/>
          <w:sz w:val="28"/>
          <w:szCs w:val="28"/>
        </w:rPr>
        <w:t xml:space="preserve">standard worksheet. However, I failed to print the extension work and the standard worksheet in advance of the session as I’d expected there would be an opportunity to do this on the day. Therefore, I instead </w:t>
      </w:r>
      <w:r>
        <w:rPr>
          <w:color w:val="000000"/>
          <w:sz w:val="28"/>
          <w:szCs w:val="28"/>
        </w:rPr>
        <w:lastRenderedPageBreak/>
        <w:t>differentiated by the level of scaffolding prov</w:t>
      </w:r>
      <w:r>
        <w:rPr>
          <w:color w:val="000000"/>
          <w:sz w:val="28"/>
          <w:szCs w:val="28"/>
        </w:rPr>
        <w:t>ided to each student, and used differentiation by outcome as well. If I were to teach an equivalent lesson again, I would ensure that I print both standard worksheets and extension resources in advance so that this does not hinder on my differentiation; th</w:t>
      </w:r>
      <w:r>
        <w:rPr>
          <w:color w:val="000000"/>
          <w:sz w:val="28"/>
          <w:szCs w:val="28"/>
        </w:rPr>
        <w:t>is would impact the learners’ learning as it would ensure more able and talented (MAT) students were not left with nothing to do while their peers catch up. This would, in turn, impact classroom management as students who have nothing to do tend to misbeha</w:t>
      </w:r>
      <w:r>
        <w:rPr>
          <w:color w:val="000000"/>
          <w:sz w:val="28"/>
          <w:szCs w:val="28"/>
        </w:rPr>
        <w:t>ve, and so keeping all students, especially MAT students, continuously engaged with the class by differentiating appropriately and providing extension work is vital.</w:t>
      </w:r>
    </w:p>
    <w:p w:rsidR="00885953" w:rsidRDefault="00E502B8">
      <w:r>
        <w:rPr>
          <w:color w:val="000000"/>
          <w:sz w:val="28"/>
          <w:szCs w:val="28"/>
        </w:rPr>
        <w:t xml:space="preserve">My plenary seemed rushed and largely ineffective. This was, in part, due to timing issues </w:t>
      </w:r>
      <w:r>
        <w:rPr>
          <w:color w:val="000000"/>
          <w:sz w:val="28"/>
          <w:szCs w:val="28"/>
        </w:rPr>
        <w:t xml:space="preserve">which have been improved through my placement at School A, but also the content of the plenary itself could be improved- I have been advised by mentors at School A that the plenary should ask a question directly linked to the topic the lesson was on which </w:t>
      </w:r>
      <w:r>
        <w:rPr>
          <w:color w:val="000000"/>
          <w:sz w:val="28"/>
          <w:szCs w:val="28"/>
        </w:rPr>
        <w:t xml:space="preserve">should have a clear answer. For example, using a question from a GCSE question that is related to the lesson’s topic would allow students to cement and summarise their knowledge, and also build their confidence and give them a sense of achievement as they </w:t>
      </w:r>
      <w:r>
        <w:rPr>
          <w:color w:val="000000"/>
          <w:sz w:val="28"/>
          <w:szCs w:val="28"/>
        </w:rPr>
        <w:t xml:space="preserve">have encountered work which is a higher level than they need to be at. This impacts their learning as students who feel confident and that they achieve something in every lesson are more likely to engage positively with the lesson, and therefore likely to </w:t>
      </w:r>
      <w:r>
        <w:rPr>
          <w:color w:val="000000"/>
          <w:sz w:val="28"/>
          <w:szCs w:val="28"/>
        </w:rPr>
        <w:t>learn more and behave more appropriately. A plenary can be used as assessment for learning (AFL) (Universal Journal of Educational Research, 2016) in order to check students have properly understood new material, and thus to inform future lessons. Thus, if</w:t>
      </w:r>
      <w:r>
        <w:rPr>
          <w:color w:val="000000"/>
          <w:sz w:val="28"/>
          <w:szCs w:val="28"/>
        </w:rPr>
        <w:t xml:space="preserve"> I were to teach a similar lesson, I would ensure the plenary informs AFL, has sufficient time to be completed, and is not rushed.</w:t>
      </w:r>
    </w:p>
    <w:p w:rsidR="00885953" w:rsidRDefault="00885953">
      <w:pPr>
        <w:rPr>
          <w:color w:val="000000"/>
          <w:sz w:val="28"/>
          <w:szCs w:val="28"/>
        </w:rPr>
      </w:pPr>
    </w:p>
    <w:p w:rsidR="00885953" w:rsidRDefault="00E502B8">
      <w:r>
        <w:rPr>
          <w:color w:val="000000"/>
          <w:sz w:val="28"/>
          <w:szCs w:val="28"/>
        </w:rPr>
        <w:t xml:space="preserve">In summary, professional and academic sources and my experience in Schools A, B, &amp; C have informed a number of improvements </w:t>
      </w:r>
      <w:r>
        <w:rPr>
          <w:color w:val="000000"/>
          <w:sz w:val="28"/>
          <w:szCs w:val="28"/>
        </w:rPr>
        <w:t>to my teaching practise- ensuring a relational approach to the topic is used where possible is vital. Behaviour management can be improved using PIPRIP and Type-R conditioning, and by ensuring students have understandable and engaging content. Becoming fam</w:t>
      </w:r>
      <w:r>
        <w:rPr>
          <w:color w:val="000000"/>
          <w:sz w:val="28"/>
          <w:szCs w:val="28"/>
        </w:rPr>
        <w:t xml:space="preserve">iliar with information about students’ ALNs is crucial where applicable. The actual use of the Welsh language, rather than the mere mention of it, will contribute towards </w:t>
      </w:r>
      <w:r>
        <w:rPr>
          <w:rFonts w:cs="Arial"/>
          <w:color w:val="000000"/>
          <w:sz w:val="28"/>
          <w:szCs w:val="28"/>
        </w:rPr>
        <w:t xml:space="preserve">Cwricwlwm Cymreig and help meet QTS </w:t>
      </w:r>
      <w:r>
        <w:rPr>
          <w:rFonts w:cs="Arial"/>
          <w:color w:val="000000"/>
          <w:sz w:val="28"/>
          <w:szCs w:val="28"/>
        </w:rPr>
        <w:lastRenderedPageBreak/>
        <w:t>standards. Tone and phrasing have the potential t</w:t>
      </w:r>
      <w:r>
        <w:rPr>
          <w:rFonts w:cs="Arial"/>
          <w:color w:val="000000"/>
          <w:sz w:val="28"/>
          <w:szCs w:val="28"/>
        </w:rPr>
        <w:t>o be misinterpreted, and so I will exercise caution in these areas when having a discussion with students, especially regarding their progress in the lesson. Preparing physical copies of resources in advance of the session will contribute towards different</w:t>
      </w:r>
      <w:r>
        <w:rPr>
          <w:rFonts w:cs="Arial"/>
          <w:color w:val="000000"/>
          <w:sz w:val="28"/>
          <w:szCs w:val="28"/>
        </w:rPr>
        <w:t>iation and therefore to students’ progress. Better plan</w:t>
      </w:r>
      <w:r w:rsidR="00C62EB3">
        <w:rPr>
          <w:rFonts w:cs="Arial"/>
          <w:color w:val="000000"/>
          <w:sz w:val="28"/>
          <w:szCs w:val="28"/>
        </w:rPr>
        <w:t>n</w:t>
      </w:r>
      <w:r>
        <w:rPr>
          <w:rFonts w:cs="Arial"/>
          <w:color w:val="000000"/>
          <w:sz w:val="28"/>
          <w:szCs w:val="28"/>
        </w:rPr>
        <w:t>ing and timing will allow for a more thorough and useful plenary which acts as AFL.</w:t>
      </w:r>
    </w:p>
    <w:p w:rsidR="00885953" w:rsidRDefault="00885953">
      <w:pPr>
        <w:rPr>
          <w:rFonts w:cs="Arial"/>
          <w:color w:val="212121"/>
          <w:sz w:val="28"/>
          <w:szCs w:val="28"/>
          <w:highlight w:val="white"/>
        </w:rPr>
      </w:pPr>
    </w:p>
    <w:p w:rsidR="00C62EB3" w:rsidRDefault="00C62EB3">
      <w:pPr>
        <w:rPr>
          <w:b/>
          <w:sz w:val="28"/>
          <w:szCs w:val="28"/>
          <w:u w:val="single"/>
        </w:rPr>
      </w:pPr>
      <w:r>
        <w:rPr>
          <w:b/>
          <w:sz w:val="28"/>
          <w:szCs w:val="28"/>
          <w:u w:val="single"/>
        </w:rPr>
        <w:t>Action plan:</w:t>
      </w:r>
    </w:p>
    <w:tbl>
      <w:tblPr>
        <w:tblStyle w:val="TableGrid"/>
        <w:tblW w:w="0" w:type="auto"/>
        <w:tblLook w:val="04A0" w:firstRow="1" w:lastRow="0" w:firstColumn="1" w:lastColumn="0" w:noHBand="0" w:noVBand="1"/>
      </w:tblPr>
      <w:tblGrid>
        <w:gridCol w:w="2254"/>
        <w:gridCol w:w="2561"/>
        <w:gridCol w:w="1947"/>
        <w:gridCol w:w="2254"/>
      </w:tblGrid>
      <w:tr w:rsidR="00C62EB3" w:rsidTr="00C62EB3">
        <w:trPr>
          <w:trHeight w:val="662"/>
        </w:trPr>
        <w:tc>
          <w:tcPr>
            <w:tcW w:w="2254" w:type="dxa"/>
          </w:tcPr>
          <w:p w:rsidR="00C62EB3" w:rsidRDefault="00C62EB3">
            <w:pPr>
              <w:rPr>
                <w:b/>
                <w:sz w:val="28"/>
                <w:szCs w:val="28"/>
                <w:u w:val="single"/>
              </w:rPr>
            </w:pPr>
            <w:r>
              <w:rPr>
                <w:b/>
                <w:sz w:val="28"/>
                <w:szCs w:val="28"/>
                <w:u w:val="single"/>
              </w:rPr>
              <w:t>Objectives</w:t>
            </w:r>
          </w:p>
        </w:tc>
        <w:tc>
          <w:tcPr>
            <w:tcW w:w="2561" w:type="dxa"/>
          </w:tcPr>
          <w:p w:rsidR="00C62EB3" w:rsidRDefault="00C62EB3">
            <w:pPr>
              <w:rPr>
                <w:b/>
                <w:sz w:val="28"/>
                <w:szCs w:val="28"/>
                <w:u w:val="single"/>
              </w:rPr>
            </w:pPr>
            <w:r>
              <w:rPr>
                <w:b/>
                <w:sz w:val="28"/>
                <w:szCs w:val="28"/>
                <w:u w:val="single"/>
              </w:rPr>
              <w:t>Actions to be taken</w:t>
            </w:r>
          </w:p>
        </w:tc>
        <w:tc>
          <w:tcPr>
            <w:tcW w:w="1947" w:type="dxa"/>
          </w:tcPr>
          <w:p w:rsidR="00C62EB3" w:rsidRDefault="00C62EB3">
            <w:pPr>
              <w:rPr>
                <w:b/>
                <w:sz w:val="28"/>
                <w:szCs w:val="28"/>
                <w:u w:val="single"/>
              </w:rPr>
            </w:pPr>
            <w:r>
              <w:rPr>
                <w:b/>
                <w:sz w:val="28"/>
                <w:szCs w:val="28"/>
                <w:u w:val="single"/>
              </w:rPr>
              <w:t>Success Criteria</w:t>
            </w:r>
          </w:p>
        </w:tc>
        <w:tc>
          <w:tcPr>
            <w:tcW w:w="2254" w:type="dxa"/>
          </w:tcPr>
          <w:p w:rsidR="00C62EB3" w:rsidRDefault="00C62EB3">
            <w:pPr>
              <w:rPr>
                <w:b/>
                <w:sz w:val="28"/>
                <w:szCs w:val="28"/>
                <w:u w:val="single"/>
              </w:rPr>
            </w:pPr>
            <w:r>
              <w:rPr>
                <w:b/>
                <w:sz w:val="28"/>
                <w:szCs w:val="28"/>
                <w:u w:val="single"/>
              </w:rPr>
              <w:t>Target Date</w:t>
            </w:r>
          </w:p>
        </w:tc>
      </w:tr>
      <w:tr w:rsidR="00C62EB3" w:rsidTr="009367B6">
        <w:trPr>
          <w:trHeight w:val="3015"/>
        </w:trPr>
        <w:tc>
          <w:tcPr>
            <w:tcW w:w="2254" w:type="dxa"/>
          </w:tcPr>
          <w:p w:rsidR="00C62EB3" w:rsidRPr="009367B6" w:rsidRDefault="009367B6" w:rsidP="009367B6">
            <w:pPr>
              <w:rPr>
                <w:sz w:val="28"/>
                <w:szCs w:val="28"/>
              </w:rPr>
            </w:pPr>
            <w:r w:rsidRPr="009367B6">
              <w:rPr>
                <w:sz w:val="28"/>
                <w:szCs w:val="28"/>
              </w:rPr>
              <w:t>Gain familiarity with students’ ALNs and their ILPs</w:t>
            </w:r>
            <w:r>
              <w:rPr>
                <w:sz w:val="28"/>
                <w:szCs w:val="28"/>
              </w:rPr>
              <w:t xml:space="preserve"> (needed for QTS S3.1.4)</w:t>
            </w:r>
            <w:r w:rsidR="009311DA">
              <w:rPr>
                <w:sz w:val="28"/>
                <w:szCs w:val="28"/>
              </w:rPr>
              <w:t>.</w:t>
            </w:r>
          </w:p>
        </w:tc>
        <w:tc>
          <w:tcPr>
            <w:tcW w:w="2561" w:type="dxa"/>
          </w:tcPr>
          <w:p w:rsidR="00C62EB3" w:rsidRPr="009367B6" w:rsidRDefault="009367B6">
            <w:pPr>
              <w:rPr>
                <w:sz w:val="28"/>
                <w:szCs w:val="28"/>
              </w:rPr>
            </w:pPr>
            <w:r w:rsidRPr="009367B6">
              <w:rPr>
                <w:sz w:val="28"/>
                <w:szCs w:val="28"/>
              </w:rPr>
              <w:t>Email CAS and ask for this information for 9Y3</w:t>
            </w:r>
            <w:r w:rsidR="009311DA">
              <w:rPr>
                <w:sz w:val="28"/>
                <w:szCs w:val="28"/>
              </w:rPr>
              <w:t>.</w:t>
            </w:r>
          </w:p>
        </w:tc>
        <w:tc>
          <w:tcPr>
            <w:tcW w:w="1947" w:type="dxa"/>
          </w:tcPr>
          <w:p w:rsidR="00C62EB3" w:rsidRDefault="009367B6">
            <w:pPr>
              <w:rPr>
                <w:b/>
                <w:sz w:val="28"/>
                <w:szCs w:val="28"/>
                <w:u w:val="single"/>
              </w:rPr>
            </w:pPr>
            <w:r w:rsidRPr="009367B6">
              <w:rPr>
                <w:sz w:val="28"/>
                <w:szCs w:val="28"/>
              </w:rPr>
              <w:t>Have information regarding the ALNs and ILPs of any students who have them in all my classes.</w:t>
            </w:r>
          </w:p>
        </w:tc>
        <w:tc>
          <w:tcPr>
            <w:tcW w:w="2254" w:type="dxa"/>
          </w:tcPr>
          <w:p w:rsidR="00C62EB3" w:rsidRPr="009367B6" w:rsidRDefault="009367B6">
            <w:pPr>
              <w:rPr>
                <w:sz w:val="28"/>
                <w:szCs w:val="28"/>
              </w:rPr>
            </w:pPr>
            <w:r w:rsidRPr="009367B6">
              <w:rPr>
                <w:sz w:val="28"/>
                <w:szCs w:val="28"/>
              </w:rPr>
              <w:t>13</w:t>
            </w:r>
            <w:r w:rsidRPr="009367B6">
              <w:rPr>
                <w:sz w:val="28"/>
                <w:szCs w:val="28"/>
                <w:vertAlign w:val="superscript"/>
              </w:rPr>
              <w:t>th</w:t>
            </w:r>
            <w:r w:rsidRPr="009367B6">
              <w:rPr>
                <w:sz w:val="28"/>
                <w:szCs w:val="28"/>
              </w:rPr>
              <w:t xml:space="preserve"> December 2018</w:t>
            </w:r>
            <w:r w:rsidR="009311DA">
              <w:rPr>
                <w:sz w:val="28"/>
                <w:szCs w:val="28"/>
              </w:rPr>
              <w:t>.</w:t>
            </w:r>
          </w:p>
        </w:tc>
      </w:tr>
      <w:tr w:rsidR="009367B6" w:rsidTr="009367B6">
        <w:trPr>
          <w:trHeight w:val="1975"/>
        </w:trPr>
        <w:tc>
          <w:tcPr>
            <w:tcW w:w="2254" w:type="dxa"/>
          </w:tcPr>
          <w:p w:rsidR="009367B6" w:rsidRPr="009367B6" w:rsidRDefault="009367B6" w:rsidP="009367B6">
            <w:pPr>
              <w:rPr>
                <w:sz w:val="28"/>
                <w:szCs w:val="28"/>
              </w:rPr>
            </w:pPr>
            <w:r>
              <w:rPr>
                <w:sz w:val="28"/>
                <w:szCs w:val="28"/>
              </w:rPr>
              <w:t>Begin to incorporate the Welsh language in lessons (needed for QTS S3.1.3)</w:t>
            </w:r>
            <w:r w:rsidR="009311DA">
              <w:rPr>
                <w:sz w:val="28"/>
                <w:szCs w:val="28"/>
              </w:rPr>
              <w:t>.</w:t>
            </w:r>
          </w:p>
        </w:tc>
        <w:tc>
          <w:tcPr>
            <w:tcW w:w="2561" w:type="dxa"/>
          </w:tcPr>
          <w:p w:rsidR="009367B6" w:rsidRDefault="009367B6">
            <w:pPr>
              <w:rPr>
                <w:sz w:val="28"/>
                <w:szCs w:val="28"/>
              </w:rPr>
            </w:pPr>
            <w:r>
              <w:rPr>
                <w:sz w:val="28"/>
                <w:szCs w:val="28"/>
              </w:rPr>
              <w:t>Regularly use the phrases:-</w:t>
            </w:r>
          </w:p>
          <w:p w:rsidR="009367B6" w:rsidRDefault="009367B6" w:rsidP="009367B6">
            <w:r>
              <w:rPr>
                <w:rFonts w:cs="Bliss-Light"/>
                <w:color w:val="000000"/>
                <w:sz w:val="28"/>
                <w:szCs w:val="28"/>
              </w:rPr>
              <w:t>- “Nod y wers” (“Learning objective”)</w:t>
            </w:r>
          </w:p>
          <w:p w:rsidR="009367B6" w:rsidRDefault="009367B6" w:rsidP="009367B6">
            <w:r>
              <w:rPr>
                <w:rFonts w:cs="Bliss-Light"/>
                <w:color w:val="000000"/>
                <w:sz w:val="28"/>
                <w:szCs w:val="28"/>
              </w:rPr>
              <w:t>- “Da iawn” (“Good”/“Well done”)</w:t>
            </w:r>
          </w:p>
          <w:p w:rsidR="009367B6" w:rsidRDefault="009367B6" w:rsidP="009367B6">
            <w:pPr>
              <w:rPr>
                <w:rFonts w:cs="Arial"/>
                <w:color w:val="212121"/>
                <w:sz w:val="28"/>
                <w:szCs w:val="28"/>
                <w:shd w:val="clear" w:color="auto" w:fill="FFFFFF"/>
              </w:rPr>
            </w:pPr>
            <w:r>
              <w:rPr>
                <w:rFonts w:cs="Arial"/>
                <w:color w:val="212121"/>
                <w:sz w:val="28"/>
                <w:szCs w:val="28"/>
                <w:shd w:val="clear" w:color="auto" w:fill="FFFFFF"/>
              </w:rPr>
              <w:t>- “tri, dau, un, tawel” (“Three, two, one, quiet”)</w:t>
            </w:r>
          </w:p>
          <w:p w:rsidR="009367B6" w:rsidRDefault="009367B6" w:rsidP="009367B6">
            <w:pPr>
              <w:rPr>
                <w:rFonts w:cs="Arial"/>
                <w:color w:val="212121"/>
                <w:sz w:val="28"/>
                <w:szCs w:val="28"/>
                <w:shd w:val="clear" w:color="auto" w:fill="FFFFFF"/>
              </w:rPr>
            </w:pPr>
            <w:r>
              <w:rPr>
                <w:rFonts w:cs="Arial"/>
                <w:color w:val="212121"/>
                <w:sz w:val="28"/>
                <w:szCs w:val="28"/>
                <w:shd w:val="clear" w:color="auto" w:fill="FFFFFF"/>
              </w:rPr>
              <w:t>-</w:t>
            </w:r>
            <w:r>
              <w:rPr>
                <w:rFonts w:cs="Arial"/>
                <w:color w:val="212121"/>
                <w:sz w:val="28"/>
                <w:szCs w:val="28"/>
                <w:shd w:val="clear" w:color="auto" w:fill="FFFFFF"/>
              </w:rPr>
              <w:t xml:space="preserve">“enw” (“name”), </w:t>
            </w:r>
          </w:p>
          <w:p w:rsidR="009367B6" w:rsidRDefault="009367B6" w:rsidP="009367B6">
            <w:pPr>
              <w:rPr>
                <w:rFonts w:cs="Arial"/>
                <w:color w:val="212121"/>
                <w:sz w:val="28"/>
                <w:szCs w:val="28"/>
                <w:shd w:val="clear" w:color="auto" w:fill="FFFFFF"/>
              </w:rPr>
            </w:pPr>
            <w:r>
              <w:rPr>
                <w:rFonts w:cs="Arial"/>
                <w:color w:val="212121"/>
                <w:sz w:val="28"/>
                <w:szCs w:val="28"/>
                <w:shd w:val="clear" w:color="auto" w:fill="FFFFFF"/>
              </w:rPr>
              <w:t>-</w:t>
            </w:r>
            <w:r>
              <w:rPr>
                <w:rFonts w:cs="Arial"/>
                <w:color w:val="212121"/>
                <w:sz w:val="28"/>
                <w:szCs w:val="28"/>
                <w:shd w:val="clear" w:color="auto" w:fill="FFFFFF"/>
              </w:rPr>
              <w:t>“blwyddyn” (“year”)</w:t>
            </w:r>
          </w:p>
          <w:p w:rsidR="009367B6" w:rsidRDefault="009367B6" w:rsidP="009367B6">
            <w:pPr>
              <w:rPr>
                <w:rFonts w:cs="Arial"/>
                <w:color w:val="212121"/>
                <w:sz w:val="28"/>
                <w:szCs w:val="28"/>
                <w:shd w:val="clear" w:color="auto" w:fill="FFFFFF"/>
              </w:rPr>
            </w:pPr>
            <w:r>
              <w:rPr>
                <w:rFonts w:cs="Arial"/>
                <w:color w:val="212121"/>
                <w:sz w:val="28"/>
                <w:szCs w:val="28"/>
                <w:shd w:val="clear" w:color="auto" w:fill="FFFFFF"/>
              </w:rPr>
              <w:lastRenderedPageBreak/>
              <w:t>-”eisteddwch” (“sit”)</w:t>
            </w:r>
          </w:p>
          <w:p w:rsidR="009367B6" w:rsidRDefault="009367B6" w:rsidP="009367B6">
            <w:r>
              <w:rPr>
                <w:rFonts w:cs="Arial"/>
                <w:color w:val="212121"/>
                <w:sz w:val="28"/>
                <w:szCs w:val="28"/>
                <w:shd w:val="clear" w:color="auto" w:fill="FFFFFF"/>
              </w:rPr>
              <w:t>-</w:t>
            </w:r>
            <w:r>
              <w:rPr>
                <w:rFonts w:cs="Arial"/>
                <w:color w:val="212121"/>
                <w:sz w:val="28"/>
                <w:szCs w:val="28"/>
                <w:shd w:val="clear" w:color="auto" w:fill="FFFFFF"/>
              </w:rPr>
              <w:t>“sefwch” (“stand”)</w:t>
            </w:r>
          </w:p>
          <w:p w:rsidR="009367B6" w:rsidRPr="009367B6" w:rsidRDefault="009367B6">
            <w:pPr>
              <w:rPr>
                <w:sz w:val="28"/>
                <w:szCs w:val="28"/>
              </w:rPr>
            </w:pPr>
            <w:r>
              <w:rPr>
                <w:sz w:val="28"/>
                <w:szCs w:val="28"/>
              </w:rPr>
              <w:t>:-in lessons</w:t>
            </w:r>
            <w:r w:rsidR="009311DA">
              <w:rPr>
                <w:sz w:val="28"/>
                <w:szCs w:val="28"/>
              </w:rPr>
              <w:t>.</w:t>
            </w:r>
          </w:p>
        </w:tc>
        <w:tc>
          <w:tcPr>
            <w:tcW w:w="1947" w:type="dxa"/>
          </w:tcPr>
          <w:p w:rsidR="009367B6" w:rsidRPr="009367B6" w:rsidRDefault="009367B6">
            <w:pPr>
              <w:rPr>
                <w:sz w:val="28"/>
                <w:szCs w:val="28"/>
              </w:rPr>
            </w:pPr>
            <w:r>
              <w:rPr>
                <w:sz w:val="28"/>
                <w:szCs w:val="28"/>
              </w:rPr>
              <w:lastRenderedPageBreak/>
              <w:t>The listed phrases will be incorporated in lessons wherever possible.</w:t>
            </w:r>
          </w:p>
        </w:tc>
        <w:tc>
          <w:tcPr>
            <w:tcW w:w="2254" w:type="dxa"/>
          </w:tcPr>
          <w:p w:rsidR="009367B6" w:rsidRPr="009367B6" w:rsidRDefault="009367B6">
            <w:pPr>
              <w:rPr>
                <w:sz w:val="28"/>
                <w:szCs w:val="28"/>
              </w:rPr>
            </w:pPr>
            <w:r w:rsidRPr="009367B6">
              <w:rPr>
                <w:sz w:val="28"/>
                <w:szCs w:val="28"/>
              </w:rPr>
              <w:t>13</w:t>
            </w:r>
            <w:r w:rsidRPr="009367B6">
              <w:rPr>
                <w:sz w:val="28"/>
                <w:szCs w:val="28"/>
                <w:vertAlign w:val="superscript"/>
              </w:rPr>
              <w:t>th</w:t>
            </w:r>
            <w:r w:rsidRPr="009367B6">
              <w:rPr>
                <w:sz w:val="28"/>
                <w:szCs w:val="28"/>
              </w:rPr>
              <w:t xml:space="preserve"> December 2018</w:t>
            </w:r>
            <w:r w:rsidR="009311DA">
              <w:rPr>
                <w:sz w:val="28"/>
                <w:szCs w:val="28"/>
              </w:rPr>
              <w:t>.</w:t>
            </w:r>
          </w:p>
        </w:tc>
      </w:tr>
      <w:tr w:rsidR="009367B6" w:rsidTr="009367B6">
        <w:trPr>
          <w:trHeight w:val="3015"/>
        </w:trPr>
        <w:tc>
          <w:tcPr>
            <w:tcW w:w="2254" w:type="dxa"/>
          </w:tcPr>
          <w:p w:rsidR="009367B6" w:rsidRDefault="009367B6" w:rsidP="009367B6">
            <w:pPr>
              <w:rPr>
                <w:sz w:val="28"/>
                <w:szCs w:val="28"/>
              </w:rPr>
            </w:pPr>
            <w:r>
              <w:rPr>
                <w:sz w:val="28"/>
                <w:szCs w:val="28"/>
              </w:rPr>
              <w:lastRenderedPageBreak/>
              <w:t>Ensure tone is not misinterpreted when giving students scaffol</w:t>
            </w:r>
            <w:r w:rsidR="009311DA">
              <w:rPr>
                <w:sz w:val="28"/>
                <w:szCs w:val="28"/>
              </w:rPr>
              <w:t>ding (n</w:t>
            </w:r>
            <w:r>
              <w:rPr>
                <w:sz w:val="28"/>
                <w:szCs w:val="28"/>
              </w:rPr>
              <w:t>eeded for QTS S3.2.2. and S1.2)</w:t>
            </w:r>
            <w:r w:rsidR="009311DA">
              <w:rPr>
                <w:sz w:val="28"/>
                <w:szCs w:val="28"/>
              </w:rPr>
              <w:t>.</w:t>
            </w:r>
          </w:p>
        </w:tc>
        <w:tc>
          <w:tcPr>
            <w:tcW w:w="2561" w:type="dxa"/>
          </w:tcPr>
          <w:p w:rsidR="009367B6" w:rsidRDefault="009311DA">
            <w:pPr>
              <w:rPr>
                <w:sz w:val="28"/>
                <w:szCs w:val="28"/>
              </w:rPr>
            </w:pPr>
            <w:r>
              <w:rPr>
                <w:sz w:val="28"/>
                <w:szCs w:val="28"/>
              </w:rPr>
              <w:t>Take particular care when giving students assistance or constructive feedback.</w:t>
            </w:r>
          </w:p>
        </w:tc>
        <w:tc>
          <w:tcPr>
            <w:tcW w:w="1947" w:type="dxa"/>
          </w:tcPr>
          <w:p w:rsidR="009367B6" w:rsidRDefault="009311DA">
            <w:pPr>
              <w:rPr>
                <w:sz w:val="28"/>
                <w:szCs w:val="28"/>
              </w:rPr>
            </w:pPr>
            <w:r>
              <w:rPr>
                <w:sz w:val="28"/>
                <w:szCs w:val="28"/>
              </w:rPr>
              <w:t>No examples of students finding tone to be harsh or critical will be present by target date.</w:t>
            </w:r>
          </w:p>
        </w:tc>
        <w:tc>
          <w:tcPr>
            <w:tcW w:w="2254" w:type="dxa"/>
          </w:tcPr>
          <w:p w:rsidR="009367B6" w:rsidRPr="009367B6" w:rsidRDefault="009311DA">
            <w:pPr>
              <w:rPr>
                <w:sz w:val="28"/>
                <w:szCs w:val="28"/>
              </w:rPr>
            </w:pPr>
            <w:r w:rsidRPr="009367B6">
              <w:rPr>
                <w:sz w:val="28"/>
                <w:szCs w:val="28"/>
              </w:rPr>
              <w:t>13</w:t>
            </w:r>
            <w:r w:rsidRPr="009367B6">
              <w:rPr>
                <w:sz w:val="28"/>
                <w:szCs w:val="28"/>
                <w:vertAlign w:val="superscript"/>
              </w:rPr>
              <w:t>th</w:t>
            </w:r>
            <w:r w:rsidRPr="009367B6">
              <w:rPr>
                <w:sz w:val="28"/>
                <w:szCs w:val="28"/>
              </w:rPr>
              <w:t xml:space="preserve"> December 2018</w:t>
            </w:r>
            <w:r>
              <w:rPr>
                <w:sz w:val="28"/>
                <w:szCs w:val="28"/>
              </w:rPr>
              <w:t>.</w:t>
            </w:r>
          </w:p>
        </w:tc>
      </w:tr>
      <w:tr w:rsidR="009311DA" w:rsidTr="009367B6">
        <w:trPr>
          <w:trHeight w:val="3015"/>
        </w:trPr>
        <w:tc>
          <w:tcPr>
            <w:tcW w:w="2254" w:type="dxa"/>
          </w:tcPr>
          <w:p w:rsidR="009311DA" w:rsidRDefault="009311DA" w:rsidP="009367B6">
            <w:pPr>
              <w:rPr>
                <w:sz w:val="28"/>
                <w:szCs w:val="28"/>
              </w:rPr>
            </w:pPr>
            <w:r>
              <w:rPr>
                <w:sz w:val="28"/>
                <w:szCs w:val="28"/>
              </w:rPr>
              <w:t>Improve differentiation for MAT students (needed for QTS S3.3.4.)</w:t>
            </w:r>
          </w:p>
        </w:tc>
        <w:tc>
          <w:tcPr>
            <w:tcW w:w="2561" w:type="dxa"/>
          </w:tcPr>
          <w:p w:rsidR="009311DA" w:rsidRDefault="009311DA">
            <w:pPr>
              <w:rPr>
                <w:sz w:val="28"/>
                <w:szCs w:val="28"/>
              </w:rPr>
            </w:pPr>
            <w:r>
              <w:rPr>
                <w:sz w:val="28"/>
                <w:szCs w:val="28"/>
              </w:rPr>
              <w:t>Ensure extension work is printed in advance of the lesson and made available to all students who finish standard worksheets.</w:t>
            </w:r>
          </w:p>
        </w:tc>
        <w:tc>
          <w:tcPr>
            <w:tcW w:w="1947" w:type="dxa"/>
          </w:tcPr>
          <w:p w:rsidR="009311DA" w:rsidRDefault="009311DA">
            <w:pPr>
              <w:rPr>
                <w:sz w:val="28"/>
                <w:szCs w:val="28"/>
              </w:rPr>
            </w:pPr>
            <w:r>
              <w:rPr>
                <w:sz w:val="28"/>
                <w:szCs w:val="28"/>
              </w:rPr>
              <w:t>Students who finish standard worksheets will be provided with extension work.</w:t>
            </w:r>
            <w:bookmarkStart w:id="0" w:name="_GoBack"/>
            <w:bookmarkEnd w:id="0"/>
          </w:p>
        </w:tc>
        <w:tc>
          <w:tcPr>
            <w:tcW w:w="2254" w:type="dxa"/>
          </w:tcPr>
          <w:p w:rsidR="009311DA" w:rsidRPr="009367B6" w:rsidRDefault="009311DA">
            <w:pPr>
              <w:rPr>
                <w:sz w:val="28"/>
                <w:szCs w:val="28"/>
              </w:rPr>
            </w:pPr>
            <w:r w:rsidRPr="009367B6">
              <w:rPr>
                <w:sz w:val="28"/>
                <w:szCs w:val="28"/>
              </w:rPr>
              <w:t>13</w:t>
            </w:r>
            <w:r w:rsidRPr="009367B6">
              <w:rPr>
                <w:sz w:val="28"/>
                <w:szCs w:val="28"/>
                <w:vertAlign w:val="superscript"/>
              </w:rPr>
              <w:t>th</w:t>
            </w:r>
            <w:r w:rsidRPr="009367B6">
              <w:rPr>
                <w:sz w:val="28"/>
                <w:szCs w:val="28"/>
              </w:rPr>
              <w:t xml:space="preserve"> December 2018</w:t>
            </w:r>
            <w:r>
              <w:rPr>
                <w:sz w:val="28"/>
                <w:szCs w:val="28"/>
              </w:rPr>
              <w:t>.</w:t>
            </w:r>
          </w:p>
        </w:tc>
      </w:tr>
    </w:tbl>
    <w:p w:rsidR="00C62EB3" w:rsidRDefault="00C62EB3">
      <w:pPr>
        <w:rPr>
          <w:b/>
          <w:sz w:val="28"/>
          <w:szCs w:val="28"/>
          <w:u w:val="single"/>
        </w:rPr>
      </w:pPr>
    </w:p>
    <w:p w:rsidR="00C62EB3" w:rsidRDefault="00C62EB3">
      <w:pPr>
        <w:rPr>
          <w:b/>
          <w:sz w:val="28"/>
          <w:szCs w:val="28"/>
          <w:u w:val="single"/>
        </w:rPr>
      </w:pPr>
    </w:p>
    <w:p w:rsidR="00885953" w:rsidRDefault="00E502B8">
      <w:r>
        <w:rPr>
          <w:b/>
          <w:sz w:val="28"/>
          <w:szCs w:val="28"/>
          <w:u w:val="single"/>
        </w:rPr>
        <w:t xml:space="preserve">Bibliography: </w:t>
      </w:r>
    </w:p>
    <w:p w:rsidR="00885953" w:rsidRDefault="00E502B8">
      <w:r>
        <w:rPr>
          <w:rFonts w:ascii="Open Sans;Arial;sans-serif" w:hAnsi="Open Sans;Arial;sans-serif" w:cs="Arial"/>
          <w:color w:val="000000"/>
          <w:sz w:val="20"/>
          <w:szCs w:val="20"/>
          <w:shd w:val="clear" w:color="auto" w:fill="FFFFFF"/>
        </w:rPr>
        <w:t>Kahoot.it. (2013). </w:t>
      </w:r>
      <w:r>
        <w:rPr>
          <w:rFonts w:ascii="Open Sans;Arial;sans-serif" w:hAnsi="Open Sans;Arial;sans-serif" w:cs="Arial"/>
          <w:i/>
          <w:color w:val="000000"/>
          <w:sz w:val="20"/>
          <w:szCs w:val="20"/>
          <w:shd w:val="clear" w:color="auto" w:fill="FFFFFF"/>
        </w:rPr>
        <w:t>Play Kahoot! - Enter game PIN here</w:t>
      </w:r>
      <w:r>
        <w:rPr>
          <w:rFonts w:ascii="Open Sans;Arial;sans-serif" w:hAnsi="Open Sans;Arial;sans-serif" w:cs="Arial"/>
          <w:color w:val="000000"/>
          <w:sz w:val="20"/>
          <w:szCs w:val="20"/>
          <w:shd w:val="clear" w:color="auto" w:fill="FFFFFF"/>
        </w:rPr>
        <w:t xml:space="preserve">. [online] Available at: https://kahoot.it/ </w:t>
      </w:r>
      <w:r>
        <w:rPr>
          <w:rFonts w:ascii="Open Sans;Arial;sans-serif" w:hAnsi="Open Sans;Arial;sans-serif" w:cs="Arial"/>
          <w:color w:val="000000"/>
          <w:sz w:val="20"/>
          <w:szCs w:val="20"/>
          <w:shd w:val="clear" w:color="auto" w:fill="FFFFFF"/>
        </w:rPr>
        <w:t>[Accessed 24 Nov. 2018].</w:t>
      </w:r>
      <w:r>
        <w:rPr>
          <w:rFonts w:ascii="Arial" w:hAnsi="Arial" w:cs="Arial"/>
          <w:color w:val="000000"/>
          <w:sz w:val="20"/>
          <w:szCs w:val="20"/>
          <w:shd w:val="clear" w:color="auto" w:fill="FFFFFF"/>
        </w:rPr>
        <w:t xml:space="preserve"> </w:t>
      </w:r>
    </w:p>
    <w:p w:rsidR="00885953" w:rsidRDefault="00E502B8">
      <w:bookmarkStart w:id="1" w:name="js-reference-string-1"/>
      <w:bookmarkEnd w:id="1"/>
      <w:r>
        <w:rPr>
          <w:rFonts w:ascii="Open Sans;Arial;sans-serif" w:hAnsi="Open Sans;Arial;sans-serif" w:cs="Arial"/>
          <w:color w:val="000000"/>
          <w:sz w:val="20"/>
          <w:szCs w:val="20"/>
          <w:shd w:val="clear" w:color="auto" w:fill="FFFFFF"/>
        </w:rPr>
        <w:t>Largey, A. and Timmins, P. (2006). Motivating the Reluctant Learner using Multimedia within a Socio Constructivist Learning Environment. </w:t>
      </w:r>
      <w:r>
        <w:rPr>
          <w:rFonts w:ascii="Open Sans;Arial;sans-serif" w:hAnsi="Open Sans;Arial;sans-serif" w:cs="Arial"/>
          <w:i/>
          <w:color w:val="000000"/>
          <w:sz w:val="20"/>
          <w:szCs w:val="20"/>
          <w:shd w:val="clear" w:color="auto" w:fill="FFFFFF"/>
        </w:rPr>
        <w:t>i-manager's Journal on School Educational Technology</w:t>
      </w:r>
      <w:r>
        <w:rPr>
          <w:rFonts w:ascii="Open Sans;Arial;sans-serif" w:hAnsi="Open Sans;Arial;sans-serif" w:cs="Arial"/>
          <w:color w:val="000000"/>
          <w:sz w:val="20"/>
          <w:szCs w:val="20"/>
          <w:shd w:val="clear" w:color="auto" w:fill="FFFFFF"/>
        </w:rPr>
        <w:t xml:space="preserve">, [online] 1(3), pp.32-35. Available at: </w:t>
      </w:r>
      <w:r>
        <w:rPr>
          <w:rFonts w:ascii="Open Sans;Arial;sans-serif" w:hAnsi="Open Sans;Arial;sans-serif" w:cs="Arial"/>
          <w:color w:val="000000"/>
          <w:sz w:val="20"/>
          <w:szCs w:val="20"/>
          <w:shd w:val="clear" w:color="auto" w:fill="FFFFFF"/>
        </w:rPr>
        <w:t>https://archive.org/details/ERIC_EJ1064247/page/n5 [Accessed 24 Nov. 2018].</w:t>
      </w:r>
      <w:r>
        <w:rPr>
          <w:rFonts w:ascii="Arial" w:hAnsi="Arial" w:cs="Arial"/>
          <w:color w:val="000000"/>
          <w:sz w:val="20"/>
          <w:szCs w:val="20"/>
          <w:shd w:val="clear" w:color="auto" w:fill="FFFFFF"/>
        </w:rPr>
        <w:t xml:space="preserve"> </w:t>
      </w:r>
    </w:p>
    <w:p w:rsidR="00885953" w:rsidRDefault="00E502B8">
      <w:r>
        <w:rPr>
          <w:rFonts w:ascii="Open Sans;Arial;sans-serif" w:hAnsi="Open Sans;Arial;sans-serif" w:cs="Arial"/>
          <w:color w:val="000000"/>
          <w:sz w:val="20"/>
          <w:szCs w:val="20"/>
          <w:shd w:val="clear" w:color="auto" w:fill="FFFFFF"/>
        </w:rPr>
        <w:t>Mymaths.co.uk. (2018). </w:t>
      </w:r>
      <w:r>
        <w:rPr>
          <w:rFonts w:ascii="Open Sans;Arial;sans-serif" w:hAnsi="Open Sans;Arial;sans-serif" w:cs="Arial"/>
          <w:i/>
          <w:color w:val="000000"/>
          <w:sz w:val="20"/>
          <w:szCs w:val="20"/>
          <w:shd w:val="clear" w:color="auto" w:fill="FFFFFF"/>
        </w:rPr>
        <w:t>MyMaths - Bringing maths alive - Home</w:t>
      </w:r>
      <w:r>
        <w:rPr>
          <w:rFonts w:ascii="Open Sans;Arial;sans-serif" w:hAnsi="Open Sans;Arial;sans-serif" w:cs="Arial"/>
          <w:color w:val="000000"/>
          <w:sz w:val="20"/>
          <w:szCs w:val="20"/>
          <w:shd w:val="clear" w:color="auto" w:fill="FFFFFF"/>
        </w:rPr>
        <w:t>. [online] Available at: https://www.mymaths.co.uk/ [Accessed 24 Nov. 2018].</w:t>
      </w:r>
      <w:r>
        <w:rPr>
          <w:rFonts w:ascii="Arial" w:hAnsi="Arial" w:cs="Arial"/>
          <w:color w:val="000000"/>
          <w:sz w:val="20"/>
          <w:szCs w:val="20"/>
          <w:shd w:val="clear" w:color="auto" w:fill="FFFFFF"/>
        </w:rPr>
        <w:t xml:space="preserve"> </w:t>
      </w:r>
    </w:p>
    <w:p w:rsidR="00885953" w:rsidRDefault="00E502B8">
      <w:r>
        <w:rPr>
          <w:rFonts w:ascii="Arial" w:hAnsi="Arial" w:cs="Arial"/>
          <w:color w:val="000000"/>
          <w:sz w:val="20"/>
          <w:szCs w:val="20"/>
          <w:shd w:val="clear" w:color="auto" w:fill="FFFFFF"/>
        </w:rPr>
        <w:t>Marshall, G &amp; Scott, J. (2009). </w:t>
      </w:r>
      <w:r>
        <w:rPr>
          <w:rFonts w:ascii="Arial" w:hAnsi="Arial" w:cs="Arial"/>
          <w:i/>
          <w:iCs/>
          <w:color w:val="000000"/>
          <w:sz w:val="20"/>
          <w:szCs w:val="20"/>
          <w:shd w:val="clear" w:color="auto" w:fill="FFFFFF"/>
        </w:rPr>
        <w:t>A diction</w:t>
      </w:r>
      <w:r>
        <w:rPr>
          <w:rFonts w:ascii="Arial" w:hAnsi="Arial" w:cs="Arial"/>
          <w:i/>
          <w:iCs/>
          <w:color w:val="000000"/>
          <w:sz w:val="20"/>
          <w:szCs w:val="20"/>
          <w:shd w:val="clear" w:color="auto" w:fill="FFFFFF"/>
        </w:rPr>
        <w:t>ary of sociology</w:t>
      </w:r>
      <w:r>
        <w:rPr>
          <w:rFonts w:ascii="Arial" w:hAnsi="Arial" w:cs="Arial"/>
          <w:color w:val="000000"/>
          <w:sz w:val="20"/>
          <w:szCs w:val="20"/>
          <w:shd w:val="clear" w:color="auto" w:fill="FFFFFF"/>
        </w:rPr>
        <w:t>. 3rd ed. Oxford: Oxford University Press.</w:t>
      </w:r>
    </w:p>
    <w:p w:rsidR="00885953" w:rsidRDefault="00E502B8">
      <w:r>
        <w:rPr>
          <w:rFonts w:ascii="Arial" w:hAnsi="Arial" w:cs="Arial"/>
          <w:color w:val="000000"/>
          <w:sz w:val="20"/>
          <w:szCs w:val="20"/>
          <w:shd w:val="clear" w:color="auto" w:fill="FFFFFF"/>
        </w:rPr>
        <w:t>McLachlan, B. and Davis, G. (2013). Educating the educators: developing those who support learning for students with additional learning needs. </w:t>
      </w:r>
      <w:r>
        <w:rPr>
          <w:rFonts w:ascii="Arial" w:hAnsi="Arial" w:cs="Arial"/>
          <w:i/>
          <w:iCs/>
          <w:color w:val="000000"/>
          <w:sz w:val="20"/>
          <w:szCs w:val="20"/>
          <w:shd w:val="clear" w:color="auto" w:fill="FFFFFF"/>
        </w:rPr>
        <w:t>Support for Learning</w:t>
      </w:r>
      <w:r>
        <w:rPr>
          <w:rFonts w:ascii="Arial" w:hAnsi="Arial" w:cs="Arial"/>
          <w:color w:val="000000"/>
          <w:sz w:val="20"/>
          <w:szCs w:val="20"/>
          <w:shd w:val="clear" w:color="auto" w:fill="FFFFFF"/>
        </w:rPr>
        <w:t>, 28(4), pp.173-180.</w:t>
      </w:r>
    </w:p>
    <w:p w:rsidR="00885953" w:rsidRDefault="00E502B8">
      <w:r>
        <w:rPr>
          <w:rFonts w:ascii="Arial" w:hAnsi="Arial" w:cs="Arial"/>
          <w:color w:val="000000"/>
          <w:sz w:val="20"/>
          <w:szCs w:val="20"/>
          <w:shd w:val="clear" w:color="auto" w:fill="FFFFFF"/>
        </w:rPr>
        <w:t xml:space="preserve">Skinner, B. </w:t>
      </w:r>
      <w:r>
        <w:rPr>
          <w:rFonts w:ascii="Arial" w:hAnsi="Arial" w:cs="Arial"/>
          <w:color w:val="000000"/>
          <w:sz w:val="20"/>
          <w:szCs w:val="20"/>
          <w:shd w:val="clear" w:color="auto" w:fill="FFFFFF"/>
        </w:rPr>
        <w:t>(1966). </w:t>
      </w:r>
      <w:r>
        <w:rPr>
          <w:rFonts w:ascii="Arial" w:hAnsi="Arial" w:cs="Arial"/>
          <w:i/>
          <w:iCs/>
          <w:color w:val="000000"/>
          <w:sz w:val="20"/>
          <w:szCs w:val="20"/>
          <w:shd w:val="clear" w:color="auto" w:fill="FFFFFF"/>
        </w:rPr>
        <w:t>The behavior of organisms</w:t>
      </w:r>
      <w:r>
        <w:rPr>
          <w:rFonts w:ascii="Arial" w:hAnsi="Arial" w:cs="Arial"/>
          <w:color w:val="000000"/>
          <w:sz w:val="20"/>
          <w:szCs w:val="20"/>
          <w:shd w:val="clear" w:color="auto" w:fill="FFFFFF"/>
        </w:rPr>
        <w:t>. New York: Appleton-Century-Crofts.</w:t>
      </w:r>
    </w:p>
    <w:p w:rsidR="00885953" w:rsidRDefault="00E502B8">
      <w:r>
        <w:rPr>
          <w:rFonts w:ascii="Open Sans;Arial;sans-serif" w:hAnsi="Open Sans;Arial;sans-serif" w:cs="Arial"/>
          <w:color w:val="000000"/>
          <w:sz w:val="20"/>
          <w:szCs w:val="20"/>
          <w:shd w:val="clear" w:color="auto" w:fill="FFFFFF"/>
        </w:rPr>
        <w:lastRenderedPageBreak/>
        <w:t>Universal Journal of Educational Research 137-143 (2016). </w:t>
      </w:r>
      <w:r>
        <w:rPr>
          <w:rFonts w:ascii="Open Sans;Arial;sans-serif" w:hAnsi="Open Sans;Arial;sans-serif" w:cs="Arial"/>
          <w:i/>
          <w:color w:val="000000"/>
          <w:sz w:val="20"/>
          <w:szCs w:val="20"/>
          <w:shd w:val="clear" w:color="auto" w:fill="FFFFFF"/>
        </w:rPr>
        <w:t>ERIC EJ1086182: Assessment for Learning: Turkey Case : ERIC : Free Download, Borrow, and Streaming : Internet Archive</w:t>
      </w:r>
      <w:r>
        <w:rPr>
          <w:rFonts w:ascii="Open Sans;Arial;sans-serif" w:hAnsi="Open Sans;Arial;sans-serif" w:cs="Arial"/>
          <w:color w:val="000000"/>
          <w:sz w:val="20"/>
          <w:szCs w:val="20"/>
          <w:shd w:val="clear" w:color="auto" w:fill="FFFFFF"/>
        </w:rPr>
        <w:t xml:space="preserve">. [online] </w:t>
      </w:r>
      <w:r>
        <w:rPr>
          <w:rFonts w:ascii="Open Sans;Arial;sans-serif" w:hAnsi="Open Sans;Arial;sans-serif" w:cs="Arial"/>
          <w:color w:val="000000"/>
          <w:sz w:val="20"/>
          <w:szCs w:val="20"/>
          <w:shd w:val="clear" w:color="auto" w:fill="FFFFFF"/>
        </w:rPr>
        <w:t xml:space="preserve">Internet Archive. Available at: https://archive.org/details/ERIC_EJ1086182 [Accessed 24 Nov. 2018]. </w:t>
      </w:r>
    </w:p>
    <w:p w:rsidR="00885953" w:rsidRDefault="00E502B8">
      <w:r>
        <w:rPr>
          <w:rFonts w:ascii="Arial" w:hAnsi="Arial" w:cs="Arial"/>
          <w:color w:val="000000"/>
          <w:sz w:val="20"/>
          <w:szCs w:val="20"/>
          <w:shd w:val="clear" w:color="auto" w:fill="FFFFFF"/>
        </w:rPr>
        <w:t>Welsh Government. (2013). </w:t>
      </w:r>
      <w:r>
        <w:rPr>
          <w:rFonts w:ascii="Arial" w:hAnsi="Arial" w:cs="Arial"/>
          <w:i/>
          <w:iCs/>
          <w:color w:val="000000"/>
          <w:sz w:val="20"/>
          <w:szCs w:val="20"/>
          <w:shd w:val="clear" w:color="auto" w:fill="FFFFFF"/>
        </w:rPr>
        <w:t>Cwricwlwm Cymreig review group: final report | beta.gov.wales</w:t>
      </w:r>
      <w:r>
        <w:rPr>
          <w:rFonts w:ascii="Arial" w:hAnsi="Arial" w:cs="Arial"/>
          <w:color w:val="000000"/>
          <w:sz w:val="20"/>
          <w:szCs w:val="20"/>
          <w:shd w:val="clear" w:color="auto" w:fill="FFFFFF"/>
        </w:rPr>
        <w:t>. [online] beta.gov.wales. Available at: https://beta.gov.wales/cwri</w:t>
      </w:r>
      <w:r>
        <w:rPr>
          <w:rFonts w:ascii="Arial" w:hAnsi="Arial" w:cs="Arial"/>
          <w:color w:val="000000"/>
          <w:sz w:val="20"/>
          <w:szCs w:val="20"/>
          <w:shd w:val="clear" w:color="auto" w:fill="FFFFFF"/>
        </w:rPr>
        <w:t>cwlwm-cymreig-review-group-final-report [Accessed 21 Nov. 2018].</w:t>
      </w:r>
    </w:p>
    <w:p w:rsidR="00885953" w:rsidRDefault="00E502B8">
      <w:r>
        <w:rPr>
          <w:rStyle w:val="Strong"/>
          <w:rFonts w:ascii="Arial" w:hAnsi="Arial" w:cs="Arial"/>
          <w:b w:val="0"/>
          <w:sz w:val="20"/>
          <w:szCs w:val="20"/>
          <w:shd w:val="clear" w:color="auto" w:fill="FFFFFF"/>
        </w:rPr>
        <w:t>Welsh Government</w:t>
      </w:r>
      <w:r>
        <w:rPr>
          <w:rStyle w:val="selectable"/>
          <w:rFonts w:ascii="Arial" w:hAnsi="Arial" w:cs="Arial"/>
          <w:sz w:val="20"/>
          <w:szCs w:val="20"/>
          <w:shd w:val="clear" w:color="auto" w:fill="FFFFFF"/>
        </w:rPr>
        <w:t xml:space="preserve">. </w:t>
      </w:r>
      <w:r>
        <w:rPr>
          <w:rStyle w:val="selectable"/>
          <w:rFonts w:ascii="Arial" w:hAnsi="Arial" w:cs="Arial"/>
          <w:color w:val="000000"/>
          <w:sz w:val="20"/>
          <w:szCs w:val="20"/>
          <w:shd w:val="clear" w:color="auto" w:fill="FFFFFF"/>
        </w:rPr>
        <w:t>(2016). </w:t>
      </w:r>
      <w:r>
        <w:rPr>
          <w:rStyle w:val="selectable"/>
          <w:rFonts w:ascii="Arial" w:hAnsi="Arial" w:cs="Arial"/>
          <w:i/>
          <w:iCs/>
          <w:color w:val="000000"/>
          <w:sz w:val="20"/>
          <w:szCs w:val="20"/>
          <w:shd w:val="clear" w:color="auto" w:fill="FFFFFF"/>
        </w:rPr>
        <w:t>Routes to literacy and numeracy</w:t>
      </w:r>
      <w:r>
        <w:rPr>
          <w:rStyle w:val="selectable"/>
          <w:rFonts w:ascii="Arial" w:hAnsi="Arial" w:cs="Arial"/>
          <w:color w:val="000000"/>
          <w:sz w:val="20"/>
          <w:szCs w:val="20"/>
          <w:shd w:val="clear" w:color="auto" w:fill="FFFFFF"/>
        </w:rPr>
        <w:t xml:space="preserve">. [online] Learning.gov.wales. Available at: </w:t>
      </w:r>
      <w:r>
        <w:rPr>
          <w:rStyle w:val="selectable"/>
          <w:rFonts w:ascii="Arial" w:hAnsi="Arial" w:cs="Arial"/>
          <w:color w:val="000000"/>
          <w:sz w:val="20"/>
          <w:szCs w:val="20"/>
          <w:shd w:val="clear" w:color="auto" w:fill="FFFFFF"/>
        </w:rPr>
        <w:t>http://learning.gov.wales/docs/learningwales/publications/151103-routes-to-literacy-and-numeracy-en-v2.pdf [Accessed 23 Nov. 2018].</w:t>
      </w:r>
    </w:p>
    <w:p w:rsidR="00885953" w:rsidRDefault="00E502B8">
      <w:r>
        <w:rPr>
          <w:rFonts w:ascii="Arial" w:hAnsi="Arial" w:cs="Arial"/>
          <w:color w:val="000000"/>
          <w:sz w:val="20"/>
          <w:szCs w:val="20"/>
          <w:shd w:val="clear" w:color="auto" w:fill="FFFFFF"/>
        </w:rPr>
        <w:t>Welsh Government. (2018). </w:t>
      </w:r>
      <w:r>
        <w:rPr>
          <w:rFonts w:ascii="Arial" w:hAnsi="Arial" w:cs="Arial"/>
          <w:i/>
          <w:iCs/>
          <w:color w:val="000000"/>
          <w:sz w:val="20"/>
          <w:szCs w:val="20"/>
          <w:shd w:val="clear" w:color="auto" w:fill="FFFFFF"/>
        </w:rPr>
        <w:t>Welsh Government | The Qualified Teacher Status Standards Wales 2009 (2009 No.25)</w:t>
      </w:r>
      <w:r>
        <w:rPr>
          <w:rFonts w:ascii="Arial" w:hAnsi="Arial" w:cs="Arial"/>
          <w:color w:val="000000"/>
          <w:sz w:val="20"/>
          <w:szCs w:val="20"/>
          <w:shd w:val="clear" w:color="auto" w:fill="FFFFFF"/>
        </w:rPr>
        <w:t>. [online] Gov.wa</w:t>
      </w:r>
      <w:r>
        <w:rPr>
          <w:rFonts w:ascii="Arial" w:hAnsi="Arial" w:cs="Arial"/>
          <w:color w:val="000000"/>
          <w:sz w:val="20"/>
          <w:szCs w:val="20"/>
          <w:shd w:val="clear" w:color="auto" w:fill="FFFFFF"/>
        </w:rPr>
        <w:t>les. Available at: https://gov.wales/legislation/subordinate/nonsi/educationwales/2009/3220099/?lang=en [Accessed 20 Nov. 2018].</w:t>
      </w:r>
    </w:p>
    <w:p w:rsidR="00885953" w:rsidRDefault="00885953">
      <w:pPr>
        <w:rPr>
          <w:rFonts w:ascii="Arial" w:hAnsi="Arial" w:cs="Arial"/>
          <w:color w:val="000000"/>
          <w:sz w:val="20"/>
          <w:szCs w:val="20"/>
          <w:highlight w:val="white"/>
        </w:rPr>
      </w:pPr>
    </w:p>
    <w:p w:rsidR="00C62EB3" w:rsidRPr="00C62EB3" w:rsidRDefault="00E502B8" w:rsidP="00C62EB3">
      <w:pPr>
        <w:ind w:hanging="120"/>
        <w:rPr>
          <w:rFonts w:ascii="Arial" w:hAnsi="Arial" w:cs="Arial"/>
          <w:color w:val="000000"/>
          <w:sz w:val="20"/>
          <w:szCs w:val="20"/>
          <w:shd w:val="clear" w:color="auto" w:fill="FFFFFF"/>
        </w:rPr>
      </w:pPr>
      <w:r>
        <w:rPr>
          <w:rFonts w:ascii="Open Sans;Arial;sans-serif" w:hAnsi="Open Sans;Arial;sans-serif" w:cs="Arial"/>
          <w:color w:val="000000"/>
          <w:sz w:val="20"/>
          <w:szCs w:val="20"/>
          <w:shd w:val="clear" w:color="auto" w:fill="FFFFFF"/>
        </w:rPr>
        <w:t xml:space="preserve">Welsh Government. (2018). (ii) </w:t>
      </w:r>
      <w:r>
        <w:rPr>
          <w:rFonts w:ascii="Open Sans;Arial;sans-serif" w:hAnsi="Open Sans;Arial;sans-serif" w:cs="Arial"/>
          <w:i/>
          <w:color w:val="000000"/>
          <w:sz w:val="20"/>
          <w:szCs w:val="20"/>
          <w:shd w:val="clear" w:color="auto" w:fill="FFFFFF"/>
        </w:rPr>
        <w:t>Learning Wales</w:t>
      </w:r>
      <w:r>
        <w:rPr>
          <w:rFonts w:ascii="Open Sans;Arial;sans-serif" w:hAnsi="Open Sans;Arial;sans-serif" w:cs="Arial"/>
          <w:color w:val="000000"/>
          <w:sz w:val="20"/>
          <w:szCs w:val="20"/>
          <w:shd w:val="clear" w:color="auto" w:fill="FFFFFF"/>
        </w:rPr>
        <w:t xml:space="preserve">. [online] Learning.gov.wales. Available at: </w:t>
      </w:r>
      <w:r>
        <w:rPr>
          <w:rFonts w:ascii="Open Sans;Arial;sans-serif" w:hAnsi="Open Sans;Arial;sans-serif" w:cs="Arial"/>
          <w:color w:val="000000"/>
          <w:sz w:val="20"/>
          <w:szCs w:val="20"/>
          <w:shd w:val="clear" w:color="auto" w:fill="FFFFFF"/>
        </w:rPr>
        <w:t>http://learning.gov.wales/resources/browse-all/digital-competence-framework/?lang=en [Accessed 24 Nov. 2018].</w:t>
      </w:r>
      <w:r>
        <w:rPr>
          <w:rFonts w:ascii="Arial" w:hAnsi="Arial" w:cs="Arial"/>
          <w:color w:val="000000"/>
          <w:sz w:val="20"/>
          <w:szCs w:val="20"/>
          <w:shd w:val="clear" w:color="auto" w:fill="FFFFFF"/>
        </w:rPr>
        <w:t xml:space="preserve"> </w:t>
      </w:r>
    </w:p>
    <w:sectPr w:rsidR="00C62EB3" w:rsidRPr="00C62EB3">
      <w:pgSz w:w="11906" w:h="16838"/>
      <w:pgMar w:top="1440" w:right="1440" w:bottom="1440" w:left="1440" w:header="0" w:footer="0" w:gutter="0"/>
      <w:cols w:space="720"/>
      <w:formProt w:val="0"/>
      <w:docGrid w:linePitch="360" w:charSpace="4096"/>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1" w:usb2="00000009" w:usb3="00000000" w:csb0="000001FF" w:csb1="00000000"/>
  </w:font>
  <w:font w:name="Bliss-Light">
    <w:altName w:val="Times New Roman"/>
    <w:panose1 w:val="00000000000000000000"/>
    <w:charset w:val="00"/>
    <w:family w:val="roman"/>
    <w:notTrueType/>
    <w:pitch w:val="default"/>
  </w:font>
  <w:font w:name="Courier New">
    <w:panose1 w:val="02070309020205020404"/>
    <w:charset w:val="00"/>
    <w:family w:val="modern"/>
    <w:pitch w:val="fixed"/>
    <w:sig w:usb0="E0002AFF" w:usb1="C0007843" w:usb2="00000009" w:usb3="00000000" w:csb0="000001FF" w:csb1="00000000"/>
  </w:font>
  <w:font w:name="Liberation Sans">
    <w:altName w:val="Arial"/>
    <w:charset w:val="00"/>
    <w:family w:val="swiss"/>
    <w:pitch w:val="variable"/>
  </w:font>
  <w:font w:name="Microsoft YaHei">
    <w:panose1 w:val="020B0503020204020204"/>
    <w:charset w:val="86"/>
    <w:family w:val="swiss"/>
    <w:pitch w:val="variable"/>
    <w:sig w:usb0="80000287" w:usb1="280F3C52" w:usb2="00000016" w:usb3="00000000" w:csb0="0004001F" w:csb1="00000000"/>
  </w:font>
  <w:font w:name="Arial">
    <w:panose1 w:val="020B0604020202020204"/>
    <w:charset w:val="00"/>
    <w:family w:val="swiss"/>
    <w:pitch w:val="variable"/>
    <w:sig w:usb0="E0002AFF" w:usb1="C0007843" w:usb2="00000009" w:usb3="00000000" w:csb0="000001FF" w:csb1="00000000"/>
  </w:font>
  <w:font w:name="Tahoma">
    <w:panose1 w:val="020B0604030504040204"/>
    <w:charset w:val="00"/>
    <w:family w:val="swiss"/>
    <w:pitch w:val="variable"/>
    <w:sig w:usb0="E1002EFF" w:usb1="C000605B" w:usb2="00000029" w:usb3="00000000" w:csb0="000101FF" w:csb1="00000000"/>
  </w:font>
  <w:font w:name="Open Sans;Arial;sans-serif">
    <w:altName w:val="Times New Roman"/>
    <w:panose1 w:val="00000000000000000000"/>
    <w:charset w:val="00"/>
    <w:family w:val="roman"/>
    <w:notTrueType/>
    <w:pitch w:val="default"/>
  </w:font>
  <w:font w:name="Calibri Light">
    <w:panose1 w:val="020F0302020204030204"/>
    <w:charset w:val="00"/>
    <w:family w:val="swiss"/>
    <w:pitch w:val="variable"/>
    <w:sig w:usb0="A00002EF" w:usb1="4000207B"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activeWritingStyle w:appName="MSWord" w:lang="en-GB" w:vendorID="64" w:dllVersion="131078" w:nlCheck="1" w:checkStyle="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885953"/>
    <w:rsid w:val="00885953"/>
    <w:rsid w:val="009311DA"/>
    <w:rsid w:val="009367B6"/>
    <w:rsid w:val="00C62EB3"/>
    <w:rsid w:val="00E502B8"/>
  </w:rsids>
  <m:mathPr>
    <m:mathFont m:val="Cambria Math"/>
    <m:brkBin m:val="before"/>
    <m:brkBinSub m:val="--"/>
    <m:smallFrac m:val="0"/>
    <m:dispDef/>
    <m:lMargin m:val="0"/>
    <m:rMargin m:val="0"/>
    <m:defJc m:val="centerGroup"/>
    <m:wrapIndent m:val="1440"/>
    <m:intLim m:val="subSup"/>
    <m:naryLim m:val="undOvr"/>
  </m:mathPr>
  <w:themeFontLang w:val="en-GB" w:eastAsia="" w:bidi=""/>
  <w:clrSchemeMapping w:bg1="light1" w:t1="dark1" w:bg2="light2" w:t2="dark2" w:accent1="accent1" w:accent2="accent2" w:accent3="accent3" w:accent4="accent4" w:accent5="accent5" w:accent6="accent6" w:hyperlink="hyperlink" w:followedHyperlink="followedHyperlink"/>
  <w:shapeDefaults>
    <o:shapedefaults v:ext="edit" spidmax="1038"/>
    <o:shapelayout v:ext="edit">
      <o:idmap v:ext="edit" data="1"/>
    </o:shapelayout>
  </w:shapeDefaults>
  <w:decimalSymbol w:val="."/>
  <w:listSeparator w:val=","/>
  <w14:docId w14:val="05450E7F"/>
  <w15:docId w15:val="{1F7C1225-5F4B-4C9F-B50B-8CC0B5CBE1D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pPr>
      <w:spacing w:after="160" w:line="259" w:lineRule="auto"/>
    </w:p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InternetLink">
    <w:name w:val="Internet Link"/>
    <w:basedOn w:val="DefaultParagraphFont"/>
    <w:uiPriority w:val="99"/>
    <w:unhideWhenUsed/>
    <w:rsid w:val="00626332"/>
    <w:rPr>
      <w:color w:val="0563C1" w:themeColor="hyperlink"/>
      <w:u w:val="single"/>
    </w:rPr>
  </w:style>
  <w:style w:type="character" w:styleId="Strong">
    <w:name w:val="Strong"/>
    <w:basedOn w:val="DefaultParagraphFont"/>
    <w:uiPriority w:val="22"/>
    <w:qFormat/>
    <w:rsid w:val="00390E21"/>
    <w:rPr>
      <w:b/>
      <w:bCs/>
    </w:rPr>
  </w:style>
  <w:style w:type="character" w:customStyle="1" w:styleId="selectable">
    <w:name w:val="selectable"/>
    <w:basedOn w:val="DefaultParagraphFont"/>
    <w:qFormat/>
    <w:rsid w:val="00390E21"/>
  </w:style>
  <w:style w:type="character" w:customStyle="1" w:styleId="ListLabel1">
    <w:name w:val="ListLabel 1"/>
    <w:qFormat/>
    <w:rPr>
      <w:rFonts w:eastAsia="Calibri" w:cs="Bliss-Light"/>
    </w:rPr>
  </w:style>
  <w:style w:type="character" w:customStyle="1" w:styleId="ListLabel2">
    <w:name w:val="ListLabel 2"/>
    <w:qFormat/>
    <w:rPr>
      <w:rFonts w:cs="Courier New"/>
    </w:rPr>
  </w:style>
  <w:style w:type="character" w:customStyle="1" w:styleId="ListLabel3">
    <w:name w:val="ListLabel 3"/>
    <w:qFormat/>
    <w:rPr>
      <w:rFonts w:cs="Courier New"/>
    </w:rPr>
  </w:style>
  <w:style w:type="character" w:customStyle="1" w:styleId="ListLabel4">
    <w:name w:val="ListLabel 4"/>
    <w:qFormat/>
    <w:rPr>
      <w:rFonts w:cs="Courier New"/>
    </w:rPr>
  </w:style>
  <w:style w:type="character" w:customStyle="1" w:styleId="StrongEmphasis">
    <w:name w:val="Strong Emphasis"/>
    <w:qFormat/>
    <w:rPr>
      <w:b/>
      <w:bCs/>
    </w:rPr>
  </w:style>
  <w:style w:type="paragraph" w:customStyle="1" w:styleId="Heading">
    <w:name w:val="Heading"/>
    <w:basedOn w:val="Normal"/>
    <w:next w:val="BodyText"/>
    <w:qFormat/>
    <w:pPr>
      <w:keepNext/>
      <w:spacing w:before="240" w:after="120"/>
    </w:pPr>
    <w:rPr>
      <w:rFonts w:ascii="Liberation Sans" w:eastAsia="Microsoft YaHei" w:hAnsi="Liberation Sans" w:cs="Arial"/>
      <w:sz w:val="28"/>
      <w:szCs w:val="28"/>
    </w:rPr>
  </w:style>
  <w:style w:type="paragraph" w:styleId="BodyText">
    <w:name w:val="Body Text"/>
    <w:basedOn w:val="Normal"/>
    <w:pPr>
      <w:spacing w:after="140" w:line="276" w:lineRule="auto"/>
    </w:pPr>
  </w:style>
  <w:style w:type="paragraph" w:styleId="List">
    <w:name w:val="List"/>
    <w:basedOn w:val="BodyText"/>
    <w:rPr>
      <w:rFonts w:cs="Arial"/>
    </w:rPr>
  </w:style>
  <w:style w:type="paragraph" w:styleId="Caption">
    <w:name w:val="caption"/>
    <w:basedOn w:val="Normal"/>
    <w:qFormat/>
    <w:pPr>
      <w:suppressLineNumbers/>
      <w:spacing w:before="120" w:after="120"/>
    </w:pPr>
    <w:rPr>
      <w:rFonts w:cs="Arial"/>
      <w:i/>
      <w:iCs/>
      <w:sz w:val="24"/>
      <w:szCs w:val="24"/>
    </w:rPr>
  </w:style>
  <w:style w:type="paragraph" w:customStyle="1" w:styleId="Index">
    <w:name w:val="Index"/>
    <w:basedOn w:val="Normal"/>
    <w:qFormat/>
    <w:pPr>
      <w:suppressLineNumbers/>
    </w:pPr>
    <w:rPr>
      <w:rFonts w:cs="Arial"/>
    </w:rPr>
  </w:style>
  <w:style w:type="paragraph" w:styleId="ListParagraph">
    <w:name w:val="List Paragraph"/>
    <w:basedOn w:val="Normal"/>
    <w:uiPriority w:val="34"/>
    <w:qFormat/>
    <w:rsid w:val="00B207B4"/>
    <w:pPr>
      <w:ind w:left="720"/>
      <w:contextualSpacing/>
    </w:pPr>
  </w:style>
  <w:style w:type="paragraph" w:customStyle="1" w:styleId="Char">
    <w:name w:val="Char"/>
    <w:basedOn w:val="Normal"/>
    <w:qFormat/>
    <w:rsid w:val="00B662CB"/>
    <w:pPr>
      <w:spacing w:line="240" w:lineRule="exact"/>
    </w:pPr>
    <w:rPr>
      <w:rFonts w:ascii="Tahoma" w:eastAsia="Times New Roman" w:hAnsi="Tahoma" w:cs="Tahoma"/>
      <w:sz w:val="20"/>
      <w:szCs w:val="20"/>
      <w:lang w:val="en-US"/>
    </w:rPr>
  </w:style>
  <w:style w:type="table" w:styleId="TableGrid">
    <w:name w:val="Table Grid"/>
    <w:basedOn w:val="TableNormal"/>
    <w:uiPriority w:val="39"/>
    <w:rsid w:val="00C62EB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319307606">
      <w:bodyDiv w:val="1"/>
      <w:marLeft w:val="0"/>
      <w:marRight w:val="0"/>
      <w:marTop w:val="0"/>
      <w:marBottom w:val="0"/>
      <w:divBdr>
        <w:top w:val="none" w:sz="0" w:space="0" w:color="auto"/>
        <w:left w:val="none" w:sz="0" w:space="0" w:color="auto"/>
        <w:bottom w:val="none" w:sz="0" w:space="0" w:color="auto"/>
        <w:right w:val="none" w:sz="0" w:space="0" w:color="auto"/>
      </w:divBdr>
    </w:div>
    <w:div w:id="442652909">
      <w:bodyDiv w:val="1"/>
      <w:marLeft w:val="0"/>
      <w:marRight w:val="0"/>
      <w:marTop w:val="0"/>
      <w:marBottom w:val="0"/>
      <w:divBdr>
        <w:top w:val="none" w:sz="0" w:space="0" w:color="auto"/>
        <w:left w:val="none" w:sz="0" w:space="0" w:color="auto"/>
        <w:bottom w:val="none" w:sz="0" w:space="0" w:color="auto"/>
        <w:right w:val="none" w:sz="0" w:space="0" w:color="auto"/>
      </w:divBdr>
    </w:div>
    <w:div w:id="659307170">
      <w:bodyDiv w:val="1"/>
      <w:marLeft w:val="0"/>
      <w:marRight w:val="0"/>
      <w:marTop w:val="0"/>
      <w:marBottom w:val="0"/>
      <w:divBdr>
        <w:top w:val="none" w:sz="0" w:space="0" w:color="auto"/>
        <w:left w:val="none" w:sz="0" w:space="0" w:color="auto"/>
        <w:bottom w:val="none" w:sz="0" w:space="0" w:color="auto"/>
        <w:right w:val="none" w:sz="0" w:space="0" w:color="auto"/>
      </w:divBdr>
    </w:div>
    <w:div w:id="1347515158">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379</TotalTime>
  <Pages>11</Pages>
  <Words>3408</Words>
  <Characters>19429</Characters>
  <Application>Microsoft Office Word</Application>
  <DocSecurity>0</DocSecurity>
  <Lines>161</Lines>
  <Paragraphs>45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22792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ol-profile</dc:creator>
  <dc:description/>
  <cp:lastModifiedBy>ol-profile</cp:lastModifiedBy>
  <cp:revision>22</cp:revision>
  <dcterms:created xsi:type="dcterms:W3CDTF">2018-11-16T12:33:00Z</dcterms:created>
  <dcterms:modified xsi:type="dcterms:W3CDTF">2018-11-26T09:12:00Z</dcterms:modified>
  <dc:language>en-GB</dc:language>
</cp:coreProperties>
</file>

<file path=docProps/custom.xml><?xml version="1.0" encoding="utf-8"?>
<Properties xmlns="http://schemas.openxmlformats.org/officeDocument/2006/custom-properties" xmlns:vt="http://schemas.openxmlformats.org/officeDocument/2006/docPropsVTypes">
  <property fmtid="{D5CDD505-2E9C-101B-9397-08002B2CF9AE}" pid="2" name="AppVersion">
    <vt:lpwstr>16.0000</vt:lpwstr>
  </property>
  <property fmtid="{D5CDD505-2E9C-101B-9397-08002B2CF9AE}" pid="3" name="DocSecurity">
    <vt:i4>0</vt:i4>
  </property>
  <property fmtid="{D5CDD505-2E9C-101B-9397-08002B2CF9AE}" pid="4" name="HyperlinksChanged">
    <vt:bool>false</vt:bool>
  </property>
  <property fmtid="{D5CDD505-2E9C-101B-9397-08002B2CF9AE}" pid="5" name="LinksUpToDate">
    <vt:bool>false</vt:bool>
  </property>
  <property fmtid="{D5CDD505-2E9C-101B-9397-08002B2CF9AE}" pid="6" name="ScaleCrop">
    <vt:bool>false</vt:bool>
  </property>
  <property fmtid="{D5CDD505-2E9C-101B-9397-08002B2CF9AE}" pid="7" name="ShareDoc">
    <vt:bool>false</vt:bool>
  </property>
</Properties>
</file>