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spacing w:line="360" w:lineRule="auto"/>
        <w:jc w:val="center"/>
        <w:rPr>
          <w:rFonts w:ascii="Times New Roman" w:hAnsi="Times New Roman"/>
          <w:sz w:val="52"/>
          <w:szCs w:val="52"/>
        </w:rPr>
      </w:pPr>
    </w:p>
    <w:p>
      <w:pPr>
        <w:pStyle w:val="Title"/>
        <w:spacing w:line="360" w:lineRule="auto"/>
        <w:jc w:val="center"/>
        <w:rPr>
          <w:rFonts w:ascii="Times New Roman" w:hAnsi="Times New Roman"/>
          <w:sz w:val="52"/>
          <w:szCs w:val="52"/>
        </w:rPr>
      </w:pPr>
    </w:p>
    <w:p>
      <w:pPr>
        <w:pStyle w:val="Title"/>
        <w:spacing w:line="360" w:lineRule="auto"/>
        <w:jc w:val="center"/>
        <w:rPr>
          <w:rFonts w:ascii="Times New Roman" w:hAnsi="Times New Roman"/>
          <w:sz w:val="52"/>
          <w:szCs w:val="52"/>
        </w:rPr>
      </w:pPr>
    </w:p>
    <w:p>
      <w:pPr>
        <w:pStyle w:val="Title"/>
        <w:spacing w:line="360" w:lineRule="auto"/>
        <w:jc w:val="center"/>
        <w:rPr>
          <w:rFonts w:ascii="Times New Roman" w:cs="Times New Roman" w:hAnsi="Times New Roman" w:eastAsia="Times New Roman"/>
        </w:rPr>
      </w:pPr>
      <w:r>
        <w:rPr>
          <w:rFonts w:ascii="Times New Roman" w:hAnsi="Times New Roman"/>
          <w:rtl w:val="0"/>
          <w:lang w:val="en-US"/>
        </w:rPr>
        <w:t xml:space="preserve">WRITTEN REPORT </w:t>
      </w:r>
    </w:p>
    <w:p>
      <w:pPr>
        <w:pStyle w:val="Corp"/>
        <w:rPr>
          <w:rFonts w:ascii="Times New Roman" w:cs="Times New Roman" w:hAnsi="Times New Roman" w:eastAsia="Times New Roman"/>
        </w:rPr>
      </w:pPr>
    </w:p>
    <w:p>
      <w:pPr>
        <w:pStyle w:val="Corp"/>
        <w:rPr>
          <w:rFonts w:ascii="Times New Roman" w:cs="Times New Roman" w:hAnsi="Times New Roman" w:eastAsia="Times New Roman"/>
          <w:sz w:val="52"/>
          <w:szCs w:val="52"/>
        </w:rPr>
      </w:pPr>
    </w:p>
    <w:p>
      <w:pPr>
        <w:pStyle w:val="Subtitle"/>
        <w:spacing w:line="360" w:lineRule="auto"/>
        <w:jc w:val="center"/>
        <w:rPr>
          <w:rFonts w:ascii="Times New Roman" w:cs="Times New Roman" w:hAnsi="Times New Roman" w:eastAsia="Times New Roman"/>
          <w:sz w:val="36"/>
          <w:szCs w:val="36"/>
        </w:rPr>
      </w:pPr>
      <w:r>
        <w:rPr>
          <w:rFonts w:ascii="Times New Roman" w:hAnsi="Times New Roman"/>
          <w:sz w:val="52"/>
          <w:szCs w:val="52"/>
          <w:rtl w:val="0"/>
          <w:lang w:val="en-US"/>
        </w:rPr>
        <w:t>STUDENT NAME</w:t>
      </w:r>
      <w:r>
        <w:rPr>
          <w:rFonts w:ascii="Times New Roman" w:hAnsi="Times New Roman"/>
          <w:sz w:val="36"/>
          <w:szCs w:val="36"/>
          <w:rtl w:val="0"/>
          <w:lang w:val="en-US"/>
        </w:rPr>
        <w:t>-</w:t>
      </w:r>
      <w:r>
        <w:rPr>
          <w:rFonts w:ascii="Times New Roman" w:hAnsi="Times New Roman"/>
          <w:sz w:val="36"/>
          <w:szCs w:val="36"/>
          <w:rtl w:val="0"/>
          <w:lang w:val="en-US"/>
        </w:rPr>
        <w:t xml:space="preserve"> Bruma Daniela Ionela </w:t>
      </w:r>
    </w:p>
    <w:p>
      <w:pPr>
        <w:pStyle w:val="Subtitle"/>
        <w:spacing w:line="360" w:lineRule="auto"/>
        <w:jc w:val="center"/>
      </w:pPr>
      <w:r>
        <w:rPr>
          <w:rFonts w:ascii="Times New Roman" w:hAnsi="Times New Roman"/>
          <w:b w:val="1"/>
          <w:bCs w:val="1"/>
          <w:sz w:val="36"/>
          <w:szCs w:val="36"/>
          <w:rtl w:val="0"/>
          <w:lang w:val="en-US"/>
        </w:rPr>
        <w:t xml:space="preserve">ID NUMBER </w:t>
      </w:r>
      <w:r>
        <w:rPr>
          <w:rFonts w:ascii="Times New Roman" w:hAnsi="Times New Roman"/>
          <w:sz w:val="36"/>
          <w:szCs w:val="36"/>
          <w:rtl w:val="0"/>
          <w:lang w:val="en-US"/>
        </w:rPr>
        <w:t>-</w:t>
      </w:r>
      <w:r>
        <w:rPr>
          <w:rFonts w:ascii="Times New Roman" w:hAnsi="Times New Roman"/>
          <w:sz w:val="36"/>
          <w:szCs w:val="36"/>
          <w:rtl w:val="0"/>
          <w:lang w:val="en-US"/>
        </w:rPr>
        <w:t>2128799</w:t>
      </w:r>
    </w:p>
    <w:p>
      <w:pPr>
        <w:pStyle w:val="Corp"/>
      </w:pPr>
    </w:p>
    <w:p>
      <w:pPr>
        <w:pStyle w:val="Corp"/>
      </w:pPr>
    </w:p>
    <w:p>
      <w:pPr>
        <w:pStyle w:val="Corp"/>
        <w:rPr>
          <w:b w:val="1"/>
          <w:bCs w:val="1"/>
        </w:rPr>
      </w:pPr>
      <w:r>
        <w:rPr>
          <w:b w:val="1"/>
          <w:bCs w:val="1"/>
          <w:rtl w:val="0"/>
          <w:lang w:val="en-US"/>
        </w:rPr>
        <w:t xml:space="preserve">Module: Management &amp; Organisational Behaviour </w:t>
      </w:r>
    </w:p>
    <w:p>
      <w:pPr>
        <w:pStyle w:val="Corp"/>
        <w:rPr>
          <w:b w:val="1"/>
          <w:bCs w:val="1"/>
        </w:rPr>
      </w:pPr>
      <w:r>
        <w:rPr>
          <w:b w:val="1"/>
          <w:bCs w:val="1"/>
          <w:rtl w:val="0"/>
          <w:lang w:val="en-US"/>
        </w:rPr>
        <w:t>Lecturer: Maggie Lan Zang</w:t>
      </w: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TOC Heading"/>
      </w:pPr>
      <w:r>
        <w:rPr>
          <w:rtl w:val="0"/>
          <w:lang w:val="en-US"/>
        </w:rPr>
        <w:t>Table of Contents</w:t>
      </w:r>
    </w:p>
    <w:p>
      <w:pPr>
        <w:pStyle w:val="Corp"/>
      </w:pPr>
      <w:r>
        <w:rPr/>
        <w:fldChar w:fldCharType="begin" w:fldLock="0"/>
      </w:r>
      <w:r>
        <w:instrText xml:space="preserve"> TOC \t "Colontitlu, 1,Colontitlu 2, 2"</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Organisational Structure, Culture and Goals</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Recent Change Initiatives, Their Impact and How Well These Were Managed</w:t>
        <w:tab/>
      </w:r>
      <w:r>
        <w:rPr/>
        <w:fldChar w:fldCharType="begin" w:fldLock="0"/>
      </w:r>
      <w:r>
        <w:instrText xml:space="preserve"> PAGEREF _Toc2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Recent Change Initiatives at Hyatt Hotel Group</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Impact of Change Initiatives</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hint="default"/>
          <w:rtl w:val="0"/>
        </w:rPr>
        <w:t>The Organisation’s Strategic Direction and Current Business Performance</w:t>
        <w:tab/>
      </w:r>
      <w:r>
        <w:rPr/>
        <w:fldChar w:fldCharType="begin" w:fldLock="0"/>
      </w:r>
      <w:r>
        <w:instrText xml:space="preserve"> PAGEREF _Toc5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Conclusion</w:t>
        <w:tab/>
      </w:r>
      <w:r>
        <w:rPr/>
        <w:fldChar w:fldCharType="begin" w:fldLock="0"/>
      </w:r>
      <w:r>
        <w:instrText xml:space="preserve"> PAGEREF _Toc6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References</w:t>
        <w:tab/>
      </w:r>
      <w:r>
        <w:rPr/>
        <w:fldChar w:fldCharType="begin" w:fldLock="0"/>
      </w:r>
      <w:r>
        <w:instrText xml:space="preserve"> PAGEREF _Toc7 \h </w:instrText>
      </w:r>
      <w:r>
        <w:rPr/>
        <w:fldChar w:fldCharType="separate" w:fldLock="0"/>
      </w:r>
      <w:r>
        <w:rPr>
          <w:rFonts w:cs="Arial Unicode MS" w:eastAsia="Arial Unicode MS"/>
          <w:rtl w:val="0"/>
        </w:rPr>
        <w:t>14</w:t>
      </w:r>
      <w:r>
        <w:rPr/>
        <w:fldChar w:fldCharType="end" w:fldLock="0"/>
      </w:r>
    </w:p>
    <w:p>
      <w:pPr>
        <w:pStyle w:val="Corp"/>
      </w:pPr>
      <w:r>
        <w:rPr/>
        <w:fldChar w:fldCharType="end" w:fldLock="0"/>
      </w: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p>
    <w:p>
      <w:pPr>
        <w:pStyle w:val="Corp"/>
      </w:pPr>
      <w:r>
        <w:rPr>
          <w:rFonts w:ascii="Arial Unicode MS" w:cs="Arial Unicode MS" w:hAnsi="Arial Unicode MS" w:eastAsia="Arial Unicode MS"/>
          <w:b w:val="0"/>
          <w:bCs w:val="0"/>
          <w:i w:val="0"/>
          <w:iCs w:val="0"/>
          <w:sz w:val="24"/>
          <w:szCs w:val="24"/>
        </w:rPr>
        <w:br w:type="page"/>
      </w:r>
    </w:p>
    <w:p>
      <w:pPr>
        <w:pStyle w:val="Colontitlu"/>
        <w:spacing w:line="360" w:lineRule="auto"/>
        <w:jc w:val="both"/>
        <w:rPr>
          <w:rFonts w:ascii="Times New Roman" w:cs="Times New Roman" w:hAnsi="Times New Roman" w:eastAsia="Times New Roman"/>
          <w:sz w:val="24"/>
          <w:szCs w:val="24"/>
        </w:rPr>
      </w:pPr>
      <w:bookmarkStart w:name="_Toc" w:id="0"/>
      <w:r>
        <w:rPr>
          <w:rFonts w:ascii="Times New Roman" w:hAnsi="Times New Roman"/>
          <w:sz w:val="24"/>
          <w:szCs w:val="24"/>
          <w:rtl w:val="0"/>
          <w:lang w:val="fr-FR"/>
        </w:rPr>
        <w:t>Introduction</w:t>
      </w:r>
      <w:bookmarkEnd w:id="0"/>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report will analyse the organisational structure, culture and goals of Hyatt Hotel Group, and also examine current change initiatives, their influence and how well these were achieved. The study will also discuss the Hyatt Hotel Group</w:t>
      </w:r>
      <w:r>
        <w:rPr>
          <w:rFonts w:ascii="Times New Roman" w:hAnsi="Times New Roman" w:hint="default"/>
          <w:sz w:val="24"/>
          <w:szCs w:val="24"/>
          <w:rtl w:val="0"/>
          <w:lang w:val="en-US"/>
        </w:rPr>
        <w:t>’</w:t>
      </w:r>
      <w:r>
        <w:rPr>
          <w:rFonts w:ascii="Times New Roman" w:hAnsi="Times New Roman"/>
          <w:sz w:val="24"/>
          <w:szCs w:val="24"/>
          <w:rtl w:val="0"/>
          <w:lang w:val="en-US"/>
        </w:rPr>
        <w:t>s strategic direction and contemporary business performance.</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About the Company</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Hotels Business, an international hospitality corporation, is well-known for its promise to offer true experiences for visitors across its different collections of properties. With more than 900 hotels in over 65 nations, Hyatt supplies tourists looking for luxuriousness, expediency, and custom-made facilities. From splendour resorts to inner-city withdrawals and boutique inns, each Hyatt</w:t>
      </w:r>
      <w:r>
        <w:rPr>
          <w:rFonts w:ascii="Times New Roman" w:hAnsi="Times New Roman" w:hint="default"/>
          <w:sz w:val="24"/>
          <w:szCs w:val="24"/>
          <w:rtl w:val="0"/>
          <w:lang w:val="en-US"/>
        </w:rPr>
        <w:t>’</w:t>
      </w:r>
      <w:r>
        <w:rPr>
          <w:rFonts w:ascii="Times New Roman" w:hAnsi="Times New Roman"/>
          <w:sz w:val="24"/>
          <w:szCs w:val="24"/>
          <w:rtl w:val="0"/>
          <w:lang w:val="en-US"/>
        </w:rPr>
        <w:t>s belongings mirror the local principles and provide excellent facilities and lodgings (Hyatt, 2024). The corporation's brands, together with Hyatt Regency, Andaz, Park Hyatt, Grand Hyatt, and further, provide an extensive variety of predilections and requirements. Hyatt's enthusiasm for sustainability and societal accountability is evident through inventiveness such as Hyatt Thrive, which concentrates on societal involvement and conservational management. Whether for commercial or relaxation, Hyatt Hotels Group endures to set the quality for unforgettable and inspiring hospitality exposures</w:t>
      </w:r>
      <w:r>
        <w:rPr>
          <w:rFonts w:ascii="Times New Roman" w:hAnsi="Times New Roman" w:hint="default"/>
          <w:sz w:val="24"/>
          <w:szCs w:val="24"/>
          <w:rtl w:val="0"/>
          <w:lang w:val="en-US"/>
        </w:rPr>
        <w:t> </w:t>
      </w:r>
      <w:r>
        <w:rPr>
          <w:rFonts w:ascii="Times New Roman" w:hAnsi="Times New Roman"/>
          <w:sz w:val="24"/>
          <w:szCs w:val="24"/>
          <w:rtl w:val="0"/>
          <w:lang w:val="en-US"/>
        </w:rPr>
        <w:t>globally.</w:t>
      </w:r>
    </w:p>
    <w:p>
      <w:pPr>
        <w:pStyle w:val="Corp"/>
      </w:pPr>
      <w:r>
        <w:rPr>
          <w:rFonts w:ascii="Arial Unicode MS" w:cs="Arial Unicode MS" w:hAnsi="Arial Unicode MS" w:eastAsia="Arial Unicode MS"/>
          <w:b w:val="0"/>
          <w:bCs w:val="0"/>
          <w:i w:val="0"/>
          <w:iCs w:val="0"/>
          <w:sz w:val="24"/>
          <w:szCs w:val="24"/>
        </w:rPr>
        <w:br w:type="page"/>
      </w:r>
    </w:p>
    <w:p>
      <w:pPr>
        <w:pStyle w:val="Colontitlu"/>
        <w:spacing w:line="360" w:lineRule="auto"/>
        <w:jc w:val="both"/>
        <w:rPr>
          <w:rFonts w:ascii="Times New Roman" w:cs="Times New Roman" w:hAnsi="Times New Roman" w:eastAsia="Times New Roman"/>
          <w:sz w:val="24"/>
          <w:szCs w:val="24"/>
        </w:rPr>
      </w:pPr>
      <w:bookmarkStart w:name="_Toc1" w:id="1"/>
      <w:r>
        <w:rPr>
          <w:rFonts w:ascii="Times New Roman" w:hAnsi="Times New Roman"/>
          <w:sz w:val="24"/>
          <w:szCs w:val="24"/>
          <w:rtl w:val="0"/>
          <w:lang w:val="en-US"/>
        </w:rPr>
        <w:t>Organisational Structure, Culture and Goals</w:t>
      </w:r>
      <w:bookmarkEnd w:id="1"/>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fr-FR"/>
        </w:rPr>
        <w:t>Organisation Structure</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Hotels Company functions under an ordered administrative structure that simplifies well-organised policy-making and active administration across its worldwide processes. At the highest level is the managerial guidance team, directed by the President and Chief Executive Officer. Below this are numerous sections and divisions answerable for diverse characteristics of the business, like processes, advertising, economics, human resources, and growth (Hayat et al, 2022). For example, in 2023, Hyatt declared a restructuring to rationalise its processes and increase its emphasis on important development zones. This rearrangement tangled uniting definite functions and producing novel groups enthusiastic about novelty, sustainability, and digital revolution. As part of this exertion, Hyatt selected new-fangled managers to supervise these ingenuities, shimmering its promise of flexibility and staying forward in a speedily developing business.</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it-IT"/>
        </w:rPr>
        <w:t>Culture</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Hotels Group promotes principles centred on fineness, insertion, and novelty. The corporation is worth multiplicity and struggles to produce an atmosphere where workers feel appreciated, cherished, and allowed to flourish. Hyatt's culture highlights collaboration, honesty, and a desire for hospitality, nurturing a sight of belonging among its employees (Siyal et al, 2022). For example, Hyatt's "Determination and Standards" supervise its culture and managerial procedures. The corporation's determination, "We care for individuals so they possibly will be their superlative," underlines its assurance to both visitors and workers.</w:t>
      </w:r>
      <w:r>
        <w:rPr>
          <w:rtl w:val="0"/>
        </w:rPr>
        <w:t xml:space="preserve"> </w:t>
      </w:r>
      <w:r>
        <w:rPr>
          <w:rFonts w:ascii="Times New Roman" w:hAnsi="Times New Roman"/>
          <w:sz w:val="24"/>
          <w:szCs w:val="24"/>
          <w:rtl w:val="0"/>
          <w:lang w:val="en-US"/>
        </w:rPr>
        <w:t>This attitude is mirrored in inventiveness such as the Hyatt Thrive stage, which encourages sustainability, society participation, and worker contribution. In addition, Hyatt's concentration on multiplicity and insertion is evident through agendas such as the Hyatt Diversity Business Resource Group, which helps understated workers and encourages the principle of being in the right place.</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nl-NL"/>
        </w:rPr>
        <w:t>Goals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Hotels Business sets determined objectives to drive development, increase visitor understanding, and make an optimistic influence on civilisation and the atmosphere. These goals are allied with its long-standing deliberate vision and mirror its pledge to supportable commercial practices, novelty, and corporate societal responsibility (Ghosh, 2023). For example, in current centuries, Hyatt has lined up sustainability as an important deliberate goal. The corporation aims to decrease its conservational footmark, encourage answerable sourcing, and help local societies. As part of its 2025 Environmental, Social, and Governance (ESG) objectives, Hyatt promised to diminish its hydrofluorocarbon release power by 25%, attain carbon impartiality for its maintained and rented properties, and decrease one-use plastics across its procedures. These objectives validate Hyatt's assurance of conservational management and business nationality even though also increasing its brand status and request to ecologically aware customers.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Hotels Group's organisational goals, culture, and structure, are essential to its achievement as an important worldwide hospitality corporation. By nurturing principles of inclusivity, novelty, and sustainability, Hyatt not solitary transports extraordinary exposures for visitors but also generates a helpful and satisfying work atmosphere for its workers. Through deliberate aim-setting and incessant approval, Hyatt remains at the front of the hospitality business, lashing constructive alteration and transporting worth for all</w:t>
      </w:r>
      <w:r>
        <w:rPr>
          <w:rFonts w:ascii="Times New Roman" w:hAnsi="Times New Roman" w:hint="default"/>
          <w:sz w:val="24"/>
          <w:szCs w:val="24"/>
          <w:rtl w:val="0"/>
          <w:lang w:val="en-US"/>
        </w:rPr>
        <w:t> </w:t>
      </w:r>
      <w:r>
        <w:rPr>
          <w:rFonts w:ascii="Times New Roman" w:hAnsi="Times New Roman"/>
          <w:sz w:val="24"/>
          <w:szCs w:val="24"/>
          <w:rtl w:val="0"/>
        </w:rPr>
        <w:t>investors.</w:t>
      </w:r>
    </w:p>
    <w:p>
      <w:pPr>
        <w:pStyle w:val="Corp"/>
        <w:spacing w:line="360" w:lineRule="auto"/>
        <w:jc w:val="both"/>
        <w:rPr>
          <w:rFonts w:ascii="Times New Roman" w:cs="Times New Roman" w:hAnsi="Times New Roman" w:eastAsia="Times New Roman"/>
          <w:sz w:val="24"/>
          <w:szCs w:val="24"/>
        </w:rPr>
      </w:pPr>
    </w:p>
    <w:p>
      <w:pPr>
        <w:pStyle w:val="Corp"/>
      </w:pPr>
      <w:r>
        <w:rPr>
          <w:rFonts w:ascii="Arial Unicode MS" w:cs="Arial Unicode MS" w:hAnsi="Arial Unicode MS" w:eastAsia="Arial Unicode MS"/>
          <w:b w:val="0"/>
          <w:bCs w:val="0"/>
          <w:i w:val="0"/>
          <w:iCs w:val="0"/>
          <w:sz w:val="24"/>
          <w:szCs w:val="24"/>
        </w:rPr>
        <w:br w:type="page"/>
      </w:r>
    </w:p>
    <w:p>
      <w:pPr>
        <w:pStyle w:val="Colontitlu"/>
        <w:spacing w:line="360" w:lineRule="auto"/>
        <w:jc w:val="both"/>
        <w:rPr>
          <w:rFonts w:ascii="Times New Roman" w:cs="Times New Roman" w:hAnsi="Times New Roman" w:eastAsia="Times New Roman"/>
          <w:sz w:val="24"/>
          <w:szCs w:val="24"/>
        </w:rPr>
      </w:pPr>
      <w:bookmarkStart w:name="_Toc2" w:id="2"/>
      <w:r>
        <w:rPr>
          <w:rFonts w:ascii="Times New Roman" w:hAnsi="Times New Roman"/>
          <w:sz w:val="24"/>
          <w:szCs w:val="24"/>
          <w:rtl w:val="0"/>
          <w:lang w:val="en-US"/>
        </w:rPr>
        <w:t>Recent Change Initiatives, Their Impact and How Well These Were Managed</w:t>
      </w:r>
      <w:bookmarkEnd w:id="2"/>
    </w:p>
    <w:p>
      <w:pPr>
        <w:pStyle w:val="Colontitlu 2"/>
        <w:spacing w:line="360" w:lineRule="auto"/>
        <w:jc w:val="both"/>
        <w:rPr>
          <w:rFonts w:ascii="Times New Roman" w:cs="Times New Roman" w:hAnsi="Times New Roman" w:eastAsia="Times New Roman"/>
          <w:sz w:val="24"/>
          <w:szCs w:val="24"/>
        </w:rPr>
      </w:pPr>
      <w:bookmarkStart w:name="_Toc3" w:id="3"/>
      <w:r>
        <w:rPr>
          <w:rFonts w:ascii="Times New Roman" w:hAnsi="Times New Roman"/>
          <w:sz w:val="24"/>
          <w:szCs w:val="24"/>
          <w:rtl w:val="0"/>
          <w:lang w:val="en-US"/>
        </w:rPr>
        <w:t>Recent Change Initiatives at Hyatt Hotel Group</w:t>
      </w:r>
      <w:bookmarkEnd w:id="3"/>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Digital Revolution</w:t>
      </w:r>
      <w:r>
        <w:rPr>
          <w:rFonts w:ascii="Times New Roman" w:hAnsi="Times New Roman"/>
          <w:sz w:val="24"/>
          <w:szCs w:val="24"/>
          <w:rtl w:val="0"/>
          <w:lang w:val="en-US"/>
        </w:rPr>
        <w:t>- Hyatt has been capitalising deeply on digital machinery to increase visitor exposure, rationalise processes, and drive income development (Carlisle et al, 2023). This inventiveness comprises the growth of mobile applications for reservation and handling bookings, executing digital check-in and check-out procedures, and exploiting information analytics to customise visitor facilities.</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Sustainability Efforts</w:t>
      </w:r>
      <w:r>
        <w:rPr>
          <w:rFonts w:ascii="Times New Roman" w:hAnsi="Times New Roman"/>
          <w:sz w:val="24"/>
          <w:szCs w:val="24"/>
          <w:rtl w:val="0"/>
          <w:lang w:val="en-US"/>
        </w:rPr>
        <w:t>- Hyatt has strengthened its concentration on sustainability, pointing to diminish its conservational footmark and encouraging accountable business performances. This includes inventiveness like dipping one-use of plastics, executing energy-saving machinery, and helping local societies through supportable sourcing and public involvement agendas.</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Employee Development and Training</w:t>
      </w:r>
      <w:r>
        <w:rPr>
          <w:rFonts w:ascii="Times New Roman" w:hAnsi="Times New Roman"/>
          <w:sz w:val="24"/>
          <w:szCs w:val="24"/>
          <w:rtl w:val="0"/>
          <w:lang w:val="en-US"/>
        </w:rPr>
        <w:t>- Hyatt distinguishes the significance of capitalising on its workers to confirm first-rate facility distribution and worker pleasure (Carlisle et al, 2023). Current initiatives comprise boosted training agendas, professional growth chances, and inventiveness to encourage multiplicity, fairness, and insertion inside the organisation.</w:t>
      </w:r>
    </w:p>
    <w:p>
      <w:pPr>
        <w:pStyle w:val="Colontitlu 2"/>
        <w:spacing w:line="360" w:lineRule="auto"/>
        <w:jc w:val="both"/>
        <w:rPr>
          <w:rFonts w:ascii="Times New Roman" w:cs="Times New Roman" w:hAnsi="Times New Roman" w:eastAsia="Times New Roman"/>
          <w:sz w:val="24"/>
          <w:szCs w:val="24"/>
        </w:rPr>
      </w:pPr>
      <w:bookmarkStart w:name="_Toc4" w:id="4"/>
      <w:r>
        <w:rPr>
          <w:rFonts w:ascii="Times New Roman" w:hAnsi="Times New Roman"/>
          <w:sz w:val="24"/>
          <w:szCs w:val="24"/>
          <w:rtl w:val="0"/>
          <w:lang w:val="en-US"/>
        </w:rPr>
        <w:t>Impact of Change Initiatives</w:t>
      </w:r>
      <w:bookmarkEnd w:id="4"/>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Boosted Visitor Experience</w:t>
      </w:r>
      <w:r>
        <w:rPr>
          <w:rFonts w:ascii="Times New Roman" w:hAnsi="Times New Roman"/>
          <w:sz w:val="24"/>
          <w:szCs w:val="24"/>
          <w:rtl w:val="0"/>
          <w:lang w:val="en-US"/>
        </w:rPr>
        <w:t>- The digital revolution's inventiveness has meaningfully enhanced the visitant involvement by offering unified reservation procedures, custom-made facilities, and improved expediency with the help of digital facilities (AI Halbusi et al, 2023). This has directed to advanced visitor pleasure notches and enlarged faithfulness, lashing income development for the corporation.</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Ecological Stewardship</w:t>
      </w:r>
      <w:r>
        <w:rPr>
          <w:rFonts w:ascii="Times New Roman" w:hAnsi="Times New Roman"/>
          <w:sz w:val="24"/>
          <w:szCs w:val="24"/>
          <w:rtl w:val="0"/>
          <w:lang w:val="en-US"/>
        </w:rPr>
        <w:t>- Hyatt's sustainability hard work has had an optimistic influence on the atmosphere, dipping its carbon footmark and encouraging supportable performances across its belongings. Visitors are progressively selecting ecologically aware hotels, and Hyatt's promise of sustainability improves its brand status and charm to eco-aware tourists.</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Worker Engagement and Pleasure</w:t>
      </w:r>
      <w:r>
        <w:rPr>
          <w:rFonts w:ascii="Times New Roman" w:hAnsi="Times New Roman"/>
          <w:sz w:val="24"/>
          <w:szCs w:val="24"/>
          <w:rtl w:val="0"/>
          <w:lang w:val="en-US"/>
        </w:rPr>
        <w:t>- The concentration on worker growth and training has an outcome in advanced levels of involvement and job gratification among Hyatt personnel (AI Halbusi et al, 2023). By capitalising on their proficient development and encouraging a principle of inclusivity and admiration, Hyatt has nurtured stirred employees who are enthusiastic about transporting excellent facilities to visitors.</w:t>
      </w:r>
    </w:p>
    <w:p>
      <w:pPr>
        <w:pStyle w:val="Corp"/>
        <w:spacing w:line="360" w:lineRule="auto"/>
        <w:jc w:val="both"/>
        <w:rPr>
          <w:rFonts w:ascii="Times New Roman" w:cs="Times New Roman" w:hAnsi="Times New Roman" w:eastAsia="Times New Roman"/>
          <w:sz w:val="24"/>
          <w:szCs w:val="24"/>
        </w:rPr>
      </w:pPr>
      <w:r>
        <w:rPr>
          <w:rFonts w:ascii="Times New Roman" w:hAnsi="Times New Roman"/>
          <w:outline w:val="0"/>
          <w:color w:val="2f5496"/>
          <w:sz w:val="24"/>
          <w:szCs w:val="24"/>
          <w:u w:color="2f5496"/>
          <w:rtl w:val="0"/>
          <w:lang w:val="en-US"/>
          <w14:textFill>
            <w14:solidFill>
              <w14:srgbClr w14:val="2F5496"/>
            </w14:solidFill>
          </w14:textFill>
        </w:rPr>
        <w:t>Management of Change Initiatives</w:t>
      </w: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Kotter's 8-Step Change Model</w:t>
      </w:r>
      <w:r>
        <w:rPr>
          <w:rFonts w:ascii="Times New Roman" w:hAnsi="Times New Roman"/>
          <w:sz w:val="24"/>
          <w:szCs w:val="24"/>
          <w:rtl w:val="0"/>
          <w:lang w:val="en-US"/>
        </w:rPr>
        <w:t>- Hyatt has efficiently employed Kotter's model by generating a sense of top priority around the requirement for digital revolution and sustainability ingenuities. Hyatt Hotel Group efficiently smears Kotter's 8-step change hypothesis by generating urgency, making a strong coalition, creating a vision for change, communicating the vision, removing obstacles, creating short-range wins, building on the change, and fastening the changes in business culture (</w:t>
      </w:r>
      <w:r>
        <w:rPr>
          <w:rFonts w:ascii="Times New Roman" w:hAnsi="Times New Roman"/>
          <w:outline w:val="0"/>
          <w:color w:val="222222"/>
          <w:sz w:val="24"/>
          <w:szCs w:val="24"/>
          <w:u w:color="222222"/>
          <w:shd w:val="clear" w:color="auto" w:fill="ffffff"/>
          <w:rtl w:val="0"/>
          <w14:textFill>
            <w14:solidFill>
              <w14:srgbClr w14:val="222222"/>
            </w14:solidFill>
          </w14:textFill>
        </w:rPr>
        <w:t>Shrestha, M., 2020)</w:t>
      </w:r>
      <w:r>
        <w:rPr>
          <w:rFonts w:ascii="Times New Roman" w:hAnsi="Times New Roman"/>
          <w:sz w:val="24"/>
          <w:szCs w:val="24"/>
          <w:rtl w:val="0"/>
          <w:lang w:val="en-US"/>
        </w:rPr>
        <w:t>. This methodical method safeguards the fruitful execution of change inventiveness across the</w:t>
      </w:r>
      <w:r>
        <w:rPr>
          <w:rFonts w:ascii="Times New Roman" w:hAnsi="Times New Roman" w:hint="default"/>
          <w:sz w:val="24"/>
          <w:szCs w:val="24"/>
          <w:rtl w:val="0"/>
          <w:lang w:val="en-US"/>
        </w:rPr>
        <w:t> </w:t>
      </w:r>
      <w:r>
        <w:rPr>
          <w:rFonts w:ascii="Times New Roman" w:hAnsi="Times New Roman"/>
          <w:sz w:val="24"/>
          <w:szCs w:val="24"/>
          <w:rtl w:val="0"/>
          <w:lang w:val="en-US"/>
        </w:rPr>
        <w:t>organisation. The corporation's guidance has interconnected the significance of these variations, organised support from main investors, and allowed workers to drive modification at all heights of the organisation.</w:t>
      </w:r>
    </w:p>
    <w:p>
      <w:pPr>
        <w:pStyle w:val="Corp"/>
        <w:keepNext w:val="1"/>
        <w:spacing w:line="360" w:lineRule="auto"/>
        <w:jc w:val="center"/>
      </w:pPr>
      <w:r>
        <w:rPr>
          <w:rFonts w:ascii="Times New Roman" w:cs="Times New Roman" w:hAnsi="Times New Roman" w:eastAsia="Times New Roman"/>
          <w:sz w:val="24"/>
          <w:szCs w:val="24"/>
        </w:rPr>
        <w:drawing xmlns:a="http://schemas.openxmlformats.org/drawingml/2006/main">
          <wp:inline distT="0" distB="0" distL="0" distR="0">
            <wp:extent cx="4022090" cy="2261761"/>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rcRect l="0" t="0" r="10487" b="10512"/>
                    <a:stretch>
                      <a:fillRect/>
                    </a:stretch>
                  </pic:blipFill>
                  <pic:spPr>
                    <a:xfrm>
                      <a:off x="0" y="0"/>
                      <a:ext cx="4022090" cy="2261761"/>
                    </a:xfrm>
                    <a:prstGeom prst="rect">
                      <a:avLst/>
                    </a:prstGeom>
                    <a:ln w="12700" cap="flat">
                      <a:noFill/>
                      <a:miter lim="400000"/>
                    </a:ln>
                    <a:effectLst/>
                  </pic:spPr>
                </pic:pic>
              </a:graphicData>
            </a:graphic>
          </wp:inline>
        </w:drawing>
      </w:r>
    </w:p>
    <w:p>
      <w:pPr>
        <w:pStyle w:val="caption"/>
        <w:jc w:val="center"/>
      </w:pPr>
      <w:r>
        <w:rPr>
          <w:rtl w:val="0"/>
          <w:lang w:val="en-US"/>
        </w:rPr>
        <w:t>Figure 1: Kotter</w:t>
      </w:r>
      <w:r>
        <w:rPr>
          <w:rtl w:val="0"/>
          <w:lang w:val="en-US"/>
        </w:rPr>
        <w:t>’</w:t>
      </w:r>
      <w:r>
        <w:rPr>
          <w:rtl w:val="0"/>
          <w:lang w:val="en-US"/>
        </w:rPr>
        <w:t>s 8-step change model</w:t>
      </w:r>
    </w:p>
    <w:p>
      <w:pPr>
        <w:pStyle w:val="Corp"/>
        <w:jc w:val="center"/>
        <w:rPr>
          <w:rFonts w:ascii="Times New Roman" w:cs="Times New Roman" w:hAnsi="Times New Roman" w:eastAsia="Times New Roman"/>
          <w:sz w:val="20"/>
          <w:szCs w:val="20"/>
        </w:rPr>
      </w:pPr>
      <w:r>
        <w:rPr>
          <w:rFonts w:ascii="Times New Roman" w:hAnsi="Times New Roman"/>
          <w:sz w:val="20"/>
          <w:szCs w:val="20"/>
          <w:rtl w:val="0"/>
          <w:lang w:val="de-DE"/>
        </w:rPr>
        <w:t>(Source- Shrestha, M., 2020)</w:t>
      </w:r>
    </w:p>
    <w:p>
      <w:pPr>
        <w:pStyle w:val="Corp"/>
        <w:jc w:val="center"/>
        <w:rPr>
          <w:rFonts w:ascii="Times New Roman" w:cs="Times New Roman" w:hAnsi="Times New Roman" w:eastAsia="Times New Roman"/>
          <w:sz w:val="20"/>
          <w:szCs w:val="20"/>
        </w:rPr>
      </w:pP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Lewin's Change Management Model</w:t>
      </w:r>
      <w:r>
        <w:rPr>
          <w:rFonts w:ascii="Times New Roman" w:hAnsi="Times New Roman"/>
          <w:sz w:val="24"/>
          <w:szCs w:val="24"/>
          <w:rtl w:val="0"/>
          <w:lang w:val="en-US"/>
        </w:rPr>
        <w:t>- Hyatt has exploited Lewin's hypothesis to simplify the change to a more supportable and digitally determined commercial model. The 3 stages of this model are unfreezing (Preparing for the desired change), change (executing the desired change), and refreezing (hardening the desired change).</w:t>
      </w:r>
      <w:r>
        <w:rPr>
          <w:rFonts w:ascii="Times New Roman" w:hAnsi="Times New Roman"/>
          <w:b w:val="1"/>
          <w:bCs w:val="1"/>
          <w:sz w:val="24"/>
          <w:szCs w:val="24"/>
          <w:rtl w:val="0"/>
        </w:rPr>
        <w:t xml:space="preserve"> </w:t>
      </w:r>
      <w:r>
        <w:rPr>
          <w:rFonts w:ascii="Times New Roman" w:hAnsi="Times New Roman"/>
          <w:sz w:val="24"/>
          <w:szCs w:val="24"/>
          <w:rtl w:val="0"/>
          <w:lang w:val="en-US"/>
        </w:rPr>
        <w:t>By unfreezing current procedures, executing novel inventiveness, and strengthening variations with the help of training and communication, Hyatt has positively handled the change even through diminishing confrontation and disturbance (</w:t>
      </w:r>
      <w:bookmarkStart w:name="_Hlk159503314" w:id="5"/>
      <w:r>
        <w:rPr>
          <w:rFonts w:ascii="Times New Roman" w:hAnsi="Times New Roman"/>
          <w:sz w:val="24"/>
          <w:szCs w:val="24"/>
          <w:rtl w:val="0"/>
          <w:lang w:val="en-US"/>
        </w:rPr>
        <w:t>FitzGibbon and Pohl, 2023</w:t>
      </w:r>
      <w:bookmarkEnd w:id="5"/>
      <w:r>
        <w:rPr>
          <w:rFonts w:ascii="Times New Roman" w:hAnsi="Times New Roman"/>
          <w:sz w:val="24"/>
          <w:szCs w:val="24"/>
          <w:rtl w:val="0"/>
          <w:lang w:val="en-US"/>
        </w:rPr>
        <w:t>). By talking about battle and nurturing adaptation, Hyatt efficiently achieves changes and confirms long-lasting administrative</w:t>
      </w:r>
      <w:r>
        <w:rPr>
          <w:rFonts w:ascii="Times New Roman" w:hAnsi="Times New Roman" w:hint="default"/>
          <w:sz w:val="24"/>
          <w:szCs w:val="24"/>
          <w:rtl w:val="0"/>
          <w:lang w:val="en-US"/>
        </w:rPr>
        <w:t> </w:t>
      </w:r>
      <w:r>
        <w:rPr>
          <w:rFonts w:ascii="Times New Roman" w:hAnsi="Times New Roman"/>
          <w:sz w:val="24"/>
          <w:szCs w:val="24"/>
          <w:rtl w:val="0"/>
          <w:lang w:val="fr-FR"/>
        </w:rPr>
        <w:t>alteration.</w:t>
      </w:r>
    </w:p>
    <w:p>
      <w:pPr>
        <w:pStyle w:val="Corp"/>
        <w:spacing w:line="360" w:lineRule="auto"/>
        <w:jc w:val="both"/>
        <w:rPr>
          <w:rFonts w:ascii="Times New Roman" w:cs="Times New Roman" w:hAnsi="Times New Roman" w:eastAsia="Times New Roman"/>
          <w:sz w:val="24"/>
          <w:szCs w:val="24"/>
        </w:rPr>
      </w:pPr>
    </w:p>
    <w:p>
      <w:pPr>
        <w:pStyle w:val="Corp"/>
        <w:keepNext w:val="1"/>
        <w:spacing w:line="360" w:lineRule="auto"/>
        <w:jc w:val="center"/>
      </w:pPr>
      <w:r>
        <w:rPr>
          <w:rFonts w:ascii="Times New Roman" w:cs="Times New Roman" w:hAnsi="Times New Roman" w:eastAsia="Times New Roman"/>
          <w:sz w:val="24"/>
          <w:szCs w:val="24"/>
        </w:rPr>
        <w:drawing xmlns:a="http://schemas.openxmlformats.org/drawingml/2006/main">
          <wp:inline distT="0" distB="0" distL="0" distR="0">
            <wp:extent cx="4086905" cy="2293620"/>
            <wp:effectExtent l="0" t="0" r="0" b="0"/>
            <wp:docPr id="1073741826" name="officeArt object" descr="Picture 2"/>
            <wp:cNvGraphicFramePr/>
            <a:graphic xmlns:a="http://schemas.openxmlformats.org/drawingml/2006/main">
              <a:graphicData uri="http://schemas.openxmlformats.org/drawingml/2006/picture">
                <pic:pic xmlns:pic="http://schemas.openxmlformats.org/drawingml/2006/picture">
                  <pic:nvPicPr>
                    <pic:cNvPr id="1073741826" name="Picture 2" descr="Picture 2"/>
                    <pic:cNvPicPr>
                      <a:picLocks noChangeAspect="1"/>
                    </pic:cNvPicPr>
                  </pic:nvPicPr>
                  <pic:blipFill>
                    <a:blip r:embed="rId5">
                      <a:extLst/>
                    </a:blip>
                    <a:stretch>
                      <a:fillRect/>
                    </a:stretch>
                  </pic:blipFill>
                  <pic:spPr>
                    <a:xfrm>
                      <a:off x="0" y="0"/>
                      <a:ext cx="4086905" cy="2293620"/>
                    </a:xfrm>
                    <a:prstGeom prst="rect">
                      <a:avLst/>
                    </a:prstGeom>
                    <a:ln w="12700" cap="flat">
                      <a:noFill/>
                      <a:miter lim="400000"/>
                    </a:ln>
                    <a:effectLst/>
                  </pic:spPr>
                </pic:pic>
              </a:graphicData>
            </a:graphic>
          </wp:inline>
        </w:drawing>
      </w:r>
    </w:p>
    <w:p>
      <w:pPr>
        <w:pStyle w:val="caption"/>
        <w:jc w:val="center"/>
      </w:pPr>
      <w:r>
        <w:rPr>
          <w:rtl w:val="0"/>
          <w:lang w:val="en-US"/>
        </w:rPr>
        <w:t>Figure 2: Lewin's Change Management Model</w:t>
      </w:r>
    </w:p>
    <w:p>
      <w:pPr>
        <w:pStyle w:val="Corp"/>
        <w:jc w:val="center"/>
        <w:rPr>
          <w:rFonts w:ascii="Times New Roman" w:cs="Times New Roman" w:hAnsi="Times New Roman" w:eastAsia="Times New Roman"/>
          <w:sz w:val="20"/>
          <w:szCs w:val="20"/>
        </w:rPr>
      </w:pPr>
      <w:r>
        <w:rPr>
          <w:rFonts w:ascii="Times New Roman" w:hAnsi="Times New Roman"/>
          <w:sz w:val="20"/>
          <w:szCs w:val="20"/>
          <w:rtl w:val="0"/>
          <w:lang w:val="en-US"/>
        </w:rPr>
        <w:t>(Source- FitzGibbon and Pohl, 2023)</w:t>
      </w:r>
    </w:p>
    <w:p>
      <w:pPr>
        <w:pStyle w:val="Corp"/>
        <w:jc w:val="center"/>
        <w:rPr>
          <w:rFonts w:ascii="Times New Roman" w:cs="Times New Roman" w:hAnsi="Times New Roman" w:eastAsia="Times New Roman"/>
          <w:sz w:val="20"/>
          <w:szCs w:val="20"/>
        </w:rPr>
      </w:pP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Prosci's ADKAR Model</w:t>
      </w:r>
      <w:r>
        <w:rPr>
          <w:rFonts w:ascii="Times New Roman" w:hAnsi="Times New Roman"/>
          <w:sz w:val="24"/>
          <w:szCs w:val="24"/>
          <w:rtl w:val="0"/>
          <w:lang w:val="en-US"/>
        </w:rPr>
        <w:t>- Hyatt has concentrated on talking about the personal and administrative barricades to alter by using Prosci's ADKAR hypothesis. The ADKAR model stands for awareness (a necessity for a change), desire (partake and support the change), knowledge (how to change), ability (tool chosen abilities and conducts), and reinforcement (sustain to change) (</w:t>
      </w:r>
      <w:bookmarkStart w:name="_Hlk159503566" w:id="6"/>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Ä</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lmeby and Svensson, 2021</w:t>
      </w:r>
      <w:bookmarkEnd w:id="6"/>
      <w:r>
        <w:rPr>
          <w:rFonts w:ascii="Times New Roman" w:hAnsi="Times New Roman"/>
          <w:sz w:val="24"/>
          <w:szCs w:val="24"/>
          <w:rtl w:val="0"/>
          <w:lang w:val="en-US"/>
        </w:rPr>
        <w:t>). By confirming that workers have the information, abilities, and possessions to familiarise themselves with new-fangled machinery and sustainability performances, Hyatt has efficiently handled confrontation to alter and simplify fruitful execution.</w:t>
      </w:r>
    </w:p>
    <w:p>
      <w:pPr>
        <w:pStyle w:val="Corp"/>
        <w:keepNext w:val="1"/>
        <w:spacing w:line="360" w:lineRule="auto"/>
        <w:jc w:val="center"/>
      </w:pPr>
      <w:r>
        <w:rPr>
          <w:rFonts w:ascii="Times New Roman" w:cs="Times New Roman" w:hAnsi="Times New Roman" w:eastAsia="Times New Roman"/>
          <w:sz w:val="24"/>
          <w:szCs w:val="24"/>
        </w:rPr>
        <w:drawing xmlns:a="http://schemas.openxmlformats.org/drawingml/2006/main">
          <wp:inline distT="0" distB="0" distL="0" distR="0">
            <wp:extent cx="3481705" cy="2070895"/>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6">
                      <a:extLst/>
                    </a:blip>
                    <a:stretch>
                      <a:fillRect/>
                    </a:stretch>
                  </pic:blipFill>
                  <pic:spPr>
                    <a:xfrm>
                      <a:off x="0" y="0"/>
                      <a:ext cx="3481705" cy="2070895"/>
                    </a:xfrm>
                    <a:prstGeom prst="rect">
                      <a:avLst/>
                    </a:prstGeom>
                    <a:ln w="12700" cap="flat">
                      <a:noFill/>
                      <a:miter lim="400000"/>
                    </a:ln>
                    <a:effectLst/>
                  </pic:spPr>
                </pic:pic>
              </a:graphicData>
            </a:graphic>
          </wp:inline>
        </w:drawing>
      </w:r>
    </w:p>
    <w:p>
      <w:pPr>
        <w:pStyle w:val="caption"/>
        <w:jc w:val="center"/>
      </w:pPr>
      <w:r>
        <w:rPr>
          <w:rtl w:val="0"/>
          <w:lang w:val="en-US"/>
        </w:rPr>
        <w:t>Figure 3: Prosci's ADKAR Model</w:t>
      </w:r>
    </w:p>
    <w:p>
      <w:pPr>
        <w:pStyle w:val="Corp"/>
        <w:jc w:val="center"/>
        <w:rPr>
          <w:rFonts w:ascii="Times New Roman" w:cs="Times New Roman" w:hAnsi="Times New Roman" w:eastAsia="Times New Roman"/>
          <w:sz w:val="20"/>
          <w:szCs w:val="20"/>
        </w:rPr>
      </w:pPr>
      <w:r>
        <w:rPr>
          <w:rFonts w:ascii="Times New Roman" w:hAnsi="Times New Roman"/>
          <w:sz w:val="20"/>
          <w:szCs w:val="20"/>
          <w:rtl w:val="0"/>
          <w:lang w:val="en-US"/>
        </w:rPr>
        <w:t xml:space="preserve">(Source- </w:t>
      </w:r>
      <w:r>
        <w:rPr>
          <w:rFonts w:ascii="Times New Roman" w:hAnsi="Times New Roman" w:hint="default"/>
          <w:sz w:val="20"/>
          <w:szCs w:val="20"/>
          <w:rtl w:val="0"/>
          <w:lang w:val="en-US"/>
        </w:rPr>
        <w:t>Ä</w:t>
      </w:r>
      <w:r>
        <w:rPr>
          <w:rFonts w:ascii="Times New Roman" w:hAnsi="Times New Roman"/>
          <w:sz w:val="20"/>
          <w:szCs w:val="20"/>
          <w:rtl w:val="0"/>
          <w:lang w:val="en-US"/>
        </w:rPr>
        <w:t>lmeby and Svensson, 2021)</w:t>
      </w:r>
    </w:p>
    <w:p>
      <w:pPr>
        <w:pStyle w:val="Corp"/>
        <w:spacing w:line="360" w:lineRule="auto"/>
        <w:jc w:val="both"/>
        <w:rPr>
          <w:rFonts w:ascii="Times New Roman" w:cs="Times New Roman" w:hAnsi="Times New Roman" w:eastAsia="Times New Roman"/>
          <w:sz w:val="24"/>
          <w:szCs w:val="24"/>
        </w:rPr>
      </w:pP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 Group's current change ingenuities, together with the digital revolution, sustainability hard work, and worker growth, have had a noteworthy influence on the organisation and its investors. By exploiting appropriate change management frameworks and contexts at both the commercial and individual unit levels, Hyatt has positively steered these evolutions even while driving development, increasing visitor exposures, and encouraging sustainability and worker pleasure. As Hyatt continues to progress and familiarise itself with altering market-changing aspects, its promise of novelty, sustainability, and worker growth will continue essential to its achievement in the international hospitality</w:t>
      </w:r>
      <w:r>
        <w:rPr>
          <w:rFonts w:ascii="Times New Roman" w:hAnsi="Times New Roman" w:hint="default"/>
          <w:sz w:val="24"/>
          <w:szCs w:val="24"/>
          <w:rtl w:val="0"/>
          <w:lang w:val="en-US"/>
        </w:rPr>
        <w:t> </w:t>
      </w:r>
      <w:r>
        <w:rPr>
          <w:rFonts w:ascii="Times New Roman" w:hAnsi="Times New Roman"/>
          <w:sz w:val="24"/>
          <w:szCs w:val="24"/>
          <w:rtl w:val="0"/>
        </w:rPr>
        <w:t>business.</w:t>
      </w:r>
    </w:p>
    <w:p>
      <w:pPr>
        <w:pStyle w:val="Corp"/>
        <w:spacing w:line="360" w:lineRule="auto"/>
        <w:jc w:val="both"/>
        <w:rPr>
          <w:rFonts w:ascii="Times New Roman" w:cs="Times New Roman" w:hAnsi="Times New Roman" w:eastAsia="Times New Roman"/>
          <w:sz w:val="24"/>
          <w:szCs w:val="24"/>
        </w:rPr>
      </w:pPr>
    </w:p>
    <w:p>
      <w:pPr>
        <w:pStyle w:val="Corp"/>
      </w:pPr>
      <w:r>
        <w:rPr>
          <w:rFonts w:ascii="Arial Unicode MS" w:cs="Arial Unicode MS" w:hAnsi="Arial Unicode MS" w:eastAsia="Arial Unicode MS"/>
          <w:b w:val="0"/>
          <w:bCs w:val="0"/>
          <w:i w:val="0"/>
          <w:iCs w:val="0"/>
          <w:sz w:val="24"/>
          <w:szCs w:val="24"/>
        </w:rPr>
        <w:br w:type="page"/>
      </w:r>
    </w:p>
    <w:p>
      <w:pPr>
        <w:pStyle w:val="Colontitlu"/>
        <w:spacing w:line="360" w:lineRule="auto"/>
        <w:jc w:val="both"/>
        <w:rPr>
          <w:rFonts w:ascii="Times New Roman" w:cs="Times New Roman" w:hAnsi="Times New Roman" w:eastAsia="Times New Roman"/>
          <w:sz w:val="24"/>
          <w:szCs w:val="24"/>
        </w:rPr>
      </w:pPr>
      <w:bookmarkStart w:name="_Toc5" w:id="7"/>
      <w:r>
        <w:rPr>
          <w:rFonts w:ascii="Times New Roman" w:hAnsi="Times New Roman"/>
          <w:sz w:val="24"/>
          <w:szCs w:val="24"/>
          <w:rtl w:val="0"/>
          <w:lang w:val="fr-FR"/>
        </w:rPr>
        <w:t>The Organisation</w:t>
      </w:r>
      <w:r>
        <w:rPr>
          <w:rFonts w:ascii="Times New Roman" w:hAnsi="Times New Roman" w:hint="default"/>
          <w:sz w:val="24"/>
          <w:szCs w:val="24"/>
          <w:rtl w:val="0"/>
          <w:lang w:val="en-US"/>
        </w:rPr>
        <w:t>’</w:t>
      </w:r>
      <w:r>
        <w:rPr>
          <w:rFonts w:ascii="Times New Roman" w:hAnsi="Times New Roman"/>
          <w:sz w:val="24"/>
          <w:szCs w:val="24"/>
          <w:rtl w:val="0"/>
          <w:lang w:val="en-US"/>
        </w:rPr>
        <w:t>s Strategic Direction and Current Business Performance</w:t>
      </w:r>
      <w:bookmarkEnd w:id="7"/>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fr-FR"/>
        </w:rPr>
        <w:t>Strategic Direction</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 Group's deliberate course is fashioned by its assurance of offering faithful hospitality exposures even though accepting novelty, sustainability, and inclusivity. Important fundamentals of Hyatt's strategic method comprise:</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Portfolio Expansion- Hyatt goals to increase its collection purposefully by concentrating on important marketplaces and sections (Azeem et al, 2021). This includes increasing its occurrence in both well-known and developing marketplaces, as well as escalating its brand collection to supply to various visitant likings and requirements.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Digital Transformation-Hyatt is capitalising on digital machinery to increase visitor exposure, progress working productivity, and drive income development. This consists of inventiveness like mobile applications for reservation and handling bookings, digital check-in and check-out procedures, and statistics analytics for tailored visitor facilities.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Sustainability Guidance- Hyatt is dedicated to being a front-runner in sustainability inside the hospitality business. The corporation has determined aims to diminish its conservational footmark, encourage accountable sourcing, and help home-grown societies with the help of sustainable performances and society participation inventiveness.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Worker Growth and Diversity- Hyatt distinguishes the significance of capitalising on its workers to transport first-class facilities and drive commercial achievement (Azeem et al, 2021). The corporation emphasises offering training and growth chances for workers, encouraging multiplicity, justice, and insertion inside the organisation, and nurturing principles of authorisation and admiration.</w:t>
      </w:r>
    </w:p>
    <w:p>
      <w:pPr>
        <w:pStyle w:val="Corp"/>
        <w:spacing w:line="360" w:lineRule="auto"/>
        <w:jc w:val="both"/>
        <w:rPr>
          <w:rFonts w:ascii="Times New Roman" w:cs="Times New Roman" w:hAnsi="Times New Roman" w:eastAsia="Times New Roman"/>
          <w:b w:val="1"/>
          <w:bCs w:val="1"/>
          <w:sz w:val="24"/>
          <w:szCs w:val="24"/>
        </w:rPr>
      </w:pPr>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Current Business Performance</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Despite ultimatums posed by the COVID-19 epidemic, Hyatt Hotel Group has established flexibility and malleability, with numerous important pointers directing in the direction of a helpful trajectory:</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Economic Performance- Even though the epidemic primarily obstructed Hyatt's economic performance, the corporation has exposed symbols of retrieval in current quarters. In its utmost current incomes report, Hyatt stated enhanced income and tenancy rates related to the former year, shimmering a steady salvage in travel requests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Setiawan and Widyartono, 2020</w:t>
      </w:r>
      <w:r>
        <w:rPr>
          <w:rFonts w:ascii="Times New Roman" w:hAnsi="Times New Roman"/>
          <w:sz w:val="24"/>
          <w:szCs w:val="24"/>
          <w:rtl w:val="0"/>
        </w:rPr>
        <w:t>).</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Brand Growth- Hyatt endures to increase its international footmark through deliberate procurements, collaborations, and new-fangled property intros. Current growths consist of the promotion of new-fangled brands like UrCove by Hyatt and Caption by Hyatt, as well as the increase into novel marketplaces like Africa and India.</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Digital Novelty- Hyatt's digital revolution hard work has boosted its capability to involve visitors and drive straight reservations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Setiawan and Widyartono, 2020</w:t>
      </w:r>
      <w:r>
        <w:rPr>
          <w:rFonts w:ascii="Times New Roman" w:hAnsi="Times New Roman"/>
          <w:sz w:val="24"/>
          <w:szCs w:val="24"/>
          <w:rtl w:val="0"/>
          <w:lang w:val="en-US"/>
        </w:rPr>
        <w:t>). The establishment's mobile application and digital podium have seen enlarged acceptance, permitting visitors to effortlessly book vacations, handle bookings, and admittance custom-made facilities.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Sustainability Ingenuities- Hyatt has made noteworthy developments in the direction of its sustainability objectives, as well as dropping its carbon footmark and encouraging accountable sourcing performances (Sakas et al, 2023). The firm's hard work has been familiar with the help of numerous business prices and accreditations, highlighting its promise of eco-friendly administration.</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Worker Engagement- Hyatt endures to capitalise on its labour force with the help of training, growth, and support agendas. The business's emphasis on worker happiness and professional progression has supported high levels of participation and preservation, driving global facility fineness and visitor pleasure.</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 Group's deliberate course and present business performance mirror its flexibility, malleability, and promise to transport brilliant hospitality involvements (Sakas et al, 2023). Despite provocations posed by the COVID-19 epidemic, Hyatt has continued to revolutionise, enlarge its footmark, and drive sustainability inventiveness even though capitalising on its employees and upholding financial steadiness. As the travel business recoils and progresses, Hyatt is well-placed to take advantage of developing chances and uphold its leadership place in the international hospitality</w:t>
      </w:r>
      <w:r>
        <w:rPr>
          <w:rFonts w:ascii="Times New Roman" w:hAnsi="Times New Roman" w:hint="default"/>
          <w:sz w:val="24"/>
          <w:szCs w:val="24"/>
          <w:rtl w:val="0"/>
          <w:lang w:val="en-US"/>
        </w:rPr>
        <w:t> </w:t>
      </w:r>
      <w:r>
        <w:rPr>
          <w:rFonts w:ascii="Times New Roman" w:hAnsi="Times New Roman"/>
          <w:sz w:val="24"/>
          <w:szCs w:val="24"/>
          <w:rtl w:val="0"/>
          <w:lang w:val="en-US"/>
        </w:rPr>
        <w:t>marketplace.</w:t>
      </w:r>
    </w:p>
    <w:p>
      <w:pPr>
        <w:pStyle w:val="Corp"/>
      </w:pPr>
      <w:r>
        <w:rPr>
          <w:rFonts w:ascii="Arial Unicode MS" w:cs="Arial Unicode MS" w:hAnsi="Arial Unicode MS" w:eastAsia="Arial Unicode MS"/>
          <w:b w:val="0"/>
          <w:bCs w:val="0"/>
          <w:i w:val="0"/>
          <w:iCs w:val="0"/>
          <w:sz w:val="24"/>
          <w:szCs w:val="24"/>
        </w:rPr>
        <w:br w:type="page"/>
      </w:r>
    </w:p>
    <w:p>
      <w:pPr>
        <w:pStyle w:val="Colontitlu"/>
        <w:spacing w:line="360" w:lineRule="auto"/>
        <w:jc w:val="both"/>
        <w:rPr>
          <w:rFonts w:ascii="Times New Roman" w:cs="Times New Roman" w:hAnsi="Times New Roman" w:eastAsia="Times New Roman"/>
          <w:sz w:val="24"/>
          <w:szCs w:val="24"/>
        </w:rPr>
      </w:pPr>
      <w:bookmarkStart w:name="_Toc6" w:id="8"/>
      <w:r>
        <w:rPr>
          <w:rFonts w:ascii="Times New Roman" w:hAnsi="Times New Roman"/>
          <w:sz w:val="24"/>
          <w:szCs w:val="24"/>
          <w:rtl w:val="0"/>
          <w:lang w:val="it-IT"/>
        </w:rPr>
        <w:t>Conclusion</w:t>
      </w:r>
      <w:bookmarkEnd w:id="8"/>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Hyatt Hotel Group stands as an inspiration of suppleness, novelty, and pledge to brilliance in the hospitality commerce. With the help of deliberate growth, digital alteration, sustainability guidance, and worker authorisation, Hyatt endures to set the standard for true visitor exposure. Despite dares, its robust economic performance, brand development, and sustainability exertions display its continuing achievement. As the world reanalyses tourism standards, Hyatt's steadfast devotion to hospitality, united with its flexibility and forward-looking method, confirms its sustained importance as an international front-runner in offering unforgettable and heartening vacations for visitors</w:t>
      </w:r>
      <w:r>
        <w:rPr>
          <w:rFonts w:ascii="Times New Roman" w:hAnsi="Times New Roman" w:hint="default"/>
          <w:sz w:val="24"/>
          <w:szCs w:val="24"/>
          <w:rtl w:val="0"/>
          <w:lang w:val="en-US"/>
        </w:rPr>
        <w:t> </w:t>
      </w:r>
      <w:r>
        <w:rPr>
          <w:rFonts w:ascii="Times New Roman" w:hAnsi="Times New Roman"/>
          <w:sz w:val="24"/>
          <w:szCs w:val="24"/>
          <w:rtl w:val="0"/>
          <w:lang w:val="en-US"/>
        </w:rPr>
        <w:t>globally.</w:t>
      </w:r>
    </w:p>
    <w:p>
      <w:pPr>
        <w:pStyle w:val="Corp"/>
      </w:pPr>
      <w:r>
        <w:rPr>
          <w:rFonts w:ascii="Arial Unicode MS" w:cs="Arial Unicode MS" w:hAnsi="Arial Unicode MS" w:eastAsia="Arial Unicode MS"/>
          <w:b w:val="0"/>
          <w:bCs w:val="0"/>
          <w:i w:val="0"/>
          <w:iCs w:val="0"/>
          <w:sz w:val="24"/>
          <w:szCs w:val="24"/>
        </w:rPr>
        <w:br w:type="page"/>
      </w:r>
    </w:p>
    <w:p>
      <w:pPr>
        <w:pStyle w:val="Colontitlu"/>
        <w:spacing w:line="360" w:lineRule="auto"/>
        <w:jc w:val="both"/>
        <w:rPr>
          <w:rFonts w:ascii="Times New Roman" w:cs="Times New Roman" w:hAnsi="Times New Roman" w:eastAsia="Times New Roman"/>
          <w:sz w:val="24"/>
          <w:szCs w:val="24"/>
        </w:rPr>
      </w:pPr>
      <w:bookmarkStart w:name="_Toc7" w:id="9"/>
      <w:r>
        <w:rPr>
          <w:rFonts w:ascii="Times New Roman" w:hAnsi="Times New Roman"/>
          <w:sz w:val="24"/>
          <w:szCs w:val="24"/>
          <w:rtl w:val="0"/>
          <w:lang w:val="fr-FR"/>
        </w:rPr>
        <w:t>References</w:t>
      </w:r>
      <w:bookmarkEnd w:id="9"/>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Al Halbusi, H., Al-Sulaiti, K., AlAbri, S. and Al-Sulaiti, I. (2023) Individual and psychological factors influencing hotel employee</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 work engagement: The contingent role of self-efficacy.</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Cogent Business &amp; Management</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10</w:t>
      </w:r>
      <w:r>
        <w:rPr>
          <w:rFonts w:ascii="Times New Roman" w:hAnsi="Times New Roman"/>
          <w:outline w:val="0"/>
          <w:color w:val="222222"/>
          <w:sz w:val="24"/>
          <w:szCs w:val="24"/>
          <w:u w:color="222222"/>
          <w:shd w:val="clear" w:color="auto" w:fill="ffffff"/>
          <w:rtl w:val="0"/>
          <w14:textFill>
            <w14:solidFill>
              <w14:srgbClr w14:val="222222"/>
            </w14:solidFill>
          </w14:textFill>
        </w:rPr>
        <w:t>(3), p.2254914.</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Ä</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lmeby, C. and Svensson, A. (2021) How can Organisations Survive in an Increasingly Changing Business Environment?.</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Azeem, M., Ahmed, M., Haider, S. and Sajjad, M. (2021) Expanding competitive advantage through organizational culture, knowledge sharing and organizational innovation.</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Technology in Society</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66</w:t>
      </w:r>
      <w:r>
        <w:rPr>
          <w:rFonts w:ascii="Times New Roman" w:hAnsi="Times New Roman"/>
          <w:outline w:val="0"/>
          <w:color w:val="222222"/>
          <w:sz w:val="24"/>
          <w:szCs w:val="24"/>
          <w:u w:color="222222"/>
          <w:shd w:val="clear" w:color="auto" w:fill="ffffff"/>
          <w:rtl w:val="0"/>
          <w14:textFill>
            <w14:solidFill>
              <w14:srgbClr w14:val="222222"/>
            </w14:solidFill>
          </w14:textFill>
        </w:rPr>
        <w:t>, p.101635.</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Carlisle, S., Ivanov, S. and Dijkmans, C. (2023) The digital skills divide: evidence from the European tourism industry.</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Tourism Futures</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9</w:t>
      </w:r>
      <w:r>
        <w:rPr>
          <w:rFonts w:ascii="Times New Roman" w:hAnsi="Times New Roman"/>
          <w:outline w:val="0"/>
          <w:color w:val="222222"/>
          <w:sz w:val="24"/>
          <w:szCs w:val="24"/>
          <w:u w:color="222222"/>
          <w:shd w:val="clear" w:color="auto" w:fill="ffffff"/>
          <w:rtl w:val="0"/>
          <w14:textFill>
            <w14:solidFill>
              <w14:srgbClr w14:val="222222"/>
            </w14:solidFill>
          </w14:textFill>
        </w:rPr>
        <w:t>(2), pp.240-266.</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FitzGibbon, A.R. and Pohl, N. (2023) Unravelling the Complexity Puzzle: Evaluating the Relevance of Traditional Change Management Models in a Complex Environment.</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Ghosh, M. (2023) Analysing Iot Automation Facilities In Hotel Rooms: Enhancing Guest Experience And Operational Efficiency.</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Rajasthali Journal</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2</w:t>
      </w:r>
      <w:r>
        <w:rPr>
          <w:rFonts w:ascii="Times New Roman" w:hAnsi="Times New Roman"/>
          <w:outline w:val="0"/>
          <w:color w:val="222222"/>
          <w:sz w:val="24"/>
          <w:szCs w:val="24"/>
          <w:u w:color="222222"/>
          <w:shd w:val="clear" w:color="auto" w:fill="ffffff"/>
          <w:rtl w:val="0"/>
          <w14:textFill>
            <w14:solidFill>
              <w14:srgbClr w14:val="222222"/>
            </w14:solidFill>
          </w14:textFill>
        </w:rPr>
        <w:t>(4), pp.54-60.</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Hayat, K., Hafeez, M., Bilal, K. and Shabbir, M.S. (2022) Interactive effects of organizational structure and team work quality on project success in project based non profit organizations.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iRASD Journal of Management</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4</w:t>
      </w:r>
      <w:r>
        <w:rPr>
          <w:rFonts w:ascii="Times New Roman" w:hAnsi="Times New Roman"/>
          <w:outline w:val="0"/>
          <w:color w:val="222222"/>
          <w:sz w:val="24"/>
          <w:szCs w:val="24"/>
          <w:u w:color="222222"/>
          <w:shd w:val="clear" w:color="auto" w:fill="ffffff"/>
          <w:rtl w:val="0"/>
          <w14:textFill>
            <w14:solidFill>
              <w14:srgbClr w14:val="222222"/>
            </w14:solidFill>
          </w14:textFill>
        </w:rPr>
        <w:t>(1), pp.84-103.</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Hyatt, (2024) About Hyatt </w:t>
      </w:r>
      <w:r>
        <w:rPr>
          <w:rFonts w:ascii="Times New Roman" w:hAnsi="Times New Roman"/>
          <w:i w:val="1"/>
          <w:iCs w:val="1"/>
          <w:sz w:val="24"/>
          <w:szCs w:val="24"/>
          <w:rtl w:val="0"/>
        </w:rPr>
        <w:t>Hyatt</w:t>
      </w:r>
      <w:r>
        <w:rPr>
          <w:rFonts w:ascii="Times New Roman" w:hAnsi="Times New Roman"/>
          <w:sz w:val="24"/>
          <w:szCs w:val="24"/>
          <w:rtl w:val="0"/>
          <w:lang w:val="en-US"/>
        </w:rPr>
        <w:t xml:space="preserve"> [ONLINE]. Available at: </w:t>
      </w:r>
      <w:r>
        <w:rPr>
          <w:rStyle w:val="Hyperlink.0"/>
        </w:rPr>
        <w:fldChar w:fldCharType="begin" w:fldLock="0"/>
      </w:r>
      <w:r>
        <w:rPr>
          <w:rStyle w:val="Hyperlink.0"/>
        </w:rPr>
        <w:instrText xml:space="preserve"> HYPERLINK "https://about.hyatt.com/en.html"</w:instrText>
      </w:r>
      <w:r>
        <w:rPr>
          <w:rStyle w:val="Hyperlink.0"/>
        </w:rPr>
        <w:fldChar w:fldCharType="separate" w:fldLock="0"/>
      </w:r>
      <w:r>
        <w:rPr>
          <w:rStyle w:val="Hyperlink.0"/>
          <w:rtl w:val="0"/>
          <w:lang w:val="en-US"/>
        </w:rPr>
        <w:t>https://about.hyatt.com/en.html</w:t>
      </w:r>
      <w:r>
        <w:rPr/>
        <w:fldChar w:fldCharType="end" w:fldLock="0"/>
      </w:r>
      <w:r>
        <w:rPr>
          <w:rFonts w:ascii="Times New Roman" w:hAnsi="Times New Roman"/>
          <w:sz w:val="24"/>
          <w:szCs w:val="24"/>
          <w:rtl w:val="0"/>
          <w:lang w:val="en-US"/>
        </w:rPr>
        <w:t>. [Accessed; 22/02/2024].</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Setiawan, A.S. and Widyartono, A. (2020) The Impactof Novelty And Meaningfulness Creative Marketing Programon Hotel Performance.</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Jurnal Manajemen</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24</w:t>
      </w:r>
      <w:r>
        <w:rPr>
          <w:rFonts w:ascii="Times New Roman" w:hAnsi="Times New Roman"/>
          <w:outline w:val="0"/>
          <w:color w:val="222222"/>
          <w:sz w:val="24"/>
          <w:szCs w:val="24"/>
          <w:u w:color="222222"/>
          <w:shd w:val="clear" w:color="auto" w:fill="ffffff"/>
          <w:rtl w:val="0"/>
          <w14:textFill>
            <w14:solidFill>
              <w14:srgbClr w14:val="222222"/>
            </w14:solidFill>
          </w14:textFill>
        </w:rPr>
        <w:t>(3), pp.342-357.</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Shrestha, M. (2020) Managing Change in Small-Scale Entrepreneurship.</w:t>
      </w:r>
    </w:p>
    <w:p>
      <w:pPr>
        <w:pStyle w:val="Corp"/>
        <w:spacing w:before="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Siyal, S., Ahmad, R., Riaz, S., Xin, C. and Fangcheng, T. (2022) The impact of corporate culture on corporate social responsibility: Role of reputation and corporate sustainability.</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Sustainability</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14</w:t>
      </w:r>
      <w:r>
        <w:rPr>
          <w:rFonts w:ascii="Times New Roman" w:hAnsi="Times New Roman"/>
          <w:outline w:val="0"/>
          <w:color w:val="222222"/>
          <w:sz w:val="24"/>
          <w:szCs w:val="24"/>
          <w:u w:color="222222"/>
          <w:shd w:val="clear" w:color="auto" w:fill="ffffff"/>
          <w:rtl w:val="0"/>
          <w14:textFill>
            <w14:solidFill>
              <w14:srgbClr w14:val="222222"/>
            </w14:solidFill>
          </w14:textFill>
        </w:rPr>
        <w:t>(16), p.10105.</w:t>
      </w:r>
    </w:p>
    <w:p>
      <w:pPr>
        <w:pStyle w:val="Corp"/>
        <w:spacing w:before="240" w:line="360" w:lineRule="auto"/>
        <w:jc w:val="both"/>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Sakas, D.P., Reklitis, D.P., Terzi, M.C. and Glaveli, N. (2023) Growth of digital brand name through customer satisfaction with big data analytics in the hospitality sector after the COVID-19 crisis.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International Journal of Information Management Data Insights</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3</w:t>
      </w:r>
      <w:r>
        <w:rPr>
          <w:rFonts w:ascii="Times New Roman" w:hAnsi="Times New Roman"/>
          <w:outline w:val="0"/>
          <w:color w:val="222222"/>
          <w:sz w:val="24"/>
          <w:szCs w:val="24"/>
          <w:u w:color="222222"/>
          <w:shd w:val="clear" w:color="auto" w:fill="ffffff"/>
          <w:rtl w:val="0"/>
          <w14:textFill>
            <w14:solidFill>
              <w14:srgbClr w14:val="222222"/>
            </w14:solidFill>
          </w14:textFill>
        </w:rPr>
        <w:t xml:space="preserve">(2), p.100190. </w:t>
      </w:r>
      <w:r>
        <w:rPr>
          <w:rFonts w:ascii="Times New Roman" w:cs="Times New Roman" w:hAnsi="Times New Roman" w:eastAsia="Times New Roman"/>
          <w:sz w:val="24"/>
          <w:szCs w:val="24"/>
        </w:rPr>
      </w:r>
    </w:p>
    <w:sectPr>
      <w:headerReference w:type="default" r:id="rId7"/>
      <w:footerReference w:type="default" r:id="rId8"/>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lang w:val="en-US"/>
      <w14:textFill>
        <w14:solidFill>
          <w14:srgbClr w14:val="000000"/>
        </w14:solidFill>
      </w14:textFill>
    </w:rPr>
  </w:style>
  <w:style w:type="paragraph" w:styleId="Title">
    <w:name w:val="Title"/>
    <w:next w:val="Corp"/>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000000"/>
      <w:spacing w:val="-10"/>
      <w:kern w:val="28"/>
      <w:position w:val="0"/>
      <w:sz w:val="56"/>
      <w:szCs w:val="56"/>
      <w:u w:val="none" w:color="000000"/>
      <w:shd w:val="nil" w:color="auto" w:fill="auto"/>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Subtitle">
    <w:name w:val="Subtitle"/>
    <w:next w:val="Corp"/>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5a5a5a"/>
      <w:spacing w:val="15"/>
      <w:kern w:val="2"/>
      <w:position w:val="0"/>
      <w:sz w:val="22"/>
      <w:szCs w:val="22"/>
      <w:u w:val="none" w:color="5a5a5a"/>
      <w:shd w:val="nil" w:color="auto" w:fill="auto"/>
      <w:vertAlign w:val="baseline"/>
      <w:lang w:val="en-US"/>
      <w14:textFill>
        <w14:solidFill>
          <w14:srgbClr w14:val="5A5A5A"/>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lang w:val="en-US"/>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2"/>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59"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lang w:val="en-US"/>
      <w14:textFill>
        <w14:solidFill>
          <w14:srgbClr w14:val="000000"/>
        </w14:solidFill>
      </w14:textFill>
    </w:rPr>
  </w:style>
  <w:style w:type="paragraph" w:styleId="Colontitlu 2">
    <w:name w:val="Colontitlu 2"/>
    <w:next w:val="Corp"/>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2"/>
      <w:position w:val="0"/>
      <w:sz w:val="26"/>
      <w:szCs w:val="26"/>
      <w:u w:val="none" w:color="2f5496"/>
      <w:shd w:val="nil" w:color="auto" w:fill="auto"/>
      <w:vertAlign w:val="baseline"/>
      <w14:textOutline>
        <w14:noFill/>
      </w14:textOutline>
      <w14:textFill>
        <w14:solidFill>
          <w14:srgbClr w14:val="2F5496"/>
        </w14:solidFill>
      </w14:textFill>
    </w:rPr>
  </w:style>
  <w:style w:type="paragraph" w:styleId="caption">
    <w:name w:val="caption"/>
    <w:next w:val="Corp"/>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Calibri" w:cs="Arial Unicode MS" w:hAnsi="Calibri" w:eastAsia="Arial Unicode MS"/>
      <w:b w:val="0"/>
      <w:bCs w:val="0"/>
      <w:i w:val="1"/>
      <w:iCs w:val="1"/>
      <w:caps w:val="0"/>
      <w:smallCaps w:val="0"/>
      <w:strike w:val="0"/>
      <w:dstrike w:val="0"/>
      <w:outline w:val="0"/>
      <w:color w:val="44546a"/>
      <w:spacing w:val="0"/>
      <w:kern w:val="2"/>
      <w:position w:val="0"/>
      <w:sz w:val="18"/>
      <w:szCs w:val="18"/>
      <w:u w:val="none" w:color="44546a"/>
      <w:shd w:val="nil" w:color="auto" w:fill="auto"/>
      <w:vertAlign w:val="baseline"/>
      <w:lang w:val="en-US"/>
      <w14:textOutline w14:w="12700" w14:cap="flat">
        <w14:noFill/>
        <w14:miter w14:lim="400000"/>
      </w14:textOutline>
      <w14:textFill>
        <w14:solidFill>
          <w14:srgbClr w14:val="44546A"/>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sz w:val="24"/>
      <w:szCs w:val="24"/>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457200" rtl="0" fontAlgn="auto" latinLnBrk="0" hangingPunct="0">
          <a:lnSpc>
            <a:spcPct val="100000"/>
          </a:lnSpc>
          <a:spcBef>
            <a:spcPts val="1000"/>
          </a:spcBef>
          <a:spcAft>
            <a:spcPts val="0"/>
          </a:spcAft>
          <a:buClrTx/>
          <a:buSzTx/>
          <a:buFontTx/>
          <a:buNone/>
          <a:tabLst/>
          <a:defRPr b="0" baseline="0" cap="none" i="1" spc="0" strike="noStrike" sz="900" u="none" kumimoji="0" normalizeH="0">
            <a:ln>
              <a:noFill/>
            </a:ln>
            <a:solidFill>
              <a:srgbClr val="44546A"/>
            </a:solidFill>
            <a:effectLst/>
            <a:uFill>
              <a:solidFill>
                <a:srgbClr val="44546A"/>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