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87F99" w14:textId="64169AA4" w:rsidR="00EE057C" w:rsidRPr="00EE057C" w:rsidRDefault="0016497B" w:rsidP="00EE057C">
      <w:pPr>
        <w:widowControl/>
        <w:spacing w:line="480" w:lineRule="auto"/>
        <w:ind w:firstLine="420"/>
        <w:jc w:val="center"/>
        <w:rPr>
          <w:rFonts w:hint="eastAsia"/>
          <w:sz w:val="28"/>
          <w:szCs w:val="28"/>
          <w:lang w:val="en-GB"/>
        </w:rPr>
      </w:pPr>
      <w:r>
        <w:rPr>
          <w:rFonts w:hint="eastAsia"/>
          <w:sz w:val="28"/>
          <w:szCs w:val="28"/>
          <w:lang w:val="en-GB"/>
        </w:rPr>
        <w:t>Looking into the Doctrine of Consideration in Contract Law</w:t>
      </w:r>
    </w:p>
    <w:p w14:paraId="4FC59E3B" w14:textId="067563F6" w:rsidR="003310EF" w:rsidRPr="000C0F73" w:rsidRDefault="00EB1378" w:rsidP="006F5C85">
      <w:pPr>
        <w:widowControl/>
        <w:spacing w:line="480" w:lineRule="auto"/>
        <w:ind w:firstLine="420"/>
        <w:jc w:val="both"/>
        <w:rPr>
          <w:lang w:val="en-GB"/>
        </w:rPr>
      </w:pPr>
      <w:r w:rsidRPr="000C0F73">
        <w:rPr>
          <w:lang w:val="en-GB"/>
        </w:rPr>
        <w:t>Contract</w:t>
      </w:r>
      <w:r w:rsidR="006860C9" w:rsidRPr="000C0F73">
        <w:rPr>
          <w:lang w:val="en-GB"/>
        </w:rPr>
        <w:t xml:space="preserve"> </w:t>
      </w:r>
      <w:r w:rsidR="001A68DE" w:rsidRPr="000C0F73">
        <w:rPr>
          <w:lang w:val="en-GB"/>
        </w:rPr>
        <w:t>law</w:t>
      </w:r>
      <w:r w:rsidR="006860C9" w:rsidRPr="000C0F73">
        <w:rPr>
          <w:lang w:val="en-GB"/>
        </w:rPr>
        <w:t xml:space="preserve"> </w:t>
      </w:r>
      <w:r w:rsidR="001A68DE" w:rsidRPr="000C0F73">
        <w:rPr>
          <w:lang w:val="en-GB"/>
        </w:rPr>
        <w:t>is</w:t>
      </w:r>
      <w:r w:rsidR="006860C9" w:rsidRPr="000C0F73">
        <w:rPr>
          <w:lang w:val="en-GB"/>
        </w:rPr>
        <w:t xml:space="preserve"> </w:t>
      </w:r>
      <w:r w:rsidR="00B45719" w:rsidRPr="000C0F73">
        <w:rPr>
          <w:lang w:val="en-GB"/>
        </w:rPr>
        <w:t>essential</w:t>
      </w:r>
      <w:r w:rsidR="006860C9" w:rsidRPr="000C0F73">
        <w:rPr>
          <w:lang w:val="en-GB"/>
        </w:rPr>
        <w:t xml:space="preserve"> </w:t>
      </w:r>
      <w:r w:rsidR="00B45719" w:rsidRPr="000C0F73">
        <w:rPr>
          <w:lang w:val="en-GB"/>
        </w:rPr>
        <w:t>in</w:t>
      </w:r>
      <w:r w:rsidR="006860C9" w:rsidRPr="000C0F73">
        <w:rPr>
          <w:lang w:val="en-GB"/>
        </w:rPr>
        <w:t xml:space="preserve"> </w:t>
      </w:r>
      <w:r w:rsidR="001A68DE" w:rsidRPr="000C0F73">
        <w:rPr>
          <w:lang w:val="en-GB"/>
        </w:rPr>
        <w:t>business</w:t>
      </w:r>
      <w:r w:rsidR="006860C9" w:rsidRPr="000C0F73">
        <w:rPr>
          <w:lang w:val="en-GB"/>
        </w:rPr>
        <w:t xml:space="preserve"> </w:t>
      </w:r>
      <w:r w:rsidR="00A3486B" w:rsidRPr="000C0F73">
        <w:rPr>
          <w:lang w:val="en-GB"/>
        </w:rPr>
        <w:t>as</w:t>
      </w:r>
      <w:r w:rsidR="006860C9" w:rsidRPr="000C0F73">
        <w:rPr>
          <w:lang w:val="en-GB"/>
        </w:rPr>
        <w:t xml:space="preserve"> </w:t>
      </w:r>
      <w:r w:rsidR="00A3486B" w:rsidRPr="000C0F73">
        <w:rPr>
          <w:lang w:val="en-GB"/>
        </w:rPr>
        <w:t>not</w:t>
      </w:r>
      <w:r w:rsidR="006860C9" w:rsidRPr="000C0F73">
        <w:rPr>
          <w:lang w:val="en-GB"/>
        </w:rPr>
        <w:t xml:space="preserve"> </w:t>
      </w:r>
      <w:r w:rsidR="00A3486B" w:rsidRPr="000C0F73">
        <w:rPr>
          <w:lang w:val="en-GB"/>
        </w:rPr>
        <w:t>only</w:t>
      </w:r>
      <w:r w:rsidR="006860C9" w:rsidRPr="000C0F73">
        <w:rPr>
          <w:lang w:val="en-GB"/>
        </w:rPr>
        <w:t xml:space="preserve"> </w:t>
      </w:r>
      <w:r w:rsidR="00A3486B" w:rsidRPr="000C0F73">
        <w:rPr>
          <w:lang w:val="en-GB"/>
        </w:rPr>
        <w:t>will</w:t>
      </w:r>
      <w:r w:rsidR="006860C9" w:rsidRPr="000C0F73">
        <w:rPr>
          <w:lang w:val="en-GB"/>
        </w:rPr>
        <w:t xml:space="preserve"> </w:t>
      </w:r>
      <w:r w:rsidR="00A3486B" w:rsidRPr="000C0F73">
        <w:rPr>
          <w:lang w:val="en-GB"/>
        </w:rPr>
        <w:t>a</w:t>
      </w:r>
      <w:r w:rsidR="006860C9" w:rsidRPr="000C0F73">
        <w:rPr>
          <w:lang w:val="en-GB"/>
        </w:rPr>
        <w:t xml:space="preserve"> </w:t>
      </w:r>
      <w:r w:rsidR="00A3486B" w:rsidRPr="000C0F73">
        <w:rPr>
          <w:lang w:val="en-GB"/>
        </w:rPr>
        <w:t>contract</w:t>
      </w:r>
      <w:r w:rsidR="006860C9" w:rsidRPr="000C0F73">
        <w:rPr>
          <w:lang w:val="en-GB"/>
        </w:rPr>
        <w:t xml:space="preserve"> </w:t>
      </w:r>
      <w:r w:rsidR="00A3486B" w:rsidRPr="000C0F73">
        <w:rPr>
          <w:lang w:val="en-GB"/>
        </w:rPr>
        <w:t>make</w:t>
      </w:r>
      <w:r w:rsidR="006860C9" w:rsidRPr="000C0F73">
        <w:rPr>
          <w:lang w:val="en-GB"/>
        </w:rPr>
        <w:t xml:space="preserve"> </w:t>
      </w:r>
      <w:r w:rsidR="001A68DE" w:rsidRPr="000C0F73">
        <w:rPr>
          <w:lang w:val="en-GB"/>
        </w:rPr>
        <w:t>private</w:t>
      </w:r>
      <w:r w:rsidR="006860C9" w:rsidRPr="000C0F73">
        <w:rPr>
          <w:lang w:val="en-GB"/>
        </w:rPr>
        <w:t xml:space="preserve"> </w:t>
      </w:r>
      <w:r w:rsidR="001A68DE" w:rsidRPr="000C0F73">
        <w:rPr>
          <w:lang w:val="en-GB"/>
        </w:rPr>
        <w:t>promises</w:t>
      </w:r>
      <w:r w:rsidR="006860C9" w:rsidRPr="000C0F73">
        <w:rPr>
          <w:lang w:val="en-GB"/>
        </w:rPr>
        <w:t xml:space="preserve"> </w:t>
      </w:r>
      <w:r w:rsidR="001A68DE" w:rsidRPr="000C0F73">
        <w:rPr>
          <w:lang w:val="en-GB"/>
        </w:rPr>
        <w:t>legally</w:t>
      </w:r>
      <w:r w:rsidR="006860C9" w:rsidRPr="000C0F73">
        <w:rPr>
          <w:lang w:val="en-GB"/>
        </w:rPr>
        <w:t xml:space="preserve"> </w:t>
      </w:r>
      <w:r w:rsidR="001A68DE" w:rsidRPr="000C0F73">
        <w:rPr>
          <w:lang w:val="en-GB"/>
        </w:rPr>
        <w:t>enforceable</w:t>
      </w:r>
      <w:r w:rsidR="00A3486B" w:rsidRPr="000C0F73">
        <w:rPr>
          <w:lang w:val="en-GB"/>
        </w:rPr>
        <w:t>,</w:t>
      </w:r>
      <w:r w:rsidR="006860C9" w:rsidRPr="000C0F73">
        <w:rPr>
          <w:lang w:val="en-GB"/>
        </w:rPr>
        <w:t xml:space="preserve"> </w:t>
      </w:r>
      <w:r w:rsidR="00A3486B" w:rsidRPr="000C0F73">
        <w:rPr>
          <w:lang w:val="en-GB"/>
        </w:rPr>
        <w:t>but</w:t>
      </w:r>
      <w:r w:rsidR="006860C9" w:rsidRPr="000C0F73">
        <w:rPr>
          <w:lang w:val="en-GB"/>
        </w:rPr>
        <w:t xml:space="preserve"> </w:t>
      </w:r>
      <w:r w:rsidR="00A3486B" w:rsidRPr="000C0F73">
        <w:rPr>
          <w:lang w:val="en-GB"/>
        </w:rPr>
        <w:t>it</w:t>
      </w:r>
      <w:r w:rsidR="006860C9" w:rsidRPr="000C0F73">
        <w:rPr>
          <w:lang w:val="en-GB"/>
        </w:rPr>
        <w:t xml:space="preserve"> </w:t>
      </w:r>
      <w:r w:rsidR="00A3486B" w:rsidRPr="000C0F73">
        <w:rPr>
          <w:lang w:val="en-GB"/>
        </w:rPr>
        <w:t>will</w:t>
      </w:r>
      <w:r w:rsidR="006860C9" w:rsidRPr="000C0F73">
        <w:rPr>
          <w:lang w:val="en-GB"/>
        </w:rPr>
        <w:t xml:space="preserve"> </w:t>
      </w:r>
      <w:r w:rsidR="00A3486B" w:rsidRPr="000C0F73">
        <w:rPr>
          <w:lang w:val="en-GB"/>
        </w:rPr>
        <w:t>also</w:t>
      </w:r>
      <w:r w:rsidR="006860C9" w:rsidRPr="000C0F73">
        <w:rPr>
          <w:lang w:val="en-GB"/>
        </w:rPr>
        <w:t xml:space="preserve"> </w:t>
      </w:r>
      <w:r w:rsidR="00A3486B" w:rsidRPr="000C0F73">
        <w:rPr>
          <w:lang w:val="en-GB"/>
        </w:rPr>
        <w:t>indicate</w:t>
      </w:r>
      <w:r w:rsidR="006860C9" w:rsidRPr="000C0F73">
        <w:rPr>
          <w:lang w:val="en-GB"/>
        </w:rPr>
        <w:t xml:space="preserve"> </w:t>
      </w:r>
      <w:r w:rsidR="00A3486B" w:rsidRPr="000C0F73">
        <w:rPr>
          <w:lang w:val="en-GB"/>
        </w:rPr>
        <w:t>under</w:t>
      </w:r>
      <w:r w:rsidR="006860C9" w:rsidRPr="000C0F73">
        <w:rPr>
          <w:lang w:val="en-GB"/>
        </w:rPr>
        <w:t xml:space="preserve"> </w:t>
      </w:r>
      <w:r w:rsidR="00A3486B" w:rsidRPr="000C0F73">
        <w:rPr>
          <w:lang w:val="en-GB"/>
        </w:rPr>
        <w:t>which</w:t>
      </w:r>
      <w:r w:rsidR="006860C9" w:rsidRPr="000C0F73">
        <w:rPr>
          <w:lang w:val="en-GB"/>
        </w:rPr>
        <w:t xml:space="preserve"> </w:t>
      </w:r>
      <w:r w:rsidR="00A3486B" w:rsidRPr="000C0F73">
        <w:rPr>
          <w:lang w:val="en-GB"/>
        </w:rPr>
        <w:t>jurisdiction</w:t>
      </w:r>
      <w:r w:rsidR="006860C9" w:rsidRPr="000C0F73">
        <w:rPr>
          <w:lang w:val="en-GB"/>
        </w:rPr>
        <w:t xml:space="preserve"> </w:t>
      </w:r>
      <w:r w:rsidR="00A3486B" w:rsidRPr="000C0F73">
        <w:rPr>
          <w:lang w:val="en-GB"/>
        </w:rPr>
        <w:t>a</w:t>
      </w:r>
      <w:r w:rsidR="006860C9" w:rsidRPr="000C0F73">
        <w:rPr>
          <w:lang w:val="en-GB"/>
        </w:rPr>
        <w:t xml:space="preserve"> </w:t>
      </w:r>
      <w:r w:rsidR="00A3486B" w:rsidRPr="000C0F73">
        <w:rPr>
          <w:lang w:val="en-GB"/>
        </w:rPr>
        <w:t>contract</w:t>
      </w:r>
      <w:r w:rsidR="006860C9" w:rsidRPr="000C0F73">
        <w:rPr>
          <w:lang w:val="en-GB"/>
        </w:rPr>
        <w:t xml:space="preserve"> </w:t>
      </w:r>
      <w:r w:rsidR="00A3486B" w:rsidRPr="000C0F73">
        <w:rPr>
          <w:lang w:val="en-GB"/>
        </w:rPr>
        <w:t>is</w:t>
      </w:r>
      <w:r w:rsidR="006860C9" w:rsidRPr="000C0F73">
        <w:rPr>
          <w:lang w:val="en-GB"/>
        </w:rPr>
        <w:t xml:space="preserve"> </w:t>
      </w:r>
      <w:r w:rsidR="00A3486B" w:rsidRPr="000C0F73">
        <w:rPr>
          <w:lang w:val="en-GB"/>
        </w:rPr>
        <w:t>formed.</w:t>
      </w:r>
      <w:r w:rsidR="006860C9" w:rsidRPr="000C0F73">
        <w:rPr>
          <w:lang w:val="en-GB"/>
        </w:rPr>
        <w:t xml:space="preserve"> </w:t>
      </w:r>
      <w:r w:rsidR="00A3486B" w:rsidRPr="000C0F73">
        <w:rPr>
          <w:lang w:val="en-GB"/>
        </w:rPr>
        <w:t>In</w:t>
      </w:r>
      <w:r w:rsidR="006860C9" w:rsidRPr="000C0F73">
        <w:rPr>
          <w:lang w:val="en-GB"/>
        </w:rPr>
        <w:t xml:space="preserve"> </w:t>
      </w:r>
      <w:r w:rsidR="00A3486B" w:rsidRPr="000C0F73">
        <w:rPr>
          <w:lang w:val="en-GB"/>
        </w:rPr>
        <w:t>order</w:t>
      </w:r>
      <w:r w:rsidR="006860C9" w:rsidRPr="000C0F73">
        <w:rPr>
          <w:lang w:val="en-GB"/>
        </w:rPr>
        <w:t xml:space="preserve"> </w:t>
      </w:r>
      <w:r w:rsidR="00A3486B" w:rsidRPr="000C0F73">
        <w:rPr>
          <w:lang w:val="en-GB"/>
        </w:rPr>
        <w:t>to</w:t>
      </w:r>
      <w:r w:rsidR="006860C9" w:rsidRPr="000C0F73">
        <w:rPr>
          <w:lang w:val="en-GB"/>
        </w:rPr>
        <w:t xml:space="preserve"> </w:t>
      </w:r>
      <w:r w:rsidR="00A3486B" w:rsidRPr="000C0F73">
        <w:rPr>
          <w:lang w:val="en-GB"/>
        </w:rPr>
        <w:t>compose</w:t>
      </w:r>
      <w:r w:rsidR="006860C9" w:rsidRPr="000C0F73">
        <w:rPr>
          <w:lang w:val="en-GB"/>
        </w:rPr>
        <w:t xml:space="preserve"> </w:t>
      </w:r>
      <w:r w:rsidR="00A3486B" w:rsidRPr="000C0F73">
        <w:rPr>
          <w:lang w:val="en-GB"/>
        </w:rPr>
        <w:t>a</w:t>
      </w:r>
      <w:r w:rsidR="006860C9" w:rsidRPr="000C0F73">
        <w:rPr>
          <w:lang w:val="en-GB"/>
        </w:rPr>
        <w:t xml:space="preserve"> </w:t>
      </w:r>
      <w:r w:rsidR="00F971AB" w:rsidRPr="000C0F73">
        <w:rPr>
          <w:lang w:val="en-GB"/>
        </w:rPr>
        <w:t>legally</w:t>
      </w:r>
      <w:r w:rsidR="006860C9" w:rsidRPr="000C0F73">
        <w:rPr>
          <w:lang w:val="en-GB"/>
        </w:rPr>
        <w:t xml:space="preserve"> </w:t>
      </w:r>
      <w:r w:rsidR="00F971AB" w:rsidRPr="000C0F73">
        <w:rPr>
          <w:lang w:val="en-GB"/>
        </w:rPr>
        <w:t>binding</w:t>
      </w:r>
      <w:r w:rsidR="006860C9" w:rsidRPr="000C0F73">
        <w:rPr>
          <w:lang w:val="en-GB"/>
        </w:rPr>
        <w:t xml:space="preserve"> </w:t>
      </w:r>
      <w:r w:rsidR="00F971AB" w:rsidRPr="000C0F73">
        <w:rPr>
          <w:lang w:val="en-GB"/>
        </w:rPr>
        <w:t>contract</w:t>
      </w:r>
      <w:r w:rsidR="00A3486B" w:rsidRPr="000C0F73">
        <w:rPr>
          <w:lang w:val="en-GB"/>
        </w:rPr>
        <w:t>,</w:t>
      </w:r>
      <w:r w:rsidR="006860C9" w:rsidRPr="000C0F73">
        <w:rPr>
          <w:lang w:val="en-GB"/>
        </w:rPr>
        <w:t xml:space="preserve"> </w:t>
      </w:r>
      <w:r w:rsidR="00F971AB" w:rsidRPr="000C0F73">
        <w:rPr>
          <w:lang w:val="en-GB"/>
        </w:rPr>
        <w:t>the</w:t>
      </w:r>
      <w:r w:rsidR="006860C9" w:rsidRPr="000C0F73">
        <w:rPr>
          <w:lang w:val="en-GB"/>
        </w:rPr>
        <w:t xml:space="preserve"> </w:t>
      </w:r>
      <w:r w:rsidR="00F971AB" w:rsidRPr="000C0F73">
        <w:rPr>
          <w:lang w:val="en-GB"/>
        </w:rPr>
        <w:t>following</w:t>
      </w:r>
      <w:r w:rsidR="006860C9" w:rsidRPr="000C0F73">
        <w:rPr>
          <w:lang w:val="en-GB"/>
        </w:rPr>
        <w:t xml:space="preserve"> </w:t>
      </w:r>
      <w:r w:rsidR="00F971AB" w:rsidRPr="000C0F73">
        <w:rPr>
          <w:lang w:val="en-GB"/>
        </w:rPr>
        <w:t>essential</w:t>
      </w:r>
      <w:r w:rsidR="006860C9" w:rsidRPr="000C0F73">
        <w:rPr>
          <w:lang w:val="en-GB"/>
        </w:rPr>
        <w:t xml:space="preserve"> </w:t>
      </w:r>
      <w:r w:rsidR="00F971AB" w:rsidRPr="000C0F73">
        <w:rPr>
          <w:lang w:val="en-GB"/>
        </w:rPr>
        <w:t>elements</w:t>
      </w:r>
      <w:r w:rsidR="006860C9" w:rsidRPr="000C0F73">
        <w:rPr>
          <w:lang w:val="en-GB"/>
        </w:rPr>
        <w:t xml:space="preserve"> </w:t>
      </w:r>
      <w:r w:rsidR="00A3486B" w:rsidRPr="000C0F73">
        <w:rPr>
          <w:lang w:val="en-GB"/>
        </w:rPr>
        <w:t>must</w:t>
      </w:r>
      <w:r w:rsidR="006860C9" w:rsidRPr="000C0F73">
        <w:rPr>
          <w:lang w:val="en-GB"/>
        </w:rPr>
        <w:t xml:space="preserve"> </w:t>
      </w:r>
      <w:r w:rsidR="001A548F" w:rsidRPr="000C0F73">
        <w:rPr>
          <w:lang w:val="en-GB"/>
        </w:rPr>
        <w:t>be</w:t>
      </w:r>
      <w:r w:rsidR="006860C9" w:rsidRPr="000C0F73">
        <w:rPr>
          <w:lang w:val="en-GB"/>
        </w:rPr>
        <w:t xml:space="preserve"> </w:t>
      </w:r>
      <w:r w:rsidR="001A548F" w:rsidRPr="000C0F73">
        <w:rPr>
          <w:lang w:val="en-GB"/>
        </w:rPr>
        <w:t>established</w:t>
      </w:r>
      <w:r w:rsidR="00A3486B" w:rsidRPr="000C0F73">
        <w:rPr>
          <w:lang w:val="en-GB"/>
        </w:rPr>
        <w:t>:</w:t>
      </w:r>
      <w:r w:rsidR="006860C9" w:rsidRPr="000C0F73">
        <w:rPr>
          <w:lang w:val="en-GB"/>
        </w:rPr>
        <w:t xml:space="preserve"> </w:t>
      </w:r>
      <w:r w:rsidR="00F971AB" w:rsidRPr="000C0F73">
        <w:rPr>
          <w:lang w:val="en-GB"/>
        </w:rPr>
        <w:t>agreement,</w:t>
      </w:r>
      <w:r w:rsidR="006860C9" w:rsidRPr="000C0F73">
        <w:rPr>
          <w:lang w:val="en-GB"/>
        </w:rPr>
        <w:t xml:space="preserve"> </w:t>
      </w:r>
      <w:r w:rsidR="00F971AB" w:rsidRPr="000C0F73">
        <w:rPr>
          <w:lang w:val="en-GB"/>
        </w:rPr>
        <w:t>certainty,</w:t>
      </w:r>
      <w:r w:rsidR="006860C9" w:rsidRPr="000C0F73">
        <w:rPr>
          <w:lang w:val="en-GB"/>
        </w:rPr>
        <w:t xml:space="preserve"> </w:t>
      </w:r>
      <w:r w:rsidR="00F971AB" w:rsidRPr="000C0F73">
        <w:rPr>
          <w:lang w:val="en-GB"/>
        </w:rPr>
        <w:t>consideration</w:t>
      </w:r>
      <w:r w:rsidR="006860C9" w:rsidRPr="000C0F73">
        <w:rPr>
          <w:lang w:val="en-GB"/>
        </w:rPr>
        <w:t xml:space="preserve"> </w:t>
      </w:r>
      <w:r w:rsidR="00F971AB" w:rsidRPr="000C0F73">
        <w:rPr>
          <w:lang w:val="en-GB"/>
        </w:rPr>
        <w:t>and</w:t>
      </w:r>
      <w:r w:rsidR="006860C9" w:rsidRPr="000C0F73">
        <w:rPr>
          <w:lang w:val="en-GB"/>
        </w:rPr>
        <w:t xml:space="preserve"> </w:t>
      </w:r>
      <w:r w:rsidR="00F971AB" w:rsidRPr="000C0F73">
        <w:rPr>
          <w:lang w:val="en-GB"/>
        </w:rPr>
        <w:t>intention</w:t>
      </w:r>
      <w:r w:rsidR="006860C9" w:rsidRPr="000C0F73">
        <w:rPr>
          <w:lang w:val="en-GB"/>
        </w:rPr>
        <w:t xml:space="preserve"> </w:t>
      </w:r>
      <w:r w:rsidR="00F971AB" w:rsidRPr="000C0F73">
        <w:rPr>
          <w:lang w:val="en-GB"/>
        </w:rPr>
        <w:t>to</w:t>
      </w:r>
      <w:r w:rsidR="006860C9" w:rsidRPr="000C0F73">
        <w:rPr>
          <w:lang w:val="en-GB"/>
        </w:rPr>
        <w:t xml:space="preserve"> </w:t>
      </w:r>
      <w:r w:rsidR="00F971AB" w:rsidRPr="000C0F73">
        <w:rPr>
          <w:lang w:val="en-GB"/>
        </w:rPr>
        <w:t>create</w:t>
      </w:r>
      <w:r w:rsidR="006860C9" w:rsidRPr="000C0F73">
        <w:rPr>
          <w:lang w:val="en-GB"/>
        </w:rPr>
        <w:t xml:space="preserve"> </w:t>
      </w:r>
      <w:r w:rsidR="00F971AB" w:rsidRPr="000C0F73">
        <w:rPr>
          <w:lang w:val="en-GB"/>
        </w:rPr>
        <w:t>a</w:t>
      </w:r>
      <w:r w:rsidR="006860C9" w:rsidRPr="000C0F73">
        <w:rPr>
          <w:lang w:val="en-GB"/>
        </w:rPr>
        <w:t xml:space="preserve"> </w:t>
      </w:r>
      <w:r w:rsidR="00F971AB" w:rsidRPr="000C0F73">
        <w:rPr>
          <w:lang w:val="en-GB"/>
        </w:rPr>
        <w:t>legal</w:t>
      </w:r>
      <w:r w:rsidR="006860C9" w:rsidRPr="000C0F73">
        <w:rPr>
          <w:lang w:val="en-GB"/>
        </w:rPr>
        <w:t xml:space="preserve"> </w:t>
      </w:r>
      <w:r w:rsidR="00F971AB" w:rsidRPr="000C0F73">
        <w:rPr>
          <w:lang w:val="en-GB"/>
        </w:rPr>
        <w:t>relationship.</w:t>
      </w:r>
      <w:r w:rsidR="006860C9" w:rsidRPr="000C0F73">
        <w:rPr>
          <w:lang w:val="en-GB"/>
        </w:rPr>
        <w:t xml:space="preserve"> </w:t>
      </w:r>
      <w:r w:rsidRPr="000C0F73">
        <w:rPr>
          <w:lang w:val="en-GB"/>
        </w:rPr>
        <w:t>Among</w:t>
      </w:r>
      <w:r w:rsidR="006860C9" w:rsidRPr="000C0F73">
        <w:rPr>
          <w:lang w:val="en-GB"/>
        </w:rPr>
        <w:t xml:space="preserve"> </w:t>
      </w:r>
      <w:r w:rsidRPr="000C0F73">
        <w:rPr>
          <w:lang w:val="en-GB"/>
        </w:rPr>
        <w:t>all</w:t>
      </w:r>
      <w:r w:rsidR="006860C9" w:rsidRPr="000C0F73">
        <w:rPr>
          <w:lang w:val="en-GB"/>
        </w:rPr>
        <w:t xml:space="preserve"> </w:t>
      </w:r>
      <w:r w:rsidR="001A548F" w:rsidRPr="000C0F73">
        <w:rPr>
          <w:lang w:val="en-GB"/>
        </w:rPr>
        <w:t>necessary</w:t>
      </w:r>
      <w:r w:rsidR="006860C9" w:rsidRPr="000C0F73">
        <w:rPr>
          <w:lang w:val="en-GB"/>
        </w:rPr>
        <w:t xml:space="preserve"> </w:t>
      </w:r>
      <w:r w:rsidR="001A548F" w:rsidRPr="000C0F73">
        <w:rPr>
          <w:lang w:val="en-GB"/>
        </w:rPr>
        <w:t>components</w:t>
      </w:r>
      <w:r w:rsidRPr="000C0F73">
        <w:rPr>
          <w:lang w:val="en-GB"/>
        </w:rPr>
        <w:t>,</w:t>
      </w:r>
      <w:r w:rsidR="006860C9" w:rsidRPr="000C0F73">
        <w:rPr>
          <w:lang w:val="en-GB"/>
        </w:rPr>
        <w:t xml:space="preserve"> </w:t>
      </w:r>
      <w:r w:rsidRPr="000C0F73">
        <w:rPr>
          <w:lang w:val="en-GB"/>
        </w:rPr>
        <w:t>t</w:t>
      </w:r>
      <w:r w:rsidR="00C96DE4" w:rsidRPr="000C0F73">
        <w:rPr>
          <w:lang w:val="en-GB"/>
        </w:rPr>
        <w:t>he</w:t>
      </w:r>
      <w:r w:rsidR="006860C9" w:rsidRPr="000C0F73">
        <w:rPr>
          <w:lang w:val="en-GB"/>
        </w:rPr>
        <w:t xml:space="preserve"> </w:t>
      </w:r>
      <w:r w:rsidR="001A548F" w:rsidRPr="000C0F73">
        <w:rPr>
          <w:lang w:val="en-GB"/>
        </w:rPr>
        <w:t>doctrine</w:t>
      </w:r>
      <w:r w:rsidR="006860C9" w:rsidRPr="000C0F73">
        <w:rPr>
          <w:lang w:val="en-GB"/>
        </w:rPr>
        <w:t xml:space="preserve"> </w:t>
      </w:r>
      <w:r w:rsidR="00C96DE4" w:rsidRPr="000C0F73">
        <w:rPr>
          <w:lang w:val="en-GB"/>
        </w:rPr>
        <w:t>of</w:t>
      </w:r>
      <w:r w:rsidR="006860C9" w:rsidRPr="000C0F73">
        <w:rPr>
          <w:lang w:val="en-GB"/>
        </w:rPr>
        <w:t xml:space="preserve"> </w:t>
      </w:r>
      <w:r w:rsidR="00C96DE4" w:rsidRPr="000C0F73">
        <w:rPr>
          <w:lang w:val="en-GB"/>
        </w:rPr>
        <w:t>consideration</w:t>
      </w:r>
      <w:r w:rsidR="006860C9" w:rsidRPr="000C0F73">
        <w:rPr>
          <w:lang w:val="en-GB"/>
        </w:rPr>
        <w:t xml:space="preserve"> </w:t>
      </w:r>
      <w:r w:rsidR="00C96DE4" w:rsidRPr="000C0F73">
        <w:rPr>
          <w:lang w:val="en-GB"/>
        </w:rPr>
        <w:t>might</w:t>
      </w:r>
      <w:r w:rsidR="006860C9" w:rsidRPr="000C0F73">
        <w:rPr>
          <w:lang w:val="en-GB"/>
        </w:rPr>
        <w:t xml:space="preserve"> </w:t>
      </w:r>
      <w:r w:rsidR="00C96DE4" w:rsidRPr="000C0F73">
        <w:rPr>
          <w:lang w:val="en-GB"/>
        </w:rPr>
        <w:t>be</w:t>
      </w:r>
      <w:r w:rsidR="006860C9" w:rsidRPr="000C0F73">
        <w:rPr>
          <w:lang w:val="en-GB"/>
        </w:rPr>
        <w:t xml:space="preserve"> </w:t>
      </w:r>
      <w:r w:rsidRPr="000C0F73">
        <w:rPr>
          <w:lang w:val="en-GB"/>
        </w:rPr>
        <w:t>one</w:t>
      </w:r>
      <w:r w:rsidR="006860C9" w:rsidRPr="000C0F73">
        <w:rPr>
          <w:lang w:val="en-GB"/>
        </w:rPr>
        <w:t xml:space="preserve"> </w:t>
      </w:r>
      <w:r w:rsidRPr="000C0F73">
        <w:rPr>
          <w:lang w:val="en-GB"/>
        </w:rPr>
        <w:t>of</w:t>
      </w:r>
      <w:r w:rsidR="006860C9" w:rsidRPr="000C0F73">
        <w:rPr>
          <w:lang w:val="en-GB"/>
        </w:rPr>
        <w:t xml:space="preserve"> </w:t>
      </w:r>
      <w:r w:rsidR="00C96DE4" w:rsidRPr="000C0F73">
        <w:rPr>
          <w:lang w:val="en-GB"/>
        </w:rPr>
        <w:t>the</w:t>
      </w:r>
      <w:r w:rsidR="006860C9" w:rsidRPr="000C0F73">
        <w:rPr>
          <w:lang w:val="en-GB"/>
        </w:rPr>
        <w:t xml:space="preserve"> </w:t>
      </w:r>
      <w:r w:rsidR="00C96DE4" w:rsidRPr="000C0F73">
        <w:rPr>
          <w:lang w:val="en-GB"/>
        </w:rPr>
        <w:t>most</w:t>
      </w:r>
      <w:r w:rsidR="006860C9" w:rsidRPr="000C0F73">
        <w:rPr>
          <w:lang w:val="en-GB"/>
        </w:rPr>
        <w:t xml:space="preserve"> </w:t>
      </w:r>
      <w:r w:rsidR="00C96DE4" w:rsidRPr="000C0F73">
        <w:rPr>
          <w:lang w:val="en-GB"/>
        </w:rPr>
        <w:t>contentious</w:t>
      </w:r>
      <w:r w:rsidR="006860C9" w:rsidRPr="000C0F73">
        <w:rPr>
          <w:lang w:val="en-GB"/>
        </w:rPr>
        <w:t xml:space="preserve"> </w:t>
      </w:r>
      <w:r w:rsidRPr="000C0F73">
        <w:rPr>
          <w:lang w:val="en-GB"/>
        </w:rPr>
        <w:t>topics</w:t>
      </w:r>
      <w:r w:rsidR="006860C9" w:rsidRPr="000C0F73">
        <w:rPr>
          <w:lang w:val="en-GB"/>
        </w:rPr>
        <w:t xml:space="preserve"> </w:t>
      </w:r>
      <w:r w:rsidR="001A548F" w:rsidRPr="000C0F73">
        <w:rPr>
          <w:lang w:val="en-GB"/>
        </w:rPr>
        <w:t>in</w:t>
      </w:r>
      <w:r w:rsidR="006860C9" w:rsidRPr="000C0F73">
        <w:rPr>
          <w:lang w:val="en-GB"/>
        </w:rPr>
        <w:t xml:space="preserve"> </w:t>
      </w:r>
      <w:r w:rsidR="00C96DE4" w:rsidRPr="000C0F73">
        <w:rPr>
          <w:lang w:val="en-GB"/>
        </w:rPr>
        <w:t>contract</w:t>
      </w:r>
      <w:r w:rsidR="006860C9" w:rsidRPr="000C0F73">
        <w:rPr>
          <w:lang w:val="en-GB"/>
        </w:rPr>
        <w:t xml:space="preserve"> </w:t>
      </w:r>
      <w:r w:rsidR="00C96DE4" w:rsidRPr="000C0F73">
        <w:rPr>
          <w:lang w:val="en-GB"/>
        </w:rPr>
        <w:t>law</w:t>
      </w:r>
      <w:r w:rsidR="003310EF" w:rsidRPr="000C0F73">
        <w:rPr>
          <w:lang w:val="en-GB"/>
        </w:rPr>
        <w:t xml:space="preserve">. </w:t>
      </w:r>
      <w:r w:rsidR="00203B42" w:rsidRPr="000C0F73">
        <w:rPr>
          <w:lang w:val="en-GB"/>
        </w:rPr>
        <w:t xml:space="preserve">In </w:t>
      </w:r>
      <w:r w:rsidR="009472DE" w:rsidRPr="000C0F73">
        <w:rPr>
          <w:rFonts w:hint="eastAsia"/>
          <w:lang w:val="en-GB"/>
        </w:rPr>
        <w:t xml:space="preserve">the case of </w:t>
      </w:r>
      <w:r w:rsidR="00203B42" w:rsidRPr="000C0F73">
        <w:rPr>
          <w:lang w:val="en-GB"/>
        </w:rPr>
        <w:t>‘Currie v Misa’</w:t>
      </w:r>
      <w:r w:rsidR="009472DE" w:rsidRPr="000C0F73">
        <w:rPr>
          <w:rFonts w:hint="eastAsia"/>
          <w:lang w:val="en-GB"/>
        </w:rPr>
        <w:t xml:space="preserve"> (</w:t>
      </w:r>
      <w:r w:rsidR="00203B42" w:rsidRPr="000C0F73">
        <w:rPr>
          <w:lang w:val="en-GB"/>
        </w:rPr>
        <w:t>1875), the concept of consideration was first established by Lord Lush stating that</w:t>
      </w:r>
      <w:r w:rsidR="00203B42" w:rsidRPr="000C0F73">
        <w:rPr>
          <w:rFonts w:hint="eastAsia"/>
          <w:lang w:val="en-GB"/>
        </w:rPr>
        <w:t xml:space="preserve"> valuable consideration</w:t>
      </w:r>
      <w:r w:rsidR="00203B42" w:rsidRPr="000C0F73">
        <w:rPr>
          <w:lang w:val="en-GB"/>
        </w:rPr>
        <w:t>, “</w:t>
      </w:r>
      <w:r w:rsidR="00203B42" w:rsidRPr="000C0F73">
        <w:rPr>
          <w:rFonts w:hint="eastAsia"/>
          <w:lang w:val="en-GB"/>
        </w:rPr>
        <w:t>c</w:t>
      </w:r>
      <w:r w:rsidR="00203B42" w:rsidRPr="000C0F73">
        <w:rPr>
          <w:lang w:val="en-GB"/>
        </w:rPr>
        <w:t>onsist either in some right, interest, profit, or benefit accruing to the one party, or some forbearance, detriment, loss, or responsibility, given, suffered, or undertaken by the other”</w:t>
      </w:r>
      <w:r w:rsidR="00203B42" w:rsidRPr="000C0F73">
        <w:rPr>
          <w:rFonts w:hint="eastAsia"/>
          <w:lang w:val="en-GB"/>
        </w:rPr>
        <w:t xml:space="preserve">. In the </w:t>
      </w:r>
      <w:r w:rsidR="00203B42" w:rsidRPr="000C0F73">
        <w:rPr>
          <w:lang w:val="en-GB"/>
        </w:rPr>
        <w:t>latter</w:t>
      </w:r>
      <w:r w:rsidR="00203B42" w:rsidRPr="000C0F73">
        <w:rPr>
          <w:rFonts w:hint="eastAsia"/>
          <w:lang w:val="en-GB"/>
        </w:rPr>
        <w:t xml:space="preserve"> case</w:t>
      </w:r>
      <w:r w:rsidR="00203B42" w:rsidRPr="000C0F73">
        <w:rPr>
          <w:lang w:val="en-GB"/>
        </w:rPr>
        <w:t xml:space="preserve"> (‘Dunlop Pneumatic Tyre Co Ltd v Selfridge &amp; Co, Ltd’, 1915)</w:t>
      </w:r>
      <w:r w:rsidR="00203B42" w:rsidRPr="000C0F73">
        <w:rPr>
          <w:rFonts w:hint="eastAsia"/>
          <w:lang w:val="en-GB"/>
        </w:rPr>
        <w:t>,</w:t>
      </w:r>
      <w:r w:rsidR="00203B42" w:rsidRPr="000C0F73">
        <w:rPr>
          <w:lang w:val="en-GB"/>
        </w:rPr>
        <w:t xml:space="preserve"> consideration </w:t>
      </w:r>
      <w:r w:rsidR="00203B42" w:rsidRPr="000C0F73">
        <w:rPr>
          <w:rFonts w:hint="eastAsia"/>
          <w:lang w:val="en-GB"/>
        </w:rPr>
        <w:t>was identified as</w:t>
      </w:r>
      <w:r w:rsidR="00203B42" w:rsidRPr="000C0F73">
        <w:rPr>
          <w:lang w:val="en-GB"/>
        </w:rPr>
        <w:t xml:space="preserve"> “a forbearance, a promise, an asset or an act which provides for the other party’s promise”. </w:t>
      </w:r>
      <w:r w:rsidR="00D53B10" w:rsidRPr="000C0F73">
        <w:rPr>
          <w:rFonts w:hint="eastAsia"/>
          <w:lang w:val="en-GB"/>
        </w:rPr>
        <w:t xml:space="preserve">Consequently, consideration came with a series of rules which </w:t>
      </w:r>
      <w:r w:rsidR="00D53B10" w:rsidRPr="000C0F73">
        <w:rPr>
          <w:lang w:val="en-GB"/>
        </w:rPr>
        <w:t>regulate</w:t>
      </w:r>
      <w:r w:rsidR="00D53B10" w:rsidRPr="000C0F73">
        <w:rPr>
          <w:rFonts w:hint="eastAsia"/>
          <w:lang w:val="en-GB"/>
        </w:rPr>
        <w:t xml:space="preserve"> the formation of </w:t>
      </w:r>
      <w:r w:rsidR="00D53B10" w:rsidRPr="000C0F73">
        <w:rPr>
          <w:lang w:val="en-GB"/>
        </w:rPr>
        <w:t>contracts</w:t>
      </w:r>
      <w:r w:rsidR="00D53B10" w:rsidRPr="000C0F73">
        <w:rPr>
          <w:rFonts w:hint="eastAsia"/>
          <w:lang w:val="en-GB"/>
        </w:rPr>
        <w:t xml:space="preserve"> appropriately according to its </w:t>
      </w:r>
      <w:r w:rsidR="00D53B10" w:rsidRPr="000C0F73">
        <w:rPr>
          <w:lang w:val="en-GB"/>
        </w:rPr>
        <w:t>definitions</w:t>
      </w:r>
      <w:r w:rsidR="00D53B10" w:rsidRPr="000C0F73">
        <w:rPr>
          <w:rFonts w:hint="eastAsia"/>
          <w:lang w:val="en-GB"/>
        </w:rPr>
        <w:t xml:space="preserve">. </w:t>
      </w:r>
      <w:r w:rsidR="00BB75B8" w:rsidRPr="000C0F73">
        <w:rPr>
          <w:lang w:val="en-GB"/>
        </w:rPr>
        <w:t>However</w:t>
      </w:r>
      <w:r w:rsidR="00BB75B8" w:rsidRPr="000C0F73">
        <w:rPr>
          <w:rFonts w:hint="eastAsia"/>
          <w:lang w:val="en-GB"/>
        </w:rPr>
        <w:t>,</w:t>
      </w:r>
      <w:r w:rsidR="00D53B10" w:rsidRPr="000C0F73">
        <w:rPr>
          <w:rFonts w:hint="eastAsia"/>
          <w:lang w:val="en-GB"/>
        </w:rPr>
        <w:t xml:space="preserve"> it was later established </w:t>
      </w:r>
      <w:r w:rsidR="00B12BE0" w:rsidRPr="000C0F73">
        <w:rPr>
          <w:rFonts w:hint="eastAsia"/>
          <w:lang w:val="en-GB"/>
        </w:rPr>
        <w:t xml:space="preserve">by </w:t>
      </w:r>
      <w:r w:rsidR="00BB75B8" w:rsidRPr="000C0F73">
        <w:rPr>
          <w:rFonts w:hint="eastAsia"/>
          <w:lang w:val="en-GB"/>
        </w:rPr>
        <w:t xml:space="preserve">some </w:t>
      </w:r>
      <w:r w:rsidR="00B12BE0" w:rsidRPr="000C0F73">
        <w:rPr>
          <w:rFonts w:hint="eastAsia"/>
          <w:lang w:val="en-GB"/>
        </w:rPr>
        <w:t xml:space="preserve">exceptional cases and the introduction of </w:t>
      </w:r>
      <w:r w:rsidR="00BB75B8" w:rsidRPr="000C0F73">
        <w:rPr>
          <w:rFonts w:hint="eastAsia"/>
          <w:lang w:val="en-GB"/>
        </w:rPr>
        <w:t xml:space="preserve">the concept of </w:t>
      </w:r>
      <w:r w:rsidR="00B12BE0" w:rsidRPr="000C0F73">
        <w:rPr>
          <w:rFonts w:hint="eastAsia"/>
          <w:lang w:val="en-GB"/>
        </w:rPr>
        <w:t xml:space="preserve">promissory estoppel </w:t>
      </w:r>
      <w:r w:rsidR="00D53B10" w:rsidRPr="000C0F73">
        <w:rPr>
          <w:rFonts w:hint="eastAsia"/>
          <w:lang w:val="en-GB"/>
        </w:rPr>
        <w:t xml:space="preserve">that </w:t>
      </w:r>
      <w:r w:rsidR="00BB75B8" w:rsidRPr="000C0F73">
        <w:rPr>
          <w:rFonts w:hint="eastAsia"/>
          <w:lang w:val="en-GB"/>
        </w:rPr>
        <w:t xml:space="preserve">there </w:t>
      </w:r>
      <w:r w:rsidR="00BB75B8" w:rsidRPr="000C0F73">
        <w:rPr>
          <w:lang w:val="en-GB"/>
        </w:rPr>
        <w:t>exist</w:t>
      </w:r>
      <w:r w:rsidR="00BB75B8" w:rsidRPr="000C0F73">
        <w:rPr>
          <w:rFonts w:hint="eastAsia"/>
          <w:lang w:val="en-GB"/>
        </w:rPr>
        <w:t xml:space="preserve"> some deficits </w:t>
      </w:r>
      <w:r w:rsidR="00BB75B8" w:rsidRPr="000C0F73">
        <w:rPr>
          <w:lang w:val="en-GB"/>
        </w:rPr>
        <w:t>in</w:t>
      </w:r>
      <w:r w:rsidR="00BB75B8" w:rsidRPr="000C0F73">
        <w:rPr>
          <w:rFonts w:hint="eastAsia"/>
          <w:lang w:val="en-GB"/>
        </w:rPr>
        <w:t xml:space="preserve"> the doctrine of consideration. </w:t>
      </w:r>
      <w:r w:rsidR="003310EF" w:rsidRPr="000C0F73">
        <w:rPr>
          <w:lang w:val="en-GB"/>
        </w:rPr>
        <w:t xml:space="preserve">This essay </w:t>
      </w:r>
      <w:r w:rsidR="00203B42" w:rsidRPr="000C0F73">
        <w:rPr>
          <w:lang w:val="en-GB"/>
        </w:rPr>
        <w:t xml:space="preserve">will go into detail about </w:t>
      </w:r>
      <w:r w:rsidR="00BB75B8" w:rsidRPr="000C0F73">
        <w:rPr>
          <w:rFonts w:hint="eastAsia"/>
          <w:lang w:val="en-GB"/>
        </w:rPr>
        <w:t xml:space="preserve">consideration and its exceptions via cases and </w:t>
      </w:r>
      <w:r w:rsidR="00A53B24" w:rsidRPr="000C0F73">
        <w:rPr>
          <w:lang w:val="en-GB"/>
        </w:rPr>
        <w:t>argue</w:t>
      </w:r>
      <w:r w:rsidR="003310EF" w:rsidRPr="000C0F73">
        <w:rPr>
          <w:lang w:val="en-GB"/>
        </w:rPr>
        <w:t xml:space="preserve"> that the eventual weakening of the concept of consideration results from considerations that are too rigid and incompatible with the flexibility needed to adjust contracts </w:t>
      </w:r>
      <w:r w:rsidR="00D53B10" w:rsidRPr="000C0F73">
        <w:rPr>
          <w:rFonts w:hint="eastAsia"/>
          <w:lang w:val="en-GB"/>
        </w:rPr>
        <w:t>based on</w:t>
      </w:r>
      <w:r w:rsidR="003310EF" w:rsidRPr="000C0F73">
        <w:rPr>
          <w:lang w:val="en-GB"/>
        </w:rPr>
        <w:t xml:space="preserve"> their practical realities.</w:t>
      </w:r>
    </w:p>
    <w:p w14:paraId="5A8F532F" w14:textId="77777777" w:rsidR="003310EF" w:rsidRPr="000C0F73" w:rsidRDefault="003310EF" w:rsidP="006F5C85">
      <w:pPr>
        <w:widowControl/>
        <w:spacing w:line="480" w:lineRule="auto"/>
        <w:jc w:val="both"/>
        <w:rPr>
          <w:lang w:val="en-GB"/>
        </w:rPr>
      </w:pPr>
    </w:p>
    <w:p w14:paraId="39CFC27D" w14:textId="33DC3017" w:rsidR="00365BAE" w:rsidRPr="000C0F73" w:rsidRDefault="00262152" w:rsidP="003E7B9F">
      <w:pPr>
        <w:widowControl/>
        <w:spacing w:line="480" w:lineRule="auto"/>
        <w:ind w:firstLine="420"/>
        <w:jc w:val="both"/>
        <w:rPr>
          <w:lang w:val="en-GB"/>
        </w:rPr>
      </w:pPr>
      <w:r w:rsidRPr="000C0F73">
        <w:rPr>
          <w:rFonts w:hint="eastAsia"/>
          <w:lang w:val="en-GB"/>
        </w:rPr>
        <w:lastRenderedPageBreak/>
        <w:t>The</w:t>
      </w:r>
      <w:r w:rsidRPr="000C0F73">
        <w:rPr>
          <w:lang w:val="en-GB"/>
        </w:rPr>
        <w:t xml:space="preserve"> </w:t>
      </w:r>
      <w:r w:rsidR="00871E99" w:rsidRPr="000C0F73">
        <w:rPr>
          <w:lang w:val="en-GB"/>
        </w:rPr>
        <w:t xml:space="preserve">Courts have a great deal of discretion in judging whether a promise may be enforced giving contemplation on the ambiguity and variability of the consideration’s rules. </w:t>
      </w:r>
      <w:r w:rsidR="00765988" w:rsidRPr="000C0F73">
        <w:rPr>
          <w:rFonts w:hint="eastAsia"/>
          <w:lang w:val="en-GB"/>
        </w:rPr>
        <w:t>In</w:t>
      </w:r>
      <w:r w:rsidR="00C85D14" w:rsidRPr="000C0F73">
        <w:rPr>
          <w:rFonts w:hint="eastAsia"/>
          <w:lang w:val="en-GB"/>
        </w:rPr>
        <w:t xml:space="preserve"> the traditional view (</w:t>
      </w:r>
      <w:r w:rsidR="00C85D14" w:rsidRPr="000C0F73">
        <w:rPr>
          <w:lang w:val="en-GB"/>
        </w:rPr>
        <w:t>Elliott and Quinn</w:t>
      </w:r>
      <w:r w:rsidR="00C85D14" w:rsidRPr="000C0F73">
        <w:rPr>
          <w:rFonts w:hint="eastAsia"/>
          <w:lang w:val="en-GB"/>
        </w:rPr>
        <w:t xml:space="preserve">, </w:t>
      </w:r>
      <w:r w:rsidR="00C85D14" w:rsidRPr="000C0F73">
        <w:rPr>
          <w:lang w:val="en-GB"/>
        </w:rPr>
        <w:t>2019</w:t>
      </w:r>
      <w:r w:rsidR="00C85D14" w:rsidRPr="000C0F73">
        <w:rPr>
          <w:rFonts w:hint="eastAsia"/>
          <w:lang w:val="en-GB"/>
        </w:rPr>
        <w:t>)</w:t>
      </w:r>
      <w:r w:rsidR="00434779" w:rsidRPr="000C0F73">
        <w:rPr>
          <w:rFonts w:hint="eastAsia"/>
          <w:lang w:val="en-GB"/>
        </w:rPr>
        <w:t>,</w:t>
      </w:r>
      <w:r w:rsidR="006860C9" w:rsidRPr="000C0F73">
        <w:rPr>
          <w:rFonts w:hint="eastAsia"/>
          <w:lang w:val="en-GB"/>
        </w:rPr>
        <w:t xml:space="preserve"> </w:t>
      </w:r>
      <w:r w:rsidR="00434779" w:rsidRPr="000C0F73">
        <w:rPr>
          <w:rFonts w:hint="eastAsia"/>
          <w:lang w:val="en-GB"/>
        </w:rPr>
        <w:t>c</w:t>
      </w:r>
      <w:r w:rsidR="00A16FAB" w:rsidRPr="000C0F73">
        <w:rPr>
          <w:rFonts w:hint="eastAsia"/>
          <w:lang w:val="en-GB"/>
        </w:rPr>
        <w:t>onsideration</w:t>
      </w:r>
      <w:r w:rsidR="006860C9" w:rsidRPr="000C0F73">
        <w:rPr>
          <w:rFonts w:hint="eastAsia"/>
          <w:lang w:val="en-GB"/>
        </w:rPr>
        <w:t xml:space="preserve"> </w:t>
      </w:r>
      <w:r w:rsidR="00A16FAB" w:rsidRPr="000C0F73">
        <w:rPr>
          <w:rFonts w:hint="eastAsia"/>
          <w:lang w:val="en-GB"/>
        </w:rPr>
        <w:t>could</w:t>
      </w:r>
      <w:r w:rsidR="006860C9" w:rsidRPr="000C0F73">
        <w:rPr>
          <w:rFonts w:hint="eastAsia"/>
          <w:lang w:val="en-GB"/>
        </w:rPr>
        <w:t xml:space="preserve"> </w:t>
      </w:r>
      <w:r w:rsidR="00A16FAB" w:rsidRPr="000C0F73">
        <w:rPr>
          <w:rFonts w:hint="eastAsia"/>
          <w:lang w:val="en-GB"/>
        </w:rPr>
        <w:t>be</w:t>
      </w:r>
      <w:r w:rsidR="006860C9" w:rsidRPr="000C0F73">
        <w:rPr>
          <w:rFonts w:hint="eastAsia"/>
          <w:lang w:val="en-GB"/>
        </w:rPr>
        <w:t xml:space="preserve"> </w:t>
      </w:r>
      <w:r w:rsidR="00A16FAB" w:rsidRPr="000C0F73">
        <w:rPr>
          <w:rFonts w:hint="eastAsia"/>
          <w:lang w:val="en-GB"/>
        </w:rPr>
        <w:t>categorized</w:t>
      </w:r>
      <w:r w:rsidR="006860C9" w:rsidRPr="000C0F73">
        <w:rPr>
          <w:rFonts w:hint="eastAsia"/>
          <w:lang w:val="en-GB"/>
        </w:rPr>
        <w:t xml:space="preserve"> </w:t>
      </w:r>
      <w:r w:rsidR="00434779" w:rsidRPr="000C0F73">
        <w:rPr>
          <w:lang w:val="en-GB"/>
        </w:rPr>
        <w:t>into</w:t>
      </w:r>
      <w:r w:rsidR="006860C9" w:rsidRPr="000C0F73">
        <w:rPr>
          <w:rFonts w:hint="eastAsia"/>
          <w:lang w:val="en-GB"/>
        </w:rPr>
        <w:t xml:space="preserve"> </w:t>
      </w:r>
      <w:r w:rsidR="00A16FAB" w:rsidRPr="000C0F73">
        <w:rPr>
          <w:rFonts w:hint="eastAsia"/>
          <w:lang w:val="en-GB"/>
        </w:rPr>
        <w:t>two</w:t>
      </w:r>
      <w:r w:rsidR="006860C9" w:rsidRPr="000C0F73">
        <w:rPr>
          <w:rFonts w:hint="eastAsia"/>
          <w:lang w:val="en-GB"/>
        </w:rPr>
        <w:t xml:space="preserve"> </w:t>
      </w:r>
      <w:r w:rsidR="00A16FAB" w:rsidRPr="000C0F73">
        <w:rPr>
          <w:rFonts w:hint="eastAsia"/>
          <w:lang w:val="en-GB"/>
        </w:rPr>
        <w:t>types:</w:t>
      </w:r>
      <w:r w:rsidR="006860C9" w:rsidRPr="000C0F73">
        <w:rPr>
          <w:rFonts w:hint="eastAsia"/>
          <w:lang w:val="en-GB"/>
        </w:rPr>
        <w:t xml:space="preserve"> </w:t>
      </w:r>
      <w:r w:rsidR="00A16FAB" w:rsidRPr="000C0F73">
        <w:rPr>
          <w:rFonts w:hint="eastAsia"/>
          <w:lang w:val="en-GB"/>
        </w:rPr>
        <w:t>executed,</w:t>
      </w:r>
      <w:r w:rsidR="006860C9" w:rsidRPr="000C0F73">
        <w:rPr>
          <w:rFonts w:hint="eastAsia"/>
          <w:lang w:val="en-GB"/>
        </w:rPr>
        <w:t xml:space="preserve"> </w:t>
      </w:r>
      <w:r w:rsidR="00A16FAB" w:rsidRPr="000C0F73">
        <w:rPr>
          <w:rFonts w:hint="eastAsia"/>
          <w:lang w:val="en-GB"/>
        </w:rPr>
        <w:t>where</w:t>
      </w:r>
      <w:r w:rsidR="006860C9" w:rsidRPr="000C0F73">
        <w:rPr>
          <w:rFonts w:hint="eastAsia"/>
          <w:lang w:val="en-GB"/>
        </w:rPr>
        <w:t xml:space="preserve"> </w:t>
      </w:r>
      <w:r w:rsidR="00434779" w:rsidRPr="000C0F73">
        <w:rPr>
          <w:rFonts w:hint="eastAsia"/>
          <w:lang w:val="en-GB"/>
        </w:rPr>
        <w:t>part</w:t>
      </w:r>
      <w:r w:rsidR="006860C9" w:rsidRPr="000C0F73">
        <w:rPr>
          <w:rFonts w:hint="eastAsia"/>
          <w:lang w:val="en-GB"/>
        </w:rPr>
        <w:t xml:space="preserve"> </w:t>
      </w:r>
      <w:r w:rsidR="00434779" w:rsidRPr="000C0F73">
        <w:rPr>
          <w:rFonts w:hint="eastAsia"/>
          <w:lang w:val="en-GB"/>
        </w:rPr>
        <w:t>of</w:t>
      </w:r>
      <w:r w:rsidR="006860C9" w:rsidRPr="000C0F73">
        <w:rPr>
          <w:rFonts w:hint="eastAsia"/>
          <w:lang w:val="en-GB"/>
        </w:rPr>
        <w:t xml:space="preserve"> </w:t>
      </w:r>
      <w:r w:rsidR="00434779" w:rsidRPr="000C0F73">
        <w:rPr>
          <w:rFonts w:hint="eastAsia"/>
          <w:lang w:val="en-GB"/>
        </w:rPr>
        <w:t>the</w:t>
      </w:r>
      <w:r w:rsidR="006860C9" w:rsidRPr="000C0F73">
        <w:rPr>
          <w:rFonts w:hint="eastAsia"/>
          <w:lang w:val="en-GB"/>
        </w:rPr>
        <w:t xml:space="preserve"> </w:t>
      </w:r>
      <w:r w:rsidR="00434779" w:rsidRPr="000C0F73">
        <w:rPr>
          <w:rFonts w:hint="eastAsia"/>
          <w:lang w:val="en-GB"/>
        </w:rPr>
        <w:t>promise</w:t>
      </w:r>
      <w:r w:rsidR="006860C9" w:rsidRPr="000C0F73">
        <w:rPr>
          <w:rFonts w:hint="eastAsia"/>
          <w:lang w:val="en-GB"/>
        </w:rPr>
        <w:t xml:space="preserve"> </w:t>
      </w:r>
      <w:r w:rsidR="00434779" w:rsidRPr="000C0F73">
        <w:rPr>
          <w:rFonts w:hint="eastAsia"/>
          <w:lang w:val="en-GB"/>
        </w:rPr>
        <w:t>has</w:t>
      </w:r>
      <w:r w:rsidR="006860C9" w:rsidRPr="000C0F73">
        <w:rPr>
          <w:rFonts w:hint="eastAsia"/>
          <w:lang w:val="en-GB"/>
        </w:rPr>
        <w:t xml:space="preserve"> </w:t>
      </w:r>
      <w:r w:rsidR="00434779" w:rsidRPr="000C0F73">
        <w:rPr>
          <w:rFonts w:hint="eastAsia"/>
          <w:lang w:val="en-GB"/>
        </w:rPr>
        <w:t>been</w:t>
      </w:r>
      <w:r w:rsidR="006860C9" w:rsidRPr="000C0F73">
        <w:rPr>
          <w:rFonts w:hint="eastAsia"/>
          <w:lang w:val="en-GB"/>
        </w:rPr>
        <w:t xml:space="preserve"> </w:t>
      </w:r>
      <w:r w:rsidR="00434779" w:rsidRPr="000C0F73">
        <w:rPr>
          <w:rFonts w:hint="eastAsia"/>
          <w:lang w:val="en-GB"/>
        </w:rPr>
        <w:t>completed,</w:t>
      </w:r>
      <w:r w:rsidR="006860C9" w:rsidRPr="000C0F73">
        <w:rPr>
          <w:rFonts w:hint="eastAsia"/>
          <w:lang w:val="en-GB"/>
        </w:rPr>
        <w:t xml:space="preserve"> </w:t>
      </w:r>
      <w:r w:rsidR="00434779" w:rsidRPr="000C0F73">
        <w:rPr>
          <w:rFonts w:hint="eastAsia"/>
          <w:lang w:val="en-GB"/>
        </w:rPr>
        <w:t>and</w:t>
      </w:r>
      <w:r w:rsidR="006860C9" w:rsidRPr="000C0F73">
        <w:rPr>
          <w:rFonts w:hint="eastAsia"/>
          <w:lang w:val="en-GB"/>
        </w:rPr>
        <w:t xml:space="preserve"> </w:t>
      </w:r>
      <w:r w:rsidR="00434779" w:rsidRPr="000C0F73">
        <w:rPr>
          <w:rFonts w:hint="eastAsia"/>
          <w:lang w:val="en-GB"/>
        </w:rPr>
        <w:t>executory</w:t>
      </w:r>
      <w:r w:rsidR="006860C9" w:rsidRPr="000C0F73">
        <w:rPr>
          <w:rFonts w:hint="eastAsia"/>
          <w:lang w:val="en-GB"/>
        </w:rPr>
        <w:t xml:space="preserve"> </w:t>
      </w:r>
      <w:r w:rsidR="00434779" w:rsidRPr="000C0F73">
        <w:rPr>
          <w:rFonts w:hint="eastAsia"/>
          <w:lang w:val="en-GB"/>
        </w:rPr>
        <w:t>which</w:t>
      </w:r>
      <w:r w:rsidR="006860C9" w:rsidRPr="000C0F73">
        <w:rPr>
          <w:rFonts w:hint="eastAsia"/>
          <w:lang w:val="en-GB"/>
        </w:rPr>
        <w:t xml:space="preserve"> </w:t>
      </w:r>
      <w:r w:rsidR="00434779" w:rsidRPr="000C0F73">
        <w:rPr>
          <w:rFonts w:hint="eastAsia"/>
          <w:lang w:val="en-GB"/>
        </w:rPr>
        <w:t>is</w:t>
      </w:r>
      <w:r w:rsidR="006860C9" w:rsidRPr="000C0F73">
        <w:rPr>
          <w:rFonts w:hint="eastAsia"/>
          <w:lang w:val="en-GB"/>
        </w:rPr>
        <w:t xml:space="preserve"> </w:t>
      </w:r>
      <w:r w:rsidR="00434779" w:rsidRPr="000C0F73">
        <w:rPr>
          <w:rFonts w:hint="eastAsia"/>
          <w:lang w:val="en-GB"/>
        </w:rPr>
        <w:t>to</w:t>
      </w:r>
      <w:r w:rsidR="006860C9" w:rsidRPr="000C0F73">
        <w:rPr>
          <w:rFonts w:hint="eastAsia"/>
          <w:lang w:val="en-GB"/>
        </w:rPr>
        <w:t xml:space="preserve"> </w:t>
      </w:r>
      <w:r w:rsidR="00434779" w:rsidRPr="000C0F73">
        <w:rPr>
          <w:rFonts w:hint="eastAsia"/>
          <w:lang w:val="en-GB"/>
        </w:rPr>
        <w:t>be</w:t>
      </w:r>
      <w:r w:rsidR="006860C9" w:rsidRPr="000C0F73">
        <w:rPr>
          <w:rFonts w:hint="eastAsia"/>
          <w:lang w:val="en-GB"/>
        </w:rPr>
        <w:t xml:space="preserve"> </w:t>
      </w:r>
      <w:r w:rsidR="00434779" w:rsidRPr="000C0F73">
        <w:rPr>
          <w:rFonts w:hint="eastAsia"/>
          <w:lang w:val="en-GB"/>
        </w:rPr>
        <w:t>done</w:t>
      </w:r>
      <w:r w:rsidR="006860C9" w:rsidRPr="000C0F73">
        <w:rPr>
          <w:rFonts w:hint="eastAsia"/>
          <w:lang w:val="en-GB"/>
        </w:rPr>
        <w:t xml:space="preserve"> </w:t>
      </w:r>
      <w:r w:rsidR="00434779" w:rsidRPr="000C0F73">
        <w:rPr>
          <w:rFonts w:hint="eastAsia"/>
          <w:lang w:val="en-GB"/>
        </w:rPr>
        <w:t>in</w:t>
      </w:r>
      <w:r w:rsidR="006860C9" w:rsidRPr="000C0F73">
        <w:rPr>
          <w:rFonts w:hint="eastAsia"/>
          <w:lang w:val="en-GB"/>
        </w:rPr>
        <w:t xml:space="preserve"> </w:t>
      </w:r>
      <w:r w:rsidR="00434779" w:rsidRPr="000C0F73">
        <w:rPr>
          <w:lang w:val="en-GB"/>
        </w:rPr>
        <w:t>the</w:t>
      </w:r>
      <w:r w:rsidR="006860C9" w:rsidRPr="000C0F73">
        <w:rPr>
          <w:lang w:val="en-GB"/>
        </w:rPr>
        <w:t xml:space="preserve"> </w:t>
      </w:r>
      <w:r w:rsidR="00434779" w:rsidRPr="000C0F73">
        <w:rPr>
          <w:lang w:val="en-GB"/>
        </w:rPr>
        <w:t>future</w:t>
      </w:r>
      <w:r w:rsidR="00434779" w:rsidRPr="000C0F73">
        <w:rPr>
          <w:rFonts w:hint="eastAsia"/>
          <w:lang w:val="en-GB"/>
        </w:rPr>
        <w:t>.</w:t>
      </w:r>
      <w:r w:rsidR="006860C9" w:rsidRPr="000C0F73">
        <w:rPr>
          <w:rFonts w:hint="eastAsia"/>
          <w:lang w:val="en-GB"/>
        </w:rPr>
        <w:t xml:space="preserve"> </w:t>
      </w:r>
      <w:r w:rsidR="00434779" w:rsidRPr="000C0F73">
        <w:rPr>
          <w:rFonts w:hint="eastAsia"/>
          <w:lang w:val="en-GB"/>
        </w:rPr>
        <w:t>Nevertheless,</w:t>
      </w:r>
      <w:r w:rsidR="006860C9" w:rsidRPr="000C0F73">
        <w:rPr>
          <w:rFonts w:hint="eastAsia"/>
          <w:lang w:val="en-GB"/>
        </w:rPr>
        <w:t xml:space="preserve"> </w:t>
      </w:r>
      <w:r w:rsidR="00141028" w:rsidRPr="000C0F73">
        <w:rPr>
          <w:rFonts w:hint="eastAsia"/>
          <w:lang w:val="en-GB"/>
        </w:rPr>
        <w:t>if</w:t>
      </w:r>
      <w:r w:rsidR="006860C9" w:rsidRPr="000C0F73">
        <w:rPr>
          <w:rFonts w:hint="eastAsia"/>
          <w:lang w:val="en-GB"/>
        </w:rPr>
        <w:t xml:space="preserve"> </w:t>
      </w:r>
      <w:r w:rsidR="00141028" w:rsidRPr="000C0F73">
        <w:rPr>
          <w:lang w:val="en-GB"/>
        </w:rPr>
        <w:t>the</w:t>
      </w:r>
      <w:r w:rsidR="006860C9" w:rsidRPr="000C0F73">
        <w:rPr>
          <w:lang w:val="en-GB"/>
        </w:rPr>
        <w:t xml:space="preserve"> </w:t>
      </w:r>
      <w:r w:rsidR="00141028" w:rsidRPr="000C0F73">
        <w:rPr>
          <w:rFonts w:hint="eastAsia"/>
          <w:lang w:val="en-GB"/>
        </w:rPr>
        <w:t>consideration</w:t>
      </w:r>
      <w:r w:rsidR="006860C9" w:rsidRPr="000C0F73">
        <w:rPr>
          <w:rFonts w:hint="eastAsia"/>
          <w:lang w:val="en-GB"/>
        </w:rPr>
        <w:t xml:space="preserve"> </w:t>
      </w:r>
      <w:r w:rsidR="00141028" w:rsidRPr="000C0F73">
        <w:rPr>
          <w:rFonts w:hint="eastAsia"/>
          <w:lang w:val="en-GB"/>
        </w:rPr>
        <w:t>provided</w:t>
      </w:r>
      <w:r w:rsidR="006860C9" w:rsidRPr="000C0F73">
        <w:rPr>
          <w:rFonts w:hint="eastAsia"/>
          <w:lang w:val="en-GB"/>
        </w:rPr>
        <w:t xml:space="preserve"> </w:t>
      </w:r>
      <w:r w:rsidR="00141028" w:rsidRPr="000C0F73">
        <w:rPr>
          <w:rFonts w:hint="eastAsia"/>
          <w:lang w:val="en-GB"/>
        </w:rPr>
        <w:t>is</w:t>
      </w:r>
      <w:r w:rsidR="006860C9" w:rsidRPr="000C0F73">
        <w:rPr>
          <w:rFonts w:hint="eastAsia"/>
          <w:lang w:val="en-GB"/>
        </w:rPr>
        <w:t xml:space="preserve"> </w:t>
      </w:r>
      <w:r w:rsidR="00141028" w:rsidRPr="000C0F73">
        <w:rPr>
          <w:rFonts w:hint="eastAsia"/>
          <w:lang w:val="en-GB"/>
        </w:rPr>
        <w:t>a</w:t>
      </w:r>
      <w:r w:rsidR="006860C9" w:rsidRPr="000C0F73">
        <w:rPr>
          <w:rFonts w:hint="eastAsia"/>
          <w:lang w:val="en-GB"/>
        </w:rPr>
        <w:t xml:space="preserve"> </w:t>
      </w:r>
      <w:r w:rsidR="00141028" w:rsidRPr="000C0F73">
        <w:rPr>
          <w:rFonts w:hint="eastAsia"/>
          <w:lang w:val="en-GB"/>
        </w:rPr>
        <w:t>completed</w:t>
      </w:r>
      <w:r w:rsidR="006860C9" w:rsidRPr="000C0F73">
        <w:rPr>
          <w:rFonts w:hint="eastAsia"/>
          <w:lang w:val="en-GB"/>
        </w:rPr>
        <w:t xml:space="preserve"> </w:t>
      </w:r>
      <w:r w:rsidR="00141028" w:rsidRPr="000C0F73">
        <w:rPr>
          <w:rFonts w:hint="eastAsia"/>
          <w:lang w:val="en-GB"/>
        </w:rPr>
        <w:t>performance</w:t>
      </w:r>
      <w:r w:rsidR="006860C9" w:rsidRPr="000C0F73">
        <w:rPr>
          <w:rFonts w:hint="eastAsia"/>
          <w:lang w:val="en-GB"/>
        </w:rPr>
        <w:t xml:space="preserve"> </w:t>
      </w:r>
      <w:r w:rsidR="00141028" w:rsidRPr="000C0F73">
        <w:rPr>
          <w:rFonts w:hint="eastAsia"/>
          <w:lang w:val="en-GB"/>
        </w:rPr>
        <w:t>before</w:t>
      </w:r>
      <w:r w:rsidR="006860C9" w:rsidRPr="000C0F73">
        <w:rPr>
          <w:rFonts w:hint="eastAsia"/>
          <w:lang w:val="en-GB"/>
        </w:rPr>
        <w:t xml:space="preserve"> </w:t>
      </w:r>
      <w:r w:rsidR="00141028" w:rsidRPr="000C0F73">
        <w:rPr>
          <w:rFonts w:hint="eastAsia"/>
          <w:lang w:val="en-GB"/>
        </w:rPr>
        <w:t>the</w:t>
      </w:r>
      <w:r w:rsidR="006860C9" w:rsidRPr="000C0F73">
        <w:rPr>
          <w:rFonts w:hint="eastAsia"/>
          <w:lang w:val="en-GB"/>
        </w:rPr>
        <w:t xml:space="preserve"> </w:t>
      </w:r>
      <w:r w:rsidR="00141028" w:rsidRPr="000C0F73">
        <w:rPr>
          <w:rFonts w:hint="eastAsia"/>
          <w:lang w:val="en-GB"/>
        </w:rPr>
        <w:t>contract,</w:t>
      </w:r>
      <w:r w:rsidR="006860C9" w:rsidRPr="000C0F73">
        <w:rPr>
          <w:rFonts w:hint="eastAsia"/>
          <w:lang w:val="en-GB"/>
        </w:rPr>
        <w:t xml:space="preserve"> </w:t>
      </w:r>
      <w:r w:rsidR="00C85D14" w:rsidRPr="000C0F73">
        <w:rPr>
          <w:rFonts w:hint="eastAsia"/>
          <w:lang w:val="en-GB"/>
        </w:rPr>
        <w:t xml:space="preserve">it </w:t>
      </w:r>
      <w:r w:rsidR="00765988" w:rsidRPr="000C0F73">
        <w:rPr>
          <w:rFonts w:hint="eastAsia"/>
          <w:lang w:val="en-GB"/>
        </w:rPr>
        <w:t>would be</w:t>
      </w:r>
      <w:r w:rsidR="00C85D14" w:rsidRPr="000C0F73">
        <w:rPr>
          <w:rFonts w:hint="eastAsia"/>
          <w:lang w:val="en-GB"/>
        </w:rPr>
        <w:t xml:space="preserve"> identified as a past consideration </w:t>
      </w:r>
      <w:r w:rsidR="00C85D14" w:rsidRPr="000C0F73">
        <w:rPr>
          <w:lang w:val="en-GB"/>
        </w:rPr>
        <w:t xml:space="preserve">and </w:t>
      </w:r>
      <w:r w:rsidR="00C85D14" w:rsidRPr="000C0F73">
        <w:rPr>
          <w:rFonts w:hint="eastAsia"/>
          <w:lang w:val="en-GB"/>
        </w:rPr>
        <w:t>hence</w:t>
      </w:r>
      <w:r w:rsidR="006860C9" w:rsidRPr="000C0F73">
        <w:rPr>
          <w:rFonts w:hint="eastAsia"/>
          <w:lang w:val="en-GB"/>
        </w:rPr>
        <w:t xml:space="preserve"> </w:t>
      </w:r>
      <w:r w:rsidR="00141028" w:rsidRPr="000C0F73">
        <w:rPr>
          <w:rFonts w:hint="eastAsia"/>
          <w:lang w:val="en-GB"/>
        </w:rPr>
        <w:t>could</w:t>
      </w:r>
      <w:r w:rsidR="006860C9" w:rsidRPr="000C0F73">
        <w:rPr>
          <w:rFonts w:hint="eastAsia"/>
          <w:lang w:val="en-GB"/>
        </w:rPr>
        <w:t xml:space="preserve"> </w:t>
      </w:r>
      <w:r w:rsidR="00141028" w:rsidRPr="000C0F73">
        <w:rPr>
          <w:rFonts w:hint="eastAsia"/>
          <w:lang w:val="en-GB"/>
        </w:rPr>
        <w:t>not</w:t>
      </w:r>
      <w:r w:rsidR="006860C9" w:rsidRPr="000C0F73">
        <w:rPr>
          <w:rFonts w:hint="eastAsia"/>
          <w:lang w:val="en-GB"/>
        </w:rPr>
        <w:t xml:space="preserve"> </w:t>
      </w:r>
      <w:r w:rsidR="00141028" w:rsidRPr="000C0F73">
        <w:rPr>
          <w:rFonts w:hint="eastAsia"/>
          <w:lang w:val="en-GB"/>
        </w:rPr>
        <w:t>be</w:t>
      </w:r>
      <w:r w:rsidR="006860C9" w:rsidRPr="000C0F73">
        <w:rPr>
          <w:rFonts w:hint="eastAsia"/>
          <w:lang w:val="en-GB"/>
        </w:rPr>
        <w:t xml:space="preserve"> </w:t>
      </w:r>
      <w:r w:rsidR="00141028" w:rsidRPr="000C0F73">
        <w:rPr>
          <w:rFonts w:hint="eastAsia"/>
          <w:lang w:val="en-GB"/>
        </w:rPr>
        <w:t>recognised</w:t>
      </w:r>
      <w:r w:rsidR="006860C9" w:rsidRPr="000C0F73">
        <w:rPr>
          <w:rFonts w:hint="eastAsia"/>
          <w:lang w:val="en-GB"/>
        </w:rPr>
        <w:t xml:space="preserve"> </w:t>
      </w:r>
      <w:r w:rsidR="00141028" w:rsidRPr="000C0F73">
        <w:rPr>
          <w:rFonts w:hint="eastAsia"/>
          <w:lang w:val="en-GB"/>
        </w:rPr>
        <w:t>by</w:t>
      </w:r>
      <w:r w:rsidR="006860C9" w:rsidRPr="000C0F73">
        <w:rPr>
          <w:rFonts w:hint="eastAsia"/>
          <w:lang w:val="en-GB"/>
        </w:rPr>
        <w:t xml:space="preserve"> </w:t>
      </w:r>
      <w:r w:rsidR="00141028" w:rsidRPr="000C0F73">
        <w:rPr>
          <w:rFonts w:hint="eastAsia"/>
          <w:lang w:val="en-GB"/>
        </w:rPr>
        <w:t>law</w:t>
      </w:r>
      <w:r w:rsidR="006860C9" w:rsidRPr="000C0F73">
        <w:rPr>
          <w:rFonts w:hint="eastAsia"/>
          <w:lang w:val="en-GB"/>
        </w:rPr>
        <w:t xml:space="preserve"> </w:t>
      </w:r>
      <w:r w:rsidR="00141028" w:rsidRPr="000C0F73">
        <w:rPr>
          <w:rFonts w:hint="eastAsia"/>
          <w:lang w:val="en-GB"/>
        </w:rPr>
        <w:t>(</w:t>
      </w:r>
      <w:r w:rsidR="00141028" w:rsidRPr="000C0F73">
        <w:rPr>
          <w:lang w:val="en-GB"/>
        </w:rPr>
        <w:t>‘Roscorla</w:t>
      </w:r>
      <w:r w:rsidR="006860C9" w:rsidRPr="000C0F73">
        <w:rPr>
          <w:lang w:val="en-GB"/>
        </w:rPr>
        <w:t xml:space="preserve"> </w:t>
      </w:r>
      <w:r w:rsidR="00141028" w:rsidRPr="000C0F73">
        <w:rPr>
          <w:lang w:val="en-GB"/>
        </w:rPr>
        <w:t>v</w:t>
      </w:r>
      <w:r w:rsidR="006860C9" w:rsidRPr="000C0F73">
        <w:rPr>
          <w:lang w:val="en-GB"/>
        </w:rPr>
        <w:t xml:space="preserve"> </w:t>
      </w:r>
      <w:r w:rsidR="00141028" w:rsidRPr="000C0F73">
        <w:rPr>
          <w:lang w:val="en-GB"/>
        </w:rPr>
        <w:t>Thomas’,</w:t>
      </w:r>
      <w:r w:rsidR="006860C9" w:rsidRPr="000C0F73">
        <w:rPr>
          <w:lang w:val="en-GB"/>
        </w:rPr>
        <w:t xml:space="preserve"> </w:t>
      </w:r>
      <w:r w:rsidR="00141028" w:rsidRPr="000C0F73">
        <w:rPr>
          <w:lang w:val="en-GB"/>
        </w:rPr>
        <w:t>1842</w:t>
      </w:r>
      <w:r w:rsidR="00141028" w:rsidRPr="000C0F73">
        <w:rPr>
          <w:rFonts w:hint="eastAsia"/>
          <w:lang w:val="en-GB"/>
        </w:rPr>
        <w:t>)</w:t>
      </w:r>
      <w:r w:rsidR="00141028" w:rsidRPr="000C0F73">
        <w:rPr>
          <w:lang w:val="en-GB"/>
        </w:rPr>
        <w:t>.</w:t>
      </w:r>
      <w:r w:rsidR="006860C9" w:rsidRPr="000C0F73">
        <w:rPr>
          <w:lang w:val="en-GB"/>
        </w:rPr>
        <w:t xml:space="preserve"> </w:t>
      </w:r>
      <w:r w:rsidR="00141028" w:rsidRPr="000C0F73">
        <w:rPr>
          <w:lang w:val="en-GB"/>
        </w:rPr>
        <w:t>The</w:t>
      </w:r>
      <w:r w:rsidR="006860C9" w:rsidRPr="000C0F73">
        <w:rPr>
          <w:lang w:val="en-GB"/>
        </w:rPr>
        <w:t xml:space="preserve"> </w:t>
      </w:r>
      <w:r w:rsidR="00141028" w:rsidRPr="000C0F73">
        <w:rPr>
          <w:lang w:val="en-GB"/>
        </w:rPr>
        <w:t>other</w:t>
      </w:r>
      <w:r w:rsidR="006860C9" w:rsidRPr="000C0F73">
        <w:rPr>
          <w:lang w:val="en-GB"/>
        </w:rPr>
        <w:t xml:space="preserve"> </w:t>
      </w:r>
      <w:r w:rsidR="002C7ACF" w:rsidRPr="000C0F73">
        <w:rPr>
          <w:lang w:val="en-GB"/>
        </w:rPr>
        <w:t>rules</w:t>
      </w:r>
      <w:r w:rsidR="006860C9" w:rsidRPr="000C0F73">
        <w:rPr>
          <w:lang w:val="en-GB"/>
        </w:rPr>
        <w:t xml:space="preserve"> </w:t>
      </w:r>
      <w:r w:rsidR="00765988" w:rsidRPr="000C0F73">
        <w:rPr>
          <w:rFonts w:hint="eastAsia"/>
          <w:lang w:val="en-GB"/>
        </w:rPr>
        <w:t>of</w:t>
      </w:r>
      <w:r w:rsidR="006860C9" w:rsidRPr="000C0F73">
        <w:rPr>
          <w:lang w:val="en-GB"/>
        </w:rPr>
        <w:t xml:space="preserve"> </w:t>
      </w:r>
      <w:r w:rsidR="00141028" w:rsidRPr="000C0F73">
        <w:rPr>
          <w:lang w:val="en-GB"/>
        </w:rPr>
        <w:t>consideration</w:t>
      </w:r>
      <w:r w:rsidR="006860C9" w:rsidRPr="000C0F73">
        <w:rPr>
          <w:lang w:val="en-GB"/>
        </w:rPr>
        <w:t xml:space="preserve"> </w:t>
      </w:r>
      <w:r w:rsidR="008F7F8A" w:rsidRPr="000C0F73">
        <w:rPr>
          <w:lang w:val="en-GB"/>
        </w:rPr>
        <w:t>include:</w:t>
      </w:r>
      <w:r w:rsidR="006860C9" w:rsidRPr="000C0F73">
        <w:rPr>
          <w:lang w:val="en-GB"/>
        </w:rPr>
        <w:t xml:space="preserve"> </w:t>
      </w:r>
      <w:r w:rsidR="002C7ACF" w:rsidRPr="000C0F73">
        <w:rPr>
          <w:lang w:val="en-GB"/>
        </w:rPr>
        <w:t xml:space="preserve">it must move from promisee (‘Tweddle v Atkinson’, 1861), </w:t>
      </w:r>
      <w:r w:rsidR="00CC28C5" w:rsidRPr="000C0F73">
        <w:rPr>
          <w:lang w:val="en-GB"/>
        </w:rPr>
        <w:t>it</w:t>
      </w:r>
      <w:r w:rsidR="006860C9" w:rsidRPr="000C0F73">
        <w:rPr>
          <w:lang w:val="en-GB"/>
        </w:rPr>
        <w:t xml:space="preserve"> </w:t>
      </w:r>
      <w:r w:rsidR="00CC28C5" w:rsidRPr="000C0F73">
        <w:rPr>
          <w:lang w:val="en-GB"/>
        </w:rPr>
        <w:t>must</w:t>
      </w:r>
      <w:r w:rsidR="006860C9" w:rsidRPr="000C0F73">
        <w:rPr>
          <w:lang w:val="en-GB"/>
        </w:rPr>
        <w:t xml:space="preserve"> </w:t>
      </w:r>
      <w:r w:rsidR="00CC28C5" w:rsidRPr="000C0F73">
        <w:rPr>
          <w:lang w:val="en-GB"/>
        </w:rPr>
        <w:t>be</w:t>
      </w:r>
      <w:r w:rsidR="006860C9" w:rsidRPr="000C0F73">
        <w:rPr>
          <w:lang w:val="en-GB"/>
        </w:rPr>
        <w:t xml:space="preserve"> </w:t>
      </w:r>
      <w:r w:rsidR="00CC28C5" w:rsidRPr="000C0F73">
        <w:rPr>
          <w:lang w:val="en-GB"/>
        </w:rPr>
        <w:t>of</w:t>
      </w:r>
      <w:r w:rsidR="006860C9" w:rsidRPr="000C0F73">
        <w:rPr>
          <w:lang w:val="en-GB"/>
        </w:rPr>
        <w:t xml:space="preserve"> </w:t>
      </w:r>
      <w:r w:rsidR="00CC28C5" w:rsidRPr="000C0F73">
        <w:rPr>
          <w:lang w:val="en-GB"/>
        </w:rPr>
        <w:t>economic</w:t>
      </w:r>
      <w:r w:rsidR="006860C9" w:rsidRPr="000C0F73">
        <w:rPr>
          <w:lang w:val="en-GB"/>
        </w:rPr>
        <w:t xml:space="preserve"> </w:t>
      </w:r>
      <w:r w:rsidR="00CC28C5" w:rsidRPr="000C0F73">
        <w:rPr>
          <w:lang w:val="en-GB"/>
        </w:rPr>
        <w:t>value</w:t>
      </w:r>
      <w:r w:rsidR="006860C9" w:rsidRPr="000C0F73">
        <w:rPr>
          <w:lang w:val="en-GB"/>
        </w:rPr>
        <w:t xml:space="preserve"> (‘White v Bluett’, 1853)</w:t>
      </w:r>
      <w:r w:rsidR="00CC28C5" w:rsidRPr="000C0F73">
        <w:rPr>
          <w:lang w:val="en-GB"/>
        </w:rPr>
        <w:t>,</w:t>
      </w:r>
      <w:r w:rsidR="006860C9" w:rsidRPr="000C0F73">
        <w:rPr>
          <w:lang w:val="en-GB"/>
        </w:rPr>
        <w:t xml:space="preserve"> </w:t>
      </w:r>
      <w:r w:rsidR="00CC28C5" w:rsidRPr="000C0F73">
        <w:rPr>
          <w:lang w:val="en-GB"/>
        </w:rPr>
        <w:t>it</w:t>
      </w:r>
      <w:r w:rsidR="006860C9" w:rsidRPr="000C0F73">
        <w:rPr>
          <w:lang w:val="en-GB"/>
        </w:rPr>
        <w:t xml:space="preserve"> </w:t>
      </w:r>
      <w:r w:rsidR="00CC28C5" w:rsidRPr="000C0F73">
        <w:rPr>
          <w:lang w:val="en-GB"/>
        </w:rPr>
        <w:t>must</w:t>
      </w:r>
      <w:r w:rsidR="006860C9" w:rsidRPr="000C0F73">
        <w:rPr>
          <w:lang w:val="en-GB"/>
        </w:rPr>
        <w:t xml:space="preserve"> </w:t>
      </w:r>
      <w:r w:rsidR="00CC28C5" w:rsidRPr="000C0F73">
        <w:rPr>
          <w:lang w:val="en-GB"/>
        </w:rPr>
        <w:t>be</w:t>
      </w:r>
      <w:r w:rsidR="006860C9" w:rsidRPr="000C0F73">
        <w:rPr>
          <w:lang w:val="en-GB"/>
        </w:rPr>
        <w:t xml:space="preserve"> </w:t>
      </w:r>
      <w:r w:rsidR="00CC28C5" w:rsidRPr="000C0F73">
        <w:rPr>
          <w:lang w:val="en-GB"/>
        </w:rPr>
        <w:t>sufficient</w:t>
      </w:r>
      <w:r w:rsidR="006860C9" w:rsidRPr="000C0F73">
        <w:rPr>
          <w:lang w:val="en-GB"/>
        </w:rPr>
        <w:t xml:space="preserve"> (‘Thomas v Thomas’, 1947)</w:t>
      </w:r>
      <w:r w:rsidR="00CC28C5" w:rsidRPr="000C0F73">
        <w:rPr>
          <w:lang w:val="en-GB"/>
        </w:rPr>
        <w:t>,</w:t>
      </w:r>
      <w:r w:rsidR="006860C9" w:rsidRPr="000C0F73">
        <w:rPr>
          <w:lang w:val="en-GB"/>
        </w:rPr>
        <w:t xml:space="preserve"> </w:t>
      </w:r>
      <w:r w:rsidR="00CC28C5" w:rsidRPr="000C0F73">
        <w:rPr>
          <w:lang w:val="en-GB"/>
        </w:rPr>
        <w:t>it</w:t>
      </w:r>
      <w:r w:rsidR="006860C9" w:rsidRPr="000C0F73">
        <w:rPr>
          <w:lang w:val="en-GB"/>
        </w:rPr>
        <w:t xml:space="preserve"> </w:t>
      </w:r>
      <w:r w:rsidR="00CC28C5" w:rsidRPr="000C0F73">
        <w:rPr>
          <w:lang w:val="en-GB"/>
        </w:rPr>
        <w:t>cannot</w:t>
      </w:r>
      <w:r w:rsidR="006860C9" w:rsidRPr="000C0F73">
        <w:rPr>
          <w:lang w:val="en-GB"/>
        </w:rPr>
        <w:t xml:space="preserve"> </w:t>
      </w:r>
      <w:r w:rsidR="00CC28C5" w:rsidRPr="000C0F73">
        <w:rPr>
          <w:lang w:val="en-GB"/>
        </w:rPr>
        <w:t>be</w:t>
      </w:r>
      <w:r w:rsidR="006860C9" w:rsidRPr="000C0F73">
        <w:rPr>
          <w:lang w:val="en-GB"/>
        </w:rPr>
        <w:t xml:space="preserve"> </w:t>
      </w:r>
      <w:r w:rsidR="00CC28C5" w:rsidRPr="000C0F73">
        <w:rPr>
          <w:lang w:val="en-GB"/>
        </w:rPr>
        <w:t>an</w:t>
      </w:r>
      <w:r w:rsidR="006860C9" w:rsidRPr="000C0F73">
        <w:rPr>
          <w:lang w:val="en-GB"/>
        </w:rPr>
        <w:t xml:space="preserve"> </w:t>
      </w:r>
      <w:r w:rsidR="00CC28C5" w:rsidRPr="000C0F73">
        <w:rPr>
          <w:lang w:val="en-GB"/>
        </w:rPr>
        <w:t>existing</w:t>
      </w:r>
      <w:r w:rsidR="006860C9" w:rsidRPr="000C0F73">
        <w:rPr>
          <w:lang w:val="en-GB"/>
        </w:rPr>
        <w:t xml:space="preserve"> </w:t>
      </w:r>
      <w:r w:rsidR="00CC28C5" w:rsidRPr="000C0F73">
        <w:rPr>
          <w:lang w:val="en-GB"/>
        </w:rPr>
        <w:t>public</w:t>
      </w:r>
      <w:r w:rsidR="006860C9" w:rsidRPr="000C0F73">
        <w:rPr>
          <w:lang w:val="en-GB"/>
        </w:rPr>
        <w:t xml:space="preserve"> </w:t>
      </w:r>
      <w:r w:rsidR="00CC28C5" w:rsidRPr="000C0F73">
        <w:rPr>
          <w:lang w:val="en-GB"/>
        </w:rPr>
        <w:t>duty</w:t>
      </w:r>
      <w:r w:rsidR="00994AB8" w:rsidRPr="000C0F73">
        <w:rPr>
          <w:lang w:val="en-GB"/>
        </w:rPr>
        <w:t xml:space="preserve"> (‘Collins v Godefroy’, 1831)</w:t>
      </w:r>
      <w:r w:rsidR="006860C9" w:rsidRPr="000C0F73">
        <w:rPr>
          <w:lang w:val="en-GB"/>
        </w:rPr>
        <w:t xml:space="preserve"> </w:t>
      </w:r>
      <w:r w:rsidR="00CC28C5" w:rsidRPr="000C0F73">
        <w:rPr>
          <w:lang w:val="en-GB"/>
        </w:rPr>
        <w:t>or</w:t>
      </w:r>
      <w:r w:rsidR="006860C9" w:rsidRPr="000C0F73">
        <w:rPr>
          <w:lang w:val="en-GB"/>
        </w:rPr>
        <w:t xml:space="preserve"> </w:t>
      </w:r>
      <w:r w:rsidR="00CC28C5" w:rsidRPr="000C0F73">
        <w:rPr>
          <w:lang w:val="en-GB"/>
        </w:rPr>
        <w:t>contractual</w:t>
      </w:r>
      <w:r w:rsidR="006860C9" w:rsidRPr="000C0F73">
        <w:rPr>
          <w:lang w:val="en-GB"/>
        </w:rPr>
        <w:t xml:space="preserve"> </w:t>
      </w:r>
      <w:r w:rsidR="00CC28C5" w:rsidRPr="000C0F73">
        <w:rPr>
          <w:lang w:val="en-GB"/>
        </w:rPr>
        <w:t>duty</w:t>
      </w:r>
      <w:r w:rsidR="006860C9" w:rsidRPr="000C0F73">
        <w:rPr>
          <w:lang w:val="en-GB"/>
        </w:rPr>
        <w:t xml:space="preserve"> </w:t>
      </w:r>
      <w:r w:rsidR="00CC28C5" w:rsidRPr="000C0F73">
        <w:rPr>
          <w:lang w:val="en-GB"/>
        </w:rPr>
        <w:t>to</w:t>
      </w:r>
      <w:r w:rsidR="006860C9" w:rsidRPr="000C0F73">
        <w:rPr>
          <w:lang w:val="en-GB"/>
        </w:rPr>
        <w:t xml:space="preserve"> </w:t>
      </w:r>
      <w:r w:rsidR="00CC28C5" w:rsidRPr="000C0F73">
        <w:rPr>
          <w:lang w:val="en-GB"/>
        </w:rPr>
        <w:t>the</w:t>
      </w:r>
      <w:r w:rsidR="006860C9" w:rsidRPr="000C0F73">
        <w:rPr>
          <w:lang w:val="en-GB"/>
        </w:rPr>
        <w:t xml:space="preserve"> </w:t>
      </w:r>
      <w:r w:rsidR="00CC28C5" w:rsidRPr="000C0F73">
        <w:rPr>
          <w:lang w:val="en-GB"/>
        </w:rPr>
        <w:t>promisor</w:t>
      </w:r>
      <w:r w:rsidR="00994AB8" w:rsidRPr="000C0F73">
        <w:rPr>
          <w:lang w:val="en-GB"/>
        </w:rPr>
        <w:t xml:space="preserve"> (‘Stilk v Myrick’, 1809)</w:t>
      </w:r>
      <w:r w:rsidR="00CC28C5" w:rsidRPr="000C0F73">
        <w:rPr>
          <w:lang w:val="en-GB"/>
        </w:rPr>
        <w:t>.</w:t>
      </w:r>
      <w:r w:rsidR="008F7F8A" w:rsidRPr="000C0F73">
        <w:rPr>
          <w:lang w:val="en-GB"/>
        </w:rPr>
        <w:t xml:space="preserve"> </w:t>
      </w:r>
      <w:r w:rsidR="00F6258B" w:rsidRPr="000C0F73">
        <w:rPr>
          <w:lang w:val="en-GB"/>
        </w:rPr>
        <w:t xml:space="preserve">Though these rules </w:t>
      </w:r>
      <w:r w:rsidR="00F6258B" w:rsidRPr="000C0F73">
        <w:rPr>
          <w:rFonts w:hint="eastAsia"/>
          <w:lang w:val="en-GB"/>
        </w:rPr>
        <w:t xml:space="preserve">serve well in a multitude of cases </w:t>
      </w:r>
      <w:r w:rsidR="00F6258B" w:rsidRPr="000C0F73">
        <w:rPr>
          <w:lang w:val="en-GB"/>
        </w:rPr>
        <w:t xml:space="preserve">about the formation of the contract </w:t>
      </w:r>
      <w:r w:rsidR="00F6258B" w:rsidRPr="000C0F73">
        <w:rPr>
          <w:rFonts w:hint="eastAsia"/>
          <w:lang w:val="en-GB"/>
        </w:rPr>
        <w:t xml:space="preserve">by voiding consideration under </w:t>
      </w:r>
      <w:r w:rsidR="00F6258B" w:rsidRPr="000C0F73">
        <w:rPr>
          <w:lang w:val="en-GB"/>
        </w:rPr>
        <w:t>certain</w:t>
      </w:r>
      <w:r w:rsidR="00F6258B" w:rsidRPr="000C0F73">
        <w:rPr>
          <w:rFonts w:hint="eastAsia"/>
          <w:lang w:val="en-GB"/>
        </w:rPr>
        <w:t xml:space="preserve"> </w:t>
      </w:r>
      <w:r w:rsidR="00F6258B" w:rsidRPr="000C0F73">
        <w:rPr>
          <w:lang w:val="en-GB"/>
        </w:rPr>
        <w:t>circumstances,</w:t>
      </w:r>
      <w:r w:rsidR="00F85E2C" w:rsidRPr="000C0F73">
        <w:rPr>
          <w:lang w:val="en-GB"/>
        </w:rPr>
        <w:t xml:space="preserve"> </w:t>
      </w:r>
      <w:r w:rsidR="00F6258B" w:rsidRPr="000C0F73">
        <w:rPr>
          <w:lang w:val="en-GB"/>
        </w:rPr>
        <w:t>they</w:t>
      </w:r>
      <w:r w:rsidR="00E26D68" w:rsidRPr="000C0F73">
        <w:rPr>
          <w:rFonts w:hint="eastAsia"/>
          <w:lang w:val="en-GB"/>
        </w:rPr>
        <w:t xml:space="preserve"> </w:t>
      </w:r>
      <w:r w:rsidR="004D1BE3" w:rsidRPr="000C0F73">
        <w:rPr>
          <w:lang w:val="en-GB"/>
        </w:rPr>
        <w:t>were</w:t>
      </w:r>
      <w:r w:rsidR="00E26D68" w:rsidRPr="000C0F73">
        <w:rPr>
          <w:lang w:val="en-GB"/>
        </w:rPr>
        <w:t xml:space="preserve"> criticised </w:t>
      </w:r>
      <w:r w:rsidR="004D1BE3" w:rsidRPr="000C0F73">
        <w:rPr>
          <w:lang w:val="en-GB"/>
        </w:rPr>
        <w:t>as an ‘incumbrance’</w:t>
      </w:r>
      <w:r w:rsidR="00E26D68" w:rsidRPr="000C0F73">
        <w:rPr>
          <w:lang w:val="en-GB"/>
        </w:rPr>
        <w:t xml:space="preserve"> </w:t>
      </w:r>
      <w:r w:rsidR="004D1BE3" w:rsidRPr="000C0F73">
        <w:rPr>
          <w:lang w:val="en-GB"/>
        </w:rPr>
        <w:t xml:space="preserve">and </w:t>
      </w:r>
      <w:r w:rsidR="000C0F73" w:rsidRPr="000C0F73">
        <w:rPr>
          <w:lang w:val="en-GB"/>
        </w:rPr>
        <w:t>dispensable because of</w:t>
      </w:r>
      <w:r w:rsidR="00E26D68" w:rsidRPr="000C0F73">
        <w:rPr>
          <w:lang w:val="en-GB"/>
        </w:rPr>
        <w:t xml:space="preserve"> </w:t>
      </w:r>
      <w:r w:rsidR="008358DD" w:rsidRPr="000C0F73">
        <w:rPr>
          <w:lang w:val="en-GB"/>
        </w:rPr>
        <w:t>such rulings</w:t>
      </w:r>
      <w:r w:rsidR="00F6258B" w:rsidRPr="000C0F73">
        <w:rPr>
          <w:lang w:val="en-GB"/>
        </w:rPr>
        <w:t xml:space="preserve"> (Wright, 1936).</w:t>
      </w:r>
      <w:r w:rsidR="00E26D68" w:rsidRPr="000C0F73">
        <w:rPr>
          <w:lang w:val="en-GB"/>
        </w:rPr>
        <w:t xml:space="preserve"> </w:t>
      </w:r>
      <w:r w:rsidR="000C0F73" w:rsidRPr="000C0F73">
        <w:rPr>
          <w:lang w:val="en-GB"/>
        </w:rPr>
        <w:t>And w</w:t>
      </w:r>
      <w:r w:rsidR="00365BAE" w:rsidRPr="000C0F73">
        <w:rPr>
          <w:lang w:val="en-GB"/>
        </w:rPr>
        <w:t xml:space="preserve">hen it appears superfluous </w:t>
      </w:r>
      <w:r w:rsidR="00C56B70" w:rsidRPr="000C0F73">
        <w:rPr>
          <w:rFonts w:hint="eastAsia"/>
          <w:lang w:val="en-GB"/>
        </w:rPr>
        <w:t xml:space="preserve">and against both </w:t>
      </w:r>
      <w:r w:rsidR="00C56B70" w:rsidRPr="000C0F73">
        <w:rPr>
          <w:lang w:val="en-GB"/>
        </w:rPr>
        <w:t>parties’</w:t>
      </w:r>
      <w:r w:rsidR="00C56B70" w:rsidRPr="000C0F73">
        <w:rPr>
          <w:rFonts w:hint="eastAsia"/>
          <w:lang w:val="en-GB"/>
        </w:rPr>
        <w:t xml:space="preserve"> intention</w:t>
      </w:r>
      <w:r w:rsidR="008358DD" w:rsidRPr="000C0F73">
        <w:rPr>
          <w:lang w:val="en-GB"/>
        </w:rPr>
        <w:t xml:space="preserve">, </w:t>
      </w:r>
      <w:r w:rsidR="002667BB" w:rsidRPr="000C0F73">
        <w:rPr>
          <w:lang w:val="en-GB"/>
        </w:rPr>
        <w:t>it seems</w:t>
      </w:r>
      <w:r w:rsidR="008358DD" w:rsidRPr="000C0F73">
        <w:rPr>
          <w:lang w:val="en-GB"/>
        </w:rPr>
        <w:t xml:space="preserve"> </w:t>
      </w:r>
      <w:r w:rsidR="002667BB" w:rsidRPr="000C0F73">
        <w:rPr>
          <w:rFonts w:hint="eastAsia"/>
          <w:lang w:val="en-GB"/>
        </w:rPr>
        <w:t>unjustified</w:t>
      </w:r>
      <w:r w:rsidR="00C56B70" w:rsidRPr="000C0F73">
        <w:rPr>
          <w:rFonts w:hint="eastAsia"/>
          <w:lang w:val="en-GB"/>
        </w:rPr>
        <w:t xml:space="preserve"> </w:t>
      </w:r>
      <w:r w:rsidR="00365BAE" w:rsidRPr="000C0F73">
        <w:rPr>
          <w:lang w:val="en-GB"/>
        </w:rPr>
        <w:t>to</w:t>
      </w:r>
      <w:r w:rsidR="003E7B9F" w:rsidRPr="000C0F73">
        <w:rPr>
          <w:lang w:val="en-GB"/>
        </w:rPr>
        <w:t xml:space="preserve"> </w:t>
      </w:r>
      <w:r w:rsidR="00FD4497" w:rsidRPr="000C0F73">
        <w:rPr>
          <w:lang w:val="en-GB"/>
        </w:rPr>
        <w:t xml:space="preserve">invalidate </w:t>
      </w:r>
      <w:r w:rsidR="002E6F62" w:rsidRPr="000C0F73">
        <w:rPr>
          <w:lang w:val="en-GB"/>
        </w:rPr>
        <w:t>a commercial agreement</w:t>
      </w:r>
      <w:r w:rsidR="00FD4497" w:rsidRPr="000C0F73">
        <w:rPr>
          <w:lang w:val="en-GB"/>
        </w:rPr>
        <w:t xml:space="preserve"> </w:t>
      </w:r>
      <w:r w:rsidR="008358DD" w:rsidRPr="000C0F73">
        <w:rPr>
          <w:lang w:val="en-GB"/>
        </w:rPr>
        <w:t>merely because of</w:t>
      </w:r>
      <w:r w:rsidR="00FD4497" w:rsidRPr="000C0F73">
        <w:rPr>
          <w:lang w:val="en-GB"/>
        </w:rPr>
        <w:t xml:space="preserve"> </w:t>
      </w:r>
      <w:r w:rsidR="005A045F" w:rsidRPr="000C0F73">
        <w:rPr>
          <w:lang w:val="en-GB"/>
        </w:rPr>
        <w:t xml:space="preserve">a </w:t>
      </w:r>
      <w:r w:rsidR="002667BB" w:rsidRPr="000C0F73">
        <w:rPr>
          <w:rFonts w:hint="eastAsia"/>
          <w:lang w:val="en-GB"/>
        </w:rPr>
        <w:t xml:space="preserve">simple </w:t>
      </w:r>
      <w:r w:rsidR="00FD4497" w:rsidRPr="000C0F73">
        <w:rPr>
          <w:lang w:val="en-GB"/>
        </w:rPr>
        <w:t>lack of</w:t>
      </w:r>
      <w:r w:rsidR="00C56B70" w:rsidRPr="000C0F73">
        <w:rPr>
          <w:rFonts w:hint="eastAsia"/>
          <w:lang w:val="en-GB"/>
        </w:rPr>
        <w:t xml:space="preserve"> consideration.</w:t>
      </w:r>
      <w:r w:rsidR="00FD4497" w:rsidRPr="000C0F73">
        <w:rPr>
          <w:lang w:val="en-GB"/>
        </w:rPr>
        <w:t xml:space="preserve"> </w:t>
      </w:r>
      <w:r w:rsidR="005A045F" w:rsidRPr="000C0F73">
        <w:rPr>
          <w:shd w:val="clear" w:color="auto" w:fill="FFFFFF"/>
        </w:rPr>
        <w:t xml:space="preserve">Instead, </w:t>
      </w:r>
      <w:r w:rsidR="002667BB" w:rsidRPr="000C0F73">
        <w:rPr>
          <w:rFonts w:hint="eastAsia"/>
          <w:shd w:val="clear" w:color="auto" w:fill="FFFFFF"/>
        </w:rPr>
        <w:t>the courts generally</w:t>
      </w:r>
      <w:r w:rsidR="005A045F" w:rsidRPr="000C0F73">
        <w:rPr>
          <w:shd w:val="clear" w:color="auto" w:fill="FFFFFF"/>
        </w:rPr>
        <w:t xml:space="preserve"> stretch</w:t>
      </w:r>
      <w:r w:rsidR="004F0EB4" w:rsidRPr="000C0F73">
        <w:rPr>
          <w:shd w:val="clear" w:color="auto" w:fill="FFFFFF"/>
        </w:rPr>
        <w:t xml:space="preserve"> the scope of consideration</w:t>
      </w:r>
      <w:r w:rsidR="005A045F" w:rsidRPr="000C0F73">
        <w:rPr>
          <w:shd w:val="clear" w:color="auto" w:fill="FFFFFF"/>
        </w:rPr>
        <w:t xml:space="preserve"> </w:t>
      </w:r>
      <w:r w:rsidR="00B52A7D" w:rsidRPr="000C0F73">
        <w:rPr>
          <w:shd w:val="clear" w:color="auto" w:fill="FFFFFF"/>
        </w:rPr>
        <w:t xml:space="preserve">to adapt to a </w:t>
      </w:r>
      <w:r w:rsidR="002667BB" w:rsidRPr="000C0F73">
        <w:rPr>
          <w:lang w:val="en-GB"/>
        </w:rPr>
        <w:t xml:space="preserve">scenario </w:t>
      </w:r>
      <w:r w:rsidR="00B52A7D" w:rsidRPr="000C0F73">
        <w:rPr>
          <w:shd w:val="clear" w:color="auto" w:fill="FFFFFF"/>
        </w:rPr>
        <w:t xml:space="preserve">like </w:t>
      </w:r>
      <w:r w:rsidR="000C0F73" w:rsidRPr="000C0F73">
        <w:rPr>
          <w:bdr w:val="none" w:sz="0" w:space="0" w:color="auto" w:frame="1"/>
          <w:shd w:val="clear" w:color="auto" w:fill="FFFFFF"/>
        </w:rPr>
        <w:t>‘New Zealand Shipping Co Ltd v AM Satterthwaite &amp; Co Ltd’</w:t>
      </w:r>
      <w:r w:rsidR="000C0F73" w:rsidRPr="000C0F73">
        <w:rPr>
          <w:bdr w:val="none" w:sz="0" w:space="0" w:color="auto" w:frame="1"/>
          <w:shd w:val="clear" w:color="auto" w:fill="FFFFFF"/>
        </w:rPr>
        <w:t xml:space="preserve"> </w:t>
      </w:r>
      <w:r w:rsidR="000C0F73" w:rsidRPr="000C0F73">
        <w:rPr>
          <w:bdr w:val="none" w:sz="0" w:space="0" w:color="auto" w:frame="1"/>
          <w:shd w:val="clear" w:color="auto" w:fill="FFFFFF"/>
        </w:rPr>
        <w:t>(</w:t>
      </w:r>
      <w:r w:rsidR="000C0F73" w:rsidRPr="000C0F73">
        <w:rPr>
          <w:shd w:val="clear" w:color="auto" w:fill="FFFFFF"/>
        </w:rPr>
        <w:t>1975)</w:t>
      </w:r>
      <w:r w:rsidR="00B52A7D" w:rsidRPr="000C0F73">
        <w:rPr>
          <w:shd w:val="clear" w:color="auto" w:fill="FFFFFF"/>
        </w:rPr>
        <w:t>.</w:t>
      </w:r>
      <w:r w:rsidR="002E6F62" w:rsidRPr="000C0F73">
        <w:rPr>
          <w:rFonts w:hint="eastAsia"/>
          <w:shd w:val="clear" w:color="auto" w:fill="FFFFFF"/>
        </w:rPr>
        <w:t xml:space="preserve"> Since </w:t>
      </w:r>
      <w:r w:rsidR="00B52A7D" w:rsidRPr="000C0F73">
        <w:rPr>
          <w:lang w:val="en-GB"/>
        </w:rPr>
        <w:t>inflexible</w:t>
      </w:r>
      <w:r w:rsidR="00365BAE" w:rsidRPr="000C0F73">
        <w:rPr>
          <w:lang w:val="en-GB"/>
        </w:rPr>
        <w:t xml:space="preserve"> </w:t>
      </w:r>
      <w:r w:rsidR="002667BB" w:rsidRPr="000C0F73">
        <w:rPr>
          <w:lang w:val="en-GB"/>
        </w:rPr>
        <w:t>reliability</w:t>
      </w:r>
      <w:r w:rsidR="00365BAE" w:rsidRPr="000C0F73">
        <w:rPr>
          <w:lang w:val="en-GB"/>
        </w:rPr>
        <w:t xml:space="preserve"> </w:t>
      </w:r>
      <w:r w:rsidR="002667BB" w:rsidRPr="000C0F73">
        <w:rPr>
          <w:lang w:val="en-GB"/>
        </w:rPr>
        <w:t>of</w:t>
      </w:r>
      <w:r w:rsidR="00365BAE" w:rsidRPr="000C0F73">
        <w:rPr>
          <w:lang w:val="en-GB"/>
        </w:rPr>
        <w:t xml:space="preserve"> the</w:t>
      </w:r>
      <w:r w:rsidR="002667BB" w:rsidRPr="000C0F73">
        <w:rPr>
          <w:lang w:val="en-GB"/>
        </w:rPr>
        <w:t xml:space="preserve"> doctrine</w:t>
      </w:r>
      <w:r w:rsidR="00365BAE" w:rsidRPr="000C0F73">
        <w:rPr>
          <w:lang w:val="en-GB"/>
        </w:rPr>
        <w:t xml:space="preserve"> </w:t>
      </w:r>
      <w:r w:rsidR="002667BB" w:rsidRPr="000C0F73">
        <w:rPr>
          <w:lang w:val="en-GB"/>
        </w:rPr>
        <w:t>of</w:t>
      </w:r>
      <w:r w:rsidR="00365BAE" w:rsidRPr="000C0F73">
        <w:rPr>
          <w:lang w:val="en-GB"/>
        </w:rPr>
        <w:t xml:space="preserve"> consideration may result in the </w:t>
      </w:r>
      <w:r w:rsidR="002667BB" w:rsidRPr="000C0F73">
        <w:rPr>
          <w:lang w:val="en-GB"/>
        </w:rPr>
        <w:t>negligence</w:t>
      </w:r>
      <w:r w:rsidR="00365BAE" w:rsidRPr="000C0F73">
        <w:rPr>
          <w:lang w:val="en-GB"/>
        </w:rPr>
        <w:t xml:space="preserve"> of the parties' plain intentions</w:t>
      </w:r>
      <w:r w:rsidR="002667BB" w:rsidRPr="000C0F73">
        <w:rPr>
          <w:rFonts w:hint="eastAsia"/>
          <w:lang w:val="en-GB"/>
        </w:rPr>
        <w:t>, undermining the concept of consideration</w:t>
      </w:r>
      <w:r w:rsidR="000C0F73">
        <w:rPr>
          <w:lang w:val="en-GB"/>
        </w:rPr>
        <w:t xml:space="preserve"> </w:t>
      </w:r>
      <w:r w:rsidR="00803AE3">
        <w:rPr>
          <w:lang w:val="en-GB"/>
        </w:rPr>
        <w:t xml:space="preserve">and adopting a more general acceptance of consideration based on both parties' intentions is required, especially in </w:t>
      </w:r>
      <w:r w:rsidR="00803AE3">
        <w:rPr>
          <w:lang w:val="en-GB"/>
        </w:rPr>
        <w:lastRenderedPageBreak/>
        <w:t>commercial circumstances. The following essay outlines the other scenarios where judges</w:t>
      </w:r>
      <w:r w:rsidR="00774641">
        <w:rPr>
          <w:lang w:val="en-GB"/>
        </w:rPr>
        <w:t xml:space="preserve"> held a different voice </w:t>
      </w:r>
      <w:r w:rsidR="00C31444">
        <w:rPr>
          <w:lang w:val="en-GB"/>
        </w:rPr>
        <w:t>in</w:t>
      </w:r>
      <w:r w:rsidR="00774641">
        <w:rPr>
          <w:lang w:val="en-GB"/>
        </w:rPr>
        <w:t xml:space="preserve"> </w:t>
      </w:r>
      <w:r w:rsidR="00803AE3">
        <w:rPr>
          <w:lang w:val="en-GB"/>
        </w:rPr>
        <w:t>consideration’s rules</w:t>
      </w:r>
      <w:r w:rsidR="00774641">
        <w:rPr>
          <w:lang w:val="en-GB"/>
        </w:rPr>
        <w:t>.</w:t>
      </w:r>
    </w:p>
    <w:p w14:paraId="74103F22" w14:textId="77777777" w:rsidR="00932DD1" w:rsidRPr="000C0F73" w:rsidRDefault="00932DD1" w:rsidP="006F5C85">
      <w:pPr>
        <w:widowControl/>
        <w:spacing w:line="480" w:lineRule="auto"/>
        <w:jc w:val="both"/>
        <w:rPr>
          <w:lang w:val="en-GB"/>
        </w:rPr>
      </w:pPr>
    </w:p>
    <w:p w14:paraId="559D054B" w14:textId="602325A9" w:rsidR="0083284E" w:rsidRPr="0058661E" w:rsidRDefault="00D21ADA" w:rsidP="00FB6091">
      <w:pPr>
        <w:widowControl/>
        <w:spacing w:line="480" w:lineRule="auto"/>
        <w:jc w:val="both"/>
        <w:rPr>
          <w:lang w:val="en-GB"/>
        </w:rPr>
      </w:pPr>
      <w:r w:rsidRPr="000C0F73">
        <w:rPr>
          <w:lang w:val="en-GB"/>
        </w:rPr>
        <w:tab/>
      </w:r>
      <w:r w:rsidR="0083284E" w:rsidRPr="000C0F73">
        <w:rPr>
          <w:rFonts w:hint="eastAsia"/>
          <w:lang w:val="en-GB"/>
        </w:rPr>
        <w:t xml:space="preserve">The strict prohibition of consideration rules </w:t>
      </w:r>
      <w:r w:rsidR="0083284E" w:rsidRPr="000C0F73">
        <w:rPr>
          <w:lang w:val="en-GB"/>
        </w:rPr>
        <w:t>breaks</w:t>
      </w:r>
      <w:r w:rsidR="0083284E" w:rsidRPr="000C0F73">
        <w:rPr>
          <w:rFonts w:hint="eastAsia"/>
          <w:lang w:val="en-GB"/>
        </w:rPr>
        <w:t xml:space="preserve"> down w</w:t>
      </w:r>
      <w:r w:rsidR="00E1708C" w:rsidRPr="000C0F73">
        <w:rPr>
          <w:rFonts w:hint="eastAsia"/>
          <w:lang w:val="en-GB"/>
        </w:rPr>
        <w:t xml:space="preserve">hen a new renegotiation of </w:t>
      </w:r>
      <w:r w:rsidR="0083284E" w:rsidRPr="000C0F73">
        <w:rPr>
          <w:lang w:val="en-GB"/>
        </w:rPr>
        <w:t xml:space="preserve">a </w:t>
      </w:r>
      <w:r w:rsidR="00E1708C" w:rsidRPr="000C0F73">
        <w:rPr>
          <w:rFonts w:hint="eastAsia"/>
          <w:lang w:val="en-GB"/>
        </w:rPr>
        <w:t>contract needs to be made</w:t>
      </w:r>
      <w:r w:rsidR="0083284E" w:rsidRPr="000C0F73">
        <w:rPr>
          <w:rFonts w:hint="eastAsia"/>
          <w:lang w:val="en-GB"/>
        </w:rPr>
        <w:t>.</w:t>
      </w:r>
      <w:r w:rsidR="0058661E">
        <w:rPr>
          <w:lang w:val="en-GB"/>
        </w:rPr>
        <w:t xml:space="preserve"> </w:t>
      </w:r>
      <w:r w:rsidR="00E6164C" w:rsidRPr="000C0F73">
        <w:rPr>
          <w:rFonts w:hint="eastAsia"/>
          <w:lang w:val="en-GB"/>
        </w:rPr>
        <w:t>In practice,</w:t>
      </w:r>
      <w:r w:rsidR="00E6164C" w:rsidRPr="000C0F73">
        <w:rPr>
          <w:lang w:val="en-GB"/>
        </w:rPr>
        <w:t xml:space="preserve"> </w:t>
      </w:r>
      <w:r w:rsidR="00E6164C" w:rsidRPr="000C0F73">
        <w:rPr>
          <w:rFonts w:hint="eastAsia"/>
          <w:lang w:val="en-GB"/>
        </w:rPr>
        <w:t xml:space="preserve">the </w:t>
      </w:r>
      <w:r w:rsidR="00E6164C" w:rsidRPr="000C0F73">
        <w:rPr>
          <w:lang w:val="en-GB"/>
        </w:rPr>
        <w:t xml:space="preserve">amendment </w:t>
      </w:r>
      <w:r w:rsidR="00E6164C" w:rsidRPr="000C0F73">
        <w:rPr>
          <w:rFonts w:hint="eastAsia"/>
          <w:lang w:val="en-GB"/>
        </w:rPr>
        <w:t xml:space="preserve">to contracts </w:t>
      </w:r>
      <w:r w:rsidR="00E6164C" w:rsidRPr="000C0F73">
        <w:rPr>
          <w:lang w:val="en-GB"/>
        </w:rPr>
        <w:t xml:space="preserve">has been taken into </w:t>
      </w:r>
      <w:r w:rsidR="00E6164C" w:rsidRPr="000C0F73">
        <w:rPr>
          <w:rFonts w:hint="eastAsia"/>
          <w:lang w:val="en-GB"/>
        </w:rPr>
        <w:t>account</w:t>
      </w:r>
      <w:r w:rsidR="00E6164C" w:rsidRPr="000C0F73">
        <w:rPr>
          <w:lang w:val="en-GB"/>
        </w:rPr>
        <w:t xml:space="preserve"> since ‘Pinnel's Case’</w:t>
      </w:r>
      <w:r w:rsidR="00E6164C" w:rsidRPr="000C0F73">
        <w:rPr>
          <w:rFonts w:hint="eastAsia"/>
          <w:lang w:val="en-GB"/>
        </w:rPr>
        <w:t xml:space="preserve"> (</w:t>
      </w:r>
      <w:r w:rsidR="00E6164C" w:rsidRPr="000C0F73">
        <w:rPr>
          <w:lang w:val="en-GB"/>
        </w:rPr>
        <w:t xml:space="preserve">1601), where Lord </w:t>
      </w:r>
      <w:r w:rsidR="00E6164C" w:rsidRPr="000C0F73">
        <w:rPr>
          <w:rFonts w:hint="eastAsia"/>
          <w:lang w:val="en-GB"/>
        </w:rPr>
        <w:t xml:space="preserve">Coke </w:t>
      </w:r>
      <w:r w:rsidR="00E6164C" w:rsidRPr="000C0F73">
        <w:rPr>
          <w:lang w:val="en-GB"/>
        </w:rPr>
        <w:t>state</w:t>
      </w:r>
      <w:r w:rsidR="00E6164C" w:rsidRPr="000C0F73">
        <w:rPr>
          <w:rFonts w:hint="eastAsia"/>
          <w:lang w:val="en-GB"/>
        </w:rPr>
        <w:t>d</w:t>
      </w:r>
      <w:r w:rsidR="00E6164C" w:rsidRPr="000C0F73">
        <w:rPr>
          <w:lang w:val="en-GB"/>
        </w:rPr>
        <w:t xml:space="preserve"> </w:t>
      </w:r>
      <w:r w:rsidR="00E6164C" w:rsidRPr="000C0F73">
        <w:rPr>
          <w:rFonts w:hint="eastAsia"/>
          <w:lang w:val="en-GB"/>
        </w:rPr>
        <w:t>that a lesser payment to debt does not provide a satisfactory consideration</w:t>
      </w:r>
      <w:r w:rsidR="0025660A" w:rsidRPr="000C0F73">
        <w:rPr>
          <w:rFonts w:hint="eastAsia"/>
          <w:lang w:val="en-GB"/>
        </w:rPr>
        <w:t xml:space="preserve"> for the whole</w:t>
      </w:r>
      <w:r w:rsidR="00B02BC6" w:rsidRPr="000C0F73">
        <w:rPr>
          <w:rFonts w:hint="eastAsia"/>
          <w:lang w:val="en-GB"/>
        </w:rPr>
        <w:t xml:space="preserve">, and this principle was </w:t>
      </w:r>
      <w:r w:rsidR="00B02BC6" w:rsidRPr="000C0F73">
        <w:rPr>
          <w:lang w:val="en-GB"/>
        </w:rPr>
        <w:t>solidified</w:t>
      </w:r>
      <w:r w:rsidR="00B02BC6" w:rsidRPr="000C0F73">
        <w:rPr>
          <w:rFonts w:hint="eastAsia"/>
          <w:lang w:val="en-GB"/>
        </w:rPr>
        <w:t xml:space="preserve"> by the latter cas</w:t>
      </w:r>
      <w:r w:rsidR="00A27AC5" w:rsidRPr="000C0F73">
        <w:rPr>
          <w:rFonts w:hint="eastAsia"/>
          <w:lang w:val="en-GB"/>
        </w:rPr>
        <w:t>e</w:t>
      </w:r>
      <w:r w:rsidR="00B02BC6" w:rsidRPr="000C0F73">
        <w:rPr>
          <w:lang w:val="en-GB"/>
        </w:rPr>
        <w:t xml:space="preserve"> </w:t>
      </w:r>
      <w:r w:rsidR="00C06377" w:rsidRPr="000C0F73">
        <w:rPr>
          <w:lang w:val="en-GB"/>
        </w:rPr>
        <w:t>‘</w:t>
      </w:r>
      <w:r w:rsidR="00C06377" w:rsidRPr="000C0F73">
        <w:rPr>
          <w:rFonts w:hint="eastAsia"/>
          <w:lang w:val="en-GB"/>
        </w:rPr>
        <w:t>Couldery v Bartrum</w:t>
      </w:r>
      <w:r w:rsidR="00C06377" w:rsidRPr="000C0F73">
        <w:rPr>
          <w:lang w:val="en-GB"/>
        </w:rPr>
        <w:t>’</w:t>
      </w:r>
      <w:r w:rsidR="00C06377" w:rsidRPr="000C0F73">
        <w:rPr>
          <w:rFonts w:hint="eastAsia"/>
          <w:lang w:val="en-GB"/>
        </w:rPr>
        <w:t xml:space="preserve"> (1881) and </w:t>
      </w:r>
      <w:r w:rsidR="00B02BC6" w:rsidRPr="000C0F73">
        <w:rPr>
          <w:lang w:val="en-GB"/>
        </w:rPr>
        <w:t>‘Foakes v Beer’</w:t>
      </w:r>
      <w:r w:rsidR="00B02BC6" w:rsidRPr="000C0F73">
        <w:rPr>
          <w:rFonts w:hint="eastAsia"/>
          <w:lang w:val="en-GB"/>
        </w:rPr>
        <w:t xml:space="preserve"> (</w:t>
      </w:r>
      <w:r w:rsidR="00B02BC6" w:rsidRPr="000C0F73">
        <w:rPr>
          <w:lang w:val="en-GB"/>
        </w:rPr>
        <w:t>1884</w:t>
      </w:r>
      <w:r w:rsidR="00B02BC6" w:rsidRPr="000C0F73">
        <w:rPr>
          <w:rFonts w:hint="eastAsia"/>
          <w:lang w:val="en-GB"/>
        </w:rPr>
        <w:t xml:space="preserve">). </w:t>
      </w:r>
      <w:r w:rsidR="00971709" w:rsidRPr="000C0F73">
        <w:rPr>
          <w:rFonts w:hint="eastAsia"/>
          <w:lang w:val="en-GB"/>
        </w:rPr>
        <w:t>However</w:t>
      </w:r>
      <w:r w:rsidR="00A27AC5" w:rsidRPr="000C0F73">
        <w:rPr>
          <w:rFonts w:hint="eastAsia"/>
          <w:lang w:val="en-GB"/>
        </w:rPr>
        <w:t>,</w:t>
      </w:r>
      <w:r w:rsidR="0040598D" w:rsidRPr="000C0F73">
        <w:rPr>
          <w:rFonts w:hint="eastAsia"/>
          <w:lang w:val="en-GB"/>
        </w:rPr>
        <w:t xml:space="preserve"> </w:t>
      </w:r>
      <w:r w:rsidR="00FB6091" w:rsidRPr="000C0F73">
        <w:rPr>
          <w:lang w:val="en-GB"/>
        </w:rPr>
        <w:t>some judges</w:t>
      </w:r>
      <w:r w:rsidR="0040598D" w:rsidRPr="000C0F73">
        <w:rPr>
          <w:rFonts w:hint="eastAsia"/>
          <w:lang w:val="en-GB"/>
        </w:rPr>
        <w:t xml:space="preserve"> in </w:t>
      </w:r>
      <w:r w:rsidR="00A27AC5" w:rsidRPr="000C0F73">
        <w:rPr>
          <w:lang w:val="en-GB"/>
        </w:rPr>
        <w:t>‘Bagge v Slade’</w:t>
      </w:r>
      <w:r w:rsidR="00A27AC5" w:rsidRPr="000C0F73">
        <w:rPr>
          <w:rFonts w:hint="eastAsia"/>
          <w:lang w:val="en-GB"/>
        </w:rPr>
        <w:t xml:space="preserve"> (</w:t>
      </w:r>
      <w:r w:rsidR="00A27AC5" w:rsidRPr="000C0F73">
        <w:rPr>
          <w:lang w:val="en-GB"/>
        </w:rPr>
        <w:t>1615</w:t>
      </w:r>
      <w:r w:rsidR="00A27AC5" w:rsidRPr="000C0F73">
        <w:rPr>
          <w:rFonts w:hint="eastAsia"/>
          <w:lang w:val="en-GB"/>
        </w:rPr>
        <w:t xml:space="preserve">), </w:t>
      </w:r>
      <w:r w:rsidR="0040598D" w:rsidRPr="000C0F73">
        <w:rPr>
          <w:lang w:val="en-GB"/>
        </w:rPr>
        <w:t>‘Foakes v Beer’</w:t>
      </w:r>
      <w:r w:rsidR="0040598D" w:rsidRPr="000C0F73">
        <w:rPr>
          <w:rFonts w:hint="eastAsia"/>
          <w:lang w:val="en-GB"/>
        </w:rPr>
        <w:t xml:space="preserve"> (</w:t>
      </w:r>
      <w:r w:rsidR="0040598D" w:rsidRPr="000C0F73">
        <w:rPr>
          <w:lang w:val="en-GB"/>
        </w:rPr>
        <w:t>1884</w:t>
      </w:r>
      <w:r w:rsidR="0040598D" w:rsidRPr="000C0F73">
        <w:rPr>
          <w:rFonts w:hint="eastAsia"/>
          <w:lang w:val="en-GB"/>
        </w:rPr>
        <w:t xml:space="preserve">) </w:t>
      </w:r>
      <w:r w:rsidR="00A27AC5" w:rsidRPr="000C0F73">
        <w:rPr>
          <w:rFonts w:hint="eastAsia"/>
          <w:lang w:val="en-GB"/>
        </w:rPr>
        <w:t xml:space="preserve">as well as </w:t>
      </w:r>
      <w:r w:rsidR="0040598D" w:rsidRPr="000C0F73">
        <w:rPr>
          <w:lang w:val="en-GB"/>
        </w:rPr>
        <w:t>‘Selectmove Ltd, Re’ (1995)</w:t>
      </w:r>
      <w:r w:rsidR="0040598D" w:rsidRPr="000C0F73">
        <w:rPr>
          <w:rFonts w:hint="eastAsia"/>
          <w:lang w:val="en-GB"/>
        </w:rPr>
        <w:t xml:space="preserve"> all took part-payment </w:t>
      </w:r>
      <w:r w:rsidR="00A27AC5" w:rsidRPr="000C0F73">
        <w:rPr>
          <w:lang w:val="en-GB"/>
        </w:rPr>
        <w:t>proposal</w:t>
      </w:r>
      <w:r w:rsidR="00A27AC5" w:rsidRPr="000C0F73">
        <w:rPr>
          <w:rFonts w:hint="eastAsia"/>
          <w:lang w:val="en-GB"/>
        </w:rPr>
        <w:t xml:space="preserve"> as a good consideration</w:t>
      </w:r>
      <w:r w:rsidR="0040598D" w:rsidRPr="000C0F73">
        <w:rPr>
          <w:rFonts w:hint="eastAsia"/>
          <w:lang w:val="en-GB"/>
        </w:rPr>
        <w:t>.</w:t>
      </w:r>
      <w:r w:rsidR="00FB6091" w:rsidRPr="000C0F73">
        <w:rPr>
          <w:lang w:val="en-GB"/>
        </w:rPr>
        <w:t xml:space="preserve"> </w:t>
      </w:r>
      <w:r w:rsidR="00F063D6" w:rsidRPr="000C0F73">
        <w:rPr>
          <w:lang w:val="en-GB"/>
        </w:rPr>
        <w:t>Comparably, a</w:t>
      </w:r>
      <w:r w:rsidR="00853FA8" w:rsidRPr="000C0F73">
        <w:rPr>
          <w:lang w:val="en-GB"/>
        </w:rPr>
        <w:t xml:space="preserve"> similar promise for rewarding existing duty that had been deemed to be gratuitous in ‘Stilk v Myrick’ (1809) was identified as a valid consideration in ‘Williams v Roffey Bros &amp; Nicholls (Contractors) Ltd’ </w:t>
      </w:r>
      <w:r w:rsidR="00E37C57">
        <w:rPr>
          <w:lang w:val="en-GB"/>
        </w:rPr>
        <w:t>(</w:t>
      </w:r>
      <w:r w:rsidR="00853FA8" w:rsidRPr="000C0F73">
        <w:rPr>
          <w:lang w:val="en-GB"/>
        </w:rPr>
        <w:t>1991).</w:t>
      </w:r>
      <w:r w:rsidR="0058661E">
        <w:rPr>
          <w:lang w:val="en-GB"/>
        </w:rPr>
        <w:t xml:space="preserve"> </w:t>
      </w:r>
      <w:r w:rsidR="00747872" w:rsidRPr="000C0F73">
        <w:rPr>
          <w:rFonts w:hint="eastAsia"/>
          <w:lang w:val="en-GB"/>
        </w:rPr>
        <w:t xml:space="preserve">A positive side of </w:t>
      </w:r>
      <w:r w:rsidR="00A27AC5" w:rsidRPr="000C0F73">
        <w:rPr>
          <w:rFonts w:hint="eastAsia"/>
          <w:lang w:val="en-GB"/>
        </w:rPr>
        <w:t xml:space="preserve">rigid </w:t>
      </w:r>
      <w:r w:rsidR="00747872" w:rsidRPr="000C0F73">
        <w:rPr>
          <w:rFonts w:hint="eastAsia"/>
          <w:lang w:val="en-GB"/>
        </w:rPr>
        <w:t xml:space="preserve">consideration rules is to </w:t>
      </w:r>
      <w:r w:rsidR="007E738C" w:rsidRPr="000C0F73">
        <w:rPr>
          <w:rFonts w:hint="eastAsia"/>
          <w:lang w:val="en-GB"/>
        </w:rPr>
        <w:t xml:space="preserve">prevent creditors from being in economic duress </w:t>
      </w:r>
      <w:r w:rsidR="00980B12" w:rsidRPr="000C0F73">
        <w:rPr>
          <w:rFonts w:hint="eastAsia"/>
          <w:lang w:val="en-GB"/>
        </w:rPr>
        <w:t xml:space="preserve">to accept a lessor payment because of their cash flow problems and </w:t>
      </w:r>
      <w:r w:rsidR="00A27AC5" w:rsidRPr="000C0F73">
        <w:rPr>
          <w:rFonts w:hint="eastAsia"/>
          <w:lang w:val="en-GB"/>
        </w:rPr>
        <w:t xml:space="preserve">they are unable to continue holding out for the entire amount, as in </w:t>
      </w:r>
      <w:r w:rsidR="00A27AC5" w:rsidRPr="000C0F73">
        <w:rPr>
          <w:lang w:val="en-GB"/>
        </w:rPr>
        <w:t>‘D &amp; C Builders Ltd v Rees’ </w:t>
      </w:r>
      <w:r w:rsidR="00A27AC5" w:rsidRPr="000C0F73">
        <w:rPr>
          <w:rFonts w:hint="eastAsia"/>
          <w:lang w:val="en-GB"/>
        </w:rPr>
        <w:t>(</w:t>
      </w:r>
      <w:r w:rsidR="00A27AC5" w:rsidRPr="000C0F73">
        <w:rPr>
          <w:lang w:val="en-GB"/>
        </w:rPr>
        <w:t>196</w:t>
      </w:r>
      <w:r w:rsidR="00A27AC5" w:rsidRPr="000C0F73">
        <w:rPr>
          <w:rFonts w:hint="eastAsia"/>
          <w:lang w:val="en-GB"/>
        </w:rPr>
        <w:t xml:space="preserve">6). </w:t>
      </w:r>
      <w:r w:rsidR="00C06377" w:rsidRPr="000C0F73">
        <w:rPr>
          <w:rFonts w:hint="eastAsia"/>
          <w:lang w:val="en-GB"/>
        </w:rPr>
        <w:t xml:space="preserve">As </w:t>
      </w:r>
      <w:r w:rsidR="00C06377" w:rsidRPr="000C0F73">
        <w:rPr>
          <w:lang w:val="en-GB"/>
        </w:rPr>
        <w:t>Judge</w:t>
      </w:r>
      <w:r w:rsidR="00C06377" w:rsidRPr="000C0F73">
        <w:rPr>
          <w:rFonts w:hint="eastAsia"/>
          <w:lang w:val="en-GB"/>
        </w:rPr>
        <w:t xml:space="preserve"> Jessel evaluates in </w:t>
      </w:r>
      <w:r w:rsidR="00C06377" w:rsidRPr="000C0F73">
        <w:rPr>
          <w:lang w:val="en-GB"/>
        </w:rPr>
        <w:t>‘</w:t>
      </w:r>
      <w:r w:rsidR="00C06377" w:rsidRPr="000C0F73">
        <w:rPr>
          <w:rFonts w:hint="eastAsia"/>
          <w:lang w:val="en-GB"/>
        </w:rPr>
        <w:t>Couldery v Bartrum</w:t>
      </w:r>
      <w:r w:rsidR="00C06377" w:rsidRPr="000C0F73">
        <w:rPr>
          <w:lang w:val="en-GB"/>
        </w:rPr>
        <w:t>’</w:t>
      </w:r>
      <w:r w:rsidR="00C06377" w:rsidRPr="000C0F73">
        <w:rPr>
          <w:rFonts w:hint="eastAsia"/>
          <w:lang w:val="en-GB"/>
        </w:rPr>
        <w:t xml:space="preserve"> (1881), consideration would be necessary for any alteration on </w:t>
      </w:r>
      <w:r w:rsidR="00C06377" w:rsidRPr="000C0F73">
        <w:rPr>
          <w:lang w:val="en-GB"/>
        </w:rPr>
        <w:t xml:space="preserve">the </w:t>
      </w:r>
      <w:r w:rsidR="00C06377" w:rsidRPr="000C0F73">
        <w:rPr>
          <w:rFonts w:hint="eastAsia"/>
          <w:lang w:val="en-GB"/>
        </w:rPr>
        <w:t xml:space="preserve">previous contract and could be anything of practical value such as a horse, a canary or a tom-tit but could not be a part-payment which adds nothing to the transaction. </w:t>
      </w:r>
      <w:r w:rsidR="00A153DC" w:rsidRPr="000C0F73">
        <w:rPr>
          <w:lang w:val="en-GB"/>
        </w:rPr>
        <w:t xml:space="preserve">On the contrary, a prompt part-payment is commonly preferred over being fully paid later in business since a demanding company may start to benefit more from a timely cash flow from their debtors. </w:t>
      </w:r>
      <w:r w:rsidR="00E62DD8" w:rsidRPr="000C0F73">
        <w:rPr>
          <w:lang w:val="en-GB"/>
        </w:rPr>
        <w:t xml:space="preserve">This concern </w:t>
      </w:r>
      <w:r w:rsidR="00FB6091" w:rsidRPr="000C0F73">
        <w:rPr>
          <w:lang w:val="en-GB"/>
        </w:rPr>
        <w:t>was</w:t>
      </w:r>
      <w:r w:rsidR="00E62DD8" w:rsidRPr="000C0F73">
        <w:rPr>
          <w:lang w:val="en-GB"/>
        </w:rPr>
        <w:t xml:space="preserve"> </w:t>
      </w:r>
      <w:r w:rsidR="00E62DD8" w:rsidRPr="000C0F73">
        <w:rPr>
          <w:lang w:val="en-GB"/>
        </w:rPr>
        <w:lastRenderedPageBreak/>
        <w:t>brought in</w:t>
      </w:r>
      <w:r w:rsidR="00A153DC" w:rsidRPr="000C0F73">
        <w:rPr>
          <w:lang w:val="en-GB"/>
        </w:rPr>
        <w:t xml:space="preserve"> ‘Foakes v Beer’</w:t>
      </w:r>
      <w:r w:rsidR="00A153DC" w:rsidRPr="000C0F73">
        <w:rPr>
          <w:rFonts w:hint="eastAsia"/>
          <w:lang w:val="en-GB"/>
        </w:rPr>
        <w:t xml:space="preserve"> (</w:t>
      </w:r>
      <w:r w:rsidR="00A153DC" w:rsidRPr="000C0F73">
        <w:rPr>
          <w:lang w:val="en-GB"/>
        </w:rPr>
        <w:t>1884</w:t>
      </w:r>
      <w:r w:rsidR="00A153DC" w:rsidRPr="000C0F73">
        <w:rPr>
          <w:rFonts w:hint="eastAsia"/>
          <w:lang w:val="en-GB"/>
        </w:rPr>
        <w:t>)</w:t>
      </w:r>
      <w:r w:rsidR="00E62DD8" w:rsidRPr="000C0F73">
        <w:rPr>
          <w:lang w:val="en-GB"/>
        </w:rPr>
        <w:t xml:space="preserve"> by </w:t>
      </w:r>
      <w:r w:rsidR="005512B8" w:rsidRPr="000C0F73">
        <w:rPr>
          <w:lang w:val="en-GB"/>
        </w:rPr>
        <w:t>Lord Blackburne</w:t>
      </w:r>
      <w:r w:rsidR="00E62DD8" w:rsidRPr="000C0F73">
        <w:rPr>
          <w:lang w:val="en-GB"/>
        </w:rPr>
        <w:t xml:space="preserve"> </w:t>
      </w:r>
      <w:r w:rsidR="006C49B6" w:rsidRPr="000C0F73">
        <w:rPr>
          <w:lang w:val="en-GB"/>
        </w:rPr>
        <w:t xml:space="preserve">and accepted ‘Selectmove Ltd, Re’ (1995) where </w:t>
      </w:r>
      <w:r w:rsidR="00FB6091" w:rsidRPr="000C0F73">
        <w:rPr>
          <w:lang w:val="en-GB"/>
        </w:rPr>
        <w:t xml:space="preserve">a company would benefit more from </w:t>
      </w:r>
      <w:r w:rsidR="006C49B6" w:rsidRPr="000C0F73">
        <w:rPr>
          <w:lang w:val="en-GB"/>
        </w:rPr>
        <w:t xml:space="preserve">accepting a proposal </w:t>
      </w:r>
      <w:r w:rsidR="00FB6091" w:rsidRPr="000C0F73">
        <w:rPr>
          <w:lang w:val="en-GB"/>
        </w:rPr>
        <w:t xml:space="preserve">other than winding up the other party by bringing them into court. </w:t>
      </w:r>
      <w:r w:rsidR="00F10D0F">
        <w:rPr>
          <w:lang w:val="en-GB"/>
        </w:rPr>
        <w:t xml:space="preserve">All these cases show that a part payment could be a valid consideration potentially by itself hence, </w:t>
      </w:r>
      <w:r w:rsidR="00B84CDB">
        <w:rPr>
          <w:lang w:val="en-GB"/>
        </w:rPr>
        <w:t>an agreement to accept part payments might be binding under certain circumstances.</w:t>
      </w:r>
      <w:r w:rsidR="00E37C57">
        <w:rPr>
          <w:lang w:val="en-GB"/>
        </w:rPr>
        <w:t xml:space="preserve"> In </w:t>
      </w:r>
      <w:r w:rsidR="00932552" w:rsidRPr="000C0F73">
        <w:rPr>
          <w:lang w:val="en-GB"/>
        </w:rPr>
        <w:t xml:space="preserve">‘Williams v Roffey Bros &amp; Nicholls (Contractors) Ltd’ </w:t>
      </w:r>
      <w:r w:rsidR="00932552">
        <w:rPr>
          <w:lang w:val="en-GB"/>
        </w:rPr>
        <w:t>(</w:t>
      </w:r>
      <w:r w:rsidR="00932552" w:rsidRPr="000C0F73">
        <w:rPr>
          <w:lang w:val="en-GB"/>
        </w:rPr>
        <w:t>1991)</w:t>
      </w:r>
      <w:r w:rsidR="00932552">
        <w:rPr>
          <w:lang w:val="en-GB"/>
        </w:rPr>
        <w:t>, the claimant was given a bonus for completing his task on time when he fell behind schedule. This is an exact situation where the ruling that performing an existing duty is invalid (</w:t>
      </w:r>
      <w:r w:rsidR="00932552" w:rsidRPr="000C0F73">
        <w:rPr>
          <w:lang w:val="en-GB"/>
        </w:rPr>
        <w:t>‘Stilk v Myrick’</w:t>
      </w:r>
      <w:r w:rsidR="00932552">
        <w:rPr>
          <w:lang w:val="en-GB"/>
        </w:rPr>
        <w:t>,</w:t>
      </w:r>
      <w:r w:rsidR="00932552" w:rsidRPr="000C0F73">
        <w:rPr>
          <w:lang w:val="en-GB"/>
        </w:rPr>
        <w:t> 1809</w:t>
      </w:r>
      <w:r w:rsidR="00932552">
        <w:rPr>
          <w:lang w:val="en-GB"/>
        </w:rPr>
        <w:t>) should apply</w:t>
      </w:r>
      <w:r w:rsidR="005B10F2">
        <w:rPr>
          <w:lang w:val="en-GB"/>
        </w:rPr>
        <w:t xml:space="preserve">. However, </w:t>
      </w:r>
      <w:r w:rsidR="00C14D3F">
        <w:rPr>
          <w:lang w:val="en-GB"/>
        </w:rPr>
        <w:t>Lord Glidewell</w:t>
      </w:r>
      <w:r w:rsidR="005B10F2">
        <w:rPr>
          <w:lang w:val="en-GB"/>
        </w:rPr>
        <w:t xml:space="preserve"> gave consideration a greater meaning in this case, removing obstacles to </w:t>
      </w:r>
      <w:r w:rsidR="00BD7272">
        <w:rPr>
          <w:lang w:val="en-GB"/>
        </w:rPr>
        <w:t>making modifications of contracts legally enforceable.</w:t>
      </w:r>
      <w:r w:rsidR="007E0AAA">
        <w:rPr>
          <w:lang w:val="en-GB"/>
        </w:rPr>
        <w:t xml:space="preserve"> In such cases, the renegotiated consideration imposes benefits without any detriment to one party but would result in a double win for both parties where, in particular, a commercial agreement had been formed. Williams </w:t>
      </w:r>
      <w:r w:rsidR="006D788B">
        <w:rPr>
          <w:lang w:val="en-GB"/>
        </w:rPr>
        <w:t>promised</w:t>
      </w:r>
      <w:r w:rsidR="007E0AAA">
        <w:rPr>
          <w:lang w:val="en-GB"/>
        </w:rPr>
        <w:t xml:space="preserve"> nothing but adhering to his existing </w:t>
      </w:r>
      <w:r w:rsidR="006D788B">
        <w:rPr>
          <w:lang w:val="en-GB"/>
        </w:rPr>
        <w:t>duty,</w:t>
      </w:r>
      <w:r w:rsidR="007E0AAA">
        <w:rPr>
          <w:lang w:val="en-GB"/>
        </w:rPr>
        <w:t xml:space="preserve"> which was of no legal value hence, no valid consideration was </w:t>
      </w:r>
      <w:r w:rsidR="006D788B">
        <w:rPr>
          <w:lang w:val="en-GB"/>
        </w:rPr>
        <w:t xml:space="preserve">provided as to the traditional definition of consideration. Conversely, the promisor who was paying for the bonus appeared to suffer from the modifications to the contract, but he obtained a practical benefit as a result of completing </w:t>
      </w:r>
      <w:r w:rsidR="00F052C6">
        <w:rPr>
          <w:lang w:val="en-GB"/>
        </w:rPr>
        <w:t xml:space="preserve">it </w:t>
      </w:r>
      <w:r w:rsidR="006D788B">
        <w:rPr>
          <w:lang w:val="en-GB"/>
        </w:rPr>
        <w:t xml:space="preserve">on time. </w:t>
      </w:r>
      <w:r w:rsidR="00F052C6">
        <w:rPr>
          <w:lang w:val="en-GB"/>
        </w:rPr>
        <w:t xml:space="preserve">The final result is preferred by both parties and the ruling by stretching the definition of consideration, which is utilised in this case, is now a </w:t>
      </w:r>
      <w:r w:rsidR="002A5A4B">
        <w:rPr>
          <w:lang w:val="en-GB"/>
        </w:rPr>
        <w:t>general</w:t>
      </w:r>
      <w:r w:rsidR="00F052C6">
        <w:rPr>
          <w:lang w:val="en-GB"/>
        </w:rPr>
        <w:t xml:space="preserve"> judicial </w:t>
      </w:r>
      <w:r w:rsidR="00EE6D4D">
        <w:rPr>
          <w:lang w:val="en-GB"/>
        </w:rPr>
        <w:t>approach</w:t>
      </w:r>
      <w:r w:rsidR="00F052C6">
        <w:rPr>
          <w:lang w:val="en-GB"/>
        </w:rPr>
        <w:t xml:space="preserve"> </w:t>
      </w:r>
      <w:r w:rsidR="007B2565">
        <w:rPr>
          <w:lang w:val="en-GB"/>
        </w:rPr>
        <w:t xml:space="preserve">in practice </w:t>
      </w:r>
      <w:r w:rsidR="00F052C6">
        <w:rPr>
          <w:lang w:val="en-GB"/>
        </w:rPr>
        <w:t>(</w:t>
      </w:r>
      <w:r w:rsidR="00F052C6" w:rsidRPr="000C0F73">
        <w:rPr>
          <w:lang w:val="en-GB"/>
        </w:rPr>
        <w:t>Davies, 2016)</w:t>
      </w:r>
      <w:r w:rsidR="00EE6D4D">
        <w:rPr>
          <w:lang w:val="en-GB"/>
        </w:rPr>
        <w:t xml:space="preserve">. </w:t>
      </w:r>
      <w:r w:rsidR="002A5A4B">
        <w:rPr>
          <w:lang w:val="en-GB"/>
        </w:rPr>
        <w:t xml:space="preserve">However, Lord Gibson applied the principle in </w:t>
      </w:r>
      <w:r w:rsidR="002A5A4B" w:rsidRPr="000C0F73">
        <w:rPr>
          <w:lang w:val="en-GB"/>
        </w:rPr>
        <w:t>‘Foakes v Beer’ (1884)</w:t>
      </w:r>
      <w:r w:rsidR="002A5A4B">
        <w:rPr>
          <w:lang w:val="en-GB"/>
        </w:rPr>
        <w:t xml:space="preserve"> to </w:t>
      </w:r>
      <w:r w:rsidR="002A5A4B" w:rsidRPr="000C0F73">
        <w:rPr>
          <w:lang w:val="en-GB"/>
        </w:rPr>
        <w:t>‘Selectmove Ltd, Re’ (1995)</w:t>
      </w:r>
      <w:r w:rsidR="002A5A4B">
        <w:rPr>
          <w:lang w:val="en-GB"/>
        </w:rPr>
        <w:t xml:space="preserve">, where the House of Lords expressly stated that a practical benefit does not constitute a good consideration in law giving account to the doctrine </w:t>
      </w:r>
      <w:r w:rsidR="002A5A4B">
        <w:rPr>
          <w:lang w:val="en-GB"/>
        </w:rPr>
        <w:lastRenderedPageBreak/>
        <w:t xml:space="preserve">of consideration. </w:t>
      </w:r>
      <w:r w:rsidR="00852D1B">
        <w:rPr>
          <w:lang w:val="en-GB"/>
        </w:rPr>
        <w:t xml:space="preserve">The delivery of pre-existing duties is </w:t>
      </w:r>
      <w:r w:rsidR="00852D1B">
        <w:rPr>
          <w:lang w:val="en-GB"/>
        </w:rPr>
        <w:t xml:space="preserve">an </w:t>
      </w:r>
      <w:r w:rsidR="00852D1B">
        <w:rPr>
          <w:lang w:val="en-GB"/>
        </w:rPr>
        <w:t>appropriate consideration in</w:t>
      </w:r>
      <w:r w:rsidR="00852D1B">
        <w:rPr>
          <w:lang w:val="en-GB"/>
        </w:rPr>
        <w:t xml:space="preserve"> </w:t>
      </w:r>
      <w:r w:rsidR="00852D1B" w:rsidRPr="000C0F73">
        <w:rPr>
          <w:lang w:val="en-GB"/>
        </w:rPr>
        <w:t xml:space="preserve">‘Williams v Roffey Bros &amp; Nicholls (Contractors) Ltd’ </w:t>
      </w:r>
      <w:r w:rsidR="00852D1B">
        <w:rPr>
          <w:lang w:val="en-GB"/>
        </w:rPr>
        <w:t>(</w:t>
      </w:r>
      <w:r w:rsidR="00852D1B" w:rsidRPr="000C0F73">
        <w:rPr>
          <w:lang w:val="en-GB"/>
        </w:rPr>
        <w:t>1991)</w:t>
      </w:r>
      <w:r w:rsidR="00852D1B">
        <w:rPr>
          <w:lang w:val="en-GB"/>
        </w:rPr>
        <w:t>, yet the pre-existing responsibility of paying is not, leaving the laws regarding consideration inconsistent.</w:t>
      </w:r>
      <w:r w:rsidR="0058661E">
        <w:rPr>
          <w:lang w:val="en-GB"/>
        </w:rPr>
        <w:t xml:space="preserve"> </w:t>
      </w:r>
      <w:r w:rsidR="00176C3D" w:rsidRPr="000C0F73">
        <w:rPr>
          <w:rFonts w:hint="eastAsia"/>
          <w:lang w:val="en-GB"/>
        </w:rPr>
        <w:t xml:space="preserve">The </w:t>
      </w:r>
      <w:r w:rsidR="00176C3D" w:rsidRPr="000C0F73">
        <w:rPr>
          <w:lang w:val="en-GB"/>
        </w:rPr>
        <w:t>discrepancies</w:t>
      </w:r>
      <w:r w:rsidR="00176C3D" w:rsidRPr="000C0F73">
        <w:rPr>
          <w:rFonts w:hint="eastAsia"/>
          <w:lang w:val="en-GB"/>
        </w:rPr>
        <w:t xml:space="preserve"> presented in </w:t>
      </w:r>
      <w:r w:rsidR="00176C3D" w:rsidRPr="000C0F73">
        <w:rPr>
          <w:lang w:val="en-GB"/>
        </w:rPr>
        <w:t>these</w:t>
      </w:r>
      <w:r w:rsidR="0083284E" w:rsidRPr="000C0F73">
        <w:rPr>
          <w:rFonts w:hint="eastAsia"/>
          <w:lang w:val="en-GB"/>
        </w:rPr>
        <w:t xml:space="preserve"> cases </w:t>
      </w:r>
      <w:r w:rsidR="00176C3D" w:rsidRPr="000C0F73">
        <w:rPr>
          <w:rFonts w:hint="eastAsia"/>
          <w:lang w:val="en-GB"/>
        </w:rPr>
        <w:t>have compelled the court</w:t>
      </w:r>
      <w:r w:rsidR="00E6164C" w:rsidRPr="000C0F73">
        <w:rPr>
          <w:rFonts w:hint="eastAsia"/>
          <w:lang w:val="en-GB"/>
        </w:rPr>
        <w:t>s</w:t>
      </w:r>
      <w:r w:rsidR="00176C3D" w:rsidRPr="000C0F73">
        <w:rPr>
          <w:rFonts w:hint="eastAsia"/>
          <w:lang w:val="en-GB"/>
        </w:rPr>
        <w:t xml:space="preserve"> to evade the long-</w:t>
      </w:r>
      <w:r w:rsidR="00176C3D" w:rsidRPr="000C0F73">
        <w:rPr>
          <w:lang w:val="en-GB"/>
        </w:rPr>
        <w:t>established</w:t>
      </w:r>
      <w:r w:rsidR="00176C3D" w:rsidRPr="000C0F73">
        <w:rPr>
          <w:rFonts w:hint="eastAsia"/>
          <w:lang w:val="en-GB"/>
        </w:rPr>
        <w:t xml:space="preserve"> doctrine of consideration hence, they both </w:t>
      </w:r>
      <w:r w:rsidR="00176C3D" w:rsidRPr="000C0F73">
        <w:rPr>
          <w:lang w:val="en-GB"/>
        </w:rPr>
        <w:t>challenge</w:t>
      </w:r>
      <w:r w:rsidR="00176C3D" w:rsidRPr="000C0F73">
        <w:rPr>
          <w:rFonts w:hint="eastAsia"/>
          <w:lang w:val="en-GB"/>
        </w:rPr>
        <w:t xml:space="preserve"> and demand revision of the concept.</w:t>
      </w:r>
      <w:r w:rsidR="00767E27" w:rsidRPr="000C0F73">
        <w:rPr>
          <w:rFonts w:hint="eastAsia"/>
          <w:lang w:val="en-GB"/>
        </w:rPr>
        <w:t xml:space="preserve"> </w:t>
      </w:r>
      <w:r w:rsidR="005B10F2">
        <w:rPr>
          <w:lang w:val="en-GB"/>
        </w:rPr>
        <w:t xml:space="preserve">Since </w:t>
      </w:r>
      <w:r w:rsidR="00767E27" w:rsidRPr="000C0F73">
        <w:rPr>
          <w:lang w:val="en-GB"/>
        </w:rPr>
        <w:t xml:space="preserve">judges shouldn't be able to </w:t>
      </w:r>
      <w:r w:rsidR="00767E27" w:rsidRPr="000C0F73">
        <w:rPr>
          <w:rFonts w:hint="eastAsia"/>
          <w:lang w:val="en-GB"/>
        </w:rPr>
        <w:t>approve one</w:t>
      </w:r>
      <w:r w:rsidR="00767E27" w:rsidRPr="000C0F73">
        <w:rPr>
          <w:lang w:val="en-GB"/>
        </w:rPr>
        <w:t xml:space="preserve"> consideration while rejecting another</w:t>
      </w:r>
      <w:r w:rsidR="00767E27" w:rsidRPr="000C0F73">
        <w:rPr>
          <w:rFonts w:hint="eastAsia"/>
          <w:lang w:val="en-GB"/>
        </w:rPr>
        <w:t xml:space="preserve"> which was of</w:t>
      </w:r>
      <w:r w:rsidR="00767E27" w:rsidRPr="000C0F73">
        <w:rPr>
          <w:lang w:val="en-GB"/>
        </w:rPr>
        <w:t xml:space="preserve"> </w:t>
      </w:r>
      <w:r w:rsidR="00767E27" w:rsidRPr="000C0F73">
        <w:rPr>
          <w:rFonts w:hint="eastAsia"/>
          <w:lang w:val="en-GB"/>
        </w:rPr>
        <w:t xml:space="preserve">the same type. </w:t>
      </w:r>
      <w:r w:rsidR="00835F7D" w:rsidRPr="000C0F73">
        <w:rPr>
          <w:rFonts w:hint="eastAsia"/>
          <w:lang w:val="en-GB"/>
        </w:rPr>
        <w:t xml:space="preserve">When dealing with </w:t>
      </w:r>
      <w:r w:rsidR="00835F7D" w:rsidRPr="000C0F73">
        <w:rPr>
          <w:lang w:val="en-GB"/>
        </w:rPr>
        <w:t>an</w:t>
      </w:r>
      <w:r w:rsidR="00835F7D" w:rsidRPr="000C0F73">
        <w:rPr>
          <w:rFonts w:hint="eastAsia"/>
          <w:lang w:val="en-GB"/>
        </w:rPr>
        <w:t xml:space="preserve"> agreement which needs </w:t>
      </w:r>
      <w:r w:rsidR="00835F7D" w:rsidRPr="000C0F73">
        <w:rPr>
          <w:lang w:val="en-GB"/>
        </w:rPr>
        <w:t>to be renegotiated</w:t>
      </w:r>
      <w:r w:rsidR="00835F7D" w:rsidRPr="000C0F73">
        <w:rPr>
          <w:rFonts w:hint="eastAsia"/>
          <w:lang w:val="en-GB"/>
        </w:rPr>
        <w:t xml:space="preserve">, the concept of consideration is too </w:t>
      </w:r>
      <w:r w:rsidR="00835F7D" w:rsidRPr="000C0F73">
        <w:rPr>
          <w:lang w:val="en-GB"/>
        </w:rPr>
        <w:t>rigid</w:t>
      </w:r>
      <w:r w:rsidR="00835F7D" w:rsidRPr="000C0F73">
        <w:rPr>
          <w:rFonts w:hint="eastAsia"/>
          <w:lang w:val="en-GB"/>
        </w:rPr>
        <w:t xml:space="preserve"> to follow given both </w:t>
      </w:r>
      <w:r w:rsidR="00835F7D" w:rsidRPr="000C0F73">
        <w:rPr>
          <w:lang w:val="en-GB"/>
        </w:rPr>
        <w:t>parties’</w:t>
      </w:r>
      <w:r w:rsidR="00835F7D" w:rsidRPr="000C0F73">
        <w:rPr>
          <w:rFonts w:hint="eastAsia"/>
          <w:lang w:val="en-GB"/>
        </w:rPr>
        <w:t xml:space="preserve"> intention to form a bounding contract</w:t>
      </w:r>
      <w:r w:rsidR="005512B8" w:rsidRPr="000C0F73">
        <w:rPr>
          <w:lang w:val="en-GB"/>
        </w:rPr>
        <w:t xml:space="preserve"> (Davies, 2016)</w:t>
      </w:r>
      <w:r w:rsidR="00835F7D" w:rsidRPr="000C0F73">
        <w:rPr>
          <w:rFonts w:hint="eastAsia"/>
          <w:lang w:val="en-GB"/>
        </w:rPr>
        <w:t xml:space="preserve">. </w:t>
      </w:r>
      <w:r w:rsidR="006C49B6" w:rsidRPr="000C0F73">
        <w:rPr>
          <w:lang w:val="en-GB"/>
        </w:rPr>
        <w:t xml:space="preserve">Accordingly, the necessity for reforming the inflexibility of consideration’s rules before the cases in issue should come into sight. </w:t>
      </w:r>
      <w:r w:rsidR="005512B8" w:rsidRPr="000C0F73">
        <w:rPr>
          <w:lang w:val="en-GB"/>
        </w:rPr>
        <w:t>Because the theory of consideration gives the courts enough latitude to discover consideration, the complete elimination of consideration is not advocated. Nevertheless, s</w:t>
      </w:r>
      <w:r w:rsidR="00835F7D" w:rsidRPr="000C0F73">
        <w:rPr>
          <w:rFonts w:hint="eastAsia"/>
          <w:lang w:val="en-GB"/>
        </w:rPr>
        <w:t xml:space="preserve">ince contact law is developed through common law with a large body of cases, </w:t>
      </w:r>
      <w:r w:rsidR="00C66344" w:rsidRPr="000C0F73">
        <w:rPr>
          <w:rFonts w:hint="eastAsia"/>
          <w:lang w:val="en-GB"/>
        </w:rPr>
        <w:t xml:space="preserve">undermining the rules of consideration while </w:t>
      </w:r>
      <w:r w:rsidR="00C66344" w:rsidRPr="000C0F73">
        <w:rPr>
          <w:lang w:val="en-GB"/>
        </w:rPr>
        <w:t>giv</w:t>
      </w:r>
      <w:r w:rsidR="00C66344" w:rsidRPr="000C0F73">
        <w:rPr>
          <w:rFonts w:hint="eastAsia"/>
          <w:lang w:val="en-GB"/>
        </w:rPr>
        <w:t xml:space="preserve">ing more flexibility to its </w:t>
      </w:r>
      <w:r w:rsidR="00C66344" w:rsidRPr="000C0F73">
        <w:rPr>
          <w:lang w:val="en-GB"/>
        </w:rPr>
        <w:t>doctrine</w:t>
      </w:r>
      <w:r w:rsidR="00C66344" w:rsidRPr="000C0F73">
        <w:rPr>
          <w:rFonts w:hint="eastAsia"/>
          <w:lang w:val="en-GB"/>
        </w:rPr>
        <w:t xml:space="preserve"> </w:t>
      </w:r>
      <w:r w:rsidR="006C49B6" w:rsidRPr="000C0F73">
        <w:rPr>
          <w:lang w:val="en-GB"/>
        </w:rPr>
        <w:t xml:space="preserve">could be identified as a natural evolution and </w:t>
      </w:r>
      <w:r w:rsidR="00C66344" w:rsidRPr="000C0F73">
        <w:rPr>
          <w:rFonts w:hint="eastAsia"/>
          <w:lang w:val="en-GB"/>
        </w:rPr>
        <w:t xml:space="preserve">would </w:t>
      </w:r>
      <w:r w:rsidR="00CE7E48" w:rsidRPr="000C0F73">
        <w:rPr>
          <w:rFonts w:hint="eastAsia"/>
          <w:lang w:val="en-GB"/>
        </w:rPr>
        <w:t xml:space="preserve">ascertain and reconcile the </w:t>
      </w:r>
      <w:r w:rsidR="00CE7E48" w:rsidRPr="000C0F73">
        <w:rPr>
          <w:lang w:val="en-GB"/>
        </w:rPr>
        <w:t>conflicts</w:t>
      </w:r>
      <w:r w:rsidR="00CE7E48" w:rsidRPr="000C0F73">
        <w:rPr>
          <w:rFonts w:hint="eastAsia"/>
          <w:lang w:val="en-GB"/>
        </w:rPr>
        <w:t xml:space="preserve"> arising from cases</w:t>
      </w:r>
      <w:r w:rsidR="00673C54">
        <w:rPr>
          <w:rFonts w:hint="eastAsia"/>
          <w:lang w:val="en-GB"/>
        </w:rPr>
        <w:t xml:space="preserve"> (</w:t>
      </w:r>
      <w:r w:rsidR="00673C54" w:rsidRPr="000C0F73">
        <w:rPr>
          <w:lang w:val="en-GB"/>
        </w:rPr>
        <w:t>Chloros, 1968)</w:t>
      </w:r>
      <w:r w:rsidR="00CE7E48" w:rsidRPr="000C0F73">
        <w:rPr>
          <w:rFonts w:hint="eastAsia"/>
          <w:lang w:val="en-GB"/>
        </w:rPr>
        <w:t>.</w:t>
      </w:r>
      <w:r w:rsidR="00852D1B">
        <w:rPr>
          <w:lang w:val="en-GB"/>
        </w:rPr>
        <w:t xml:space="preserve"> </w:t>
      </w:r>
    </w:p>
    <w:p w14:paraId="18E4C5D0" w14:textId="77777777" w:rsidR="00E62DD8" w:rsidRDefault="00E62DD8" w:rsidP="006F5C85">
      <w:pPr>
        <w:widowControl/>
        <w:spacing w:line="480" w:lineRule="auto"/>
        <w:jc w:val="both"/>
        <w:rPr>
          <w:lang w:val="en-GB"/>
        </w:rPr>
      </w:pPr>
    </w:p>
    <w:p w14:paraId="19DF410C" w14:textId="0DE9AB04" w:rsidR="00745D65" w:rsidRDefault="00B47116" w:rsidP="006F5C85">
      <w:pPr>
        <w:widowControl/>
        <w:spacing w:line="480" w:lineRule="auto"/>
        <w:jc w:val="both"/>
        <w:rPr>
          <w:lang w:val="en-GB"/>
        </w:rPr>
      </w:pPr>
      <w:r>
        <w:rPr>
          <w:lang w:val="en-GB"/>
        </w:rPr>
        <w:tab/>
        <w:t xml:space="preserve">The courts will occasionally construe the rules of consideration in a quite artificial way to stop unfair evasion of a contract when moral questions come into light. </w:t>
      </w:r>
    </w:p>
    <w:p w14:paraId="5FFFB157" w14:textId="54EE79F8" w:rsidR="00C8008E" w:rsidRDefault="00BD18FB" w:rsidP="006F5C85">
      <w:pPr>
        <w:widowControl/>
        <w:spacing w:line="480" w:lineRule="auto"/>
        <w:jc w:val="both"/>
        <w:rPr>
          <w:rFonts w:hint="eastAsia"/>
          <w:lang w:val="en-GB"/>
        </w:rPr>
      </w:pPr>
      <w:r w:rsidRPr="000C0F73">
        <w:rPr>
          <w:lang w:val="en-GB"/>
        </w:rPr>
        <w:t>‘White v Bluett’ (1853)</w:t>
      </w:r>
      <w:r w:rsidR="00A70977">
        <w:rPr>
          <w:lang w:val="en-GB"/>
        </w:rPr>
        <w:t xml:space="preserve"> and </w:t>
      </w:r>
      <w:r w:rsidRPr="000C0F73">
        <w:rPr>
          <w:lang w:val="en-GB"/>
        </w:rPr>
        <w:t xml:space="preserve">‘Thomas v Thomas’ (1947) </w:t>
      </w:r>
      <w:r w:rsidR="00A70977">
        <w:rPr>
          <w:lang w:val="en-GB"/>
        </w:rPr>
        <w:t>held</w:t>
      </w:r>
      <w:r>
        <w:rPr>
          <w:lang w:val="en-GB"/>
        </w:rPr>
        <w:t xml:space="preserve"> the principle that consideration must be of economic value, however </w:t>
      </w:r>
      <w:r w:rsidRPr="000C0F73">
        <w:rPr>
          <w:lang w:val="en-GB"/>
        </w:rPr>
        <w:t>‘Ward v Byham’ (1956)</w:t>
      </w:r>
      <w:r>
        <w:rPr>
          <w:lang w:val="en-GB"/>
        </w:rPr>
        <w:t xml:space="preserve"> </w:t>
      </w:r>
      <w:r w:rsidR="00E97CE4">
        <w:rPr>
          <w:lang w:val="en-GB"/>
        </w:rPr>
        <w:t xml:space="preserve">stretched </w:t>
      </w:r>
      <w:r w:rsidR="00E97CE4">
        <w:rPr>
          <w:lang w:val="en-GB"/>
        </w:rPr>
        <w:lastRenderedPageBreak/>
        <w:t xml:space="preserve">the </w:t>
      </w:r>
      <w:r>
        <w:rPr>
          <w:lang w:val="en-GB"/>
        </w:rPr>
        <w:t xml:space="preserve">emotional value </w:t>
      </w:r>
      <w:r w:rsidR="00E97CE4">
        <w:rPr>
          <w:lang w:val="en-GB"/>
        </w:rPr>
        <w:t xml:space="preserve">to the scope of economic one giving regard to certain circumstances. Similarly, in </w:t>
      </w:r>
      <w:r w:rsidR="00C8008E" w:rsidRPr="000C0F73">
        <w:rPr>
          <w:lang w:val="en-GB"/>
        </w:rPr>
        <w:t>‘White v Bluett’ (1853)</w:t>
      </w:r>
      <w:r w:rsidR="00C8008E">
        <w:rPr>
          <w:lang w:val="en-GB"/>
        </w:rPr>
        <w:t xml:space="preserve"> </w:t>
      </w:r>
      <w:r w:rsidR="00E97CE4">
        <w:rPr>
          <w:lang w:val="en-GB"/>
        </w:rPr>
        <w:t xml:space="preserve">son’s </w:t>
      </w:r>
      <w:r w:rsidR="00C8008E">
        <w:rPr>
          <w:lang w:val="en-GB"/>
        </w:rPr>
        <w:t xml:space="preserve">action to stop bothering his father </w:t>
      </w:r>
      <w:r w:rsidR="00E97CE4">
        <w:rPr>
          <w:lang w:val="en-GB"/>
        </w:rPr>
        <w:t xml:space="preserve">is not sufficient </w:t>
      </w:r>
      <w:r w:rsidR="001516EC">
        <w:rPr>
          <w:lang w:val="en-GB"/>
        </w:rPr>
        <w:t xml:space="preserve">since there is no detriment to the promisee, </w:t>
      </w:r>
      <w:r w:rsidR="00C8008E">
        <w:rPr>
          <w:lang w:val="en-GB"/>
        </w:rPr>
        <w:t xml:space="preserve">while </w:t>
      </w:r>
      <w:r w:rsidR="00E97CE4">
        <w:rPr>
          <w:lang w:val="en-GB"/>
        </w:rPr>
        <w:t>the action of getting married</w:t>
      </w:r>
      <w:r w:rsidR="00C8008E">
        <w:rPr>
          <w:lang w:val="en-GB"/>
        </w:rPr>
        <w:t xml:space="preserve"> is considered as a good consideration </w:t>
      </w:r>
      <w:r w:rsidR="00D15667">
        <w:rPr>
          <w:lang w:val="en-GB"/>
        </w:rPr>
        <w:t xml:space="preserve">in </w:t>
      </w:r>
      <w:r w:rsidR="001C26A4">
        <w:rPr>
          <w:lang w:val="en-GB"/>
        </w:rPr>
        <w:t>‘</w:t>
      </w:r>
      <w:r w:rsidR="001C26A4" w:rsidRPr="00BD18FB">
        <w:rPr>
          <w:lang w:val="en-GB"/>
        </w:rPr>
        <w:t>Shadwell v Shadwell</w:t>
      </w:r>
      <w:r w:rsidR="001C26A4">
        <w:rPr>
          <w:lang w:val="en-GB"/>
        </w:rPr>
        <w:t>’</w:t>
      </w:r>
      <w:r w:rsidR="001C26A4" w:rsidRPr="00BD18FB">
        <w:rPr>
          <w:lang w:val="en-GB"/>
        </w:rPr>
        <w:t> (1859)</w:t>
      </w:r>
      <w:r w:rsidR="00C8008E">
        <w:rPr>
          <w:lang w:val="en-GB"/>
        </w:rPr>
        <w:t>.</w:t>
      </w:r>
      <w:r w:rsidR="00943076">
        <w:rPr>
          <w:lang w:val="en-GB"/>
        </w:rPr>
        <w:t xml:space="preserve"> </w:t>
      </w:r>
      <w:r w:rsidR="005C2BDD">
        <w:rPr>
          <w:lang w:val="en-GB"/>
        </w:rPr>
        <w:t>Since t</w:t>
      </w:r>
      <w:r w:rsidR="00CA2C3F">
        <w:rPr>
          <w:lang w:val="en-GB"/>
        </w:rPr>
        <w:t>he courts will consider each scenario specifically, the ruling is based on objective facts and consequences</w:t>
      </w:r>
      <w:r w:rsidR="005C2BDD">
        <w:rPr>
          <w:lang w:val="en-GB"/>
        </w:rPr>
        <w:t xml:space="preserve"> which would vary in distinct cases in order to give a satisfying holding</w:t>
      </w:r>
      <w:r w:rsidR="00CA2C3F">
        <w:rPr>
          <w:lang w:val="en-GB"/>
        </w:rPr>
        <w:t xml:space="preserve">. </w:t>
      </w:r>
      <w:r w:rsidR="005312FA">
        <w:rPr>
          <w:lang w:val="en-GB"/>
        </w:rPr>
        <w:t>A m</w:t>
      </w:r>
      <w:r w:rsidR="00CA2C3F">
        <w:rPr>
          <w:lang w:val="en-GB"/>
        </w:rPr>
        <w:t xml:space="preserve">other </w:t>
      </w:r>
      <w:r w:rsidR="005312FA">
        <w:rPr>
          <w:lang w:val="en-GB"/>
        </w:rPr>
        <w:t>was of the complete duty of maintaining an illegitimate child back in 1956</w:t>
      </w:r>
      <w:r w:rsidR="005C2BDD">
        <w:rPr>
          <w:lang w:val="en-GB"/>
        </w:rPr>
        <w:t xml:space="preserve"> (</w:t>
      </w:r>
      <w:r w:rsidR="005C2BDD" w:rsidRPr="000C0F73">
        <w:rPr>
          <w:lang w:val="en-GB"/>
        </w:rPr>
        <w:t>‘Ward v Byham’</w:t>
      </w:r>
      <w:r w:rsidR="005C2BDD">
        <w:rPr>
          <w:lang w:val="en-GB"/>
        </w:rPr>
        <w:t>,</w:t>
      </w:r>
      <w:r w:rsidR="005C2BDD" w:rsidRPr="000C0F73">
        <w:rPr>
          <w:lang w:val="en-GB"/>
        </w:rPr>
        <w:t> 1956</w:t>
      </w:r>
      <w:r w:rsidR="005C2BDD">
        <w:rPr>
          <w:lang w:val="en-GB"/>
        </w:rPr>
        <w:t>)</w:t>
      </w:r>
      <w:r w:rsidR="00321CEE">
        <w:rPr>
          <w:lang w:val="en-GB"/>
        </w:rPr>
        <w:t xml:space="preserve"> which was found to be a public policy and </w:t>
      </w:r>
      <w:r w:rsidR="005312FA">
        <w:rPr>
          <w:lang w:val="en-GB"/>
        </w:rPr>
        <w:t xml:space="preserve">there is </w:t>
      </w:r>
      <w:r w:rsidR="00321CEE">
        <w:rPr>
          <w:lang w:val="en-GB"/>
        </w:rPr>
        <w:t xml:space="preserve">nothing that could change based on </w:t>
      </w:r>
      <w:r w:rsidR="00321CEE" w:rsidRPr="000C0F73">
        <w:rPr>
          <w:lang w:val="en-GB"/>
        </w:rPr>
        <w:t>‘Collins v Godefroy’ (1831)</w:t>
      </w:r>
      <w:r w:rsidR="00321CEE">
        <w:rPr>
          <w:lang w:val="en-GB"/>
        </w:rPr>
        <w:t xml:space="preserve">. However, </w:t>
      </w:r>
      <w:r w:rsidR="00624782" w:rsidRPr="000C0F73">
        <w:rPr>
          <w:lang w:val="en-GB"/>
        </w:rPr>
        <w:t>Lord Denning in ‘Ward v Byham’ (1956) stated that “improve the child’s well-being and make her ‘happy’”</w:t>
      </w:r>
      <w:r w:rsidR="00624782" w:rsidRPr="000C0F73">
        <w:rPr>
          <w:rFonts w:hint="eastAsia"/>
          <w:lang w:val="en-GB"/>
        </w:rPr>
        <w:t xml:space="preserve"> </w:t>
      </w:r>
      <w:r w:rsidR="00624782" w:rsidRPr="000C0F73">
        <w:rPr>
          <w:lang w:val="en-GB"/>
        </w:rPr>
        <w:t xml:space="preserve">was a duty that went beyond </w:t>
      </w:r>
      <w:r w:rsidR="00F31F8A">
        <w:rPr>
          <w:lang w:val="en-GB"/>
        </w:rPr>
        <w:t xml:space="preserve">the </w:t>
      </w:r>
      <w:r w:rsidR="00624782" w:rsidRPr="000C0F73">
        <w:rPr>
          <w:lang w:val="en-GB"/>
        </w:rPr>
        <w:t>mother’s public duty and was of economic value. The latter case gives an example where the doctrine of consideration has been stretched to satisfy the situation where there is a clear intention between the two parties that they are meant to be bound by their agreement. Apparently, ‘m</w:t>
      </w:r>
      <w:r w:rsidR="00624782" w:rsidRPr="000C0F73">
        <w:rPr>
          <w:rFonts w:hint="eastAsia"/>
          <w:lang w:val="en-GB"/>
        </w:rPr>
        <w:t>aking someone happy</w:t>
      </w:r>
      <w:r w:rsidR="00624782" w:rsidRPr="000C0F73">
        <w:rPr>
          <w:lang w:val="en-GB"/>
        </w:rPr>
        <w:t xml:space="preserve">’ is an emotional value which could not be assessed as a consideration alone, but it </w:t>
      </w:r>
      <w:r w:rsidR="005C6D3E">
        <w:rPr>
          <w:lang w:val="en-GB"/>
        </w:rPr>
        <w:t>could</w:t>
      </w:r>
      <w:r w:rsidR="00624782" w:rsidRPr="000C0F73">
        <w:rPr>
          <w:lang w:val="en-GB"/>
        </w:rPr>
        <w:t xml:space="preserve"> contribute to the bargain between the couple and </w:t>
      </w:r>
      <w:r w:rsidR="005C6D3E">
        <w:rPr>
          <w:lang w:val="en-GB"/>
        </w:rPr>
        <w:t>impose</w:t>
      </w:r>
      <w:r w:rsidR="00624782" w:rsidRPr="000C0F73">
        <w:rPr>
          <w:lang w:val="en-GB"/>
        </w:rPr>
        <w:t xml:space="preserve"> detriment on the mother’s side critically.</w:t>
      </w:r>
      <w:r w:rsidR="005C6D3E">
        <w:rPr>
          <w:lang w:val="en-GB"/>
        </w:rPr>
        <w:t xml:space="preserve"> </w:t>
      </w:r>
      <w:r w:rsidR="00321CEE">
        <w:rPr>
          <w:lang w:val="en-GB"/>
        </w:rPr>
        <w:t>J</w:t>
      </w:r>
      <w:r w:rsidR="00CA2C3F">
        <w:rPr>
          <w:lang w:val="en-GB"/>
        </w:rPr>
        <w:t xml:space="preserve">ust is prevailed by broadening the scope of consideration </w:t>
      </w:r>
      <w:r w:rsidR="00384DE2">
        <w:rPr>
          <w:lang w:val="en-GB"/>
        </w:rPr>
        <w:t>to</w:t>
      </w:r>
      <w:r w:rsidR="00CA2C3F">
        <w:rPr>
          <w:lang w:val="en-GB"/>
        </w:rPr>
        <w:t xml:space="preserve"> </w:t>
      </w:r>
      <w:r w:rsidR="004643D9">
        <w:rPr>
          <w:lang w:val="en-GB"/>
        </w:rPr>
        <w:t>prevent</w:t>
      </w:r>
      <w:r w:rsidR="00CA2C3F">
        <w:rPr>
          <w:lang w:val="en-GB"/>
        </w:rPr>
        <w:t xml:space="preserve"> those who morally be legally binding</w:t>
      </w:r>
      <w:r w:rsidR="005312FA">
        <w:rPr>
          <w:lang w:val="en-GB"/>
        </w:rPr>
        <w:t xml:space="preserve"> from</w:t>
      </w:r>
      <w:r w:rsidR="00CA2C3F">
        <w:rPr>
          <w:lang w:val="en-GB"/>
        </w:rPr>
        <w:t xml:space="preserve"> escap</w:t>
      </w:r>
      <w:r w:rsidR="005312FA">
        <w:rPr>
          <w:lang w:val="en-GB"/>
        </w:rPr>
        <w:t>ing their</w:t>
      </w:r>
      <w:r w:rsidR="00CA2C3F">
        <w:rPr>
          <w:lang w:val="en-GB"/>
        </w:rPr>
        <w:t xml:space="preserve"> responsibilities. </w:t>
      </w:r>
      <w:r w:rsidR="00BD0E2F">
        <w:rPr>
          <w:lang w:val="en-GB"/>
        </w:rPr>
        <w:t xml:space="preserve">On the other hand, </w:t>
      </w:r>
      <w:r w:rsidR="00BD0E2F">
        <w:rPr>
          <w:rFonts w:hint="eastAsia"/>
          <w:lang w:val="en-GB"/>
        </w:rPr>
        <w:t xml:space="preserve">the law in </w:t>
      </w:r>
      <w:r w:rsidR="00BD0E2F" w:rsidRPr="000C0F73">
        <w:rPr>
          <w:lang w:val="en-GB"/>
        </w:rPr>
        <w:t>‘Ward v Byham’ (1956)</w:t>
      </w:r>
      <w:r w:rsidR="00BD0E2F">
        <w:rPr>
          <w:rFonts w:hint="eastAsia"/>
          <w:lang w:val="en-GB"/>
        </w:rPr>
        <w:t xml:space="preserve"> was far-fetched regarding the </w:t>
      </w:r>
      <w:r w:rsidR="00BD0E2F">
        <w:rPr>
          <w:lang w:val="en-GB"/>
        </w:rPr>
        <w:t xml:space="preserve">cases </w:t>
      </w:r>
      <w:r w:rsidR="00515B0D">
        <w:rPr>
          <w:lang w:val="en-GB"/>
        </w:rPr>
        <w:t>‘</w:t>
      </w:r>
      <w:r w:rsidR="00BD0E2F" w:rsidRPr="000C0F73">
        <w:rPr>
          <w:lang w:val="en-GB"/>
        </w:rPr>
        <w:t>White v Bluett’ (1853)</w:t>
      </w:r>
      <w:r w:rsidR="00BD0E2F">
        <w:rPr>
          <w:lang w:val="en-GB"/>
        </w:rPr>
        <w:t xml:space="preserve"> and </w:t>
      </w:r>
      <w:r w:rsidR="00BD0E2F" w:rsidRPr="000C0F73">
        <w:rPr>
          <w:lang w:val="en-GB"/>
        </w:rPr>
        <w:t>‘Thomas v Thomas’ (1947)</w:t>
      </w:r>
      <w:r w:rsidR="00BD0E2F">
        <w:rPr>
          <w:rFonts w:hint="eastAsia"/>
          <w:lang w:val="en-GB"/>
        </w:rPr>
        <w:t xml:space="preserve"> where consideration is lack of </w:t>
      </w:r>
      <w:r w:rsidR="00BD0E2F">
        <w:rPr>
          <w:lang w:val="en-GB"/>
        </w:rPr>
        <w:t>monetary</w:t>
      </w:r>
      <w:r w:rsidR="00BD0E2F">
        <w:rPr>
          <w:rFonts w:hint="eastAsia"/>
          <w:lang w:val="en-GB"/>
        </w:rPr>
        <w:t xml:space="preserve"> value </w:t>
      </w:r>
      <w:r w:rsidR="00515B0D">
        <w:rPr>
          <w:rFonts w:hint="eastAsia"/>
          <w:lang w:val="en-GB"/>
        </w:rPr>
        <w:t xml:space="preserve">which could always be located in the circumstances if following the similar principle in </w:t>
      </w:r>
      <w:r w:rsidR="00515B0D">
        <w:rPr>
          <w:lang w:val="en-GB"/>
        </w:rPr>
        <w:t>‘</w:t>
      </w:r>
      <w:r w:rsidR="00515B0D" w:rsidRPr="000C0F73">
        <w:rPr>
          <w:lang w:val="en-GB"/>
        </w:rPr>
        <w:t>White v Bluett’ (1853)</w:t>
      </w:r>
      <w:r w:rsidR="00515B0D">
        <w:rPr>
          <w:rFonts w:hint="eastAsia"/>
          <w:lang w:val="en-GB"/>
        </w:rPr>
        <w:t>. As</w:t>
      </w:r>
      <w:r w:rsidR="00BD0E2F">
        <w:rPr>
          <w:rFonts w:hint="eastAsia"/>
          <w:lang w:val="en-GB"/>
        </w:rPr>
        <w:t xml:space="preserve"> </w:t>
      </w:r>
      <w:r w:rsidR="00BD0E2F">
        <w:rPr>
          <w:lang w:val="en-GB"/>
        </w:rPr>
        <w:t xml:space="preserve">Atiyah proposed </w:t>
      </w:r>
      <w:r w:rsidR="00515B0D">
        <w:rPr>
          <w:lang w:val="en-GB"/>
        </w:rPr>
        <w:t>in his book</w:t>
      </w:r>
      <w:r w:rsidR="00515B0D">
        <w:rPr>
          <w:rFonts w:hint="eastAsia"/>
          <w:lang w:val="en-GB"/>
        </w:rPr>
        <w:t xml:space="preserve"> </w:t>
      </w:r>
      <w:r w:rsidR="00515B0D">
        <w:rPr>
          <w:lang w:val="en-GB"/>
        </w:rPr>
        <w:t>(</w:t>
      </w:r>
      <w:r w:rsidR="00515B0D">
        <w:rPr>
          <w:rFonts w:hint="eastAsia"/>
          <w:lang w:val="en-GB"/>
        </w:rPr>
        <w:t xml:space="preserve">Atiyah, </w:t>
      </w:r>
      <w:r w:rsidR="00515B0D">
        <w:rPr>
          <w:lang w:val="en-GB"/>
        </w:rPr>
        <w:lastRenderedPageBreak/>
        <w:t>1975)</w:t>
      </w:r>
      <w:r w:rsidR="00515B0D">
        <w:rPr>
          <w:rFonts w:hint="eastAsia"/>
          <w:lang w:val="en-GB"/>
        </w:rPr>
        <w:t xml:space="preserve">, there was </w:t>
      </w:r>
      <w:r w:rsidR="00BD0E2F">
        <w:rPr>
          <w:lang w:val="en-GB"/>
        </w:rPr>
        <w:t>a chance to ‘invent’ consideration of British courts.</w:t>
      </w:r>
      <w:r w:rsidR="00515B0D">
        <w:rPr>
          <w:rFonts w:hint="eastAsia"/>
          <w:lang w:val="en-GB"/>
        </w:rPr>
        <w:t xml:space="preserve"> </w:t>
      </w:r>
      <w:r w:rsidR="008B077B" w:rsidRPr="000C0F73">
        <w:rPr>
          <w:lang w:val="en-GB"/>
        </w:rPr>
        <w:t xml:space="preserve">In support of classic consideration, Treitel (Heydon, 1971) stood firm that courts might "invent consideration" in order to show the doctrine's ongoing flexibility. </w:t>
      </w:r>
      <w:r w:rsidR="00741F3D">
        <w:rPr>
          <w:lang w:val="en-GB"/>
        </w:rPr>
        <w:t xml:space="preserve">One of the most prominent judges in </w:t>
      </w:r>
      <w:r w:rsidR="00C816A7">
        <w:rPr>
          <w:lang w:val="en-GB"/>
        </w:rPr>
        <w:t xml:space="preserve">the </w:t>
      </w:r>
      <w:r w:rsidR="00741F3D">
        <w:rPr>
          <w:lang w:val="en-GB"/>
        </w:rPr>
        <w:t>18</w:t>
      </w:r>
      <w:r w:rsidR="00741F3D" w:rsidRPr="00741F3D">
        <w:rPr>
          <w:vertAlign w:val="superscript"/>
          <w:lang w:val="en-GB"/>
        </w:rPr>
        <w:t>th</w:t>
      </w:r>
      <w:r w:rsidR="00741F3D">
        <w:rPr>
          <w:lang w:val="en-GB"/>
        </w:rPr>
        <w:t xml:space="preserve"> </w:t>
      </w:r>
      <w:r w:rsidR="00C816A7">
        <w:rPr>
          <w:lang w:val="en-GB"/>
        </w:rPr>
        <w:t>century, Lord Mansfield, proposed that a moral responsibility may be regarded as a good consideration (</w:t>
      </w:r>
      <w:r w:rsidR="00C8008E" w:rsidRPr="000C0F73">
        <w:rPr>
          <w:lang w:val="en-GB"/>
        </w:rPr>
        <w:t>McCauliff, 2012)</w:t>
      </w:r>
      <w:r w:rsidR="00C816A7">
        <w:rPr>
          <w:lang w:val="en-GB"/>
        </w:rPr>
        <w:t xml:space="preserve">. This was upheld for over sixty years until it was shown to be incorrect in </w:t>
      </w:r>
      <w:r w:rsidR="00664D6D">
        <w:rPr>
          <w:lang w:val="en-GB"/>
        </w:rPr>
        <w:t>‘</w:t>
      </w:r>
      <w:r w:rsidR="00664D6D" w:rsidRPr="00C816A7">
        <w:rPr>
          <w:lang w:val="en-GB"/>
        </w:rPr>
        <w:t>Eastwood v Kenyon</w:t>
      </w:r>
      <w:r w:rsidR="00664D6D">
        <w:rPr>
          <w:lang w:val="en-GB"/>
        </w:rPr>
        <w:t>’</w:t>
      </w:r>
      <w:r w:rsidR="00664D6D" w:rsidRPr="00C816A7">
        <w:rPr>
          <w:lang w:val="en-GB"/>
        </w:rPr>
        <w:t> (1840)</w:t>
      </w:r>
      <w:r w:rsidR="00664D6D">
        <w:rPr>
          <w:lang w:val="en-GB"/>
        </w:rPr>
        <w:t>.</w:t>
      </w:r>
      <w:r w:rsidR="006D59F6">
        <w:rPr>
          <w:rFonts w:hint="eastAsia"/>
          <w:lang w:val="en-GB"/>
        </w:rPr>
        <w:t xml:space="preserve"> Due to the inconsistencies and various interpretations arising from the courts, it is better to </w:t>
      </w:r>
      <w:r w:rsidR="006D59F6">
        <w:rPr>
          <w:lang w:val="en-GB"/>
        </w:rPr>
        <w:t>undermine</w:t>
      </w:r>
      <w:r w:rsidR="006D59F6">
        <w:rPr>
          <w:rFonts w:hint="eastAsia"/>
          <w:lang w:val="en-GB"/>
        </w:rPr>
        <w:t xml:space="preserve"> the doctrine of consideration and give more sights on the intention and </w:t>
      </w:r>
      <w:r w:rsidR="006D59F6">
        <w:rPr>
          <w:lang w:val="en-GB"/>
        </w:rPr>
        <w:t>scenarios</w:t>
      </w:r>
      <w:r w:rsidR="006D59F6">
        <w:rPr>
          <w:rFonts w:hint="eastAsia"/>
          <w:lang w:val="en-GB"/>
        </w:rPr>
        <w:t xml:space="preserve"> based on cases.</w:t>
      </w:r>
    </w:p>
    <w:p w14:paraId="61250F9D" w14:textId="77777777" w:rsidR="00762639" w:rsidRPr="004B3F18" w:rsidRDefault="00762639" w:rsidP="004B3F18">
      <w:pPr>
        <w:widowControl/>
        <w:spacing w:line="480" w:lineRule="auto"/>
        <w:jc w:val="both"/>
        <w:rPr>
          <w:lang w:val="en-GB"/>
        </w:rPr>
      </w:pPr>
    </w:p>
    <w:p w14:paraId="4B381037" w14:textId="1E1F6905" w:rsidR="00D76C51" w:rsidRPr="00BE0E49" w:rsidRDefault="0025483D" w:rsidP="00BE0E49">
      <w:pPr>
        <w:widowControl/>
        <w:spacing w:line="480" w:lineRule="auto"/>
        <w:ind w:firstLine="420"/>
        <w:jc w:val="both"/>
        <w:rPr>
          <w:rFonts w:hint="eastAsia"/>
        </w:rPr>
      </w:pPr>
      <w:r w:rsidRPr="0025483D">
        <w:rPr>
          <w:lang w:val="en-GB"/>
        </w:rPr>
        <w:t xml:space="preserve">According to the preceding examples, the </w:t>
      </w:r>
      <w:r w:rsidRPr="00B74B69">
        <w:rPr>
          <w:lang w:val="en-GB"/>
        </w:rPr>
        <w:t>doctrine</w:t>
      </w:r>
      <w:r w:rsidRPr="0025483D">
        <w:rPr>
          <w:lang w:val="en-GB"/>
        </w:rPr>
        <w:t xml:space="preserve"> of consideration has been </w:t>
      </w:r>
      <w:r w:rsidRPr="00B74B69">
        <w:rPr>
          <w:lang w:val="en-GB"/>
        </w:rPr>
        <w:t>stretched</w:t>
      </w:r>
      <w:r w:rsidRPr="0025483D">
        <w:rPr>
          <w:lang w:val="en-GB"/>
        </w:rPr>
        <w:t xml:space="preserve"> to </w:t>
      </w:r>
      <w:r w:rsidRPr="00B74B69">
        <w:rPr>
          <w:lang w:val="en-GB"/>
        </w:rPr>
        <w:t>its</w:t>
      </w:r>
      <w:r w:rsidRPr="0025483D">
        <w:rPr>
          <w:lang w:val="en-GB"/>
        </w:rPr>
        <w:t xml:space="preserve"> extreme.</w:t>
      </w:r>
      <w:r w:rsidR="005C5BBE" w:rsidRPr="00B74B69">
        <w:rPr>
          <w:lang w:val="en-GB"/>
        </w:rPr>
        <w:t xml:space="preserve"> To get around the issues generated regarding the essence of common law, consideration has thus been ‘invented’ or extended beyond its bounds in order to get over pre-existing rulings</w:t>
      </w:r>
      <w:r w:rsidR="003C6825" w:rsidRPr="00B74B69">
        <w:rPr>
          <w:lang w:val="en-GB"/>
        </w:rPr>
        <w:t xml:space="preserve"> which have had the consequences of creating significant logical conflicts.</w:t>
      </w:r>
      <w:r w:rsidR="00B74B69" w:rsidRPr="00B74B69">
        <w:rPr>
          <w:lang w:val="en-GB"/>
        </w:rPr>
        <w:t xml:space="preserve"> </w:t>
      </w:r>
      <w:r w:rsidR="00B74B69" w:rsidRPr="00B74B69">
        <w:rPr>
          <w:lang w:val="en-GB"/>
        </w:rPr>
        <w:t xml:space="preserve">Even from </w:t>
      </w:r>
      <w:r w:rsidR="00B74B69">
        <w:rPr>
          <w:lang w:val="en-GB"/>
        </w:rPr>
        <w:t>‘</w:t>
      </w:r>
      <w:r w:rsidR="00B74B69" w:rsidRPr="00B74B69">
        <w:rPr>
          <w:lang w:val="en-GB"/>
        </w:rPr>
        <w:t>Pinnel's Case</w:t>
      </w:r>
      <w:r w:rsidR="00B74B69">
        <w:rPr>
          <w:lang w:val="en-GB"/>
        </w:rPr>
        <w:t>’ (1601)</w:t>
      </w:r>
      <w:r w:rsidR="00B74B69" w:rsidRPr="00B74B69">
        <w:rPr>
          <w:lang w:val="en-GB"/>
        </w:rPr>
        <w:t xml:space="preserve"> and the cases that followed, the theory of consideration creates important concerns when evaluating contract changes. Consequently, it's possible that the many contradictions it causes surpass its initial intent of outlining which commitments are enforceable. Many legal systems operate completely without thought.</w:t>
      </w:r>
      <w:r w:rsidR="000D5B53">
        <w:rPr>
          <w:lang w:val="en-GB"/>
        </w:rPr>
        <w:t xml:space="preserve"> </w:t>
      </w:r>
      <w:r w:rsidR="000D5B53" w:rsidRPr="000D5B53">
        <w:rPr>
          <w:lang w:val="en-GB"/>
        </w:rPr>
        <w:t xml:space="preserve">Perhaps there is a compelling argument for comprehensive revision of the doctrine if the discrepancies start to outweigh the practicalities and it can be demonstrated that legal systems do not view contemplation </w:t>
      </w:r>
      <w:r w:rsidR="000D5B53" w:rsidRPr="000D5B53">
        <w:rPr>
          <w:lang w:val="en-GB"/>
        </w:rPr>
        <w:lastRenderedPageBreak/>
        <w:t xml:space="preserve">as theoretically necessary. Thus, rather than undermining </w:t>
      </w:r>
      <w:r w:rsidR="001532F4">
        <w:rPr>
          <w:lang w:val="en-GB"/>
        </w:rPr>
        <w:t xml:space="preserve">the </w:t>
      </w:r>
      <w:r w:rsidR="001532F4">
        <w:rPr>
          <w:rFonts w:hint="eastAsia"/>
          <w:lang w:val="en-GB"/>
        </w:rPr>
        <w:t xml:space="preserve">concept of </w:t>
      </w:r>
      <w:r w:rsidR="000D5B53" w:rsidRPr="000D5B53">
        <w:rPr>
          <w:lang w:val="en-GB"/>
        </w:rPr>
        <w:t>consideration</w:t>
      </w:r>
      <w:r w:rsidR="001532F4">
        <w:rPr>
          <w:rFonts w:hint="eastAsia"/>
          <w:lang w:val="en-GB"/>
        </w:rPr>
        <w:t xml:space="preserve"> would be the future</w:t>
      </w:r>
      <w:r w:rsidR="009A345C">
        <w:rPr>
          <w:rFonts w:hint="eastAsia"/>
          <w:lang w:val="en-GB"/>
        </w:rPr>
        <w:t xml:space="preserve"> of contract law</w:t>
      </w:r>
      <w:r w:rsidR="001E7075">
        <w:rPr>
          <w:rFonts w:hint="eastAsia"/>
          <w:lang w:val="en-GB"/>
        </w:rPr>
        <w:t>.</w:t>
      </w:r>
    </w:p>
    <w:p w14:paraId="51EC0F52" w14:textId="77777777" w:rsidR="00D76C51" w:rsidRPr="000C0F73" w:rsidRDefault="00D76C51" w:rsidP="006F5C85">
      <w:pPr>
        <w:widowControl/>
        <w:spacing w:line="480" w:lineRule="auto"/>
        <w:ind w:firstLine="420"/>
        <w:jc w:val="both"/>
      </w:pPr>
    </w:p>
    <w:p w14:paraId="53E53729" w14:textId="71226817" w:rsidR="00762639" w:rsidRPr="000C0F73" w:rsidRDefault="00762639" w:rsidP="006F5C85">
      <w:pPr>
        <w:rPr>
          <w:b/>
          <w:bCs/>
          <w:sz w:val="28"/>
          <w:szCs w:val="28"/>
          <w:lang w:val="en-GB"/>
        </w:rPr>
      </w:pPr>
      <w:r w:rsidRPr="000C0F73">
        <w:rPr>
          <w:b/>
          <w:bCs/>
          <w:sz w:val="28"/>
          <w:szCs w:val="28"/>
          <w:lang w:val="en-GB"/>
        </w:rPr>
        <w:t>Reference</w:t>
      </w:r>
      <w:r w:rsidR="00F85E2C" w:rsidRPr="000C0F73">
        <w:rPr>
          <w:b/>
          <w:bCs/>
          <w:sz w:val="28"/>
          <w:szCs w:val="28"/>
          <w:lang w:val="en-GB"/>
        </w:rPr>
        <w:t>s</w:t>
      </w:r>
    </w:p>
    <w:p w14:paraId="72CC082C" w14:textId="737A8195" w:rsidR="00D06B3A" w:rsidRPr="000C0F73" w:rsidRDefault="00D06B3A" w:rsidP="006F5C85">
      <w:pPr>
        <w:spacing w:after="240"/>
        <w:rPr>
          <w:lang w:val="en-GB"/>
        </w:rPr>
      </w:pPr>
      <w:r w:rsidRPr="000C0F73">
        <w:rPr>
          <w:lang w:val="en-GB"/>
        </w:rPr>
        <w:t xml:space="preserve">Atiyah, P.S. (1975) “Consideration and Estoppel: The Thawing of the Ice,” </w:t>
      </w:r>
      <w:r w:rsidRPr="000C0F73">
        <w:rPr>
          <w:i/>
          <w:iCs/>
          <w:lang w:val="en-GB"/>
        </w:rPr>
        <w:t>Modern law review</w:t>
      </w:r>
      <w:r w:rsidRPr="000C0F73">
        <w:rPr>
          <w:lang w:val="en-GB"/>
        </w:rPr>
        <w:t>, 38(1), pp. 65–69.</w:t>
      </w:r>
    </w:p>
    <w:p w14:paraId="4C264928" w14:textId="3CE0BC36" w:rsidR="00A25A7C" w:rsidRDefault="004A66AF" w:rsidP="006F5C85">
      <w:pPr>
        <w:spacing w:after="240"/>
        <w:rPr>
          <w:lang w:val="en-GB"/>
        </w:rPr>
      </w:pPr>
      <w:r w:rsidRPr="000C0F73">
        <w:rPr>
          <w:lang w:val="en-GB"/>
        </w:rPr>
        <w:t>‘</w:t>
      </w:r>
      <w:r w:rsidR="008A2C72" w:rsidRPr="000C0F73">
        <w:rPr>
          <w:lang w:val="en-GB"/>
        </w:rPr>
        <w:t>Bagge v Slade</w:t>
      </w:r>
      <w:r w:rsidRPr="000C0F73">
        <w:rPr>
          <w:lang w:val="en-GB"/>
        </w:rPr>
        <w:t>’</w:t>
      </w:r>
      <w:r w:rsidR="008A2C72" w:rsidRPr="000C0F73">
        <w:rPr>
          <w:lang w:val="en-GB"/>
        </w:rPr>
        <w:t xml:space="preserve"> (1615) 3 </w:t>
      </w:r>
      <w:r w:rsidR="008A2C72" w:rsidRPr="000C0F73">
        <w:rPr>
          <w:i/>
          <w:iCs/>
          <w:lang w:val="en-GB"/>
        </w:rPr>
        <w:t>Bulst</w:t>
      </w:r>
      <w:r w:rsidR="008A2C72" w:rsidRPr="000C0F73">
        <w:rPr>
          <w:lang w:val="en-GB"/>
        </w:rPr>
        <w:t xml:space="preserve"> 162, 145 </w:t>
      </w:r>
      <w:r w:rsidR="008A2C72" w:rsidRPr="000C0F73">
        <w:rPr>
          <w:i/>
          <w:iCs/>
          <w:lang w:val="en-GB"/>
        </w:rPr>
        <w:t>ER</w:t>
      </w:r>
      <w:r w:rsidR="008A2C72" w:rsidRPr="000C0F73">
        <w:rPr>
          <w:lang w:val="en-GB"/>
        </w:rPr>
        <w:t xml:space="preserve"> 235, 81 </w:t>
      </w:r>
      <w:r w:rsidR="008A2C72" w:rsidRPr="000C0F73">
        <w:rPr>
          <w:i/>
          <w:iCs/>
          <w:lang w:val="en-GB"/>
        </w:rPr>
        <w:t>ER</w:t>
      </w:r>
      <w:r w:rsidR="008A2C72" w:rsidRPr="000C0F73">
        <w:rPr>
          <w:lang w:val="en-GB"/>
        </w:rPr>
        <w:t xml:space="preserve"> 137, </w:t>
      </w:r>
      <w:r w:rsidR="008A2C72" w:rsidRPr="000C0F73">
        <w:rPr>
          <w:i/>
          <w:iCs/>
          <w:lang w:val="en-GB"/>
        </w:rPr>
        <w:t>Jenk</w:t>
      </w:r>
      <w:r w:rsidR="008A2C72" w:rsidRPr="000C0F73">
        <w:rPr>
          <w:lang w:val="en-GB"/>
        </w:rPr>
        <w:t xml:space="preserve"> 324</w:t>
      </w:r>
      <w:r w:rsidRPr="000C0F73">
        <w:rPr>
          <w:lang w:val="en-GB"/>
        </w:rPr>
        <w:t>.</w:t>
      </w:r>
    </w:p>
    <w:p w14:paraId="3C2A3E13" w14:textId="3AEB575F" w:rsidR="00E97CE4" w:rsidRPr="000C0F73" w:rsidRDefault="0054259F" w:rsidP="006F5C85">
      <w:pPr>
        <w:spacing w:after="240"/>
        <w:rPr>
          <w:lang w:val="en-GB"/>
        </w:rPr>
      </w:pPr>
      <w:r>
        <w:rPr>
          <w:lang w:val="en-GB"/>
        </w:rPr>
        <w:t>‘</w:t>
      </w:r>
      <w:r w:rsidR="00E97CE4" w:rsidRPr="00E97CE4">
        <w:rPr>
          <w:lang w:val="en-GB"/>
        </w:rPr>
        <w:t>Chappell &amp; Co Ltd v Nestlé Co Ltd</w:t>
      </w:r>
      <w:r>
        <w:rPr>
          <w:lang w:val="en-GB"/>
        </w:rPr>
        <w:t>’</w:t>
      </w:r>
      <w:r w:rsidR="00E97CE4" w:rsidRPr="00E97CE4">
        <w:rPr>
          <w:lang w:val="en-GB"/>
        </w:rPr>
        <w:t> </w:t>
      </w:r>
      <w:r>
        <w:rPr>
          <w:lang w:val="en-GB"/>
        </w:rPr>
        <w:t>(</w:t>
      </w:r>
      <w:r w:rsidR="00E97CE4" w:rsidRPr="00E97CE4">
        <w:rPr>
          <w:lang w:val="en-GB"/>
        </w:rPr>
        <w:t>1960</w:t>
      </w:r>
      <w:r>
        <w:rPr>
          <w:lang w:val="en-GB"/>
        </w:rPr>
        <w:t>)</w:t>
      </w:r>
      <w:r w:rsidR="00E97CE4" w:rsidRPr="00E97CE4">
        <w:rPr>
          <w:lang w:val="en-GB"/>
        </w:rPr>
        <w:t xml:space="preserve"> </w:t>
      </w:r>
      <w:r w:rsidR="00E97CE4" w:rsidRPr="0054259F">
        <w:rPr>
          <w:i/>
          <w:iCs/>
          <w:lang w:val="en-GB"/>
        </w:rPr>
        <w:t>AC</w:t>
      </w:r>
      <w:r w:rsidR="00E97CE4" w:rsidRPr="00E97CE4">
        <w:rPr>
          <w:lang w:val="en-GB"/>
        </w:rPr>
        <w:t xml:space="preserve"> 87, </w:t>
      </w:r>
      <w:r>
        <w:rPr>
          <w:lang w:val="en-GB"/>
        </w:rPr>
        <w:t>(</w:t>
      </w:r>
      <w:r w:rsidR="00E97CE4" w:rsidRPr="00E97CE4">
        <w:rPr>
          <w:lang w:val="en-GB"/>
        </w:rPr>
        <w:t>1959</w:t>
      </w:r>
      <w:r>
        <w:rPr>
          <w:lang w:val="en-GB"/>
        </w:rPr>
        <w:t>)</w:t>
      </w:r>
      <w:r w:rsidR="00E97CE4" w:rsidRPr="00E97CE4">
        <w:rPr>
          <w:lang w:val="en-GB"/>
        </w:rPr>
        <w:t xml:space="preserve"> 2 </w:t>
      </w:r>
      <w:r w:rsidR="00E97CE4" w:rsidRPr="0054259F">
        <w:rPr>
          <w:i/>
          <w:iCs/>
          <w:lang w:val="en-GB"/>
        </w:rPr>
        <w:t>All ER</w:t>
      </w:r>
      <w:r w:rsidR="00E97CE4" w:rsidRPr="00E97CE4">
        <w:rPr>
          <w:lang w:val="en-GB"/>
        </w:rPr>
        <w:t xml:space="preserve"> 701, </w:t>
      </w:r>
      <w:r w:rsidR="00145DB9">
        <w:rPr>
          <w:lang w:val="en-GB"/>
        </w:rPr>
        <w:t>(</w:t>
      </w:r>
      <w:r w:rsidR="00E97CE4" w:rsidRPr="00E97CE4">
        <w:rPr>
          <w:lang w:val="en-GB"/>
        </w:rPr>
        <w:t>1959</w:t>
      </w:r>
      <w:r w:rsidR="00145DB9">
        <w:rPr>
          <w:lang w:val="en-GB"/>
        </w:rPr>
        <w:t>)</w:t>
      </w:r>
      <w:r w:rsidR="00E97CE4" w:rsidRPr="00E97CE4">
        <w:rPr>
          <w:lang w:val="en-GB"/>
        </w:rPr>
        <w:t xml:space="preserve"> 3 </w:t>
      </w:r>
      <w:r w:rsidR="00E97CE4" w:rsidRPr="00145DB9">
        <w:rPr>
          <w:i/>
          <w:iCs/>
          <w:lang w:val="en-GB"/>
        </w:rPr>
        <w:t>WLR</w:t>
      </w:r>
      <w:r w:rsidR="00E97CE4" w:rsidRPr="00E97CE4">
        <w:rPr>
          <w:lang w:val="en-GB"/>
        </w:rPr>
        <w:t xml:space="preserve"> 168, 103 </w:t>
      </w:r>
      <w:r w:rsidR="00E97CE4" w:rsidRPr="00145DB9">
        <w:rPr>
          <w:i/>
          <w:iCs/>
          <w:lang w:val="en-GB"/>
        </w:rPr>
        <w:t>Sol Jo</w:t>
      </w:r>
      <w:r w:rsidR="00E97CE4" w:rsidRPr="00E97CE4">
        <w:rPr>
          <w:lang w:val="en-GB"/>
        </w:rPr>
        <w:t xml:space="preserve"> 561</w:t>
      </w:r>
      <w:r w:rsidR="00E97CE4">
        <w:rPr>
          <w:lang w:val="en-GB"/>
        </w:rPr>
        <w:t>.</w:t>
      </w:r>
    </w:p>
    <w:p w14:paraId="0C057672" w14:textId="114EF625" w:rsidR="00145D95" w:rsidRPr="000C0F73" w:rsidRDefault="00145D95" w:rsidP="006F5C85">
      <w:pPr>
        <w:spacing w:after="240"/>
        <w:rPr>
          <w:lang w:val="en-GB"/>
        </w:rPr>
      </w:pPr>
      <w:r w:rsidRPr="000C0F73">
        <w:rPr>
          <w:lang w:val="en-GB"/>
        </w:rPr>
        <w:t xml:space="preserve">Chloros, A. G. </w:t>
      </w:r>
      <w:r w:rsidR="00604C13" w:rsidRPr="000C0F73">
        <w:rPr>
          <w:lang w:val="en-GB"/>
        </w:rPr>
        <w:t xml:space="preserve">(1968) </w:t>
      </w:r>
      <w:r w:rsidRPr="000C0F73">
        <w:rPr>
          <w:lang w:val="en-GB"/>
        </w:rPr>
        <w:t xml:space="preserve">“The Doctrine of Consideration and the Reform of the Law of Contract. A Comparative Analysis.” </w:t>
      </w:r>
      <w:r w:rsidRPr="000C0F73">
        <w:rPr>
          <w:i/>
          <w:iCs/>
          <w:lang w:val="en-GB"/>
        </w:rPr>
        <w:t>The International and Comparative Law Quarterly</w:t>
      </w:r>
      <w:r w:rsidRPr="000C0F73">
        <w:rPr>
          <w:lang w:val="en-GB"/>
        </w:rPr>
        <w:t xml:space="preserve">, vol. 17, no. 1, 1968, pp. 137–66. Available at: </w:t>
      </w:r>
      <w:hyperlink r:id="rId6" w:history="1">
        <w:r w:rsidRPr="00203A57">
          <w:rPr>
            <w:rStyle w:val="Hyperlink"/>
            <w:color w:val="auto"/>
            <w:u w:val="none"/>
            <w:lang w:val="en-GB"/>
          </w:rPr>
          <w:t>http://www.jstor.org/stable/757239</w:t>
        </w:r>
      </w:hyperlink>
      <w:r w:rsidRPr="000C0F73">
        <w:rPr>
          <w:lang w:val="en-GB"/>
        </w:rPr>
        <w:t xml:space="preserve"> (Accessed: 12 Mar 2024)</w:t>
      </w:r>
      <w:r w:rsidR="00256950" w:rsidRPr="000C0F73">
        <w:rPr>
          <w:lang w:val="en-GB"/>
        </w:rPr>
        <w:t>.</w:t>
      </w:r>
    </w:p>
    <w:p w14:paraId="7FB06293" w14:textId="77777777" w:rsidR="00F3448D" w:rsidRDefault="00971709" w:rsidP="006F5C85">
      <w:pPr>
        <w:spacing w:after="240"/>
        <w:rPr>
          <w:lang w:val="en-GB"/>
        </w:rPr>
      </w:pPr>
      <w:r w:rsidRPr="000C0F73">
        <w:rPr>
          <w:lang w:val="en-GB"/>
        </w:rPr>
        <w:t xml:space="preserve">‘Collins v Godefroy’ (1831) 1 </w:t>
      </w:r>
      <w:r w:rsidRPr="000C0F73">
        <w:rPr>
          <w:i/>
          <w:iCs/>
          <w:lang w:val="en-GB"/>
        </w:rPr>
        <w:t>B &amp; Ad</w:t>
      </w:r>
      <w:r w:rsidRPr="000C0F73">
        <w:rPr>
          <w:lang w:val="en-GB"/>
        </w:rPr>
        <w:t xml:space="preserve"> 950, 1 </w:t>
      </w:r>
      <w:r w:rsidRPr="000C0F73">
        <w:rPr>
          <w:i/>
          <w:iCs/>
          <w:lang w:val="en-GB"/>
        </w:rPr>
        <w:t>Dowl</w:t>
      </w:r>
      <w:r w:rsidRPr="000C0F73">
        <w:rPr>
          <w:lang w:val="en-GB"/>
        </w:rPr>
        <w:t xml:space="preserve"> 326, 9 </w:t>
      </w:r>
      <w:r w:rsidRPr="000C0F73">
        <w:rPr>
          <w:i/>
          <w:iCs/>
          <w:lang w:val="en-GB"/>
        </w:rPr>
        <w:t>LJOS</w:t>
      </w:r>
      <w:r w:rsidRPr="000C0F73">
        <w:rPr>
          <w:lang w:val="en-GB"/>
        </w:rPr>
        <w:t xml:space="preserve"> 158, 109 </w:t>
      </w:r>
      <w:r w:rsidRPr="000C0F73">
        <w:rPr>
          <w:i/>
          <w:iCs/>
          <w:lang w:val="en-GB"/>
        </w:rPr>
        <w:t>ER</w:t>
      </w:r>
      <w:r w:rsidRPr="000C0F73">
        <w:rPr>
          <w:lang w:val="en-GB"/>
        </w:rPr>
        <w:t xml:space="preserve"> 1040.</w:t>
      </w:r>
    </w:p>
    <w:p w14:paraId="0ABFF24E" w14:textId="472F6131" w:rsidR="00971709" w:rsidRPr="000C0F73" w:rsidRDefault="00971709" w:rsidP="006F5C85">
      <w:pPr>
        <w:spacing w:after="240"/>
        <w:rPr>
          <w:lang w:val="en-GB"/>
        </w:rPr>
      </w:pPr>
      <w:r w:rsidRPr="000C0F73">
        <w:rPr>
          <w:lang w:val="en-GB"/>
        </w:rPr>
        <w:t xml:space="preserve">‘Couldery v Bartrum’ (1881) 19 </w:t>
      </w:r>
      <w:r w:rsidRPr="000C0F73">
        <w:rPr>
          <w:i/>
          <w:iCs/>
          <w:lang w:val="en-GB"/>
        </w:rPr>
        <w:t>Ch D</w:t>
      </w:r>
      <w:r w:rsidRPr="000C0F73">
        <w:rPr>
          <w:lang w:val="en-GB"/>
        </w:rPr>
        <w:t xml:space="preserve"> 394, 51 </w:t>
      </w:r>
      <w:r w:rsidRPr="000C0F73">
        <w:rPr>
          <w:i/>
          <w:iCs/>
          <w:lang w:val="en-GB"/>
        </w:rPr>
        <w:t>LJ Ch</w:t>
      </w:r>
      <w:r w:rsidRPr="000C0F73">
        <w:rPr>
          <w:lang w:val="en-GB"/>
        </w:rPr>
        <w:t xml:space="preserve"> 265, 30 </w:t>
      </w:r>
      <w:r w:rsidRPr="000C0F73">
        <w:rPr>
          <w:i/>
          <w:iCs/>
          <w:lang w:val="en-GB"/>
        </w:rPr>
        <w:t>WR</w:t>
      </w:r>
      <w:r w:rsidRPr="000C0F73">
        <w:rPr>
          <w:lang w:val="en-GB"/>
        </w:rPr>
        <w:t xml:space="preserve"> 141, 45 </w:t>
      </w:r>
      <w:r w:rsidRPr="000C0F73">
        <w:rPr>
          <w:i/>
          <w:iCs/>
          <w:lang w:val="en-GB"/>
        </w:rPr>
        <w:t>LT</w:t>
      </w:r>
      <w:r w:rsidRPr="000C0F73">
        <w:rPr>
          <w:lang w:val="en-GB"/>
        </w:rPr>
        <w:t xml:space="preserve"> 689</w:t>
      </w:r>
      <w:r w:rsidRPr="000C0F73">
        <w:rPr>
          <w:rFonts w:hint="eastAsia"/>
          <w:lang w:val="en-GB"/>
        </w:rPr>
        <w:t>.</w:t>
      </w:r>
    </w:p>
    <w:p w14:paraId="4FC241C9" w14:textId="1C2F32C9" w:rsidR="00C82916" w:rsidRPr="000C0F73" w:rsidRDefault="00C82916" w:rsidP="006F5C85">
      <w:pPr>
        <w:spacing w:after="240"/>
        <w:rPr>
          <w:lang w:val="en-GB"/>
        </w:rPr>
      </w:pPr>
      <w:r w:rsidRPr="000C0F73">
        <w:rPr>
          <w:lang w:val="en-GB"/>
        </w:rPr>
        <w:t xml:space="preserve">‘Currie v Misa’ (1875) </w:t>
      </w:r>
      <w:r w:rsidRPr="000C0F73">
        <w:rPr>
          <w:i/>
          <w:iCs/>
          <w:lang w:val="en-GB"/>
        </w:rPr>
        <w:t>LR 10 Exch</w:t>
      </w:r>
      <w:r w:rsidRPr="000C0F73">
        <w:rPr>
          <w:lang w:val="en-GB"/>
        </w:rPr>
        <w:t xml:space="preserve"> 153, 44 </w:t>
      </w:r>
      <w:r w:rsidRPr="000C0F73">
        <w:rPr>
          <w:i/>
          <w:iCs/>
          <w:lang w:val="en-GB"/>
        </w:rPr>
        <w:t>LJ Ex</w:t>
      </w:r>
      <w:r w:rsidRPr="000C0F73">
        <w:rPr>
          <w:lang w:val="en-GB"/>
        </w:rPr>
        <w:t xml:space="preserve"> 94, 23 </w:t>
      </w:r>
      <w:r w:rsidRPr="000C0F73">
        <w:rPr>
          <w:i/>
          <w:iCs/>
          <w:lang w:val="en-GB"/>
        </w:rPr>
        <w:t>WR</w:t>
      </w:r>
      <w:r w:rsidRPr="000C0F73">
        <w:rPr>
          <w:lang w:val="en-GB"/>
        </w:rPr>
        <w:t xml:space="preserve"> 450.</w:t>
      </w:r>
    </w:p>
    <w:p w14:paraId="5CA13D3C" w14:textId="3EDBA40F" w:rsidR="007E738C" w:rsidRPr="000C0F73" w:rsidRDefault="007E738C" w:rsidP="006F5C85">
      <w:pPr>
        <w:spacing w:after="240"/>
        <w:rPr>
          <w:lang w:val="en-GB"/>
        </w:rPr>
      </w:pPr>
      <w:r w:rsidRPr="000C0F73">
        <w:rPr>
          <w:lang w:val="en-GB"/>
        </w:rPr>
        <w:t>‘D &amp; C Builders Ltd v Rees’ </w:t>
      </w:r>
      <w:r w:rsidRPr="000C0F73">
        <w:rPr>
          <w:rFonts w:hint="eastAsia"/>
          <w:lang w:val="en-GB"/>
        </w:rPr>
        <w:t>(</w:t>
      </w:r>
      <w:r w:rsidRPr="000C0F73">
        <w:rPr>
          <w:lang w:val="en-GB"/>
        </w:rPr>
        <w:t>1966</w:t>
      </w:r>
      <w:r w:rsidRPr="000C0F73">
        <w:rPr>
          <w:rFonts w:hint="eastAsia"/>
          <w:lang w:val="en-GB"/>
        </w:rPr>
        <w:t>)</w:t>
      </w:r>
      <w:r w:rsidRPr="000C0F73">
        <w:rPr>
          <w:lang w:val="en-GB"/>
        </w:rPr>
        <w:t xml:space="preserve"> 2 </w:t>
      </w:r>
      <w:r w:rsidRPr="000C0F73">
        <w:rPr>
          <w:i/>
          <w:iCs/>
          <w:lang w:val="en-GB"/>
        </w:rPr>
        <w:t>QB</w:t>
      </w:r>
      <w:r w:rsidRPr="000C0F73">
        <w:rPr>
          <w:lang w:val="en-GB"/>
        </w:rPr>
        <w:t xml:space="preserve"> 617, </w:t>
      </w:r>
      <w:r w:rsidRPr="000C0F73">
        <w:rPr>
          <w:rFonts w:hint="eastAsia"/>
          <w:lang w:val="en-GB"/>
        </w:rPr>
        <w:t>(</w:t>
      </w:r>
      <w:r w:rsidRPr="000C0F73">
        <w:rPr>
          <w:lang w:val="en-GB"/>
        </w:rPr>
        <w:t>1965</w:t>
      </w:r>
      <w:r w:rsidRPr="000C0F73">
        <w:rPr>
          <w:rFonts w:hint="eastAsia"/>
          <w:lang w:val="en-GB"/>
        </w:rPr>
        <w:t>)</w:t>
      </w:r>
      <w:r w:rsidRPr="000C0F73">
        <w:rPr>
          <w:lang w:val="en-GB"/>
        </w:rPr>
        <w:t xml:space="preserve"> 3 </w:t>
      </w:r>
      <w:r w:rsidRPr="000C0F73">
        <w:rPr>
          <w:i/>
          <w:iCs/>
          <w:lang w:val="en-GB"/>
        </w:rPr>
        <w:t>All ER</w:t>
      </w:r>
      <w:r w:rsidRPr="000C0F73">
        <w:rPr>
          <w:lang w:val="en-GB"/>
        </w:rPr>
        <w:t xml:space="preserve"> 837, </w:t>
      </w:r>
      <w:r w:rsidRPr="000C0F73">
        <w:rPr>
          <w:rFonts w:hint="eastAsia"/>
          <w:lang w:val="en-GB"/>
        </w:rPr>
        <w:t>(</w:t>
      </w:r>
      <w:r w:rsidRPr="000C0F73">
        <w:rPr>
          <w:lang w:val="en-GB"/>
        </w:rPr>
        <w:t>1966</w:t>
      </w:r>
      <w:r w:rsidRPr="000C0F73">
        <w:rPr>
          <w:rFonts w:hint="eastAsia"/>
          <w:lang w:val="en-GB"/>
        </w:rPr>
        <w:t>)</w:t>
      </w:r>
      <w:r w:rsidRPr="000C0F73">
        <w:rPr>
          <w:lang w:val="en-GB"/>
        </w:rPr>
        <w:t xml:space="preserve"> 2 </w:t>
      </w:r>
      <w:r w:rsidRPr="000C0F73">
        <w:rPr>
          <w:i/>
          <w:iCs/>
          <w:lang w:val="en-GB"/>
        </w:rPr>
        <w:t>WLR</w:t>
      </w:r>
      <w:r w:rsidRPr="000C0F73">
        <w:rPr>
          <w:lang w:val="en-GB"/>
        </w:rPr>
        <w:t xml:space="preserve"> 288, 109 </w:t>
      </w:r>
      <w:r w:rsidRPr="000C0F73">
        <w:rPr>
          <w:i/>
          <w:iCs/>
          <w:lang w:val="en-GB"/>
        </w:rPr>
        <w:t>Sol Jo</w:t>
      </w:r>
      <w:r w:rsidRPr="000C0F73">
        <w:rPr>
          <w:lang w:val="en-GB"/>
        </w:rPr>
        <w:t xml:space="preserve"> 971, 196 </w:t>
      </w:r>
      <w:r w:rsidRPr="000C0F73">
        <w:rPr>
          <w:i/>
          <w:iCs/>
          <w:lang w:val="en-GB"/>
        </w:rPr>
        <w:t>EG</w:t>
      </w:r>
      <w:r w:rsidRPr="000C0F73">
        <w:rPr>
          <w:lang w:val="en-GB"/>
        </w:rPr>
        <w:t xml:space="preserve"> 893</w:t>
      </w:r>
      <w:r w:rsidRPr="000C0F73">
        <w:rPr>
          <w:rFonts w:hint="eastAsia"/>
          <w:lang w:val="en-GB"/>
        </w:rPr>
        <w:t>.</w:t>
      </w:r>
    </w:p>
    <w:p w14:paraId="587E6B48" w14:textId="6146F937" w:rsidR="00A832AF" w:rsidRPr="00203A57" w:rsidRDefault="00A832AF" w:rsidP="006F5C85">
      <w:pPr>
        <w:spacing w:after="240"/>
        <w:rPr>
          <w:lang w:val="en-GB"/>
        </w:rPr>
      </w:pPr>
      <w:r w:rsidRPr="000C0F73">
        <w:rPr>
          <w:lang w:val="en-GB"/>
        </w:rPr>
        <w:t xml:space="preserve">Davies, B. (2016) “Mindy Chen-Wishart, Contract Law,” </w:t>
      </w:r>
      <w:r w:rsidRPr="000C0F73">
        <w:rPr>
          <w:i/>
          <w:iCs/>
          <w:lang w:val="en-GB"/>
        </w:rPr>
        <w:t>Law teacher</w:t>
      </w:r>
      <w:r w:rsidRPr="000C0F73">
        <w:rPr>
          <w:lang w:val="en-GB"/>
        </w:rPr>
        <w:t xml:space="preserve">, 50(3), pp. 386–388. Available at: </w:t>
      </w:r>
      <w:hyperlink r:id="rId7" w:history="1">
        <w:r w:rsidRPr="00203A57">
          <w:rPr>
            <w:rStyle w:val="Hyperlink"/>
            <w:color w:val="auto"/>
            <w:u w:val="none"/>
            <w:lang w:val="en-GB"/>
          </w:rPr>
          <w:t>https://doi.org/10.1080/03069400.2016.1185262</w:t>
        </w:r>
      </w:hyperlink>
      <w:r w:rsidRPr="00203A57">
        <w:rPr>
          <w:lang w:val="en-GB"/>
        </w:rPr>
        <w:t>.</w:t>
      </w:r>
    </w:p>
    <w:p w14:paraId="76E3BB82" w14:textId="61AC7433" w:rsidR="005512B8" w:rsidRDefault="005512B8" w:rsidP="005512B8">
      <w:pPr>
        <w:spacing w:after="240"/>
        <w:rPr>
          <w:lang w:val="en-GB"/>
        </w:rPr>
      </w:pPr>
      <w:r w:rsidRPr="000C0F73">
        <w:rPr>
          <w:lang w:val="en-GB"/>
        </w:rPr>
        <w:t xml:space="preserve">Davies, P.S. (2016) “VARYING CONTRACTS,” </w:t>
      </w:r>
      <w:r w:rsidRPr="000C0F73">
        <w:rPr>
          <w:i/>
          <w:iCs/>
          <w:lang w:val="en-GB"/>
        </w:rPr>
        <w:t>Cambridge law journal</w:t>
      </w:r>
      <w:r w:rsidRPr="000C0F73">
        <w:rPr>
          <w:lang w:val="en-GB"/>
        </w:rPr>
        <w:t xml:space="preserve">, 75(3), pp. 455–458. Available at: </w:t>
      </w:r>
      <w:hyperlink r:id="rId8" w:history="1">
        <w:r w:rsidRPr="00203A57">
          <w:rPr>
            <w:rStyle w:val="Hyperlink"/>
            <w:color w:val="auto"/>
            <w:u w:val="none"/>
            <w:lang w:val="en-GB"/>
          </w:rPr>
          <w:t>https://doi.org/10.1017/S0008197316000702</w:t>
        </w:r>
      </w:hyperlink>
      <w:r w:rsidRPr="00203A57">
        <w:rPr>
          <w:lang w:val="en-GB"/>
        </w:rPr>
        <w:t>.</w:t>
      </w:r>
    </w:p>
    <w:p w14:paraId="630921E9" w14:textId="2B7D53B3" w:rsidR="00C816A7" w:rsidRPr="000C0F73" w:rsidRDefault="00C816A7" w:rsidP="005512B8">
      <w:pPr>
        <w:spacing w:after="240"/>
        <w:rPr>
          <w:lang w:val="en-GB"/>
        </w:rPr>
      </w:pPr>
      <w:r>
        <w:rPr>
          <w:lang w:val="en-GB"/>
        </w:rPr>
        <w:t>‘</w:t>
      </w:r>
      <w:r w:rsidRPr="00C816A7">
        <w:rPr>
          <w:lang w:val="en-GB"/>
        </w:rPr>
        <w:t>Eastwood v Kenyon</w:t>
      </w:r>
      <w:r>
        <w:rPr>
          <w:lang w:val="en-GB"/>
        </w:rPr>
        <w:t>’</w:t>
      </w:r>
      <w:r w:rsidRPr="00C816A7">
        <w:rPr>
          <w:lang w:val="en-GB"/>
        </w:rPr>
        <w:t xml:space="preserve"> (1840) 11 </w:t>
      </w:r>
      <w:r w:rsidRPr="00C816A7">
        <w:rPr>
          <w:i/>
          <w:iCs/>
          <w:lang w:val="en-GB"/>
        </w:rPr>
        <w:t>Ad &amp; El</w:t>
      </w:r>
      <w:r w:rsidRPr="00C816A7">
        <w:rPr>
          <w:lang w:val="en-GB"/>
        </w:rPr>
        <w:t xml:space="preserve"> 438, 9 </w:t>
      </w:r>
      <w:r w:rsidRPr="00C816A7">
        <w:rPr>
          <w:i/>
          <w:iCs/>
          <w:lang w:val="en-GB"/>
        </w:rPr>
        <w:t>LJQB</w:t>
      </w:r>
      <w:r w:rsidRPr="00C816A7">
        <w:rPr>
          <w:lang w:val="en-GB"/>
        </w:rPr>
        <w:t xml:space="preserve"> 409, 4 </w:t>
      </w:r>
      <w:r w:rsidRPr="00C816A7">
        <w:rPr>
          <w:i/>
          <w:iCs/>
          <w:lang w:val="en-GB"/>
        </w:rPr>
        <w:t>Jur</w:t>
      </w:r>
      <w:r w:rsidRPr="00C816A7">
        <w:rPr>
          <w:lang w:val="en-GB"/>
        </w:rPr>
        <w:t xml:space="preserve"> 1081, 3 </w:t>
      </w:r>
      <w:r w:rsidRPr="00C816A7">
        <w:rPr>
          <w:i/>
          <w:iCs/>
          <w:lang w:val="en-GB"/>
        </w:rPr>
        <w:t>Per &amp; 3 Per &amp; Dav</w:t>
      </w:r>
      <w:r w:rsidRPr="00C816A7">
        <w:rPr>
          <w:lang w:val="en-GB"/>
        </w:rPr>
        <w:t xml:space="preserve"> 276, 113 </w:t>
      </w:r>
      <w:r w:rsidRPr="00C816A7">
        <w:rPr>
          <w:i/>
          <w:iCs/>
          <w:lang w:val="en-GB"/>
        </w:rPr>
        <w:t>ER</w:t>
      </w:r>
      <w:r w:rsidRPr="00C816A7">
        <w:rPr>
          <w:lang w:val="en-GB"/>
        </w:rPr>
        <w:t xml:space="preserve"> 482, </w:t>
      </w:r>
      <w:r>
        <w:rPr>
          <w:lang w:val="en-GB"/>
        </w:rPr>
        <w:t>(</w:t>
      </w:r>
      <w:r w:rsidRPr="00C816A7">
        <w:rPr>
          <w:lang w:val="en-GB"/>
        </w:rPr>
        <w:t>1835-42</w:t>
      </w:r>
      <w:r>
        <w:rPr>
          <w:lang w:val="en-GB"/>
        </w:rPr>
        <w:t>)</w:t>
      </w:r>
      <w:r w:rsidRPr="00C816A7">
        <w:rPr>
          <w:lang w:val="en-GB"/>
        </w:rPr>
        <w:t xml:space="preserve"> </w:t>
      </w:r>
      <w:r w:rsidRPr="00C816A7">
        <w:rPr>
          <w:i/>
          <w:iCs/>
          <w:lang w:val="en-GB"/>
        </w:rPr>
        <w:t>All ER Rep</w:t>
      </w:r>
      <w:r w:rsidRPr="00C816A7">
        <w:rPr>
          <w:lang w:val="en-GB"/>
        </w:rPr>
        <w:t xml:space="preserve"> 133</w:t>
      </w:r>
      <w:r>
        <w:rPr>
          <w:lang w:val="en-GB"/>
        </w:rPr>
        <w:t>.</w:t>
      </w:r>
    </w:p>
    <w:p w14:paraId="513201EB" w14:textId="682B6026" w:rsidR="00C82916" w:rsidRPr="000C0F73" w:rsidRDefault="00C82916" w:rsidP="006F5C85">
      <w:pPr>
        <w:spacing w:after="240"/>
        <w:rPr>
          <w:lang w:val="en-GB"/>
        </w:rPr>
      </w:pPr>
      <w:r w:rsidRPr="000C0F73">
        <w:rPr>
          <w:lang w:val="en-GB"/>
        </w:rPr>
        <w:t xml:space="preserve">‘Dunlop Pneumatic Tyre Co Ltd v Selfridge &amp; Co Ltd’ (1915) </w:t>
      </w:r>
      <w:r w:rsidRPr="000C0F73">
        <w:rPr>
          <w:i/>
          <w:iCs/>
          <w:lang w:val="en-GB"/>
        </w:rPr>
        <w:t>AC</w:t>
      </w:r>
      <w:r w:rsidRPr="000C0F73">
        <w:rPr>
          <w:lang w:val="en-GB"/>
        </w:rPr>
        <w:t xml:space="preserve"> 847, 84 </w:t>
      </w:r>
      <w:r w:rsidRPr="000C0F73">
        <w:rPr>
          <w:i/>
          <w:iCs/>
          <w:lang w:val="en-GB"/>
        </w:rPr>
        <w:t>LJKB</w:t>
      </w:r>
      <w:r w:rsidRPr="000C0F73">
        <w:rPr>
          <w:lang w:val="en-GB"/>
        </w:rPr>
        <w:t xml:space="preserve"> 1680, </w:t>
      </w:r>
      <w:r w:rsidRPr="000C0F73">
        <w:rPr>
          <w:i/>
          <w:iCs/>
          <w:lang w:val="en-GB"/>
        </w:rPr>
        <w:t>All ER Rep</w:t>
      </w:r>
      <w:r w:rsidRPr="000C0F73">
        <w:rPr>
          <w:lang w:val="en-GB"/>
        </w:rPr>
        <w:t xml:space="preserve"> 333, 59 </w:t>
      </w:r>
      <w:r w:rsidRPr="000C0F73">
        <w:rPr>
          <w:i/>
          <w:iCs/>
          <w:lang w:val="en-GB"/>
        </w:rPr>
        <w:t>Sol Jo</w:t>
      </w:r>
      <w:r w:rsidRPr="000C0F73">
        <w:rPr>
          <w:lang w:val="en-GB"/>
        </w:rPr>
        <w:t xml:space="preserve"> 439, 113 </w:t>
      </w:r>
      <w:r w:rsidRPr="000C0F73">
        <w:rPr>
          <w:i/>
          <w:iCs/>
          <w:lang w:val="en-GB"/>
        </w:rPr>
        <w:t>LT</w:t>
      </w:r>
      <w:r w:rsidRPr="000C0F73">
        <w:rPr>
          <w:lang w:val="en-GB"/>
        </w:rPr>
        <w:t xml:space="preserve"> 386, 31 </w:t>
      </w:r>
      <w:r w:rsidRPr="000C0F73">
        <w:rPr>
          <w:i/>
          <w:iCs/>
          <w:lang w:val="en-GB"/>
        </w:rPr>
        <w:t>TLR</w:t>
      </w:r>
      <w:r w:rsidRPr="000C0F73">
        <w:rPr>
          <w:lang w:val="en-GB"/>
        </w:rPr>
        <w:t xml:space="preserve"> 399.</w:t>
      </w:r>
    </w:p>
    <w:p w14:paraId="38C80120" w14:textId="7E88625A" w:rsidR="00145D95" w:rsidRPr="000C0F73" w:rsidRDefault="00762639" w:rsidP="006F5C85">
      <w:pPr>
        <w:spacing w:after="240"/>
        <w:rPr>
          <w:lang w:val="en-GB"/>
        </w:rPr>
      </w:pPr>
      <w:r w:rsidRPr="000C0F73">
        <w:rPr>
          <w:lang w:val="en-GB"/>
        </w:rPr>
        <w:lastRenderedPageBreak/>
        <w:t xml:space="preserve">Elliott, C. and Quinn, F. (2019) </w:t>
      </w:r>
      <w:r w:rsidRPr="000C0F73">
        <w:rPr>
          <w:i/>
          <w:iCs/>
          <w:lang w:val="en-GB"/>
        </w:rPr>
        <w:t>Elliott &amp; Quinn’s contract law</w:t>
      </w:r>
      <w:r w:rsidRPr="000C0F73">
        <w:rPr>
          <w:lang w:val="en-GB"/>
        </w:rPr>
        <w:t>. Twelfth edition. Harlow: Pearson.</w:t>
      </w:r>
    </w:p>
    <w:p w14:paraId="544844EC" w14:textId="5715A3B6" w:rsidR="00C82916" w:rsidRPr="000C0F73" w:rsidRDefault="00C82916" w:rsidP="006F5C85">
      <w:pPr>
        <w:spacing w:after="240"/>
        <w:rPr>
          <w:lang w:val="en-GB"/>
        </w:rPr>
      </w:pPr>
      <w:r w:rsidRPr="000C0F73">
        <w:rPr>
          <w:lang w:val="en-GB"/>
        </w:rPr>
        <w:t xml:space="preserve">‘Foakes v Beer’ (1884) 9 </w:t>
      </w:r>
      <w:r w:rsidRPr="000C0F73">
        <w:rPr>
          <w:i/>
          <w:iCs/>
          <w:lang w:val="en-GB"/>
        </w:rPr>
        <w:t>App Cas</w:t>
      </w:r>
      <w:r w:rsidRPr="000C0F73">
        <w:rPr>
          <w:lang w:val="en-GB"/>
        </w:rPr>
        <w:t xml:space="preserve"> 605, 54 </w:t>
      </w:r>
      <w:r w:rsidRPr="000C0F73">
        <w:rPr>
          <w:i/>
          <w:iCs/>
          <w:lang w:val="en-GB"/>
        </w:rPr>
        <w:t>LJQB</w:t>
      </w:r>
      <w:r w:rsidRPr="000C0F73">
        <w:rPr>
          <w:lang w:val="en-GB"/>
        </w:rPr>
        <w:t xml:space="preserve"> 130, 33 </w:t>
      </w:r>
      <w:r w:rsidRPr="000C0F73">
        <w:rPr>
          <w:i/>
          <w:iCs/>
          <w:lang w:val="en-GB"/>
        </w:rPr>
        <w:t>WR</w:t>
      </w:r>
      <w:r w:rsidRPr="000C0F73">
        <w:rPr>
          <w:lang w:val="en-GB"/>
        </w:rPr>
        <w:t xml:space="preserve"> 233, </w:t>
      </w:r>
      <w:r w:rsidRPr="000C0F73">
        <w:rPr>
          <w:i/>
          <w:iCs/>
          <w:lang w:val="en-GB"/>
        </w:rPr>
        <w:t>All ER Rep</w:t>
      </w:r>
      <w:r w:rsidRPr="000C0F73">
        <w:rPr>
          <w:lang w:val="en-GB"/>
        </w:rPr>
        <w:t xml:space="preserve"> 106, 51 </w:t>
      </w:r>
      <w:r w:rsidRPr="000C0F73">
        <w:rPr>
          <w:i/>
          <w:iCs/>
          <w:lang w:val="en-GB"/>
        </w:rPr>
        <w:t>LT</w:t>
      </w:r>
      <w:r w:rsidRPr="000C0F73">
        <w:rPr>
          <w:lang w:val="en-GB"/>
        </w:rPr>
        <w:t xml:space="preserve"> 833.</w:t>
      </w:r>
    </w:p>
    <w:p w14:paraId="28F8DA98" w14:textId="4132C8A5" w:rsidR="00F84CB8" w:rsidRDefault="00F84CB8" w:rsidP="006F5C85">
      <w:pPr>
        <w:spacing w:after="240"/>
        <w:rPr>
          <w:lang w:val="en-GB"/>
        </w:rPr>
      </w:pPr>
      <w:r w:rsidRPr="000C0F73">
        <w:rPr>
          <w:lang w:val="en-GB"/>
        </w:rPr>
        <w:t xml:space="preserve">Heydon, J. D. (1971) </w:t>
      </w:r>
      <w:r w:rsidRPr="000C0F73">
        <w:rPr>
          <w:i/>
          <w:iCs/>
          <w:lang w:val="en-GB"/>
        </w:rPr>
        <w:t>The Modern Law Review</w:t>
      </w:r>
      <w:r w:rsidRPr="000C0F73">
        <w:rPr>
          <w:lang w:val="en-GB"/>
        </w:rPr>
        <w:t xml:space="preserve">, vol. 34, no. 1, 1971, pp. 118–20. Available at: </w:t>
      </w:r>
      <w:hyperlink r:id="rId9" w:history="1">
        <w:r w:rsidRPr="008A7480">
          <w:t>http://www.jstor.org/stable/1094043</w:t>
        </w:r>
      </w:hyperlink>
      <w:r w:rsidRPr="000C0F73">
        <w:rPr>
          <w:lang w:val="en-GB"/>
        </w:rPr>
        <w:t xml:space="preserve"> (Accessed: 12 Mar 2024)</w:t>
      </w:r>
      <w:r w:rsidR="00256950" w:rsidRPr="000C0F73">
        <w:rPr>
          <w:lang w:val="en-GB"/>
        </w:rPr>
        <w:t>.</w:t>
      </w:r>
    </w:p>
    <w:p w14:paraId="7E966AA8" w14:textId="0C34C1EC" w:rsidR="00256950" w:rsidRPr="000C0F73" w:rsidRDefault="00256950" w:rsidP="006F5C85">
      <w:pPr>
        <w:spacing w:after="240"/>
        <w:rPr>
          <w:lang w:val="en-GB"/>
        </w:rPr>
      </w:pPr>
      <w:r w:rsidRPr="000C0F73">
        <w:rPr>
          <w:lang w:val="en-GB"/>
        </w:rPr>
        <w:t xml:space="preserve">McCauliff, C.M.A. (2012) “A THEME OF FAIRNESS REVISITED: LORD MANSFIELD’S LEGACY FOR A HOLISTIC THEORY OF CONTRACT TODAY,” </w:t>
      </w:r>
      <w:r w:rsidRPr="000C0F73">
        <w:rPr>
          <w:i/>
          <w:iCs/>
          <w:lang w:val="en-GB"/>
        </w:rPr>
        <w:t>Denning law journal</w:t>
      </w:r>
      <w:r w:rsidRPr="000C0F73">
        <w:rPr>
          <w:lang w:val="en-GB"/>
        </w:rPr>
        <w:t xml:space="preserve">, 15(1), pp. 67–91. Available at: </w:t>
      </w:r>
      <w:hyperlink r:id="rId10" w:history="1">
        <w:r w:rsidRPr="00203A57">
          <w:rPr>
            <w:rStyle w:val="Hyperlink"/>
            <w:color w:val="auto"/>
            <w:u w:val="none"/>
            <w:lang w:val="en-GB"/>
          </w:rPr>
          <w:t>https://doi.org/10.5750/dlj.v15i1.291</w:t>
        </w:r>
      </w:hyperlink>
      <w:r w:rsidRPr="00203A57">
        <w:rPr>
          <w:lang w:val="en-GB"/>
        </w:rPr>
        <w:t>.</w:t>
      </w:r>
    </w:p>
    <w:p w14:paraId="25A5CF21" w14:textId="553A8BFE" w:rsidR="00FD4497" w:rsidRPr="000C0F73" w:rsidRDefault="00FD4497" w:rsidP="006F5C85">
      <w:pPr>
        <w:spacing w:after="240"/>
        <w:rPr>
          <w:lang w:val="en-GB"/>
        </w:rPr>
      </w:pPr>
      <w:r w:rsidRPr="000C0F73">
        <w:rPr>
          <w:bdr w:val="none" w:sz="0" w:space="0" w:color="auto" w:frame="1"/>
          <w:shd w:val="clear" w:color="auto" w:fill="FFFFFF"/>
        </w:rPr>
        <w:t>‘New Zealand Shipping Co Ltd v AM Satterthwaite &amp; Co Ltd’ (</w:t>
      </w:r>
      <w:r w:rsidRPr="000C0F73">
        <w:rPr>
          <w:shd w:val="clear" w:color="auto" w:fill="FFFFFF"/>
        </w:rPr>
        <w:t xml:space="preserve">1975) </w:t>
      </w:r>
      <w:r w:rsidRPr="000C0F73">
        <w:rPr>
          <w:i/>
          <w:iCs/>
          <w:shd w:val="clear" w:color="auto" w:fill="FFFFFF"/>
        </w:rPr>
        <w:t>AC</w:t>
      </w:r>
      <w:r w:rsidRPr="000C0F73">
        <w:rPr>
          <w:shd w:val="clear" w:color="auto" w:fill="FFFFFF"/>
        </w:rPr>
        <w:t xml:space="preserve"> 154, (1974) 1 </w:t>
      </w:r>
      <w:r w:rsidRPr="000C0F73">
        <w:rPr>
          <w:i/>
          <w:iCs/>
          <w:shd w:val="clear" w:color="auto" w:fill="FFFFFF"/>
        </w:rPr>
        <w:t>All ER</w:t>
      </w:r>
      <w:r w:rsidRPr="000C0F73">
        <w:rPr>
          <w:shd w:val="clear" w:color="auto" w:fill="FFFFFF"/>
        </w:rPr>
        <w:t xml:space="preserve"> 1015, (1974) 2 </w:t>
      </w:r>
      <w:r w:rsidRPr="000C0F73">
        <w:rPr>
          <w:i/>
          <w:iCs/>
          <w:shd w:val="clear" w:color="auto" w:fill="FFFFFF"/>
        </w:rPr>
        <w:t>WLR</w:t>
      </w:r>
      <w:r w:rsidRPr="000C0F73">
        <w:rPr>
          <w:shd w:val="clear" w:color="auto" w:fill="FFFFFF"/>
        </w:rPr>
        <w:t xml:space="preserve"> 865, (1974) 1 </w:t>
      </w:r>
      <w:r w:rsidRPr="000C0F73">
        <w:rPr>
          <w:i/>
          <w:iCs/>
          <w:shd w:val="clear" w:color="auto" w:fill="FFFFFF"/>
        </w:rPr>
        <w:t>Lloyd's Rep</w:t>
      </w:r>
      <w:r w:rsidRPr="000C0F73">
        <w:rPr>
          <w:shd w:val="clear" w:color="auto" w:fill="FFFFFF"/>
        </w:rPr>
        <w:t xml:space="preserve"> 534, 118 </w:t>
      </w:r>
      <w:r w:rsidRPr="000C0F73">
        <w:rPr>
          <w:i/>
          <w:iCs/>
          <w:shd w:val="clear" w:color="auto" w:fill="FFFFFF"/>
        </w:rPr>
        <w:t>Sol Jo</w:t>
      </w:r>
      <w:r w:rsidRPr="000C0F73">
        <w:rPr>
          <w:shd w:val="clear" w:color="auto" w:fill="FFFFFF"/>
        </w:rPr>
        <w:t xml:space="preserve"> 387.</w:t>
      </w:r>
    </w:p>
    <w:p w14:paraId="60097CFC" w14:textId="670CC3C2" w:rsidR="00566372" w:rsidRPr="000C0F73" w:rsidRDefault="00566372" w:rsidP="006F5C85">
      <w:pPr>
        <w:spacing w:after="240"/>
        <w:rPr>
          <w:lang w:val="en-GB"/>
        </w:rPr>
      </w:pPr>
      <w:r w:rsidRPr="000C0F73">
        <w:rPr>
          <w:lang w:val="en-GB"/>
        </w:rPr>
        <w:t xml:space="preserve">‘Pinnel's Case’ (1601) 5 </w:t>
      </w:r>
      <w:r w:rsidRPr="000C0F73">
        <w:rPr>
          <w:i/>
          <w:iCs/>
          <w:lang w:val="en-GB"/>
        </w:rPr>
        <w:t>Co Rep</w:t>
      </w:r>
      <w:r w:rsidRPr="000C0F73">
        <w:rPr>
          <w:lang w:val="en-GB"/>
        </w:rPr>
        <w:t xml:space="preserve"> 117a, </w:t>
      </w:r>
      <w:r w:rsidRPr="000C0F73">
        <w:rPr>
          <w:i/>
          <w:iCs/>
          <w:lang w:val="en-GB"/>
        </w:rPr>
        <w:t>Moore KB</w:t>
      </w:r>
      <w:r w:rsidRPr="000C0F73">
        <w:rPr>
          <w:lang w:val="en-GB"/>
        </w:rPr>
        <w:t xml:space="preserve"> 677, 77 </w:t>
      </w:r>
      <w:r w:rsidRPr="000C0F73">
        <w:rPr>
          <w:i/>
          <w:iCs/>
          <w:lang w:val="en-GB"/>
        </w:rPr>
        <w:t>ER</w:t>
      </w:r>
      <w:r w:rsidRPr="000C0F73">
        <w:rPr>
          <w:lang w:val="en-GB"/>
        </w:rPr>
        <w:t xml:space="preserve"> 237, </w:t>
      </w:r>
      <w:r w:rsidRPr="000C0F73">
        <w:rPr>
          <w:i/>
          <w:iCs/>
          <w:lang w:val="en-GB"/>
        </w:rPr>
        <w:t>All ER Rep</w:t>
      </w:r>
      <w:r w:rsidRPr="000C0F73">
        <w:rPr>
          <w:lang w:val="en-GB"/>
        </w:rPr>
        <w:t xml:space="preserve"> 612.</w:t>
      </w:r>
    </w:p>
    <w:p w14:paraId="1908E1E3" w14:textId="77777777" w:rsidR="00C054B0" w:rsidRPr="000C0F73" w:rsidRDefault="00566372" w:rsidP="006F5C85">
      <w:pPr>
        <w:spacing w:after="240"/>
        <w:rPr>
          <w:lang w:val="en-GB"/>
        </w:rPr>
      </w:pPr>
      <w:r w:rsidRPr="000C0F73">
        <w:rPr>
          <w:lang w:val="en-GB"/>
        </w:rPr>
        <w:t xml:space="preserve">‘Roscorla v Thomas’ (1842) 3 </w:t>
      </w:r>
      <w:r w:rsidRPr="000C0F73">
        <w:rPr>
          <w:i/>
          <w:iCs/>
          <w:lang w:val="en-GB"/>
        </w:rPr>
        <w:t>QB</w:t>
      </w:r>
      <w:r w:rsidRPr="000C0F73">
        <w:rPr>
          <w:lang w:val="en-GB"/>
        </w:rPr>
        <w:t xml:space="preserve"> 234, 11 </w:t>
      </w:r>
      <w:r w:rsidRPr="000C0F73">
        <w:rPr>
          <w:i/>
          <w:iCs/>
          <w:lang w:val="en-GB"/>
        </w:rPr>
        <w:t>LJQB</w:t>
      </w:r>
      <w:r w:rsidRPr="000C0F73">
        <w:rPr>
          <w:lang w:val="en-GB"/>
        </w:rPr>
        <w:t xml:space="preserve"> 214, 2 </w:t>
      </w:r>
      <w:r w:rsidRPr="000C0F73">
        <w:rPr>
          <w:i/>
          <w:iCs/>
          <w:lang w:val="en-GB"/>
        </w:rPr>
        <w:t>Gal &amp; 2 Gal &amp; Dav</w:t>
      </w:r>
      <w:r w:rsidRPr="000C0F73">
        <w:rPr>
          <w:lang w:val="en-GB"/>
        </w:rPr>
        <w:t xml:space="preserve"> 508, 6 </w:t>
      </w:r>
      <w:r w:rsidRPr="000C0F73">
        <w:rPr>
          <w:i/>
          <w:iCs/>
          <w:lang w:val="en-GB"/>
        </w:rPr>
        <w:t>Jur</w:t>
      </w:r>
      <w:r w:rsidRPr="000C0F73">
        <w:rPr>
          <w:lang w:val="en-GB"/>
        </w:rPr>
        <w:t xml:space="preserve"> 929, 114 </w:t>
      </w:r>
      <w:r w:rsidRPr="000C0F73">
        <w:rPr>
          <w:i/>
          <w:iCs/>
          <w:lang w:val="en-GB"/>
        </w:rPr>
        <w:t>ER</w:t>
      </w:r>
      <w:r w:rsidRPr="000C0F73">
        <w:rPr>
          <w:lang w:val="en-GB"/>
        </w:rPr>
        <w:t xml:space="preserve"> 496.</w:t>
      </w:r>
    </w:p>
    <w:p w14:paraId="17060F75" w14:textId="5B564E5B" w:rsidR="00566372" w:rsidRDefault="00566372" w:rsidP="006F5C85">
      <w:pPr>
        <w:spacing w:after="240"/>
        <w:rPr>
          <w:lang w:val="en-GB"/>
        </w:rPr>
      </w:pPr>
      <w:r w:rsidRPr="000C0F73">
        <w:rPr>
          <w:lang w:val="en-GB"/>
        </w:rPr>
        <w:t xml:space="preserve">‘Selectmove Ltd, Re’ (1995) 2 </w:t>
      </w:r>
      <w:r w:rsidRPr="000C0F73">
        <w:rPr>
          <w:i/>
          <w:iCs/>
          <w:lang w:val="en-GB"/>
        </w:rPr>
        <w:t>All ER</w:t>
      </w:r>
      <w:r w:rsidRPr="000C0F73">
        <w:rPr>
          <w:lang w:val="en-GB"/>
        </w:rPr>
        <w:t xml:space="preserve"> 531, 1 </w:t>
      </w:r>
      <w:r w:rsidRPr="000C0F73">
        <w:rPr>
          <w:i/>
          <w:iCs/>
          <w:lang w:val="en-GB"/>
        </w:rPr>
        <w:t>WLR</w:t>
      </w:r>
      <w:r w:rsidRPr="000C0F73">
        <w:rPr>
          <w:lang w:val="en-GB"/>
        </w:rPr>
        <w:t xml:space="preserve"> 474, </w:t>
      </w:r>
      <w:r w:rsidRPr="000C0F73">
        <w:rPr>
          <w:i/>
          <w:iCs/>
          <w:lang w:val="en-GB"/>
        </w:rPr>
        <w:t>STC</w:t>
      </w:r>
      <w:r w:rsidRPr="000C0F73">
        <w:rPr>
          <w:lang w:val="en-GB"/>
        </w:rPr>
        <w:t xml:space="preserve"> 406, 66 </w:t>
      </w:r>
      <w:r w:rsidRPr="000C0F73">
        <w:rPr>
          <w:i/>
          <w:iCs/>
          <w:lang w:val="en-GB"/>
        </w:rPr>
        <w:t>TC</w:t>
      </w:r>
      <w:r w:rsidRPr="000C0F73">
        <w:rPr>
          <w:lang w:val="en-GB"/>
        </w:rPr>
        <w:t xml:space="preserve"> 552, </w:t>
      </w:r>
      <w:r w:rsidRPr="000C0F73">
        <w:rPr>
          <w:i/>
          <w:iCs/>
          <w:lang w:val="en-GB"/>
        </w:rPr>
        <w:t>(1994)</w:t>
      </w:r>
      <w:r w:rsidRPr="000C0F73">
        <w:rPr>
          <w:lang w:val="en-GB"/>
        </w:rPr>
        <w:t xml:space="preserve"> </w:t>
      </w:r>
      <w:r w:rsidRPr="000C0F73">
        <w:rPr>
          <w:i/>
          <w:iCs/>
          <w:lang w:val="en-GB"/>
        </w:rPr>
        <w:t>Times</w:t>
      </w:r>
      <w:r w:rsidRPr="000C0F73">
        <w:rPr>
          <w:lang w:val="en-GB"/>
        </w:rPr>
        <w:t>, 13 January.</w:t>
      </w:r>
    </w:p>
    <w:p w14:paraId="4F7E233C" w14:textId="077A8D41" w:rsidR="00BD18FB" w:rsidRPr="000C0F73" w:rsidRDefault="00BD18FB" w:rsidP="006F5C85">
      <w:pPr>
        <w:spacing w:after="240"/>
        <w:rPr>
          <w:lang w:val="en-GB"/>
        </w:rPr>
      </w:pPr>
      <w:r>
        <w:rPr>
          <w:lang w:val="en-GB"/>
        </w:rPr>
        <w:t>‘</w:t>
      </w:r>
      <w:r w:rsidRPr="00BD18FB">
        <w:rPr>
          <w:lang w:val="en-GB"/>
        </w:rPr>
        <w:t>Shadwell v Shadwell</w:t>
      </w:r>
      <w:r>
        <w:rPr>
          <w:lang w:val="en-GB"/>
        </w:rPr>
        <w:t>’</w:t>
      </w:r>
      <w:r w:rsidRPr="00BD18FB">
        <w:rPr>
          <w:lang w:val="en-GB"/>
        </w:rPr>
        <w:t xml:space="preserve"> (1859) 6 </w:t>
      </w:r>
      <w:r w:rsidRPr="00BD18FB">
        <w:rPr>
          <w:i/>
          <w:iCs/>
          <w:lang w:val="en-GB"/>
        </w:rPr>
        <w:t>CBNS</w:t>
      </w:r>
      <w:r w:rsidRPr="00BD18FB">
        <w:rPr>
          <w:lang w:val="en-GB"/>
        </w:rPr>
        <w:t xml:space="preserve"> 679, 28 </w:t>
      </w:r>
      <w:r w:rsidRPr="00BD18FB">
        <w:rPr>
          <w:i/>
          <w:iCs/>
          <w:lang w:val="en-GB"/>
        </w:rPr>
        <w:t>LJCP</w:t>
      </w:r>
      <w:r w:rsidRPr="00BD18FB">
        <w:rPr>
          <w:lang w:val="en-GB"/>
        </w:rPr>
        <w:t xml:space="preserve"> 315, 5 </w:t>
      </w:r>
      <w:r w:rsidRPr="00BD18FB">
        <w:rPr>
          <w:i/>
          <w:iCs/>
          <w:lang w:val="en-GB"/>
        </w:rPr>
        <w:t>Jur NS</w:t>
      </w:r>
      <w:r w:rsidRPr="00BD18FB">
        <w:rPr>
          <w:lang w:val="en-GB"/>
        </w:rPr>
        <w:t xml:space="preserve"> 1410, 141 </w:t>
      </w:r>
      <w:r w:rsidRPr="00BD18FB">
        <w:rPr>
          <w:i/>
          <w:iCs/>
          <w:lang w:val="en-GB"/>
        </w:rPr>
        <w:t>ER</w:t>
      </w:r>
      <w:r w:rsidRPr="00BD18FB">
        <w:rPr>
          <w:lang w:val="en-GB"/>
        </w:rPr>
        <w:t xml:space="preserve"> 618</w:t>
      </w:r>
      <w:r>
        <w:rPr>
          <w:lang w:val="en-GB"/>
        </w:rPr>
        <w:t>.</w:t>
      </w:r>
    </w:p>
    <w:p w14:paraId="18C3DB03" w14:textId="77777777" w:rsidR="00635E30" w:rsidRPr="000C0F73" w:rsidRDefault="00635E30" w:rsidP="006F5C85">
      <w:pPr>
        <w:spacing w:after="240"/>
        <w:rPr>
          <w:lang w:val="en-GB"/>
        </w:rPr>
      </w:pPr>
      <w:r w:rsidRPr="000C0F73">
        <w:rPr>
          <w:lang w:val="en-GB"/>
        </w:rPr>
        <w:t xml:space="preserve">‘Stilk v Myrick’ (1809) 2 </w:t>
      </w:r>
      <w:r w:rsidRPr="000C0F73">
        <w:rPr>
          <w:i/>
          <w:iCs/>
          <w:lang w:val="en-GB"/>
        </w:rPr>
        <w:t>Camp</w:t>
      </w:r>
      <w:r w:rsidRPr="000C0F73">
        <w:rPr>
          <w:lang w:val="en-GB"/>
        </w:rPr>
        <w:t xml:space="preserve"> 317, 6 </w:t>
      </w:r>
      <w:r w:rsidRPr="000C0F73">
        <w:rPr>
          <w:i/>
          <w:iCs/>
          <w:lang w:val="en-GB"/>
        </w:rPr>
        <w:t>Esp</w:t>
      </w:r>
      <w:r w:rsidRPr="000C0F73">
        <w:rPr>
          <w:lang w:val="en-GB"/>
        </w:rPr>
        <w:t xml:space="preserve"> 129, 170 </w:t>
      </w:r>
      <w:r w:rsidRPr="000C0F73">
        <w:rPr>
          <w:i/>
          <w:iCs/>
          <w:lang w:val="en-GB"/>
        </w:rPr>
        <w:t>ER</w:t>
      </w:r>
      <w:r w:rsidRPr="000C0F73">
        <w:rPr>
          <w:lang w:val="en-GB"/>
        </w:rPr>
        <w:t xml:space="preserve"> 1168, 170 </w:t>
      </w:r>
      <w:r w:rsidRPr="000C0F73">
        <w:rPr>
          <w:i/>
          <w:iCs/>
          <w:lang w:val="en-GB"/>
        </w:rPr>
        <w:t>ER</w:t>
      </w:r>
      <w:r w:rsidRPr="000C0F73">
        <w:rPr>
          <w:lang w:val="en-GB"/>
        </w:rPr>
        <w:t xml:space="preserve"> 851.</w:t>
      </w:r>
    </w:p>
    <w:p w14:paraId="72B2D1A0" w14:textId="75921B94" w:rsidR="00635E30" w:rsidRPr="000C0F73" w:rsidRDefault="00635E30" w:rsidP="006F5C85">
      <w:pPr>
        <w:spacing w:after="240"/>
        <w:rPr>
          <w:lang w:val="en-GB"/>
        </w:rPr>
      </w:pPr>
      <w:r w:rsidRPr="000C0F73">
        <w:rPr>
          <w:lang w:val="en-GB"/>
        </w:rPr>
        <w:t xml:space="preserve">‘Thomas v Thomas’ (1947) </w:t>
      </w:r>
      <w:r w:rsidRPr="000C0F73">
        <w:rPr>
          <w:i/>
          <w:iCs/>
          <w:lang w:val="en-GB"/>
        </w:rPr>
        <w:t>AC</w:t>
      </w:r>
      <w:r w:rsidRPr="000C0F73">
        <w:rPr>
          <w:lang w:val="en-GB"/>
        </w:rPr>
        <w:t xml:space="preserve"> 484, 1 </w:t>
      </w:r>
      <w:r w:rsidRPr="000C0F73">
        <w:rPr>
          <w:i/>
          <w:iCs/>
          <w:lang w:val="en-GB"/>
        </w:rPr>
        <w:t>All ER</w:t>
      </w:r>
      <w:r w:rsidRPr="000C0F73">
        <w:rPr>
          <w:lang w:val="en-GB"/>
        </w:rPr>
        <w:t xml:space="preserve"> 582, </w:t>
      </w:r>
      <w:r w:rsidRPr="000C0F73">
        <w:rPr>
          <w:i/>
          <w:iCs/>
          <w:lang w:val="en-GB"/>
        </w:rPr>
        <w:t>LJR</w:t>
      </w:r>
      <w:r w:rsidRPr="000C0F73">
        <w:rPr>
          <w:lang w:val="en-GB"/>
        </w:rPr>
        <w:t xml:space="preserve"> 515, 176 </w:t>
      </w:r>
      <w:r w:rsidRPr="000C0F73">
        <w:rPr>
          <w:i/>
          <w:iCs/>
          <w:lang w:val="en-GB"/>
        </w:rPr>
        <w:t>LT</w:t>
      </w:r>
      <w:r w:rsidRPr="000C0F73">
        <w:rPr>
          <w:lang w:val="en-GB"/>
        </w:rPr>
        <w:t xml:space="preserve"> 498, 63 </w:t>
      </w:r>
      <w:r w:rsidRPr="000C0F73">
        <w:rPr>
          <w:i/>
          <w:iCs/>
          <w:lang w:val="en-GB"/>
        </w:rPr>
        <w:t>TLR</w:t>
      </w:r>
      <w:r w:rsidRPr="000C0F73">
        <w:rPr>
          <w:lang w:val="en-GB"/>
        </w:rPr>
        <w:t xml:space="preserve"> 314, 1947 </w:t>
      </w:r>
      <w:r w:rsidRPr="000C0F73">
        <w:rPr>
          <w:i/>
          <w:iCs/>
          <w:lang w:val="en-GB"/>
        </w:rPr>
        <w:t>SC</w:t>
      </w:r>
      <w:r w:rsidRPr="000C0F73">
        <w:rPr>
          <w:lang w:val="en-GB"/>
        </w:rPr>
        <w:t xml:space="preserve"> 45, 1947 </w:t>
      </w:r>
      <w:r w:rsidRPr="000C0F73">
        <w:rPr>
          <w:i/>
          <w:iCs/>
          <w:lang w:val="en-GB"/>
        </w:rPr>
        <w:t>SC (HL)</w:t>
      </w:r>
      <w:r w:rsidRPr="000C0F73">
        <w:rPr>
          <w:lang w:val="en-GB"/>
        </w:rPr>
        <w:t xml:space="preserve"> 45, 1948 </w:t>
      </w:r>
      <w:r w:rsidRPr="000C0F73">
        <w:rPr>
          <w:i/>
          <w:iCs/>
          <w:lang w:val="en-GB"/>
        </w:rPr>
        <w:t>SLT</w:t>
      </w:r>
      <w:r w:rsidRPr="000C0F73">
        <w:rPr>
          <w:lang w:val="en-GB"/>
        </w:rPr>
        <w:t xml:space="preserve"> 2, 1947 </w:t>
      </w:r>
      <w:r w:rsidRPr="000C0F73">
        <w:rPr>
          <w:i/>
          <w:iCs/>
          <w:lang w:val="en-GB"/>
        </w:rPr>
        <w:t>SN</w:t>
      </w:r>
      <w:r w:rsidRPr="000C0F73">
        <w:rPr>
          <w:lang w:val="en-GB"/>
        </w:rPr>
        <w:t xml:space="preserve"> 83.</w:t>
      </w:r>
    </w:p>
    <w:p w14:paraId="63186B39" w14:textId="59442E0C" w:rsidR="00145D95" w:rsidRPr="000C0F73" w:rsidRDefault="00635E30" w:rsidP="006F5C85">
      <w:pPr>
        <w:spacing w:after="240"/>
        <w:rPr>
          <w:lang w:val="en-GB"/>
        </w:rPr>
      </w:pPr>
      <w:r w:rsidRPr="000C0F73">
        <w:rPr>
          <w:lang w:val="en-GB"/>
        </w:rPr>
        <w:t xml:space="preserve">‘Tweddle v Atkinson’ (1861) 25 </w:t>
      </w:r>
      <w:r w:rsidRPr="000C0F73">
        <w:rPr>
          <w:i/>
          <w:iCs/>
          <w:lang w:val="en-GB"/>
        </w:rPr>
        <w:t>JP</w:t>
      </w:r>
      <w:r w:rsidRPr="000C0F73">
        <w:rPr>
          <w:lang w:val="en-GB"/>
        </w:rPr>
        <w:t xml:space="preserve"> 517, 1 </w:t>
      </w:r>
      <w:r w:rsidRPr="000C0F73">
        <w:rPr>
          <w:i/>
          <w:iCs/>
          <w:lang w:val="en-GB"/>
        </w:rPr>
        <w:t>B &amp; S</w:t>
      </w:r>
      <w:r w:rsidRPr="000C0F73">
        <w:rPr>
          <w:lang w:val="en-GB"/>
        </w:rPr>
        <w:t xml:space="preserve"> 393, 30 </w:t>
      </w:r>
      <w:r w:rsidRPr="000C0F73">
        <w:rPr>
          <w:i/>
          <w:iCs/>
          <w:lang w:val="en-GB"/>
        </w:rPr>
        <w:t>LJQB</w:t>
      </w:r>
      <w:r w:rsidRPr="000C0F73">
        <w:rPr>
          <w:lang w:val="en-GB"/>
        </w:rPr>
        <w:t xml:space="preserve"> 265, 8 </w:t>
      </w:r>
      <w:r w:rsidRPr="000C0F73">
        <w:rPr>
          <w:i/>
          <w:iCs/>
          <w:lang w:val="en-GB"/>
        </w:rPr>
        <w:t>Jur NS</w:t>
      </w:r>
      <w:r w:rsidRPr="000C0F73">
        <w:rPr>
          <w:lang w:val="en-GB"/>
        </w:rPr>
        <w:t xml:space="preserve"> 332, 9 </w:t>
      </w:r>
      <w:r w:rsidRPr="000C0F73">
        <w:rPr>
          <w:i/>
          <w:iCs/>
          <w:lang w:val="en-GB"/>
        </w:rPr>
        <w:t>WR</w:t>
      </w:r>
      <w:r w:rsidRPr="000C0F73">
        <w:rPr>
          <w:lang w:val="en-GB"/>
        </w:rPr>
        <w:t xml:space="preserve"> 781, 121 </w:t>
      </w:r>
      <w:r w:rsidRPr="000C0F73">
        <w:rPr>
          <w:i/>
          <w:iCs/>
          <w:lang w:val="en-GB"/>
        </w:rPr>
        <w:t>ER</w:t>
      </w:r>
      <w:r w:rsidRPr="000C0F73">
        <w:rPr>
          <w:lang w:val="en-GB"/>
        </w:rPr>
        <w:t xml:space="preserve"> 762, </w:t>
      </w:r>
      <w:r w:rsidRPr="000C0F73">
        <w:rPr>
          <w:i/>
          <w:iCs/>
          <w:lang w:val="en-GB"/>
        </w:rPr>
        <w:t>All ER Rep</w:t>
      </w:r>
      <w:r w:rsidRPr="000C0F73">
        <w:rPr>
          <w:lang w:val="en-GB"/>
        </w:rPr>
        <w:t xml:space="preserve"> 369, 4 </w:t>
      </w:r>
      <w:r w:rsidRPr="000C0F73">
        <w:rPr>
          <w:i/>
          <w:iCs/>
          <w:lang w:val="en-GB"/>
        </w:rPr>
        <w:t>LT</w:t>
      </w:r>
      <w:r w:rsidRPr="000C0F73">
        <w:rPr>
          <w:lang w:val="en-GB"/>
        </w:rPr>
        <w:t xml:space="preserve"> 468.</w:t>
      </w:r>
    </w:p>
    <w:p w14:paraId="36ABCF34" w14:textId="100CE201" w:rsidR="00F3214E" w:rsidRPr="000C0F73" w:rsidRDefault="00F3214E" w:rsidP="006F5C85">
      <w:pPr>
        <w:spacing w:after="240"/>
        <w:rPr>
          <w:lang w:val="en-GB"/>
        </w:rPr>
      </w:pPr>
      <w:r w:rsidRPr="000C0F73">
        <w:rPr>
          <w:lang w:val="en-GB"/>
        </w:rPr>
        <w:t xml:space="preserve">‘Ward v Byham’ (1956) 2 </w:t>
      </w:r>
      <w:r w:rsidRPr="000C0F73">
        <w:rPr>
          <w:i/>
          <w:iCs/>
          <w:lang w:val="en-GB"/>
        </w:rPr>
        <w:t>All ER</w:t>
      </w:r>
      <w:r w:rsidRPr="000C0F73">
        <w:rPr>
          <w:lang w:val="en-GB"/>
        </w:rPr>
        <w:t xml:space="preserve"> 318, (1956) 1 </w:t>
      </w:r>
      <w:r w:rsidRPr="000C0F73">
        <w:rPr>
          <w:i/>
          <w:iCs/>
          <w:lang w:val="en-GB"/>
        </w:rPr>
        <w:t>WLR</w:t>
      </w:r>
      <w:r w:rsidRPr="000C0F73">
        <w:rPr>
          <w:lang w:val="en-GB"/>
        </w:rPr>
        <w:t xml:space="preserve"> 496, 100 </w:t>
      </w:r>
      <w:r w:rsidRPr="000C0F73">
        <w:rPr>
          <w:i/>
          <w:iCs/>
          <w:lang w:val="en-GB"/>
        </w:rPr>
        <w:t>Sol Jo</w:t>
      </w:r>
      <w:r w:rsidRPr="000C0F73">
        <w:rPr>
          <w:lang w:val="en-GB"/>
        </w:rPr>
        <w:t xml:space="preserve"> 341.</w:t>
      </w:r>
    </w:p>
    <w:p w14:paraId="3985489D" w14:textId="5511356A" w:rsidR="00635E30" w:rsidRPr="000C0F73" w:rsidRDefault="00635E30" w:rsidP="006F5C85">
      <w:pPr>
        <w:spacing w:after="240"/>
        <w:rPr>
          <w:lang w:val="en-GB"/>
        </w:rPr>
      </w:pPr>
      <w:r w:rsidRPr="000C0F73">
        <w:rPr>
          <w:lang w:val="en-GB"/>
        </w:rPr>
        <w:t>‘White v Bluett’ (1853) 23 LJ Ex 36, 2 WR 75, 2 CLR 301, 22 LTOS 123.</w:t>
      </w:r>
    </w:p>
    <w:p w14:paraId="699C6ED3" w14:textId="6E308C36" w:rsidR="00635E30" w:rsidRPr="000C0F73" w:rsidRDefault="00635E30" w:rsidP="006F5C85">
      <w:pPr>
        <w:spacing w:after="240"/>
        <w:rPr>
          <w:lang w:val="en-GB"/>
        </w:rPr>
      </w:pPr>
      <w:r w:rsidRPr="000C0F73">
        <w:rPr>
          <w:lang w:val="en-GB"/>
        </w:rPr>
        <w:t xml:space="preserve">‘Williams v Roffey Bros &amp; Nicholls (Contractors) Ltd’ (1991) 1 </w:t>
      </w:r>
      <w:r w:rsidRPr="000C0F73">
        <w:rPr>
          <w:i/>
          <w:iCs/>
          <w:lang w:val="en-GB"/>
        </w:rPr>
        <w:t>QB</w:t>
      </w:r>
      <w:r w:rsidRPr="000C0F73">
        <w:rPr>
          <w:lang w:val="en-GB"/>
        </w:rPr>
        <w:t xml:space="preserve"> 1, 1 </w:t>
      </w:r>
      <w:r w:rsidRPr="000C0F73">
        <w:rPr>
          <w:i/>
          <w:iCs/>
          <w:lang w:val="en-GB"/>
        </w:rPr>
        <w:t>All ER</w:t>
      </w:r>
      <w:r w:rsidRPr="000C0F73">
        <w:rPr>
          <w:lang w:val="en-GB"/>
        </w:rPr>
        <w:t xml:space="preserve"> 512, (1990) 2 </w:t>
      </w:r>
      <w:r w:rsidRPr="000C0F73">
        <w:rPr>
          <w:i/>
          <w:iCs/>
          <w:lang w:val="en-GB"/>
        </w:rPr>
        <w:t>WLR</w:t>
      </w:r>
      <w:r w:rsidRPr="000C0F73">
        <w:rPr>
          <w:lang w:val="en-GB"/>
        </w:rPr>
        <w:t xml:space="preserve"> 1153, (1991) </w:t>
      </w:r>
      <w:r w:rsidRPr="000C0F73">
        <w:rPr>
          <w:i/>
          <w:iCs/>
          <w:lang w:val="en-GB"/>
        </w:rPr>
        <w:t>LRC</w:t>
      </w:r>
      <w:r w:rsidRPr="000C0F73">
        <w:rPr>
          <w:lang w:val="en-GB"/>
        </w:rPr>
        <w:t xml:space="preserve"> (Comm) 184, (1989) </w:t>
      </w:r>
      <w:r w:rsidRPr="000C0F73">
        <w:rPr>
          <w:i/>
          <w:iCs/>
          <w:lang w:val="en-GB"/>
        </w:rPr>
        <w:t>Times</w:t>
      </w:r>
      <w:r w:rsidRPr="000C0F73">
        <w:rPr>
          <w:lang w:val="en-GB"/>
        </w:rPr>
        <w:t xml:space="preserve">, 8 December, (1990) 12 </w:t>
      </w:r>
      <w:r w:rsidRPr="000C0F73">
        <w:rPr>
          <w:i/>
          <w:iCs/>
          <w:lang w:val="en-GB"/>
        </w:rPr>
        <w:t>LS Gaz R</w:t>
      </w:r>
      <w:r w:rsidRPr="000C0F73">
        <w:rPr>
          <w:lang w:val="en-GB"/>
        </w:rPr>
        <w:t xml:space="preserve"> 36, (1989) </w:t>
      </w:r>
      <w:r w:rsidRPr="000C0F73">
        <w:rPr>
          <w:i/>
          <w:iCs/>
          <w:lang w:val="en-GB"/>
        </w:rPr>
        <w:t>NLJR</w:t>
      </w:r>
      <w:r w:rsidRPr="000C0F73">
        <w:rPr>
          <w:lang w:val="en-GB"/>
        </w:rPr>
        <w:t xml:space="preserve"> 1712, 48 </w:t>
      </w:r>
      <w:r w:rsidRPr="000C0F73">
        <w:rPr>
          <w:i/>
          <w:iCs/>
          <w:lang w:val="en-GB"/>
        </w:rPr>
        <w:t>BLR</w:t>
      </w:r>
      <w:r w:rsidRPr="000C0F73">
        <w:rPr>
          <w:lang w:val="en-GB"/>
        </w:rPr>
        <w:t xml:space="preserve"> 75.</w:t>
      </w:r>
    </w:p>
    <w:p w14:paraId="6AC94D25" w14:textId="04B6886D" w:rsidR="00145D95" w:rsidRPr="00203A57" w:rsidRDefault="00145D95" w:rsidP="006F5C85">
      <w:pPr>
        <w:spacing w:after="240"/>
        <w:rPr>
          <w:lang w:val="en-GB"/>
        </w:rPr>
      </w:pPr>
      <w:r w:rsidRPr="000C0F73">
        <w:rPr>
          <w:lang w:val="en-GB"/>
        </w:rPr>
        <w:lastRenderedPageBreak/>
        <w:t>Wright</w:t>
      </w:r>
      <w:r w:rsidR="00654CFD" w:rsidRPr="000C0F73">
        <w:rPr>
          <w:lang w:val="en-GB"/>
        </w:rPr>
        <w:t>, L.</w:t>
      </w:r>
      <w:r w:rsidRPr="000C0F73">
        <w:rPr>
          <w:lang w:val="en-GB"/>
        </w:rPr>
        <w:t xml:space="preserve"> </w:t>
      </w:r>
      <w:r w:rsidR="00604C13" w:rsidRPr="000C0F73">
        <w:rPr>
          <w:lang w:val="en-GB"/>
        </w:rPr>
        <w:t xml:space="preserve">(1936) </w:t>
      </w:r>
      <w:r w:rsidRPr="000C0F73">
        <w:rPr>
          <w:lang w:val="en-GB"/>
        </w:rPr>
        <w:t xml:space="preserve">“Ought the Doctrine of Consideration to Be Abolished from the Common Law?” </w:t>
      </w:r>
      <w:r w:rsidRPr="000C0F73">
        <w:rPr>
          <w:i/>
          <w:iCs/>
          <w:lang w:val="en-GB"/>
        </w:rPr>
        <w:t>Harvard Law Review</w:t>
      </w:r>
      <w:r w:rsidRPr="000C0F73">
        <w:rPr>
          <w:lang w:val="en-GB"/>
        </w:rPr>
        <w:t xml:space="preserve">, vol. 49, no. 8, 1936, pp. 1225–53. Available at: </w:t>
      </w:r>
      <w:hyperlink r:id="rId11" w:history="1">
        <w:r w:rsidRPr="00203A57">
          <w:rPr>
            <w:rStyle w:val="Hyperlink"/>
            <w:color w:val="auto"/>
            <w:u w:val="none"/>
            <w:lang w:val="en-GB"/>
          </w:rPr>
          <w:t>https://doi.org/10.2307/1333022</w:t>
        </w:r>
      </w:hyperlink>
      <w:r w:rsidR="00256950" w:rsidRPr="00203A57">
        <w:rPr>
          <w:lang w:val="en-GB"/>
        </w:rPr>
        <w:t>.</w:t>
      </w:r>
    </w:p>
    <w:sectPr w:rsidR="00145D95" w:rsidRPr="00203A5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D9C07" w14:textId="77777777" w:rsidR="00855182" w:rsidRDefault="00855182" w:rsidP="0024226A">
      <w:pPr>
        <w:spacing w:after="0" w:line="240" w:lineRule="auto"/>
      </w:pPr>
      <w:r>
        <w:separator/>
      </w:r>
    </w:p>
  </w:endnote>
  <w:endnote w:type="continuationSeparator" w:id="0">
    <w:p w14:paraId="0B4C4A0C" w14:textId="77777777" w:rsidR="00855182" w:rsidRDefault="00855182" w:rsidP="00242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FFB68" w14:textId="77777777" w:rsidR="00855182" w:rsidRDefault="00855182" w:rsidP="0024226A">
      <w:pPr>
        <w:spacing w:after="0" w:line="240" w:lineRule="auto"/>
      </w:pPr>
      <w:r>
        <w:separator/>
      </w:r>
    </w:p>
  </w:footnote>
  <w:footnote w:type="continuationSeparator" w:id="0">
    <w:p w14:paraId="27B914B1" w14:textId="77777777" w:rsidR="00855182" w:rsidRDefault="00855182" w:rsidP="002422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060"/>
    <w:rsid w:val="00033141"/>
    <w:rsid w:val="00037409"/>
    <w:rsid w:val="000A7850"/>
    <w:rsid w:val="000C0F73"/>
    <w:rsid w:val="000D5B53"/>
    <w:rsid w:val="00124019"/>
    <w:rsid w:val="00127E67"/>
    <w:rsid w:val="00141028"/>
    <w:rsid w:val="00145D95"/>
    <w:rsid w:val="00145DB9"/>
    <w:rsid w:val="001516EC"/>
    <w:rsid w:val="001532F4"/>
    <w:rsid w:val="0016497B"/>
    <w:rsid w:val="00176C3D"/>
    <w:rsid w:val="00182187"/>
    <w:rsid w:val="001A425E"/>
    <w:rsid w:val="001A548F"/>
    <w:rsid w:val="001A68DE"/>
    <w:rsid w:val="001C11FA"/>
    <w:rsid w:val="001C26A4"/>
    <w:rsid w:val="001E7075"/>
    <w:rsid w:val="00203A57"/>
    <w:rsid w:val="00203B42"/>
    <w:rsid w:val="002379BA"/>
    <w:rsid w:val="0024226A"/>
    <w:rsid w:val="0025483D"/>
    <w:rsid w:val="0025660A"/>
    <w:rsid w:val="00256950"/>
    <w:rsid w:val="00262152"/>
    <w:rsid w:val="002667BB"/>
    <w:rsid w:val="002A24BB"/>
    <w:rsid w:val="002A5A4B"/>
    <w:rsid w:val="002C7ACF"/>
    <w:rsid w:val="002D3106"/>
    <w:rsid w:val="002E6F62"/>
    <w:rsid w:val="0031475B"/>
    <w:rsid w:val="00321CEE"/>
    <w:rsid w:val="003310EF"/>
    <w:rsid w:val="00365BAE"/>
    <w:rsid w:val="00380350"/>
    <w:rsid w:val="00384DE2"/>
    <w:rsid w:val="003C6825"/>
    <w:rsid w:val="003E7B9F"/>
    <w:rsid w:val="0040598D"/>
    <w:rsid w:val="00412F16"/>
    <w:rsid w:val="00434779"/>
    <w:rsid w:val="004643D9"/>
    <w:rsid w:val="004760BB"/>
    <w:rsid w:val="004A0514"/>
    <w:rsid w:val="004A66AF"/>
    <w:rsid w:val="004B09F7"/>
    <w:rsid w:val="004B3F18"/>
    <w:rsid w:val="004B5203"/>
    <w:rsid w:val="004C5F2E"/>
    <w:rsid w:val="004D0A37"/>
    <w:rsid w:val="004D1BE3"/>
    <w:rsid w:val="004E3E91"/>
    <w:rsid w:val="004E6BCA"/>
    <w:rsid w:val="004F0EB4"/>
    <w:rsid w:val="004F6484"/>
    <w:rsid w:val="00515B0D"/>
    <w:rsid w:val="00517092"/>
    <w:rsid w:val="00517908"/>
    <w:rsid w:val="005312FA"/>
    <w:rsid w:val="0054259F"/>
    <w:rsid w:val="005512B8"/>
    <w:rsid w:val="005527EA"/>
    <w:rsid w:val="00566372"/>
    <w:rsid w:val="0058661E"/>
    <w:rsid w:val="005A045F"/>
    <w:rsid w:val="005B10F2"/>
    <w:rsid w:val="005C2BDD"/>
    <w:rsid w:val="005C5BBE"/>
    <w:rsid w:val="005C6D3E"/>
    <w:rsid w:val="005E00E9"/>
    <w:rsid w:val="00604C13"/>
    <w:rsid w:val="00624782"/>
    <w:rsid w:val="00624F37"/>
    <w:rsid w:val="00630CD5"/>
    <w:rsid w:val="00635E30"/>
    <w:rsid w:val="00654CFD"/>
    <w:rsid w:val="0065543F"/>
    <w:rsid w:val="00664D6D"/>
    <w:rsid w:val="00673C54"/>
    <w:rsid w:val="006860C9"/>
    <w:rsid w:val="006C49B6"/>
    <w:rsid w:val="006D59F6"/>
    <w:rsid w:val="006D788B"/>
    <w:rsid w:val="006F5C85"/>
    <w:rsid w:val="00737BD5"/>
    <w:rsid w:val="00741F3D"/>
    <w:rsid w:val="00745D65"/>
    <w:rsid w:val="00747872"/>
    <w:rsid w:val="0075178B"/>
    <w:rsid w:val="00762639"/>
    <w:rsid w:val="00765988"/>
    <w:rsid w:val="00767E27"/>
    <w:rsid w:val="00774641"/>
    <w:rsid w:val="00790F11"/>
    <w:rsid w:val="007A3752"/>
    <w:rsid w:val="007B2565"/>
    <w:rsid w:val="007E0AAA"/>
    <w:rsid w:val="007E66DF"/>
    <w:rsid w:val="007E738C"/>
    <w:rsid w:val="00803AE3"/>
    <w:rsid w:val="0082101B"/>
    <w:rsid w:val="0083284E"/>
    <w:rsid w:val="008358DD"/>
    <w:rsid w:val="00835F7D"/>
    <w:rsid w:val="00836BBB"/>
    <w:rsid w:val="00850EAD"/>
    <w:rsid w:val="00852D1B"/>
    <w:rsid w:val="00853FA8"/>
    <w:rsid w:val="00855182"/>
    <w:rsid w:val="00871E99"/>
    <w:rsid w:val="008A2C72"/>
    <w:rsid w:val="008A3FA8"/>
    <w:rsid w:val="008A52A7"/>
    <w:rsid w:val="008A7480"/>
    <w:rsid w:val="008B077B"/>
    <w:rsid w:val="008C2A62"/>
    <w:rsid w:val="008E609A"/>
    <w:rsid w:val="008E6DC3"/>
    <w:rsid w:val="008F7F8A"/>
    <w:rsid w:val="00923F34"/>
    <w:rsid w:val="00932552"/>
    <w:rsid w:val="00932DD1"/>
    <w:rsid w:val="00943076"/>
    <w:rsid w:val="009472DE"/>
    <w:rsid w:val="00971709"/>
    <w:rsid w:val="00974AF0"/>
    <w:rsid w:val="00980B12"/>
    <w:rsid w:val="00994AB8"/>
    <w:rsid w:val="009A0A53"/>
    <w:rsid w:val="009A345C"/>
    <w:rsid w:val="009B7053"/>
    <w:rsid w:val="00A153DC"/>
    <w:rsid w:val="00A16FAB"/>
    <w:rsid w:val="00A25A7C"/>
    <w:rsid w:val="00A27AC5"/>
    <w:rsid w:val="00A3486B"/>
    <w:rsid w:val="00A53B24"/>
    <w:rsid w:val="00A70977"/>
    <w:rsid w:val="00A723F7"/>
    <w:rsid w:val="00A832AF"/>
    <w:rsid w:val="00A90A6A"/>
    <w:rsid w:val="00AB70A6"/>
    <w:rsid w:val="00AF0060"/>
    <w:rsid w:val="00B02BC6"/>
    <w:rsid w:val="00B12BE0"/>
    <w:rsid w:val="00B2634F"/>
    <w:rsid w:val="00B45719"/>
    <w:rsid w:val="00B47116"/>
    <w:rsid w:val="00B51B38"/>
    <w:rsid w:val="00B52A7D"/>
    <w:rsid w:val="00B70C0C"/>
    <w:rsid w:val="00B74B69"/>
    <w:rsid w:val="00B84CDB"/>
    <w:rsid w:val="00BA4345"/>
    <w:rsid w:val="00BB75B8"/>
    <w:rsid w:val="00BD0E2F"/>
    <w:rsid w:val="00BD18FB"/>
    <w:rsid w:val="00BD7272"/>
    <w:rsid w:val="00BE0E49"/>
    <w:rsid w:val="00BF3CD3"/>
    <w:rsid w:val="00C054B0"/>
    <w:rsid w:val="00C06377"/>
    <w:rsid w:val="00C14D3F"/>
    <w:rsid w:val="00C169BE"/>
    <w:rsid w:val="00C31444"/>
    <w:rsid w:val="00C40421"/>
    <w:rsid w:val="00C54D94"/>
    <w:rsid w:val="00C56B70"/>
    <w:rsid w:val="00C66344"/>
    <w:rsid w:val="00C8008E"/>
    <w:rsid w:val="00C816A7"/>
    <w:rsid w:val="00C82916"/>
    <w:rsid w:val="00C85D14"/>
    <w:rsid w:val="00C92D15"/>
    <w:rsid w:val="00C96DE4"/>
    <w:rsid w:val="00CA2C3F"/>
    <w:rsid w:val="00CB4F98"/>
    <w:rsid w:val="00CC28C5"/>
    <w:rsid w:val="00CD771B"/>
    <w:rsid w:val="00CE7E48"/>
    <w:rsid w:val="00D0111B"/>
    <w:rsid w:val="00D06B3A"/>
    <w:rsid w:val="00D15667"/>
    <w:rsid w:val="00D21ADA"/>
    <w:rsid w:val="00D53B10"/>
    <w:rsid w:val="00D6626D"/>
    <w:rsid w:val="00D76C51"/>
    <w:rsid w:val="00D933D5"/>
    <w:rsid w:val="00DC3564"/>
    <w:rsid w:val="00DD1369"/>
    <w:rsid w:val="00E1708C"/>
    <w:rsid w:val="00E26D68"/>
    <w:rsid w:val="00E37C57"/>
    <w:rsid w:val="00E6164C"/>
    <w:rsid w:val="00E62DD8"/>
    <w:rsid w:val="00E85CFB"/>
    <w:rsid w:val="00E97CE4"/>
    <w:rsid w:val="00EB1378"/>
    <w:rsid w:val="00EB4152"/>
    <w:rsid w:val="00EC18B5"/>
    <w:rsid w:val="00EE057C"/>
    <w:rsid w:val="00EE6D4D"/>
    <w:rsid w:val="00EF6859"/>
    <w:rsid w:val="00F052C6"/>
    <w:rsid w:val="00F063D6"/>
    <w:rsid w:val="00F10D0F"/>
    <w:rsid w:val="00F31F8A"/>
    <w:rsid w:val="00F3214E"/>
    <w:rsid w:val="00F3448D"/>
    <w:rsid w:val="00F55115"/>
    <w:rsid w:val="00F61933"/>
    <w:rsid w:val="00F6258B"/>
    <w:rsid w:val="00F77F08"/>
    <w:rsid w:val="00F84CB8"/>
    <w:rsid w:val="00F85E2C"/>
    <w:rsid w:val="00F971AB"/>
    <w:rsid w:val="00FA2573"/>
    <w:rsid w:val="00FB6091"/>
    <w:rsid w:val="00FC7A5C"/>
    <w:rsid w:val="00FD4497"/>
    <w:rsid w:val="00FE7C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F47628"/>
  <w15:chartTrackingRefBased/>
  <w15:docId w15:val="{7DF8107D-B6BD-4011-9C01-36D430EB6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AF0060"/>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AF0060"/>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AF0060"/>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AF0060"/>
    <w:pPr>
      <w:keepNext/>
      <w:keepLines/>
      <w:spacing w:before="80" w:after="40"/>
      <w:outlineLvl w:val="3"/>
    </w:pPr>
    <w:rPr>
      <w:rFonts w:asciiTheme="minorHAnsi" w:hAnsiTheme="minorHAnsi"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AF0060"/>
    <w:pPr>
      <w:keepNext/>
      <w:keepLines/>
      <w:spacing w:before="80" w:after="40"/>
      <w:outlineLvl w:val="4"/>
    </w:pPr>
    <w:rPr>
      <w:rFonts w:asciiTheme="minorHAnsi"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F0060"/>
    <w:pPr>
      <w:keepNext/>
      <w:keepLines/>
      <w:spacing w:before="40" w:after="0"/>
      <w:outlineLvl w:val="5"/>
    </w:pPr>
    <w:rPr>
      <w:rFonts w:asciiTheme="minorHAnsi" w:hAnsiTheme="minorHAnsi" w:cstheme="majorBidi"/>
      <w:b/>
      <w:bCs/>
      <w:color w:val="0F4761" w:themeColor="accent1" w:themeShade="BF"/>
    </w:rPr>
  </w:style>
  <w:style w:type="paragraph" w:styleId="Heading7">
    <w:name w:val="heading 7"/>
    <w:basedOn w:val="Normal"/>
    <w:next w:val="Normal"/>
    <w:link w:val="Heading7Char"/>
    <w:uiPriority w:val="9"/>
    <w:semiHidden/>
    <w:unhideWhenUsed/>
    <w:qFormat/>
    <w:rsid w:val="00AF0060"/>
    <w:pPr>
      <w:keepNext/>
      <w:keepLines/>
      <w:spacing w:before="40" w:after="0"/>
      <w:outlineLvl w:val="6"/>
    </w:pPr>
    <w:rPr>
      <w:rFonts w:asciiTheme="minorHAnsi" w:hAnsiTheme="minorHAnsi" w:cstheme="majorBidi"/>
      <w:b/>
      <w:bCs/>
      <w:color w:val="595959" w:themeColor="text1" w:themeTint="A6"/>
    </w:rPr>
  </w:style>
  <w:style w:type="paragraph" w:styleId="Heading8">
    <w:name w:val="heading 8"/>
    <w:basedOn w:val="Normal"/>
    <w:next w:val="Normal"/>
    <w:link w:val="Heading8Char"/>
    <w:uiPriority w:val="9"/>
    <w:semiHidden/>
    <w:unhideWhenUsed/>
    <w:qFormat/>
    <w:rsid w:val="00AF0060"/>
    <w:pPr>
      <w:keepNext/>
      <w:keepLines/>
      <w:spacing w:after="0"/>
      <w:outlineLvl w:val="7"/>
    </w:pPr>
    <w:rPr>
      <w:rFonts w:asciiTheme="minorHAnsi" w:hAnsiTheme="minorHAnsi" w:cstheme="majorBidi"/>
      <w:color w:val="595959" w:themeColor="text1" w:themeTint="A6"/>
    </w:rPr>
  </w:style>
  <w:style w:type="paragraph" w:styleId="Heading9">
    <w:name w:val="heading 9"/>
    <w:basedOn w:val="Normal"/>
    <w:next w:val="Normal"/>
    <w:link w:val="Heading9Char"/>
    <w:uiPriority w:val="9"/>
    <w:semiHidden/>
    <w:unhideWhenUsed/>
    <w:qFormat/>
    <w:rsid w:val="00AF0060"/>
    <w:pPr>
      <w:keepNext/>
      <w:keepLines/>
      <w:spacing w:after="0"/>
      <w:outlineLvl w:val="8"/>
    </w:pPr>
    <w:rPr>
      <w:rFonts w:asciiTheme="minorHAnsi" w:eastAsiaTheme="majorEastAsia" w:hAnsiTheme="minorHAnsi"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060"/>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AF0060"/>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AF0060"/>
    <w:rPr>
      <w:rFonts w:asciiTheme="majorHAnsi" w:eastAsiaTheme="majorEastAsia" w:hAnsiTheme="majorHAnsi"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AF0060"/>
    <w:rPr>
      <w:rFonts w:asciiTheme="minorHAnsi" w:hAnsiTheme="minorHAnsi"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AF0060"/>
    <w:rPr>
      <w:rFonts w:asciiTheme="minorHAnsi"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F0060"/>
    <w:rPr>
      <w:rFonts w:asciiTheme="minorHAnsi" w:hAnsiTheme="minorHAnsi" w:cstheme="majorBidi"/>
      <w:b/>
      <w:bCs/>
      <w:color w:val="0F4761" w:themeColor="accent1" w:themeShade="BF"/>
    </w:rPr>
  </w:style>
  <w:style w:type="character" w:customStyle="1" w:styleId="Heading7Char">
    <w:name w:val="Heading 7 Char"/>
    <w:basedOn w:val="DefaultParagraphFont"/>
    <w:link w:val="Heading7"/>
    <w:uiPriority w:val="9"/>
    <w:semiHidden/>
    <w:rsid w:val="00AF0060"/>
    <w:rPr>
      <w:rFonts w:asciiTheme="minorHAnsi" w:hAnsiTheme="minorHAnsi" w:cstheme="majorBidi"/>
      <w:b/>
      <w:bCs/>
      <w:color w:val="595959" w:themeColor="text1" w:themeTint="A6"/>
    </w:rPr>
  </w:style>
  <w:style w:type="character" w:customStyle="1" w:styleId="Heading8Char">
    <w:name w:val="Heading 8 Char"/>
    <w:basedOn w:val="DefaultParagraphFont"/>
    <w:link w:val="Heading8"/>
    <w:uiPriority w:val="9"/>
    <w:semiHidden/>
    <w:rsid w:val="00AF0060"/>
    <w:rPr>
      <w:rFonts w:asciiTheme="minorHAnsi" w:hAnsiTheme="minorHAnsi" w:cstheme="majorBidi"/>
      <w:color w:val="595959" w:themeColor="text1" w:themeTint="A6"/>
    </w:rPr>
  </w:style>
  <w:style w:type="character" w:customStyle="1" w:styleId="Heading9Char">
    <w:name w:val="Heading 9 Char"/>
    <w:basedOn w:val="DefaultParagraphFont"/>
    <w:link w:val="Heading9"/>
    <w:uiPriority w:val="9"/>
    <w:semiHidden/>
    <w:rsid w:val="00AF0060"/>
    <w:rPr>
      <w:rFonts w:asciiTheme="minorHAnsi" w:eastAsiaTheme="majorEastAsia" w:hAnsiTheme="minorHAnsi" w:cstheme="majorBidi"/>
      <w:color w:val="595959" w:themeColor="text1" w:themeTint="A6"/>
    </w:rPr>
  </w:style>
  <w:style w:type="paragraph" w:styleId="Title">
    <w:name w:val="Title"/>
    <w:basedOn w:val="Normal"/>
    <w:next w:val="Normal"/>
    <w:link w:val="TitleChar"/>
    <w:uiPriority w:val="10"/>
    <w:qFormat/>
    <w:rsid w:val="00AF0060"/>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00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006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0060"/>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AF0060"/>
    <w:pPr>
      <w:spacing w:before="160"/>
      <w:jc w:val="center"/>
    </w:pPr>
    <w:rPr>
      <w:i/>
      <w:iCs/>
      <w:color w:val="404040" w:themeColor="text1" w:themeTint="BF"/>
    </w:rPr>
  </w:style>
  <w:style w:type="character" w:customStyle="1" w:styleId="QuoteChar">
    <w:name w:val="Quote Char"/>
    <w:basedOn w:val="DefaultParagraphFont"/>
    <w:link w:val="Quote"/>
    <w:uiPriority w:val="29"/>
    <w:rsid w:val="00AF0060"/>
    <w:rPr>
      <w:i/>
      <w:iCs/>
      <w:color w:val="404040" w:themeColor="text1" w:themeTint="BF"/>
    </w:rPr>
  </w:style>
  <w:style w:type="paragraph" w:styleId="ListParagraph">
    <w:name w:val="List Paragraph"/>
    <w:basedOn w:val="Normal"/>
    <w:uiPriority w:val="34"/>
    <w:qFormat/>
    <w:rsid w:val="00AF0060"/>
    <w:pPr>
      <w:ind w:left="720"/>
      <w:contextualSpacing/>
    </w:pPr>
  </w:style>
  <w:style w:type="character" w:styleId="IntenseEmphasis">
    <w:name w:val="Intense Emphasis"/>
    <w:basedOn w:val="DefaultParagraphFont"/>
    <w:uiPriority w:val="21"/>
    <w:qFormat/>
    <w:rsid w:val="00AF0060"/>
    <w:rPr>
      <w:i/>
      <w:iCs/>
      <w:color w:val="0F4761" w:themeColor="accent1" w:themeShade="BF"/>
    </w:rPr>
  </w:style>
  <w:style w:type="paragraph" w:styleId="IntenseQuote">
    <w:name w:val="Intense Quote"/>
    <w:basedOn w:val="Normal"/>
    <w:next w:val="Normal"/>
    <w:link w:val="IntenseQuoteChar"/>
    <w:uiPriority w:val="30"/>
    <w:qFormat/>
    <w:rsid w:val="00AF00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0060"/>
    <w:rPr>
      <w:i/>
      <w:iCs/>
      <w:color w:val="0F4761" w:themeColor="accent1" w:themeShade="BF"/>
    </w:rPr>
  </w:style>
  <w:style w:type="character" w:styleId="IntenseReference">
    <w:name w:val="Intense Reference"/>
    <w:basedOn w:val="DefaultParagraphFont"/>
    <w:uiPriority w:val="32"/>
    <w:qFormat/>
    <w:rsid w:val="00AF0060"/>
    <w:rPr>
      <w:b/>
      <w:bCs/>
      <w:smallCaps/>
      <w:color w:val="0F4761" w:themeColor="accent1" w:themeShade="BF"/>
      <w:spacing w:val="5"/>
    </w:rPr>
  </w:style>
  <w:style w:type="character" w:customStyle="1" w:styleId="a">
    <w:name w:val="_"/>
    <w:basedOn w:val="DefaultParagraphFont"/>
    <w:rsid w:val="002C7ACF"/>
  </w:style>
  <w:style w:type="character" w:customStyle="1" w:styleId="ff4">
    <w:name w:val="ff4"/>
    <w:basedOn w:val="DefaultParagraphFont"/>
    <w:rsid w:val="002C7ACF"/>
  </w:style>
  <w:style w:type="character" w:customStyle="1" w:styleId="ls7">
    <w:name w:val="ls7"/>
    <w:basedOn w:val="DefaultParagraphFont"/>
    <w:rsid w:val="002C7ACF"/>
  </w:style>
  <w:style w:type="character" w:customStyle="1" w:styleId="fs1">
    <w:name w:val="fs1"/>
    <w:basedOn w:val="DefaultParagraphFont"/>
    <w:rsid w:val="002C7ACF"/>
  </w:style>
  <w:style w:type="character" w:customStyle="1" w:styleId="lsa">
    <w:name w:val="lsa"/>
    <w:basedOn w:val="DefaultParagraphFont"/>
    <w:rsid w:val="002C7ACF"/>
  </w:style>
  <w:style w:type="character" w:customStyle="1" w:styleId="ff3">
    <w:name w:val="ff3"/>
    <w:basedOn w:val="DefaultParagraphFont"/>
    <w:rsid w:val="002C7ACF"/>
  </w:style>
  <w:style w:type="character" w:styleId="Hyperlink">
    <w:name w:val="Hyperlink"/>
    <w:basedOn w:val="DefaultParagraphFont"/>
    <w:uiPriority w:val="99"/>
    <w:unhideWhenUsed/>
    <w:rsid w:val="00145D95"/>
    <w:rPr>
      <w:color w:val="467886" w:themeColor="hyperlink"/>
      <w:u w:val="single"/>
    </w:rPr>
  </w:style>
  <w:style w:type="character" w:styleId="UnresolvedMention">
    <w:name w:val="Unresolved Mention"/>
    <w:basedOn w:val="DefaultParagraphFont"/>
    <w:uiPriority w:val="99"/>
    <w:semiHidden/>
    <w:unhideWhenUsed/>
    <w:rsid w:val="00145D95"/>
    <w:rPr>
      <w:color w:val="605E5C"/>
      <w:shd w:val="clear" w:color="auto" w:fill="E1DFDD"/>
    </w:rPr>
  </w:style>
  <w:style w:type="character" w:styleId="FollowedHyperlink">
    <w:name w:val="FollowedHyperlink"/>
    <w:basedOn w:val="DefaultParagraphFont"/>
    <w:uiPriority w:val="99"/>
    <w:semiHidden/>
    <w:unhideWhenUsed/>
    <w:rsid w:val="00604C13"/>
    <w:rPr>
      <w:color w:val="96607D" w:themeColor="followedHyperlink"/>
      <w:u w:val="single"/>
    </w:rPr>
  </w:style>
  <w:style w:type="paragraph" w:styleId="Header">
    <w:name w:val="header"/>
    <w:basedOn w:val="Normal"/>
    <w:link w:val="HeaderChar"/>
    <w:uiPriority w:val="99"/>
    <w:unhideWhenUsed/>
    <w:rsid w:val="00242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26A"/>
  </w:style>
  <w:style w:type="paragraph" w:styleId="Footer">
    <w:name w:val="footer"/>
    <w:basedOn w:val="Normal"/>
    <w:link w:val="FooterChar"/>
    <w:uiPriority w:val="99"/>
    <w:unhideWhenUsed/>
    <w:rsid w:val="00242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2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20697">
      <w:bodyDiv w:val="1"/>
      <w:marLeft w:val="0"/>
      <w:marRight w:val="0"/>
      <w:marTop w:val="0"/>
      <w:marBottom w:val="0"/>
      <w:divBdr>
        <w:top w:val="none" w:sz="0" w:space="0" w:color="auto"/>
        <w:left w:val="none" w:sz="0" w:space="0" w:color="auto"/>
        <w:bottom w:val="none" w:sz="0" w:space="0" w:color="auto"/>
        <w:right w:val="none" w:sz="0" w:space="0" w:color="auto"/>
      </w:divBdr>
    </w:div>
    <w:div w:id="139885400">
      <w:bodyDiv w:val="1"/>
      <w:marLeft w:val="0"/>
      <w:marRight w:val="0"/>
      <w:marTop w:val="0"/>
      <w:marBottom w:val="0"/>
      <w:divBdr>
        <w:top w:val="none" w:sz="0" w:space="0" w:color="auto"/>
        <w:left w:val="none" w:sz="0" w:space="0" w:color="auto"/>
        <w:bottom w:val="none" w:sz="0" w:space="0" w:color="auto"/>
        <w:right w:val="none" w:sz="0" w:space="0" w:color="auto"/>
      </w:divBdr>
    </w:div>
    <w:div w:id="175074923">
      <w:bodyDiv w:val="1"/>
      <w:marLeft w:val="0"/>
      <w:marRight w:val="0"/>
      <w:marTop w:val="0"/>
      <w:marBottom w:val="0"/>
      <w:divBdr>
        <w:top w:val="none" w:sz="0" w:space="0" w:color="auto"/>
        <w:left w:val="none" w:sz="0" w:space="0" w:color="auto"/>
        <w:bottom w:val="none" w:sz="0" w:space="0" w:color="auto"/>
        <w:right w:val="none" w:sz="0" w:space="0" w:color="auto"/>
      </w:divBdr>
    </w:div>
    <w:div w:id="211314636">
      <w:bodyDiv w:val="1"/>
      <w:marLeft w:val="0"/>
      <w:marRight w:val="0"/>
      <w:marTop w:val="0"/>
      <w:marBottom w:val="0"/>
      <w:divBdr>
        <w:top w:val="none" w:sz="0" w:space="0" w:color="auto"/>
        <w:left w:val="none" w:sz="0" w:space="0" w:color="auto"/>
        <w:bottom w:val="none" w:sz="0" w:space="0" w:color="auto"/>
        <w:right w:val="none" w:sz="0" w:space="0" w:color="auto"/>
      </w:divBdr>
    </w:div>
    <w:div w:id="221404114">
      <w:bodyDiv w:val="1"/>
      <w:marLeft w:val="0"/>
      <w:marRight w:val="0"/>
      <w:marTop w:val="0"/>
      <w:marBottom w:val="0"/>
      <w:divBdr>
        <w:top w:val="none" w:sz="0" w:space="0" w:color="auto"/>
        <w:left w:val="none" w:sz="0" w:space="0" w:color="auto"/>
        <w:bottom w:val="none" w:sz="0" w:space="0" w:color="auto"/>
        <w:right w:val="none" w:sz="0" w:space="0" w:color="auto"/>
      </w:divBdr>
      <w:divsChild>
        <w:div w:id="1542748232">
          <w:marLeft w:val="0"/>
          <w:marRight w:val="0"/>
          <w:marTop w:val="0"/>
          <w:marBottom w:val="0"/>
          <w:divBdr>
            <w:top w:val="none" w:sz="0" w:space="0" w:color="auto"/>
            <w:left w:val="none" w:sz="0" w:space="0" w:color="auto"/>
            <w:bottom w:val="none" w:sz="0" w:space="0" w:color="auto"/>
            <w:right w:val="none" w:sz="0" w:space="0" w:color="auto"/>
          </w:divBdr>
        </w:div>
      </w:divsChild>
    </w:div>
    <w:div w:id="237982212">
      <w:bodyDiv w:val="1"/>
      <w:marLeft w:val="0"/>
      <w:marRight w:val="0"/>
      <w:marTop w:val="0"/>
      <w:marBottom w:val="0"/>
      <w:divBdr>
        <w:top w:val="none" w:sz="0" w:space="0" w:color="auto"/>
        <w:left w:val="none" w:sz="0" w:space="0" w:color="auto"/>
        <w:bottom w:val="none" w:sz="0" w:space="0" w:color="auto"/>
        <w:right w:val="none" w:sz="0" w:space="0" w:color="auto"/>
      </w:divBdr>
    </w:div>
    <w:div w:id="260457329">
      <w:bodyDiv w:val="1"/>
      <w:marLeft w:val="0"/>
      <w:marRight w:val="0"/>
      <w:marTop w:val="0"/>
      <w:marBottom w:val="0"/>
      <w:divBdr>
        <w:top w:val="none" w:sz="0" w:space="0" w:color="auto"/>
        <w:left w:val="none" w:sz="0" w:space="0" w:color="auto"/>
        <w:bottom w:val="none" w:sz="0" w:space="0" w:color="auto"/>
        <w:right w:val="none" w:sz="0" w:space="0" w:color="auto"/>
      </w:divBdr>
    </w:div>
    <w:div w:id="272788871">
      <w:bodyDiv w:val="1"/>
      <w:marLeft w:val="0"/>
      <w:marRight w:val="0"/>
      <w:marTop w:val="0"/>
      <w:marBottom w:val="0"/>
      <w:divBdr>
        <w:top w:val="none" w:sz="0" w:space="0" w:color="auto"/>
        <w:left w:val="none" w:sz="0" w:space="0" w:color="auto"/>
        <w:bottom w:val="none" w:sz="0" w:space="0" w:color="auto"/>
        <w:right w:val="none" w:sz="0" w:space="0" w:color="auto"/>
      </w:divBdr>
      <w:divsChild>
        <w:div w:id="1635478859">
          <w:marLeft w:val="0"/>
          <w:marRight w:val="0"/>
          <w:marTop w:val="0"/>
          <w:marBottom w:val="0"/>
          <w:divBdr>
            <w:top w:val="none" w:sz="0" w:space="0" w:color="auto"/>
            <w:left w:val="none" w:sz="0" w:space="0" w:color="auto"/>
            <w:bottom w:val="none" w:sz="0" w:space="0" w:color="auto"/>
            <w:right w:val="none" w:sz="0" w:space="0" w:color="auto"/>
          </w:divBdr>
        </w:div>
      </w:divsChild>
    </w:div>
    <w:div w:id="330447224">
      <w:bodyDiv w:val="1"/>
      <w:marLeft w:val="0"/>
      <w:marRight w:val="0"/>
      <w:marTop w:val="0"/>
      <w:marBottom w:val="0"/>
      <w:divBdr>
        <w:top w:val="none" w:sz="0" w:space="0" w:color="auto"/>
        <w:left w:val="none" w:sz="0" w:space="0" w:color="auto"/>
        <w:bottom w:val="none" w:sz="0" w:space="0" w:color="auto"/>
        <w:right w:val="none" w:sz="0" w:space="0" w:color="auto"/>
      </w:divBdr>
    </w:div>
    <w:div w:id="372195832">
      <w:bodyDiv w:val="1"/>
      <w:marLeft w:val="0"/>
      <w:marRight w:val="0"/>
      <w:marTop w:val="0"/>
      <w:marBottom w:val="0"/>
      <w:divBdr>
        <w:top w:val="none" w:sz="0" w:space="0" w:color="auto"/>
        <w:left w:val="none" w:sz="0" w:space="0" w:color="auto"/>
        <w:bottom w:val="none" w:sz="0" w:space="0" w:color="auto"/>
        <w:right w:val="none" w:sz="0" w:space="0" w:color="auto"/>
      </w:divBdr>
    </w:div>
    <w:div w:id="398283833">
      <w:bodyDiv w:val="1"/>
      <w:marLeft w:val="0"/>
      <w:marRight w:val="0"/>
      <w:marTop w:val="0"/>
      <w:marBottom w:val="0"/>
      <w:divBdr>
        <w:top w:val="none" w:sz="0" w:space="0" w:color="auto"/>
        <w:left w:val="none" w:sz="0" w:space="0" w:color="auto"/>
        <w:bottom w:val="none" w:sz="0" w:space="0" w:color="auto"/>
        <w:right w:val="none" w:sz="0" w:space="0" w:color="auto"/>
      </w:divBdr>
      <w:divsChild>
        <w:div w:id="1006908003">
          <w:marLeft w:val="0"/>
          <w:marRight w:val="0"/>
          <w:marTop w:val="0"/>
          <w:marBottom w:val="0"/>
          <w:divBdr>
            <w:top w:val="none" w:sz="0" w:space="0" w:color="auto"/>
            <w:left w:val="none" w:sz="0" w:space="0" w:color="auto"/>
            <w:bottom w:val="none" w:sz="0" w:space="0" w:color="auto"/>
            <w:right w:val="none" w:sz="0" w:space="0" w:color="auto"/>
          </w:divBdr>
          <w:divsChild>
            <w:div w:id="152092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597929">
      <w:bodyDiv w:val="1"/>
      <w:marLeft w:val="0"/>
      <w:marRight w:val="0"/>
      <w:marTop w:val="0"/>
      <w:marBottom w:val="0"/>
      <w:divBdr>
        <w:top w:val="none" w:sz="0" w:space="0" w:color="auto"/>
        <w:left w:val="none" w:sz="0" w:space="0" w:color="auto"/>
        <w:bottom w:val="none" w:sz="0" w:space="0" w:color="auto"/>
        <w:right w:val="none" w:sz="0" w:space="0" w:color="auto"/>
      </w:divBdr>
      <w:divsChild>
        <w:div w:id="1553079455">
          <w:marLeft w:val="0"/>
          <w:marRight w:val="0"/>
          <w:marTop w:val="0"/>
          <w:marBottom w:val="0"/>
          <w:divBdr>
            <w:top w:val="none" w:sz="0" w:space="0" w:color="auto"/>
            <w:left w:val="none" w:sz="0" w:space="0" w:color="auto"/>
            <w:bottom w:val="none" w:sz="0" w:space="0" w:color="auto"/>
            <w:right w:val="none" w:sz="0" w:space="0" w:color="auto"/>
          </w:divBdr>
          <w:divsChild>
            <w:div w:id="134690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290594">
      <w:bodyDiv w:val="1"/>
      <w:marLeft w:val="0"/>
      <w:marRight w:val="0"/>
      <w:marTop w:val="0"/>
      <w:marBottom w:val="0"/>
      <w:divBdr>
        <w:top w:val="none" w:sz="0" w:space="0" w:color="auto"/>
        <w:left w:val="none" w:sz="0" w:space="0" w:color="auto"/>
        <w:bottom w:val="none" w:sz="0" w:space="0" w:color="auto"/>
        <w:right w:val="none" w:sz="0" w:space="0" w:color="auto"/>
      </w:divBdr>
    </w:div>
    <w:div w:id="480540732">
      <w:bodyDiv w:val="1"/>
      <w:marLeft w:val="0"/>
      <w:marRight w:val="0"/>
      <w:marTop w:val="0"/>
      <w:marBottom w:val="0"/>
      <w:divBdr>
        <w:top w:val="none" w:sz="0" w:space="0" w:color="auto"/>
        <w:left w:val="none" w:sz="0" w:space="0" w:color="auto"/>
        <w:bottom w:val="none" w:sz="0" w:space="0" w:color="auto"/>
        <w:right w:val="none" w:sz="0" w:space="0" w:color="auto"/>
      </w:divBdr>
      <w:divsChild>
        <w:div w:id="1715620583">
          <w:marLeft w:val="0"/>
          <w:marRight w:val="0"/>
          <w:marTop w:val="0"/>
          <w:marBottom w:val="0"/>
          <w:divBdr>
            <w:top w:val="none" w:sz="0" w:space="0" w:color="auto"/>
            <w:left w:val="none" w:sz="0" w:space="0" w:color="auto"/>
            <w:bottom w:val="none" w:sz="0" w:space="0" w:color="auto"/>
            <w:right w:val="none" w:sz="0" w:space="0" w:color="auto"/>
          </w:divBdr>
        </w:div>
      </w:divsChild>
    </w:div>
    <w:div w:id="505941010">
      <w:bodyDiv w:val="1"/>
      <w:marLeft w:val="0"/>
      <w:marRight w:val="0"/>
      <w:marTop w:val="0"/>
      <w:marBottom w:val="0"/>
      <w:divBdr>
        <w:top w:val="none" w:sz="0" w:space="0" w:color="auto"/>
        <w:left w:val="none" w:sz="0" w:space="0" w:color="auto"/>
        <w:bottom w:val="none" w:sz="0" w:space="0" w:color="auto"/>
        <w:right w:val="none" w:sz="0" w:space="0" w:color="auto"/>
      </w:divBdr>
    </w:div>
    <w:div w:id="523903805">
      <w:bodyDiv w:val="1"/>
      <w:marLeft w:val="0"/>
      <w:marRight w:val="0"/>
      <w:marTop w:val="0"/>
      <w:marBottom w:val="0"/>
      <w:divBdr>
        <w:top w:val="none" w:sz="0" w:space="0" w:color="auto"/>
        <w:left w:val="none" w:sz="0" w:space="0" w:color="auto"/>
        <w:bottom w:val="none" w:sz="0" w:space="0" w:color="auto"/>
        <w:right w:val="none" w:sz="0" w:space="0" w:color="auto"/>
      </w:divBdr>
    </w:div>
    <w:div w:id="625965992">
      <w:bodyDiv w:val="1"/>
      <w:marLeft w:val="0"/>
      <w:marRight w:val="0"/>
      <w:marTop w:val="0"/>
      <w:marBottom w:val="0"/>
      <w:divBdr>
        <w:top w:val="none" w:sz="0" w:space="0" w:color="auto"/>
        <w:left w:val="none" w:sz="0" w:space="0" w:color="auto"/>
        <w:bottom w:val="none" w:sz="0" w:space="0" w:color="auto"/>
        <w:right w:val="none" w:sz="0" w:space="0" w:color="auto"/>
      </w:divBdr>
      <w:divsChild>
        <w:div w:id="1549731193">
          <w:marLeft w:val="0"/>
          <w:marRight w:val="0"/>
          <w:marTop w:val="0"/>
          <w:marBottom w:val="0"/>
          <w:divBdr>
            <w:top w:val="none" w:sz="0" w:space="0" w:color="auto"/>
            <w:left w:val="none" w:sz="0" w:space="0" w:color="auto"/>
            <w:bottom w:val="none" w:sz="0" w:space="0" w:color="auto"/>
            <w:right w:val="none" w:sz="0" w:space="0" w:color="auto"/>
          </w:divBdr>
        </w:div>
        <w:div w:id="74480680">
          <w:marLeft w:val="0"/>
          <w:marRight w:val="0"/>
          <w:marTop w:val="0"/>
          <w:marBottom w:val="0"/>
          <w:divBdr>
            <w:top w:val="none" w:sz="0" w:space="0" w:color="auto"/>
            <w:left w:val="none" w:sz="0" w:space="0" w:color="auto"/>
            <w:bottom w:val="none" w:sz="0" w:space="0" w:color="auto"/>
            <w:right w:val="none" w:sz="0" w:space="0" w:color="auto"/>
          </w:divBdr>
        </w:div>
        <w:div w:id="896205931">
          <w:marLeft w:val="0"/>
          <w:marRight w:val="0"/>
          <w:marTop w:val="0"/>
          <w:marBottom w:val="0"/>
          <w:divBdr>
            <w:top w:val="none" w:sz="0" w:space="0" w:color="auto"/>
            <w:left w:val="none" w:sz="0" w:space="0" w:color="auto"/>
            <w:bottom w:val="none" w:sz="0" w:space="0" w:color="auto"/>
            <w:right w:val="none" w:sz="0" w:space="0" w:color="auto"/>
          </w:divBdr>
        </w:div>
        <w:div w:id="86735535">
          <w:marLeft w:val="0"/>
          <w:marRight w:val="0"/>
          <w:marTop w:val="0"/>
          <w:marBottom w:val="0"/>
          <w:divBdr>
            <w:top w:val="none" w:sz="0" w:space="0" w:color="auto"/>
            <w:left w:val="none" w:sz="0" w:space="0" w:color="auto"/>
            <w:bottom w:val="none" w:sz="0" w:space="0" w:color="auto"/>
            <w:right w:val="none" w:sz="0" w:space="0" w:color="auto"/>
          </w:divBdr>
        </w:div>
        <w:div w:id="928656234">
          <w:marLeft w:val="0"/>
          <w:marRight w:val="0"/>
          <w:marTop w:val="0"/>
          <w:marBottom w:val="0"/>
          <w:divBdr>
            <w:top w:val="none" w:sz="0" w:space="0" w:color="auto"/>
            <w:left w:val="none" w:sz="0" w:space="0" w:color="auto"/>
            <w:bottom w:val="none" w:sz="0" w:space="0" w:color="auto"/>
            <w:right w:val="none" w:sz="0" w:space="0" w:color="auto"/>
          </w:divBdr>
        </w:div>
        <w:div w:id="585967072">
          <w:marLeft w:val="0"/>
          <w:marRight w:val="0"/>
          <w:marTop w:val="0"/>
          <w:marBottom w:val="0"/>
          <w:divBdr>
            <w:top w:val="none" w:sz="0" w:space="0" w:color="auto"/>
            <w:left w:val="none" w:sz="0" w:space="0" w:color="auto"/>
            <w:bottom w:val="none" w:sz="0" w:space="0" w:color="auto"/>
            <w:right w:val="none" w:sz="0" w:space="0" w:color="auto"/>
          </w:divBdr>
        </w:div>
        <w:div w:id="77482294">
          <w:marLeft w:val="0"/>
          <w:marRight w:val="0"/>
          <w:marTop w:val="0"/>
          <w:marBottom w:val="0"/>
          <w:divBdr>
            <w:top w:val="none" w:sz="0" w:space="0" w:color="auto"/>
            <w:left w:val="none" w:sz="0" w:space="0" w:color="auto"/>
            <w:bottom w:val="none" w:sz="0" w:space="0" w:color="auto"/>
            <w:right w:val="none" w:sz="0" w:space="0" w:color="auto"/>
          </w:divBdr>
        </w:div>
        <w:div w:id="747271819">
          <w:marLeft w:val="0"/>
          <w:marRight w:val="0"/>
          <w:marTop w:val="0"/>
          <w:marBottom w:val="0"/>
          <w:divBdr>
            <w:top w:val="none" w:sz="0" w:space="0" w:color="auto"/>
            <w:left w:val="none" w:sz="0" w:space="0" w:color="auto"/>
            <w:bottom w:val="none" w:sz="0" w:space="0" w:color="auto"/>
            <w:right w:val="none" w:sz="0" w:space="0" w:color="auto"/>
          </w:divBdr>
        </w:div>
        <w:div w:id="1544095742">
          <w:marLeft w:val="0"/>
          <w:marRight w:val="0"/>
          <w:marTop w:val="0"/>
          <w:marBottom w:val="0"/>
          <w:divBdr>
            <w:top w:val="none" w:sz="0" w:space="0" w:color="auto"/>
            <w:left w:val="none" w:sz="0" w:space="0" w:color="auto"/>
            <w:bottom w:val="none" w:sz="0" w:space="0" w:color="auto"/>
            <w:right w:val="none" w:sz="0" w:space="0" w:color="auto"/>
          </w:divBdr>
        </w:div>
        <w:div w:id="580871974">
          <w:marLeft w:val="0"/>
          <w:marRight w:val="0"/>
          <w:marTop w:val="0"/>
          <w:marBottom w:val="0"/>
          <w:divBdr>
            <w:top w:val="none" w:sz="0" w:space="0" w:color="auto"/>
            <w:left w:val="none" w:sz="0" w:space="0" w:color="auto"/>
            <w:bottom w:val="none" w:sz="0" w:space="0" w:color="auto"/>
            <w:right w:val="none" w:sz="0" w:space="0" w:color="auto"/>
          </w:divBdr>
        </w:div>
        <w:div w:id="1125854937">
          <w:marLeft w:val="0"/>
          <w:marRight w:val="0"/>
          <w:marTop w:val="0"/>
          <w:marBottom w:val="0"/>
          <w:divBdr>
            <w:top w:val="none" w:sz="0" w:space="0" w:color="auto"/>
            <w:left w:val="none" w:sz="0" w:space="0" w:color="auto"/>
            <w:bottom w:val="none" w:sz="0" w:space="0" w:color="auto"/>
            <w:right w:val="none" w:sz="0" w:space="0" w:color="auto"/>
          </w:divBdr>
        </w:div>
        <w:div w:id="1065878121">
          <w:marLeft w:val="0"/>
          <w:marRight w:val="0"/>
          <w:marTop w:val="0"/>
          <w:marBottom w:val="0"/>
          <w:divBdr>
            <w:top w:val="none" w:sz="0" w:space="0" w:color="auto"/>
            <w:left w:val="none" w:sz="0" w:space="0" w:color="auto"/>
            <w:bottom w:val="none" w:sz="0" w:space="0" w:color="auto"/>
            <w:right w:val="none" w:sz="0" w:space="0" w:color="auto"/>
          </w:divBdr>
        </w:div>
        <w:div w:id="166557365">
          <w:marLeft w:val="0"/>
          <w:marRight w:val="0"/>
          <w:marTop w:val="0"/>
          <w:marBottom w:val="0"/>
          <w:divBdr>
            <w:top w:val="none" w:sz="0" w:space="0" w:color="auto"/>
            <w:left w:val="none" w:sz="0" w:space="0" w:color="auto"/>
            <w:bottom w:val="none" w:sz="0" w:space="0" w:color="auto"/>
            <w:right w:val="none" w:sz="0" w:space="0" w:color="auto"/>
          </w:divBdr>
        </w:div>
        <w:div w:id="564295164">
          <w:marLeft w:val="0"/>
          <w:marRight w:val="0"/>
          <w:marTop w:val="0"/>
          <w:marBottom w:val="0"/>
          <w:divBdr>
            <w:top w:val="none" w:sz="0" w:space="0" w:color="auto"/>
            <w:left w:val="none" w:sz="0" w:space="0" w:color="auto"/>
            <w:bottom w:val="none" w:sz="0" w:space="0" w:color="auto"/>
            <w:right w:val="none" w:sz="0" w:space="0" w:color="auto"/>
          </w:divBdr>
        </w:div>
        <w:div w:id="1742674600">
          <w:marLeft w:val="0"/>
          <w:marRight w:val="0"/>
          <w:marTop w:val="0"/>
          <w:marBottom w:val="0"/>
          <w:divBdr>
            <w:top w:val="none" w:sz="0" w:space="0" w:color="auto"/>
            <w:left w:val="none" w:sz="0" w:space="0" w:color="auto"/>
            <w:bottom w:val="none" w:sz="0" w:space="0" w:color="auto"/>
            <w:right w:val="none" w:sz="0" w:space="0" w:color="auto"/>
          </w:divBdr>
        </w:div>
      </w:divsChild>
    </w:div>
    <w:div w:id="650334549">
      <w:bodyDiv w:val="1"/>
      <w:marLeft w:val="0"/>
      <w:marRight w:val="0"/>
      <w:marTop w:val="0"/>
      <w:marBottom w:val="0"/>
      <w:divBdr>
        <w:top w:val="none" w:sz="0" w:space="0" w:color="auto"/>
        <w:left w:val="none" w:sz="0" w:space="0" w:color="auto"/>
        <w:bottom w:val="none" w:sz="0" w:space="0" w:color="auto"/>
        <w:right w:val="none" w:sz="0" w:space="0" w:color="auto"/>
      </w:divBdr>
    </w:div>
    <w:div w:id="662785122">
      <w:bodyDiv w:val="1"/>
      <w:marLeft w:val="0"/>
      <w:marRight w:val="0"/>
      <w:marTop w:val="0"/>
      <w:marBottom w:val="0"/>
      <w:divBdr>
        <w:top w:val="none" w:sz="0" w:space="0" w:color="auto"/>
        <w:left w:val="none" w:sz="0" w:space="0" w:color="auto"/>
        <w:bottom w:val="none" w:sz="0" w:space="0" w:color="auto"/>
        <w:right w:val="none" w:sz="0" w:space="0" w:color="auto"/>
      </w:divBdr>
    </w:div>
    <w:div w:id="733235664">
      <w:bodyDiv w:val="1"/>
      <w:marLeft w:val="0"/>
      <w:marRight w:val="0"/>
      <w:marTop w:val="0"/>
      <w:marBottom w:val="0"/>
      <w:divBdr>
        <w:top w:val="none" w:sz="0" w:space="0" w:color="auto"/>
        <w:left w:val="none" w:sz="0" w:space="0" w:color="auto"/>
        <w:bottom w:val="none" w:sz="0" w:space="0" w:color="auto"/>
        <w:right w:val="none" w:sz="0" w:space="0" w:color="auto"/>
      </w:divBdr>
    </w:div>
    <w:div w:id="802845441">
      <w:bodyDiv w:val="1"/>
      <w:marLeft w:val="0"/>
      <w:marRight w:val="0"/>
      <w:marTop w:val="0"/>
      <w:marBottom w:val="0"/>
      <w:divBdr>
        <w:top w:val="none" w:sz="0" w:space="0" w:color="auto"/>
        <w:left w:val="none" w:sz="0" w:space="0" w:color="auto"/>
        <w:bottom w:val="none" w:sz="0" w:space="0" w:color="auto"/>
        <w:right w:val="none" w:sz="0" w:space="0" w:color="auto"/>
      </w:divBdr>
      <w:divsChild>
        <w:div w:id="1373312193">
          <w:marLeft w:val="0"/>
          <w:marRight w:val="0"/>
          <w:marTop w:val="0"/>
          <w:marBottom w:val="0"/>
          <w:divBdr>
            <w:top w:val="none" w:sz="0" w:space="0" w:color="auto"/>
            <w:left w:val="none" w:sz="0" w:space="0" w:color="auto"/>
            <w:bottom w:val="none" w:sz="0" w:space="0" w:color="auto"/>
            <w:right w:val="none" w:sz="0" w:space="0" w:color="auto"/>
          </w:divBdr>
          <w:divsChild>
            <w:div w:id="139304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997996">
      <w:bodyDiv w:val="1"/>
      <w:marLeft w:val="0"/>
      <w:marRight w:val="0"/>
      <w:marTop w:val="0"/>
      <w:marBottom w:val="0"/>
      <w:divBdr>
        <w:top w:val="none" w:sz="0" w:space="0" w:color="auto"/>
        <w:left w:val="none" w:sz="0" w:space="0" w:color="auto"/>
        <w:bottom w:val="none" w:sz="0" w:space="0" w:color="auto"/>
        <w:right w:val="none" w:sz="0" w:space="0" w:color="auto"/>
      </w:divBdr>
    </w:div>
    <w:div w:id="904879648">
      <w:bodyDiv w:val="1"/>
      <w:marLeft w:val="0"/>
      <w:marRight w:val="0"/>
      <w:marTop w:val="0"/>
      <w:marBottom w:val="0"/>
      <w:divBdr>
        <w:top w:val="none" w:sz="0" w:space="0" w:color="auto"/>
        <w:left w:val="none" w:sz="0" w:space="0" w:color="auto"/>
        <w:bottom w:val="none" w:sz="0" w:space="0" w:color="auto"/>
        <w:right w:val="none" w:sz="0" w:space="0" w:color="auto"/>
      </w:divBdr>
    </w:div>
    <w:div w:id="928735683">
      <w:bodyDiv w:val="1"/>
      <w:marLeft w:val="0"/>
      <w:marRight w:val="0"/>
      <w:marTop w:val="0"/>
      <w:marBottom w:val="0"/>
      <w:divBdr>
        <w:top w:val="none" w:sz="0" w:space="0" w:color="auto"/>
        <w:left w:val="none" w:sz="0" w:space="0" w:color="auto"/>
        <w:bottom w:val="none" w:sz="0" w:space="0" w:color="auto"/>
        <w:right w:val="none" w:sz="0" w:space="0" w:color="auto"/>
      </w:divBdr>
      <w:divsChild>
        <w:div w:id="12612090">
          <w:marLeft w:val="0"/>
          <w:marRight w:val="0"/>
          <w:marTop w:val="0"/>
          <w:marBottom w:val="0"/>
          <w:divBdr>
            <w:top w:val="none" w:sz="0" w:space="0" w:color="auto"/>
            <w:left w:val="none" w:sz="0" w:space="0" w:color="auto"/>
            <w:bottom w:val="none" w:sz="0" w:space="0" w:color="auto"/>
            <w:right w:val="none" w:sz="0" w:space="0" w:color="auto"/>
          </w:divBdr>
        </w:div>
      </w:divsChild>
    </w:div>
    <w:div w:id="978917966">
      <w:bodyDiv w:val="1"/>
      <w:marLeft w:val="0"/>
      <w:marRight w:val="0"/>
      <w:marTop w:val="0"/>
      <w:marBottom w:val="0"/>
      <w:divBdr>
        <w:top w:val="none" w:sz="0" w:space="0" w:color="auto"/>
        <w:left w:val="none" w:sz="0" w:space="0" w:color="auto"/>
        <w:bottom w:val="none" w:sz="0" w:space="0" w:color="auto"/>
        <w:right w:val="none" w:sz="0" w:space="0" w:color="auto"/>
      </w:divBdr>
      <w:divsChild>
        <w:div w:id="235866044">
          <w:marLeft w:val="0"/>
          <w:marRight w:val="0"/>
          <w:marTop w:val="0"/>
          <w:marBottom w:val="0"/>
          <w:divBdr>
            <w:top w:val="none" w:sz="0" w:space="0" w:color="auto"/>
            <w:left w:val="none" w:sz="0" w:space="0" w:color="auto"/>
            <w:bottom w:val="none" w:sz="0" w:space="0" w:color="auto"/>
            <w:right w:val="none" w:sz="0" w:space="0" w:color="auto"/>
          </w:divBdr>
        </w:div>
      </w:divsChild>
    </w:div>
    <w:div w:id="1061099071">
      <w:bodyDiv w:val="1"/>
      <w:marLeft w:val="0"/>
      <w:marRight w:val="0"/>
      <w:marTop w:val="0"/>
      <w:marBottom w:val="0"/>
      <w:divBdr>
        <w:top w:val="none" w:sz="0" w:space="0" w:color="auto"/>
        <w:left w:val="none" w:sz="0" w:space="0" w:color="auto"/>
        <w:bottom w:val="none" w:sz="0" w:space="0" w:color="auto"/>
        <w:right w:val="none" w:sz="0" w:space="0" w:color="auto"/>
      </w:divBdr>
    </w:div>
    <w:div w:id="1112480892">
      <w:bodyDiv w:val="1"/>
      <w:marLeft w:val="0"/>
      <w:marRight w:val="0"/>
      <w:marTop w:val="0"/>
      <w:marBottom w:val="0"/>
      <w:divBdr>
        <w:top w:val="none" w:sz="0" w:space="0" w:color="auto"/>
        <w:left w:val="none" w:sz="0" w:space="0" w:color="auto"/>
        <w:bottom w:val="none" w:sz="0" w:space="0" w:color="auto"/>
        <w:right w:val="none" w:sz="0" w:space="0" w:color="auto"/>
      </w:divBdr>
    </w:div>
    <w:div w:id="1120761409">
      <w:bodyDiv w:val="1"/>
      <w:marLeft w:val="0"/>
      <w:marRight w:val="0"/>
      <w:marTop w:val="0"/>
      <w:marBottom w:val="0"/>
      <w:divBdr>
        <w:top w:val="none" w:sz="0" w:space="0" w:color="auto"/>
        <w:left w:val="none" w:sz="0" w:space="0" w:color="auto"/>
        <w:bottom w:val="none" w:sz="0" w:space="0" w:color="auto"/>
        <w:right w:val="none" w:sz="0" w:space="0" w:color="auto"/>
      </w:divBdr>
    </w:div>
    <w:div w:id="1162165318">
      <w:bodyDiv w:val="1"/>
      <w:marLeft w:val="0"/>
      <w:marRight w:val="0"/>
      <w:marTop w:val="0"/>
      <w:marBottom w:val="0"/>
      <w:divBdr>
        <w:top w:val="none" w:sz="0" w:space="0" w:color="auto"/>
        <w:left w:val="none" w:sz="0" w:space="0" w:color="auto"/>
        <w:bottom w:val="none" w:sz="0" w:space="0" w:color="auto"/>
        <w:right w:val="none" w:sz="0" w:space="0" w:color="auto"/>
      </w:divBdr>
      <w:divsChild>
        <w:div w:id="106701194">
          <w:marLeft w:val="0"/>
          <w:marRight w:val="0"/>
          <w:marTop w:val="0"/>
          <w:marBottom w:val="0"/>
          <w:divBdr>
            <w:top w:val="none" w:sz="0" w:space="0" w:color="auto"/>
            <w:left w:val="none" w:sz="0" w:space="0" w:color="auto"/>
            <w:bottom w:val="none" w:sz="0" w:space="0" w:color="auto"/>
            <w:right w:val="none" w:sz="0" w:space="0" w:color="auto"/>
          </w:divBdr>
          <w:divsChild>
            <w:div w:id="173365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883002">
      <w:bodyDiv w:val="1"/>
      <w:marLeft w:val="0"/>
      <w:marRight w:val="0"/>
      <w:marTop w:val="0"/>
      <w:marBottom w:val="0"/>
      <w:divBdr>
        <w:top w:val="none" w:sz="0" w:space="0" w:color="auto"/>
        <w:left w:val="none" w:sz="0" w:space="0" w:color="auto"/>
        <w:bottom w:val="none" w:sz="0" w:space="0" w:color="auto"/>
        <w:right w:val="none" w:sz="0" w:space="0" w:color="auto"/>
      </w:divBdr>
    </w:div>
    <w:div w:id="1351837123">
      <w:bodyDiv w:val="1"/>
      <w:marLeft w:val="0"/>
      <w:marRight w:val="0"/>
      <w:marTop w:val="0"/>
      <w:marBottom w:val="0"/>
      <w:divBdr>
        <w:top w:val="none" w:sz="0" w:space="0" w:color="auto"/>
        <w:left w:val="none" w:sz="0" w:space="0" w:color="auto"/>
        <w:bottom w:val="none" w:sz="0" w:space="0" w:color="auto"/>
        <w:right w:val="none" w:sz="0" w:space="0" w:color="auto"/>
      </w:divBdr>
    </w:div>
    <w:div w:id="1388262877">
      <w:bodyDiv w:val="1"/>
      <w:marLeft w:val="0"/>
      <w:marRight w:val="0"/>
      <w:marTop w:val="0"/>
      <w:marBottom w:val="0"/>
      <w:divBdr>
        <w:top w:val="none" w:sz="0" w:space="0" w:color="auto"/>
        <w:left w:val="none" w:sz="0" w:space="0" w:color="auto"/>
        <w:bottom w:val="none" w:sz="0" w:space="0" w:color="auto"/>
        <w:right w:val="none" w:sz="0" w:space="0" w:color="auto"/>
      </w:divBdr>
    </w:div>
    <w:div w:id="1413237573">
      <w:bodyDiv w:val="1"/>
      <w:marLeft w:val="0"/>
      <w:marRight w:val="0"/>
      <w:marTop w:val="0"/>
      <w:marBottom w:val="0"/>
      <w:divBdr>
        <w:top w:val="none" w:sz="0" w:space="0" w:color="auto"/>
        <w:left w:val="none" w:sz="0" w:space="0" w:color="auto"/>
        <w:bottom w:val="none" w:sz="0" w:space="0" w:color="auto"/>
        <w:right w:val="none" w:sz="0" w:space="0" w:color="auto"/>
      </w:divBdr>
      <w:divsChild>
        <w:div w:id="1557008941">
          <w:marLeft w:val="0"/>
          <w:marRight w:val="0"/>
          <w:marTop w:val="0"/>
          <w:marBottom w:val="0"/>
          <w:divBdr>
            <w:top w:val="none" w:sz="0" w:space="0" w:color="auto"/>
            <w:left w:val="none" w:sz="0" w:space="0" w:color="auto"/>
            <w:bottom w:val="none" w:sz="0" w:space="0" w:color="auto"/>
            <w:right w:val="none" w:sz="0" w:space="0" w:color="auto"/>
          </w:divBdr>
          <w:divsChild>
            <w:div w:id="1805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767041">
      <w:bodyDiv w:val="1"/>
      <w:marLeft w:val="0"/>
      <w:marRight w:val="0"/>
      <w:marTop w:val="0"/>
      <w:marBottom w:val="0"/>
      <w:divBdr>
        <w:top w:val="none" w:sz="0" w:space="0" w:color="auto"/>
        <w:left w:val="none" w:sz="0" w:space="0" w:color="auto"/>
        <w:bottom w:val="none" w:sz="0" w:space="0" w:color="auto"/>
        <w:right w:val="none" w:sz="0" w:space="0" w:color="auto"/>
      </w:divBdr>
      <w:divsChild>
        <w:div w:id="2144080955">
          <w:marLeft w:val="0"/>
          <w:marRight w:val="0"/>
          <w:marTop w:val="0"/>
          <w:marBottom w:val="0"/>
          <w:divBdr>
            <w:top w:val="none" w:sz="0" w:space="0" w:color="auto"/>
            <w:left w:val="none" w:sz="0" w:space="0" w:color="auto"/>
            <w:bottom w:val="none" w:sz="0" w:space="0" w:color="auto"/>
            <w:right w:val="none" w:sz="0" w:space="0" w:color="auto"/>
          </w:divBdr>
        </w:div>
        <w:div w:id="518277092">
          <w:marLeft w:val="0"/>
          <w:marRight w:val="0"/>
          <w:marTop w:val="0"/>
          <w:marBottom w:val="0"/>
          <w:divBdr>
            <w:top w:val="none" w:sz="0" w:space="0" w:color="auto"/>
            <w:left w:val="none" w:sz="0" w:space="0" w:color="auto"/>
            <w:bottom w:val="none" w:sz="0" w:space="0" w:color="auto"/>
            <w:right w:val="none" w:sz="0" w:space="0" w:color="auto"/>
          </w:divBdr>
        </w:div>
        <w:div w:id="356737128">
          <w:marLeft w:val="0"/>
          <w:marRight w:val="0"/>
          <w:marTop w:val="0"/>
          <w:marBottom w:val="0"/>
          <w:divBdr>
            <w:top w:val="none" w:sz="0" w:space="0" w:color="auto"/>
            <w:left w:val="none" w:sz="0" w:space="0" w:color="auto"/>
            <w:bottom w:val="none" w:sz="0" w:space="0" w:color="auto"/>
            <w:right w:val="none" w:sz="0" w:space="0" w:color="auto"/>
          </w:divBdr>
        </w:div>
        <w:div w:id="524101394">
          <w:marLeft w:val="0"/>
          <w:marRight w:val="0"/>
          <w:marTop w:val="0"/>
          <w:marBottom w:val="0"/>
          <w:divBdr>
            <w:top w:val="none" w:sz="0" w:space="0" w:color="auto"/>
            <w:left w:val="none" w:sz="0" w:space="0" w:color="auto"/>
            <w:bottom w:val="none" w:sz="0" w:space="0" w:color="auto"/>
            <w:right w:val="none" w:sz="0" w:space="0" w:color="auto"/>
          </w:divBdr>
        </w:div>
        <w:div w:id="1851796419">
          <w:marLeft w:val="0"/>
          <w:marRight w:val="0"/>
          <w:marTop w:val="0"/>
          <w:marBottom w:val="0"/>
          <w:divBdr>
            <w:top w:val="none" w:sz="0" w:space="0" w:color="auto"/>
            <w:left w:val="none" w:sz="0" w:space="0" w:color="auto"/>
            <w:bottom w:val="none" w:sz="0" w:space="0" w:color="auto"/>
            <w:right w:val="none" w:sz="0" w:space="0" w:color="auto"/>
          </w:divBdr>
        </w:div>
        <w:div w:id="1656227032">
          <w:marLeft w:val="0"/>
          <w:marRight w:val="0"/>
          <w:marTop w:val="0"/>
          <w:marBottom w:val="0"/>
          <w:divBdr>
            <w:top w:val="none" w:sz="0" w:space="0" w:color="auto"/>
            <w:left w:val="none" w:sz="0" w:space="0" w:color="auto"/>
            <w:bottom w:val="none" w:sz="0" w:space="0" w:color="auto"/>
            <w:right w:val="none" w:sz="0" w:space="0" w:color="auto"/>
          </w:divBdr>
        </w:div>
        <w:div w:id="1831823187">
          <w:marLeft w:val="0"/>
          <w:marRight w:val="0"/>
          <w:marTop w:val="0"/>
          <w:marBottom w:val="0"/>
          <w:divBdr>
            <w:top w:val="none" w:sz="0" w:space="0" w:color="auto"/>
            <w:left w:val="none" w:sz="0" w:space="0" w:color="auto"/>
            <w:bottom w:val="none" w:sz="0" w:space="0" w:color="auto"/>
            <w:right w:val="none" w:sz="0" w:space="0" w:color="auto"/>
          </w:divBdr>
        </w:div>
        <w:div w:id="150872990">
          <w:marLeft w:val="0"/>
          <w:marRight w:val="0"/>
          <w:marTop w:val="0"/>
          <w:marBottom w:val="0"/>
          <w:divBdr>
            <w:top w:val="none" w:sz="0" w:space="0" w:color="auto"/>
            <w:left w:val="none" w:sz="0" w:space="0" w:color="auto"/>
            <w:bottom w:val="none" w:sz="0" w:space="0" w:color="auto"/>
            <w:right w:val="none" w:sz="0" w:space="0" w:color="auto"/>
          </w:divBdr>
        </w:div>
        <w:div w:id="2036731438">
          <w:marLeft w:val="0"/>
          <w:marRight w:val="0"/>
          <w:marTop w:val="0"/>
          <w:marBottom w:val="0"/>
          <w:divBdr>
            <w:top w:val="none" w:sz="0" w:space="0" w:color="auto"/>
            <w:left w:val="none" w:sz="0" w:space="0" w:color="auto"/>
            <w:bottom w:val="none" w:sz="0" w:space="0" w:color="auto"/>
            <w:right w:val="none" w:sz="0" w:space="0" w:color="auto"/>
          </w:divBdr>
        </w:div>
        <w:div w:id="70202425">
          <w:marLeft w:val="0"/>
          <w:marRight w:val="0"/>
          <w:marTop w:val="0"/>
          <w:marBottom w:val="0"/>
          <w:divBdr>
            <w:top w:val="none" w:sz="0" w:space="0" w:color="auto"/>
            <w:left w:val="none" w:sz="0" w:space="0" w:color="auto"/>
            <w:bottom w:val="none" w:sz="0" w:space="0" w:color="auto"/>
            <w:right w:val="none" w:sz="0" w:space="0" w:color="auto"/>
          </w:divBdr>
        </w:div>
        <w:div w:id="110709252">
          <w:marLeft w:val="0"/>
          <w:marRight w:val="0"/>
          <w:marTop w:val="0"/>
          <w:marBottom w:val="0"/>
          <w:divBdr>
            <w:top w:val="none" w:sz="0" w:space="0" w:color="auto"/>
            <w:left w:val="none" w:sz="0" w:space="0" w:color="auto"/>
            <w:bottom w:val="none" w:sz="0" w:space="0" w:color="auto"/>
            <w:right w:val="none" w:sz="0" w:space="0" w:color="auto"/>
          </w:divBdr>
        </w:div>
        <w:div w:id="584145891">
          <w:marLeft w:val="0"/>
          <w:marRight w:val="0"/>
          <w:marTop w:val="0"/>
          <w:marBottom w:val="0"/>
          <w:divBdr>
            <w:top w:val="none" w:sz="0" w:space="0" w:color="auto"/>
            <w:left w:val="none" w:sz="0" w:space="0" w:color="auto"/>
            <w:bottom w:val="none" w:sz="0" w:space="0" w:color="auto"/>
            <w:right w:val="none" w:sz="0" w:space="0" w:color="auto"/>
          </w:divBdr>
        </w:div>
        <w:div w:id="995844886">
          <w:marLeft w:val="0"/>
          <w:marRight w:val="0"/>
          <w:marTop w:val="0"/>
          <w:marBottom w:val="0"/>
          <w:divBdr>
            <w:top w:val="none" w:sz="0" w:space="0" w:color="auto"/>
            <w:left w:val="none" w:sz="0" w:space="0" w:color="auto"/>
            <w:bottom w:val="none" w:sz="0" w:space="0" w:color="auto"/>
            <w:right w:val="none" w:sz="0" w:space="0" w:color="auto"/>
          </w:divBdr>
        </w:div>
        <w:div w:id="1956013679">
          <w:marLeft w:val="0"/>
          <w:marRight w:val="0"/>
          <w:marTop w:val="0"/>
          <w:marBottom w:val="0"/>
          <w:divBdr>
            <w:top w:val="none" w:sz="0" w:space="0" w:color="auto"/>
            <w:left w:val="none" w:sz="0" w:space="0" w:color="auto"/>
            <w:bottom w:val="none" w:sz="0" w:space="0" w:color="auto"/>
            <w:right w:val="none" w:sz="0" w:space="0" w:color="auto"/>
          </w:divBdr>
        </w:div>
        <w:div w:id="1505391676">
          <w:marLeft w:val="0"/>
          <w:marRight w:val="0"/>
          <w:marTop w:val="0"/>
          <w:marBottom w:val="0"/>
          <w:divBdr>
            <w:top w:val="none" w:sz="0" w:space="0" w:color="auto"/>
            <w:left w:val="none" w:sz="0" w:space="0" w:color="auto"/>
            <w:bottom w:val="none" w:sz="0" w:space="0" w:color="auto"/>
            <w:right w:val="none" w:sz="0" w:space="0" w:color="auto"/>
          </w:divBdr>
        </w:div>
      </w:divsChild>
    </w:div>
    <w:div w:id="1455558337">
      <w:bodyDiv w:val="1"/>
      <w:marLeft w:val="0"/>
      <w:marRight w:val="0"/>
      <w:marTop w:val="0"/>
      <w:marBottom w:val="0"/>
      <w:divBdr>
        <w:top w:val="none" w:sz="0" w:space="0" w:color="auto"/>
        <w:left w:val="none" w:sz="0" w:space="0" w:color="auto"/>
        <w:bottom w:val="none" w:sz="0" w:space="0" w:color="auto"/>
        <w:right w:val="none" w:sz="0" w:space="0" w:color="auto"/>
      </w:divBdr>
      <w:divsChild>
        <w:div w:id="142935409">
          <w:marLeft w:val="0"/>
          <w:marRight w:val="0"/>
          <w:marTop w:val="0"/>
          <w:marBottom w:val="0"/>
          <w:divBdr>
            <w:top w:val="none" w:sz="0" w:space="0" w:color="auto"/>
            <w:left w:val="none" w:sz="0" w:space="0" w:color="auto"/>
            <w:bottom w:val="none" w:sz="0" w:space="0" w:color="auto"/>
            <w:right w:val="none" w:sz="0" w:space="0" w:color="auto"/>
          </w:divBdr>
        </w:div>
      </w:divsChild>
    </w:div>
    <w:div w:id="1484008473">
      <w:bodyDiv w:val="1"/>
      <w:marLeft w:val="0"/>
      <w:marRight w:val="0"/>
      <w:marTop w:val="0"/>
      <w:marBottom w:val="0"/>
      <w:divBdr>
        <w:top w:val="none" w:sz="0" w:space="0" w:color="auto"/>
        <w:left w:val="none" w:sz="0" w:space="0" w:color="auto"/>
        <w:bottom w:val="none" w:sz="0" w:space="0" w:color="auto"/>
        <w:right w:val="none" w:sz="0" w:space="0" w:color="auto"/>
      </w:divBdr>
    </w:div>
    <w:div w:id="1524710145">
      <w:bodyDiv w:val="1"/>
      <w:marLeft w:val="0"/>
      <w:marRight w:val="0"/>
      <w:marTop w:val="0"/>
      <w:marBottom w:val="0"/>
      <w:divBdr>
        <w:top w:val="none" w:sz="0" w:space="0" w:color="auto"/>
        <w:left w:val="none" w:sz="0" w:space="0" w:color="auto"/>
        <w:bottom w:val="none" w:sz="0" w:space="0" w:color="auto"/>
        <w:right w:val="none" w:sz="0" w:space="0" w:color="auto"/>
      </w:divBdr>
      <w:divsChild>
        <w:div w:id="513112021">
          <w:marLeft w:val="0"/>
          <w:marRight w:val="0"/>
          <w:marTop w:val="0"/>
          <w:marBottom w:val="0"/>
          <w:divBdr>
            <w:top w:val="none" w:sz="0" w:space="0" w:color="auto"/>
            <w:left w:val="none" w:sz="0" w:space="0" w:color="auto"/>
            <w:bottom w:val="none" w:sz="0" w:space="0" w:color="auto"/>
            <w:right w:val="none" w:sz="0" w:space="0" w:color="auto"/>
          </w:divBdr>
        </w:div>
      </w:divsChild>
    </w:div>
    <w:div w:id="1539779087">
      <w:bodyDiv w:val="1"/>
      <w:marLeft w:val="0"/>
      <w:marRight w:val="0"/>
      <w:marTop w:val="0"/>
      <w:marBottom w:val="0"/>
      <w:divBdr>
        <w:top w:val="none" w:sz="0" w:space="0" w:color="auto"/>
        <w:left w:val="none" w:sz="0" w:space="0" w:color="auto"/>
        <w:bottom w:val="none" w:sz="0" w:space="0" w:color="auto"/>
        <w:right w:val="none" w:sz="0" w:space="0" w:color="auto"/>
      </w:divBdr>
    </w:div>
    <w:div w:id="1547984396">
      <w:bodyDiv w:val="1"/>
      <w:marLeft w:val="0"/>
      <w:marRight w:val="0"/>
      <w:marTop w:val="0"/>
      <w:marBottom w:val="0"/>
      <w:divBdr>
        <w:top w:val="none" w:sz="0" w:space="0" w:color="auto"/>
        <w:left w:val="none" w:sz="0" w:space="0" w:color="auto"/>
        <w:bottom w:val="none" w:sz="0" w:space="0" w:color="auto"/>
        <w:right w:val="none" w:sz="0" w:space="0" w:color="auto"/>
      </w:divBdr>
      <w:divsChild>
        <w:div w:id="1100640196">
          <w:marLeft w:val="0"/>
          <w:marRight w:val="0"/>
          <w:marTop w:val="0"/>
          <w:marBottom w:val="0"/>
          <w:divBdr>
            <w:top w:val="none" w:sz="0" w:space="0" w:color="auto"/>
            <w:left w:val="none" w:sz="0" w:space="0" w:color="auto"/>
            <w:bottom w:val="none" w:sz="0" w:space="0" w:color="auto"/>
            <w:right w:val="none" w:sz="0" w:space="0" w:color="auto"/>
          </w:divBdr>
        </w:div>
      </w:divsChild>
    </w:div>
    <w:div w:id="1603684927">
      <w:bodyDiv w:val="1"/>
      <w:marLeft w:val="0"/>
      <w:marRight w:val="0"/>
      <w:marTop w:val="0"/>
      <w:marBottom w:val="0"/>
      <w:divBdr>
        <w:top w:val="none" w:sz="0" w:space="0" w:color="auto"/>
        <w:left w:val="none" w:sz="0" w:space="0" w:color="auto"/>
        <w:bottom w:val="none" w:sz="0" w:space="0" w:color="auto"/>
        <w:right w:val="none" w:sz="0" w:space="0" w:color="auto"/>
      </w:divBdr>
      <w:divsChild>
        <w:div w:id="20204275">
          <w:marLeft w:val="0"/>
          <w:marRight w:val="0"/>
          <w:marTop w:val="0"/>
          <w:marBottom w:val="0"/>
          <w:divBdr>
            <w:top w:val="none" w:sz="0" w:space="0" w:color="auto"/>
            <w:left w:val="none" w:sz="0" w:space="0" w:color="auto"/>
            <w:bottom w:val="none" w:sz="0" w:space="0" w:color="auto"/>
            <w:right w:val="none" w:sz="0" w:space="0" w:color="auto"/>
          </w:divBdr>
          <w:divsChild>
            <w:div w:id="186524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088934">
      <w:bodyDiv w:val="1"/>
      <w:marLeft w:val="0"/>
      <w:marRight w:val="0"/>
      <w:marTop w:val="0"/>
      <w:marBottom w:val="0"/>
      <w:divBdr>
        <w:top w:val="none" w:sz="0" w:space="0" w:color="auto"/>
        <w:left w:val="none" w:sz="0" w:space="0" w:color="auto"/>
        <w:bottom w:val="none" w:sz="0" w:space="0" w:color="auto"/>
        <w:right w:val="none" w:sz="0" w:space="0" w:color="auto"/>
      </w:divBdr>
      <w:divsChild>
        <w:div w:id="104539615">
          <w:marLeft w:val="0"/>
          <w:marRight w:val="0"/>
          <w:marTop w:val="0"/>
          <w:marBottom w:val="0"/>
          <w:divBdr>
            <w:top w:val="none" w:sz="0" w:space="0" w:color="auto"/>
            <w:left w:val="none" w:sz="0" w:space="0" w:color="auto"/>
            <w:bottom w:val="none" w:sz="0" w:space="0" w:color="auto"/>
            <w:right w:val="none" w:sz="0" w:space="0" w:color="auto"/>
          </w:divBdr>
        </w:div>
        <w:div w:id="2127195666">
          <w:marLeft w:val="0"/>
          <w:marRight w:val="0"/>
          <w:marTop w:val="0"/>
          <w:marBottom w:val="0"/>
          <w:divBdr>
            <w:top w:val="none" w:sz="0" w:space="0" w:color="auto"/>
            <w:left w:val="none" w:sz="0" w:space="0" w:color="auto"/>
            <w:bottom w:val="none" w:sz="0" w:space="0" w:color="auto"/>
            <w:right w:val="none" w:sz="0" w:space="0" w:color="auto"/>
          </w:divBdr>
        </w:div>
      </w:divsChild>
    </w:div>
    <w:div w:id="1640261920">
      <w:bodyDiv w:val="1"/>
      <w:marLeft w:val="0"/>
      <w:marRight w:val="0"/>
      <w:marTop w:val="0"/>
      <w:marBottom w:val="0"/>
      <w:divBdr>
        <w:top w:val="none" w:sz="0" w:space="0" w:color="auto"/>
        <w:left w:val="none" w:sz="0" w:space="0" w:color="auto"/>
        <w:bottom w:val="none" w:sz="0" w:space="0" w:color="auto"/>
        <w:right w:val="none" w:sz="0" w:space="0" w:color="auto"/>
      </w:divBdr>
    </w:div>
    <w:div w:id="1672290033">
      <w:bodyDiv w:val="1"/>
      <w:marLeft w:val="0"/>
      <w:marRight w:val="0"/>
      <w:marTop w:val="0"/>
      <w:marBottom w:val="0"/>
      <w:divBdr>
        <w:top w:val="none" w:sz="0" w:space="0" w:color="auto"/>
        <w:left w:val="none" w:sz="0" w:space="0" w:color="auto"/>
        <w:bottom w:val="none" w:sz="0" w:space="0" w:color="auto"/>
        <w:right w:val="none" w:sz="0" w:space="0" w:color="auto"/>
      </w:divBdr>
    </w:div>
    <w:div w:id="1747266107">
      <w:bodyDiv w:val="1"/>
      <w:marLeft w:val="0"/>
      <w:marRight w:val="0"/>
      <w:marTop w:val="0"/>
      <w:marBottom w:val="0"/>
      <w:divBdr>
        <w:top w:val="none" w:sz="0" w:space="0" w:color="auto"/>
        <w:left w:val="none" w:sz="0" w:space="0" w:color="auto"/>
        <w:bottom w:val="none" w:sz="0" w:space="0" w:color="auto"/>
        <w:right w:val="none" w:sz="0" w:space="0" w:color="auto"/>
      </w:divBdr>
    </w:div>
    <w:div w:id="1893271463">
      <w:bodyDiv w:val="1"/>
      <w:marLeft w:val="0"/>
      <w:marRight w:val="0"/>
      <w:marTop w:val="0"/>
      <w:marBottom w:val="0"/>
      <w:divBdr>
        <w:top w:val="none" w:sz="0" w:space="0" w:color="auto"/>
        <w:left w:val="none" w:sz="0" w:space="0" w:color="auto"/>
        <w:bottom w:val="none" w:sz="0" w:space="0" w:color="auto"/>
        <w:right w:val="none" w:sz="0" w:space="0" w:color="auto"/>
      </w:divBdr>
      <w:divsChild>
        <w:div w:id="7103508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S000819731600070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80/03069400.2016.118526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757239" TargetMode="External"/><Relationship Id="rId11" Type="http://schemas.openxmlformats.org/officeDocument/2006/relationships/hyperlink" Target="https://doi.org/10.2307/1333022" TargetMode="External"/><Relationship Id="rId5" Type="http://schemas.openxmlformats.org/officeDocument/2006/relationships/endnotes" Target="endnotes.xml"/><Relationship Id="rId10" Type="http://schemas.openxmlformats.org/officeDocument/2006/relationships/hyperlink" Target="https://doi.org/10.5750/dlj.v15i1.291" TargetMode="External"/><Relationship Id="rId4" Type="http://schemas.openxmlformats.org/officeDocument/2006/relationships/footnotes" Target="footnotes.xml"/><Relationship Id="rId9" Type="http://schemas.openxmlformats.org/officeDocument/2006/relationships/hyperlink" Target="http://www.jstor.org/stable/10940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1262</TotalTime>
  <Pages>10</Pages>
  <Words>2641</Words>
  <Characters>13473</Characters>
  <Application>Microsoft Office Word</Application>
  <DocSecurity>0</DocSecurity>
  <Lines>213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Songlin Zou (2300327)</dc:creator>
  <cp:keywords/>
  <dc:description/>
  <cp:lastModifiedBy>Songlin Zou (2300327)</cp:lastModifiedBy>
  <cp:revision>247</cp:revision>
  <dcterms:created xsi:type="dcterms:W3CDTF">2024-03-12T11:14:00Z</dcterms:created>
  <dcterms:modified xsi:type="dcterms:W3CDTF">2024-03-15T23:58:00Z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98d0fecfbc08e9c800a8fd375af46e1104d1d2b37f80a783faa604c9f489ace1</vt:lpwstr>
  </property>
</Properties>
</file>