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C48F6" w14:textId="77777777" w:rsidR="000138E2" w:rsidRPr="000138E2" w:rsidRDefault="000138E2" w:rsidP="000138E2">
      <w:pPr>
        <w:pStyle w:val="Heading2"/>
        <w:spacing w:line="360" w:lineRule="auto"/>
        <w:rPr>
          <w:sz w:val="28"/>
          <w:szCs w:val="28"/>
        </w:rPr>
      </w:pPr>
      <w:r w:rsidRPr="000138E2">
        <w:rPr>
          <w:rStyle w:val="Strong"/>
          <w:sz w:val="28"/>
          <w:szCs w:val="28"/>
        </w:rPr>
        <w:t>The Role of a Sexual Health Worker</w:t>
      </w:r>
    </w:p>
    <w:p w14:paraId="3127CCB3" w14:textId="77777777" w:rsidR="000138E2" w:rsidRPr="00E52EEE" w:rsidRDefault="000138E2" w:rsidP="000138E2">
      <w:pPr>
        <w:pStyle w:val="Heading3"/>
        <w:spacing w:line="360" w:lineRule="auto"/>
        <w:rPr>
          <w:color w:val="000000" w:themeColor="text1"/>
          <w:sz w:val="28"/>
          <w:szCs w:val="28"/>
        </w:rPr>
      </w:pPr>
      <w:r w:rsidRPr="00E52EEE">
        <w:rPr>
          <w:rStyle w:val="Strong"/>
          <w:color w:val="000000" w:themeColor="text1"/>
          <w:sz w:val="28"/>
          <w:szCs w:val="28"/>
        </w:rPr>
        <w:t>Student Name:</w:t>
      </w:r>
      <w:r w:rsidRPr="00E52EEE">
        <w:rPr>
          <w:color w:val="000000" w:themeColor="text1"/>
          <w:sz w:val="28"/>
          <w:szCs w:val="28"/>
        </w:rPr>
        <w:t xml:space="preserve"> [Valteri Berlijanto Enzo Trajkunovic] </w:t>
      </w:r>
    </w:p>
    <w:p w14:paraId="5EE4C5DE" w14:textId="77777777" w:rsidR="000138E2" w:rsidRPr="00E52EEE" w:rsidRDefault="000138E2" w:rsidP="000138E2">
      <w:pPr>
        <w:spacing w:line="360" w:lineRule="auto"/>
        <w:rPr>
          <w:color w:val="000000" w:themeColor="text1"/>
          <w:sz w:val="28"/>
          <w:szCs w:val="28"/>
        </w:rPr>
      </w:pPr>
      <w:r w:rsidRPr="00E52EEE">
        <w:rPr>
          <w:color w:val="000000" w:themeColor="text1"/>
          <w:sz w:val="28"/>
          <w:szCs w:val="28"/>
        </w:rPr>
        <w:t>Course: [Academic and Employability Skills]</w:t>
      </w:r>
    </w:p>
    <w:p w14:paraId="0987C37F" w14:textId="77777777" w:rsidR="000138E2" w:rsidRPr="00E52EEE" w:rsidRDefault="000138E2" w:rsidP="000138E2">
      <w:pPr>
        <w:spacing w:line="360" w:lineRule="auto"/>
        <w:rPr>
          <w:color w:val="000000" w:themeColor="text1"/>
          <w:sz w:val="28"/>
          <w:szCs w:val="28"/>
        </w:rPr>
      </w:pPr>
      <w:r w:rsidRPr="00E52EEE">
        <w:rPr>
          <w:rStyle w:val="Strong"/>
          <w:b w:val="0"/>
          <w:bCs w:val="0"/>
          <w:color w:val="000000" w:themeColor="text1"/>
          <w:sz w:val="28"/>
          <w:szCs w:val="28"/>
        </w:rPr>
        <w:t>Tutor:</w:t>
      </w:r>
      <w:r w:rsidRPr="00E52EEE">
        <w:rPr>
          <w:color w:val="000000" w:themeColor="text1"/>
          <w:sz w:val="28"/>
          <w:szCs w:val="28"/>
        </w:rPr>
        <w:t xml:space="preserve"> [Ogochukwu Agunenye]</w:t>
      </w:r>
    </w:p>
    <w:p w14:paraId="38639D8E" w14:textId="77777777" w:rsidR="000138E2" w:rsidRPr="00E52EEE" w:rsidRDefault="000138E2" w:rsidP="000138E2">
      <w:pPr>
        <w:pStyle w:val="Heading3"/>
        <w:spacing w:line="360" w:lineRule="auto"/>
        <w:rPr>
          <w:color w:val="000000" w:themeColor="text1"/>
          <w:sz w:val="28"/>
          <w:szCs w:val="28"/>
        </w:rPr>
      </w:pPr>
      <w:r w:rsidRPr="00E52EEE">
        <w:rPr>
          <w:rStyle w:val="Strong"/>
          <w:color w:val="000000" w:themeColor="text1"/>
          <w:sz w:val="28"/>
          <w:szCs w:val="28"/>
        </w:rPr>
        <w:t>Date:</w:t>
      </w:r>
      <w:r w:rsidRPr="00E52EEE">
        <w:rPr>
          <w:color w:val="000000" w:themeColor="text1"/>
          <w:sz w:val="28"/>
          <w:szCs w:val="28"/>
        </w:rPr>
        <w:t xml:space="preserve"> [</w:t>
      </w:r>
      <w:r>
        <w:rPr>
          <w:color w:val="000000" w:themeColor="text1"/>
          <w:sz w:val="28"/>
          <w:szCs w:val="28"/>
        </w:rPr>
        <w:t>16/11/25</w:t>
      </w:r>
      <w:r w:rsidRPr="00E52EEE">
        <w:rPr>
          <w:color w:val="000000" w:themeColor="text1"/>
          <w:sz w:val="28"/>
          <w:szCs w:val="28"/>
        </w:rPr>
        <w:t>]</w:t>
      </w:r>
    </w:p>
    <w:p w14:paraId="6EEF8F8E"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2608553"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CD62F1B"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589E7FA"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B5FD78A"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D86CC89"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4BD3D16"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08BDF18"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45CF689"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4106AF36"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8EA3119"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609A323" w14:textId="77777777" w:rsidR="000138E2" w:rsidRDefault="000138E2" w:rsidP="000138E2">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1A89D86" w14:textId="19DFEC97" w:rsidR="000138E2" w:rsidRPr="000138E2" w:rsidRDefault="000138E2" w:rsidP="000138E2">
      <w:pPr>
        <w:spacing w:before="100" w:beforeAutospacing="1" w:after="100" w:afterAutospacing="1" w:line="240" w:lineRule="auto"/>
        <w:outlineLvl w:val="0"/>
        <w:rPr>
          <w:rFonts w:ascii="Arial" w:eastAsia="Times New Roman" w:hAnsi="Arial" w:cs="Arial"/>
          <w:b/>
          <w:bCs/>
          <w:kern w:val="36"/>
          <w14:ligatures w14:val="none"/>
        </w:rPr>
      </w:pPr>
      <w:r w:rsidRPr="000138E2">
        <w:rPr>
          <w:rFonts w:ascii="Arial" w:eastAsia="Times New Roman" w:hAnsi="Arial" w:cs="Arial"/>
          <w:b/>
          <w:bCs/>
          <w:kern w:val="36"/>
          <w14:ligatures w14:val="none"/>
        </w:rPr>
        <w:lastRenderedPageBreak/>
        <w:t xml:space="preserve">1.1 </w:t>
      </w:r>
      <w:r w:rsidRPr="000138E2">
        <w:rPr>
          <w:rFonts w:ascii="Arial" w:eastAsia="Times New Roman" w:hAnsi="Arial" w:cs="Arial"/>
          <w:b/>
          <w:bCs/>
          <w:kern w:val="36"/>
          <w14:ligatures w14:val="none"/>
        </w:rPr>
        <w:t>introduction</w:t>
      </w:r>
    </w:p>
    <w:p w14:paraId="0CAFCF36"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A sexual health worker plays an essential role within the wider health and social care sector by supporting individuals to make informed decisions about their sexual wellbeing. I chose this role because sexual health is an area that is often overlooked due to stigma, yet it has a major impact on public health, relationships, and emotional wellbeing. This role is important because it promotes early detection of sexually transmitted infections (STIs), encourages safer sexual practices, and provides confidential support to diverse communities. This report will describe the role of a sexual health worker, evaluate three key skills required for effective practice, and outline strategies to improve these skills.</w:t>
      </w:r>
    </w:p>
    <w:p w14:paraId="4FAD0091" w14:textId="10082EE2" w:rsidR="000138E2" w:rsidRPr="000138E2" w:rsidRDefault="000138E2" w:rsidP="000138E2">
      <w:pPr>
        <w:spacing w:after="0" w:line="240" w:lineRule="auto"/>
        <w:rPr>
          <w:rFonts w:ascii="Arial" w:eastAsia="Times New Roman" w:hAnsi="Arial" w:cs="Arial"/>
          <w:kern w:val="0"/>
          <w14:ligatures w14:val="none"/>
        </w:rPr>
      </w:pPr>
    </w:p>
    <w:p w14:paraId="3AFB8C20" w14:textId="3E840FBB" w:rsidR="000138E2" w:rsidRPr="000138E2" w:rsidRDefault="000138E2" w:rsidP="000138E2">
      <w:pPr>
        <w:spacing w:before="100" w:beforeAutospacing="1" w:after="100" w:afterAutospacing="1" w:line="240" w:lineRule="auto"/>
        <w:outlineLvl w:val="0"/>
        <w:rPr>
          <w:rFonts w:ascii="Arial" w:eastAsia="Times New Roman" w:hAnsi="Arial" w:cs="Arial"/>
          <w:b/>
          <w:bCs/>
          <w:kern w:val="36"/>
          <w14:ligatures w14:val="none"/>
        </w:rPr>
      </w:pPr>
      <w:r w:rsidRPr="000138E2">
        <w:rPr>
          <w:rFonts w:ascii="Arial" w:eastAsia="Times New Roman" w:hAnsi="Arial" w:cs="Arial"/>
          <w:b/>
          <w:bCs/>
          <w:kern w:val="36"/>
          <w14:ligatures w14:val="none"/>
        </w:rPr>
        <w:t xml:space="preserve">1.2 Description and Background of the Role </w:t>
      </w:r>
    </w:p>
    <w:p w14:paraId="5F3B6C1C"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Sexual health workers support individuals seeking information, testing, treatment, or guidance related to sexual wellbeing. They work in NHS sexual health clinics, hospitals, schools, youth services, and community outreach programmes. Their main aim is to provide accessible, confidential, and non-judgmental services to people of all ages, backgrounds, and identities. This is essential because many individuals feel embarrassed, anxious, or fearful when discussing sexual health. By providing a safe and supportive environment, sexual health workers help reduce stigma and encourage people to access the care they need.</w:t>
      </w:r>
    </w:p>
    <w:p w14:paraId="05AF48C4"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The role involves several duties, including conducting sexual health assessments, discussing contraception and safer sex, supporting STI testing and treatment, delivering educational workshops, and offering emotional support to clients. They also maintain accurate records, follow safeguarding procedures, and collaborate closely with nurses, doctors, counsellors, and public health teams. The most important duty is ensuring clients feel safe, respected, and heard, as trust forms the foundation for honest communication and successful healthcare outcomes. To carry out these responsibilities, sexual health workers require strong communication abilities, emotional intelligence, cultural awareness, and a commitment to confidentiality.</w:t>
      </w:r>
    </w:p>
    <w:p w14:paraId="30872B78" w14:textId="039541C1" w:rsidR="000138E2" w:rsidRPr="000138E2" w:rsidRDefault="000138E2" w:rsidP="000138E2">
      <w:pPr>
        <w:spacing w:after="0" w:line="240" w:lineRule="auto"/>
        <w:rPr>
          <w:rFonts w:ascii="Arial" w:eastAsia="Times New Roman" w:hAnsi="Arial" w:cs="Arial"/>
          <w:kern w:val="0"/>
          <w14:ligatures w14:val="none"/>
        </w:rPr>
      </w:pPr>
    </w:p>
    <w:p w14:paraId="4C9B7123" w14:textId="6B5C5F95" w:rsidR="000138E2" w:rsidRDefault="000138E2" w:rsidP="000138E2">
      <w:pPr>
        <w:spacing w:before="100" w:beforeAutospacing="1" w:after="100" w:afterAutospacing="1" w:line="240" w:lineRule="auto"/>
        <w:outlineLvl w:val="0"/>
        <w:rPr>
          <w:rFonts w:ascii="Arial" w:eastAsia="Times New Roman" w:hAnsi="Arial" w:cs="Arial"/>
          <w:b/>
          <w:bCs/>
          <w:kern w:val="36"/>
          <w14:ligatures w14:val="none"/>
        </w:rPr>
      </w:pPr>
      <w:r w:rsidRPr="000138E2">
        <w:rPr>
          <w:rFonts w:ascii="Arial" w:eastAsia="Times New Roman" w:hAnsi="Arial" w:cs="Arial"/>
          <w:b/>
          <w:bCs/>
          <w:kern w:val="36"/>
          <w14:ligatures w14:val="none"/>
        </w:rPr>
        <w:t xml:space="preserve">1.3 Evaluation of the Skills Needed for the Role </w:t>
      </w:r>
    </w:p>
    <w:p w14:paraId="39D1B256" w14:textId="77A1FF5D" w:rsidR="0076454E" w:rsidRPr="000138E2" w:rsidRDefault="0076454E" w:rsidP="002B727A">
      <w:pPr>
        <w:pStyle w:val="NormalWeb"/>
        <w:rPr>
          <w:rFonts w:ascii="Arial" w:hAnsi="Arial" w:cs="Arial"/>
          <w:sz w:val="22"/>
          <w:szCs w:val="22"/>
        </w:rPr>
      </w:pPr>
      <w:r w:rsidRPr="0076454E">
        <w:rPr>
          <w:rFonts w:ascii="Arial" w:hAnsi="Arial" w:cs="Arial"/>
          <w:sz w:val="22"/>
          <w:szCs w:val="22"/>
        </w:rPr>
        <w:t>These skills are important because they build trust, support clients’ wellbeing, and ensure safe, professional care. They help clients feel respected, understood, and comfortable using health and social services.</w:t>
      </w:r>
    </w:p>
    <w:p w14:paraId="02501DB1"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Communication Skills</w:t>
      </w:r>
    </w:p>
    <w:p w14:paraId="568FB7D6" w14:textId="497B1F01"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 xml:space="preserve">Effective communication is one of the most important skills for a sexual health worker because much of the role involves discussing sensitive or personal topics. Workers must communicate clearly and calmly, avoiding medical jargon and adapting their explanations to each client’s level of understanding Health Education England, </w:t>
      </w:r>
      <w:r>
        <w:rPr>
          <w:rFonts w:ascii="Arial" w:eastAsia="Times New Roman" w:hAnsi="Arial" w:cs="Arial"/>
          <w:kern w:val="0"/>
          <w14:ligatures w14:val="none"/>
        </w:rPr>
        <w:t>(</w:t>
      </w:r>
      <w:r w:rsidRPr="000138E2">
        <w:rPr>
          <w:rFonts w:ascii="Arial" w:eastAsia="Times New Roman" w:hAnsi="Arial" w:cs="Arial"/>
          <w:kern w:val="0"/>
          <w14:ligatures w14:val="none"/>
        </w:rPr>
        <w:t>2021). Communication also includes active listening, non-verbal behaviour, and accurate written documentation.</w:t>
      </w:r>
    </w:p>
    <w:p w14:paraId="628C70D9"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 xml:space="preserve">Good communication helps staff build rapport, reduce client anxiety, and promote informed decision-making. For example, when explaining STI test results, a worker must deliver information sensitively and check the client’s understanding. If these skills are lacking, </w:t>
      </w:r>
      <w:r w:rsidRPr="000138E2">
        <w:rPr>
          <w:rFonts w:ascii="Arial" w:eastAsia="Times New Roman" w:hAnsi="Arial" w:cs="Arial"/>
          <w:kern w:val="0"/>
          <w14:ligatures w14:val="none"/>
        </w:rPr>
        <w:lastRenderedPageBreak/>
        <w:t>clients may feel judged or misunderstood, which can lead to disengagement from services, increased anxiety, or avoidance of treatment.</w:t>
      </w:r>
    </w:p>
    <w:p w14:paraId="40D21916"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Empathy and Emotional Intelligence</w:t>
      </w:r>
    </w:p>
    <w:p w14:paraId="57193C2E" w14:textId="52A0959B"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 xml:space="preserve">Empathy and emotional intelligence are vital because many clients experience fear, embarrassment, or distress when discussing sexual health. Emotional intelligence helps workers understand their own emotions and respond appropriately to the emotions of others Goleman, </w:t>
      </w:r>
      <w:r w:rsidR="0076454E">
        <w:rPr>
          <w:rFonts w:ascii="Arial" w:eastAsia="Times New Roman" w:hAnsi="Arial" w:cs="Arial"/>
          <w:kern w:val="0"/>
          <w14:ligatures w14:val="none"/>
        </w:rPr>
        <w:t>(</w:t>
      </w:r>
      <w:r w:rsidRPr="000138E2">
        <w:rPr>
          <w:rFonts w:ascii="Arial" w:eastAsia="Times New Roman" w:hAnsi="Arial" w:cs="Arial"/>
          <w:kern w:val="0"/>
          <w14:ligatures w14:val="none"/>
        </w:rPr>
        <w:t xml:space="preserve">1998). Showing empathy helps build trust and allows clients to </w:t>
      </w:r>
      <w:proofErr w:type="gramStart"/>
      <w:r w:rsidRPr="000138E2">
        <w:rPr>
          <w:rFonts w:ascii="Arial" w:eastAsia="Times New Roman" w:hAnsi="Arial" w:cs="Arial"/>
          <w:kern w:val="0"/>
          <w14:ligatures w14:val="none"/>
        </w:rPr>
        <w:t>open up</w:t>
      </w:r>
      <w:proofErr w:type="gramEnd"/>
      <w:r w:rsidRPr="000138E2">
        <w:rPr>
          <w:rFonts w:ascii="Arial" w:eastAsia="Times New Roman" w:hAnsi="Arial" w:cs="Arial"/>
          <w:kern w:val="0"/>
          <w14:ligatures w14:val="none"/>
        </w:rPr>
        <w:t xml:space="preserve"> about issues such as sexual identity, trauma, or relationship concerns.</w:t>
      </w:r>
    </w:p>
    <w:p w14:paraId="7E268CB8"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If a sexual health worker lacks empathy, clients may feel rushed, dismissed, or unsupported. This can lead to poor communication, reduced treatment adherence, and withdrawal from services. For example, a young person anxious about their first STI test needs reassurance and patience. Without empathy, they may never return for follow-up care, increasing their risk of untreated infections.</w:t>
      </w:r>
    </w:p>
    <w:p w14:paraId="27F17125"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Confidentiality and Professional Boundaries</w:t>
      </w:r>
    </w:p>
    <w:p w14:paraId="748E6D7B" w14:textId="6DEDA570"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 xml:space="preserve">Confidentiality is a fundamental requirement in sexual health services. Clients must feel confident that their information will remain private; otherwise, they may avoid seeking help altogether General Medical Council, </w:t>
      </w:r>
      <w:r w:rsidR="0076454E">
        <w:rPr>
          <w:rFonts w:ascii="Arial" w:eastAsia="Times New Roman" w:hAnsi="Arial" w:cs="Arial"/>
          <w:kern w:val="0"/>
          <w14:ligatures w14:val="none"/>
        </w:rPr>
        <w:t>(</w:t>
      </w:r>
      <w:r w:rsidRPr="000138E2">
        <w:rPr>
          <w:rFonts w:ascii="Arial" w:eastAsia="Times New Roman" w:hAnsi="Arial" w:cs="Arial"/>
          <w:kern w:val="0"/>
          <w14:ligatures w14:val="none"/>
        </w:rPr>
        <w:t>2023). Professional boundaries help maintain a safe, ethical relationship between worker and client. These boundaries prevent situations such as inappropriate disclosures, over-involvement, or personal relationships that could compromise professional integrity.</w:t>
      </w:r>
    </w:p>
    <w:p w14:paraId="170B0E1C"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If confidentiality is breached, trust is broken, and both ethical and legal consequences may occur. A client whose information is shared without consent may feel shame, fear, or betrayal and may no longer trust healthcare services. Similarly, weak boundaries can lead to blurred relationships and unsafe practice. Strong confidentiality skills protect both the client and the organisation, ensuring that sexual health services remain trustworthy and accessible.</w:t>
      </w:r>
    </w:p>
    <w:p w14:paraId="1E28F68E" w14:textId="24FB41B1" w:rsidR="000138E2" w:rsidRPr="000138E2" w:rsidRDefault="000138E2" w:rsidP="000138E2">
      <w:pPr>
        <w:spacing w:after="0" w:line="240" w:lineRule="auto"/>
        <w:rPr>
          <w:rFonts w:ascii="Arial" w:eastAsia="Times New Roman" w:hAnsi="Arial" w:cs="Arial"/>
          <w:kern w:val="0"/>
          <w14:ligatures w14:val="none"/>
        </w:rPr>
      </w:pPr>
    </w:p>
    <w:p w14:paraId="248769C6" w14:textId="51CBD17C" w:rsidR="000138E2" w:rsidRPr="000138E2" w:rsidRDefault="000138E2" w:rsidP="000138E2">
      <w:pPr>
        <w:spacing w:before="100" w:beforeAutospacing="1" w:after="100" w:afterAutospacing="1" w:line="240" w:lineRule="auto"/>
        <w:outlineLvl w:val="0"/>
        <w:rPr>
          <w:rFonts w:ascii="Arial" w:eastAsia="Times New Roman" w:hAnsi="Arial" w:cs="Arial"/>
          <w:b/>
          <w:bCs/>
          <w:kern w:val="36"/>
          <w14:ligatures w14:val="none"/>
        </w:rPr>
      </w:pPr>
      <w:r w:rsidRPr="000138E2">
        <w:rPr>
          <w:rFonts w:ascii="Arial" w:eastAsia="Times New Roman" w:hAnsi="Arial" w:cs="Arial"/>
          <w:b/>
          <w:bCs/>
          <w:kern w:val="36"/>
          <w14:ligatures w14:val="none"/>
        </w:rPr>
        <w:t>1.4 Strategies to Improve Skills</w:t>
      </w:r>
    </w:p>
    <w:p w14:paraId="79F18FA4"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1. Training and Professional Development</w:t>
      </w:r>
    </w:p>
    <w:p w14:paraId="4320880E" w14:textId="1CDED50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 xml:space="preserve">Targeted training is an effective strategy for improving communication, empathy, and confidentiality. Communication workshops can help workers practise active listening, body language awareness, and delivering sensitive information. Role-play scenarios allow workers to rehearse difficult conversations, such as explaining positive test results or addressing client anxieties. Training in trauma-informed practice is also crucial, as many clients may have experienced trauma such as abuse or discrimination NHS Education for Scotland, </w:t>
      </w:r>
      <w:r w:rsidR="0076454E">
        <w:rPr>
          <w:rFonts w:ascii="Arial" w:eastAsia="Times New Roman" w:hAnsi="Arial" w:cs="Arial"/>
          <w:kern w:val="0"/>
          <w14:ligatures w14:val="none"/>
        </w:rPr>
        <w:t>(</w:t>
      </w:r>
      <w:r w:rsidRPr="000138E2">
        <w:rPr>
          <w:rFonts w:ascii="Arial" w:eastAsia="Times New Roman" w:hAnsi="Arial" w:cs="Arial"/>
          <w:kern w:val="0"/>
          <w14:ligatures w14:val="none"/>
        </w:rPr>
        <w:t xml:space="preserve">2021). Understanding trauma helps staff respond with sensitivity rather than judgement. Regular training in information governance and GDPR ensures workers stay updated on confidentiality and legal responsibilities NHS Digital, </w:t>
      </w:r>
      <w:r w:rsidR="0076454E">
        <w:rPr>
          <w:rFonts w:ascii="Arial" w:eastAsia="Times New Roman" w:hAnsi="Arial" w:cs="Arial"/>
          <w:kern w:val="0"/>
          <w14:ligatures w14:val="none"/>
        </w:rPr>
        <w:t>(</w:t>
      </w:r>
      <w:r w:rsidRPr="000138E2">
        <w:rPr>
          <w:rFonts w:ascii="Arial" w:eastAsia="Times New Roman" w:hAnsi="Arial" w:cs="Arial"/>
          <w:kern w:val="0"/>
          <w14:ligatures w14:val="none"/>
        </w:rPr>
        <w:t>2023). I chose this strategy because structured training provides consistent, evidence-based learning.</w:t>
      </w:r>
    </w:p>
    <w:p w14:paraId="52105621"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2. Reflective Practice and Supervision</w:t>
      </w:r>
    </w:p>
    <w:p w14:paraId="57C5100C" w14:textId="16F2BE41"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lastRenderedPageBreak/>
        <w:t xml:space="preserve">Reflective practice involves thinking critically about past interactions to identify strengths and areas for improvement Johns, </w:t>
      </w:r>
      <w:r w:rsidR="0076454E">
        <w:rPr>
          <w:rFonts w:ascii="Arial" w:eastAsia="Times New Roman" w:hAnsi="Arial" w:cs="Arial"/>
          <w:kern w:val="0"/>
          <w14:ligatures w14:val="none"/>
        </w:rPr>
        <w:t>(</w:t>
      </w:r>
      <w:r w:rsidRPr="000138E2">
        <w:rPr>
          <w:rFonts w:ascii="Arial" w:eastAsia="Times New Roman" w:hAnsi="Arial" w:cs="Arial"/>
          <w:kern w:val="0"/>
          <w14:ligatures w14:val="none"/>
        </w:rPr>
        <w:t>2017). This supports the development of emotional intelligence by encouraging workers to consider how their behaviour affects clients. Supervision and mentoring provide safe spaces to discuss challenges, ethical dilemmas, or difficult emotional experiences. For example, after supporting a distressed client who received a positive STI result, a worker might reflect on how effectively they offered reassurance and whether the client felt understood. This strategy improves empathy, boundary-setting, and communication. I selected this approach because reflective practice is widely recognised as essential for ongoing professional growth in health and social care.</w:t>
      </w:r>
    </w:p>
    <w:p w14:paraId="3E0570F4" w14:textId="77777777" w:rsidR="000138E2" w:rsidRPr="000138E2" w:rsidRDefault="000138E2" w:rsidP="000138E2">
      <w:pPr>
        <w:spacing w:before="100" w:beforeAutospacing="1" w:after="100" w:afterAutospacing="1" w:line="240" w:lineRule="auto"/>
        <w:outlineLvl w:val="2"/>
        <w:rPr>
          <w:rFonts w:ascii="Arial" w:eastAsia="Times New Roman" w:hAnsi="Arial" w:cs="Arial"/>
          <w:b/>
          <w:bCs/>
          <w:kern w:val="0"/>
          <w14:ligatures w14:val="none"/>
        </w:rPr>
      </w:pPr>
      <w:r w:rsidRPr="000138E2">
        <w:rPr>
          <w:rFonts w:ascii="Arial" w:eastAsia="Times New Roman" w:hAnsi="Arial" w:cs="Arial"/>
          <w:b/>
          <w:bCs/>
          <w:kern w:val="0"/>
          <w14:ligatures w14:val="none"/>
        </w:rPr>
        <w:t>3. Cultural Competence and Inclusive Practice</w:t>
      </w:r>
    </w:p>
    <w:p w14:paraId="71CB1D40"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Sexual health workers support people from diverse cultural, linguistic, and identity backgrounds. Cultural competence training helps staff understand different beliefs, values, and sensitivities related to sexuality, gender, and relationships. This allows them to communicate in a respectful, inclusive way and avoid assumptions or stereotypes. Public Health England (2021) emphasises that improving access to sexual health services requires culturally responsive practice. For example, learning about cultural attitudes to contraception or LGBTQ+ issues can help workers adapt their approach and choose appropriate language. This strategy strengthens communication and empathy while promoting trust and safety. I chose it because inclusive practice is essential to reducing stigma and improving outcomes for marginalised groups.</w:t>
      </w:r>
    </w:p>
    <w:p w14:paraId="182E0D93" w14:textId="52D09215" w:rsidR="000138E2" w:rsidRPr="000138E2" w:rsidRDefault="000138E2" w:rsidP="000138E2">
      <w:pPr>
        <w:spacing w:after="0" w:line="240" w:lineRule="auto"/>
        <w:rPr>
          <w:rFonts w:ascii="Arial" w:eastAsia="Times New Roman" w:hAnsi="Arial" w:cs="Arial"/>
          <w:kern w:val="0"/>
          <w14:ligatures w14:val="none"/>
        </w:rPr>
      </w:pPr>
    </w:p>
    <w:p w14:paraId="39CB747A" w14:textId="29C70326" w:rsidR="000138E2" w:rsidRPr="000138E2" w:rsidRDefault="000138E2" w:rsidP="000138E2">
      <w:pPr>
        <w:spacing w:before="100" w:beforeAutospacing="1" w:after="100" w:afterAutospacing="1" w:line="240" w:lineRule="auto"/>
        <w:outlineLvl w:val="0"/>
        <w:rPr>
          <w:rFonts w:ascii="Arial" w:eastAsia="Times New Roman" w:hAnsi="Arial" w:cs="Arial"/>
          <w:b/>
          <w:bCs/>
          <w:kern w:val="36"/>
          <w14:ligatures w14:val="none"/>
        </w:rPr>
      </w:pPr>
      <w:r w:rsidRPr="000138E2">
        <w:rPr>
          <w:rFonts w:ascii="Arial" w:eastAsia="Times New Roman" w:hAnsi="Arial" w:cs="Arial"/>
          <w:b/>
          <w:bCs/>
          <w:kern w:val="36"/>
          <w14:ligatures w14:val="none"/>
        </w:rPr>
        <w:t>1.5 Conclusio</w:t>
      </w:r>
      <w:r>
        <w:rPr>
          <w:rFonts w:ascii="Arial" w:eastAsia="Times New Roman" w:hAnsi="Arial" w:cs="Arial"/>
          <w:b/>
          <w:bCs/>
          <w:kern w:val="36"/>
          <w14:ligatures w14:val="none"/>
        </w:rPr>
        <w:t>n</w:t>
      </w:r>
    </w:p>
    <w:p w14:paraId="4D404F60" w14:textId="77777777" w:rsidR="000138E2" w:rsidRPr="000138E2" w:rsidRDefault="000138E2" w:rsidP="000138E2">
      <w:pPr>
        <w:spacing w:before="100" w:beforeAutospacing="1" w:after="100" w:afterAutospacing="1" w:line="240" w:lineRule="auto"/>
        <w:rPr>
          <w:rFonts w:ascii="Arial" w:eastAsia="Times New Roman" w:hAnsi="Arial" w:cs="Arial"/>
          <w:kern w:val="0"/>
          <w14:ligatures w14:val="none"/>
        </w:rPr>
      </w:pPr>
      <w:r w:rsidRPr="000138E2">
        <w:rPr>
          <w:rFonts w:ascii="Arial" w:eastAsia="Times New Roman" w:hAnsi="Arial" w:cs="Arial"/>
          <w:kern w:val="0"/>
          <w14:ligatures w14:val="none"/>
        </w:rPr>
        <w:t>In conclusion, sexual health workers play a vital role in improving public health, reducing stigma, and supporting individuals to make informed decisions about their sexual wellbeing. To deliver safe, high-quality care, they must demonstrate strong communication skills, empathy, emotional intelligence, and a commitment to confidentiality. These skills ensure that clients feel respected, understood, and safe to discuss sensitive issues. Strategies such as training, reflective practice, supervision, and cultural competence development help strengthen these essential abilities. By continually improving their skills, sexual health workers contribute to accessible, ethical, and inclusive services that benefit individuals and communities.</w:t>
      </w:r>
    </w:p>
    <w:p w14:paraId="0053357A" w14:textId="77777777" w:rsidR="000138E2" w:rsidRDefault="000138E2"/>
    <w:p w14:paraId="4309A797" w14:textId="77777777" w:rsidR="000138E2" w:rsidRDefault="000138E2"/>
    <w:p w14:paraId="145F8DDC" w14:textId="77777777" w:rsidR="000138E2" w:rsidRDefault="000138E2"/>
    <w:p w14:paraId="0128183A" w14:textId="77777777" w:rsidR="000138E2" w:rsidRDefault="000138E2"/>
    <w:p w14:paraId="0AA6E4E1" w14:textId="77777777" w:rsidR="000138E2" w:rsidRDefault="000138E2"/>
    <w:p w14:paraId="0DF7753E" w14:textId="77777777" w:rsidR="000138E2" w:rsidRDefault="000138E2"/>
    <w:p w14:paraId="2A332B9F" w14:textId="77777777" w:rsidR="000138E2" w:rsidRDefault="000138E2"/>
    <w:p w14:paraId="6402A4CB" w14:textId="77777777" w:rsidR="000138E2" w:rsidRDefault="000138E2"/>
    <w:p w14:paraId="3C70D375" w14:textId="77777777" w:rsidR="000138E2" w:rsidRDefault="000138E2"/>
    <w:p w14:paraId="22C1E106" w14:textId="77777777" w:rsidR="000138E2" w:rsidRDefault="000138E2"/>
    <w:p w14:paraId="455340F4" w14:textId="77777777" w:rsidR="000138E2" w:rsidRDefault="000138E2"/>
    <w:p w14:paraId="787D018F" w14:textId="77777777" w:rsidR="000138E2" w:rsidRDefault="000138E2"/>
    <w:p w14:paraId="35B749BF" w14:textId="77777777" w:rsidR="000138E2" w:rsidRDefault="000138E2"/>
    <w:p w14:paraId="146E59D1" w14:textId="77777777" w:rsidR="000138E2" w:rsidRDefault="000138E2"/>
    <w:p w14:paraId="699C1AD9" w14:textId="77777777" w:rsidR="000138E2" w:rsidRPr="000138E2" w:rsidRDefault="000138E2" w:rsidP="000138E2">
      <w:pPr>
        <w:pStyle w:val="Heading2"/>
        <w:rPr>
          <w:rFonts w:ascii="Arial" w:hAnsi="Arial" w:cs="Arial"/>
          <w:sz w:val="22"/>
          <w:szCs w:val="22"/>
        </w:rPr>
      </w:pPr>
      <w:r w:rsidRPr="000138E2">
        <w:rPr>
          <w:rStyle w:val="Strong"/>
          <w:rFonts w:ascii="Arial" w:hAnsi="Arial" w:cs="Arial"/>
          <w:sz w:val="22"/>
          <w:szCs w:val="22"/>
        </w:rPr>
        <w:t>6. References</w:t>
      </w:r>
    </w:p>
    <w:p w14:paraId="24BEDA57"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General Medical Council (2023) </w:t>
      </w:r>
      <w:r w:rsidRPr="000138E2">
        <w:rPr>
          <w:rStyle w:val="Emphasis"/>
          <w:rFonts w:ascii="Arial" w:eastAsiaTheme="majorEastAsia" w:hAnsi="Arial" w:cs="Arial"/>
          <w:sz w:val="22"/>
          <w:szCs w:val="22"/>
        </w:rPr>
        <w:t>Confidentiality: Good Practice in Handling Patient Information.</w:t>
      </w:r>
      <w:r w:rsidRPr="000138E2">
        <w:rPr>
          <w:rFonts w:ascii="Arial" w:hAnsi="Arial" w:cs="Arial"/>
          <w:sz w:val="22"/>
          <w:szCs w:val="22"/>
        </w:rPr>
        <w:t xml:space="preserve"> GMC. Available at: </w:t>
      </w:r>
      <w:hyperlink r:id="rId4" w:tgtFrame="_new" w:history="1">
        <w:r w:rsidRPr="000138E2">
          <w:rPr>
            <w:rStyle w:val="Hyperlink"/>
            <w:rFonts w:ascii="Arial" w:hAnsi="Arial" w:cs="Arial"/>
            <w:sz w:val="22"/>
            <w:szCs w:val="22"/>
          </w:rPr>
          <w:t>https://www.gmc-uk.org</w:t>
        </w:r>
      </w:hyperlink>
    </w:p>
    <w:p w14:paraId="48CAF779"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Goleman, D. (1998) </w:t>
      </w:r>
      <w:r w:rsidRPr="000138E2">
        <w:rPr>
          <w:rStyle w:val="Emphasis"/>
          <w:rFonts w:ascii="Arial" w:eastAsiaTheme="majorEastAsia" w:hAnsi="Arial" w:cs="Arial"/>
          <w:sz w:val="22"/>
          <w:szCs w:val="22"/>
        </w:rPr>
        <w:t>Working with Emotional Intelligence.</w:t>
      </w:r>
      <w:r w:rsidRPr="000138E2">
        <w:rPr>
          <w:rFonts w:ascii="Arial" w:hAnsi="Arial" w:cs="Arial"/>
          <w:sz w:val="22"/>
          <w:szCs w:val="22"/>
        </w:rPr>
        <w:t xml:space="preserve"> London: Bloomsbury Publishing.</w:t>
      </w:r>
    </w:p>
    <w:p w14:paraId="2D84BBD1"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Health Education England (2021) </w:t>
      </w:r>
      <w:r w:rsidRPr="000138E2">
        <w:rPr>
          <w:rStyle w:val="Emphasis"/>
          <w:rFonts w:ascii="Arial" w:eastAsiaTheme="majorEastAsia" w:hAnsi="Arial" w:cs="Arial"/>
          <w:sz w:val="22"/>
          <w:szCs w:val="22"/>
        </w:rPr>
        <w:t>Communication Skills in Healthcare.</w:t>
      </w:r>
      <w:r w:rsidRPr="000138E2">
        <w:rPr>
          <w:rFonts w:ascii="Arial" w:hAnsi="Arial" w:cs="Arial"/>
          <w:sz w:val="22"/>
          <w:szCs w:val="22"/>
        </w:rPr>
        <w:t xml:space="preserve"> HEE. Available at: </w:t>
      </w:r>
      <w:hyperlink r:id="rId5" w:tgtFrame="_new" w:history="1">
        <w:r w:rsidRPr="000138E2">
          <w:rPr>
            <w:rStyle w:val="Hyperlink"/>
            <w:rFonts w:ascii="Arial" w:hAnsi="Arial" w:cs="Arial"/>
            <w:sz w:val="22"/>
            <w:szCs w:val="22"/>
          </w:rPr>
          <w:t>https://www.hee.nhs.uk</w:t>
        </w:r>
      </w:hyperlink>
    </w:p>
    <w:p w14:paraId="5826191D"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Johns, C. (2017) </w:t>
      </w:r>
      <w:r w:rsidRPr="000138E2">
        <w:rPr>
          <w:rStyle w:val="Emphasis"/>
          <w:rFonts w:ascii="Arial" w:eastAsiaTheme="majorEastAsia" w:hAnsi="Arial" w:cs="Arial"/>
          <w:sz w:val="22"/>
          <w:szCs w:val="22"/>
        </w:rPr>
        <w:t>Becoming a Reflective Practitioner.</w:t>
      </w:r>
      <w:r w:rsidRPr="000138E2">
        <w:rPr>
          <w:rFonts w:ascii="Arial" w:hAnsi="Arial" w:cs="Arial"/>
          <w:sz w:val="22"/>
          <w:szCs w:val="22"/>
        </w:rPr>
        <w:t xml:space="preserve"> 5th ed. Oxford: Wiley-Blackwell.</w:t>
      </w:r>
    </w:p>
    <w:p w14:paraId="489E65B8"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NHS Digital (2023) </w:t>
      </w:r>
      <w:r w:rsidRPr="000138E2">
        <w:rPr>
          <w:rStyle w:val="Emphasis"/>
          <w:rFonts w:ascii="Arial" w:eastAsiaTheme="majorEastAsia" w:hAnsi="Arial" w:cs="Arial"/>
          <w:sz w:val="22"/>
          <w:szCs w:val="22"/>
        </w:rPr>
        <w:t>Data Security and Protection Toolkit Guidance.</w:t>
      </w:r>
      <w:r w:rsidRPr="000138E2">
        <w:rPr>
          <w:rFonts w:ascii="Arial" w:hAnsi="Arial" w:cs="Arial"/>
          <w:sz w:val="22"/>
          <w:szCs w:val="22"/>
        </w:rPr>
        <w:t xml:space="preserve"> NHS Digital. Available at: </w:t>
      </w:r>
      <w:hyperlink r:id="rId6" w:tgtFrame="_new" w:history="1">
        <w:r w:rsidRPr="000138E2">
          <w:rPr>
            <w:rStyle w:val="Hyperlink"/>
            <w:rFonts w:ascii="Arial" w:hAnsi="Arial" w:cs="Arial"/>
            <w:sz w:val="22"/>
            <w:szCs w:val="22"/>
          </w:rPr>
          <w:t>https://digital.nhs.uk</w:t>
        </w:r>
      </w:hyperlink>
    </w:p>
    <w:p w14:paraId="7FB12B2B"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NHS Education for Scotland (2021) </w:t>
      </w:r>
      <w:r w:rsidRPr="000138E2">
        <w:rPr>
          <w:rStyle w:val="Emphasis"/>
          <w:rFonts w:ascii="Arial" w:eastAsiaTheme="majorEastAsia" w:hAnsi="Arial" w:cs="Arial"/>
          <w:sz w:val="22"/>
          <w:szCs w:val="22"/>
        </w:rPr>
        <w:t>Trauma-Informed Practice: Supporting People Affected by Trauma.</w:t>
      </w:r>
      <w:r w:rsidRPr="000138E2">
        <w:rPr>
          <w:rFonts w:ascii="Arial" w:hAnsi="Arial" w:cs="Arial"/>
          <w:sz w:val="22"/>
          <w:szCs w:val="22"/>
        </w:rPr>
        <w:t xml:space="preserve"> NES.</w:t>
      </w:r>
    </w:p>
    <w:p w14:paraId="4AD1FCF8"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NHS Health Careers (2023) </w:t>
      </w:r>
      <w:r w:rsidRPr="000138E2">
        <w:rPr>
          <w:rStyle w:val="Emphasis"/>
          <w:rFonts w:ascii="Arial" w:eastAsiaTheme="majorEastAsia" w:hAnsi="Arial" w:cs="Arial"/>
          <w:sz w:val="22"/>
          <w:szCs w:val="22"/>
        </w:rPr>
        <w:t>Sexual Health Adviser.</w:t>
      </w:r>
      <w:r w:rsidRPr="000138E2">
        <w:rPr>
          <w:rFonts w:ascii="Arial" w:hAnsi="Arial" w:cs="Arial"/>
          <w:sz w:val="22"/>
          <w:szCs w:val="22"/>
        </w:rPr>
        <w:t xml:space="preserve"> Available at: </w:t>
      </w:r>
      <w:hyperlink r:id="rId7" w:tgtFrame="_new" w:history="1">
        <w:r w:rsidRPr="000138E2">
          <w:rPr>
            <w:rStyle w:val="Hyperlink"/>
            <w:rFonts w:ascii="Arial" w:hAnsi="Arial" w:cs="Arial"/>
            <w:sz w:val="22"/>
            <w:szCs w:val="22"/>
          </w:rPr>
          <w:t>https://www.healthcareers.nhs.uk</w:t>
        </w:r>
      </w:hyperlink>
    </w:p>
    <w:p w14:paraId="74E282BE"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Public Health England (2021) </w:t>
      </w:r>
      <w:r w:rsidRPr="000138E2">
        <w:rPr>
          <w:rStyle w:val="Emphasis"/>
          <w:rFonts w:ascii="Arial" w:eastAsiaTheme="majorEastAsia" w:hAnsi="Arial" w:cs="Arial"/>
          <w:sz w:val="22"/>
          <w:szCs w:val="22"/>
        </w:rPr>
        <w:t>Improving Access to Sexual Health Services: A Public Health Approach.</w:t>
      </w:r>
      <w:r w:rsidRPr="000138E2">
        <w:rPr>
          <w:rFonts w:ascii="Arial" w:hAnsi="Arial" w:cs="Arial"/>
          <w:sz w:val="22"/>
          <w:szCs w:val="22"/>
        </w:rPr>
        <w:t xml:space="preserve"> London: PHE.</w:t>
      </w:r>
    </w:p>
    <w:p w14:paraId="30BEAC42"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Skills for Health (2022) </w:t>
      </w:r>
      <w:r w:rsidRPr="000138E2">
        <w:rPr>
          <w:rStyle w:val="Emphasis"/>
          <w:rFonts w:ascii="Arial" w:eastAsiaTheme="majorEastAsia" w:hAnsi="Arial" w:cs="Arial"/>
          <w:sz w:val="22"/>
          <w:szCs w:val="22"/>
        </w:rPr>
        <w:t>Core Skills Framework for Health and Social Care Workers.</w:t>
      </w:r>
      <w:r w:rsidRPr="000138E2">
        <w:rPr>
          <w:rFonts w:ascii="Arial" w:hAnsi="Arial" w:cs="Arial"/>
          <w:sz w:val="22"/>
          <w:szCs w:val="22"/>
        </w:rPr>
        <w:t xml:space="preserve"> Skills for Health.</w:t>
      </w:r>
    </w:p>
    <w:p w14:paraId="1DE335EC" w14:textId="77777777" w:rsidR="000138E2" w:rsidRPr="000138E2" w:rsidRDefault="000138E2" w:rsidP="000138E2">
      <w:pPr>
        <w:pStyle w:val="NormalWeb"/>
        <w:rPr>
          <w:rFonts w:ascii="Arial" w:hAnsi="Arial" w:cs="Arial"/>
          <w:sz w:val="22"/>
          <w:szCs w:val="22"/>
        </w:rPr>
      </w:pPr>
      <w:r w:rsidRPr="000138E2">
        <w:rPr>
          <w:rFonts w:ascii="Arial" w:hAnsi="Arial" w:cs="Arial"/>
          <w:sz w:val="22"/>
          <w:szCs w:val="22"/>
        </w:rPr>
        <w:t xml:space="preserve">World Health Organization (2022) </w:t>
      </w:r>
      <w:r w:rsidRPr="000138E2">
        <w:rPr>
          <w:rStyle w:val="Emphasis"/>
          <w:rFonts w:ascii="Arial" w:eastAsiaTheme="majorEastAsia" w:hAnsi="Arial" w:cs="Arial"/>
          <w:sz w:val="22"/>
          <w:szCs w:val="22"/>
        </w:rPr>
        <w:t>Promoting Sexual Health: Principles and Action.</w:t>
      </w:r>
      <w:r w:rsidRPr="000138E2">
        <w:rPr>
          <w:rFonts w:ascii="Arial" w:hAnsi="Arial" w:cs="Arial"/>
          <w:sz w:val="22"/>
          <w:szCs w:val="22"/>
        </w:rPr>
        <w:t xml:space="preserve"> WHO.</w:t>
      </w:r>
    </w:p>
    <w:p w14:paraId="30985F53" w14:textId="77777777" w:rsidR="000138E2" w:rsidRPr="00E52EEE" w:rsidRDefault="000138E2" w:rsidP="000138E2">
      <w:pPr>
        <w:rPr>
          <w:rFonts w:ascii="Arial" w:hAnsi="Arial" w:cs="Arial"/>
          <w:sz w:val="28"/>
          <w:szCs w:val="28"/>
        </w:rPr>
      </w:pPr>
    </w:p>
    <w:p w14:paraId="2B15C280" w14:textId="77777777" w:rsidR="000138E2" w:rsidRDefault="000138E2"/>
    <w:sectPr w:rsidR="000138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8E2"/>
    <w:rsid w:val="000138E2"/>
    <w:rsid w:val="002B727A"/>
    <w:rsid w:val="0076454E"/>
    <w:rsid w:val="00FF3C2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6214C"/>
  <w15:chartTrackingRefBased/>
  <w15:docId w15:val="{F4381468-E1BF-4D94-8994-85A8AA4C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138E2"/>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0138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138E2"/>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6">
    <w:name w:val="heading 6"/>
    <w:basedOn w:val="Normal"/>
    <w:next w:val="Normal"/>
    <w:link w:val="Heading6Char"/>
    <w:uiPriority w:val="9"/>
    <w:semiHidden/>
    <w:unhideWhenUsed/>
    <w:qFormat/>
    <w:rsid w:val="0076454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8E2"/>
    <w:rPr>
      <w:rFonts w:ascii="Times New Roman" w:eastAsia="Times New Roman" w:hAnsi="Times New Roman" w:cs="Times New Roman"/>
      <w:b/>
      <w:bCs/>
      <w:kern w:val="36"/>
      <w:sz w:val="48"/>
      <w:szCs w:val="48"/>
      <w14:ligatures w14:val="none"/>
    </w:rPr>
  </w:style>
  <w:style w:type="character" w:customStyle="1" w:styleId="Heading3Char">
    <w:name w:val="Heading 3 Char"/>
    <w:basedOn w:val="DefaultParagraphFont"/>
    <w:link w:val="Heading3"/>
    <w:uiPriority w:val="9"/>
    <w:rsid w:val="000138E2"/>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0138E2"/>
    <w:rPr>
      <w:b/>
      <w:bCs/>
    </w:rPr>
  </w:style>
  <w:style w:type="paragraph" w:styleId="NormalWeb">
    <w:name w:val="Normal (Web)"/>
    <w:basedOn w:val="Normal"/>
    <w:uiPriority w:val="99"/>
    <w:unhideWhenUsed/>
    <w:rsid w:val="000138E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semiHidden/>
    <w:rsid w:val="000138E2"/>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138E2"/>
    <w:rPr>
      <w:i/>
      <w:iCs/>
    </w:rPr>
  </w:style>
  <w:style w:type="character" w:styleId="Hyperlink">
    <w:name w:val="Hyperlink"/>
    <w:basedOn w:val="DefaultParagraphFont"/>
    <w:uiPriority w:val="99"/>
    <w:semiHidden/>
    <w:unhideWhenUsed/>
    <w:rsid w:val="000138E2"/>
    <w:rPr>
      <w:color w:val="0000FF"/>
      <w:u w:val="single"/>
    </w:rPr>
  </w:style>
  <w:style w:type="character" w:customStyle="1" w:styleId="Heading6Char">
    <w:name w:val="Heading 6 Char"/>
    <w:basedOn w:val="DefaultParagraphFont"/>
    <w:link w:val="Heading6"/>
    <w:uiPriority w:val="9"/>
    <w:semiHidden/>
    <w:rsid w:val="0076454E"/>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375513">
      <w:bodyDiv w:val="1"/>
      <w:marLeft w:val="0"/>
      <w:marRight w:val="0"/>
      <w:marTop w:val="0"/>
      <w:marBottom w:val="0"/>
      <w:divBdr>
        <w:top w:val="none" w:sz="0" w:space="0" w:color="auto"/>
        <w:left w:val="none" w:sz="0" w:space="0" w:color="auto"/>
        <w:bottom w:val="none" w:sz="0" w:space="0" w:color="auto"/>
        <w:right w:val="none" w:sz="0" w:space="0" w:color="auto"/>
      </w:divBdr>
      <w:divsChild>
        <w:div w:id="33501149">
          <w:marLeft w:val="0"/>
          <w:marRight w:val="0"/>
          <w:marTop w:val="0"/>
          <w:marBottom w:val="0"/>
          <w:divBdr>
            <w:top w:val="none" w:sz="0" w:space="0" w:color="auto"/>
            <w:left w:val="none" w:sz="0" w:space="0" w:color="auto"/>
            <w:bottom w:val="none" w:sz="0" w:space="0" w:color="auto"/>
            <w:right w:val="none" w:sz="0" w:space="0" w:color="auto"/>
          </w:divBdr>
          <w:divsChild>
            <w:div w:id="53621887">
              <w:marLeft w:val="0"/>
              <w:marRight w:val="0"/>
              <w:marTop w:val="0"/>
              <w:marBottom w:val="0"/>
              <w:divBdr>
                <w:top w:val="none" w:sz="0" w:space="0" w:color="auto"/>
                <w:left w:val="none" w:sz="0" w:space="0" w:color="auto"/>
                <w:bottom w:val="none" w:sz="0" w:space="0" w:color="auto"/>
                <w:right w:val="none" w:sz="0" w:space="0" w:color="auto"/>
              </w:divBdr>
              <w:divsChild>
                <w:div w:id="1386685613">
                  <w:marLeft w:val="0"/>
                  <w:marRight w:val="0"/>
                  <w:marTop w:val="0"/>
                  <w:marBottom w:val="0"/>
                  <w:divBdr>
                    <w:top w:val="none" w:sz="0" w:space="0" w:color="auto"/>
                    <w:left w:val="none" w:sz="0" w:space="0" w:color="auto"/>
                    <w:bottom w:val="none" w:sz="0" w:space="0" w:color="auto"/>
                    <w:right w:val="none" w:sz="0" w:space="0" w:color="auto"/>
                  </w:divBdr>
                  <w:divsChild>
                    <w:div w:id="2018576860">
                      <w:marLeft w:val="0"/>
                      <w:marRight w:val="0"/>
                      <w:marTop w:val="0"/>
                      <w:marBottom w:val="0"/>
                      <w:divBdr>
                        <w:top w:val="none" w:sz="0" w:space="0" w:color="auto"/>
                        <w:left w:val="none" w:sz="0" w:space="0" w:color="auto"/>
                        <w:bottom w:val="none" w:sz="0" w:space="0" w:color="auto"/>
                        <w:right w:val="none" w:sz="0" w:space="0" w:color="auto"/>
                      </w:divBdr>
                      <w:divsChild>
                        <w:div w:id="1314136176">
                          <w:marLeft w:val="0"/>
                          <w:marRight w:val="0"/>
                          <w:marTop w:val="0"/>
                          <w:marBottom w:val="0"/>
                          <w:divBdr>
                            <w:top w:val="none" w:sz="0" w:space="0" w:color="auto"/>
                            <w:left w:val="none" w:sz="0" w:space="0" w:color="auto"/>
                            <w:bottom w:val="none" w:sz="0" w:space="0" w:color="auto"/>
                            <w:right w:val="none" w:sz="0" w:space="0" w:color="auto"/>
                          </w:divBdr>
                          <w:divsChild>
                            <w:div w:id="98069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8788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ealthcareers.nhs.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gital.nhs.uk" TargetMode="External"/><Relationship Id="rId5" Type="http://schemas.openxmlformats.org/officeDocument/2006/relationships/hyperlink" Target="https://www.hee.nhs.uk" TargetMode="External"/><Relationship Id="rId4" Type="http://schemas.openxmlformats.org/officeDocument/2006/relationships/hyperlink" Target="https://www.gmc-uk.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1486</Words>
  <Characters>8474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Valteri Berlijanto Enzo Trajkunovic (2434404)</dc:creator>
  <cp:keywords/>
  <dc:description/>
  <cp:lastModifiedBy>Valteri Berlijanto Enzo Trajkunovic (2434404)</cp:lastModifiedBy>
  <cp:revision>1</cp:revision>
  <dcterms:created xsi:type="dcterms:W3CDTF">2025-11-16T17:20:00Z</dcterms:created>
  <dcterms:modified xsi:type="dcterms:W3CDTF">2025-11-16T17:42:00Z</dcterms:modified>
</cp:coreProperties>
</file>