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3AD0" w14:textId="05B8E788" w:rsidR="00F5734B" w:rsidRDefault="00F5734B" w:rsidP="00E03707">
      <w:pPr>
        <w:spacing w:line="276" w:lineRule="auto"/>
        <w:jc w:val="center"/>
        <w:rPr>
          <w:rFonts w:ascii="Calibri" w:hAnsi="Calibri" w:cs="Calibri"/>
          <w:b/>
          <w:bCs/>
          <w:sz w:val="24"/>
          <w:szCs w:val="24"/>
        </w:rPr>
      </w:pPr>
      <w:r>
        <w:rPr>
          <w:rFonts w:ascii="Calibri" w:hAnsi="Calibri" w:cs="Calibri"/>
          <w:b/>
          <w:bCs/>
          <w:sz w:val="24"/>
          <w:szCs w:val="24"/>
        </w:rPr>
        <w:t>Examine the importance of establishing Mens rea when confirming criminal liability within criminal offences.</w:t>
      </w:r>
    </w:p>
    <w:p w14:paraId="3A1C6007" w14:textId="77777777" w:rsidR="00E03707" w:rsidRPr="00E03707" w:rsidRDefault="00E03707" w:rsidP="00E03707">
      <w:pPr>
        <w:spacing w:line="276" w:lineRule="auto"/>
        <w:jc w:val="center"/>
        <w:rPr>
          <w:rFonts w:ascii="Calibri" w:hAnsi="Calibri" w:cs="Calibri"/>
          <w:b/>
          <w:bCs/>
          <w:sz w:val="24"/>
          <w:szCs w:val="24"/>
        </w:rPr>
      </w:pPr>
    </w:p>
    <w:p w14:paraId="4ECD9E79" w14:textId="60E01663" w:rsidR="00B3419F" w:rsidRPr="00E51CD5" w:rsidRDefault="00927918" w:rsidP="00E51CD5">
      <w:pPr>
        <w:spacing w:line="360" w:lineRule="auto"/>
        <w:rPr>
          <w:rFonts w:ascii="Calibri" w:hAnsi="Calibri" w:cs="Calibri"/>
          <w:sz w:val="24"/>
          <w:szCs w:val="24"/>
        </w:rPr>
      </w:pPr>
      <w:r w:rsidRPr="00E51CD5">
        <w:rPr>
          <w:rFonts w:ascii="Calibri" w:hAnsi="Calibri" w:cs="Calibri"/>
          <w:sz w:val="24"/>
          <w:szCs w:val="24"/>
        </w:rPr>
        <w:t xml:space="preserve">According to LexisNexis (2024), Men’s rea </w:t>
      </w:r>
      <w:r w:rsidR="001C0F38" w:rsidRPr="00E51CD5">
        <w:rPr>
          <w:rFonts w:ascii="Calibri" w:hAnsi="Calibri" w:cs="Calibri"/>
          <w:sz w:val="24"/>
          <w:szCs w:val="24"/>
        </w:rPr>
        <w:t>refers</w:t>
      </w:r>
      <w:r w:rsidR="00F64780" w:rsidRPr="00E51CD5">
        <w:rPr>
          <w:rFonts w:ascii="Calibri" w:hAnsi="Calibri" w:cs="Calibri"/>
          <w:sz w:val="24"/>
          <w:szCs w:val="24"/>
        </w:rPr>
        <w:t xml:space="preserve"> to criminal intention or the desire to commit an act that is prohibi</w:t>
      </w:r>
      <w:r w:rsidR="001D6F9B" w:rsidRPr="00E51CD5">
        <w:rPr>
          <w:rFonts w:ascii="Calibri" w:hAnsi="Calibri" w:cs="Calibri"/>
          <w:sz w:val="24"/>
          <w:szCs w:val="24"/>
        </w:rPr>
        <w:t xml:space="preserve">ted by law or common law when translated </w:t>
      </w:r>
      <w:r w:rsidR="00BD3588" w:rsidRPr="00E51CD5">
        <w:rPr>
          <w:rFonts w:ascii="Calibri" w:hAnsi="Calibri" w:cs="Calibri"/>
          <w:sz w:val="24"/>
          <w:szCs w:val="24"/>
        </w:rPr>
        <w:t xml:space="preserve">correctly. It is also </w:t>
      </w:r>
      <w:r w:rsidR="00B653E1" w:rsidRPr="00E51CD5">
        <w:rPr>
          <w:rFonts w:ascii="Calibri" w:hAnsi="Calibri" w:cs="Calibri"/>
          <w:sz w:val="24"/>
          <w:szCs w:val="24"/>
        </w:rPr>
        <w:t xml:space="preserve">known </w:t>
      </w:r>
      <w:r w:rsidR="00BD3588" w:rsidRPr="00E51CD5">
        <w:rPr>
          <w:rFonts w:ascii="Calibri" w:hAnsi="Calibri" w:cs="Calibri"/>
          <w:sz w:val="24"/>
          <w:szCs w:val="24"/>
        </w:rPr>
        <w:t xml:space="preserve">as </w:t>
      </w:r>
      <w:r w:rsidR="002A07CF" w:rsidRPr="00E51CD5">
        <w:rPr>
          <w:rFonts w:ascii="Calibri" w:hAnsi="Calibri" w:cs="Calibri"/>
          <w:sz w:val="24"/>
          <w:szCs w:val="24"/>
        </w:rPr>
        <w:t>the “guilty mind” or the criminals purpose element.</w:t>
      </w:r>
      <w:r w:rsidR="00AC787A" w:rsidRPr="00E51CD5">
        <w:rPr>
          <w:rFonts w:ascii="Calibri" w:hAnsi="Calibri" w:cs="Calibri"/>
          <w:sz w:val="24"/>
          <w:szCs w:val="24"/>
        </w:rPr>
        <w:t xml:space="preserve"> According to StudySmarter (2024), criminal liability is the legal responsibility for committing a crime for which the </w:t>
      </w:r>
      <w:r w:rsidR="00DE35FB" w:rsidRPr="00E51CD5">
        <w:rPr>
          <w:rFonts w:ascii="Calibri" w:hAnsi="Calibri" w:cs="Calibri"/>
          <w:sz w:val="24"/>
          <w:szCs w:val="24"/>
        </w:rPr>
        <w:t>offender</w:t>
      </w:r>
      <w:r w:rsidR="00AC787A" w:rsidRPr="00E51CD5">
        <w:rPr>
          <w:rFonts w:ascii="Calibri" w:hAnsi="Calibri" w:cs="Calibri"/>
          <w:sz w:val="24"/>
          <w:szCs w:val="24"/>
        </w:rPr>
        <w:t xml:space="preserve"> may be found guilty and </w:t>
      </w:r>
      <w:r w:rsidR="00106F38" w:rsidRPr="00E51CD5">
        <w:rPr>
          <w:rFonts w:ascii="Calibri" w:hAnsi="Calibri" w:cs="Calibri"/>
          <w:sz w:val="24"/>
          <w:szCs w:val="24"/>
        </w:rPr>
        <w:t xml:space="preserve">punished with fines, </w:t>
      </w:r>
      <w:r w:rsidR="00DE35FB" w:rsidRPr="00E51CD5">
        <w:rPr>
          <w:rFonts w:ascii="Calibri" w:hAnsi="Calibri" w:cs="Calibri"/>
          <w:sz w:val="24"/>
          <w:szCs w:val="24"/>
        </w:rPr>
        <w:t>imprisonment</w:t>
      </w:r>
      <w:r w:rsidR="00106F38" w:rsidRPr="00E51CD5">
        <w:rPr>
          <w:rFonts w:ascii="Calibri" w:hAnsi="Calibri" w:cs="Calibri"/>
          <w:sz w:val="24"/>
          <w:szCs w:val="24"/>
        </w:rPr>
        <w:t xml:space="preserve"> or both</w:t>
      </w:r>
      <w:r w:rsidR="00DE35FB" w:rsidRPr="00E51CD5">
        <w:rPr>
          <w:rFonts w:ascii="Calibri" w:hAnsi="Calibri" w:cs="Calibri"/>
          <w:sz w:val="24"/>
          <w:szCs w:val="24"/>
        </w:rPr>
        <w:t xml:space="preserve">. As a result, this assessment will </w:t>
      </w:r>
      <w:r w:rsidR="00DC4861" w:rsidRPr="00E51CD5">
        <w:rPr>
          <w:rFonts w:ascii="Calibri" w:hAnsi="Calibri" w:cs="Calibri"/>
          <w:sz w:val="24"/>
          <w:szCs w:val="24"/>
        </w:rPr>
        <w:t>exami</w:t>
      </w:r>
      <w:r w:rsidR="0020137B" w:rsidRPr="00E51CD5">
        <w:rPr>
          <w:rFonts w:ascii="Calibri" w:hAnsi="Calibri" w:cs="Calibri"/>
          <w:sz w:val="24"/>
          <w:szCs w:val="24"/>
        </w:rPr>
        <w:t xml:space="preserve">ne the importance of Men’s rea when confirming criminal liability within criminal offences. </w:t>
      </w:r>
    </w:p>
    <w:p w14:paraId="7BF31787" w14:textId="77777777" w:rsidR="00B3419F" w:rsidRPr="00E51CD5" w:rsidRDefault="00B3419F" w:rsidP="00E51CD5">
      <w:pPr>
        <w:spacing w:line="276" w:lineRule="auto"/>
        <w:rPr>
          <w:rFonts w:ascii="Calibri" w:hAnsi="Calibri" w:cs="Calibri"/>
          <w:sz w:val="24"/>
          <w:szCs w:val="24"/>
        </w:rPr>
      </w:pPr>
    </w:p>
    <w:p w14:paraId="66F7E1BE" w14:textId="39203DC2" w:rsidR="000B08A4" w:rsidRDefault="00B3419F" w:rsidP="00E51CD5">
      <w:pPr>
        <w:spacing w:line="360" w:lineRule="auto"/>
        <w:rPr>
          <w:rFonts w:ascii="Calibri" w:hAnsi="Calibri" w:cs="Calibri"/>
          <w:sz w:val="24"/>
          <w:szCs w:val="24"/>
        </w:rPr>
      </w:pPr>
      <w:r w:rsidRPr="00E51CD5">
        <w:rPr>
          <w:rFonts w:ascii="Calibri" w:hAnsi="Calibri" w:cs="Calibri"/>
          <w:sz w:val="24"/>
          <w:szCs w:val="24"/>
        </w:rPr>
        <w:t>According to Cornell Law School (2023),</w:t>
      </w:r>
      <w:r w:rsidR="00877CC0" w:rsidRPr="00E51CD5">
        <w:rPr>
          <w:rFonts w:ascii="Calibri" w:hAnsi="Calibri" w:cs="Calibri"/>
          <w:sz w:val="24"/>
          <w:szCs w:val="24"/>
        </w:rPr>
        <w:t xml:space="preserve"> criminal intent is known as </w:t>
      </w:r>
      <w:r w:rsidR="00E16B3D" w:rsidRPr="00E51CD5">
        <w:rPr>
          <w:rFonts w:ascii="Calibri" w:hAnsi="Calibri" w:cs="Calibri"/>
          <w:sz w:val="24"/>
          <w:szCs w:val="24"/>
        </w:rPr>
        <w:t>men’s</w:t>
      </w:r>
      <w:r w:rsidR="00877CC0" w:rsidRPr="00E51CD5">
        <w:rPr>
          <w:rFonts w:ascii="Calibri" w:hAnsi="Calibri" w:cs="Calibri"/>
          <w:sz w:val="24"/>
          <w:szCs w:val="24"/>
        </w:rPr>
        <w:t xml:space="preserve"> rea. In original Latin translation</w:t>
      </w:r>
      <w:r w:rsidR="008C4741" w:rsidRPr="00E51CD5">
        <w:rPr>
          <w:rFonts w:ascii="Calibri" w:hAnsi="Calibri" w:cs="Calibri"/>
          <w:sz w:val="24"/>
          <w:szCs w:val="24"/>
        </w:rPr>
        <w:t xml:space="preserve">, this means “guilty mind.” </w:t>
      </w:r>
      <w:r w:rsidR="00E16B3D" w:rsidRPr="00E51CD5">
        <w:rPr>
          <w:rFonts w:ascii="Calibri" w:hAnsi="Calibri" w:cs="Calibri"/>
          <w:sz w:val="24"/>
          <w:szCs w:val="24"/>
        </w:rPr>
        <w:t>Men’s</w:t>
      </w:r>
      <w:r w:rsidR="008C4741" w:rsidRPr="00E51CD5">
        <w:rPr>
          <w:rFonts w:ascii="Calibri" w:hAnsi="Calibri" w:cs="Calibri"/>
          <w:sz w:val="24"/>
          <w:szCs w:val="24"/>
        </w:rPr>
        <w:t xml:space="preserve"> rea is the plural of mentes rea</w:t>
      </w:r>
      <w:r w:rsidR="009622E5" w:rsidRPr="00E51CD5">
        <w:rPr>
          <w:rFonts w:ascii="Calibri" w:hAnsi="Calibri" w:cs="Calibri"/>
          <w:sz w:val="24"/>
          <w:szCs w:val="24"/>
        </w:rPr>
        <w:t>e. They also mention the legal element</w:t>
      </w:r>
      <w:r w:rsidR="0096241B" w:rsidRPr="00E51CD5">
        <w:rPr>
          <w:rFonts w:ascii="Calibri" w:hAnsi="Calibri" w:cs="Calibri"/>
          <w:sz w:val="24"/>
          <w:szCs w:val="24"/>
        </w:rPr>
        <w:t xml:space="preserve"> necessary for convi</w:t>
      </w:r>
      <w:r w:rsidR="00576DC6" w:rsidRPr="00E51CD5">
        <w:rPr>
          <w:rFonts w:ascii="Calibri" w:hAnsi="Calibri" w:cs="Calibri"/>
          <w:sz w:val="24"/>
          <w:szCs w:val="24"/>
        </w:rPr>
        <w:t>c</w:t>
      </w:r>
      <w:r w:rsidR="0047754A" w:rsidRPr="00E51CD5">
        <w:rPr>
          <w:rFonts w:ascii="Calibri" w:hAnsi="Calibri" w:cs="Calibri"/>
          <w:sz w:val="24"/>
          <w:szCs w:val="24"/>
        </w:rPr>
        <w:t>ting a specific defendant of a specific offence</w:t>
      </w:r>
      <w:r w:rsidR="00A760F1" w:rsidRPr="00E51CD5">
        <w:rPr>
          <w:rFonts w:ascii="Calibri" w:hAnsi="Calibri" w:cs="Calibri"/>
          <w:sz w:val="24"/>
          <w:szCs w:val="24"/>
        </w:rPr>
        <w:t xml:space="preserve"> which is known as </w:t>
      </w:r>
      <w:r w:rsidR="00E16B3D" w:rsidRPr="00E51CD5">
        <w:rPr>
          <w:rFonts w:ascii="Calibri" w:hAnsi="Calibri" w:cs="Calibri"/>
          <w:sz w:val="24"/>
          <w:szCs w:val="24"/>
        </w:rPr>
        <w:t>men’s</w:t>
      </w:r>
      <w:r w:rsidR="00A760F1" w:rsidRPr="00E51CD5">
        <w:rPr>
          <w:rFonts w:ascii="Calibri" w:hAnsi="Calibri" w:cs="Calibri"/>
          <w:sz w:val="24"/>
          <w:szCs w:val="24"/>
        </w:rPr>
        <w:t xml:space="preserve"> rea. However, in a criminal trial, proving an offender’s guilt typically requires </w:t>
      </w:r>
      <w:r w:rsidR="00E16B3D" w:rsidRPr="00E51CD5">
        <w:rPr>
          <w:rFonts w:ascii="Calibri" w:hAnsi="Calibri" w:cs="Calibri"/>
          <w:sz w:val="24"/>
          <w:szCs w:val="24"/>
        </w:rPr>
        <w:t>establishing</w:t>
      </w:r>
      <w:r w:rsidR="00A760F1" w:rsidRPr="00E51CD5">
        <w:rPr>
          <w:rFonts w:ascii="Calibri" w:hAnsi="Calibri" w:cs="Calibri"/>
          <w:sz w:val="24"/>
          <w:szCs w:val="24"/>
        </w:rPr>
        <w:t xml:space="preserve"> the </w:t>
      </w:r>
      <w:r w:rsidR="00E16B3D" w:rsidRPr="00E51CD5">
        <w:rPr>
          <w:rFonts w:ascii="Calibri" w:hAnsi="Calibri" w:cs="Calibri"/>
          <w:sz w:val="24"/>
          <w:szCs w:val="24"/>
        </w:rPr>
        <w:t>men’s</w:t>
      </w:r>
      <w:r w:rsidR="00A760F1" w:rsidRPr="00E51CD5">
        <w:rPr>
          <w:rFonts w:ascii="Calibri" w:hAnsi="Calibri" w:cs="Calibri"/>
          <w:sz w:val="24"/>
          <w:szCs w:val="24"/>
        </w:rPr>
        <w:t xml:space="preserve"> rea in addition to the actus reaus which is the phy</w:t>
      </w:r>
      <w:r w:rsidR="00BC4115" w:rsidRPr="00E51CD5">
        <w:rPr>
          <w:rFonts w:ascii="Calibri" w:hAnsi="Calibri" w:cs="Calibri"/>
          <w:sz w:val="24"/>
          <w:szCs w:val="24"/>
        </w:rPr>
        <w:t xml:space="preserve">sical components of the crime. In most cases, the prosecution </w:t>
      </w:r>
      <w:r w:rsidR="00E16B3D" w:rsidRPr="00E51CD5">
        <w:rPr>
          <w:rFonts w:ascii="Calibri" w:hAnsi="Calibri" w:cs="Calibri"/>
          <w:sz w:val="24"/>
          <w:szCs w:val="24"/>
        </w:rPr>
        <w:t>must</w:t>
      </w:r>
      <w:r w:rsidR="00BC4115" w:rsidRPr="00E51CD5">
        <w:rPr>
          <w:rFonts w:ascii="Calibri" w:hAnsi="Calibri" w:cs="Calibri"/>
          <w:sz w:val="24"/>
          <w:szCs w:val="24"/>
        </w:rPr>
        <w:t xml:space="preserve"> establish beyond a reasonable doubt that the defendant committed the crime while in a guilty state of mind. </w:t>
      </w:r>
      <w:r w:rsidR="005C5EDD">
        <w:rPr>
          <w:rFonts w:ascii="Calibri" w:hAnsi="Calibri" w:cs="Calibri"/>
          <w:sz w:val="24"/>
          <w:szCs w:val="24"/>
        </w:rPr>
        <w:t>According to StudySmarter</w:t>
      </w:r>
      <w:r w:rsidR="00AE181E">
        <w:rPr>
          <w:rFonts w:ascii="Calibri" w:hAnsi="Calibri" w:cs="Calibri"/>
          <w:sz w:val="24"/>
          <w:szCs w:val="24"/>
        </w:rPr>
        <w:t xml:space="preserve"> (2024), it is important to re</w:t>
      </w:r>
      <w:r w:rsidR="0067251A">
        <w:rPr>
          <w:rFonts w:ascii="Calibri" w:hAnsi="Calibri" w:cs="Calibri"/>
          <w:sz w:val="24"/>
          <w:szCs w:val="24"/>
        </w:rPr>
        <w:t>cognise</w:t>
      </w:r>
      <w:r w:rsidR="007616F2">
        <w:rPr>
          <w:rFonts w:ascii="Calibri" w:hAnsi="Calibri" w:cs="Calibri"/>
          <w:sz w:val="24"/>
          <w:szCs w:val="24"/>
        </w:rPr>
        <w:t xml:space="preserve"> the various forms that </w:t>
      </w:r>
      <w:r w:rsidR="00214A64">
        <w:rPr>
          <w:rFonts w:ascii="Calibri" w:hAnsi="Calibri" w:cs="Calibri"/>
          <w:sz w:val="24"/>
          <w:szCs w:val="24"/>
        </w:rPr>
        <w:t>men’s</w:t>
      </w:r>
      <w:r w:rsidR="007616F2">
        <w:rPr>
          <w:rFonts w:ascii="Calibri" w:hAnsi="Calibri" w:cs="Calibri"/>
          <w:sz w:val="24"/>
          <w:szCs w:val="24"/>
        </w:rPr>
        <w:t xml:space="preserve"> rea might</w:t>
      </w:r>
      <w:r w:rsidR="001342AC">
        <w:rPr>
          <w:rFonts w:ascii="Calibri" w:hAnsi="Calibri" w:cs="Calibri"/>
          <w:sz w:val="24"/>
          <w:szCs w:val="24"/>
        </w:rPr>
        <w:t xml:space="preserve"> take when assessing this mental element. The fundamental elements of </w:t>
      </w:r>
      <w:r w:rsidR="00214A64">
        <w:rPr>
          <w:rFonts w:ascii="Calibri" w:hAnsi="Calibri" w:cs="Calibri"/>
          <w:sz w:val="24"/>
          <w:szCs w:val="24"/>
        </w:rPr>
        <w:t>men’s</w:t>
      </w:r>
      <w:r w:rsidR="001342AC">
        <w:rPr>
          <w:rFonts w:ascii="Calibri" w:hAnsi="Calibri" w:cs="Calibri"/>
          <w:sz w:val="24"/>
          <w:szCs w:val="24"/>
        </w:rPr>
        <w:t xml:space="preserve"> rea are recklessness, knowledge, and intention; however, these com</w:t>
      </w:r>
      <w:r w:rsidR="002F6EB0">
        <w:rPr>
          <w:rFonts w:ascii="Calibri" w:hAnsi="Calibri" w:cs="Calibri"/>
          <w:sz w:val="24"/>
          <w:szCs w:val="24"/>
        </w:rPr>
        <w:t>ponents can also be divided</w:t>
      </w:r>
      <w:r w:rsidR="0054257B">
        <w:rPr>
          <w:rFonts w:ascii="Calibri" w:hAnsi="Calibri" w:cs="Calibri"/>
          <w:sz w:val="24"/>
          <w:szCs w:val="24"/>
        </w:rPr>
        <w:t xml:space="preserve"> into direct intention, indirect intention, recklessness, and negligence. Every one of these groups has a unique chara</w:t>
      </w:r>
      <w:r w:rsidR="00214A64">
        <w:rPr>
          <w:rFonts w:ascii="Calibri" w:hAnsi="Calibri" w:cs="Calibri"/>
          <w:sz w:val="24"/>
          <w:szCs w:val="24"/>
        </w:rPr>
        <w:t>cteristics and consequences when it comes to confirming criminal liability within criminal offences.</w:t>
      </w:r>
    </w:p>
    <w:p w14:paraId="5D8F0C44" w14:textId="77777777" w:rsidR="00526A0A" w:rsidRDefault="00526A0A" w:rsidP="00E51CD5">
      <w:pPr>
        <w:spacing w:line="360" w:lineRule="auto"/>
        <w:rPr>
          <w:rFonts w:ascii="Calibri" w:hAnsi="Calibri" w:cs="Calibri"/>
          <w:sz w:val="24"/>
          <w:szCs w:val="24"/>
        </w:rPr>
      </w:pPr>
    </w:p>
    <w:p w14:paraId="67E5BD97" w14:textId="1BC88EAC" w:rsidR="00526A0A" w:rsidRDefault="00AB5143" w:rsidP="00E51CD5">
      <w:pPr>
        <w:spacing w:line="360" w:lineRule="auto"/>
        <w:rPr>
          <w:rFonts w:ascii="Calibri" w:hAnsi="Calibri" w:cs="Calibri"/>
          <w:sz w:val="24"/>
          <w:szCs w:val="24"/>
        </w:rPr>
      </w:pPr>
      <w:r>
        <w:rPr>
          <w:rFonts w:ascii="Calibri" w:hAnsi="Calibri" w:cs="Calibri"/>
          <w:sz w:val="24"/>
          <w:szCs w:val="24"/>
        </w:rPr>
        <w:t>According to LexisNexis (2024),</w:t>
      </w:r>
      <w:r w:rsidR="00E42C8A">
        <w:rPr>
          <w:rFonts w:ascii="Calibri" w:hAnsi="Calibri" w:cs="Calibri"/>
          <w:sz w:val="24"/>
          <w:szCs w:val="24"/>
        </w:rPr>
        <w:t xml:space="preserve"> </w:t>
      </w:r>
      <w:r w:rsidR="00354D3A">
        <w:rPr>
          <w:rFonts w:ascii="Calibri" w:hAnsi="Calibri" w:cs="Calibri"/>
          <w:sz w:val="24"/>
          <w:szCs w:val="24"/>
        </w:rPr>
        <w:t xml:space="preserve">although </w:t>
      </w:r>
      <w:r w:rsidR="00E42C8A">
        <w:rPr>
          <w:rFonts w:ascii="Calibri" w:hAnsi="Calibri" w:cs="Calibri"/>
          <w:sz w:val="24"/>
          <w:szCs w:val="24"/>
        </w:rPr>
        <w:t>intention is an element of many crimes</w:t>
      </w:r>
      <w:r w:rsidR="00354D3A">
        <w:rPr>
          <w:rFonts w:ascii="Calibri" w:hAnsi="Calibri" w:cs="Calibri"/>
          <w:sz w:val="24"/>
          <w:szCs w:val="24"/>
        </w:rPr>
        <w:t>, it does lack a universal definition. When the defendant means to directly bring about a consequence through his actions, there is no difficulty; the likelihood of the consequence happening is not important. However, in cases when the defendant may not have wanted the outcome but may have anticipated it because of his actions, he may have had to plan it or if he understood that the outcome was almost certain as a result of his actions.</w:t>
      </w:r>
    </w:p>
    <w:p w14:paraId="2A5F6D52" w14:textId="77777777" w:rsidR="00BE451F" w:rsidRDefault="00BE451F" w:rsidP="00E51CD5">
      <w:pPr>
        <w:spacing w:line="360" w:lineRule="auto"/>
        <w:rPr>
          <w:rFonts w:ascii="Calibri" w:hAnsi="Calibri" w:cs="Calibri"/>
          <w:sz w:val="24"/>
          <w:szCs w:val="24"/>
        </w:rPr>
      </w:pPr>
    </w:p>
    <w:p w14:paraId="380C931D" w14:textId="08B32EED" w:rsidR="00BE451F" w:rsidRDefault="00BE451F" w:rsidP="00E51CD5">
      <w:pPr>
        <w:spacing w:line="360" w:lineRule="auto"/>
        <w:rPr>
          <w:rFonts w:ascii="Calibri" w:hAnsi="Calibri" w:cs="Calibri"/>
          <w:i/>
          <w:iCs/>
          <w:sz w:val="24"/>
          <w:szCs w:val="24"/>
        </w:rPr>
      </w:pPr>
      <w:r>
        <w:rPr>
          <w:rFonts w:ascii="Calibri" w:hAnsi="Calibri" w:cs="Calibri"/>
          <w:sz w:val="24"/>
          <w:szCs w:val="24"/>
        </w:rPr>
        <w:lastRenderedPageBreak/>
        <w:t>According to CILEX Law School (2019), in most cases</w:t>
      </w:r>
      <w:r w:rsidR="004C533C">
        <w:rPr>
          <w:rFonts w:ascii="Calibri" w:hAnsi="Calibri" w:cs="Calibri"/>
          <w:sz w:val="24"/>
          <w:szCs w:val="24"/>
        </w:rPr>
        <w:t xml:space="preserve"> direct intention will be demonstrated; however, if it is not demonstrated the court can nonetheless assume that D intended the outcome if it was both likely to happen and D was aware of that knowledge. This is known as indirect intention or oblique intention. </w:t>
      </w:r>
      <w:r w:rsidR="00FE4FC8">
        <w:rPr>
          <w:rFonts w:ascii="Calibri" w:hAnsi="Calibri" w:cs="Calibri"/>
          <w:sz w:val="24"/>
          <w:szCs w:val="24"/>
        </w:rPr>
        <w:t xml:space="preserve">The Woollin (1998) case decision established the current law in indirect intention. In the case, the Defendant lost his temper and threw his </w:t>
      </w:r>
      <w:r w:rsidR="00885DC9">
        <w:rPr>
          <w:rFonts w:ascii="Calibri" w:hAnsi="Calibri" w:cs="Calibri"/>
          <w:sz w:val="24"/>
          <w:szCs w:val="24"/>
        </w:rPr>
        <w:t xml:space="preserve">infant five feet across the room, breaking his skull and killing him as a result. To murder or seriously hurt someone was not defendant’s intention. Planning, understanding a significant risk of death or serious harm was considered by the Court of Appeal to be the standard for determining indirect or oblique intention. As the Court of Appeal’s murderous meaning was expanded beyond reasonable limits to include recklessness, the House of Lords reversed the Court of Appeal’s decision and dismissed defendant’s conviction. </w:t>
      </w:r>
      <w:r w:rsidR="00885DC9" w:rsidRPr="00885DC9">
        <w:rPr>
          <w:rFonts w:ascii="Calibri" w:hAnsi="Calibri" w:cs="Calibri"/>
          <w:i/>
          <w:iCs/>
          <w:sz w:val="24"/>
          <w:szCs w:val="24"/>
        </w:rPr>
        <w:t>(CILEX Law School), (2019).</w:t>
      </w:r>
    </w:p>
    <w:p w14:paraId="503C912F" w14:textId="77777777" w:rsidR="00DC3F31" w:rsidRDefault="00DC3F31" w:rsidP="00E51CD5">
      <w:pPr>
        <w:spacing w:line="360" w:lineRule="auto"/>
        <w:rPr>
          <w:rFonts w:ascii="Calibri" w:hAnsi="Calibri" w:cs="Calibri"/>
          <w:i/>
          <w:iCs/>
          <w:sz w:val="24"/>
          <w:szCs w:val="24"/>
        </w:rPr>
      </w:pPr>
    </w:p>
    <w:p w14:paraId="49F0DA49" w14:textId="2B5A3A3F" w:rsidR="00DC3F31" w:rsidRDefault="006855ED" w:rsidP="00E51CD5">
      <w:pPr>
        <w:spacing w:line="360" w:lineRule="auto"/>
        <w:rPr>
          <w:rFonts w:ascii="Calibri" w:hAnsi="Calibri" w:cs="Calibri"/>
          <w:sz w:val="24"/>
          <w:szCs w:val="24"/>
        </w:rPr>
      </w:pPr>
      <w:r>
        <w:rPr>
          <w:rFonts w:ascii="Calibri" w:hAnsi="Calibri" w:cs="Calibri"/>
          <w:sz w:val="24"/>
          <w:szCs w:val="24"/>
        </w:rPr>
        <w:t>CILEX Law School (2019) stated that</w:t>
      </w:r>
      <w:r w:rsidR="0021370E">
        <w:rPr>
          <w:rFonts w:ascii="Calibri" w:hAnsi="Calibri" w:cs="Calibri"/>
          <w:sz w:val="24"/>
          <w:szCs w:val="24"/>
        </w:rPr>
        <w:t xml:space="preserve"> when someone has a direct intention, it means they want to accomplish an action or bring about a certain outcome. This would imply that </w:t>
      </w:r>
      <w:r w:rsidR="00761673">
        <w:rPr>
          <w:rFonts w:ascii="Calibri" w:hAnsi="Calibri" w:cs="Calibri"/>
          <w:sz w:val="24"/>
          <w:szCs w:val="24"/>
        </w:rPr>
        <w:t>the defendant’s goal or intention would be to kill or seriously hurt someone.</w:t>
      </w:r>
      <w:r w:rsidR="002B7980">
        <w:rPr>
          <w:rFonts w:ascii="Calibri" w:hAnsi="Calibri" w:cs="Calibri"/>
          <w:sz w:val="24"/>
          <w:szCs w:val="24"/>
        </w:rPr>
        <w:t xml:space="preserve"> This type of </w:t>
      </w:r>
      <w:r w:rsidR="00D96647">
        <w:rPr>
          <w:rFonts w:ascii="Calibri" w:hAnsi="Calibri" w:cs="Calibri"/>
          <w:sz w:val="24"/>
          <w:szCs w:val="24"/>
        </w:rPr>
        <w:t>intention was recognised in the Moloney (1985) case.</w:t>
      </w:r>
      <w:r w:rsidR="00B43DEC">
        <w:rPr>
          <w:rFonts w:ascii="Calibri" w:hAnsi="Calibri" w:cs="Calibri"/>
          <w:sz w:val="24"/>
          <w:szCs w:val="24"/>
        </w:rPr>
        <w:t xml:space="preserve"> According to Oxbridge Law Team (2024),</w:t>
      </w:r>
      <w:r w:rsidR="002A4929">
        <w:rPr>
          <w:rFonts w:ascii="Calibri" w:hAnsi="Calibri" w:cs="Calibri"/>
          <w:sz w:val="24"/>
          <w:szCs w:val="24"/>
        </w:rPr>
        <w:t xml:space="preserve"> a man played a shooting game with his stepfather while they were drinking. M killed his stepfather</w:t>
      </w:r>
      <w:r w:rsidR="00D81610">
        <w:rPr>
          <w:rFonts w:ascii="Calibri" w:hAnsi="Calibri" w:cs="Calibri"/>
          <w:sz w:val="24"/>
          <w:szCs w:val="24"/>
        </w:rPr>
        <w:t xml:space="preserve">, but he insisted that he did not aim the gun, he just pulled the trigger, killing his stepfather. The </w:t>
      </w:r>
      <w:r w:rsidR="00E8149E">
        <w:rPr>
          <w:rFonts w:ascii="Calibri" w:hAnsi="Calibri" w:cs="Calibri"/>
          <w:sz w:val="24"/>
          <w:szCs w:val="24"/>
        </w:rPr>
        <w:t>defence’s</w:t>
      </w:r>
      <w:r w:rsidR="00D81610">
        <w:rPr>
          <w:rFonts w:ascii="Calibri" w:hAnsi="Calibri" w:cs="Calibri"/>
          <w:sz w:val="24"/>
          <w:szCs w:val="24"/>
        </w:rPr>
        <w:t xml:space="preserve"> claim</w:t>
      </w:r>
      <w:r w:rsidR="00872A07">
        <w:rPr>
          <w:rFonts w:ascii="Calibri" w:hAnsi="Calibri" w:cs="Calibri"/>
          <w:sz w:val="24"/>
          <w:szCs w:val="24"/>
        </w:rPr>
        <w:t xml:space="preserve"> that the defendant was unaware of the gun’s point of aim was </w:t>
      </w:r>
      <w:r w:rsidR="002B20FD">
        <w:rPr>
          <w:rFonts w:ascii="Calibri" w:hAnsi="Calibri" w:cs="Calibri"/>
          <w:sz w:val="24"/>
          <w:szCs w:val="24"/>
        </w:rPr>
        <w:t xml:space="preserve">neglected by the judge in his summing up, who stated that the </w:t>
      </w:r>
      <w:r w:rsidR="009219AC">
        <w:rPr>
          <w:rFonts w:ascii="Calibri" w:hAnsi="Calibri" w:cs="Calibri"/>
          <w:sz w:val="24"/>
          <w:szCs w:val="24"/>
        </w:rPr>
        <w:t>defence’s</w:t>
      </w:r>
      <w:r w:rsidR="002B20FD">
        <w:rPr>
          <w:rFonts w:ascii="Calibri" w:hAnsi="Calibri" w:cs="Calibri"/>
          <w:sz w:val="24"/>
          <w:szCs w:val="24"/>
        </w:rPr>
        <w:t xml:space="preserve"> argument </w:t>
      </w:r>
      <w:r w:rsidR="009219AC">
        <w:rPr>
          <w:rFonts w:ascii="Calibri" w:hAnsi="Calibri" w:cs="Calibri"/>
          <w:sz w:val="24"/>
          <w:szCs w:val="24"/>
        </w:rPr>
        <w:t xml:space="preserve">totalled </w:t>
      </w:r>
      <w:r w:rsidR="003A574A">
        <w:rPr>
          <w:rFonts w:ascii="Calibri" w:hAnsi="Calibri" w:cs="Calibri"/>
          <w:sz w:val="24"/>
          <w:szCs w:val="24"/>
        </w:rPr>
        <w:t>up to a denial of purpose. According to the judge, intention is when someone anticipates or wishes for something to happen. Mu</w:t>
      </w:r>
      <w:r w:rsidR="00136CE8">
        <w:rPr>
          <w:rFonts w:ascii="Calibri" w:hAnsi="Calibri" w:cs="Calibri"/>
          <w:sz w:val="24"/>
          <w:szCs w:val="24"/>
        </w:rPr>
        <w:t>rder was the outcome of the defendant’s actions</w:t>
      </w:r>
      <w:r w:rsidR="00BF10BC">
        <w:rPr>
          <w:rFonts w:ascii="Calibri" w:hAnsi="Calibri" w:cs="Calibri"/>
          <w:sz w:val="24"/>
          <w:szCs w:val="24"/>
        </w:rPr>
        <w:t xml:space="preserve"> after the Court of Appeal denied his appeal.</w:t>
      </w:r>
    </w:p>
    <w:p w14:paraId="74ECBE5F" w14:textId="77777777" w:rsidR="00726B23" w:rsidRDefault="00726B23" w:rsidP="00E51CD5">
      <w:pPr>
        <w:spacing w:line="360" w:lineRule="auto"/>
        <w:rPr>
          <w:rFonts w:ascii="Calibri" w:hAnsi="Calibri" w:cs="Calibri"/>
          <w:sz w:val="24"/>
          <w:szCs w:val="24"/>
        </w:rPr>
      </w:pPr>
    </w:p>
    <w:p w14:paraId="0BC513B4" w14:textId="00DB45BD" w:rsidR="00566559" w:rsidRDefault="00726B23" w:rsidP="00E51CD5">
      <w:pPr>
        <w:spacing w:line="360" w:lineRule="auto"/>
        <w:rPr>
          <w:rFonts w:ascii="Calibri" w:hAnsi="Calibri" w:cs="Calibri"/>
          <w:sz w:val="24"/>
          <w:szCs w:val="24"/>
        </w:rPr>
      </w:pPr>
      <w:r>
        <w:rPr>
          <w:rFonts w:ascii="Calibri" w:hAnsi="Calibri" w:cs="Calibri"/>
          <w:sz w:val="24"/>
          <w:szCs w:val="24"/>
        </w:rPr>
        <w:t>According to LexisNexis (2024),</w:t>
      </w:r>
      <w:r w:rsidR="0084688C">
        <w:rPr>
          <w:rFonts w:ascii="Calibri" w:hAnsi="Calibri" w:cs="Calibri"/>
          <w:sz w:val="24"/>
          <w:szCs w:val="24"/>
        </w:rPr>
        <w:t xml:space="preserve"> the prosecution may establish </w:t>
      </w:r>
      <w:r w:rsidR="00490A97">
        <w:rPr>
          <w:rFonts w:ascii="Calibri" w:hAnsi="Calibri" w:cs="Calibri"/>
          <w:sz w:val="24"/>
          <w:szCs w:val="24"/>
        </w:rPr>
        <w:t>men’s</w:t>
      </w:r>
      <w:r w:rsidR="0084688C">
        <w:rPr>
          <w:rFonts w:ascii="Calibri" w:hAnsi="Calibri" w:cs="Calibri"/>
          <w:sz w:val="24"/>
          <w:szCs w:val="24"/>
        </w:rPr>
        <w:t xml:space="preserve"> rea based on “recklessness”</w:t>
      </w:r>
      <w:r w:rsidR="00057218">
        <w:rPr>
          <w:rFonts w:ascii="Calibri" w:hAnsi="Calibri" w:cs="Calibri"/>
          <w:sz w:val="24"/>
          <w:szCs w:val="24"/>
        </w:rPr>
        <w:t xml:space="preserve"> in relation to specific legislation and common law offences. Unreasonable risk-taking</w:t>
      </w:r>
      <w:r w:rsidR="00490A97">
        <w:rPr>
          <w:rFonts w:ascii="Calibri" w:hAnsi="Calibri" w:cs="Calibri"/>
          <w:sz w:val="24"/>
          <w:szCs w:val="24"/>
        </w:rPr>
        <w:t xml:space="preserve"> by the accused that results in illegal harm or damage is an example of recklessness.</w:t>
      </w:r>
      <w:r w:rsidR="00BA5CA0">
        <w:rPr>
          <w:rFonts w:ascii="Calibri" w:hAnsi="Calibri" w:cs="Calibri"/>
          <w:sz w:val="24"/>
          <w:szCs w:val="24"/>
        </w:rPr>
        <w:t xml:space="preserve"> The House of Lords confirmed the subjective standards for recklessness in the case</w:t>
      </w:r>
      <w:r w:rsidR="009861F0">
        <w:rPr>
          <w:rFonts w:ascii="Calibri" w:hAnsi="Calibri" w:cs="Calibri"/>
          <w:sz w:val="24"/>
          <w:szCs w:val="24"/>
        </w:rPr>
        <w:t xml:space="preserve"> of R v G. there were two standards for recklessness prior to R</w:t>
      </w:r>
      <w:r w:rsidR="00A0057D">
        <w:rPr>
          <w:rFonts w:ascii="Calibri" w:hAnsi="Calibri" w:cs="Calibri"/>
          <w:sz w:val="24"/>
          <w:szCs w:val="24"/>
        </w:rPr>
        <w:t xml:space="preserve"> </w:t>
      </w:r>
      <w:r w:rsidR="009861F0">
        <w:rPr>
          <w:rFonts w:ascii="Calibri" w:hAnsi="Calibri" w:cs="Calibri"/>
          <w:sz w:val="24"/>
          <w:szCs w:val="24"/>
        </w:rPr>
        <w:t>v G, and t</w:t>
      </w:r>
      <w:r w:rsidR="00A0057D">
        <w:rPr>
          <w:rFonts w:ascii="Calibri" w:hAnsi="Calibri" w:cs="Calibri"/>
          <w:sz w:val="24"/>
          <w:szCs w:val="24"/>
        </w:rPr>
        <w:t xml:space="preserve">he one that applied would depend on the specific substantive offence that was accused. One test, introduced </w:t>
      </w:r>
      <w:r w:rsidR="004C6428">
        <w:rPr>
          <w:rFonts w:ascii="Calibri" w:hAnsi="Calibri" w:cs="Calibri"/>
          <w:sz w:val="24"/>
          <w:szCs w:val="24"/>
        </w:rPr>
        <w:t xml:space="preserve">by R v Cunningham was for subjective recklessness. In order to pass this test, the </w:t>
      </w:r>
      <w:r w:rsidR="004C6428">
        <w:rPr>
          <w:rFonts w:ascii="Calibri" w:hAnsi="Calibri" w:cs="Calibri"/>
          <w:sz w:val="24"/>
          <w:szCs w:val="24"/>
        </w:rPr>
        <w:lastRenderedPageBreak/>
        <w:t xml:space="preserve">prosecution had to demonstrate </w:t>
      </w:r>
      <w:r w:rsidR="00D761BB">
        <w:rPr>
          <w:rFonts w:ascii="Calibri" w:hAnsi="Calibri" w:cs="Calibri"/>
          <w:sz w:val="24"/>
          <w:szCs w:val="24"/>
        </w:rPr>
        <w:t>that the accused knew there was a risk. The second criteria concerned</w:t>
      </w:r>
      <w:r w:rsidR="00301A4C">
        <w:rPr>
          <w:rFonts w:ascii="Calibri" w:hAnsi="Calibri" w:cs="Calibri"/>
          <w:sz w:val="24"/>
          <w:szCs w:val="24"/>
        </w:rPr>
        <w:t xml:space="preserve"> objective recklessness, as determined by the court’s decision in R v Caldwell. In order to pass this standard, the prosecution had to demonstrate that a reasonable person would have recognised the risk. It was not necessary for the prosecution to show that the accused knew there was a risk. </w:t>
      </w:r>
      <w:r w:rsidR="00301A4C" w:rsidRPr="00301A4C">
        <w:rPr>
          <w:rFonts w:ascii="Calibri" w:hAnsi="Calibri" w:cs="Calibri"/>
          <w:i/>
          <w:iCs/>
          <w:sz w:val="24"/>
          <w:szCs w:val="24"/>
        </w:rPr>
        <w:t>(LexisNexis), (2024)</w:t>
      </w:r>
      <w:r w:rsidR="00301A4C">
        <w:rPr>
          <w:rFonts w:ascii="Calibri" w:hAnsi="Calibri" w:cs="Calibri"/>
          <w:sz w:val="24"/>
          <w:szCs w:val="24"/>
        </w:rPr>
        <w:t>.</w:t>
      </w:r>
    </w:p>
    <w:p w14:paraId="198A04CB" w14:textId="77777777" w:rsidR="00566559" w:rsidRDefault="00566559" w:rsidP="00E51CD5">
      <w:pPr>
        <w:spacing w:line="360" w:lineRule="auto"/>
        <w:rPr>
          <w:rFonts w:ascii="Calibri" w:hAnsi="Calibri" w:cs="Calibri"/>
          <w:sz w:val="24"/>
          <w:szCs w:val="24"/>
        </w:rPr>
      </w:pPr>
    </w:p>
    <w:p w14:paraId="5350CDD6" w14:textId="36743B21" w:rsidR="00566559" w:rsidRDefault="000249AF" w:rsidP="00E51CD5">
      <w:pPr>
        <w:spacing w:line="360" w:lineRule="auto"/>
        <w:rPr>
          <w:rFonts w:ascii="Calibri" w:hAnsi="Calibri" w:cs="Calibri"/>
          <w:sz w:val="24"/>
          <w:szCs w:val="24"/>
        </w:rPr>
      </w:pPr>
      <w:r>
        <w:rPr>
          <w:rFonts w:ascii="Calibri" w:hAnsi="Calibri" w:cs="Calibri"/>
          <w:sz w:val="24"/>
          <w:szCs w:val="24"/>
        </w:rPr>
        <w:t>A</w:t>
      </w:r>
      <w:r w:rsidR="00566559">
        <w:rPr>
          <w:rFonts w:ascii="Calibri" w:hAnsi="Calibri" w:cs="Calibri"/>
          <w:sz w:val="24"/>
          <w:szCs w:val="24"/>
        </w:rPr>
        <w:t>ccord</w:t>
      </w:r>
      <w:r>
        <w:rPr>
          <w:rFonts w:ascii="Calibri" w:hAnsi="Calibri" w:cs="Calibri"/>
          <w:sz w:val="24"/>
          <w:szCs w:val="24"/>
        </w:rPr>
        <w:t>ing to LexisNexis (2024), knowing something to be true or being “virtually certain” of something is what is referred to as knowledge.</w:t>
      </w:r>
      <w:r w:rsidR="00534818">
        <w:rPr>
          <w:rFonts w:ascii="Calibri" w:hAnsi="Calibri" w:cs="Calibri"/>
          <w:sz w:val="24"/>
          <w:szCs w:val="24"/>
        </w:rPr>
        <w:t xml:space="preserve"> The word “knowingly” in the sentence makes it obvious that </w:t>
      </w:r>
      <w:r w:rsidR="00DD7214">
        <w:rPr>
          <w:rFonts w:ascii="Calibri" w:hAnsi="Calibri" w:cs="Calibri"/>
          <w:sz w:val="24"/>
          <w:szCs w:val="24"/>
        </w:rPr>
        <w:t>men’s</w:t>
      </w:r>
      <w:r w:rsidR="00534818">
        <w:rPr>
          <w:rFonts w:ascii="Calibri" w:hAnsi="Calibri" w:cs="Calibri"/>
          <w:sz w:val="24"/>
          <w:szCs w:val="24"/>
        </w:rPr>
        <w:t xml:space="preserve"> rea is needed to establish the offence but it is important </w:t>
      </w:r>
      <w:r w:rsidR="00065CF4">
        <w:rPr>
          <w:rFonts w:ascii="Calibri" w:hAnsi="Calibri" w:cs="Calibri"/>
          <w:sz w:val="24"/>
          <w:szCs w:val="24"/>
        </w:rPr>
        <w:t>to take into account the specific type or degree of the goods in question, they might still be found guilty of knowing</w:t>
      </w:r>
      <w:r w:rsidR="00E94298">
        <w:rPr>
          <w:rFonts w:ascii="Calibri" w:hAnsi="Calibri" w:cs="Calibri"/>
          <w:sz w:val="24"/>
          <w:szCs w:val="24"/>
        </w:rPr>
        <w:t xml:space="preserve">ly participating in the fraudulent evasion of a prohibition; all that is necessary is for the individual to know they were involved in </w:t>
      </w:r>
      <w:r w:rsidR="00484115">
        <w:rPr>
          <w:rFonts w:ascii="Calibri" w:hAnsi="Calibri" w:cs="Calibri"/>
          <w:sz w:val="24"/>
          <w:szCs w:val="24"/>
        </w:rPr>
        <w:t xml:space="preserve">the evasion of a prohibition </w:t>
      </w:r>
      <w:r w:rsidR="00E94298">
        <w:rPr>
          <w:rFonts w:ascii="Calibri" w:hAnsi="Calibri" w:cs="Calibri"/>
          <w:sz w:val="24"/>
          <w:szCs w:val="24"/>
        </w:rPr>
        <w:t>and that the goods were in fact</w:t>
      </w:r>
      <w:r w:rsidR="00DD7214">
        <w:rPr>
          <w:rFonts w:ascii="Calibri" w:hAnsi="Calibri" w:cs="Calibri"/>
          <w:sz w:val="24"/>
          <w:szCs w:val="24"/>
        </w:rPr>
        <w:t xml:space="preserve"> prohibited. Evidence of “wilful blindness,” or purposefully closing one’s eyes to the apparent or declining to ask questions </w:t>
      </w:r>
      <w:proofErr w:type="gramStart"/>
      <w:r w:rsidR="00DD7214">
        <w:rPr>
          <w:rFonts w:ascii="Calibri" w:hAnsi="Calibri" w:cs="Calibri"/>
          <w:sz w:val="24"/>
          <w:szCs w:val="24"/>
        </w:rPr>
        <w:t>in order to</w:t>
      </w:r>
      <w:proofErr w:type="gramEnd"/>
      <w:r w:rsidR="00DD7214">
        <w:rPr>
          <w:rFonts w:ascii="Calibri" w:hAnsi="Calibri" w:cs="Calibri"/>
          <w:sz w:val="24"/>
          <w:szCs w:val="24"/>
        </w:rPr>
        <w:t xml:space="preserve"> prevent having suspect confirmed, which satisfies the criteria of “knowingly.”</w:t>
      </w:r>
    </w:p>
    <w:p w14:paraId="77049EDA" w14:textId="77777777" w:rsidR="000E7A3B" w:rsidRDefault="000E7A3B" w:rsidP="00E51CD5">
      <w:pPr>
        <w:spacing w:line="360" w:lineRule="auto"/>
        <w:rPr>
          <w:rFonts w:ascii="Calibri" w:hAnsi="Calibri" w:cs="Calibri"/>
          <w:sz w:val="24"/>
          <w:szCs w:val="24"/>
        </w:rPr>
      </w:pPr>
    </w:p>
    <w:p w14:paraId="7D1981B8" w14:textId="2D62E944" w:rsidR="000E7A3B" w:rsidRDefault="000E7A3B" w:rsidP="00E51CD5">
      <w:pPr>
        <w:spacing w:line="360" w:lineRule="auto"/>
        <w:rPr>
          <w:rFonts w:ascii="Calibri" w:hAnsi="Calibri" w:cs="Calibri"/>
          <w:i/>
          <w:iCs/>
          <w:sz w:val="24"/>
          <w:szCs w:val="24"/>
        </w:rPr>
      </w:pPr>
      <w:r>
        <w:rPr>
          <w:rFonts w:ascii="Calibri" w:hAnsi="Calibri" w:cs="Calibri"/>
          <w:sz w:val="24"/>
          <w:szCs w:val="24"/>
        </w:rPr>
        <w:t xml:space="preserve">According to </w:t>
      </w:r>
      <w:r w:rsidR="009F4E74">
        <w:rPr>
          <w:rFonts w:ascii="Calibri" w:hAnsi="Calibri" w:cs="Calibri"/>
          <w:sz w:val="24"/>
          <w:szCs w:val="24"/>
        </w:rPr>
        <w:t>P. Ainley (2022),</w:t>
      </w:r>
      <w:r w:rsidR="003E287A">
        <w:rPr>
          <w:rFonts w:ascii="Calibri" w:hAnsi="Calibri" w:cs="Calibri"/>
          <w:sz w:val="24"/>
          <w:szCs w:val="24"/>
        </w:rPr>
        <w:t xml:space="preserve"> when someone violates the law by failing to take </w:t>
      </w:r>
      <w:r w:rsidR="00790FAE">
        <w:rPr>
          <w:rFonts w:ascii="Calibri" w:hAnsi="Calibri" w:cs="Calibri"/>
          <w:sz w:val="24"/>
          <w:szCs w:val="24"/>
        </w:rPr>
        <w:t>reasonable care, it is considered as criminal negligence</w:t>
      </w:r>
      <w:r w:rsidR="00AA493C">
        <w:rPr>
          <w:rFonts w:ascii="Calibri" w:hAnsi="Calibri" w:cs="Calibri"/>
          <w:sz w:val="24"/>
          <w:szCs w:val="24"/>
        </w:rPr>
        <w:t xml:space="preserve">. Authorities file criminal negligence claims in order to </w:t>
      </w:r>
      <w:r w:rsidR="00DE0D3A">
        <w:rPr>
          <w:rFonts w:ascii="Calibri" w:hAnsi="Calibri" w:cs="Calibri"/>
          <w:sz w:val="24"/>
          <w:szCs w:val="24"/>
        </w:rPr>
        <w:t>be considered criminally negligent, an individual must know that their actions put another person at unnecessary risk and show a</w:t>
      </w:r>
      <w:r w:rsidR="00DD0785">
        <w:rPr>
          <w:rFonts w:ascii="Calibri" w:hAnsi="Calibri" w:cs="Calibri"/>
          <w:sz w:val="24"/>
          <w:szCs w:val="24"/>
        </w:rPr>
        <w:t xml:space="preserve"> severely serious departure from a reasonable standard of care. </w:t>
      </w:r>
      <w:r w:rsidR="00C21B50">
        <w:rPr>
          <w:rFonts w:ascii="Calibri" w:hAnsi="Calibri" w:cs="Calibri"/>
          <w:sz w:val="24"/>
          <w:szCs w:val="24"/>
        </w:rPr>
        <w:t xml:space="preserve">There are many </w:t>
      </w:r>
      <w:r w:rsidR="007958B4">
        <w:rPr>
          <w:rFonts w:ascii="Calibri" w:hAnsi="Calibri" w:cs="Calibri"/>
          <w:sz w:val="24"/>
          <w:szCs w:val="24"/>
        </w:rPr>
        <w:t xml:space="preserve">examples that may be considered as negligence. Example </w:t>
      </w:r>
      <w:r w:rsidR="00C02CD6">
        <w:rPr>
          <w:rFonts w:ascii="Calibri" w:hAnsi="Calibri" w:cs="Calibri"/>
          <w:sz w:val="24"/>
          <w:szCs w:val="24"/>
        </w:rPr>
        <w:t>one, a</w:t>
      </w:r>
      <w:r w:rsidR="00786723">
        <w:rPr>
          <w:rFonts w:ascii="Calibri" w:hAnsi="Calibri" w:cs="Calibri"/>
          <w:sz w:val="24"/>
          <w:szCs w:val="24"/>
        </w:rPr>
        <w:t xml:space="preserve"> driver who drives carelessly and causes an accident by exceeding the speed limit by more than 30</w:t>
      </w:r>
      <w:r w:rsidR="00D57335">
        <w:rPr>
          <w:rFonts w:ascii="Calibri" w:hAnsi="Calibri" w:cs="Calibri"/>
          <w:sz w:val="24"/>
          <w:szCs w:val="24"/>
        </w:rPr>
        <w:t xml:space="preserve">mph is likely to face criminal negligence charges. Likewise, there is a possibility of a criminal negligence charge for a driver who texts </w:t>
      </w:r>
      <w:r w:rsidR="00C02CD6">
        <w:rPr>
          <w:rFonts w:ascii="Calibri" w:hAnsi="Calibri" w:cs="Calibri"/>
          <w:sz w:val="24"/>
          <w:szCs w:val="24"/>
        </w:rPr>
        <w:t>whiles driving and crashes.</w:t>
      </w:r>
      <w:r w:rsidR="006C2399">
        <w:rPr>
          <w:rFonts w:ascii="Calibri" w:hAnsi="Calibri" w:cs="Calibri"/>
          <w:sz w:val="24"/>
          <w:szCs w:val="24"/>
        </w:rPr>
        <w:t xml:space="preserve"> Another example w</w:t>
      </w:r>
      <w:r w:rsidR="00757734">
        <w:rPr>
          <w:rFonts w:ascii="Calibri" w:hAnsi="Calibri" w:cs="Calibri"/>
          <w:sz w:val="24"/>
          <w:szCs w:val="24"/>
        </w:rPr>
        <w:t>ould be</w:t>
      </w:r>
      <w:r w:rsidR="005A398C">
        <w:rPr>
          <w:rFonts w:ascii="Calibri" w:hAnsi="Calibri" w:cs="Calibri"/>
          <w:sz w:val="24"/>
          <w:szCs w:val="24"/>
        </w:rPr>
        <w:t xml:space="preserve"> anyone who drives a vehicle while under the influence of alcohol or drugs</w:t>
      </w:r>
      <w:r w:rsidR="00027A1B">
        <w:rPr>
          <w:rFonts w:ascii="Calibri" w:hAnsi="Calibri" w:cs="Calibri"/>
          <w:sz w:val="24"/>
          <w:szCs w:val="24"/>
        </w:rPr>
        <w:t xml:space="preserve"> and causes harm to themselves or another person in the accident.</w:t>
      </w:r>
      <w:r w:rsidR="00223B8C">
        <w:rPr>
          <w:rFonts w:ascii="Calibri" w:hAnsi="Calibri" w:cs="Calibri"/>
          <w:sz w:val="24"/>
          <w:szCs w:val="24"/>
        </w:rPr>
        <w:t xml:space="preserve"> Another example </w:t>
      </w:r>
      <w:r w:rsidR="006A3609">
        <w:rPr>
          <w:rFonts w:ascii="Calibri" w:hAnsi="Calibri" w:cs="Calibri"/>
          <w:sz w:val="24"/>
          <w:szCs w:val="24"/>
        </w:rPr>
        <w:t xml:space="preserve">where </w:t>
      </w:r>
      <w:r w:rsidR="00223B8C">
        <w:rPr>
          <w:rFonts w:ascii="Calibri" w:hAnsi="Calibri" w:cs="Calibri"/>
          <w:sz w:val="24"/>
          <w:szCs w:val="24"/>
        </w:rPr>
        <w:t>someone may be charged with criminal negligence is when a parent</w:t>
      </w:r>
      <w:r w:rsidR="006A3609">
        <w:rPr>
          <w:rFonts w:ascii="Calibri" w:hAnsi="Calibri" w:cs="Calibri"/>
          <w:sz w:val="24"/>
          <w:szCs w:val="24"/>
        </w:rPr>
        <w:t xml:space="preserve"> abandons their child at home so they can go out and have a great</w:t>
      </w:r>
      <w:r w:rsidR="001F0EDD">
        <w:rPr>
          <w:rFonts w:ascii="Calibri" w:hAnsi="Calibri" w:cs="Calibri"/>
          <w:sz w:val="24"/>
          <w:szCs w:val="24"/>
        </w:rPr>
        <w:t xml:space="preserve"> time at a restaurant.</w:t>
      </w:r>
      <w:r w:rsidR="00D91667">
        <w:rPr>
          <w:rFonts w:ascii="Calibri" w:hAnsi="Calibri" w:cs="Calibri"/>
          <w:sz w:val="24"/>
          <w:szCs w:val="24"/>
        </w:rPr>
        <w:t xml:space="preserve"> The last example where </w:t>
      </w:r>
      <w:r w:rsidR="00F57424">
        <w:rPr>
          <w:rFonts w:ascii="Calibri" w:hAnsi="Calibri" w:cs="Calibri"/>
          <w:sz w:val="24"/>
          <w:szCs w:val="24"/>
        </w:rPr>
        <w:t>someone may be charged with criminal negligence</w:t>
      </w:r>
      <w:r w:rsidR="00661B7D">
        <w:rPr>
          <w:rFonts w:ascii="Calibri" w:hAnsi="Calibri" w:cs="Calibri"/>
          <w:sz w:val="24"/>
          <w:szCs w:val="24"/>
        </w:rPr>
        <w:t xml:space="preserve"> is if an owner of a dangerous dog lets it go loose in a public park and the dog attacks someone. </w:t>
      </w:r>
      <w:r w:rsidR="00661B7D" w:rsidRPr="00661B7D">
        <w:rPr>
          <w:rFonts w:ascii="Calibri" w:hAnsi="Calibri" w:cs="Calibri"/>
          <w:i/>
          <w:iCs/>
          <w:sz w:val="24"/>
          <w:szCs w:val="24"/>
        </w:rPr>
        <w:t>(P. Ainley), (2022)</w:t>
      </w:r>
      <w:r w:rsidR="00661B7D">
        <w:rPr>
          <w:rFonts w:ascii="Calibri" w:hAnsi="Calibri" w:cs="Calibri"/>
          <w:i/>
          <w:iCs/>
          <w:sz w:val="24"/>
          <w:szCs w:val="24"/>
        </w:rPr>
        <w:t>.</w:t>
      </w:r>
    </w:p>
    <w:p w14:paraId="45E058B8" w14:textId="2EE38DB1" w:rsidR="00EA2918" w:rsidRDefault="00F959A2" w:rsidP="00E51CD5">
      <w:pPr>
        <w:spacing w:line="360" w:lineRule="auto"/>
        <w:rPr>
          <w:rFonts w:ascii="Calibri" w:hAnsi="Calibri" w:cs="Calibri"/>
          <w:sz w:val="24"/>
          <w:szCs w:val="24"/>
        </w:rPr>
      </w:pPr>
      <w:r>
        <w:rPr>
          <w:rFonts w:ascii="Calibri" w:hAnsi="Calibri" w:cs="Calibri"/>
          <w:sz w:val="24"/>
          <w:szCs w:val="24"/>
        </w:rPr>
        <w:lastRenderedPageBreak/>
        <w:t>According to StudySmarter (2024),</w:t>
      </w:r>
      <w:r w:rsidR="003D1A6E">
        <w:rPr>
          <w:rFonts w:ascii="Calibri" w:hAnsi="Calibri" w:cs="Calibri"/>
          <w:sz w:val="24"/>
          <w:szCs w:val="24"/>
        </w:rPr>
        <w:t xml:space="preserve"> the legal system depends on criminal liability since it establishes who can be prosecuted for crimes</w:t>
      </w:r>
      <w:r w:rsidR="004B5B83">
        <w:rPr>
          <w:rFonts w:ascii="Calibri" w:hAnsi="Calibri" w:cs="Calibri"/>
          <w:sz w:val="24"/>
          <w:szCs w:val="24"/>
        </w:rPr>
        <w:t>. It is crucial to examin</w:t>
      </w:r>
      <w:r w:rsidR="00DF4F6D">
        <w:rPr>
          <w:rFonts w:ascii="Calibri" w:hAnsi="Calibri" w:cs="Calibri"/>
          <w:sz w:val="24"/>
          <w:szCs w:val="24"/>
        </w:rPr>
        <w:t xml:space="preserve">e the notion of criminal liability and it is foundational ideas </w:t>
      </w:r>
      <w:proofErr w:type="gramStart"/>
      <w:r w:rsidR="00DF4F6D">
        <w:rPr>
          <w:rFonts w:ascii="Calibri" w:hAnsi="Calibri" w:cs="Calibri"/>
          <w:sz w:val="24"/>
          <w:szCs w:val="24"/>
        </w:rPr>
        <w:t>in order to</w:t>
      </w:r>
      <w:proofErr w:type="gramEnd"/>
      <w:r w:rsidR="00DF4F6D">
        <w:rPr>
          <w:rFonts w:ascii="Calibri" w:hAnsi="Calibri" w:cs="Calibri"/>
          <w:sz w:val="24"/>
          <w:szCs w:val="24"/>
        </w:rPr>
        <w:t xml:space="preserve"> better understand this idea.</w:t>
      </w:r>
      <w:r w:rsidR="005B10D6">
        <w:rPr>
          <w:rFonts w:ascii="Calibri" w:hAnsi="Calibri" w:cs="Calibri"/>
          <w:sz w:val="24"/>
          <w:szCs w:val="24"/>
        </w:rPr>
        <w:t xml:space="preserve"> The legal system often operates under the premise that people are accountable for their actions and must deal with the consequences. Three essential ideas are involved in criminal liability</w:t>
      </w:r>
      <w:r w:rsidR="00293629">
        <w:rPr>
          <w:rFonts w:ascii="Calibri" w:hAnsi="Calibri" w:cs="Calibri"/>
          <w:sz w:val="24"/>
          <w:szCs w:val="24"/>
        </w:rPr>
        <w:t xml:space="preserve">. First action is when someone commits an </w:t>
      </w:r>
      <w:r w:rsidR="006208B8">
        <w:rPr>
          <w:rFonts w:ascii="Calibri" w:hAnsi="Calibri" w:cs="Calibri"/>
          <w:sz w:val="24"/>
          <w:szCs w:val="24"/>
        </w:rPr>
        <w:t>offence</w:t>
      </w:r>
      <w:r w:rsidR="00293629">
        <w:rPr>
          <w:rFonts w:ascii="Calibri" w:hAnsi="Calibri" w:cs="Calibri"/>
          <w:sz w:val="24"/>
          <w:szCs w:val="24"/>
        </w:rPr>
        <w:t xml:space="preserve"> which is known as the actus reus</w:t>
      </w:r>
      <w:r w:rsidR="00DD1FEB">
        <w:rPr>
          <w:rFonts w:ascii="Calibri" w:hAnsi="Calibri" w:cs="Calibri"/>
          <w:sz w:val="24"/>
          <w:szCs w:val="24"/>
        </w:rPr>
        <w:t xml:space="preserve">. 2, the act was performed with the guilty intent or state of mind which is known as the </w:t>
      </w:r>
      <w:r w:rsidR="006208B8">
        <w:rPr>
          <w:rFonts w:ascii="Calibri" w:hAnsi="Calibri" w:cs="Calibri"/>
          <w:sz w:val="24"/>
          <w:szCs w:val="24"/>
        </w:rPr>
        <w:t>men’s</w:t>
      </w:r>
      <w:r w:rsidR="00DD1FEB">
        <w:rPr>
          <w:rFonts w:ascii="Calibri" w:hAnsi="Calibri" w:cs="Calibri"/>
          <w:sz w:val="24"/>
          <w:szCs w:val="24"/>
        </w:rPr>
        <w:t xml:space="preserve"> rea</w:t>
      </w:r>
      <w:r w:rsidR="00930F81">
        <w:rPr>
          <w:rFonts w:ascii="Calibri" w:hAnsi="Calibri" w:cs="Calibri"/>
          <w:sz w:val="24"/>
          <w:szCs w:val="24"/>
        </w:rPr>
        <w:t>. 3, beyond a reasonable doubt, the prosecution must establish the defendant’s criminal responsibility. Every one of these ideas are essential to figuring out criminal responsibility</w:t>
      </w:r>
      <w:r w:rsidR="006208B8">
        <w:rPr>
          <w:rFonts w:ascii="Calibri" w:hAnsi="Calibri" w:cs="Calibri"/>
          <w:sz w:val="24"/>
          <w:szCs w:val="24"/>
        </w:rPr>
        <w:t>.</w:t>
      </w:r>
    </w:p>
    <w:p w14:paraId="239997EA" w14:textId="3023F8A9" w:rsidR="00447381" w:rsidRDefault="00447381" w:rsidP="00E51CD5">
      <w:pPr>
        <w:spacing w:line="360" w:lineRule="auto"/>
        <w:rPr>
          <w:rFonts w:ascii="Calibri" w:hAnsi="Calibri" w:cs="Calibri"/>
          <w:sz w:val="24"/>
          <w:szCs w:val="24"/>
        </w:rPr>
      </w:pPr>
    </w:p>
    <w:p w14:paraId="303A3FC4" w14:textId="160ADDEE" w:rsidR="00447381" w:rsidRDefault="00447381" w:rsidP="00E51CD5">
      <w:pPr>
        <w:spacing w:line="360" w:lineRule="auto"/>
        <w:rPr>
          <w:rFonts w:ascii="Calibri" w:hAnsi="Calibri" w:cs="Calibri"/>
          <w:sz w:val="24"/>
          <w:szCs w:val="24"/>
        </w:rPr>
      </w:pPr>
      <w:r>
        <w:rPr>
          <w:rFonts w:ascii="Calibri" w:hAnsi="Calibri" w:cs="Calibri"/>
          <w:sz w:val="24"/>
          <w:szCs w:val="24"/>
        </w:rPr>
        <w:t>In conclusion</w:t>
      </w:r>
      <w:r w:rsidR="00B80E36">
        <w:rPr>
          <w:rFonts w:ascii="Calibri" w:hAnsi="Calibri" w:cs="Calibri"/>
          <w:sz w:val="24"/>
          <w:szCs w:val="24"/>
        </w:rPr>
        <w:t xml:space="preserve">, </w:t>
      </w:r>
      <w:r w:rsidR="00724C60">
        <w:rPr>
          <w:rFonts w:ascii="Calibri" w:hAnsi="Calibri" w:cs="Calibri"/>
          <w:sz w:val="24"/>
          <w:szCs w:val="24"/>
        </w:rPr>
        <w:t>to</w:t>
      </w:r>
      <w:r w:rsidR="00B80E36">
        <w:rPr>
          <w:rFonts w:ascii="Calibri" w:hAnsi="Calibri" w:cs="Calibri"/>
          <w:sz w:val="24"/>
          <w:szCs w:val="24"/>
        </w:rPr>
        <w:t xml:space="preserve"> ensure that criminal liability is appropriately assigned, the UK criminal justice syste</w:t>
      </w:r>
      <w:r w:rsidR="005A00BF">
        <w:rPr>
          <w:rFonts w:ascii="Calibri" w:hAnsi="Calibri" w:cs="Calibri"/>
          <w:sz w:val="24"/>
          <w:szCs w:val="24"/>
        </w:rPr>
        <w:t xml:space="preserve">m must prove men’s rea. It supports moral responsibility, </w:t>
      </w:r>
      <w:r w:rsidR="00724C60">
        <w:rPr>
          <w:rFonts w:ascii="Calibri" w:hAnsi="Calibri" w:cs="Calibri"/>
          <w:sz w:val="24"/>
          <w:szCs w:val="24"/>
        </w:rPr>
        <w:t>recognises</w:t>
      </w:r>
      <w:r w:rsidR="005A00BF">
        <w:rPr>
          <w:rFonts w:ascii="Calibri" w:hAnsi="Calibri" w:cs="Calibri"/>
          <w:sz w:val="24"/>
          <w:szCs w:val="24"/>
        </w:rPr>
        <w:t xml:space="preserve"> different degree of guilt</w:t>
      </w:r>
      <w:r w:rsidR="00022FA6">
        <w:rPr>
          <w:rFonts w:ascii="Calibri" w:hAnsi="Calibri" w:cs="Calibri"/>
          <w:sz w:val="24"/>
          <w:szCs w:val="24"/>
        </w:rPr>
        <w:t>, safeguards the innocent, directs the use of judicial discretion, and offers an</w:t>
      </w:r>
      <w:r w:rsidR="00B71A8E">
        <w:rPr>
          <w:rFonts w:ascii="Calibri" w:hAnsi="Calibri" w:cs="Calibri"/>
          <w:sz w:val="24"/>
          <w:szCs w:val="24"/>
        </w:rPr>
        <w:t xml:space="preserve"> accurate legal </w:t>
      </w:r>
      <w:r w:rsidR="00724C60">
        <w:rPr>
          <w:rFonts w:ascii="Calibri" w:hAnsi="Calibri" w:cs="Calibri"/>
          <w:sz w:val="24"/>
          <w:szCs w:val="24"/>
        </w:rPr>
        <w:t>framework</w:t>
      </w:r>
      <w:r w:rsidR="00B71A8E">
        <w:rPr>
          <w:rFonts w:ascii="Calibri" w:hAnsi="Calibri" w:cs="Calibri"/>
          <w:sz w:val="24"/>
          <w:szCs w:val="24"/>
        </w:rPr>
        <w:t>. Together, these roles preserve the values of justice and equity by guaranteeing that only those with</w:t>
      </w:r>
      <w:r w:rsidR="00724C60">
        <w:rPr>
          <w:rFonts w:ascii="Calibri" w:hAnsi="Calibri" w:cs="Calibri"/>
          <w:sz w:val="24"/>
          <w:szCs w:val="24"/>
        </w:rPr>
        <w:t xml:space="preserve"> a deviant mental condition are subject to criminal prosecution.</w:t>
      </w:r>
    </w:p>
    <w:p w14:paraId="4119BD47" w14:textId="77777777" w:rsidR="005B10D6" w:rsidRDefault="005B10D6" w:rsidP="00E51CD5">
      <w:pPr>
        <w:spacing w:line="360" w:lineRule="auto"/>
        <w:rPr>
          <w:rFonts w:ascii="Calibri" w:hAnsi="Calibri" w:cs="Calibri"/>
          <w:sz w:val="24"/>
          <w:szCs w:val="24"/>
        </w:rPr>
      </w:pPr>
    </w:p>
    <w:p w14:paraId="74022EBF" w14:textId="39F0A6A3" w:rsidR="00FC4FCE" w:rsidRDefault="00FC4FCE" w:rsidP="0098139B"/>
    <w:p w14:paraId="3CEE4A63" w14:textId="77777777" w:rsidR="004B74C9" w:rsidRDefault="004B74C9" w:rsidP="0098139B"/>
    <w:p w14:paraId="0A6FC328" w14:textId="77777777" w:rsidR="004B74C9" w:rsidRDefault="004B74C9" w:rsidP="0098139B"/>
    <w:p w14:paraId="68AA6704" w14:textId="77777777" w:rsidR="004B74C9" w:rsidRDefault="004B74C9" w:rsidP="0098139B"/>
    <w:p w14:paraId="489CB2F6" w14:textId="77777777" w:rsidR="004B74C9" w:rsidRDefault="004B74C9" w:rsidP="0098139B"/>
    <w:p w14:paraId="5EEAF279" w14:textId="77777777" w:rsidR="004B74C9" w:rsidRDefault="004B74C9" w:rsidP="0098139B"/>
    <w:p w14:paraId="1C821EBA" w14:textId="77777777" w:rsidR="004B74C9" w:rsidRDefault="004B74C9" w:rsidP="0098139B"/>
    <w:p w14:paraId="536C0D57" w14:textId="77777777" w:rsidR="004B74C9" w:rsidRDefault="004B74C9" w:rsidP="0098139B"/>
    <w:p w14:paraId="4527C1C2" w14:textId="77777777" w:rsidR="004B74C9" w:rsidRDefault="004B74C9" w:rsidP="0098139B"/>
    <w:p w14:paraId="54B954FF" w14:textId="77777777" w:rsidR="004B74C9" w:rsidRDefault="004B74C9" w:rsidP="0098139B"/>
    <w:p w14:paraId="177B8802" w14:textId="77777777" w:rsidR="004B74C9" w:rsidRDefault="004B74C9" w:rsidP="0098139B"/>
    <w:p w14:paraId="7C60B473" w14:textId="77777777" w:rsidR="004B74C9" w:rsidRDefault="004B74C9" w:rsidP="0098139B"/>
    <w:p w14:paraId="4AE9701F" w14:textId="77777777" w:rsidR="004B74C9" w:rsidRDefault="004B74C9" w:rsidP="0098139B"/>
    <w:p w14:paraId="4053403B" w14:textId="77777777" w:rsidR="004B74C9" w:rsidRDefault="004B74C9" w:rsidP="0098139B"/>
    <w:p w14:paraId="63ECC44E" w14:textId="77777777" w:rsidR="004B74C9" w:rsidRDefault="004B74C9" w:rsidP="0098139B"/>
    <w:p w14:paraId="165B4747" w14:textId="77777777" w:rsidR="004B74C9" w:rsidRDefault="004B74C9" w:rsidP="0098139B"/>
    <w:p w14:paraId="57D5D198" w14:textId="77777777" w:rsidR="004B74C9" w:rsidRDefault="004B74C9" w:rsidP="0098139B"/>
    <w:p w14:paraId="030BDC01" w14:textId="77777777" w:rsidR="004B74C9" w:rsidRDefault="004B74C9" w:rsidP="0098139B"/>
    <w:p w14:paraId="1F59AB56" w14:textId="77777777" w:rsidR="004B74C9" w:rsidRDefault="004B74C9" w:rsidP="0098139B"/>
    <w:p w14:paraId="274C8F46" w14:textId="77777777" w:rsidR="004B74C9" w:rsidRDefault="004B74C9" w:rsidP="0098139B"/>
    <w:p w14:paraId="785C6B11" w14:textId="77777777" w:rsidR="004B74C9" w:rsidRDefault="004B74C9" w:rsidP="0098139B"/>
    <w:p w14:paraId="4E324455" w14:textId="77777777" w:rsidR="004B74C9" w:rsidRDefault="004B74C9" w:rsidP="0098139B"/>
    <w:p w14:paraId="7C077629" w14:textId="77777777" w:rsidR="004B74C9" w:rsidRDefault="004B74C9" w:rsidP="0098139B"/>
    <w:p w14:paraId="366B689B" w14:textId="77777777" w:rsidR="004B74C9" w:rsidRDefault="004B74C9" w:rsidP="0098139B"/>
    <w:p w14:paraId="6F315BC3" w14:textId="77777777" w:rsidR="004B74C9" w:rsidRDefault="004B74C9" w:rsidP="0098139B"/>
    <w:p w14:paraId="5C277514" w14:textId="77777777" w:rsidR="004B74C9" w:rsidRDefault="004B74C9" w:rsidP="0098139B"/>
    <w:p w14:paraId="136CD813" w14:textId="77777777" w:rsidR="004B74C9" w:rsidRDefault="004B74C9" w:rsidP="0098139B"/>
    <w:p w14:paraId="1F115A10"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roofErr w:type="spellStart"/>
      <w:r w:rsidRPr="00516DAB">
        <w:rPr>
          <w:rFonts w:ascii="Calibri" w:eastAsiaTheme="minorHAnsi" w:hAnsi="Calibri" w:cs="Calibri"/>
          <w:sz w:val="24"/>
          <w:szCs w:val="24"/>
          <w:lang w:eastAsia="en-US"/>
          <w14:ligatures w14:val="standardContextual"/>
        </w:rPr>
        <w:lastRenderedPageBreak/>
        <w:t>CILEx</w:t>
      </w:r>
      <w:proofErr w:type="spellEnd"/>
      <w:r w:rsidRPr="00516DAB">
        <w:rPr>
          <w:rFonts w:ascii="Calibri" w:eastAsiaTheme="minorHAnsi" w:hAnsi="Calibri" w:cs="Calibri"/>
          <w:sz w:val="24"/>
          <w:szCs w:val="24"/>
          <w:lang w:eastAsia="en-US"/>
          <w14:ligatures w14:val="standardContextual"/>
        </w:rPr>
        <w:t xml:space="preserve"> Law School (2019</w:t>
      </w:r>
      <w:proofErr w:type="gramStart"/>
      <w:r w:rsidRPr="00516DAB">
        <w:rPr>
          <w:rFonts w:ascii="Calibri" w:eastAsiaTheme="minorHAnsi" w:hAnsi="Calibri" w:cs="Calibri"/>
          <w:sz w:val="24"/>
          <w:szCs w:val="24"/>
          <w:lang w:eastAsia="en-US"/>
          <w14:ligatures w14:val="standardContextual"/>
        </w:rPr>
        <w:t>)  Chapter</w:t>
      </w:r>
      <w:proofErr w:type="gramEnd"/>
      <w:r w:rsidRPr="00516DAB">
        <w:rPr>
          <w:rFonts w:ascii="Calibri" w:eastAsiaTheme="minorHAnsi" w:hAnsi="Calibri" w:cs="Calibri"/>
          <w:sz w:val="24"/>
          <w:szCs w:val="24"/>
          <w:lang w:eastAsia="en-US"/>
          <w14:ligatures w14:val="standardContextual"/>
        </w:rPr>
        <w:t xml:space="preserve"> 2 Fundamental Principles of Criminal Liability 2: </w:t>
      </w:r>
      <w:proofErr w:type="spellStart"/>
      <w:r w:rsidRPr="00516DAB">
        <w:rPr>
          <w:rFonts w:ascii="Calibri" w:eastAsiaTheme="minorHAnsi" w:hAnsi="Calibri" w:cs="Calibri"/>
          <w:sz w:val="24"/>
          <w:szCs w:val="24"/>
          <w:lang w:eastAsia="en-US"/>
          <w14:ligatures w14:val="standardContextual"/>
        </w:rPr>
        <w:t>Mens</w:t>
      </w:r>
      <w:proofErr w:type="spellEnd"/>
      <w:r w:rsidRPr="00516DAB">
        <w:rPr>
          <w:rFonts w:ascii="Calibri" w:eastAsiaTheme="minorHAnsi" w:hAnsi="Calibri" w:cs="Calibri"/>
          <w:sz w:val="24"/>
          <w:szCs w:val="24"/>
          <w:lang w:eastAsia="en-US"/>
          <w14:ligatures w14:val="standardContextual"/>
        </w:rPr>
        <w:t xml:space="preserve"> Rea available at:</w:t>
      </w:r>
    </w:p>
    <w:p w14:paraId="77B8E24A"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hyperlink r:id="rId7" w:history="1">
        <w:r w:rsidRPr="00516DAB">
          <w:rPr>
            <w:rFonts w:ascii="Calibri" w:eastAsiaTheme="minorHAnsi" w:hAnsi="Calibri" w:cs="Calibri"/>
            <w:sz w:val="24"/>
            <w:szCs w:val="24"/>
            <w:lang w:eastAsia="en-US"/>
            <w14:ligatures w14:val="standardContextual"/>
          </w:rPr>
          <w:t>https://cilexlawschool.ac.uk/wp-content/uploads/2019/09/HQ03-Criminal-Law-Sample-2019.pdf</w:t>
        </w:r>
      </w:hyperlink>
    </w:p>
    <w:p w14:paraId="4F962D20" w14:textId="71A2F526" w:rsidR="004B74C9"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07.07.2024</w:t>
      </w:r>
    </w:p>
    <w:p w14:paraId="0A78E114"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4F4E0ECC"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Cornell Law School (2023) men’s rea. Available at:</w:t>
      </w:r>
    </w:p>
    <w:p w14:paraId="009A90B7"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hyperlink r:id="rId8" w:history="1">
        <w:r w:rsidRPr="00516DAB">
          <w:rPr>
            <w:rFonts w:ascii="Calibri" w:eastAsiaTheme="minorHAnsi" w:hAnsi="Calibri" w:cs="Calibri"/>
            <w:sz w:val="24"/>
            <w:szCs w:val="24"/>
            <w:u w:val="single"/>
            <w:lang w:eastAsia="en-US"/>
            <w14:ligatures w14:val="standardContextual"/>
          </w:rPr>
          <w:t>https://www.law.cornell.edu/wex/mens_rea#:~:text=Mens%20rea%20refers%20to%20criminal,defendant%20of%20a%20particular%20crime.</w:t>
        </w:r>
      </w:hyperlink>
    </w:p>
    <w:p w14:paraId="44AE5F79"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05.07.2024</w:t>
      </w:r>
    </w:p>
    <w:p w14:paraId="70917820"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
    <w:p w14:paraId="17BA60C2"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 xml:space="preserve">LexisNexis (2024) </w:t>
      </w:r>
      <w:proofErr w:type="spellStart"/>
      <w:r w:rsidRPr="00516DAB">
        <w:rPr>
          <w:rFonts w:ascii="Calibri" w:eastAsiaTheme="minorHAnsi" w:hAnsi="Calibri" w:cs="Calibri"/>
          <w:sz w:val="24"/>
          <w:szCs w:val="24"/>
          <w:lang w:eastAsia="en-US"/>
          <w14:ligatures w14:val="standardContextual"/>
        </w:rPr>
        <w:t>Mens</w:t>
      </w:r>
      <w:proofErr w:type="spellEnd"/>
      <w:r w:rsidRPr="00516DAB">
        <w:rPr>
          <w:rFonts w:ascii="Calibri" w:eastAsiaTheme="minorHAnsi" w:hAnsi="Calibri" w:cs="Calibri"/>
          <w:sz w:val="24"/>
          <w:szCs w:val="24"/>
          <w:lang w:eastAsia="en-US"/>
          <w14:ligatures w14:val="standardContextual"/>
        </w:rPr>
        <w:t xml:space="preserve"> Rea Definition available at:</w:t>
      </w:r>
    </w:p>
    <w:p w14:paraId="641EB2FD"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hyperlink r:id="rId9" w:history="1">
        <w:r w:rsidRPr="00516DAB">
          <w:rPr>
            <w:rFonts w:ascii="Calibri" w:eastAsiaTheme="minorHAnsi" w:hAnsi="Calibri" w:cs="Calibri"/>
            <w:sz w:val="24"/>
            <w:szCs w:val="24"/>
            <w:lang w:eastAsia="en-US"/>
            <w14:ligatures w14:val="standardContextual"/>
          </w:rPr>
          <w:t>https://www.lexisnexis.co.uk/legal/glossary/mens-rea#:~:text=What%20does%20Mens%20rea%20mean,statute%20or%20the%20common%20law.</w:t>
        </w:r>
      </w:hyperlink>
    </w:p>
    <w:p w14:paraId="08C57CD0"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05.07.2024</w:t>
      </w:r>
    </w:p>
    <w:p w14:paraId="45B0ECC0"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74447AC5"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LexisNexis (2024) what does intention mean? Available at:</w:t>
      </w:r>
    </w:p>
    <w:p w14:paraId="0226C4D1"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hyperlink r:id="rId10" w:history="1">
        <w:r w:rsidRPr="00516DAB">
          <w:rPr>
            <w:rFonts w:ascii="Calibri" w:eastAsiaTheme="minorHAnsi" w:hAnsi="Calibri" w:cs="Calibri"/>
            <w:sz w:val="24"/>
            <w:szCs w:val="24"/>
            <w:lang w:eastAsia="en-US"/>
            <w14:ligatures w14:val="standardContextual"/>
          </w:rPr>
          <w:t>https://www.lexisnexis.co.uk/legal/glossary/intention#:~:text=What%20does%20Intention%20mean%3F,virtually%20certain%20so%20to%20result.</w:t>
        </w:r>
      </w:hyperlink>
    </w:p>
    <w:p w14:paraId="245932F6"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05.07.2024</w:t>
      </w:r>
    </w:p>
    <w:p w14:paraId="447E7F1C"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551A2649"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LexisNexis (2024) Recklessness in criminal cases. Available at:</w:t>
      </w:r>
    </w:p>
    <w:p w14:paraId="673B9F06"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hyperlink r:id="rId11" w:history="1">
        <w:r w:rsidRPr="00516DAB">
          <w:rPr>
            <w:rFonts w:ascii="Calibri" w:eastAsiaTheme="minorHAnsi" w:hAnsi="Calibri" w:cs="Calibri"/>
            <w:sz w:val="24"/>
            <w:szCs w:val="24"/>
            <w:lang w:eastAsia="en-US"/>
            <w14:ligatures w14:val="standardContextual"/>
          </w:rPr>
          <w:t>https://www.lexisnexis.co.uk/legal/guidance/recklessness-in-criminal-cases</w:t>
        </w:r>
      </w:hyperlink>
    </w:p>
    <w:p w14:paraId="7550A795"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08.07.2024</w:t>
      </w:r>
    </w:p>
    <w:p w14:paraId="3239E961"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 xml:space="preserve"> </w:t>
      </w:r>
    </w:p>
    <w:p w14:paraId="5E7B713F"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 xml:space="preserve">LexisNexis (2024) Knowledge </w:t>
      </w:r>
      <w:proofErr w:type="spellStart"/>
      <w:proofErr w:type="gramStart"/>
      <w:r w:rsidRPr="00516DAB">
        <w:rPr>
          <w:rFonts w:ascii="Calibri" w:eastAsiaTheme="minorHAnsi" w:hAnsi="Calibri" w:cs="Calibri"/>
          <w:sz w:val="24"/>
          <w:szCs w:val="24"/>
          <w:lang w:eastAsia="en-US"/>
          <w14:ligatures w14:val="standardContextual"/>
        </w:rPr>
        <w:t>definition.Available</w:t>
      </w:r>
      <w:proofErr w:type="spellEnd"/>
      <w:proofErr w:type="gramEnd"/>
      <w:r w:rsidRPr="00516DAB">
        <w:rPr>
          <w:rFonts w:ascii="Calibri" w:eastAsiaTheme="minorHAnsi" w:hAnsi="Calibri" w:cs="Calibri"/>
          <w:sz w:val="24"/>
          <w:szCs w:val="24"/>
          <w:lang w:eastAsia="en-US"/>
          <w14:ligatures w14:val="standardContextual"/>
        </w:rPr>
        <w:t xml:space="preserve"> at:</w:t>
      </w:r>
    </w:p>
    <w:p w14:paraId="40B465D0"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hyperlink r:id="rId12" w:history="1">
        <w:r w:rsidRPr="00516DAB">
          <w:rPr>
            <w:rFonts w:ascii="Calibri" w:eastAsiaTheme="minorHAnsi" w:hAnsi="Calibri" w:cs="Calibri"/>
            <w:sz w:val="24"/>
            <w:szCs w:val="24"/>
            <w:lang w:eastAsia="en-US"/>
            <w14:ligatures w14:val="standardContextual"/>
          </w:rPr>
          <w:t>https://www.lexisnexis.co.uk/legal/glossary/knowledge#:~:text=Knowledge%20is%20knowing%20that%20something,proved%20needs%20to%20be%20considered.</w:t>
        </w:r>
      </w:hyperlink>
    </w:p>
    <w:p w14:paraId="63B2B3ED"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18.07.2024</w:t>
      </w:r>
    </w:p>
    <w:p w14:paraId="2A5229AF"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6B9BC530"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Oxbridge Law Team (2024) R v Moloney [1985] AC 905</w:t>
      </w:r>
      <w:r w:rsidRPr="00516DAB">
        <w:rPr>
          <w:rFonts w:ascii="Calibri" w:eastAsiaTheme="minorHAnsi" w:hAnsi="Calibri" w:cs="Calibri"/>
          <w:b/>
          <w:bCs/>
          <w:sz w:val="24"/>
          <w:szCs w:val="24"/>
          <w:lang w:eastAsia="en-US"/>
          <w14:ligatures w14:val="standardContextual"/>
        </w:rPr>
        <w:t xml:space="preserve"> </w:t>
      </w:r>
      <w:r w:rsidRPr="00516DAB">
        <w:rPr>
          <w:rFonts w:ascii="Calibri" w:eastAsiaTheme="minorHAnsi" w:hAnsi="Calibri" w:cs="Calibri"/>
          <w:sz w:val="24"/>
          <w:szCs w:val="24"/>
          <w:lang w:eastAsia="en-US"/>
          <w14:ligatures w14:val="standardContextual"/>
        </w:rPr>
        <w:t>Available at:</w:t>
      </w:r>
    </w:p>
    <w:p w14:paraId="51E8A9B0"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hyperlink r:id="rId13" w:history="1">
        <w:r w:rsidRPr="00516DAB">
          <w:rPr>
            <w:rFonts w:ascii="Calibri" w:eastAsiaTheme="minorHAnsi" w:hAnsi="Calibri" w:cs="Calibri"/>
            <w:sz w:val="24"/>
            <w:szCs w:val="24"/>
            <w:lang w:eastAsia="en-US"/>
            <w14:ligatures w14:val="standardContextual"/>
          </w:rPr>
          <w:t>https://www.oxbridgenotes.co.uk/law_cases/r-v-moloney</w:t>
        </w:r>
      </w:hyperlink>
    </w:p>
    <w:p w14:paraId="65C2AA50"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07.07.2024</w:t>
      </w:r>
    </w:p>
    <w:p w14:paraId="378DE448"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30800284"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Phil Ainley (2022) What are the differences between civil and criminal negligence, and how professional indemnity insurance can help. Available at:</w:t>
      </w:r>
    </w:p>
    <w:p w14:paraId="39ED49F6" w14:textId="77777777" w:rsidR="00516DAB" w:rsidRP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hyperlink r:id="rId14" w:history="1">
        <w:r w:rsidRPr="00516DAB">
          <w:rPr>
            <w:rFonts w:ascii="Calibri" w:eastAsiaTheme="minorHAnsi" w:hAnsi="Calibri" w:cs="Calibri"/>
            <w:sz w:val="24"/>
            <w:szCs w:val="24"/>
            <w:lang w:eastAsia="en-US"/>
            <w14:ligatures w14:val="standardContextual"/>
          </w:rPr>
          <w:t>https://www.caunceohara.co.uk/knowledge-centre/what-are-the-differences-between-civil-and-criminal-negligence-and-how-professional-indemnity-insurance-can-help/#:~:text=Criminal%20negligence%20involves%20the%20person,even%20a%20term%20in%20jail.</w:t>
        </w:r>
      </w:hyperlink>
    </w:p>
    <w:p w14:paraId="5F3B2B32" w14:textId="77777777" w:rsidR="00516DAB" w:rsidRPr="00516DAB" w:rsidRDefault="00516DAB" w:rsidP="00516DAB">
      <w:pPr>
        <w:rPr>
          <w:rFonts w:ascii="Calibri" w:hAnsi="Calibri" w:cs="Calibri"/>
          <w:sz w:val="24"/>
          <w:szCs w:val="24"/>
        </w:rPr>
      </w:pPr>
      <w:r w:rsidRPr="00516DAB">
        <w:rPr>
          <w:rFonts w:ascii="Calibri" w:eastAsiaTheme="minorHAnsi" w:hAnsi="Calibri" w:cs="Calibri"/>
          <w:sz w:val="24"/>
          <w:szCs w:val="24"/>
          <w:lang w:eastAsia="en-US"/>
          <w14:ligatures w14:val="standardContextual"/>
        </w:rPr>
        <w:t>Accessed on 19.07.2024</w:t>
      </w:r>
    </w:p>
    <w:p w14:paraId="1B51F66E"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
    <w:p w14:paraId="7CFFE136" w14:textId="77777777" w:rsid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7D2DD186" w14:textId="77777777" w:rsid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67BF2BE2" w14:textId="77777777" w:rsid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1D485B6D" w14:textId="77777777" w:rsidR="00516DAB" w:rsidRDefault="00516DAB" w:rsidP="00516DAB">
      <w:pPr>
        <w:autoSpaceDE w:val="0"/>
        <w:autoSpaceDN w:val="0"/>
        <w:adjustRightInd w:val="0"/>
        <w:rPr>
          <w:rFonts w:ascii="Calibri" w:eastAsiaTheme="minorHAnsi" w:hAnsi="Calibri" w:cs="Calibri"/>
          <w:sz w:val="24"/>
          <w:szCs w:val="24"/>
          <w:lang w:eastAsia="en-US"/>
          <w14:ligatures w14:val="standardContextual"/>
        </w:rPr>
      </w:pPr>
    </w:p>
    <w:p w14:paraId="32679CA6" w14:textId="61CBEFE6"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lastRenderedPageBreak/>
        <w:t>StudySmarter (2024) criminal liability available at:</w:t>
      </w:r>
    </w:p>
    <w:p w14:paraId="4BF1591B"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hyperlink r:id="rId15" w:history="1">
        <w:r w:rsidRPr="00516DAB">
          <w:rPr>
            <w:rFonts w:ascii="Calibri" w:eastAsiaTheme="minorHAnsi" w:hAnsi="Calibri" w:cs="Calibri"/>
            <w:sz w:val="24"/>
            <w:szCs w:val="24"/>
            <w:lang w:eastAsia="en-US"/>
            <w14:ligatures w14:val="standardContextual"/>
          </w:rPr>
          <w:t>https://www.studysmarter.co.uk/explanations/law/uk-criminal-law/criminal-liability/#:~:text=Criminal%20liability%20refers%20to%20the,imprisonment%2C%20fines%2C%20or%20both.</w:t>
        </w:r>
      </w:hyperlink>
    </w:p>
    <w:p w14:paraId="04F4419F"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05.07.2024</w:t>
      </w:r>
    </w:p>
    <w:p w14:paraId="298617F3"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
    <w:p w14:paraId="18519F0B"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
    <w:p w14:paraId="0E4F33B4"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 xml:space="preserve">StudySmarter (2024) Types of </w:t>
      </w:r>
      <w:proofErr w:type="spellStart"/>
      <w:proofErr w:type="gramStart"/>
      <w:r w:rsidRPr="00516DAB">
        <w:rPr>
          <w:rFonts w:ascii="Calibri" w:eastAsiaTheme="minorHAnsi" w:hAnsi="Calibri" w:cs="Calibri"/>
          <w:sz w:val="24"/>
          <w:szCs w:val="24"/>
          <w:lang w:eastAsia="en-US"/>
          <w14:ligatures w14:val="standardContextual"/>
        </w:rPr>
        <w:t>Mens</w:t>
      </w:r>
      <w:proofErr w:type="spellEnd"/>
      <w:proofErr w:type="gramEnd"/>
      <w:r w:rsidRPr="00516DAB">
        <w:rPr>
          <w:rFonts w:ascii="Calibri" w:eastAsiaTheme="minorHAnsi" w:hAnsi="Calibri" w:cs="Calibri"/>
          <w:sz w:val="24"/>
          <w:szCs w:val="24"/>
          <w:lang w:eastAsia="en-US"/>
          <w14:ligatures w14:val="standardContextual"/>
        </w:rPr>
        <w:t xml:space="preserve"> Rea: Common Concepts and Categories. available at</w:t>
      </w:r>
    </w:p>
    <w:p w14:paraId="0F7F378B"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hyperlink r:id="rId16" w:history="1">
        <w:r w:rsidRPr="00516DAB">
          <w:rPr>
            <w:rFonts w:ascii="Calibri" w:eastAsiaTheme="minorHAnsi" w:hAnsi="Calibri" w:cs="Calibri"/>
            <w:sz w:val="24"/>
            <w:szCs w:val="24"/>
            <w:lang w:eastAsia="en-US"/>
            <w14:ligatures w14:val="standardContextual"/>
          </w:rPr>
          <w:t>https://www.studysmarter.co.uk/explanations/law/uk-criminal-law/mens-rea/#:~:text=While%20intention%2C%20knowledge%2C%20and%20recklessness,intention%2C%20recklessness%2C%20and%20negligence.</w:t>
        </w:r>
      </w:hyperlink>
    </w:p>
    <w:p w14:paraId="1E8276FC"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r w:rsidRPr="00516DAB">
        <w:rPr>
          <w:rFonts w:ascii="Calibri" w:eastAsiaTheme="minorHAnsi" w:hAnsi="Calibri" w:cs="Calibri"/>
          <w:sz w:val="24"/>
          <w:szCs w:val="24"/>
          <w:lang w:eastAsia="en-US"/>
          <w14:ligatures w14:val="standardContextual"/>
        </w:rPr>
        <w:t>Accessed on 05.07.2024</w:t>
      </w:r>
    </w:p>
    <w:p w14:paraId="0E1B70D3"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
    <w:p w14:paraId="4DC408DF" w14:textId="77777777" w:rsidR="004B74C9" w:rsidRPr="00516DAB" w:rsidRDefault="004B74C9" w:rsidP="00516DAB">
      <w:pPr>
        <w:autoSpaceDE w:val="0"/>
        <w:autoSpaceDN w:val="0"/>
        <w:adjustRightInd w:val="0"/>
        <w:rPr>
          <w:rFonts w:ascii="Calibri" w:eastAsiaTheme="minorHAnsi" w:hAnsi="Calibri" w:cs="Calibri"/>
          <w:sz w:val="24"/>
          <w:szCs w:val="24"/>
          <w:lang w:eastAsia="en-US"/>
          <w14:ligatures w14:val="standardContextual"/>
        </w:rPr>
      </w:pPr>
    </w:p>
    <w:p w14:paraId="3B63E9B8" w14:textId="77777777" w:rsidR="004B74C9" w:rsidRDefault="004B74C9" w:rsidP="004B74C9">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4DA416E4" w14:textId="77777777" w:rsidR="004B74C9" w:rsidRDefault="004B74C9" w:rsidP="004B74C9">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45E76AC9" w14:textId="77777777" w:rsidR="004B74C9" w:rsidRDefault="004B74C9" w:rsidP="004B74C9">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29BC27F7" w14:textId="0FB64118" w:rsidR="004B74C9" w:rsidRDefault="004B74C9" w:rsidP="004B74C9">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353C0C39" w14:textId="77777777" w:rsidR="004B74C9" w:rsidRDefault="004B74C9" w:rsidP="004B74C9">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1DC06C9C" w14:textId="58A79B75" w:rsidR="004B74C9" w:rsidRDefault="004B74C9" w:rsidP="004B74C9"/>
    <w:sectPr w:rsidR="004B74C9">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2B828" w14:textId="77777777" w:rsidR="00E10759" w:rsidRDefault="00E10759" w:rsidP="004C0CC6">
      <w:r>
        <w:separator/>
      </w:r>
    </w:p>
  </w:endnote>
  <w:endnote w:type="continuationSeparator" w:id="0">
    <w:p w14:paraId="242CAA28" w14:textId="77777777" w:rsidR="00E10759" w:rsidRDefault="00E10759" w:rsidP="004C0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031A9" w14:textId="77777777" w:rsidR="00E10759" w:rsidRDefault="00E10759" w:rsidP="004C0CC6">
      <w:r>
        <w:separator/>
      </w:r>
    </w:p>
  </w:footnote>
  <w:footnote w:type="continuationSeparator" w:id="0">
    <w:p w14:paraId="13B40D21" w14:textId="77777777" w:rsidR="00E10759" w:rsidRDefault="00E10759" w:rsidP="004C0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9AD83" w14:textId="0D29502E" w:rsidR="004C0CC6" w:rsidRPr="004C0CC6" w:rsidRDefault="004C0CC6">
    <w:pPr>
      <w:pStyle w:val="Header"/>
      <w:rPr>
        <w:rFonts w:ascii="Calibri" w:hAnsi="Calibri" w:cs="Calibri"/>
      </w:rPr>
    </w:pPr>
    <w:r w:rsidRPr="004C0CC6">
      <w:rPr>
        <w:rFonts w:ascii="Calibri" w:hAnsi="Calibri" w:cs="Calibri"/>
      </w:rPr>
      <w:t>Diana Demeterova</w:t>
    </w:r>
    <w:r>
      <w:t>,</w:t>
    </w:r>
    <w:r w:rsidRPr="004C0CC6">
      <w:rPr>
        <w:rFonts w:ascii="Calibri" w:hAnsi="Calibri" w:cs="Calibri"/>
      </w:rPr>
      <w:t xml:space="preserve"> 2314066                                                                            Assignment 1</w:t>
    </w:r>
    <w:r>
      <w:rPr>
        <w:rFonts w:ascii="Calibri" w:hAnsi="Calibri" w:cs="Calibri"/>
      </w:rPr>
      <w:t xml:space="preserve"> </w:t>
    </w:r>
    <w:r w:rsidRPr="004C0CC6">
      <w:rPr>
        <w:rFonts w:ascii="Calibri" w:hAnsi="Calibri" w:cs="Calibri"/>
      </w:rPr>
      <w:t>resit</w:t>
    </w:r>
  </w:p>
  <w:p w14:paraId="599552C4" w14:textId="1F514DFB" w:rsidR="004C0CC6" w:rsidRPr="004C0CC6" w:rsidRDefault="004C0CC6">
    <w:pPr>
      <w:pStyle w:val="Header"/>
      <w:rPr>
        <w:rFonts w:ascii="Calibri" w:hAnsi="Calibri" w:cs="Calibri"/>
      </w:rPr>
    </w:pPr>
    <w:r w:rsidRPr="004C0CC6">
      <w:rPr>
        <w:rFonts w:ascii="Calibri" w:hAnsi="Calibri" w:cs="Calibri"/>
      </w:rPr>
      <w:t xml:space="preserve">                                                                                                                                     Criminal Law </w:t>
    </w:r>
  </w:p>
  <w:p w14:paraId="228FA151" w14:textId="09EF3024" w:rsidR="004C0CC6" w:rsidRDefault="004C0C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17AC"/>
    <w:multiLevelType w:val="multilevel"/>
    <w:tmpl w:val="D17AD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F6C96"/>
    <w:multiLevelType w:val="multilevel"/>
    <w:tmpl w:val="1D94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761EDD"/>
    <w:multiLevelType w:val="multilevel"/>
    <w:tmpl w:val="935EF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273B47"/>
    <w:multiLevelType w:val="multilevel"/>
    <w:tmpl w:val="B778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774BCA"/>
    <w:multiLevelType w:val="multilevel"/>
    <w:tmpl w:val="98E62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9981238">
    <w:abstractNumId w:val="3"/>
  </w:num>
  <w:num w:numId="2" w16cid:durableId="712189588">
    <w:abstractNumId w:val="2"/>
  </w:num>
  <w:num w:numId="3" w16cid:durableId="1885093231">
    <w:abstractNumId w:val="0"/>
  </w:num>
  <w:num w:numId="4" w16cid:durableId="1556890488">
    <w:abstractNumId w:val="4"/>
  </w:num>
  <w:num w:numId="5" w16cid:durableId="6487544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CC6"/>
    <w:rsid w:val="00022FA6"/>
    <w:rsid w:val="000249AF"/>
    <w:rsid w:val="00027A1B"/>
    <w:rsid w:val="000421F1"/>
    <w:rsid w:val="00057218"/>
    <w:rsid w:val="00065CF4"/>
    <w:rsid w:val="000A33C4"/>
    <w:rsid w:val="000A350B"/>
    <w:rsid w:val="000B08A4"/>
    <w:rsid w:val="000E7A3B"/>
    <w:rsid w:val="00106F38"/>
    <w:rsid w:val="001342AC"/>
    <w:rsid w:val="00136CE8"/>
    <w:rsid w:val="001C0F38"/>
    <w:rsid w:val="001D6F9B"/>
    <w:rsid w:val="001F0EDD"/>
    <w:rsid w:val="0020137B"/>
    <w:rsid w:val="00201872"/>
    <w:rsid w:val="0021370E"/>
    <w:rsid w:val="00214A64"/>
    <w:rsid w:val="00223B8C"/>
    <w:rsid w:val="00231E3B"/>
    <w:rsid w:val="00293629"/>
    <w:rsid w:val="002A07CF"/>
    <w:rsid w:val="002A4929"/>
    <w:rsid w:val="002B20FD"/>
    <w:rsid w:val="002B7980"/>
    <w:rsid w:val="002F6EB0"/>
    <w:rsid w:val="00301A4C"/>
    <w:rsid w:val="00324A48"/>
    <w:rsid w:val="0034744C"/>
    <w:rsid w:val="00354D3A"/>
    <w:rsid w:val="003562E4"/>
    <w:rsid w:val="00393E24"/>
    <w:rsid w:val="00395829"/>
    <w:rsid w:val="003A574A"/>
    <w:rsid w:val="003D1A6E"/>
    <w:rsid w:val="003E287A"/>
    <w:rsid w:val="004024A7"/>
    <w:rsid w:val="00447381"/>
    <w:rsid w:val="0047754A"/>
    <w:rsid w:val="00484115"/>
    <w:rsid w:val="00487F06"/>
    <w:rsid w:val="00490A97"/>
    <w:rsid w:val="004B5B83"/>
    <w:rsid w:val="004B74C9"/>
    <w:rsid w:val="004C0CC6"/>
    <w:rsid w:val="004C533C"/>
    <w:rsid w:val="004C6428"/>
    <w:rsid w:val="00516DAB"/>
    <w:rsid w:val="00526A0A"/>
    <w:rsid w:val="00534818"/>
    <w:rsid w:val="0054257B"/>
    <w:rsid w:val="00566559"/>
    <w:rsid w:val="00576DC6"/>
    <w:rsid w:val="005778A5"/>
    <w:rsid w:val="005A00BF"/>
    <w:rsid w:val="005A398C"/>
    <w:rsid w:val="005B10D6"/>
    <w:rsid w:val="005C5EDD"/>
    <w:rsid w:val="005F39DE"/>
    <w:rsid w:val="006208B8"/>
    <w:rsid w:val="00661B7D"/>
    <w:rsid w:val="0067251A"/>
    <w:rsid w:val="006855ED"/>
    <w:rsid w:val="00687033"/>
    <w:rsid w:val="006A3609"/>
    <w:rsid w:val="006C2399"/>
    <w:rsid w:val="00721797"/>
    <w:rsid w:val="00724C60"/>
    <w:rsid w:val="00726B23"/>
    <w:rsid w:val="00757734"/>
    <w:rsid w:val="00761673"/>
    <w:rsid w:val="007616F2"/>
    <w:rsid w:val="00786723"/>
    <w:rsid w:val="00790FAE"/>
    <w:rsid w:val="007958B4"/>
    <w:rsid w:val="007979FF"/>
    <w:rsid w:val="00812DDE"/>
    <w:rsid w:val="00831AE3"/>
    <w:rsid w:val="0084688C"/>
    <w:rsid w:val="00855EA6"/>
    <w:rsid w:val="00872A07"/>
    <w:rsid w:val="00877CC0"/>
    <w:rsid w:val="00885DC9"/>
    <w:rsid w:val="00887525"/>
    <w:rsid w:val="008C4741"/>
    <w:rsid w:val="008F722A"/>
    <w:rsid w:val="009219AC"/>
    <w:rsid w:val="00927918"/>
    <w:rsid w:val="00930F81"/>
    <w:rsid w:val="00936DDE"/>
    <w:rsid w:val="00947CE1"/>
    <w:rsid w:val="009622E5"/>
    <w:rsid w:val="0096241B"/>
    <w:rsid w:val="0098139B"/>
    <w:rsid w:val="009861F0"/>
    <w:rsid w:val="009F4E74"/>
    <w:rsid w:val="00A0057D"/>
    <w:rsid w:val="00A760F1"/>
    <w:rsid w:val="00A84DF9"/>
    <w:rsid w:val="00AA493C"/>
    <w:rsid w:val="00AB5143"/>
    <w:rsid w:val="00AC787A"/>
    <w:rsid w:val="00AD325B"/>
    <w:rsid w:val="00AE181E"/>
    <w:rsid w:val="00B3419F"/>
    <w:rsid w:val="00B43DEC"/>
    <w:rsid w:val="00B653E1"/>
    <w:rsid w:val="00B70A4B"/>
    <w:rsid w:val="00B71A8E"/>
    <w:rsid w:val="00B80E36"/>
    <w:rsid w:val="00B97A1D"/>
    <w:rsid w:val="00BA5CA0"/>
    <w:rsid w:val="00BC4115"/>
    <w:rsid w:val="00BC4B18"/>
    <w:rsid w:val="00BD3588"/>
    <w:rsid w:val="00BE451F"/>
    <w:rsid w:val="00BF10BC"/>
    <w:rsid w:val="00C02CD6"/>
    <w:rsid w:val="00C21B50"/>
    <w:rsid w:val="00C8520E"/>
    <w:rsid w:val="00CE6FA6"/>
    <w:rsid w:val="00D209EB"/>
    <w:rsid w:val="00D57335"/>
    <w:rsid w:val="00D761BB"/>
    <w:rsid w:val="00D8078E"/>
    <w:rsid w:val="00D81610"/>
    <w:rsid w:val="00D91667"/>
    <w:rsid w:val="00D92CAD"/>
    <w:rsid w:val="00D96647"/>
    <w:rsid w:val="00DC24B6"/>
    <w:rsid w:val="00DC3F31"/>
    <w:rsid w:val="00DC4861"/>
    <w:rsid w:val="00DD0785"/>
    <w:rsid w:val="00DD1FEB"/>
    <w:rsid w:val="00DD7214"/>
    <w:rsid w:val="00DE0D3A"/>
    <w:rsid w:val="00DE35FB"/>
    <w:rsid w:val="00DF4F6D"/>
    <w:rsid w:val="00E03707"/>
    <w:rsid w:val="00E10759"/>
    <w:rsid w:val="00E16B3D"/>
    <w:rsid w:val="00E24A01"/>
    <w:rsid w:val="00E42C8A"/>
    <w:rsid w:val="00E51CD5"/>
    <w:rsid w:val="00E72FB4"/>
    <w:rsid w:val="00E8149E"/>
    <w:rsid w:val="00E91B95"/>
    <w:rsid w:val="00E94298"/>
    <w:rsid w:val="00EA2918"/>
    <w:rsid w:val="00F22FB1"/>
    <w:rsid w:val="00F32761"/>
    <w:rsid w:val="00F5734B"/>
    <w:rsid w:val="00F57424"/>
    <w:rsid w:val="00F64780"/>
    <w:rsid w:val="00F959A2"/>
    <w:rsid w:val="00FA5E75"/>
    <w:rsid w:val="00FC4FCE"/>
    <w:rsid w:val="00FE4FC8"/>
    <w:rsid w:val="00FE7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C8A7B7"/>
  <w15:chartTrackingRefBased/>
  <w15:docId w15:val="{8C0D2A26-F38B-AD4D-9C94-55BEFED60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34B"/>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C0CC6"/>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C0CC6"/>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4C0CC6"/>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C0CC6"/>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4C0CC6"/>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4C0CC6"/>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4C0CC6"/>
    <w:pPr>
      <w:keepNext/>
      <w:keepLines/>
      <w:spacing w:before="40"/>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4C0CC6"/>
    <w:pPr>
      <w:keepNext/>
      <w:keepLines/>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4C0CC6"/>
    <w:pPr>
      <w:keepNext/>
      <w:keepLines/>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CC6"/>
    <w:rPr>
      <w:rFonts w:eastAsiaTheme="majorEastAsia" w:cstheme="majorBidi"/>
      <w:color w:val="272727" w:themeColor="text1" w:themeTint="D8"/>
    </w:rPr>
  </w:style>
  <w:style w:type="paragraph" w:styleId="Title">
    <w:name w:val="Title"/>
    <w:basedOn w:val="Normal"/>
    <w:next w:val="Normal"/>
    <w:link w:val="TitleChar"/>
    <w:uiPriority w:val="10"/>
    <w:qFormat/>
    <w:rsid w:val="004C0CC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C0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CC6"/>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C0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CC6"/>
    <w:pPr>
      <w:spacing w:before="160" w:after="160"/>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4C0CC6"/>
    <w:rPr>
      <w:i/>
      <w:iCs/>
      <w:color w:val="404040" w:themeColor="text1" w:themeTint="BF"/>
    </w:rPr>
  </w:style>
  <w:style w:type="paragraph" w:styleId="ListParagraph">
    <w:name w:val="List Paragraph"/>
    <w:basedOn w:val="Normal"/>
    <w:uiPriority w:val="34"/>
    <w:qFormat/>
    <w:rsid w:val="004C0CC6"/>
    <w:pPr>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4C0CC6"/>
    <w:rPr>
      <w:i/>
      <w:iCs/>
      <w:color w:val="0F4761" w:themeColor="accent1" w:themeShade="BF"/>
    </w:rPr>
  </w:style>
  <w:style w:type="paragraph" w:styleId="IntenseQuote">
    <w:name w:val="Intense Quote"/>
    <w:basedOn w:val="Normal"/>
    <w:next w:val="Normal"/>
    <w:link w:val="IntenseQuoteChar"/>
    <w:uiPriority w:val="30"/>
    <w:qFormat/>
    <w:rsid w:val="004C0CC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4C0CC6"/>
    <w:rPr>
      <w:i/>
      <w:iCs/>
      <w:color w:val="0F4761" w:themeColor="accent1" w:themeShade="BF"/>
    </w:rPr>
  </w:style>
  <w:style w:type="character" w:styleId="IntenseReference">
    <w:name w:val="Intense Reference"/>
    <w:basedOn w:val="DefaultParagraphFont"/>
    <w:uiPriority w:val="32"/>
    <w:qFormat/>
    <w:rsid w:val="004C0CC6"/>
    <w:rPr>
      <w:b/>
      <w:bCs/>
      <w:smallCaps/>
      <w:color w:val="0F4761" w:themeColor="accent1" w:themeShade="BF"/>
      <w:spacing w:val="5"/>
    </w:rPr>
  </w:style>
  <w:style w:type="paragraph" w:styleId="Header">
    <w:name w:val="header"/>
    <w:basedOn w:val="Normal"/>
    <w:link w:val="HeaderChar"/>
    <w:uiPriority w:val="99"/>
    <w:unhideWhenUsed/>
    <w:rsid w:val="004C0CC6"/>
    <w:pPr>
      <w:tabs>
        <w:tab w:val="center" w:pos="4513"/>
        <w:tab w:val="right" w:pos="9026"/>
      </w:tabs>
    </w:pPr>
    <w:rPr>
      <w:rFonts w:asciiTheme="minorHAnsi" w:eastAsiaTheme="minorHAnsi" w:hAnsiTheme="minorHAnsi" w:cstheme="minorBidi"/>
      <w:kern w:val="2"/>
      <w:sz w:val="24"/>
      <w:szCs w:val="24"/>
      <w:lang w:eastAsia="en-US"/>
      <w14:ligatures w14:val="standardContextual"/>
    </w:rPr>
  </w:style>
  <w:style w:type="character" w:customStyle="1" w:styleId="HeaderChar">
    <w:name w:val="Header Char"/>
    <w:basedOn w:val="DefaultParagraphFont"/>
    <w:link w:val="Header"/>
    <w:uiPriority w:val="99"/>
    <w:rsid w:val="004C0CC6"/>
  </w:style>
  <w:style w:type="paragraph" w:styleId="Footer">
    <w:name w:val="footer"/>
    <w:basedOn w:val="Normal"/>
    <w:link w:val="FooterChar"/>
    <w:uiPriority w:val="99"/>
    <w:unhideWhenUsed/>
    <w:rsid w:val="004C0CC6"/>
    <w:pPr>
      <w:tabs>
        <w:tab w:val="center" w:pos="4513"/>
        <w:tab w:val="right" w:pos="9026"/>
      </w:tabs>
    </w:pPr>
    <w:rPr>
      <w:rFonts w:asciiTheme="minorHAnsi" w:eastAsiaTheme="minorHAnsi" w:hAnsiTheme="minorHAnsi" w:cstheme="minorBidi"/>
      <w:kern w:val="2"/>
      <w:sz w:val="24"/>
      <w:szCs w:val="24"/>
      <w:lang w:eastAsia="en-US"/>
      <w14:ligatures w14:val="standardContextual"/>
    </w:rPr>
  </w:style>
  <w:style w:type="character" w:customStyle="1" w:styleId="FooterChar">
    <w:name w:val="Footer Char"/>
    <w:basedOn w:val="DefaultParagraphFont"/>
    <w:link w:val="Footer"/>
    <w:uiPriority w:val="99"/>
    <w:rsid w:val="004C0CC6"/>
  </w:style>
  <w:style w:type="paragraph" w:styleId="NoSpacing">
    <w:name w:val="No Spacing"/>
    <w:uiPriority w:val="1"/>
    <w:qFormat/>
    <w:rsid w:val="0020137B"/>
    <w:rPr>
      <w:rFonts w:ascii="Times New Roman" w:eastAsia="Times New Roman" w:hAnsi="Times New Roman" w:cs="Times New Roman"/>
      <w:kern w:val="0"/>
      <w:sz w:val="20"/>
      <w:szCs w:val="20"/>
      <w:lang w:eastAsia="en-GB"/>
      <w14:ligatures w14:val="none"/>
    </w:rPr>
  </w:style>
  <w:style w:type="character" w:styleId="Emphasis">
    <w:name w:val="Emphasis"/>
    <w:basedOn w:val="DefaultParagraphFont"/>
    <w:uiPriority w:val="20"/>
    <w:qFormat/>
    <w:rsid w:val="000421F1"/>
    <w:rPr>
      <w:i/>
      <w:iCs/>
    </w:rPr>
  </w:style>
  <w:style w:type="character" w:customStyle="1" w:styleId="apple-converted-space">
    <w:name w:val="apple-converted-space"/>
    <w:basedOn w:val="DefaultParagraphFont"/>
    <w:rsid w:val="000421F1"/>
  </w:style>
  <w:style w:type="character" w:styleId="Hyperlink">
    <w:name w:val="Hyperlink"/>
    <w:basedOn w:val="DefaultParagraphFont"/>
    <w:uiPriority w:val="99"/>
    <w:semiHidden/>
    <w:unhideWhenUsed/>
    <w:rsid w:val="000421F1"/>
    <w:rPr>
      <w:color w:val="0000FF"/>
      <w:u w:val="single"/>
    </w:rPr>
  </w:style>
  <w:style w:type="paragraph" w:styleId="NormalWeb">
    <w:name w:val="Normal (Web)"/>
    <w:basedOn w:val="Normal"/>
    <w:uiPriority w:val="99"/>
    <w:semiHidden/>
    <w:unhideWhenUsed/>
    <w:rsid w:val="00E91B95"/>
    <w:pPr>
      <w:spacing w:before="100" w:beforeAutospacing="1" w:after="100" w:afterAutospacing="1"/>
    </w:pPr>
    <w:rPr>
      <w:sz w:val="24"/>
      <w:szCs w:val="24"/>
    </w:rPr>
  </w:style>
  <w:style w:type="character" w:customStyle="1" w:styleId="label">
    <w:name w:val="label"/>
    <w:basedOn w:val="DefaultParagraphFont"/>
    <w:rsid w:val="00797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5037">
      <w:bodyDiv w:val="1"/>
      <w:marLeft w:val="0"/>
      <w:marRight w:val="0"/>
      <w:marTop w:val="0"/>
      <w:marBottom w:val="0"/>
      <w:divBdr>
        <w:top w:val="none" w:sz="0" w:space="0" w:color="auto"/>
        <w:left w:val="none" w:sz="0" w:space="0" w:color="auto"/>
        <w:bottom w:val="none" w:sz="0" w:space="0" w:color="auto"/>
        <w:right w:val="none" w:sz="0" w:space="0" w:color="auto"/>
      </w:divBdr>
    </w:div>
    <w:div w:id="228923870">
      <w:bodyDiv w:val="1"/>
      <w:marLeft w:val="0"/>
      <w:marRight w:val="0"/>
      <w:marTop w:val="0"/>
      <w:marBottom w:val="0"/>
      <w:divBdr>
        <w:top w:val="none" w:sz="0" w:space="0" w:color="auto"/>
        <w:left w:val="none" w:sz="0" w:space="0" w:color="auto"/>
        <w:bottom w:val="none" w:sz="0" w:space="0" w:color="auto"/>
        <w:right w:val="none" w:sz="0" w:space="0" w:color="auto"/>
      </w:divBdr>
    </w:div>
    <w:div w:id="299774518">
      <w:bodyDiv w:val="1"/>
      <w:marLeft w:val="0"/>
      <w:marRight w:val="0"/>
      <w:marTop w:val="0"/>
      <w:marBottom w:val="0"/>
      <w:divBdr>
        <w:top w:val="none" w:sz="0" w:space="0" w:color="auto"/>
        <w:left w:val="none" w:sz="0" w:space="0" w:color="auto"/>
        <w:bottom w:val="none" w:sz="0" w:space="0" w:color="auto"/>
        <w:right w:val="none" w:sz="0" w:space="0" w:color="auto"/>
      </w:divBdr>
    </w:div>
    <w:div w:id="689649292">
      <w:bodyDiv w:val="1"/>
      <w:marLeft w:val="0"/>
      <w:marRight w:val="0"/>
      <w:marTop w:val="0"/>
      <w:marBottom w:val="0"/>
      <w:divBdr>
        <w:top w:val="none" w:sz="0" w:space="0" w:color="auto"/>
        <w:left w:val="none" w:sz="0" w:space="0" w:color="auto"/>
        <w:bottom w:val="none" w:sz="0" w:space="0" w:color="auto"/>
        <w:right w:val="none" w:sz="0" w:space="0" w:color="auto"/>
      </w:divBdr>
      <w:divsChild>
        <w:div w:id="1285847233">
          <w:marLeft w:val="0"/>
          <w:marRight w:val="0"/>
          <w:marTop w:val="0"/>
          <w:marBottom w:val="0"/>
          <w:divBdr>
            <w:top w:val="none" w:sz="0" w:space="0" w:color="auto"/>
            <w:left w:val="none" w:sz="0" w:space="0" w:color="auto"/>
            <w:bottom w:val="none" w:sz="0" w:space="0" w:color="auto"/>
            <w:right w:val="none" w:sz="0" w:space="0" w:color="auto"/>
          </w:divBdr>
        </w:div>
      </w:divsChild>
    </w:div>
    <w:div w:id="972180117">
      <w:bodyDiv w:val="1"/>
      <w:marLeft w:val="0"/>
      <w:marRight w:val="0"/>
      <w:marTop w:val="0"/>
      <w:marBottom w:val="0"/>
      <w:divBdr>
        <w:top w:val="none" w:sz="0" w:space="0" w:color="auto"/>
        <w:left w:val="none" w:sz="0" w:space="0" w:color="auto"/>
        <w:bottom w:val="none" w:sz="0" w:space="0" w:color="auto"/>
        <w:right w:val="none" w:sz="0" w:space="0" w:color="auto"/>
      </w:divBdr>
      <w:divsChild>
        <w:div w:id="581455095">
          <w:marLeft w:val="0"/>
          <w:marRight w:val="0"/>
          <w:marTop w:val="0"/>
          <w:marBottom w:val="0"/>
          <w:divBdr>
            <w:top w:val="none" w:sz="0" w:space="0" w:color="auto"/>
            <w:left w:val="none" w:sz="0" w:space="0" w:color="auto"/>
            <w:bottom w:val="none" w:sz="0" w:space="0" w:color="auto"/>
            <w:right w:val="none" w:sz="0" w:space="0" w:color="auto"/>
          </w:divBdr>
        </w:div>
      </w:divsChild>
    </w:div>
    <w:div w:id="1118452328">
      <w:bodyDiv w:val="1"/>
      <w:marLeft w:val="0"/>
      <w:marRight w:val="0"/>
      <w:marTop w:val="0"/>
      <w:marBottom w:val="0"/>
      <w:divBdr>
        <w:top w:val="none" w:sz="0" w:space="0" w:color="auto"/>
        <w:left w:val="none" w:sz="0" w:space="0" w:color="auto"/>
        <w:bottom w:val="none" w:sz="0" w:space="0" w:color="auto"/>
        <w:right w:val="none" w:sz="0" w:space="0" w:color="auto"/>
      </w:divBdr>
    </w:div>
    <w:div w:id="1205679235">
      <w:bodyDiv w:val="1"/>
      <w:marLeft w:val="0"/>
      <w:marRight w:val="0"/>
      <w:marTop w:val="0"/>
      <w:marBottom w:val="0"/>
      <w:divBdr>
        <w:top w:val="none" w:sz="0" w:space="0" w:color="auto"/>
        <w:left w:val="none" w:sz="0" w:space="0" w:color="auto"/>
        <w:bottom w:val="none" w:sz="0" w:space="0" w:color="auto"/>
        <w:right w:val="none" w:sz="0" w:space="0" w:color="auto"/>
      </w:divBdr>
      <w:divsChild>
        <w:div w:id="767429097">
          <w:marLeft w:val="0"/>
          <w:marRight w:val="0"/>
          <w:marTop w:val="0"/>
          <w:marBottom w:val="0"/>
          <w:divBdr>
            <w:top w:val="none" w:sz="0" w:space="0" w:color="auto"/>
            <w:left w:val="none" w:sz="0" w:space="0" w:color="auto"/>
            <w:bottom w:val="none" w:sz="0" w:space="0" w:color="auto"/>
            <w:right w:val="none" w:sz="0" w:space="0" w:color="auto"/>
          </w:divBdr>
          <w:divsChild>
            <w:div w:id="1069110963">
              <w:marLeft w:val="0"/>
              <w:marRight w:val="0"/>
              <w:marTop w:val="0"/>
              <w:marBottom w:val="450"/>
              <w:divBdr>
                <w:top w:val="none" w:sz="0" w:space="0" w:color="auto"/>
                <w:left w:val="none" w:sz="0" w:space="0" w:color="auto"/>
                <w:bottom w:val="none" w:sz="0" w:space="0" w:color="auto"/>
                <w:right w:val="none" w:sz="0" w:space="0" w:color="auto"/>
              </w:divBdr>
              <w:divsChild>
                <w:div w:id="77000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665194">
          <w:marLeft w:val="0"/>
          <w:marRight w:val="0"/>
          <w:marTop w:val="0"/>
          <w:marBottom w:val="0"/>
          <w:divBdr>
            <w:top w:val="none" w:sz="0" w:space="0" w:color="auto"/>
            <w:left w:val="none" w:sz="0" w:space="0" w:color="auto"/>
            <w:bottom w:val="none" w:sz="0" w:space="0" w:color="auto"/>
            <w:right w:val="none" w:sz="0" w:space="0" w:color="auto"/>
          </w:divBdr>
        </w:div>
      </w:divsChild>
    </w:div>
    <w:div w:id="1586381216">
      <w:bodyDiv w:val="1"/>
      <w:marLeft w:val="0"/>
      <w:marRight w:val="0"/>
      <w:marTop w:val="0"/>
      <w:marBottom w:val="0"/>
      <w:divBdr>
        <w:top w:val="none" w:sz="0" w:space="0" w:color="auto"/>
        <w:left w:val="none" w:sz="0" w:space="0" w:color="auto"/>
        <w:bottom w:val="none" w:sz="0" w:space="0" w:color="auto"/>
        <w:right w:val="none" w:sz="0" w:space="0" w:color="auto"/>
      </w:divBdr>
    </w:div>
    <w:div w:id="2079086615">
      <w:bodyDiv w:val="1"/>
      <w:marLeft w:val="0"/>
      <w:marRight w:val="0"/>
      <w:marTop w:val="0"/>
      <w:marBottom w:val="0"/>
      <w:divBdr>
        <w:top w:val="none" w:sz="0" w:space="0" w:color="auto"/>
        <w:left w:val="none" w:sz="0" w:space="0" w:color="auto"/>
        <w:bottom w:val="none" w:sz="0" w:space="0" w:color="auto"/>
        <w:right w:val="none" w:sz="0" w:space="0" w:color="auto"/>
      </w:divBdr>
      <w:divsChild>
        <w:div w:id="1708018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ornell.edu/wex/mens_rea#:~:text=Mens%20rea%20refers%20to%20criminal,defendant%20of%20a%20particular%20crime." TargetMode="External"/><Relationship Id="rId13" Type="http://schemas.openxmlformats.org/officeDocument/2006/relationships/hyperlink" Target="https://www.oxbridgenotes.co.uk/law_cases/r-v-molone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lexlawschool.ac.uk/wp-content/uploads/2019/09/HQ03-Criminal-Law-Sample-2019.pdf" TargetMode="External"/><Relationship Id="rId12" Type="http://schemas.openxmlformats.org/officeDocument/2006/relationships/hyperlink" Target="https://www.lexisnexis.co.uk/legal/glossary/knowledge#:~:text=Knowledge%20is%20knowing%20that%20something,proved%20needs%20to%20be%20considered."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tudysmarter.co.uk/explanations/law/uk-criminal-law/mens-rea/#:~:text=While%20intention%2C%20knowledge%2C%20and%20recklessness,intention%2C%20recklessness%2C%20and%20neglig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xisnexis.co.uk/legal/guidance/recklessness-in-criminal-cases" TargetMode="External"/><Relationship Id="rId5" Type="http://schemas.openxmlformats.org/officeDocument/2006/relationships/footnotes" Target="footnotes.xml"/><Relationship Id="rId15" Type="http://schemas.openxmlformats.org/officeDocument/2006/relationships/hyperlink" Target="https://www.studysmarter.co.uk/explanations/law/uk-criminal-law/criminal-liability/#:~:text=Criminal%20liability%20refers%20to%20the,imprisonment%2C%20fines%2C%20or%20both." TargetMode="External"/><Relationship Id="rId10" Type="http://schemas.openxmlformats.org/officeDocument/2006/relationships/hyperlink" Target="https://www.lexisnexis.co.uk/legal/glossary/intention#:~:text=What%20does%20Intention%20mean%3F,virtually%20certain%20so%20to%20resul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xisnexis.co.uk/legal/glossary/mens-rea#:~:text=What%20does%20Mens%20rea%20mean,statute%20or%20the%20common%20law." TargetMode="External"/><Relationship Id="rId14" Type="http://schemas.openxmlformats.org/officeDocument/2006/relationships/hyperlink" Target="https://www.caunceohara.co.uk/knowledge-centre/what-are-the-differences-between-civil-and-criminal-negligence-and-how-professional-indemnity-insurance-can-help/#:~:text=Criminal%20negligence%20involves%20the%20person,even%20a%20term%20in%20j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6</Pages>
  <Words>1870</Words>
  <Characters>10661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150</cp:revision>
  <dcterms:created xsi:type="dcterms:W3CDTF">2024-06-21T12:21:00Z</dcterms:created>
  <dcterms:modified xsi:type="dcterms:W3CDTF">2024-07-19T18:48:00Z</dcterms:modified>
</cp:coreProperties>
</file>