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71C15D3" wp14:paraId="76B0AA69" wp14:textId="4764D06F">
      <w:pPr>
        <w:keepNext w:val="1"/>
        <w:keepLines w:val="1"/>
        <w:spacing w:before="240" w:after="240"/>
        <w:jc w:val="center"/>
        <w:rPr>
          <w:rFonts w:ascii="Aptos" w:hAnsi="Aptos" w:eastAsia="Aptos" w:cs="Aptos"/>
          <w:b w:val="0"/>
          <w:bCs w:val="0"/>
          <w:i w:val="0"/>
          <w:iCs w:val="0"/>
          <w:caps w:val="0"/>
          <w:smallCaps w:val="0"/>
          <w:noProof w:val="0"/>
          <w:color w:val="000000" w:themeColor="text1" w:themeTint="FF" w:themeShade="FF"/>
          <w:sz w:val="40"/>
          <w:szCs w:val="40"/>
          <w:lang w:val="en-GB"/>
        </w:rPr>
      </w:pPr>
      <w:r w:rsidRPr="571C15D3" w:rsidR="06C331C5">
        <w:rPr>
          <w:rFonts w:ascii="Aptos" w:hAnsi="Aptos" w:eastAsia="Aptos" w:cs="Aptos"/>
          <w:b w:val="1"/>
          <w:bCs w:val="1"/>
          <w:i w:val="0"/>
          <w:iCs w:val="0"/>
          <w:caps w:val="0"/>
          <w:smallCaps w:val="0"/>
          <w:noProof w:val="0"/>
          <w:color w:val="000000" w:themeColor="text1" w:themeTint="FF" w:themeShade="FF"/>
          <w:sz w:val="40"/>
          <w:szCs w:val="40"/>
          <w:lang w:val="en-GB"/>
        </w:rPr>
        <w:t xml:space="preserve">Psychological Classifications and Provisions  </w:t>
      </w:r>
    </w:p>
    <w:p xmlns:wp14="http://schemas.microsoft.com/office/word/2010/wordml" w:rsidP="571C15D3" wp14:paraId="6B68F8A9" wp14:textId="6A8B4DA0">
      <w:pPr>
        <w:keepNext w:val="1"/>
        <w:keepLines w:val="1"/>
        <w:spacing w:before="240" w:after="240"/>
        <w:jc w:val="center"/>
        <w:rPr>
          <w:rFonts w:ascii="Aptos" w:hAnsi="Aptos" w:eastAsia="Aptos" w:cs="Aptos"/>
          <w:b w:val="0"/>
          <w:bCs w:val="0"/>
          <w:i w:val="0"/>
          <w:iCs w:val="0"/>
          <w:caps w:val="0"/>
          <w:smallCaps w:val="0"/>
          <w:noProof w:val="0"/>
          <w:color w:val="000000" w:themeColor="text1" w:themeTint="FF" w:themeShade="FF"/>
          <w:sz w:val="40"/>
          <w:szCs w:val="40"/>
          <w:lang w:val="en-GB"/>
        </w:rPr>
      </w:pPr>
      <w:r w:rsidRPr="571C15D3" w:rsidR="06C331C5">
        <w:rPr>
          <w:rFonts w:ascii="Aptos" w:hAnsi="Aptos" w:eastAsia="Aptos" w:cs="Aptos"/>
          <w:b w:val="1"/>
          <w:bCs w:val="1"/>
          <w:i w:val="0"/>
          <w:iCs w:val="0"/>
          <w:caps w:val="0"/>
          <w:smallCaps w:val="0"/>
          <w:noProof w:val="0"/>
          <w:color w:val="000000" w:themeColor="text1" w:themeTint="FF" w:themeShade="FF"/>
          <w:sz w:val="40"/>
          <w:szCs w:val="40"/>
          <w:lang w:val="en-GB"/>
        </w:rPr>
        <w:t>BMHP6029</w:t>
      </w:r>
    </w:p>
    <w:p xmlns:wp14="http://schemas.microsoft.com/office/word/2010/wordml" w:rsidP="571C15D3" wp14:paraId="31325878" wp14:textId="365BDB4F">
      <w:pPr>
        <w:pStyle w:val="Heading1"/>
        <w:keepNext w:val="1"/>
        <w:keepLines w:val="1"/>
        <w:spacing w:before="0" w:after="160" w:line="257" w:lineRule="auto"/>
        <w:jc w:val="center"/>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pPr>
      <w:r w:rsidRPr="571C15D3" w:rsidR="06C331C5">
        <w:rPr>
          <w:rFonts w:ascii="Aptos Display" w:hAnsi="Aptos Display" w:eastAsia="Aptos Display" w:cs="Aptos Display"/>
          <w:b w:val="0"/>
          <w:bCs w:val="0"/>
          <w:i w:val="0"/>
          <w:iCs w:val="0"/>
          <w:caps w:val="0"/>
          <w:smallCaps w:val="0"/>
          <w:noProof w:val="0"/>
          <w:color w:val="0F4761" w:themeColor="accent1" w:themeTint="FF" w:themeShade="BF"/>
          <w:sz w:val="40"/>
          <w:szCs w:val="40"/>
          <w:lang w:val="en-GB"/>
        </w:rPr>
        <w:t xml:space="preserve"> </w:t>
      </w:r>
      <w:r w:rsidR="06C331C5">
        <w:drawing>
          <wp:inline xmlns:wp14="http://schemas.microsoft.com/office/word/2010/wordprocessingDrawing" wp14:editId="5A4D662D" wp14:anchorId="71BD2DC5">
            <wp:extent cx="3086100" cy="1369079"/>
            <wp:effectExtent l="0" t="0" r="0" b="0"/>
            <wp:docPr id="2154252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5425205" name="Picture 215425205"/>
                    <pic:cNvPicPr/>
                  </pic:nvPicPr>
                  <pic:blipFill>
                    <a:blip xmlns:r="http://schemas.openxmlformats.org/officeDocument/2006/relationships" r:embed="rId775366460">
                      <a:extLst>
                        <a:ext uri="{28A0092B-C50C-407E-A947-70E740481C1C}">
                          <a14:useLocalDpi xmlns:a14="http://schemas.microsoft.com/office/drawing/2010/main"/>
                        </a:ext>
                      </a:extLst>
                    </a:blip>
                    <a:stretch>
                      <a:fillRect/>
                    </a:stretch>
                  </pic:blipFill>
                  <pic:spPr>
                    <a:xfrm rot="0">
                      <a:off x="0" y="0"/>
                      <a:ext cx="3086100" cy="1369079"/>
                    </a:xfrm>
                    <a:prstGeom prst="rect">
                      <a:avLst/>
                    </a:prstGeom>
                  </pic:spPr>
                </pic:pic>
              </a:graphicData>
            </a:graphic>
          </wp:inline>
        </w:drawing>
      </w:r>
    </w:p>
    <w:p xmlns:wp14="http://schemas.microsoft.com/office/word/2010/wordml" w:rsidP="571C15D3" wp14:paraId="51516E4E" wp14:textId="78660A93">
      <w:pPr>
        <w:keepNext w:val="1"/>
        <w:keepLines w:val="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p>
    <w:p xmlns:wp14="http://schemas.microsoft.com/office/word/2010/wordml" w:rsidP="571C15D3" wp14:paraId="772577A6" wp14:textId="7466854B">
      <w:pPr>
        <w:spacing w:before="0" w:beforeAutospacing="off" w:after="160" w:afterAutospacing="off" w:line="257" w:lineRule="auto"/>
        <w:ind w:left="0" w:right="0"/>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r w:rsidRPr="571C15D3" w:rsidR="06C331C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Tutors Details:</w:t>
      </w:r>
      <w:r w:rsidRPr="571C15D3" w:rsidR="06C331C5">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GB"/>
        </w:rPr>
        <w:t xml:space="preserve"> Neale Haddon    </w:t>
      </w:r>
    </w:p>
    <w:p xmlns:wp14="http://schemas.microsoft.com/office/word/2010/wordml" w:rsidP="571C15D3" wp14:paraId="076D4405" wp14:textId="67E17B13">
      <w:pPr>
        <w:spacing w:line="257" w:lineRule="auto"/>
        <w:jc w:val="center"/>
      </w:pPr>
      <w:r w:rsidRPr="571C15D3" w:rsidR="06C331C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Internal Verifier:</w:t>
      </w:r>
      <w:r w:rsidRPr="571C15D3" w:rsidR="06C331C5">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GB"/>
        </w:rPr>
        <w:t xml:space="preserve"> Dr Eleni Koutsogeorgou-Andreou</w:t>
      </w:r>
    </w:p>
    <w:p xmlns:wp14="http://schemas.microsoft.com/office/word/2010/wordml" w:rsidP="571C15D3" wp14:paraId="6A2B99D8" wp14:textId="56F7FFD5">
      <w:pPr>
        <w:spacing w:line="257" w:lineRule="auto"/>
        <w:jc w:val="cente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GB"/>
        </w:rPr>
      </w:pPr>
    </w:p>
    <w:p xmlns:wp14="http://schemas.microsoft.com/office/word/2010/wordml" w:rsidP="571C15D3" wp14:paraId="0231379A" wp14:textId="20CFD866">
      <w:pPr>
        <w:spacing w:line="257" w:lineRule="auto"/>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r w:rsidRPr="571C15D3" w:rsidR="06C331C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Student name:</w:t>
      </w:r>
      <w:r w:rsidRPr="571C15D3" w:rsidR="06C331C5">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GB"/>
        </w:rPr>
        <w:t xml:space="preserve"> Kamila Zikavska</w:t>
      </w:r>
    </w:p>
    <w:p xmlns:wp14="http://schemas.microsoft.com/office/word/2010/wordml" w:rsidP="571C15D3" wp14:paraId="4193D9B4" wp14:textId="0DBB78BC">
      <w:pPr>
        <w:spacing w:line="257" w:lineRule="auto"/>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r w:rsidRPr="571C15D3" w:rsidR="06C331C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Student number:</w:t>
      </w:r>
      <w:r w:rsidRPr="571C15D3" w:rsidR="06C331C5">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GB"/>
        </w:rPr>
        <w:t xml:space="preserve"> 233 25 69</w:t>
      </w:r>
    </w:p>
    <w:p xmlns:wp14="http://schemas.microsoft.com/office/word/2010/wordml" w:rsidP="571C15D3" wp14:paraId="2B70C6AA" wp14:textId="18BFBB91">
      <w:pPr>
        <w:spacing w:line="257"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571C15D3" w:rsidR="06C331C5">
        <w:rPr>
          <w:rFonts w:ascii="Arial" w:hAnsi="Arial" w:eastAsia="Arial" w:cs="Arial"/>
          <w:b w:val="1"/>
          <w:bCs w:val="1"/>
          <w:i w:val="0"/>
          <w:iCs w:val="0"/>
          <w:caps w:val="0"/>
          <w:smallCaps w:val="0"/>
          <w:noProof w:val="0"/>
          <w:color w:val="000000" w:themeColor="text1" w:themeTint="FF" w:themeShade="FF"/>
          <w:sz w:val="40"/>
          <w:szCs w:val="40"/>
          <w:lang w:val="en-GB"/>
        </w:rPr>
        <w:t xml:space="preserve"> </w:t>
      </w:r>
    </w:p>
    <w:p xmlns:wp14="http://schemas.microsoft.com/office/word/2010/wordml" w:rsidP="571C15D3" wp14:paraId="5245CE23" wp14:textId="39E86005">
      <w:pPr>
        <w:spacing w:before="0" w:beforeAutospacing="off" w:after="0" w:afterAutospacing="off" w:line="360" w:lineRule="auto"/>
        <w:ind w:left="0" w:right="0"/>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4B0DF1EC" w:rsidR="0FE2FC45">
        <w:rPr>
          <w:rFonts w:ascii="Arial" w:hAnsi="Arial" w:eastAsia="Arial" w:cs="Arial"/>
          <w:b w:val="1"/>
          <w:bCs w:val="1"/>
          <w:i w:val="0"/>
          <w:iCs w:val="0"/>
          <w:caps w:val="0"/>
          <w:smallCaps w:val="0"/>
          <w:noProof w:val="0"/>
          <w:color w:val="000000" w:themeColor="text1" w:themeTint="FF" w:themeShade="FF"/>
          <w:sz w:val="36"/>
          <w:szCs w:val="36"/>
          <w:lang w:val="en-GB"/>
        </w:rPr>
        <w:t>Component</w:t>
      </w:r>
      <w:r w:rsidRPr="4B0DF1EC" w:rsidR="0FE2FC45">
        <w:rPr>
          <w:rFonts w:ascii="Arial" w:hAnsi="Arial" w:eastAsia="Arial" w:cs="Arial"/>
          <w:b w:val="1"/>
          <w:bCs w:val="1"/>
          <w:i w:val="0"/>
          <w:iCs w:val="0"/>
          <w:caps w:val="0"/>
          <w:smallCaps w:val="0"/>
          <w:noProof w:val="0"/>
          <w:color w:val="000000" w:themeColor="text1" w:themeTint="FF" w:themeShade="FF"/>
          <w:sz w:val="36"/>
          <w:szCs w:val="36"/>
          <w:lang w:val="en-GB"/>
        </w:rPr>
        <w:t xml:space="preserve"> 2: Written Assignment (Report)</w:t>
      </w:r>
    </w:p>
    <w:p w:rsidR="22AD6F55" w:rsidP="4B0DF1EC" w:rsidRDefault="22AD6F55" w14:paraId="68471782" w14:textId="262D2483">
      <w:pPr>
        <w:pStyle w:val="Normal"/>
        <w:suppressLineNumbers w:val="0"/>
        <w:bidi w:val="0"/>
        <w:spacing w:before="0" w:beforeAutospacing="off" w:after="160" w:afterAutospacing="off" w:line="257" w:lineRule="auto"/>
        <w:ind w:left="0" w:right="0"/>
        <w:jc w:val="center"/>
      </w:pPr>
      <w:r w:rsidRPr="4B0DF1EC" w:rsidR="22AD6F55">
        <w:rPr>
          <w:rFonts w:ascii="Arial" w:hAnsi="Arial" w:eastAsia="Arial" w:cs="Arial"/>
          <w:b w:val="0"/>
          <w:bCs w:val="0"/>
          <w:i w:val="0"/>
          <w:iCs w:val="0"/>
          <w:caps w:val="0"/>
          <w:smallCaps w:val="0"/>
          <w:noProof w:val="0"/>
          <w:color w:val="FF0000"/>
          <w:sz w:val="48"/>
          <w:szCs w:val="48"/>
          <w:lang w:val="en-GB"/>
        </w:rPr>
        <w:t>O</w:t>
      </w:r>
      <w:r w:rsidRPr="4B0DF1EC" w:rsidR="5056F220">
        <w:rPr>
          <w:rFonts w:ascii="Arial" w:hAnsi="Arial" w:eastAsia="Arial" w:cs="Arial"/>
          <w:b w:val="0"/>
          <w:bCs w:val="0"/>
          <w:i w:val="0"/>
          <w:iCs w:val="0"/>
          <w:caps w:val="0"/>
          <w:smallCaps w:val="0"/>
          <w:noProof w:val="0"/>
          <w:color w:val="FF0000"/>
          <w:sz w:val="48"/>
          <w:szCs w:val="48"/>
          <w:lang w:val="en-GB"/>
        </w:rPr>
        <w:t>C</w:t>
      </w:r>
      <w:r w:rsidRPr="4B0DF1EC" w:rsidR="22AD6F55">
        <w:rPr>
          <w:rFonts w:ascii="Arial" w:hAnsi="Arial" w:eastAsia="Arial" w:cs="Arial"/>
          <w:b w:val="0"/>
          <w:bCs w:val="0"/>
          <w:i w:val="0"/>
          <w:iCs w:val="0"/>
          <w:caps w:val="0"/>
          <w:smallCaps w:val="0"/>
          <w:noProof w:val="0"/>
          <w:color w:val="FF0000"/>
          <w:sz w:val="48"/>
          <w:szCs w:val="48"/>
          <w:lang w:val="en-GB"/>
        </w:rPr>
        <w:t>D</w:t>
      </w:r>
    </w:p>
    <w:p xmlns:wp14="http://schemas.microsoft.com/office/word/2010/wordml" w:rsidP="4B0DF1EC" wp14:paraId="3B645318" wp14:textId="570006B5">
      <w:pPr>
        <w:pStyle w:val="Normal"/>
        <w:suppressLineNumbers w:val="0"/>
        <w:bidi w:val="0"/>
        <w:spacing w:before="0" w:beforeAutospacing="off" w:after="160" w:afterAutospacing="off" w:line="257" w:lineRule="auto"/>
        <w:ind w:left="0" w:right="0"/>
        <w:jc w:val="center"/>
        <w:rPr>
          <w:rFonts w:ascii="Arial" w:hAnsi="Arial" w:eastAsia="Arial" w:cs="Arial"/>
          <w:b w:val="0"/>
          <w:bCs w:val="0"/>
          <w:i w:val="0"/>
          <w:iCs w:val="0"/>
          <w:caps w:val="0"/>
          <w:smallCaps w:val="0"/>
          <w:noProof w:val="0"/>
          <w:color w:val="FF0000"/>
          <w:sz w:val="48"/>
          <w:szCs w:val="48"/>
          <w:lang w:val="en-GB"/>
        </w:rPr>
      </w:pPr>
      <w:r w:rsidRPr="4B0DF1EC" w:rsidR="0FE2FC45">
        <w:rPr>
          <w:rFonts w:ascii="Arial" w:hAnsi="Arial" w:eastAsia="Arial" w:cs="Arial"/>
          <w:b w:val="0"/>
          <w:bCs w:val="0"/>
          <w:i w:val="0"/>
          <w:iCs w:val="0"/>
          <w:caps w:val="0"/>
          <w:smallCaps w:val="0"/>
          <w:noProof w:val="0"/>
          <w:color w:val="FF0000"/>
          <w:sz w:val="48"/>
          <w:szCs w:val="48"/>
          <w:lang w:val="en-GB"/>
        </w:rPr>
        <w:t>(</w:t>
      </w:r>
      <w:r w:rsidRPr="4B0DF1EC" w:rsidR="0ECAA642">
        <w:rPr>
          <w:rFonts w:ascii="Arial" w:hAnsi="Arial" w:eastAsia="Arial" w:cs="Arial"/>
          <w:b w:val="0"/>
          <w:bCs w:val="0"/>
          <w:i w:val="0"/>
          <w:iCs w:val="0"/>
          <w:caps w:val="0"/>
          <w:smallCaps w:val="0"/>
          <w:noProof w:val="0"/>
          <w:color w:val="FF0000"/>
          <w:sz w:val="48"/>
          <w:szCs w:val="48"/>
          <w:lang w:val="en-GB"/>
        </w:rPr>
        <w:t>Obsesive</w:t>
      </w:r>
      <w:r w:rsidRPr="4B0DF1EC" w:rsidR="0ECAA642">
        <w:rPr>
          <w:rFonts w:ascii="Arial" w:hAnsi="Arial" w:eastAsia="Arial" w:cs="Arial"/>
          <w:b w:val="0"/>
          <w:bCs w:val="0"/>
          <w:i w:val="0"/>
          <w:iCs w:val="0"/>
          <w:caps w:val="0"/>
          <w:smallCaps w:val="0"/>
          <w:noProof w:val="0"/>
          <w:color w:val="FF0000"/>
          <w:sz w:val="48"/>
          <w:szCs w:val="48"/>
          <w:lang w:val="en-GB"/>
        </w:rPr>
        <w:t xml:space="preserve"> Compulsive</w:t>
      </w:r>
      <w:r w:rsidRPr="4B0DF1EC" w:rsidR="0FE2FC45">
        <w:rPr>
          <w:rFonts w:ascii="Arial" w:hAnsi="Arial" w:eastAsia="Arial" w:cs="Arial"/>
          <w:b w:val="0"/>
          <w:bCs w:val="0"/>
          <w:i w:val="0"/>
          <w:iCs w:val="0"/>
          <w:caps w:val="0"/>
          <w:smallCaps w:val="0"/>
          <w:noProof w:val="0"/>
          <w:color w:val="FF0000"/>
          <w:sz w:val="48"/>
          <w:szCs w:val="48"/>
          <w:lang w:val="en-GB"/>
        </w:rPr>
        <w:t xml:space="preserve"> Disorder) </w:t>
      </w:r>
    </w:p>
    <w:p w:rsidR="657C9C28" w:rsidP="4B0DF1EC" w:rsidRDefault="657C9C28" w14:paraId="3B0416B8" w14:textId="1529217E">
      <w:pPr>
        <w:pStyle w:val="Normal"/>
        <w:suppressLineNumbers w:val="0"/>
        <w:bidi w:val="0"/>
        <w:spacing w:before="93" w:beforeAutospacing="off" w:after="0" w:afterAutospacing="off" w:line="257" w:lineRule="auto"/>
        <w:ind w:left="0" w:right="0"/>
        <w:jc w:val="center"/>
        <w:rPr>
          <w:rFonts w:ascii="Arial" w:hAnsi="Arial" w:eastAsia="Arial" w:cs="Arial"/>
          <w:b w:val="1"/>
          <w:bCs w:val="1"/>
          <w:i w:val="0"/>
          <w:iCs w:val="0"/>
          <w:caps w:val="0"/>
          <w:smallCaps w:val="0"/>
          <w:noProof w:val="0"/>
          <w:color w:val="C00000"/>
          <w:sz w:val="36"/>
          <w:szCs w:val="36"/>
          <w:lang w:val="en-GB"/>
        </w:rPr>
      </w:pPr>
      <w:r w:rsidRPr="4B0DF1EC" w:rsidR="657C9C28">
        <w:rPr>
          <w:rFonts w:ascii="Arial" w:hAnsi="Arial" w:eastAsia="Arial" w:cs="Arial"/>
          <w:b w:val="1"/>
          <w:bCs w:val="1"/>
          <w:i w:val="0"/>
          <w:iCs w:val="0"/>
          <w:caps w:val="0"/>
          <w:smallCaps w:val="0"/>
          <w:noProof w:val="0"/>
          <w:color w:val="C00000"/>
          <w:sz w:val="36"/>
          <w:szCs w:val="36"/>
          <w:lang w:val="en-GB"/>
        </w:rPr>
        <w:t>A Critical Examination of Obsessive-Compulsive Disorder: Diagnostic Frameworks, Clinical Pathways, and Service Provision within the UK</w:t>
      </w:r>
    </w:p>
    <w:p xmlns:wp14="http://schemas.microsoft.com/office/word/2010/wordml" w:rsidP="571C15D3" wp14:paraId="48C3088D" wp14:textId="41C7334E">
      <w:pPr>
        <w:spacing w:before="93" w:after="0" w:line="257"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p>
    <w:p xmlns:wp14="http://schemas.microsoft.com/office/word/2010/wordml" w:rsidP="571C15D3" wp14:paraId="023BDF57" wp14:textId="29B12E94">
      <w:pPr>
        <w:spacing w:before="93" w:after="0" w:line="257"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571C15D3" w:rsidR="06C331C5">
        <w:rPr>
          <w:rFonts w:ascii="Arial" w:hAnsi="Arial" w:eastAsia="Arial" w:cs="Arial"/>
          <w:b w:val="1"/>
          <w:bCs w:val="1"/>
          <w:i w:val="0"/>
          <w:iCs w:val="0"/>
          <w:caps w:val="0"/>
          <w:smallCaps w:val="0"/>
          <w:noProof w:val="0"/>
          <w:color w:val="000000" w:themeColor="text1" w:themeTint="FF" w:themeShade="FF"/>
          <w:sz w:val="32"/>
          <w:szCs w:val="32"/>
          <w:lang w:val="en-GB"/>
        </w:rPr>
        <w:t>Submission Deadline:</w:t>
      </w:r>
      <w:r w:rsidRPr="571C15D3" w:rsidR="06C331C5">
        <w:rPr>
          <w:rFonts w:ascii="Arial" w:hAnsi="Arial" w:eastAsia="Arial" w:cs="Arial"/>
          <w:b w:val="0"/>
          <w:bCs w:val="0"/>
          <w:i w:val="0"/>
          <w:iCs w:val="0"/>
          <w:caps w:val="0"/>
          <w:smallCaps w:val="0"/>
          <w:noProof w:val="0"/>
          <w:color w:val="000000" w:themeColor="text1" w:themeTint="FF" w:themeShade="FF"/>
          <w:sz w:val="32"/>
          <w:szCs w:val="32"/>
          <w:lang w:val="en-GB"/>
        </w:rPr>
        <w:t xml:space="preserve"> </w:t>
      </w:r>
    </w:p>
    <w:p xmlns:wp14="http://schemas.microsoft.com/office/word/2010/wordml" w:rsidP="4B0DF1EC" wp14:paraId="76079920" wp14:textId="5CD5B1CE">
      <w:pPr>
        <w:spacing w:before="93" w:beforeAutospacing="off" w:after="0" w:afterAutospacing="off" w:line="257" w:lineRule="auto"/>
        <w:ind w:left="0" w:right="0"/>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4B0DF1EC" w:rsidR="0FE2FC45">
        <w:rPr>
          <w:rFonts w:ascii="Arial" w:hAnsi="Arial" w:eastAsia="Arial" w:cs="Arial"/>
          <w:b w:val="0"/>
          <w:bCs w:val="0"/>
          <w:i w:val="0"/>
          <w:iCs w:val="0"/>
          <w:caps w:val="0"/>
          <w:smallCaps w:val="0"/>
          <w:noProof w:val="0"/>
          <w:color w:val="000000" w:themeColor="text1" w:themeTint="FF" w:themeShade="FF"/>
          <w:sz w:val="32"/>
          <w:szCs w:val="32"/>
          <w:lang w:val="en-GB"/>
        </w:rPr>
        <w:t>Monday 20</w:t>
      </w:r>
      <w:r w:rsidRPr="4B0DF1EC" w:rsidR="0FE2FC45">
        <w:rPr>
          <w:rFonts w:ascii="Arial" w:hAnsi="Arial" w:eastAsia="Arial" w:cs="Arial"/>
          <w:b w:val="0"/>
          <w:bCs w:val="0"/>
          <w:i w:val="0"/>
          <w:iCs w:val="0"/>
          <w:caps w:val="0"/>
          <w:smallCaps w:val="0"/>
          <w:noProof w:val="0"/>
          <w:color w:val="000000" w:themeColor="text1" w:themeTint="FF" w:themeShade="FF"/>
          <w:sz w:val="32"/>
          <w:szCs w:val="32"/>
          <w:vertAlign w:val="superscript"/>
          <w:lang w:val="en-GB"/>
        </w:rPr>
        <w:t>th</w:t>
      </w:r>
      <w:r w:rsidRPr="4B0DF1EC" w:rsidR="0FE2FC45">
        <w:rPr>
          <w:rFonts w:ascii="Arial" w:hAnsi="Arial" w:eastAsia="Arial" w:cs="Arial"/>
          <w:b w:val="0"/>
          <w:bCs w:val="0"/>
          <w:i w:val="0"/>
          <w:iCs w:val="0"/>
          <w:caps w:val="0"/>
          <w:smallCaps w:val="0"/>
          <w:noProof w:val="0"/>
          <w:color w:val="000000" w:themeColor="text1" w:themeTint="FF" w:themeShade="FF"/>
          <w:sz w:val="32"/>
          <w:szCs w:val="32"/>
          <w:lang w:val="en-GB"/>
        </w:rPr>
        <w:t xml:space="preserve">  July</w:t>
      </w:r>
      <w:r w:rsidRPr="4B0DF1EC" w:rsidR="0FE2FC45">
        <w:rPr>
          <w:rFonts w:ascii="Arial" w:hAnsi="Arial" w:eastAsia="Arial" w:cs="Arial"/>
          <w:b w:val="0"/>
          <w:bCs w:val="0"/>
          <w:i w:val="0"/>
          <w:iCs w:val="0"/>
          <w:caps w:val="0"/>
          <w:smallCaps w:val="0"/>
          <w:noProof w:val="0"/>
          <w:color w:val="000000" w:themeColor="text1" w:themeTint="FF" w:themeShade="FF"/>
          <w:sz w:val="32"/>
          <w:szCs w:val="32"/>
          <w:lang w:val="en-GB"/>
        </w:rPr>
        <w:t xml:space="preserve"> 2026</w:t>
      </w:r>
      <w:r w:rsidRPr="4B0DF1EC" w:rsidR="20A86D82">
        <w:rPr>
          <w:rFonts w:ascii="Arial" w:hAnsi="Arial" w:eastAsia="Arial" w:cs="Arial"/>
          <w:b w:val="0"/>
          <w:bCs w:val="0"/>
          <w:i w:val="0"/>
          <w:iCs w:val="0"/>
          <w:caps w:val="0"/>
          <w:smallCaps w:val="0"/>
          <w:noProof w:val="0"/>
          <w:color w:val="000000" w:themeColor="text1" w:themeTint="FF" w:themeShade="FF"/>
          <w:sz w:val="32"/>
          <w:szCs w:val="32"/>
          <w:lang w:val="en-GB"/>
        </w:rPr>
        <w:t>, 2PM</w:t>
      </w:r>
    </w:p>
    <w:p w:rsidR="52F114B0" w:rsidP="4B0DF1EC" w:rsidRDefault="52F114B0" w14:paraId="5825663D" w14:textId="3DAAC658">
      <w:pPr>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52F114B0" w:rsidP="4B0DF1EC" w:rsidRDefault="52F114B0" w14:paraId="52FE07F6" w14:textId="2E2EB803">
      <w:pPr/>
      <w:r>
        <w:br w:type="page"/>
      </w:r>
    </w:p>
    <w:p w:rsidR="52F114B0" w:rsidP="4B0DF1EC" w:rsidRDefault="52F114B0" w14:paraId="37766000" w14:textId="1DFC3E07">
      <w:pPr>
        <w:pStyle w:val="Normal"/>
        <w:jc w:val="center"/>
      </w:pPr>
      <w:r w:rsidRPr="4B0DF1EC" w:rsidR="088A6E7B">
        <w:rPr>
          <w:rFonts w:ascii="Arial" w:hAnsi="Arial" w:eastAsia="Arial" w:cs="Arial"/>
          <w:b w:val="1"/>
          <w:bCs w:val="1"/>
          <w:i w:val="0"/>
          <w:iCs w:val="0"/>
          <w:caps w:val="0"/>
          <w:smallCaps w:val="0"/>
          <w:noProof w:val="0"/>
          <w:color w:val="000000" w:themeColor="text1" w:themeTint="FF" w:themeShade="FF"/>
          <w:sz w:val="40"/>
          <w:szCs w:val="40"/>
          <w:lang w:val="en-GB"/>
        </w:rPr>
        <w:t xml:space="preserve">Table of Contents </w:t>
      </w:r>
      <w:r w:rsidRPr="4B0DF1EC" w:rsidR="088A6E7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4B0DF1EC" w:rsidP="4B0DF1EC" w:rsidRDefault="4B0DF1EC" w14:paraId="67263D91" w14:textId="3D242FFA">
      <w:pPr>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4B0DF1EC" w:rsidP="4B0DF1EC" w:rsidRDefault="4B0DF1EC" w14:paraId="0F5A28EA" w14:textId="6018D989">
      <w:pPr>
        <w:jc w:val="center"/>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8370"/>
        <w:gridCol w:w="630"/>
      </w:tblGrid>
      <w:tr w:rsidR="2AD1E4E8" w:rsidTr="4B0DF1EC" w14:paraId="68797DA5">
        <w:trPr>
          <w:trHeight w:val="285"/>
        </w:trPr>
        <w:tc>
          <w:tcPr>
            <w:tcW w:w="8370" w:type="dxa"/>
            <w:tcBorders>
              <w:top w:val="nil"/>
              <w:left w:val="nil"/>
              <w:bottom w:val="nil"/>
              <w:right w:val="nil"/>
            </w:tcBorders>
            <w:tcMar>
              <w:left w:w="105" w:type="dxa"/>
              <w:right w:w="105" w:type="dxa"/>
            </w:tcMar>
            <w:vAlign w:val="top"/>
          </w:tcPr>
          <w:p w:rsidR="2AD1E4E8" w:rsidP="4B0DF1EC" w:rsidRDefault="2AD1E4E8" w14:paraId="300F04A0" w14:textId="663E74BC">
            <w:pPr>
              <w:spacing w:line="480" w:lineRule="auto"/>
              <w:rPr>
                <w:rFonts w:ascii="Arial" w:hAnsi="Arial" w:eastAsia="Arial" w:cs="Arial"/>
                <w:b w:val="0"/>
                <w:bCs w:val="0"/>
                <w:i w:val="0"/>
                <w:iCs w:val="0"/>
                <w:sz w:val="22"/>
                <w:szCs w:val="22"/>
              </w:rPr>
            </w:pPr>
            <w:r w:rsidRPr="4B0DF1EC" w:rsidR="746C083B">
              <w:rPr>
                <w:rFonts w:ascii="Arial" w:hAnsi="Arial" w:eastAsia="Arial" w:cs="Arial"/>
                <w:b w:val="0"/>
                <w:bCs w:val="0"/>
                <w:i w:val="0"/>
                <w:iCs w:val="0"/>
                <w:sz w:val="22"/>
                <w:szCs w:val="22"/>
                <w:lang w:val="en-GB"/>
              </w:rPr>
              <w:t xml:space="preserve">Introduction  </w:t>
            </w:r>
          </w:p>
        </w:tc>
        <w:tc>
          <w:tcPr>
            <w:tcW w:w="630" w:type="dxa"/>
            <w:tcBorders>
              <w:top w:val="nil"/>
              <w:left w:val="nil"/>
              <w:bottom w:val="nil"/>
              <w:right w:val="nil"/>
            </w:tcBorders>
            <w:tcMar>
              <w:left w:w="105" w:type="dxa"/>
              <w:right w:w="105" w:type="dxa"/>
            </w:tcMar>
            <w:vAlign w:val="top"/>
          </w:tcPr>
          <w:p w:rsidR="2AD1E4E8" w:rsidP="4B0DF1EC" w:rsidRDefault="2AD1E4E8" w14:paraId="571D6E96" w14:textId="5FE886E4">
            <w:pPr>
              <w:spacing w:line="480" w:lineRule="auto"/>
            </w:pPr>
            <w:r w:rsidRPr="4B0DF1EC" w:rsidR="71006671">
              <w:rPr>
                <w:rFonts w:ascii="Arial" w:hAnsi="Arial" w:eastAsia="Arial" w:cs="Arial"/>
                <w:b w:val="0"/>
                <w:bCs w:val="0"/>
                <w:i w:val="0"/>
                <w:iCs w:val="0"/>
                <w:sz w:val="22"/>
                <w:szCs w:val="22"/>
              </w:rPr>
              <w:t>3</w:t>
            </w:r>
          </w:p>
        </w:tc>
      </w:tr>
      <w:tr w:rsidR="2AD1E4E8" w:rsidTr="4B0DF1EC" w14:paraId="3670926E">
        <w:trPr>
          <w:trHeight w:val="285"/>
        </w:trPr>
        <w:tc>
          <w:tcPr>
            <w:tcW w:w="8370" w:type="dxa"/>
            <w:tcBorders>
              <w:top w:val="nil"/>
              <w:left w:val="nil"/>
              <w:bottom w:val="nil"/>
              <w:right w:val="nil"/>
            </w:tcBorders>
            <w:tcMar>
              <w:left w:w="105" w:type="dxa"/>
              <w:right w:w="105" w:type="dxa"/>
            </w:tcMar>
            <w:vAlign w:val="top"/>
          </w:tcPr>
          <w:p w:rsidR="2AD1E4E8" w:rsidP="4B0DF1EC" w:rsidRDefault="2AD1E4E8" w14:paraId="37B30FD0" w14:textId="0513E282">
            <w:pPr>
              <w:spacing w:line="480" w:lineRule="auto"/>
            </w:pPr>
            <w:r w:rsidRPr="4B0DF1EC" w:rsidR="0CC5BFE1">
              <w:rPr>
                <w:rFonts w:ascii="Arial" w:hAnsi="Arial" w:eastAsia="Arial" w:cs="Arial"/>
                <w:b w:val="0"/>
                <w:bCs w:val="0"/>
                <w:i w:val="0"/>
                <w:iCs w:val="0"/>
                <w:sz w:val="22"/>
                <w:szCs w:val="22"/>
                <w:lang w:val="en-GB"/>
              </w:rPr>
              <w:t xml:space="preserve">Classification and Diagnosis   </w:t>
            </w:r>
          </w:p>
        </w:tc>
        <w:tc>
          <w:tcPr>
            <w:tcW w:w="630" w:type="dxa"/>
            <w:tcBorders>
              <w:top w:val="nil"/>
              <w:left w:val="nil"/>
              <w:bottom w:val="nil"/>
              <w:right w:val="nil"/>
            </w:tcBorders>
            <w:tcMar>
              <w:left w:w="105" w:type="dxa"/>
              <w:right w:w="105" w:type="dxa"/>
            </w:tcMar>
            <w:vAlign w:val="top"/>
          </w:tcPr>
          <w:p w:rsidR="2AD1E4E8" w:rsidP="4B0DF1EC" w:rsidRDefault="2AD1E4E8" w14:paraId="5314E639" w14:textId="66A78CBD">
            <w:pPr>
              <w:spacing w:line="480" w:lineRule="auto"/>
            </w:pPr>
            <w:r w:rsidRPr="4B0DF1EC" w:rsidR="76972084">
              <w:rPr>
                <w:rFonts w:ascii="Arial" w:hAnsi="Arial" w:eastAsia="Arial" w:cs="Arial"/>
                <w:b w:val="0"/>
                <w:bCs w:val="0"/>
                <w:i w:val="0"/>
                <w:iCs w:val="0"/>
                <w:sz w:val="22"/>
                <w:szCs w:val="22"/>
                <w:lang w:val="en-GB"/>
              </w:rPr>
              <w:t>4</w:t>
            </w:r>
          </w:p>
        </w:tc>
      </w:tr>
      <w:tr w:rsidR="2AD1E4E8" w:rsidTr="4B0DF1EC" w14:paraId="1FA04ADA">
        <w:trPr>
          <w:trHeight w:val="300"/>
        </w:trPr>
        <w:tc>
          <w:tcPr>
            <w:tcW w:w="8370" w:type="dxa"/>
            <w:tcBorders>
              <w:top w:val="nil"/>
              <w:left w:val="nil"/>
              <w:bottom w:val="nil"/>
              <w:right w:val="nil"/>
            </w:tcBorders>
            <w:tcMar>
              <w:left w:w="105" w:type="dxa"/>
              <w:right w:w="105" w:type="dxa"/>
            </w:tcMar>
            <w:vAlign w:val="top"/>
          </w:tcPr>
          <w:p w:rsidR="2AD1E4E8" w:rsidP="4B0DF1EC" w:rsidRDefault="2AD1E4E8" w14:paraId="62E277D7" w14:textId="16F93E0C">
            <w:pPr>
              <w:spacing w:line="480" w:lineRule="auto"/>
            </w:pPr>
            <w:r w:rsidRPr="4B0DF1EC" w:rsidR="25B50EEE">
              <w:rPr>
                <w:rFonts w:ascii="Arial" w:hAnsi="Arial" w:eastAsia="Arial" w:cs="Arial"/>
                <w:b w:val="0"/>
                <w:bCs w:val="0"/>
                <w:i w:val="0"/>
                <w:iCs w:val="0"/>
                <w:sz w:val="22"/>
                <w:szCs w:val="22"/>
                <w:lang w:val="en-GB"/>
              </w:rPr>
              <w:t xml:space="preserve">Treatment Approaches   </w:t>
            </w:r>
          </w:p>
        </w:tc>
        <w:tc>
          <w:tcPr>
            <w:tcW w:w="630" w:type="dxa"/>
            <w:tcBorders>
              <w:top w:val="nil"/>
              <w:left w:val="nil"/>
              <w:bottom w:val="nil"/>
              <w:right w:val="nil"/>
            </w:tcBorders>
            <w:tcMar>
              <w:left w:w="105" w:type="dxa"/>
              <w:right w:w="105" w:type="dxa"/>
            </w:tcMar>
            <w:vAlign w:val="top"/>
          </w:tcPr>
          <w:p w:rsidR="2AD1E4E8" w:rsidP="4B0DF1EC" w:rsidRDefault="2AD1E4E8" w14:paraId="73EE28C8" w14:textId="3874B880">
            <w:pPr>
              <w:spacing w:line="480" w:lineRule="auto"/>
            </w:pPr>
            <w:r w:rsidRPr="4B0DF1EC" w:rsidR="25B50EEE">
              <w:rPr>
                <w:rFonts w:ascii="Arial" w:hAnsi="Arial" w:eastAsia="Arial" w:cs="Arial"/>
                <w:b w:val="0"/>
                <w:bCs w:val="0"/>
                <w:i w:val="0"/>
                <w:iCs w:val="0"/>
                <w:sz w:val="22"/>
                <w:szCs w:val="22"/>
                <w:lang w:val="en-GB"/>
              </w:rPr>
              <w:t>6</w:t>
            </w:r>
          </w:p>
        </w:tc>
      </w:tr>
      <w:tr w:rsidR="2AD1E4E8" w:rsidTr="4B0DF1EC" w14:paraId="73060069">
        <w:trPr>
          <w:trHeight w:val="285"/>
        </w:trPr>
        <w:tc>
          <w:tcPr>
            <w:tcW w:w="8370" w:type="dxa"/>
            <w:tcBorders>
              <w:top w:val="nil"/>
              <w:left w:val="nil"/>
              <w:bottom w:val="nil"/>
              <w:right w:val="nil"/>
            </w:tcBorders>
            <w:tcMar>
              <w:left w:w="105" w:type="dxa"/>
              <w:right w:w="105" w:type="dxa"/>
            </w:tcMar>
            <w:vAlign w:val="top"/>
          </w:tcPr>
          <w:p w:rsidR="2AD1E4E8" w:rsidP="4B0DF1EC" w:rsidRDefault="2AD1E4E8" w14:paraId="45F558AB" w14:textId="379F23CB">
            <w:pPr>
              <w:spacing w:line="480" w:lineRule="auto"/>
            </w:pPr>
            <w:r w:rsidRPr="4B0DF1EC" w:rsidR="7F3F3F2A">
              <w:rPr>
                <w:rFonts w:ascii="Arial" w:hAnsi="Arial" w:eastAsia="Arial" w:cs="Arial"/>
                <w:b w:val="0"/>
                <w:bCs w:val="0"/>
                <w:i w:val="0"/>
                <w:iCs w:val="0"/>
                <w:sz w:val="22"/>
                <w:szCs w:val="22"/>
                <w:lang w:val="en-GB"/>
              </w:rPr>
              <w:t xml:space="preserve">Rehabilitation &amp; Long-Term Management  </w:t>
            </w:r>
          </w:p>
        </w:tc>
        <w:tc>
          <w:tcPr>
            <w:tcW w:w="630" w:type="dxa"/>
            <w:tcBorders>
              <w:top w:val="nil"/>
              <w:left w:val="nil"/>
              <w:bottom w:val="nil"/>
              <w:right w:val="nil"/>
            </w:tcBorders>
            <w:tcMar>
              <w:left w:w="105" w:type="dxa"/>
              <w:right w:w="105" w:type="dxa"/>
            </w:tcMar>
            <w:vAlign w:val="top"/>
          </w:tcPr>
          <w:p w:rsidR="2AD1E4E8" w:rsidP="4B0DF1EC" w:rsidRDefault="2AD1E4E8" w14:paraId="243C2580" w14:textId="55C349EE">
            <w:pPr>
              <w:spacing w:line="480" w:lineRule="auto"/>
            </w:pPr>
            <w:r w:rsidRPr="4B0DF1EC" w:rsidR="7F3F3F2A">
              <w:rPr>
                <w:rFonts w:ascii="Arial" w:hAnsi="Arial" w:eastAsia="Arial" w:cs="Arial"/>
                <w:b w:val="0"/>
                <w:bCs w:val="0"/>
                <w:i w:val="0"/>
                <w:iCs w:val="0"/>
                <w:sz w:val="22"/>
                <w:szCs w:val="22"/>
                <w:lang w:val="en-GB"/>
              </w:rPr>
              <w:t>8</w:t>
            </w:r>
          </w:p>
        </w:tc>
      </w:tr>
      <w:tr w:rsidR="2AD1E4E8" w:rsidTr="4B0DF1EC" w14:paraId="0081B1CF">
        <w:trPr>
          <w:trHeight w:val="285"/>
        </w:trPr>
        <w:tc>
          <w:tcPr>
            <w:tcW w:w="8370" w:type="dxa"/>
            <w:tcBorders>
              <w:top w:val="nil"/>
              <w:left w:val="nil"/>
              <w:bottom w:val="nil"/>
              <w:right w:val="nil"/>
            </w:tcBorders>
            <w:tcMar>
              <w:left w:w="105" w:type="dxa"/>
              <w:right w:w="105" w:type="dxa"/>
            </w:tcMar>
            <w:vAlign w:val="top"/>
          </w:tcPr>
          <w:p w:rsidR="2AD1E4E8" w:rsidP="4B0DF1EC" w:rsidRDefault="2AD1E4E8" w14:paraId="241589E9" w14:textId="782D166F">
            <w:pPr>
              <w:spacing w:line="480" w:lineRule="auto"/>
            </w:pPr>
            <w:r w:rsidRPr="4B0DF1EC" w:rsidR="7F3F3F2A">
              <w:rPr>
                <w:rFonts w:ascii="Arial" w:hAnsi="Arial" w:eastAsia="Arial" w:cs="Arial"/>
                <w:b w:val="0"/>
                <w:bCs w:val="0"/>
                <w:i w:val="0"/>
                <w:iCs w:val="0"/>
                <w:sz w:val="22"/>
                <w:szCs w:val="22"/>
                <w:lang w:val="en-GB"/>
              </w:rPr>
              <w:t xml:space="preserve">Current Debates, Policy &amp; Statistical Evidence  </w:t>
            </w:r>
          </w:p>
        </w:tc>
        <w:tc>
          <w:tcPr>
            <w:tcW w:w="630" w:type="dxa"/>
            <w:tcBorders>
              <w:top w:val="nil"/>
              <w:left w:val="nil"/>
              <w:bottom w:val="nil"/>
              <w:right w:val="nil"/>
            </w:tcBorders>
            <w:tcMar>
              <w:left w:w="105" w:type="dxa"/>
              <w:right w:w="105" w:type="dxa"/>
            </w:tcMar>
            <w:vAlign w:val="top"/>
          </w:tcPr>
          <w:p w:rsidR="2AD1E4E8" w:rsidP="4B0DF1EC" w:rsidRDefault="2AD1E4E8" w14:paraId="220BEB6E" w14:textId="211AA714">
            <w:pPr>
              <w:spacing w:line="480" w:lineRule="auto"/>
              <w:rPr>
                <w:rFonts w:ascii="Arial" w:hAnsi="Arial" w:eastAsia="Arial" w:cs="Arial"/>
                <w:b w:val="0"/>
                <w:bCs w:val="0"/>
                <w:i w:val="0"/>
                <w:iCs w:val="0"/>
                <w:sz w:val="22"/>
                <w:szCs w:val="22"/>
                <w:lang w:val="en-GB"/>
              </w:rPr>
            </w:pPr>
          </w:p>
        </w:tc>
      </w:tr>
      <w:tr w:rsidR="2AD1E4E8" w:rsidTr="4B0DF1EC" w14:paraId="57B3ED0A">
        <w:trPr>
          <w:trHeight w:val="285"/>
        </w:trPr>
        <w:tc>
          <w:tcPr>
            <w:tcW w:w="8370" w:type="dxa"/>
            <w:tcBorders>
              <w:top w:val="nil"/>
              <w:left w:val="nil"/>
              <w:bottom w:val="nil"/>
              <w:right w:val="nil"/>
            </w:tcBorders>
            <w:tcMar>
              <w:left w:w="105" w:type="dxa"/>
              <w:right w:w="105" w:type="dxa"/>
            </w:tcMar>
            <w:vAlign w:val="top"/>
          </w:tcPr>
          <w:p w:rsidR="2AD1E4E8" w:rsidP="4B0DF1EC" w:rsidRDefault="2AD1E4E8" w14:paraId="05140C8D" w14:textId="7AD89799">
            <w:pPr>
              <w:spacing w:line="480" w:lineRule="auto"/>
            </w:pPr>
            <w:r w:rsidRPr="4B0DF1EC" w:rsidR="7F3F3F2A">
              <w:rPr>
                <w:rFonts w:ascii="Arial" w:hAnsi="Arial" w:eastAsia="Arial" w:cs="Arial"/>
                <w:b w:val="0"/>
                <w:bCs w:val="0"/>
                <w:i w:val="0"/>
                <w:iCs w:val="0"/>
                <w:sz w:val="22"/>
                <w:szCs w:val="22"/>
                <w:lang w:val="en-GB"/>
              </w:rPr>
              <w:t xml:space="preserve">     Current Debates &amp; Emerging Issues  </w:t>
            </w:r>
          </w:p>
        </w:tc>
        <w:tc>
          <w:tcPr>
            <w:tcW w:w="630" w:type="dxa"/>
            <w:tcBorders>
              <w:top w:val="nil"/>
              <w:left w:val="nil"/>
              <w:bottom w:val="nil"/>
              <w:right w:val="nil"/>
            </w:tcBorders>
            <w:tcMar>
              <w:left w:w="105" w:type="dxa"/>
              <w:right w:w="105" w:type="dxa"/>
            </w:tcMar>
            <w:vAlign w:val="top"/>
          </w:tcPr>
          <w:p w:rsidR="2AD1E4E8" w:rsidP="4B0DF1EC" w:rsidRDefault="2AD1E4E8" w14:paraId="433611F7" w14:textId="5D8F6AC6">
            <w:pPr>
              <w:spacing w:line="480" w:lineRule="auto"/>
            </w:pPr>
            <w:r w:rsidRPr="4B0DF1EC" w:rsidR="7F3F3F2A">
              <w:rPr>
                <w:rFonts w:ascii="Arial" w:hAnsi="Arial" w:eastAsia="Arial" w:cs="Arial"/>
                <w:b w:val="0"/>
                <w:bCs w:val="0"/>
                <w:i w:val="0"/>
                <w:iCs w:val="0"/>
                <w:sz w:val="22"/>
                <w:szCs w:val="22"/>
                <w:lang w:val="en-GB"/>
              </w:rPr>
              <w:t>9</w:t>
            </w:r>
          </w:p>
        </w:tc>
      </w:tr>
      <w:tr w:rsidR="2AD1E4E8" w:rsidTr="4B0DF1EC" w14:paraId="707B8CE4">
        <w:trPr>
          <w:trHeight w:val="285"/>
        </w:trPr>
        <w:tc>
          <w:tcPr>
            <w:tcW w:w="8370" w:type="dxa"/>
            <w:tcBorders>
              <w:top w:val="nil"/>
              <w:left w:val="nil"/>
              <w:bottom w:val="nil"/>
              <w:right w:val="nil"/>
            </w:tcBorders>
            <w:tcMar>
              <w:left w:w="105" w:type="dxa"/>
              <w:right w:w="105" w:type="dxa"/>
            </w:tcMar>
            <w:vAlign w:val="top"/>
          </w:tcPr>
          <w:p w:rsidR="2AD1E4E8" w:rsidP="4B0DF1EC" w:rsidRDefault="2AD1E4E8" w14:paraId="0B55036E" w14:textId="45068E51">
            <w:pPr>
              <w:pStyle w:val="Normal"/>
              <w:suppressLineNumbers w:val="0"/>
              <w:bidi w:val="0"/>
              <w:spacing w:before="0" w:beforeAutospacing="off" w:after="0" w:afterAutospacing="off" w:line="480" w:lineRule="auto"/>
              <w:ind w:left="0" w:right="0"/>
              <w:jc w:val="left"/>
            </w:pPr>
            <w:r w:rsidRPr="4B0DF1EC" w:rsidR="746C083B">
              <w:rPr>
                <w:rFonts w:ascii="Arial" w:hAnsi="Arial" w:eastAsia="Arial" w:cs="Arial"/>
                <w:b w:val="0"/>
                <w:bCs w:val="0"/>
                <w:i w:val="0"/>
                <w:iCs w:val="0"/>
                <w:sz w:val="22"/>
                <w:szCs w:val="22"/>
                <w:lang w:val="en-GB"/>
              </w:rPr>
              <w:t xml:space="preserve">  </w:t>
            </w:r>
            <w:r w:rsidRPr="4B0DF1EC" w:rsidR="0E848312">
              <w:rPr>
                <w:rFonts w:ascii="Arial" w:hAnsi="Arial" w:eastAsia="Arial" w:cs="Arial"/>
                <w:b w:val="0"/>
                <w:bCs w:val="0"/>
                <w:i w:val="0"/>
                <w:iCs w:val="0"/>
                <w:sz w:val="22"/>
                <w:szCs w:val="22"/>
                <w:lang w:val="en-GB"/>
              </w:rPr>
              <w:t xml:space="preserve">  </w:t>
            </w:r>
            <w:r w:rsidRPr="4B0DF1EC" w:rsidR="06A70BFE">
              <w:rPr>
                <w:rFonts w:ascii="Arial" w:hAnsi="Arial" w:eastAsia="Arial" w:cs="Arial"/>
                <w:b w:val="0"/>
                <w:bCs w:val="0"/>
                <w:i w:val="0"/>
                <w:iCs w:val="0"/>
                <w:sz w:val="22"/>
                <w:szCs w:val="22"/>
                <w:lang w:val="en-GB"/>
              </w:rPr>
              <w:t xml:space="preserve"> </w:t>
            </w:r>
            <w:r w:rsidRPr="4B0DF1EC" w:rsidR="3E98875A">
              <w:rPr>
                <w:rFonts w:ascii="Arial" w:hAnsi="Arial" w:eastAsia="Arial" w:cs="Arial"/>
                <w:b w:val="0"/>
                <w:bCs w:val="0"/>
                <w:i w:val="0"/>
                <w:iCs w:val="0"/>
                <w:sz w:val="22"/>
                <w:szCs w:val="22"/>
                <w:lang w:val="en-GB"/>
              </w:rPr>
              <w:t>Policy a Legal Framework</w:t>
            </w:r>
          </w:p>
        </w:tc>
        <w:tc>
          <w:tcPr>
            <w:tcW w:w="630" w:type="dxa"/>
            <w:tcBorders>
              <w:top w:val="nil"/>
              <w:left w:val="nil"/>
              <w:bottom w:val="nil"/>
              <w:right w:val="nil"/>
            </w:tcBorders>
            <w:tcMar>
              <w:left w:w="105" w:type="dxa"/>
              <w:right w:w="105" w:type="dxa"/>
            </w:tcMar>
            <w:vAlign w:val="top"/>
          </w:tcPr>
          <w:p w:rsidR="2AD1E4E8" w:rsidP="4B0DF1EC" w:rsidRDefault="2AD1E4E8" w14:paraId="5DF4A880" w14:textId="4D2A17B2">
            <w:pPr>
              <w:spacing w:line="480" w:lineRule="auto"/>
            </w:pPr>
            <w:r w:rsidRPr="4B0DF1EC" w:rsidR="3E98875A">
              <w:rPr>
                <w:rFonts w:ascii="Arial" w:hAnsi="Arial" w:eastAsia="Arial" w:cs="Arial"/>
                <w:b w:val="0"/>
                <w:bCs w:val="0"/>
                <w:i w:val="0"/>
                <w:iCs w:val="0"/>
                <w:sz w:val="22"/>
                <w:szCs w:val="22"/>
              </w:rPr>
              <w:t>10</w:t>
            </w:r>
          </w:p>
        </w:tc>
      </w:tr>
      <w:tr w:rsidR="2AD1E4E8" w:rsidTr="4B0DF1EC" w14:paraId="1CDB7C20">
        <w:trPr>
          <w:trHeight w:val="285"/>
        </w:trPr>
        <w:tc>
          <w:tcPr>
            <w:tcW w:w="8370" w:type="dxa"/>
            <w:tcBorders>
              <w:top w:val="nil"/>
              <w:left w:val="nil"/>
              <w:bottom w:val="nil"/>
              <w:right w:val="nil"/>
            </w:tcBorders>
            <w:tcMar>
              <w:left w:w="105" w:type="dxa"/>
              <w:right w:w="105" w:type="dxa"/>
            </w:tcMar>
            <w:vAlign w:val="top"/>
          </w:tcPr>
          <w:p w:rsidR="2AD1E4E8" w:rsidP="4B0DF1EC" w:rsidRDefault="2AD1E4E8" w14:paraId="0223767A" w14:textId="6D4B8407">
            <w:pPr>
              <w:spacing w:before="0" w:beforeAutospacing="off" w:after="0" w:afterAutospacing="off" w:line="480" w:lineRule="auto"/>
              <w:ind w:left="0" w:right="0"/>
              <w:jc w:val="left"/>
              <w:rPr>
                <w:rFonts w:ascii="Arial" w:hAnsi="Arial" w:eastAsia="Arial" w:cs="Arial"/>
                <w:b w:val="0"/>
                <w:bCs w:val="0"/>
                <w:i w:val="0"/>
                <w:iCs w:val="0"/>
                <w:sz w:val="22"/>
                <w:szCs w:val="22"/>
              </w:rPr>
            </w:pPr>
            <w:r w:rsidRPr="4B0DF1EC" w:rsidR="746C083B">
              <w:rPr>
                <w:rFonts w:ascii="Arial" w:hAnsi="Arial" w:eastAsia="Arial" w:cs="Arial"/>
                <w:b w:val="0"/>
                <w:bCs w:val="0"/>
                <w:i w:val="0"/>
                <w:iCs w:val="0"/>
                <w:sz w:val="22"/>
                <w:szCs w:val="22"/>
                <w:lang w:val="en-GB"/>
              </w:rPr>
              <w:t xml:space="preserve"> </w:t>
            </w:r>
            <w:r w:rsidRPr="4B0DF1EC" w:rsidR="6D1BE5B0">
              <w:rPr>
                <w:rFonts w:ascii="Arial" w:hAnsi="Arial" w:eastAsia="Arial" w:cs="Arial"/>
                <w:b w:val="0"/>
                <w:bCs w:val="0"/>
                <w:i w:val="0"/>
                <w:iCs w:val="0"/>
                <w:sz w:val="22"/>
                <w:szCs w:val="22"/>
                <w:lang w:val="en-GB"/>
              </w:rPr>
              <w:t xml:space="preserve">              Table 1: UK Legislative Framework for Mental Health Care  </w:t>
            </w:r>
            <w:r w:rsidRPr="4B0DF1EC" w:rsidR="6D1BE5B0">
              <w:rPr>
                <w:rFonts w:ascii="Arial" w:hAnsi="Arial" w:eastAsia="Arial" w:cs="Arial"/>
                <w:b w:val="0"/>
                <w:bCs w:val="0"/>
                <w:i w:val="0"/>
                <w:iCs w:val="0"/>
                <w:sz w:val="22"/>
                <w:szCs w:val="22"/>
                <w:lang w:val="en-GB"/>
              </w:rPr>
              <w:t xml:space="preserve">  </w:t>
            </w:r>
            <w:r w:rsidRPr="4B0DF1EC" w:rsidR="746C083B">
              <w:rPr>
                <w:rFonts w:ascii="Arial" w:hAnsi="Arial" w:eastAsia="Arial" w:cs="Arial"/>
                <w:b w:val="0"/>
                <w:bCs w:val="0"/>
                <w:i w:val="0"/>
                <w:iCs w:val="0"/>
                <w:sz w:val="22"/>
                <w:szCs w:val="22"/>
                <w:lang w:val="en-GB"/>
              </w:rPr>
              <w:t>.</w:t>
            </w:r>
          </w:p>
        </w:tc>
        <w:tc>
          <w:tcPr>
            <w:tcW w:w="630" w:type="dxa"/>
            <w:tcBorders>
              <w:top w:val="nil"/>
              <w:left w:val="nil"/>
              <w:bottom w:val="nil"/>
              <w:right w:val="nil"/>
            </w:tcBorders>
            <w:tcMar>
              <w:left w:w="105" w:type="dxa"/>
              <w:right w:w="105" w:type="dxa"/>
            </w:tcMar>
            <w:vAlign w:val="top"/>
          </w:tcPr>
          <w:p w:rsidR="2AD1E4E8" w:rsidP="4B0DF1EC" w:rsidRDefault="2AD1E4E8" w14:paraId="7C201683" w14:textId="4B8D9714">
            <w:pPr>
              <w:spacing w:line="480" w:lineRule="auto"/>
            </w:pPr>
            <w:r w:rsidRPr="4B0DF1EC" w:rsidR="7137C35C">
              <w:rPr>
                <w:rFonts w:ascii="Arial" w:hAnsi="Arial" w:eastAsia="Arial" w:cs="Arial"/>
                <w:b w:val="0"/>
                <w:bCs w:val="0"/>
                <w:i w:val="0"/>
                <w:iCs w:val="0"/>
                <w:sz w:val="22"/>
                <w:szCs w:val="22"/>
                <w:lang w:val="en-GB"/>
              </w:rPr>
              <w:t>10</w:t>
            </w:r>
          </w:p>
        </w:tc>
      </w:tr>
      <w:tr w:rsidR="2AD1E4E8" w:rsidTr="4B0DF1EC" w14:paraId="365BC0B4">
        <w:trPr>
          <w:trHeight w:val="285"/>
        </w:trPr>
        <w:tc>
          <w:tcPr>
            <w:tcW w:w="8370" w:type="dxa"/>
            <w:tcBorders>
              <w:top w:val="nil"/>
              <w:left w:val="nil"/>
              <w:bottom w:val="nil"/>
              <w:right w:val="nil"/>
            </w:tcBorders>
            <w:tcMar>
              <w:left w:w="105" w:type="dxa"/>
              <w:right w:w="105" w:type="dxa"/>
            </w:tcMar>
            <w:vAlign w:val="top"/>
          </w:tcPr>
          <w:p w:rsidR="2AD1E4E8" w:rsidP="4B0DF1EC" w:rsidRDefault="2AD1E4E8" w14:paraId="1F346CB2" w14:textId="162E386C">
            <w:pPr>
              <w:pStyle w:val="Normal"/>
              <w:suppressLineNumbers w:val="0"/>
              <w:bidi w:val="0"/>
              <w:spacing w:before="0" w:beforeAutospacing="off" w:after="0" w:afterAutospacing="off" w:line="480" w:lineRule="auto"/>
              <w:ind w:left="0" w:right="0"/>
              <w:jc w:val="left"/>
              <w:rPr>
                <w:rFonts w:ascii="Arial" w:hAnsi="Arial" w:eastAsia="Arial" w:cs="Arial"/>
                <w:b w:val="0"/>
                <w:bCs w:val="0"/>
                <w:i w:val="0"/>
                <w:iCs w:val="0"/>
                <w:sz w:val="22"/>
                <w:szCs w:val="22"/>
              </w:rPr>
            </w:pPr>
            <w:r w:rsidRPr="4B0DF1EC" w:rsidR="403AE7C8">
              <w:rPr>
                <w:rFonts w:ascii="Arial" w:hAnsi="Arial" w:eastAsia="Arial" w:cs="Arial"/>
                <w:b w:val="0"/>
                <w:bCs w:val="0"/>
                <w:i w:val="0"/>
                <w:iCs w:val="0"/>
                <w:sz w:val="22"/>
                <w:szCs w:val="22"/>
                <w:lang w:val="en-GB"/>
              </w:rPr>
              <w:t xml:space="preserve">     </w:t>
            </w:r>
            <w:r w:rsidRPr="4B0DF1EC" w:rsidR="015C50E4">
              <w:rPr>
                <w:rFonts w:ascii="Arial" w:hAnsi="Arial" w:eastAsia="Arial" w:cs="Arial"/>
                <w:b w:val="0"/>
                <w:bCs w:val="0"/>
                <w:i w:val="0"/>
                <w:iCs w:val="0"/>
                <w:sz w:val="22"/>
                <w:szCs w:val="22"/>
                <w:lang w:val="en-GB"/>
              </w:rPr>
              <w:t>UK Data &amp; Statistical Evidence</w:t>
            </w:r>
            <w:r w:rsidRPr="4B0DF1EC" w:rsidR="746C083B">
              <w:rPr>
                <w:rFonts w:ascii="Arial" w:hAnsi="Arial" w:eastAsia="Arial" w:cs="Arial"/>
                <w:b w:val="0"/>
                <w:bCs w:val="0"/>
                <w:i w:val="0"/>
                <w:iCs w:val="0"/>
                <w:sz w:val="22"/>
                <w:szCs w:val="22"/>
                <w:lang w:val="en-GB"/>
              </w:rPr>
              <w:t xml:space="preserve">  </w:t>
            </w:r>
          </w:p>
          <w:p w:rsidR="2AD1E4E8" w:rsidP="4B0DF1EC" w:rsidRDefault="2AD1E4E8" w14:paraId="64C45349" w14:textId="72D9E627">
            <w:pPr>
              <w:spacing w:line="480" w:lineRule="auto"/>
            </w:pPr>
            <w:r w:rsidRPr="4B0DF1EC" w:rsidR="76089F7C">
              <w:rPr>
                <w:rFonts w:ascii="Arial" w:hAnsi="Arial" w:eastAsia="Arial" w:cs="Arial"/>
                <w:b w:val="0"/>
                <w:bCs w:val="0"/>
                <w:i w:val="0"/>
                <w:iCs w:val="0"/>
                <w:sz w:val="22"/>
                <w:szCs w:val="22"/>
                <w:lang w:val="en-GB"/>
              </w:rPr>
              <w:t xml:space="preserve">               Table 2: UK Data Sources and Their Relevance to OCD Analysis  </w:t>
            </w:r>
          </w:p>
        </w:tc>
        <w:tc>
          <w:tcPr>
            <w:tcW w:w="630" w:type="dxa"/>
            <w:tcBorders>
              <w:top w:val="nil"/>
              <w:left w:val="nil"/>
              <w:bottom w:val="nil"/>
              <w:right w:val="nil"/>
            </w:tcBorders>
            <w:tcMar>
              <w:left w:w="105" w:type="dxa"/>
              <w:right w:w="105" w:type="dxa"/>
            </w:tcMar>
            <w:vAlign w:val="top"/>
          </w:tcPr>
          <w:p w:rsidR="2AD1E4E8" w:rsidP="4B0DF1EC" w:rsidRDefault="2AD1E4E8" w14:paraId="73A47E56" w14:textId="7B0963A4">
            <w:pPr>
              <w:spacing w:line="480" w:lineRule="auto"/>
            </w:pPr>
            <w:r w:rsidRPr="4B0DF1EC" w:rsidR="025983B8">
              <w:rPr>
                <w:rFonts w:ascii="Arial" w:hAnsi="Arial" w:eastAsia="Arial" w:cs="Arial"/>
                <w:b w:val="0"/>
                <w:bCs w:val="0"/>
                <w:i w:val="0"/>
                <w:iCs w:val="0"/>
                <w:sz w:val="22"/>
                <w:szCs w:val="22"/>
              </w:rPr>
              <w:t>11</w:t>
            </w:r>
          </w:p>
          <w:p w:rsidR="2AD1E4E8" w:rsidP="4B0DF1EC" w:rsidRDefault="2AD1E4E8" w14:paraId="5E3F3216" w14:textId="0D43A5A0">
            <w:pPr>
              <w:spacing w:line="480" w:lineRule="auto"/>
            </w:pPr>
            <w:r w:rsidRPr="4B0DF1EC" w:rsidR="188DC973">
              <w:rPr>
                <w:rFonts w:ascii="Arial" w:hAnsi="Arial" w:eastAsia="Arial" w:cs="Arial"/>
                <w:b w:val="0"/>
                <w:bCs w:val="0"/>
                <w:i w:val="0"/>
                <w:iCs w:val="0"/>
                <w:sz w:val="22"/>
                <w:szCs w:val="22"/>
                <w:lang w:val="en-GB"/>
              </w:rPr>
              <w:t>1</w:t>
            </w:r>
            <w:r w:rsidRPr="4B0DF1EC" w:rsidR="504F877C">
              <w:rPr>
                <w:rFonts w:ascii="Arial" w:hAnsi="Arial" w:eastAsia="Arial" w:cs="Arial"/>
                <w:b w:val="0"/>
                <w:bCs w:val="0"/>
                <w:i w:val="0"/>
                <w:iCs w:val="0"/>
                <w:sz w:val="22"/>
                <w:szCs w:val="22"/>
                <w:lang w:val="en-GB"/>
              </w:rPr>
              <w:t>1</w:t>
            </w:r>
          </w:p>
        </w:tc>
      </w:tr>
      <w:tr w:rsidR="2AD1E4E8" w:rsidTr="4B0DF1EC" w14:paraId="096EB4F6">
        <w:trPr>
          <w:trHeight w:val="285"/>
        </w:trPr>
        <w:tc>
          <w:tcPr>
            <w:tcW w:w="8370" w:type="dxa"/>
            <w:tcBorders>
              <w:top w:val="nil"/>
              <w:left w:val="nil"/>
              <w:bottom w:val="nil"/>
              <w:right w:val="nil"/>
            </w:tcBorders>
            <w:tcMar>
              <w:left w:w="105" w:type="dxa"/>
              <w:right w:w="105" w:type="dxa"/>
            </w:tcMar>
            <w:vAlign w:val="top"/>
          </w:tcPr>
          <w:p w:rsidR="2AD1E4E8" w:rsidP="4B0DF1EC" w:rsidRDefault="2AD1E4E8" w14:paraId="0DF35384" w14:textId="5FC73AB0">
            <w:pPr>
              <w:spacing w:before="0" w:beforeAutospacing="off" w:after="0" w:afterAutospacing="off" w:line="480" w:lineRule="auto"/>
              <w:ind w:left="0" w:right="0"/>
              <w:jc w:val="left"/>
            </w:pPr>
            <w:r w:rsidRPr="4B0DF1EC" w:rsidR="21C553CA">
              <w:rPr>
                <w:rFonts w:ascii="Arial" w:hAnsi="Arial" w:eastAsia="Arial" w:cs="Arial"/>
                <w:b w:val="0"/>
                <w:bCs w:val="0"/>
                <w:i w:val="0"/>
                <w:iCs w:val="0"/>
                <w:sz w:val="22"/>
                <w:szCs w:val="22"/>
                <w:lang w:val="en-GB"/>
              </w:rPr>
              <w:t xml:space="preserve">Recommendations   </w:t>
            </w:r>
          </w:p>
        </w:tc>
        <w:tc>
          <w:tcPr>
            <w:tcW w:w="630" w:type="dxa"/>
            <w:tcBorders>
              <w:top w:val="nil"/>
              <w:left w:val="nil"/>
              <w:bottom w:val="nil"/>
              <w:right w:val="nil"/>
            </w:tcBorders>
            <w:tcMar>
              <w:left w:w="105" w:type="dxa"/>
              <w:right w:w="105" w:type="dxa"/>
            </w:tcMar>
            <w:vAlign w:val="top"/>
          </w:tcPr>
          <w:p w:rsidR="2AD1E4E8" w:rsidP="4B0DF1EC" w:rsidRDefault="2AD1E4E8" w14:paraId="00214310" w14:textId="3594E3C2">
            <w:pPr>
              <w:spacing w:line="480" w:lineRule="auto"/>
              <w:rPr>
                <w:rFonts w:ascii="Arial" w:hAnsi="Arial" w:eastAsia="Arial" w:cs="Arial"/>
                <w:b w:val="0"/>
                <w:bCs w:val="0"/>
                <w:i w:val="0"/>
                <w:iCs w:val="0"/>
                <w:sz w:val="22"/>
                <w:szCs w:val="22"/>
                <w:lang w:val="en-GB"/>
              </w:rPr>
            </w:pPr>
            <w:r w:rsidRPr="4B0DF1EC" w:rsidR="746C083B">
              <w:rPr>
                <w:rFonts w:ascii="Arial" w:hAnsi="Arial" w:eastAsia="Arial" w:cs="Arial"/>
                <w:b w:val="0"/>
                <w:bCs w:val="0"/>
                <w:i w:val="0"/>
                <w:iCs w:val="0"/>
                <w:sz w:val="22"/>
                <w:szCs w:val="22"/>
                <w:lang w:val="en-GB"/>
              </w:rPr>
              <w:t>1</w:t>
            </w:r>
            <w:r w:rsidRPr="4B0DF1EC" w:rsidR="74340593">
              <w:rPr>
                <w:rFonts w:ascii="Arial" w:hAnsi="Arial" w:eastAsia="Arial" w:cs="Arial"/>
                <w:b w:val="0"/>
                <w:bCs w:val="0"/>
                <w:i w:val="0"/>
                <w:iCs w:val="0"/>
                <w:sz w:val="22"/>
                <w:szCs w:val="22"/>
                <w:lang w:val="en-GB"/>
              </w:rPr>
              <w:t>2</w:t>
            </w:r>
          </w:p>
        </w:tc>
      </w:tr>
      <w:tr w:rsidR="2AD1E4E8" w:rsidTr="4B0DF1EC" w14:paraId="68F49360">
        <w:trPr>
          <w:trHeight w:val="285"/>
        </w:trPr>
        <w:tc>
          <w:tcPr>
            <w:tcW w:w="8370" w:type="dxa"/>
            <w:tcBorders>
              <w:top w:val="nil"/>
              <w:left w:val="nil"/>
              <w:bottom w:val="nil"/>
              <w:right w:val="nil"/>
            </w:tcBorders>
            <w:tcMar>
              <w:left w:w="105" w:type="dxa"/>
              <w:right w:w="105" w:type="dxa"/>
            </w:tcMar>
            <w:vAlign w:val="top"/>
          </w:tcPr>
          <w:p w:rsidR="2AD1E4E8" w:rsidP="4B0DF1EC" w:rsidRDefault="2AD1E4E8" w14:paraId="6245FD75" w14:textId="3214DFC6">
            <w:pPr>
              <w:pStyle w:val="Normal"/>
              <w:suppressLineNumbers w:val="0"/>
              <w:bidi w:val="0"/>
              <w:spacing w:before="0" w:beforeAutospacing="off" w:after="0" w:afterAutospacing="off" w:line="480" w:lineRule="auto"/>
              <w:ind w:left="0" w:right="0"/>
              <w:jc w:val="left"/>
            </w:pPr>
            <w:r w:rsidRPr="4B0DF1EC" w:rsidR="46062B46">
              <w:rPr>
                <w:rFonts w:ascii="Arial" w:hAnsi="Arial" w:eastAsia="Arial" w:cs="Arial"/>
                <w:b w:val="0"/>
                <w:bCs w:val="0"/>
                <w:i w:val="0"/>
                <w:iCs w:val="0"/>
                <w:sz w:val="22"/>
                <w:szCs w:val="22"/>
                <w:lang w:val="en-GB"/>
              </w:rPr>
              <w:t>Conclusion</w:t>
            </w:r>
          </w:p>
        </w:tc>
        <w:tc>
          <w:tcPr>
            <w:tcW w:w="630" w:type="dxa"/>
            <w:tcBorders>
              <w:top w:val="nil"/>
              <w:left w:val="nil"/>
              <w:bottom w:val="nil"/>
              <w:right w:val="nil"/>
            </w:tcBorders>
            <w:tcMar>
              <w:left w:w="105" w:type="dxa"/>
              <w:right w:w="105" w:type="dxa"/>
            </w:tcMar>
            <w:vAlign w:val="top"/>
          </w:tcPr>
          <w:p w:rsidR="2AD1E4E8" w:rsidP="4B0DF1EC" w:rsidRDefault="2AD1E4E8" w14:paraId="6B1021C2" w14:textId="273AF113">
            <w:pPr>
              <w:spacing w:line="480" w:lineRule="auto"/>
            </w:pPr>
            <w:r w:rsidRPr="4B0DF1EC" w:rsidR="26A7E00B">
              <w:rPr>
                <w:rFonts w:ascii="Arial" w:hAnsi="Arial" w:eastAsia="Arial" w:cs="Arial"/>
                <w:b w:val="0"/>
                <w:bCs w:val="0"/>
                <w:i w:val="0"/>
                <w:iCs w:val="0"/>
                <w:sz w:val="22"/>
                <w:szCs w:val="22"/>
              </w:rPr>
              <w:t>13</w:t>
            </w:r>
          </w:p>
        </w:tc>
      </w:tr>
      <w:tr w:rsidR="2AD1E4E8" w:rsidTr="4B0DF1EC" w14:paraId="56A8D829">
        <w:trPr>
          <w:trHeight w:val="285"/>
        </w:trPr>
        <w:tc>
          <w:tcPr>
            <w:tcW w:w="8370" w:type="dxa"/>
            <w:tcBorders>
              <w:top w:val="nil"/>
              <w:left w:val="nil"/>
              <w:bottom w:val="nil"/>
              <w:right w:val="nil"/>
            </w:tcBorders>
            <w:tcMar>
              <w:left w:w="105" w:type="dxa"/>
              <w:right w:w="105" w:type="dxa"/>
            </w:tcMar>
            <w:vAlign w:val="top"/>
          </w:tcPr>
          <w:p w:rsidR="2AD1E4E8" w:rsidP="4B0DF1EC" w:rsidRDefault="2AD1E4E8" w14:paraId="634FCAAD" w14:textId="36B7D0D5">
            <w:pPr>
              <w:pStyle w:val="Normal"/>
              <w:suppressLineNumbers w:val="0"/>
              <w:bidi w:val="0"/>
              <w:spacing w:before="0" w:beforeAutospacing="off" w:after="0" w:afterAutospacing="off" w:line="480" w:lineRule="auto"/>
              <w:ind w:left="0" w:right="0"/>
              <w:jc w:val="left"/>
            </w:pPr>
            <w:r w:rsidRPr="4B0DF1EC" w:rsidR="5A0C7E83">
              <w:rPr>
                <w:rFonts w:ascii="Arial" w:hAnsi="Arial" w:eastAsia="Arial" w:cs="Arial"/>
                <w:b w:val="0"/>
                <w:bCs w:val="0"/>
                <w:i w:val="0"/>
                <w:iCs w:val="0"/>
                <w:sz w:val="22"/>
                <w:szCs w:val="22"/>
                <w:lang w:val="en-GB"/>
              </w:rPr>
              <w:t>Reference List</w:t>
            </w:r>
          </w:p>
        </w:tc>
        <w:tc>
          <w:tcPr>
            <w:tcW w:w="630" w:type="dxa"/>
            <w:tcBorders>
              <w:top w:val="nil"/>
              <w:left w:val="nil"/>
              <w:bottom w:val="nil"/>
              <w:right w:val="nil"/>
            </w:tcBorders>
            <w:tcMar>
              <w:left w:w="105" w:type="dxa"/>
              <w:right w:w="105" w:type="dxa"/>
            </w:tcMar>
            <w:vAlign w:val="top"/>
          </w:tcPr>
          <w:p w:rsidR="2AD1E4E8" w:rsidP="4B0DF1EC" w:rsidRDefault="2AD1E4E8" w14:paraId="63DBD603" w14:textId="63B9AD42">
            <w:pPr>
              <w:spacing w:line="480" w:lineRule="auto"/>
              <w:rPr>
                <w:rFonts w:ascii="Arial" w:hAnsi="Arial" w:eastAsia="Arial" w:cs="Arial"/>
                <w:b w:val="0"/>
                <w:bCs w:val="0"/>
                <w:i w:val="0"/>
                <w:iCs w:val="0"/>
                <w:sz w:val="22"/>
                <w:szCs w:val="22"/>
              </w:rPr>
            </w:pPr>
            <w:r w:rsidRPr="4B0DF1EC" w:rsidR="746C083B">
              <w:rPr>
                <w:rFonts w:ascii="Arial" w:hAnsi="Arial" w:eastAsia="Arial" w:cs="Arial"/>
                <w:b w:val="0"/>
                <w:bCs w:val="0"/>
                <w:i w:val="0"/>
                <w:iCs w:val="0"/>
                <w:sz w:val="22"/>
                <w:szCs w:val="22"/>
                <w:lang w:val="en-GB"/>
              </w:rPr>
              <w:t>1</w:t>
            </w:r>
            <w:r w:rsidRPr="4B0DF1EC" w:rsidR="7BD0A2DC">
              <w:rPr>
                <w:rFonts w:ascii="Arial" w:hAnsi="Arial" w:eastAsia="Arial" w:cs="Arial"/>
                <w:b w:val="0"/>
                <w:bCs w:val="0"/>
                <w:i w:val="0"/>
                <w:iCs w:val="0"/>
                <w:sz w:val="22"/>
                <w:szCs w:val="22"/>
                <w:lang w:val="en-GB"/>
              </w:rPr>
              <w:t>4</w:t>
            </w:r>
          </w:p>
        </w:tc>
      </w:tr>
    </w:tbl>
    <w:p w:rsidR="2AD1E4E8" w:rsidP="2AD1E4E8" w:rsidRDefault="2AD1E4E8" w14:paraId="2896022D" w14:textId="5CF0FF68">
      <w:pPr>
        <w:pStyle w:val="Normal"/>
        <w:jc w:val="center"/>
        <w:rPr>
          <w:rFonts w:ascii="Arial" w:hAnsi="Arial" w:eastAsia="Arial" w:cs="Arial"/>
          <w:b w:val="1"/>
          <w:bCs w:val="1"/>
          <w:i w:val="0"/>
          <w:iCs w:val="0"/>
          <w:caps w:val="0"/>
          <w:smallCaps w:val="0"/>
          <w:noProof w:val="0"/>
          <w:color w:val="000000" w:themeColor="text1" w:themeTint="FF" w:themeShade="FF"/>
          <w:sz w:val="40"/>
          <w:szCs w:val="40"/>
          <w:lang w:val="en-GB"/>
        </w:rPr>
      </w:pPr>
    </w:p>
    <w:p w:rsidR="2AD1E4E8" w:rsidRDefault="2AD1E4E8" w14:paraId="049A4E44" w14:noSpellErr="1" w14:textId="645D00AE">
      <w:r>
        <w:br w:type="page"/>
      </w:r>
    </w:p>
    <w:p w:rsidR="31E56409" w:rsidP="4B0DF1EC" w:rsidRDefault="31E56409" w14:paraId="1F95A9EF" w14:textId="5A4F81BA">
      <w:pPr>
        <w:spacing w:line="480" w:lineRule="auto"/>
        <w:rPr>
          <w:rFonts w:ascii="Arial" w:hAnsi="Arial" w:eastAsia="Arial" w:cs="Arial"/>
          <w:b w:val="1"/>
          <w:bCs w:val="1"/>
          <w:i w:val="0"/>
          <w:iCs w:val="0"/>
          <w:sz w:val="28"/>
          <w:szCs w:val="28"/>
        </w:rPr>
      </w:pPr>
      <w:r w:rsidRPr="4B0DF1EC" w:rsidR="31E56409">
        <w:rPr>
          <w:rFonts w:ascii="Arial" w:hAnsi="Arial" w:eastAsia="Arial" w:cs="Arial"/>
          <w:b w:val="1"/>
          <w:bCs w:val="1"/>
          <w:i w:val="0"/>
          <w:iCs w:val="0"/>
          <w:sz w:val="28"/>
          <w:szCs w:val="28"/>
          <w:lang w:val="en-GB"/>
        </w:rPr>
        <w:t xml:space="preserve">Introduction  </w:t>
      </w:r>
    </w:p>
    <w:p w:rsidR="09E44708" w:rsidP="4B0DF1EC" w:rsidRDefault="09E44708" w14:paraId="35DE12E4" w14:textId="59F89272">
      <w:pPr>
        <w:pStyle w:val="Normal"/>
        <w:spacing w:line="360" w:lineRule="auto"/>
        <w:jc w:val="both"/>
      </w:pPr>
      <w:r w:rsidRPr="4B0DF1EC" w:rsidR="09E4470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Obsessive-Compulsive Disorder (OCD) represents a complex, chronic condition defined in the ICD-11 (6B20) by persistent, intrusive thoughts and repetitive behaviours (WHO, 2024). Beyond this definition, OCD causes significant functional impairment, compromising personal, social, and occupational stability (WHO, 2024). I have chosen to focus on this disorder because, having lived with OCD myself, I intimately understand the profound daily struggle it imposes. This personal insight drives my commitment to exploring how we can better bridge the gap between clinical theory and the reality of living with the condition.</w:t>
      </w:r>
    </w:p>
    <w:p w:rsidR="09E44708" w:rsidP="4B0DF1EC" w:rsidRDefault="09E44708" w14:paraId="09DEF328" w14:textId="2E2F575A">
      <w:pPr>
        <w:pStyle w:val="Normal"/>
        <w:spacing w:line="360" w:lineRule="auto"/>
        <w:jc w:val="both"/>
      </w:pPr>
      <w:r w:rsidRPr="4B0DF1EC" w:rsidR="09E4470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Within the United Kingdom, OCD is classified as one of the six primary common mental health disorders, with prevalence typically ranging between 1% and 3% (NICE, 2024). While statistical variances persist, the condition is globally recognised as a major contributor to morbidity (WHO, 2024). This prevalence is complicated by contemporary socio-economic pressures, including the cost-of-living crisis, which demand more robust management strategies (Hope Therapy &amp; Counselling Services, 2023). Despite established guidelines, treatment trajectories are often obstructed by systemic barriers, including clinician skill gaps and significant delays in recognition (Bey et al., 2025; NICE, 2024). This highlights the vital need for accessible, evidence-based interventions to reduce the current multi-year treatment gap (Mental Health Foundation, 2026).</w:t>
      </w:r>
    </w:p>
    <w:p w:rsidR="09E44708" w:rsidP="4B0DF1EC" w:rsidRDefault="09E44708" w14:paraId="08F8E070" w14:textId="16801386">
      <w:pPr>
        <w:pStyle w:val="Normal"/>
        <w:spacing w:line="360" w:lineRule="auto"/>
        <w:jc w:val="both"/>
      </w:pPr>
      <w:r w:rsidRPr="4B0DF1EC" w:rsidR="09E4470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This report critically examines OCD, synthesising its classification, diagnostic complexities, and treatment paradigms. By exploring rehabilitation strategies and emerging discourse on neurodivergence, this evaluation offers evidence-based recommendations for optimising service delivery within the NHS framework.</w:t>
      </w:r>
    </w:p>
    <w:p w:rsidR="2AD1E4E8" w:rsidRDefault="2AD1E4E8" w14:paraId="0A91ED21" w14:textId="1AD5FB4B">
      <w:r>
        <w:br w:type="page"/>
      </w:r>
    </w:p>
    <w:p w:rsidR="51C46FDA" w:rsidP="2AD1E4E8" w:rsidRDefault="51C46FDA" w14:paraId="6BAE1EB2" w14:textId="67DFCC1F">
      <w:pPr>
        <w:pStyle w:val="Normal"/>
        <w:spacing w:line="360" w:lineRule="auto"/>
        <w:jc w:val="both"/>
      </w:pPr>
      <w:r w:rsidRPr="4B0DF1EC" w:rsidR="0E00A805">
        <w:rPr>
          <w:rFonts w:ascii="Arial" w:hAnsi="Arial" w:eastAsia="Arial" w:cs="Arial"/>
          <w:b w:val="1"/>
          <w:bCs w:val="1"/>
          <w:i w:val="0"/>
          <w:iCs w:val="0"/>
          <w:caps w:val="0"/>
          <w:smallCaps w:val="0"/>
          <w:noProof w:val="0"/>
          <w:color w:val="000000" w:themeColor="text1" w:themeTint="FF" w:themeShade="FF"/>
          <w:sz w:val="28"/>
          <w:szCs w:val="28"/>
          <w:lang w:val="en-GB"/>
        </w:rPr>
        <w:t>Classification and Diagnosis</w:t>
      </w:r>
      <w:r w:rsidRPr="4B0DF1EC" w:rsidR="67738641">
        <w:rPr>
          <w:rFonts w:ascii="Arial" w:hAnsi="Arial" w:eastAsia="Arial" w:cs="Arial"/>
          <w:b w:val="1"/>
          <w:bCs w:val="1"/>
          <w:i w:val="0"/>
          <w:iCs w:val="0"/>
          <w:caps w:val="0"/>
          <w:smallCaps w:val="0"/>
          <w:noProof w:val="0"/>
          <w:color w:val="000000" w:themeColor="text1" w:themeTint="FF" w:themeShade="FF"/>
          <w:sz w:val="28"/>
          <w:szCs w:val="28"/>
          <w:lang w:val="en-GB"/>
        </w:rPr>
        <w:t xml:space="preserve"> </w:t>
      </w:r>
    </w:p>
    <w:p w:rsidR="7CE4D01C" w:rsidP="4B0DF1EC" w:rsidRDefault="7CE4D01C" w14:paraId="483A44B2" w14:textId="7D4DC7CB">
      <w:pPr>
        <w:pStyle w:val="Normal"/>
        <w:spacing w:line="360" w:lineRule="auto"/>
        <w:jc w:val="both"/>
      </w:pPr>
      <w:r w:rsidRPr="4B0DF1EC" w:rsidR="7CE4D01C">
        <w:rPr>
          <w:rFonts w:ascii="Arial" w:hAnsi="Arial" w:eastAsia="Arial" w:cs="Arial"/>
          <w:b w:val="0"/>
          <w:bCs w:val="0"/>
          <w:i w:val="0"/>
          <w:iCs w:val="0"/>
          <w:caps w:val="0"/>
          <w:smallCaps w:val="0"/>
          <w:noProof w:val="0"/>
          <w:color w:val="000000" w:themeColor="text1" w:themeTint="FF" w:themeShade="FF"/>
          <w:sz w:val="22"/>
          <w:szCs w:val="22"/>
          <w:lang w:val="en-GB"/>
        </w:rPr>
        <w:t>The classification of Obsessive-Compulsive Disorder (OCD) has undergone significant nosological evolution. Within ICD-11, OCD is formally classified under section 6B20, defined by persistent, time-consuming obsessions and compulsions resulting in significant functional impairment (WHO, 2024). In UK practice, this is operationalized through NICE guidelines, mandating a comprehensive assessment by a trained professional (OCD-UK, 2024a). The term 'disorder' denotes clinical impairment necessitating intervention; however, some advocates argue 'condition' carries less stigma, highlighting the ongoing tension between clinical taxonomy and patient-centered language.</w:t>
      </w:r>
    </w:p>
    <w:p w:rsidR="7CE4D01C" w:rsidP="4B0DF1EC" w:rsidRDefault="7CE4D01C" w14:paraId="712EB220" w14:textId="4008CDF2">
      <w:pPr>
        <w:pStyle w:val="Normal"/>
        <w:spacing w:line="360" w:lineRule="auto"/>
        <w:jc w:val="both"/>
      </w:pPr>
      <w:r w:rsidRPr="4B0DF1EC" w:rsidR="7CE4D01C">
        <w:rPr>
          <w:rFonts w:ascii="Arial" w:hAnsi="Arial" w:eastAsia="Arial" w:cs="Arial"/>
          <w:b w:val="0"/>
          <w:bCs w:val="0"/>
          <w:i w:val="0"/>
          <w:iCs w:val="0"/>
          <w:caps w:val="0"/>
          <w:smallCaps w:val="0"/>
          <w:noProof w:val="0"/>
          <w:color w:val="000000" w:themeColor="text1" w:themeTint="FF" w:themeShade="FF"/>
          <w:sz w:val="22"/>
          <w:szCs w:val="22"/>
          <w:lang w:val="en-GB"/>
        </w:rPr>
        <w:t>A critical distinction exists between international diagnostic frameworks. While ICD-11 and DSM-5 maintain nearly identical core diagnostic criteria (NICE, 2024), DSM-5 controversially realigned OCD from 'Anxiety Disorders' into a new 'Obsessive-Compulsive and Related Disorders' (OCRDs) group. This aligns with the transition from ICD-10—where OCD was grouped under anxiety disorders—to the ICD-11's dedicated OCRD section, reflecting a shift in clinical understanding (Marras, Fineberg and Pallanti, 2016). From a clinical perspective, this reclassification represents a necessary shift toward recognizing that compulsivity, rather than anxiety, is the fundamental feature of the pathology, supported by evidence of common neurobiological circuits (Marras, Fineberg and Pallanti, 2016). However, this academic progression has inadvertently created challenges; by grouping OCD with body-focused repetitive behaviours, the reclassification may lead patients to erroneously equate distinct conditions, potentially oversimplifying OCD’s complexity and complicating public comprehension of specialized treatment pathways (Marras, Fineberg and Pallanti, 2016).</w:t>
      </w:r>
    </w:p>
    <w:p w:rsidR="7CE4D01C" w:rsidP="4B0DF1EC" w:rsidRDefault="7CE4D01C" w14:paraId="10863B1C" w14:textId="7F9E0F96">
      <w:pPr>
        <w:pStyle w:val="Normal"/>
        <w:spacing w:line="360" w:lineRule="auto"/>
        <w:jc w:val="both"/>
      </w:pPr>
      <w:r w:rsidRPr="4B0DF1EC" w:rsidR="7CE4D01C">
        <w:rPr>
          <w:rFonts w:ascii="Arial" w:hAnsi="Arial" w:eastAsia="Arial" w:cs="Arial"/>
          <w:b w:val="0"/>
          <w:bCs w:val="0"/>
          <w:i w:val="0"/>
          <w:iCs w:val="0"/>
          <w:caps w:val="0"/>
          <w:smallCaps w:val="0"/>
          <w:noProof w:val="0"/>
          <w:color w:val="000000" w:themeColor="text1" w:themeTint="FF" w:themeShade="FF"/>
          <w:sz w:val="22"/>
          <w:szCs w:val="22"/>
          <w:lang w:val="en-GB"/>
        </w:rPr>
        <w:t>Furthermore, a distinct disconnect exists between theoretical diagnostic criteria and clinical assessment reality. While NICE guidelines suggest effective assessment should include standardized screening for cleaning, checking, and intrusive thoughts, these are merely guidance points rather than a guarantee of nuanced diagnosis (OCD-UK, 2024b). Critically, OCD-UK (2024b) notes health professionals may struggle to differentiate between OCD and intent or risk, often failing to conduct an assessment that captures the depth of a patient's distressing experience. This indicates that even with 'robust' diagnostic guidelines, the quality of diagnosis remains highly variable and dependent on the specific expertise of the clinician (OCD-UK, 2024a; 2024b).</w:t>
      </w:r>
    </w:p>
    <w:p w:rsidR="7CE4D01C" w:rsidP="4B0DF1EC" w:rsidRDefault="7CE4D01C" w14:paraId="181B6B4A" w14:textId="1EFBF145">
      <w:pPr>
        <w:pStyle w:val="Normal"/>
        <w:spacing w:line="360" w:lineRule="auto"/>
        <w:jc w:val="both"/>
      </w:pPr>
      <w:r w:rsidRPr="4B0DF1EC" w:rsidR="7CE4D01C">
        <w:rPr>
          <w:rFonts w:ascii="Arial" w:hAnsi="Arial" w:eastAsia="Arial" w:cs="Arial"/>
          <w:b w:val="0"/>
          <w:bCs w:val="0"/>
          <w:i w:val="0"/>
          <w:iCs w:val="0"/>
          <w:caps w:val="0"/>
          <w:smallCaps w:val="0"/>
          <w:noProof w:val="0"/>
          <w:color w:val="000000" w:themeColor="text1" w:themeTint="FF" w:themeShade="FF"/>
          <w:sz w:val="22"/>
          <w:szCs w:val="22"/>
          <w:lang w:val="en-GB"/>
        </w:rPr>
        <w:t xml:space="preserve">This variability is compounded by reliance on standardized tools, which often overlook non-textbook presentations. For instance, the traditional emphasis on 'insight' is increasingly challenged; many patients lose this under high anxiety, potentially leading to misclassification (OCD-UK, 2024b). Consequently, reliance on standardized or ill-equipped GP assessments often delays evidence-based interventions (OCD-UK, 2024a; 2024b). This highlights a critical gap: while the medical community has refined OCD taxonomy, operational pathways </w:t>
      </w:r>
      <w:r w:rsidRPr="4B0DF1EC" w:rsidR="7CE4D01C">
        <w:rPr>
          <w:rFonts w:ascii="Arial" w:hAnsi="Arial" w:eastAsia="Arial" w:cs="Arial"/>
          <w:b w:val="0"/>
          <w:bCs w:val="0"/>
          <w:i w:val="0"/>
          <w:iCs w:val="0"/>
          <w:caps w:val="0"/>
          <w:smallCaps w:val="0"/>
          <w:noProof w:val="0"/>
          <w:color w:val="000000" w:themeColor="text1" w:themeTint="FF" w:themeShade="FF"/>
          <w:sz w:val="22"/>
          <w:szCs w:val="22"/>
          <w:lang w:val="en-GB"/>
        </w:rPr>
        <w:t>remain</w:t>
      </w:r>
      <w:r w:rsidRPr="4B0DF1EC" w:rsidR="7CE4D01C">
        <w:rPr>
          <w:rFonts w:ascii="Arial" w:hAnsi="Arial" w:eastAsia="Arial" w:cs="Arial"/>
          <w:b w:val="0"/>
          <w:bCs w:val="0"/>
          <w:i w:val="0"/>
          <w:iCs w:val="0"/>
          <w:caps w:val="0"/>
          <w:smallCaps w:val="0"/>
          <w:noProof w:val="0"/>
          <w:color w:val="000000" w:themeColor="text1" w:themeTint="FF" w:themeShade="FF"/>
          <w:sz w:val="22"/>
          <w:szCs w:val="22"/>
          <w:lang w:val="en-GB"/>
        </w:rPr>
        <w:t xml:space="preserve"> prone to bureaucratic error, leaving vulnerable individuals to navigate a system that often prioritizes standardized throughput over individualized, clinically nuanced diagnosis (OCD-UK, 2024a). In my professional perspective, this operational gap is particularly </w:t>
      </w:r>
      <w:r w:rsidRPr="4B0DF1EC" w:rsidR="7CE4D01C">
        <w:rPr>
          <w:rFonts w:ascii="Arial" w:hAnsi="Arial" w:eastAsia="Arial" w:cs="Arial"/>
          <w:b w:val="0"/>
          <w:bCs w:val="0"/>
          <w:i w:val="0"/>
          <w:iCs w:val="0"/>
          <w:caps w:val="0"/>
          <w:smallCaps w:val="0"/>
          <w:noProof w:val="0"/>
          <w:color w:val="000000" w:themeColor="text1" w:themeTint="FF" w:themeShade="FF"/>
          <w:sz w:val="22"/>
          <w:szCs w:val="22"/>
          <w:lang w:val="en-GB"/>
        </w:rPr>
        <w:t>evident</w:t>
      </w:r>
      <w:r w:rsidRPr="4B0DF1EC" w:rsidR="7CE4D01C">
        <w:rPr>
          <w:rFonts w:ascii="Arial" w:hAnsi="Arial" w:eastAsia="Arial" w:cs="Arial"/>
          <w:b w:val="0"/>
          <w:bCs w:val="0"/>
          <w:i w:val="0"/>
          <w:iCs w:val="0"/>
          <w:caps w:val="0"/>
          <w:smallCaps w:val="0"/>
          <w:noProof w:val="0"/>
          <w:color w:val="000000" w:themeColor="text1" w:themeTint="FF" w:themeShade="FF"/>
          <w:sz w:val="22"/>
          <w:szCs w:val="22"/>
          <w:lang w:val="en-GB"/>
        </w:rPr>
        <w:t xml:space="preserve">, as the system </w:t>
      </w:r>
      <w:r w:rsidRPr="4B0DF1EC" w:rsidR="7CE4D01C">
        <w:rPr>
          <w:rFonts w:ascii="Arial" w:hAnsi="Arial" w:eastAsia="Arial" w:cs="Arial"/>
          <w:b w:val="0"/>
          <w:bCs w:val="0"/>
          <w:i w:val="0"/>
          <w:iCs w:val="0"/>
          <w:caps w:val="0"/>
          <w:smallCaps w:val="0"/>
          <w:noProof w:val="0"/>
          <w:color w:val="000000" w:themeColor="text1" w:themeTint="FF" w:themeShade="FF"/>
          <w:sz w:val="22"/>
          <w:szCs w:val="22"/>
          <w:lang w:val="en-GB"/>
        </w:rPr>
        <w:t>frequently</w:t>
      </w:r>
      <w:r w:rsidRPr="4B0DF1EC" w:rsidR="7CE4D01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B0DF1EC" w:rsidR="7CE4D01C">
        <w:rPr>
          <w:rFonts w:ascii="Arial" w:hAnsi="Arial" w:eastAsia="Arial" w:cs="Arial"/>
          <w:b w:val="0"/>
          <w:bCs w:val="0"/>
          <w:i w:val="0"/>
          <w:iCs w:val="0"/>
          <w:caps w:val="0"/>
          <w:smallCaps w:val="0"/>
          <w:noProof w:val="0"/>
          <w:color w:val="000000" w:themeColor="text1" w:themeTint="FF" w:themeShade="FF"/>
          <w:sz w:val="22"/>
          <w:szCs w:val="22"/>
          <w:lang w:val="en-GB"/>
        </w:rPr>
        <w:t>fails to</w:t>
      </w:r>
      <w:r w:rsidRPr="4B0DF1EC" w:rsidR="7CE4D01C">
        <w:rPr>
          <w:rFonts w:ascii="Arial" w:hAnsi="Arial" w:eastAsia="Arial" w:cs="Arial"/>
          <w:b w:val="0"/>
          <w:bCs w:val="0"/>
          <w:i w:val="0"/>
          <w:iCs w:val="0"/>
          <w:caps w:val="0"/>
          <w:smallCaps w:val="0"/>
          <w:noProof w:val="0"/>
          <w:color w:val="000000" w:themeColor="text1" w:themeTint="FF" w:themeShade="FF"/>
          <w:sz w:val="22"/>
          <w:szCs w:val="22"/>
          <w:lang w:val="en-GB"/>
        </w:rPr>
        <w:t xml:space="preserve"> reconcile rigid policy with the complex, lived realities of those</w:t>
      </w:r>
      <w:r w:rsidRPr="4B0DF1EC" w:rsidR="4DA55106">
        <w:rPr>
          <w:rFonts w:ascii="Arial" w:hAnsi="Arial" w:eastAsia="Arial" w:cs="Arial"/>
          <w:b w:val="0"/>
          <w:bCs w:val="0"/>
          <w:i w:val="0"/>
          <w:iCs w:val="0"/>
          <w:caps w:val="0"/>
          <w:smallCaps w:val="0"/>
          <w:noProof w:val="0"/>
          <w:color w:val="000000" w:themeColor="text1" w:themeTint="FF" w:themeShade="FF"/>
          <w:sz w:val="22"/>
          <w:szCs w:val="22"/>
          <w:lang w:val="en-GB"/>
        </w:rPr>
        <w:t>, who</w:t>
      </w:r>
      <w:r w:rsidRPr="4B0DF1EC" w:rsidR="7CE4D01C">
        <w:rPr>
          <w:rFonts w:ascii="Arial" w:hAnsi="Arial" w:eastAsia="Arial" w:cs="Arial"/>
          <w:b w:val="0"/>
          <w:bCs w:val="0"/>
          <w:i w:val="0"/>
          <w:iCs w:val="0"/>
          <w:caps w:val="0"/>
          <w:smallCaps w:val="0"/>
          <w:noProof w:val="0"/>
          <w:color w:val="000000" w:themeColor="text1" w:themeTint="FF" w:themeShade="FF"/>
          <w:sz w:val="22"/>
          <w:szCs w:val="22"/>
          <w:lang w:val="en-GB"/>
        </w:rPr>
        <w:t xml:space="preserve"> seeking support</w:t>
      </w:r>
      <w:r w:rsidRPr="4B0DF1EC" w:rsidR="4F36D5BA">
        <w:rPr>
          <w:rFonts w:ascii="Arial" w:hAnsi="Arial" w:eastAsia="Arial" w:cs="Arial"/>
          <w:b w:val="0"/>
          <w:bCs w:val="0"/>
          <w:i w:val="0"/>
          <w:iCs w:val="0"/>
          <w:caps w:val="0"/>
          <w:smallCaps w:val="0"/>
          <w:noProof w:val="0"/>
          <w:color w:val="000000" w:themeColor="text1" w:themeTint="FF" w:themeShade="FF"/>
          <w:sz w:val="22"/>
          <w:szCs w:val="22"/>
          <w:lang w:val="en-GB"/>
        </w:rPr>
        <w:t>.</w:t>
      </w:r>
    </w:p>
    <w:p w:rsidR="2AD1E4E8" w:rsidRDefault="2AD1E4E8" w14:paraId="4BABAE44" w14:textId="03619405">
      <w:r>
        <w:br w:type="page"/>
      </w:r>
    </w:p>
    <w:p w:rsidR="5157C88F" w:rsidP="2AD1E4E8" w:rsidRDefault="5157C88F" w14:paraId="0062B712" w14:textId="69798CBF">
      <w:pPr>
        <w:pStyle w:val="Normal"/>
        <w:spacing w:line="360" w:lineRule="auto"/>
        <w:jc w:val="both"/>
      </w:pPr>
      <w:r w:rsidRPr="4B0DF1EC" w:rsidR="3274F904">
        <w:rPr>
          <w:rFonts w:ascii="Arial" w:hAnsi="Arial" w:eastAsia="Arial" w:cs="Arial"/>
          <w:b w:val="1"/>
          <w:bCs w:val="1"/>
          <w:i w:val="0"/>
          <w:iCs w:val="0"/>
          <w:caps w:val="0"/>
          <w:smallCaps w:val="0"/>
          <w:noProof w:val="0"/>
          <w:color w:val="000000" w:themeColor="text1" w:themeTint="FF" w:themeShade="FF"/>
          <w:sz w:val="28"/>
          <w:szCs w:val="28"/>
          <w:lang w:val="en-GB"/>
        </w:rPr>
        <w:t>Treatment Approaches</w:t>
      </w:r>
      <w:r w:rsidRPr="4B0DF1EC" w:rsidR="672C6433">
        <w:rPr>
          <w:rFonts w:ascii="Arial" w:hAnsi="Arial" w:eastAsia="Arial" w:cs="Arial"/>
          <w:b w:val="1"/>
          <w:bCs w:val="1"/>
          <w:i w:val="0"/>
          <w:iCs w:val="0"/>
          <w:caps w:val="0"/>
          <w:smallCaps w:val="0"/>
          <w:noProof w:val="0"/>
          <w:color w:val="000000" w:themeColor="text1" w:themeTint="FF" w:themeShade="FF"/>
          <w:sz w:val="28"/>
          <w:szCs w:val="28"/>
          <w:lang w:val="en-GB"/>
        </w:rPr>
        <w:t xml:space="preserve"> </w:t>
      </w:r>
    </w:p>
    <w:p w:rsidR="16EE9CC6" w:rsidP="4B0DF1EC" w:rsidRDefault="16EE9CC6" w14:paraId="082814BB" w14:textId="16B19559">
      <w:pPr>
        <w:pStyle w:val="Normal"/>
        <w:spacing w:line="360" w:lineRule="auto"/>
        <w:jc w:val="both"/>
      </w:pPr>
      <w:r w:rsidRPr="4B0DF1EC" w:rsidR="16EE9CC6">
        <w:rPr>
          <w:rFonts w:ascii="Arial" w:hAnsi="Arial" w:eastAsia="Arial" w:cs="Arial"/>
          <w:b w:val="0"/>
          <w:bCs w:val="0"/>
          <w:i w:val="0"/>
          <w:iCs w:val="0"/>
          <w:caps w:val="0"/>
          <w:smallCaps w:val="0"/>
          <w:noProof w:val="0"/>
          <w:color w:val="000000" w:themeColor="text1" w:themeTint="FF" w:themeShade="FF"/>
          <w:sz w:val="22"/>
          <w:szCs w:val="22"/>
          <w:lang w:val="en-GB"/>
        </w:rPr>
        <w:t>Standard treatment for OCD in the UK is guided by NICE, which mandates a 'stepped care' model prioritizing evidence-based psychological and pharmacological interventions (NICE, 2005; 2024). For mild impairment, NICE recommends low-intensity psychological support, while moderate to severe cases require high-intensity Cognitive Behavioural Therapy (CBT), specifically Exposure and Response Prevention (ERP), and Selective Serotonin Reuptake Inhibitors (SSRIs) (NICE, 2005; 2024). While combined CBT and pharmacotherapy is the clinical gold standard, its implementation within the NHS is primarily managed through the Improving Access to Psychological Therapies (IAPT) programme, which represents the primary gateway for patients navigating complex NHS pathways (OCD-UK, 2024a).</w:t>
      </w:r>
    </w:p>
    <w:p w:rsidR="16EE9CC6" w:rsidP="4B0DF1EC" w:rsidRDefault="16EE9CC6" w14:paraId="38F8DAA7" w14:textId="3F4F139A">
      <w:pPr>
        <w:pStyle w:val="Normal"/>
        <w:spacing w:line="360" w:lineRule="auto"/>
        <w:jc w:val="both"/>
      </w:pPr>
      <w:r w:rsidRPr="4B0DF1EC" w:rsidR="16EE9CC6">
        <w:rPr>
          <w:rFonts w:ascii="Arial" w:hAnsi="Arial" w:eastAsia="Arial" w:cs="Arial"/>
          <w:b w:val="0"/>
          <w:bCs w:val="0"/>
          <w:i w:val="0"/>
          <w:iCs w:val="0"/>
          <w:caps w:val="0"/>
          <w:smallCaps w:val="0"/>
          <w:noProof w:val="0"/>
          <w:color w:val="000000" w:themeColor="text1" w:themeTint="FF" w:themeShade="FF"/>
          <w:sz w:val="22"/>
          <w:szCs w:val="22"/>
          <w:lang w:val="en-GB"/>
        </w:rPr>
        <w:t>Pharmacological treatment via SSRIs is a cornerstone of management, yet it presents significant limitations. Unlike major depression, SSRIs for OCD often require significantly higher doses and longer trial periods</w:t>
      </w:r>
      <w:r w:rsidRPr="4B0DF1EC" w:rsidR="051BC3F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B0DF1EC" w:rsidR="16EE9CC6">
        <w:rPr>
          <w:rFonts w:ascii="Arial" w:hAnsi="Arial" w:eastAsia="Arial" w:cs="Arial"/>
          <w:b w:val="0"/>
          <w:bCs w:val="0"/>
          <w:i w:val="0"/>
          <w:iCs w:val="0"/>
          <w:caps w:val="0"/>
          <w:smallCaps w:val="0"/>
          <w:noProof w:val="0"/>
          <w:color w:val="000000" w:themeColor="text1" w:themeTint="FF" w:themeShade="FF"/>
          <w:sz w:val="22"/>
          <w:szCs w:val="22"/>
          <w:lang w:val="en-GB"/>
        </w:rPr>
        <w:t>typically 8–12 weeks</w:t>
      </w:r>
      <w:r w:rsidRPr="4B0DF1EC" w:rsidR="7268699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B0DF1EC" w:rsidR="16EE9CC6">
        <w:rPr>
          <w:rFonts w:ascii="Arial" w:hAnsi="Arial" w:eastAsia="Arial" w:cs="Arial"/>
          <w:b w:val="0"/>
          <w:bCs w:val="0"/>
          <w:i w:val="0"/>
          <w:iCs w:val="0"/>
          <w:caps w:val="0"/>
          <w:smallCaps w:val="0"/>
          <w:noProof w:val="0"/>
          <w:color w:val="000000" w:themeColor="text1" w:themeTint="FF" w:themeShade="FF"/>
          <w:sz w:val="22"/>
          <w:szCs w:val="22"/>
          <w:lang w:val="en-GB"/>
        </w:rPr>
        <w:t xml:space="preserve">to achieve benefit (Pittenger, 2023). Because SSRIs are not a panacea, treatment-refractory cases often require augmentation with antipsychotics or clomipramine, strategies demanding careful clinical monitoring due to their complex safety profiles (Del Casale </w:t>
      </w:r>
      <w:r w:rsidRPr="4B0DF1EC" w:rsidR="16EE9CC6">
        <w:rPr>
          <w:rFonts w:ascii="Arial" w:hAnsi="Arial" w:eastAsia="Arial" w:cs="Arial"/>
          <w:b w:val="0"/>
          <w:bCs w:val="0"/>
          <w:i w:val="1"/>
          <w:iCs w:val="1"/>
          <w:caps w:val="0"/>
          <w:smallCaps w:val="0"/>
          <w:noProof w:val="0"/>
          <w:color w:val="000000" w:themeColor="text1" w:themeTint="FF" w:themeShade="FF"/>
          <w:sz w:val="22"/>
          <w:szCs w:val="22"/>
          <w:lang w:val="en-GB"/>
        </w:rPr>
        <w:t>et al</w:t>
      </w:r>
      <w:r w:rsidRPr="4B0DF1EC" w:rsidR="16EE9CC6">
        <w:rPr>
          <w:rFonts w:ascii="Arial" w:hAnsi="Arial" w:eastAsia="Arial" w:cs="Arial"/>
          <w:b w:val="0"/>
          <w:bCs w:val="0"/>
          <w:i w:val="0"/>
          <w:iCs w:val="0"/>
          <w:caps w:val="0"/>
          <w:smallCaps w:val="0"/>
          <w:noProof w:val="0"/>
          <w:color w:val="000000" w:themeColor="text1" w:themeTint="FF" w:themeShade="FF"/>
          <w:sz w:val="22"/>
          <w:szCs w:val="22"/>
          <w:lang w:val="en-GB"/>
        </w:rPr>
        <w:t>., 2019). Critically, medication often merely masks symptoms if not supported by ERP, yet recent evidence indicates licensed professionals frequently fail to recommend ERP as the primary choice, often due to a lack of experience with evidence-based practice, leaving patients stuck in a cycle of suboptimal care (Weinberg</w:t>
      </w:r>
      <w:r w:rsidRPr="4B0DF1EC" w:rsidR="16EE9CC6">
        <w:rPr>
          <w:rFonts w:ascii="Arial" w:hAnsi="Arial" w:eastAsia="Arial" w:cs="Arial"/>
          <w:b w:val="0"/>
          <w:bCs w:val="0"/>
          <w:i w:val="1"/>
          <w:iCs w:val="1"/>
          <w:caps w:val="0"/>
          <w:smallCaps w:val="0"/>
          <w:noProof w:val="0"/>
          <w:color w:val="000000" w:themeColor="text1" w:themeTint="FF" w:themeShade="FF"/>
          <w:sz w:val="22"/>
          <w:szCs w:val="22"/>
          <w:lang w:val="en-GB"/>
        </w:rPr>
        <w:t xml:space="preserve"> et al</w:t>
      </w:r>
      <w:r w:rsidRPr="4B0DF1EC" w:rsidR="16EE9CC6">
        <w:rPr>
          <w:rFonts w:ascii="Arial" w:hAnsi="Arial" w:eastAsia="Arial" w:cs="Arial"/>
          <w:b w:val="0"/>
          <w:bCs w:val="0"/>
          <w:i w:val="0"/>
          <w:iCs w:val="0"/>
          <w:caps w:val="0"/>
          <w:smallCaps w:val="0"/>
          <w:noProof w:val="0"/>
          <w:color w:val="000000" w:themeColor="text1" w:themeTint="FF" w:themeShade="FF"/>
          <w:sz w:val="22"/>
          <w:szCs w:val="22"/>
          <w:lang w:val="en-GB"/>
        </w:rPr>
        <w:t>., 2025).</w:t>
      </w:r>
    </w:p>
    <w:p w:rsidR="16EE9CC6" w:rsidP="4B0DF1EC" w:rsidRDefault="16EE9CC6" w14:paraId="121612AD" w14:textId="1D973C84">
      <w:pPr>
        <w:pStyle w:val="Normal"/>
        <w:spacing w:line="360" w:lineRule="auto"/>
        <w:jc w:val="both"/>
      </w:pPr>
      <w:r w:rsidRPr="4B0DF1EC" w:rsidR="16EE9CC6">
        <w:rPr>
          <w:rFonts w:ascii="Arial" w:hAnsi="Arial" w:eastAsia="Arial" w:cs="Arial"/>
          <w:b w:val="0"/>
          <w:bCs w:val="0"/>
          <w:i w:val="0"/>
          <w:iCs w:val="0"/>
          <w:caps w:val="0"/>
          <w:smallCaps w:val="0"/>
          <w:noProof w:val="0"/>
          <w:color w:val="000000" w:themeColor="text1" w:themeTint="FF" w:themeShade="FF"/>
          <w:sz w:val="22"/>
          <w:szCs w:val="22"/>
          <w:lang w:val="en-GB"/>
        </w:rPr>
        <w:t>Accessibility within the NHS highlights a systemic disconnect. While the 2026 NHS Digital dataset demonstrates a shift toward data-driven governance to measure service throughput, this administrative focus frequently masks qualitative failures (NHS Digital, 2026). In my view, these metrics prioritize system-level efficiency over individual recovery; they show how many people are processed, but remain silent on quality of life. The IAPT programme, despite its national scale, is persistently criticized for long waiting times and a shortage of sessions that limits therapeutic work (OCD-UK, 2024a). This hierarchy often forces a one-size-fits-all model; patients are frequently discharged prematurely or denied intensive specialist services due to rigid thresholds (OCD-UK, 2024a).</w:t>
      </w:r>
    </w:p>
    <w:p w:rsidR="16EE9CC6" w:rsidP="4B0DF1EC" w:rsidRDefault="16EE9CC6" w14:paraId="21050F52" w14:textId="0C06430B">
      <w:pPr>
        <w:pStyle w:val="Normal"/>
        <w:spacing w:line="360" w:lineRule="auto"/>
        <w:jc w:val="both"/>
      </w:pPr>
      <w:r w:rsidRPr="4B0DF1EC" w:rsidR="16EE9CC6">
        <w:rPr>
          <w:rFonts w:ascii="Arial" w:hAnsi="Arial" w:eastAsia="Arial" w:cs="Arial"/>
          <w:b w:val="0"/>
          <w:bCs w:val="0"/>
          <w:i w:val="0"/>
          <w:iCs w:val="0"/>
          <w:caps w:val="0"/>
          <w:smallCaps w:val="0"/>
          <w:noProof w:val="0"/>
          <w:color w:val="000000" w:themeColor="text1" w:themeTint="FF" w:themeShade="FF"/>
          <w:sz w:val="22"/>
          <w:szCs w:val="22"/>
          <w:lang w:val="en-GB"/>
        </w:rPr>
        <w:t xml:space="preserve">Ultimately, the UK’s treatment strategy remains characterized by a paradox: it has achieved scale through IAPT, yet struggles to deliver the individualized, long-term support this condition requires. The absence of systematic outcome data within secondary care further obscures the true efficacy of these treatments for severe, refractory OCD (NICE, 2005). While SSRIs and CBT are robust, their effectiveness is undermined by service fragmentation, inequitable access, and a landscape where ERP is inconsistently applied (OCD-UK, 2024a; Weinberg </w:t>
      </w:r>
      <w:r w:rsidRPr="4B0DF1EC" w:rsidR="16EE9CC6">
        <w:rPr>
          <w:rFonts w:ascii="Arial" w:hAnsi="Arial" w:eastAsia="Arial" w:cs="Arial"/>
          <w:b w:val="0"/>
          <w:bCs w:val="0"/>
          <w:i w:val="1"/>
          <w:iCs w:val="1"/>
          <w:caps w:val="0"/>
          <w:smallCaps w:val="0"/>
          <w:noProof w:val="0"/>
          <w:color w:val="000000" w:themeColor="text1" w:themeTint="FF" w:themeShade="FF"/>
          <w:sz w:val="22"/>
          <w:szCs w:val="22"/>
          <w:lang w:val="en-GB"/>
        </w:rPr>
        <w:t>et al.</w:t>
      </w:r>
      <w:r w:rsidRPr="4B0DF1EC" w:rsidR="16EE9CC6">
        <w:rPr>
          <w:rFonts w:ascii="Arial" w:hAnsi="Arial" w:eastAsia="Arial" w:cs="Arial"/>
          <w:b w:val="0"/>
          <w:bCs w:val="0"/>
          <w:i w:val="0"/>
          <w:iCs w:val="0"/>
          <w:caps w:val="0"/>
          <w:smallCaps w:val="0"/>
          <w:noProof w:val="0"/>
          <w:color w:val="000000" w:themeColor="text1" w:themeTint="FF" w:themeShade="FF"/>
          <w:sz w:val="22"/>
          <w:szCs w:val="22"/>
          <w:lang w:val="en-GB"/>
        </w:rPr>
        <w:t>, 2025). The NHS must invest in ongoing, specialized training to bridge the gap between theoretical guidelines and clinical delivery.</w:t>
      </w:r>
    </w:p>
    <w:p w:rsidR="4B0DF1EC" w:rsidP="4B0DF1EC" w:rsidRDefault="4B0DF1EC" w14:paraId="37834353" w14:textId="424D1534">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AD1E4E8" w:rsidRDefault="2AD1E4E8" w14:paraId="04C4578A" w14:textId="00638F49">
      <w:r>
        <w:br w:type="page"/>
      </w:r>
    </w:p>
    <w:p w:rsidR="047E5B0E" w:rsidP="2AD1E4E8" w:rsidRDefault="047E5B0E" w14:paraId="5A442010" w14:textId="0DB72A3D">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r w:rsidRPr="4B0DF1EC" w:rsidR="563EB163">
        <w:rPr>
          <w:rFonts w:ascii="Arial" w:hAnsi="Arial" w:eastAsia="Arial" w:cs="Arial"/>
          <w:b w:val="1"/>
          <w:bCs w:val="1"/>
          <w:i w:val="0"/>
          <w:iCs w:val="0"/>
          <w:caps w:val="0"/>
          <w:smallCaps w:val="0"/>
          <w:noProof w:val="0"/>
          <w:color w:val="000000" w:themeColor="text1" w:themeTint="FF" w:themeShade="FF"/>
          <w:sz w:val="28"/>
          <w:szCs w:val="28"/>
          <w:lang w:val="en-GB"/>
        </w:rPr>
        <w:t>Rehabilitation &amp; Long-Term Management</w:t>
      </w:r>
    </w:p>
    <w:p w:rsidR="76CA5AFB" w:rsidP="4B0DF1EC" w:rsidRDefault="76CA5AFB" w14:paraId="2201F796" w14:textId="220DDB56">
      <w:pPr>
        <w:pStyle w:val="Normal"/>
        <w:spacing w:line="360" w:lineRule="auto"/>
        <w:jc w:val="both"/>
      </w:pPr>
      <w:r w:rsidRPr="4B0DF1EC" w:rsidR="76CA5AFB">
        <w:rPr>
          <w:rFonts w:ascii="Arial" w:hAnsi="Arial" w:eastAsia="Arial" w:cs="Arial"/>
          <w:b w:val="0"/>
          <w:bCs w:val="0"/>
          <w:i w:val="0"/>
          <w:iCs w:val="0"/>
          <w:caps w:val="0"/>
          <w:smallCaps w:val="0"/>
          <w:noProof w:val="0"/>
          <w:color w:val="000000" w:themeColor="text1" w:themeTint="FF" w:themeShade="FF"/>
          <w:sz w:val="22"/>
          <w:szCs w:val="22"/>
          <w:lang w:val="en-GB"/>
        </w:rPr>
        <w:t>Rehabilitation for OCD in the UK is shifting toward community-based models under the NHS 10 Year Health Plan (NHS England, 2025). This policy prioritizes "prevention" via "Neighbourhood Health Services," integrating mental health with social support (Samaritans, 2025). A critical disconnect exists: the diagnostic gaps discussed previously</w:t>
      </w:r>
      <w:r w:rsidRPr="4B0DF1EC" w:rsidR="78616F4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B0DF1EC" w:rsidR="76CA5AFB">
        <w:rPr>
          <w:rFonts w:ascii="Arial" w:hAnsi="Arial" w:eastAsia="Arial" w:cs="Arial"/>
          <w:b w:val="0"/>
          <w:bCs w:val="0"/>
          <w:i w:val="0"/>
          <w:iCs w:val="0"/>
          <w:caps w:val="0"/>
          <w:smallCaps w:val="0"/>
          <w:noProof w:val="0"/>
          <w:color w:val="000000" w:themeColor="text1" w:themeTint="FF" w:themeShade="FF"/>
          <w:sz w:val="22"/>
          <w:szCs w:val="22"/>
          <w:lang w:val="en-GB"/>
        </w:rPr>
        <w:t xml:space="preserve">specifically rigid thresholds and failure to </w:t>
      </w:r>
      <w:r w:rsidRPr="4B0DF1EC" w:rsidR="76CA5AFB">
        <w:rPr>
          <w:rFonts w:ascii="Arial" w:hAnsi="Arial" w:eastAsia="Arial" w:cs="Arial"/>
          <w:b w:val="0"/>
          <w:bCs w:val="0"/>
          <w:i w:val="0"/>
          <w:iCs w:val="0"/>
          <w:caps w:val="0"/>
          <w:smallCaps w:val="0"/>
          <w:noProof w:val="0"/>
          <w:color w:val="000000" w:themeColor="text1" w:themeTint="FF" w:themeShade="FF"/>
          <w:sz w:val="22"/>
          <w:szCs w:val="22"/>
          <w:lang w:val="en-GB"/>
        </w:rPr>
        <w:t>identify</w:t>
      </w:r>
      <w:r w:rsidRPr="4B0DF1EC" w:rsidR="76CA5AFB">
        <w:rPr>
          <w:rFonts w:ascii="Arial" w:hAnsi="Arial" w:eastAsia="Arial" w:cs="Arial"/>
          <w:b w:val="0"/>
          <w:bCs w:val="0"/>
          <w:i w:val="0"/>
          <w:iCs w:val="0"/>
          <w:caps w:val="0"/>
          <w:smallCaps w:val="0"/>
          <w:noProof w:val="0"/>
          <w:color w:val="000000" w:themeColor="text1" w:themeTint="FF" w:themeShade="FF"/>
          <w:sz w:val="22"/>
          <w:szCs w:val="22"/>
          <w:lang w:val="en-GB"/>
        </w:rPr>
        <w:t xml:space="preserve"> 'non-textbook' presentations</w:t>
      </w:r>
      <w:r w:rsidRPr="4B0DF1EC" w:rsidR="7F67C7D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B0DF1EC" w:rsidR="76CA5AFB">
        <w:rPr>
          <w:rFonts w:ascii="Arial" w:hAnsi="Arial" w:eastAsia="Arial" w:cs="Arial"/>
          <w:b w:val="0"/>
          <w:bCs w:val="0"/>
          <w:i w:val="0"/>
          <w:iCs w:val="0"/>
          <w:caps w:val="0"/>
          <w:smallCaps w:val="0"/>
          <w:noProof w:val="0"/>
          <w:color w:val="000000" w:themeColor="text1" w:themeTint="FF" w:themeShade="FF"/>
          <w:sz w:val="22"/>
          <w:szCs w:val="22"/>
          <w:lang w:val="en-GB"/>
        </w:rPr>
        <w:t xml:space="preserve">fundamentally undermine these rehabilitative efforts. Unlike more integrated European systems, the UK framework </w:t>
      </w:r>
      <w:r w:rsidRPr="4B0DF1EC" w:rsidR="76CA5AFB">
        <w:rPr>
          <w:rFonts w:ascii="Arial" w:hAnsi="Arial" w:eastAsia="Arial" w:cs="Arial"/>
          <w:b w:val="0"/>
          <w:bCs w:val="0"/>
          <w:i w:val="0"/>
          <w:iCs w:val="0"/>
          <w:caps w:val="0"/>
          <w:smallCaps w:val="0"/>
          <w:noProof w:val="0"/>
          <w:color w:val="000000" w:themeColor="text1" w:themeTint="FF" w:themeShade="FF"/>
          <w:sz w:val="22"/>
          <w:szCs w:val="22"/>
          <w:lang w:val="en-GB"/>
        </w:rPr>
        <w:t>remains</w:t>
      </w:r>
      <w:r w:rsidRPr="4B0DF1EC" w:rsidR="76CA5AFB">
        <w:rPr>
          <w:rFonts w:ascii="Arial" w:hAnsi="Arial" w:eastAsia="Arial" w:cs="Arial"/>
          <w:b w:val="0"/>
          <w:bCs w:val="0"/>
          <w:i w:val="0"/>
          <w:iCs w:val="0"/>
          <w:caps w:val="0"/>
          <w:smallCaps w:val="0"/>
          <w:noProof w:val="0"/>
          <w:color w:val="000000" w:themeColor="text1" w:themeTint="FF" w:themeShade="FF"/>
          <w:sz w:val="22"/>
          <w:szCs w:val="22"/>
          <w:lang w:val="en-GB"/>
        </w:rPr>
        <w:t xml:space="preserve"> reliant on a segmented, stepped-care model that delays individualized rehabilitation (NHS England, 2025). For many, these community resources </w:t>
      </w:r>
      <w:r w:rsidRPr="4B0DF1EC" w:rsidR="76CA5AFB">
        <w:rPr>
          <w:rFonts w:ascii="Arial" w:hAnsi="Arial" w:eastAsia="Arial" w:cs="Arial"/>
          <w:b w:val="0"/>
          <w:bCs w:val="0"/>
          <w:i w:val="0"/>
          <w:iCs w:val="0"/>
          <w:caps w:val="0"/>
          <w:smallCaps w:val="0"/>
          <w:noProof w:val="0"/>
          <w:color w:val="000000" w:themeColor="text1" w:themeTint="FF" w:themeShade="FF"/>
          <w:sz w:val="22"/>
          <w:szCs w:val="22"/>
          <w:lang w:val="en-GB"/>
        </w:rPr>
        <w:t>remain</w:t>
      </w:r>
      <w:r w:rsidRPr="4B0DF1EC" w:rsidR="76CA5AFB">
        <w:rPr>
          <w:rFonts w:ascii="Arial" w:hAnsi="Arial" w:eastAsia="Arial" w:cs="Arial"/>
          <w:b w:val="0"/>
          <w:bCs w:val="0"/>
          <w:i w:val="0"/>
          <w:iCs w:val="0"/>
          <w:caps w:val="0"/>
          <w:smallCaps w:val="0"/>
          <w:noProof w:val="0"/>
          <w:color w:val="000000" w:themeColor="text1" w:themeTint="FF" w:themeShade="FF"/>
          <w:sz w:val="22"/>
          <w:szCs w:val="22"/>
          <w:lang w:val="en-GB"/>
        </w:rPr>
        <w:t xml:space="preserve"> insufficiently specialized, leaving patients without continuity of care between clinical episodes.</w:t>
      </w:r>
    </w:p>
    <w:p w:rsidR="76CA5AFB" w:rsidP="4B0DF1EC" w:rsidRDefault="76CA5AFB" w14:paraId="3B5C8E7B" w14:textId="2FA7C961">
      <w:pPr>
        <w:pStyle w:val="Normal"/>
        <w:spacing w:line="360" w:lineRule="auto"/>
        <w:jc w:val="both"/>
      </w:pPr>
      <w:r w:rsidRPr="4B0DF1EC" w:rsidR="76CA5AFB">
        <w:rPr>
          <w:rFonts w:ascii="Arial" w:hAnsi="Arial" w:eastAsia="Arial" w:cs="Arial"/>
          <w:b w:val="0"/>
          <w:bCs w:val="0"/>
          <w:i w:val="0"/>
          <w:iCs w:val="0"/>
          <w:caps w:val="0"/>
          <w:smallCaps w:val="0"/>
          <w:noProof w:val="0"/>
          <w:color w:val="000000" w:themeColor="text1" w:themeTint="FF" w:themeShade="FF"/>
          <w:sz w:val="22"/>
          <w:szCs w:val="22"/>
          <w:lang w:val="en-GB"/>
        </w:rPr>
        <w:t>A core pillar remains the Mental Health Act (1983), governing the assessment and detention of individuals in crisis (Mind, 2026). Recent government agreements (2025) to amend the Act signify a long-term commitment to evolving rights, though implementation remains phased (Mind, 2026). From a patient-centered perspective, the necessity of "sectioning" highlights a systemic failure to provide proactive support. While clinical guidance emphasizes early intervention (NHS, 2026), the legal reality remains a reactive system that only intervenes when autonomy is critically compromised, exposing the tension between legislative protections and clinical delivery.</w:t>
      </w:r>
    </w:p>
    <w:p w:rsidR="76CA5AFB" w:rsidP="4B0DF1EC" w:rsidRDefault="76CA5AFB" w14:paraId="338E8B2F" w14:textId="38185D3A">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B0DF1EC" w:rsidR="76CA5AFB">
        <w:rPr>
          <w:rFonts w:ascii="Arial" w:hAnsi="Arial" w:eastAsia="Arial" w:cs="Arial"/>
          <w:b w:val="0"/>
          <w:bCs w:val="0"/>
          <w:i w:val="0"/>
          <w:iCs w:val="0"/>
          <w:caps w:val="0"/>
          <w:smallCaps w:val="0"/>
          <w:noProof w:val="0"/>
          <w:color w:val="000000" w:themeColor="text1" w:themeTint="FF" w:themeShade="FF"/>
          <w:sz w:val="22"/>
          <w:szCs w:val="22"/>
          <w:lang w:val="en-GB"/>
        </w:rPr>
        <w:t xml:space="preserve">Third-sector organizations like Mind and Samaritans play an essential, albeit under-resourced, role in bridging gaps left by statutory services (Samaritans, 2025). Although the </w:t>
      </w:r>
      <w:r w:rsidRPr="4B0DF1EC" w:rsidR="76CA5AFB">
        <w:rPr>
          <w:rFonts w:ascii="Arial" w:hAnsi="Arial" w:eastAsia="Arial" w:cs="Arial"/>
          <w:b w:val="0"/>
          <w:bCs w:val="0"/>
          <w:i w:val="0"/>
          <w:iCs w:val="0"/>
          <w:caps w:val="0"/>
          <w:smallCaps w:val="0"/>
          <w:noProof w:val="0"/>
          <w:color w:val="000000" w:themeColor="text1" w:themeTint="FF" w:themeShade="FF"/>
          <w:sz w:val="22"/>
          <w:szCs w:val="22"/>
          <w:lang w:val="en-GB"/>
        </w:rPr>
        <w:t>10 Year</w:t>
      </w:r>
      <w:r w:rsidRPr="4B0DF1EC" w:rsidR="76CA5AFB">
        <w:rPr>
          <w:rFonts w:ascii="Arial" w:hAnsi="Arial" w:eastAsia="Arial" w:cs="Arial"/>
          <w:b w:val="0"/>
          <w:bCs w:val="0"/>
          <w:i w:val="0"/>
          <w:iCs w:val="0"/>
          <w:caps w:val="0"/>
          <w:smallCaps w:val="0"/>
          <w:noProof w:val="0"/>
          <w:color w:val="000000" w:themeColor="text1" w:themeTint="FF" w:themeShade="FF"/>
          <w:sz w:val="22"/>
          <w:szCs w:val="22"/>
          <w:lang w:val="en-GB"/>
        </w:rPr>
        <w:t xml:space="preserve"> Health Plan envisions "joined-up working," the "devil is in the detail" </w:t>
      </w:r>
      <w:r w:rsidRPr="4B0DF1EC" w:rsidR="76CA5AFB">
        <w:rPr>
          <w:rFonts w:ascii="Arial" w:hAnsi="Arial" w:eastAsia="Arial" w:cs="Arial"/>
          <w:b w:val="0"/>
          <w:bCs w:val="0"/>
          <w:i w:val="0"/>
          <w:iCs w:val="0"/>
          <w:caps w:val="0"/>
          <w:smallCaps w:val="0"/>
          <w:noProof w:val="0"/>
          <w:color w:val="000000" w:themeColor="text1" w:themeTint="FF" w:themeShade="FF"/>
          <w:sz w:val="22"/>
          <w:szCs w:val="22"/>
          <w:lang w:val="en-GB"/>
        </w:rPr>
        <w:t>regarding</w:t>
      </w:r>
      <w:r w:rsidRPr="4B0DF1EC" w:rsidR="76CA5AFB">
        <w:rPr>
          <w:rFonts w:ascii="Arial" w:hAnsi="Arial" w:eastAsia="Arial" w:cs="Arial"/>
          <w:b w:val="0"/>
          <w:bCs w:val="0"/>
          <w:i w:val="0"/>
          <w:iCs w:val="0"/>
          <w:caps w:val="0"/>
          <w:smallCaps w:val="0"/>
          <w:noProof w:val="0"/>
          <w:color w:val="000000" w:themeColor="text1" w:themeTint="FF" w:themeShade="FF"/>
          <w:sz w:val="22"/>
          <w:szCs w:val="22"/>
          <w:lang w:val="en-GB"/>
        </w:rPr>
        <w:t xml:space="preserve"> long-term support (Samaritans, 2025). </w:t>
      </w:r>
      <w:r w:rsidRPr="4B0DF1EC" w:rsidR="76CA5AFB">
        <w:rPr>
          <w:rFonts w:ascii="Arial" w:hAnsi="Arial" w:eastAsia="Arial" w:cs="Arial"/>
          <w:b w:val="0"/>
          <w:bCs w:val="0"/>
          <w:i w:val="0"/>
          <w:iCs w:val="0"/>
          <w:caps w:val="0"/>
          <w:smallCaps w:val="0"/>
          <w:noProof w:val="0"/>
          <w:color w:val="000000" w:themeColor="text1" w:themeTint="FF" w:themeShade="FF"/>
          <w:sz w:val="22"/>
          <w:szCs w:val="22"/>
          <w:lang w:val="en-GB"/>
        </w:rPr>
        <w:t>Ultimately, while</w:t>
      </w:r>
      <w:r w:rsidRPr="4B0DF1EC" w:rsidR="76CA5AFB">
        <w:rPr>
          <w:rFonts w:ascii="Arial" w:hAnsi="Arial" w:eastAsia="Arial" w:cs="Arial"/>
          <w:b w:val="0"/>
          <w:bCs w:val="0"/>
          <w:i w:val="0"/>
          <w:iCs w:val="0"/>
          <w:caps w:val="0"/>
          <w:smallCaps w:val="0"/>
          <w:noProof w:val="0"/>
          <w:color w:val="000000" w:themeColor="text1" w:themeTint="FF" w:themeShade="FF"/>
          <w:sz w:val="22"/>
          <w:szCs w:val="22"/>
          <w:lang w:val="en-GB"/>
        </w:rPr>
        <w:t xml:space="preserve"> the UK framework offers robust protections, the reality for OCD patients is one of fragmented provision. Transitioning from crisis to rehabilitation is hindered by capacity constraints and a lack of OCD-targeted infrastructure. Unlike generalized anxiety disorders, OCD </w:t>
      </w:r>
      <w:r w:rsidRPr="4B0DF1EC" w:rsidR="76CA5AFB">
        <w:rPr>
          <w:rFonts w:ascii="Arial" w:hAnsi="Arial" w:eastAsia="Arial" w:cs="Arial"/>
          <w:b w:val="0"/>
          <w:bCs w:val="0"/>
          <w:i w:val="0"/>
          <w:iCs w:val="0"/>
          <w:caps w:val="0"/>
          <w:smallCaps w:val="0"/>
          <w:noProof w:val="0"/>
          <w:color w:val="000000" w:themeColor="text1" w:themeTint="FF" w:themeShade="FF"/>
          <w:sz w:val="22"/>
          <w:szCs w:val="22"/>
          <w:lang w:val="en-GB"/>
        </w:rPr>
        <w:t>requires</w:t>
      </w:r>
      <w:r w:rsidRPr="4B0DF1EC" w:rsidR="76CA5AFB">
        <w:rPr>
          <w:rFonts w:ascii="Arial" w:hAnsi="Arial" w:eastAsia="Arial" w:cs="Arial"/>
          <w:b w:val="0"/>
          <w:bCs w:val="0"/>
          <w:i w:val="0"/>
          <w:iCs w:val="0"/>
          <w:caps w:val="0"/>
          <w:smallCaps w:val="0"/>
          <w:noProof w:val="0"/>
          <w:color w:val="000000" w:themeColor="text1" w:themeTint="FF" w:themeShade="FF"/>
          <w:sz w:val="22"/>
          <w:szCs w:val="22"/>
          <w:lang w:val="en-GB"/>
        </w:rPr>
        <w:t xml:space="preserve"> a specific, high-intensity therapeutic focus</w:t>
      </w:r>
      <w:r w:rsidRPr="4B0DF1EC" w:rsidR="61CE1BC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B0DF1EC" w:rsidR="76CA5AFB">
        <w:rPr>
          <w:rFonts w:ascii="Arial" w:hAnsi="Arial" w:eastAsia="Arial" w:cs="Arial"/>
          <w:b w:val="0"/>
          <w:bCs w:val="0"/>
          <w:i w:val="0"/>
          <w:iCs w:val="0"/>
          <w:caps w:val="0"/>
          <w:smallCaps w:val="0"/>
          <w:noProof w:val="0"/>
          <w:color w:val="000000" w:themeColor="text1" w:themeTint="FF" w:themeShade="FF"/>
          <w:sz w:val="22"/>
          <w:szCs w:val="22"/>
          <w:lang w:val="en-GB"/>
        </w:rPr>
        <w:t>such as ERP</w:t>
      </w:r>
      <w:r w:rsidRPr="4B0DF1EC" w:rsidR="77A0D0F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B0DF1EC" w:rsidR="76CA5AFB">
        <w:rPr>
          <w:rFonts w:ascii="Arial" w:hAnsi="Arial" w:eastAsia="Arial" w:cs="Arial"/>
          <w:b w:val="0"/>
          <w:bCs w:val="0"/>
          <w:i w:val="0"/>
          <w:iCs w:val="0"/>
          <w:caps w:val="0"/>
          <w:smallCaps w:val="0"/>
          <w:noProof w:val="0"/>
          <w:color w:val="000000" w:themeColor="text1" w:themeTint="FF" w:themeShade="FF"/>
          <w:sz w:val="22"/>
          <w:szCs w:val="22"/>
          <w:lang w:val="en-GB"/>
        </w:rPr>
        <w:t>that general services cannot replicate. This leaves patients to navigate an isolating recovery pathway, forced to rely on voluntary support to compensate for the lack of specialized, continuous NHS care (NHS England, 2025; Samaritans, 2025).</w:t>
      </w:r>
    </w:p>
    <w:p w:rsidR="4B0DF1EC" w:rsidP="4B0DF1EC" w:rsidRDefault="4B0DF1EC" w14:paraId="7C7FC3DD" w14:textId="609D8B4C">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AD1E4E8" w:rsidRDefault="2AD1E4E8" w14:paraId="48D63E13" w14:textId="4A13D061">
      <w:r>
        <w:br w:type="page"/>
      </w:r>
    </w:p>
    <w:p w:rsidR="06AE0F8C" w:rsidP="2AD1E4E8" w:rsidRDefault="06AE0F8C" w14:paraId="5868515D" w14:textId="0E32A5BA">
      <w:pPr>
        <w:pStyle w:val="Normal"/>
        <w:spacing w:line="360" w:lineRule="auto"/>
        <w:jc w:val="both"/>
      </w:pPr>
      <w:r w:rsidRPr="2AD1E4E8" w:rsidR="06AE0F8C">
        <w:rPr>
          <w:rFonts w:ascii="Arial" w:hAnsi="Arial" w:eastAsia="Arial" w:cs="Arial"/>
          <w:b w:val="1"/>
          <w:bCs w:val="1"/>
          <w:i w:val="0"/>
          <w:iCs w:val="0"/>
          <w:caps w:val="0"/>
          <w:smallCaps w:val="0"/>
          <w:noProof w:val="0"/>
          <w:color w:val="000000" w:themeColor="text1" w:themeTint="FF" w:themeShade="FF"/>
          <w:sz w:val="28"/>
          <w:szCs w:val="28"/>
          <w:lang w:val="en-GB"/>
        </w:rPr>
        <w:t>Current Debates, Policy &amp; Statistical Evidence</w:t>
      </w:r>
    </w:p>
    <w:p w:rsidR="06AE0F8C" w:rsidP="2AD1E4E8" w:rsidRDefault="06AE0F8C" w14:paraId="12E49EAE" w14:textId="63160729">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4B0DF1EC" w:rsidR="4765C76D">
        <w:rPr>
          <w:rFonts w:ascii="Arial" w:hAnsi="Arial" w:eastAsia="Arial" w:cs="Arial"/>
          <w:b w:val="1"/>
          <w:bCs w:val="1"/>
          <w:i w:val="0"/>
          <w:iCs w:val="0"/>
          <w:caps w:val="0"/>
          <w:smallCaps w:val="0"/>
          <w:noProof w:val="0"/>
          <w:color w:val="000000" w:themeColor="text1" w:themeTint="FF" w:themeShade="FF"/>
          <w:sz w:val="22"/>
          <w:szCs w:val="22"/>
          <w:lang w:val="en-GB"/>
        </w:rPr>
        <w:t>Current Debates &amp; Emerging Issues</w:t>
      </w:r>
    </w:p>
    <w:p w:rsidR="75FDA7CF" w:rsidP="4B0DF1EC" w:rsidRDefault="75FDA7CF" w14:paraId="44D18B44" w14:textId="3320DDD1">
      <w:pPr>
        <w:pStyle w:val="Normal"/>
        <w:spacing w:line="360" w:lineRule="auto"/>
        <w:jc w:val="both"/>
      </w:pPr>
      <w:r w:rsidRPr="4B0DF1EC" w:rsidR="7E490F2A">
        <w:rPr>
          <w:rFonts w:ascii="Arial" w:hAnsi="Arial" w:eastAsia="Arial" w:cs="Arial"/>
          <w:b w:val="0"/>
          <w:bCs w:val="0"/>
          <w:i w:val="0"/>
          <w:iCs w:val="0"/>
          <w:caps w:val="0"/>
          <w:smallCaps w:val="0"/>
          <w:noProof w:val="0"/>
          <w:color w:val="000000" w:themeColor="text1" w:themeTint="FF" w:themeShade="FF"/>
          <w:sz w:val="22"/>
          <w:szCs w:val="22"/>
          <w:lang w:val="en-GB"/>
        </w:rPr>
        <w:t>Contemporary discourse is shifting toward a neurodivergence paradigm, challenging the view of OCD as an isolated pathology. Evidence indicates significant overlap between OCD and neurodevelopmental conditions; autistic individuals are roughly twice as likely to experience OCD (American Psychiatric Association, 2022, p. 276). Although ICD-11 provides a refined taxonomy, its UK implementation remains disjointed. Standardized practices often fail to capture the nuances of neurodivergent presentations, leading to persistent misdiagnosis (Exceptional Individuals, 2025). As Weinberg</w:t>
      </w:r>
      <w:r w:rsidRPr="4B0DF1EC" w:rsidR="7E490F2A">
        <w:rPr>
          <w:rFonts w:ascii="Arial" w:hAnsi="Arial" w:eastAsia="Arial" w:cs="Arial"/>
          <w:b w:val="0"/>
          <w:bCs w:val="0"/>
          <w:i w:val="1"/>
          <w:iCs w:val="1"/>
          <w:caps w:val="0"/>
          <w:smallCaps w:val="0"/>
          <w:noProof w:val="0"/>
          <w:color w:val="000000" w:themeColor="text1" w:themeTint="FF" w:themeShade="FF"/>
          <w:sz w:val="22"/>
          <w:szCs w:val="22"/>
          <w:lang w:val="en-GB"/>
        </w:rPr>
        <w:t xml:space="preserve"> et al</w:t>
      </w:r>
      <w:r w:rsidRPr="4B0DF1EC" w:rsidR="7E490F2A">
        <w:rPr>
          <w:rFonts w:ascii="Arial" w:hAnsi="Arial" w:eastAsia="Arial" w:cs="Arial"/>
          <w:b w:val="0"/>
          <w:bCs w:val="0"/>
          <w:i w:val="0"/>
          <w:iCs w:val="0"/>
          <w:caps w:val="0"/>
          <w:smallCaps w:val="0"/>
          <w:noProof w:val="0"/>
          <w:color w:val="000000" w:themeColor="text1" w:themeTint="FF" w:themeShade="FF"/>
          <w:sz w:val="22"/>
          <w:szCs w:val="22"/>
          <w:lang w:val="en-GB"/>
        </w:rPr>
        <w:t>. (2025) note, over one-third of professionals incorrectly diagnose OCD, mistaking ruminative obsession for ADHD hyperfocus or autism-based rigidity. This diagnostic failure is not merely administrative; it is a clinical breakdown that leaves patients in a state of limbo, as their complex neurological reality is reduced to a single, inaccurate, and often stigmatizing label.</w:t>
      </w:r>
    </w:p>
    <w:p w:rsidR="75FDA7CF" w:rsidP="4B0DF1EC" w:rsidRDefault="75FDA7CF" w14:paraId="148E697E" w14:textId="528FD98A">
      <w:pPr>
        <w:spacing w:line="360" w:lineRule="auto"/>
      </w:pPr>
      <w:r>
        <w:br w:type="page"/>
      </w:r>
    </w:p>
    <w:p w:rsidR="75FDA7CF" w:rsidP="4B0DF1EC" w:rsidRDefault="75FDA7CF" w14:paraId="51731F45" w14:textId="414596EB">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4B0DF1EC" w:rsidR="40C13AB8">
        <w:rPr>
          <w:rFonts w:ascii="Arial" w:hAnsi="Arial" w:eastAsia="Arial" w:cs="Arial"/>
          <w:b w:val="1"/>
          <w:bCs w:val="1"/>
          <w:i w:val="0"/>
          <w:iCs w:val="0"/>
          <w:caps w:val="0"/>
          <w:smallCaps w:val="0"/>
          <w:noProof w:val="0"/>
          <w:color w:val="000000" w:themeColor="text1" w:themeTint="FF" w:themeShade="FF"/>
          <w:sz w:val="22"/>
          <w:szCs w:val="22"/>
          <w:lang w:val="en-GB"/>
        </w:rPr>
        <w:t>Policy &amp; Legal Framework</w:t>
      </w:r>
    </w:p>
    <w:p w:rsidR="75FDA7CF" w:rsidP="4B0DF1EC" w:rsidRDefault="75FDA7CF" w14:paraId="0B31D163" w14:textId="020C1210">
      <w:pPr>
        <w:pStyle w:val="ListParagraph"/>
        <w:spacing w:line="360" w:lineRule="auto"/>
        <w:ind w:left="720"/>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5FDA7CF" w:rsidP="4B0DF1EC" w:rsidRDefault="75FDA7CF" w14:paraId="5600455C" w14:textId="083FC2B1">
      <w:pPr>
        <w:pStyle w:val="ListParagraph"/>
        <w:numPr>
          <w:ilvl w:val="0"/>
          <w:numId w:val="18"/>
        </w:numPr>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4B0DF1EC" w:rsidR="7ABFD347">
        <w:rPr>
          <w:rFonts w:ascii="Arial" w:hAnsi="Arial" w:eastAsia="Arial" w:cs="Arial"/>
          <w:b w:val="1"/>
          <w:bCs w:val="1"/>
          <w:i w:val="0"/>
          <w:iCs w:val="0"/>
          <w:caps w:val="0"/>
          <w:smallCaps w:val="0"/>
          <w:noProof w:val="0"/>
          <w:color w:val="000000" w:themeColor="text1" w:themeTint="FF" w:themeShade="FF"/>
          <w:sz w:val="22"/>
          <w:szCs w:val="22"/>
          <w:u w:val="single"/>
          <w:lang w:val="en-GB"/>
        </w:rPr>
        <w:t xml:space="preserve">Table 1: UK Legislative Framework for Mental Health Care  </w:t>
      </w:r>
    </w:p>
    <w:tbl>
      <w:tblPr>
        <w:tblStyle w:val="TableNormal"/>
        <w:bidiVisual w:val="0"/>
        <w:tblW w:w="0" w:type="auto"/>
        <w:tblLook w:val="06A0" w:firstRow="1" w:lastRow="0" w:firstColumn="1" w:lastColumn="0" w:noHBand="1" w:noVBand="1"/>
      </w:tblPr>
      <w:tblGrid>
        <w:gridCol w:w="1920"/>
        <w:gridCol w:w="3330"/>
        <w:gridCol w:w="3765"/>
      </w:tblGrid>
      <w:tr w:rsidR="4B0DF1EC" w:rsidTr="4B0DF1EC" w14:paraId="29875C3D">
        <w:trPr>
          <w:trHeight w:val="300"/>
        </w:trPr>
        <w:tc>
          <w:tcPr>
            <w:tcW w:w="1920"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4B0DF1EC" w:rsidP="4B0DF1EC" w:rsidRDefault="4B0DF1EC" w14:paraId="28A0AA57" w14:textId="2E8A4667">
            <w:pPr>
              <w:spacing w:before="0" w:beforeAutospacing="off" w:after="0" w:afterAutospacing="off"/>
              <w:jc w:val="center"/>
            </w:pPr>
            <w:r w:rsidRPr="4B0DF1EC" w:rsidR="4B0DF1EC">
              <w:rPr>
                <w:b w:val="1"/>
                <w:bCs w:val="1"/>
                <w:color w:val="FF0000"/>
              </w:rPr>
              <w:t>Legislation</w:t>
            </w:r>
          </w:p>
        </w:tc>
        <w:tc>
          <w:tcPr>
            <w:tcW w:w="3330"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4B0DF1EC" w:rsidP="4B0DF1EC" w:rsidRDefault="4B0DF1EC" w14:paraId="748D88C5" w14:textId="7DB03FEF">
            <w:pPr>
              <w:spacing w:before="0" w:beforeAutospacing="off" w:after="0" w:afterAutospacing="off" w:line="360" w:lineRule="auto"/>
              <w:jc w:val="center"/>
              <w:rPr>
                <w:b w:val="1"/>
                <w:bCs w:val="1"/>
                <w:color w:val="FF0000"/>
              </w:rPr>
            </w:pPr>
            <w:r w:rsidRPr="4B0DF1EC" w:rsidR="4B0DF1EC">
              <w:rPr>
                <w:b w:val="1"/>
                <w:bCs w:val="1"/>
                <w:color w:val="FF0000"/>
              </w:rPr>
              <w:t>Key Implications for OCD Support</w:t>
            </w:r>
          </w:p>
        </w:tc>
        <w:tc>
          <w:tcPr>
            <w:tcW w:w="376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4B0DF1EC" w:rsidP="4B0DF1EC" w:rsidRDefault="4B0DF1EC" w14:paraId="5BF61180" w14:textId="6CEAA673">
            <w:pPr>
              <w:spacing w:before="0" w:beforeAutospacing="off" w:after="0" w:afterAutospacing="off" w:line="360" w:lineRule="auto"/>
              <w:jc w:val="center"/>
              <w:rPr>
                <w:b w:val="1"/>
                <w:bCs w:val="1"/>
                <w:color w:val="FF0000"/>
              </w:rPr>
            </w:pPr>
            <w:r w:rsidRPr="4B0DF1EC" w:rsidR="4B0DF1EC">
              <w:rPr>
                <w:b w:val="1"/>
                <w:bCs w:val="1"/>
                <w:color w:val="FF0000"/>
              </w:rPr>
              <w:t>Systemic Limitation</w:t>
            </w:r>
          </w:p>
        </w:tc>
      </w:tr>
      <w:tr w:rsidR="4B0DF1EC" w:rsidTr="4B0DF1EC" w14:paraId="3EE282B4">
        <w:trPr>
          <w:trHeight w:val="300"/>
        </w:trPr>
        <w:tc>
          <w:tcPr>
            <w:tcW w:w="1920"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4B0DF1EC" w:rsidP="4B0DF1EC" w:rsidRDefault="4B0DF1EC" w14:paraId="7D430A90" w14:textId="023432DE">
            <w:pPr>
              <w:spacing w:before="0" w:beforeAutospacing="off" w:after="0" w:afterAutospacing="off"/>
              <w:jc w:val="center"/>
            </w:pPr>
            <w:r w:rsidRPr="4B0DF1EC" w:rsidR="4B0DF1EC">
              <w:rPr>
                <w:b w:val="1"/>
                <w:bCs w:val="1"/>
              </w:rPr>
              <w:t>Mental Health Act (1983/2007)</w:t>
            </w:r>
          </w:p>
        </w:tc>
        <w:tc>
          <w:tcPr>
            <w:tcW w:w="3330"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4B0DF1EC" w:rsidP="4B0DF1EC" w:rsidRDefault="4B0DF1EC" w14:paraId="4D517673" w14:textId="21259D11">
            <w:pPr>
              <w:spacing w:before="0" w:beforeAutospacing="off" w:after="0" w:afterAutospacing="off" w:line="360" w:lineRule="auto"/>
              <w:jc w:val="both"/>
            </w:pPr>
            <w:r w:rsidR="4B0DF1EC">
              <w:rPr/>
              <w:t>Regulates compulsory detention and patient rights.</w:t>
            </w:r>
          </w:p>
        </w:tc>
        <w:tc>
          <w:tcPr>
            <w:tcW w:w="376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4B0DF1EC" w:rsidP="4B0DF1EC" w:rsidRDefault="4B0DF1EC" w14:paraId="7918CC7E" w14:textId="3A3FC58B">
            <w:pPr>
              <w:spacing w:before="0" w:beforeAutospacing="off" w:after="0" w:afterAutospacing="off" w:line="360" w:lineRule="auto"/>
              <w:jc w:val="both"/>
            </w:pPr>
            <w:r w:rsidR="4B0DF1EC">
              <w:rPr/>
              <w:t>Often reactive; prioritizes crisis management over proactive, community-based support.</w:t>
            </w:r>
          </w:p>
        </w:tc>
      </w:tr>
      <w:tr w:rsidR="4B0DF1EC" w:rsidTr="4B0DF1EC" w14:paraId="775189FD">
        <w:trPr>
          <w:trHeight w:val="300"/>
        </w:trPr>
        <w:tc>
          <w:tcPr>
            <w:tcW w:w="1920"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4B0DF1EC" w:rsidP="4B0DF1EC" w:rsidRDefault="4B0DF1EC" w14:paraId="557C8114" w14:textId="3589B6D7">
            <w:pPr>
              <w:spacing w:before="0" w:beforeAutospacing="off" w:after="0" w:afterAutospacing="off"/>
              <w:jc w:val="center"/>
            </w:pPr>
            <w:r w:rsidRPr="4B0DF1EC" w:rsidR="4B0DF1EC">
              <w:rPr>
                <w:b w:val="1"/>
                <w:bCs w:val="1"/>
              </w:rPr>
              <w:t>Equality Act (2010)</w:t>
            </w:r>
          </w:p>
        </w:tc>
        <w:tc>
          <w:tcPr>
            <w:tcW w:w="3330"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4B0DF1EC" w:rsidP="4B0DF1EC" w:rsidRDefault="4B0DF1EC" w14:paraId="31E6E89B" w14:textId="24018C1E">
            <w:pPr>
              <w:spacing w:before="0" w:beforeAutospacing="off" w:after="0" w:afterAutospacing="off" w:line="360" w:lineRule="auto"/>
              <w:jc w:val="both"/>
            </w:pPr>
            <w:r w:rsidR="4B0DF1EC">
              <w:rPr/>
              <w:t>Mandates 'reasonable adjustments' in service provision.</w:t>
            </w:r>
          </w:p>
        </w:tc>
        <w:tc>
          <w:tcPr>
            <w:tcW w:w="376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4B0DF1EC" w:rsidP="4B0DF1EC" w:rsidRDefault="4B0DF1EC" w14:paraId="622C0453" w14:textId="17A522CC">
            <w:pPr>
              <w:spacing w:before="0" w:beforeAutospacing="off" w:after="0" w:afterAutospacing="off" w:line="360" w:lineRule="auto"/>
              <w:jc w:val="both"/>
            </w:pPr>
            <w:r w:rsidR="4B0DF1EC">
              <w:rPr/>
              <w:t>Protections often fail due to the 'invisibility' of OCD symptoms.</w:t>
            </w:r>
          </w:p>
        </w:tc>
      </w:tr>
      <w:tr w:rsidR="4B0DF1EC" w:rsidTr="4B0DF1EC" w14:paraId="6E79EACF">
        <w:trPr>
          <w:trHeight w:val="300"/>
        </w:trPr>
        <w:tc>
          <w:tcPr>
            <w:tcW w:w="1920"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4B0DF1EC" w:rsidP="4B0DF1EC" w:rsidRDefault="4B0DF1EC" w14:paraId="2EE6ED54" w14:textId="2027188D">
            <w:pPr>
              <w:spacing w:before="0" w:beforeAutospacing="off" w:after="0" w:afterAutospacing="off"/>
              <w:jc w:val="center"/>
            </w:pPr>
            <w:r w:rsidRPr="4B0DF1EC" w:rsidR="4B0DF1EC">
              <w:rPr>
                <w:b w:val="1"/>
                <w:bCs w:val="1"/>
              </w:rPr>
              <w:t>Care Act (2014)</w:t>
            </w:r>
          </w:p>
        </w:tc>
        <w:tc>
          <w:tcPr>
            <w:tcW w:w="3330"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4B0DF1EC" w:rsidP="4B0DF1EC" w:rsidRDefault="4B0DF1EC" w14:paraId="4695CB59" w14:textId="05E0CD80">
            <w:pPr>
              <w:spacing w:before="0" w:beforeAutospacing="off" w:after="0" w:afterAutospacing="off" w:line="360" w:lineRule="auto"/>
              <w:jc w:val="both"/>
            </w:pPr>
            <w:r w:rsidR="4B0DF1EC">
              <w:rPr/>
              <w:t>Statutory duty to provide community social care.</w:t>
            </w:r>
          </w:p>
        </w:tc>
        <w:tc>
          <w:tcPr>
            <w:tcW w:w="376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4B0DF1EC" w:rsidP="4B0DF1EC" w:rsidRDefault="4B0DF1EC" w14:paraId="2339FEE6" w14:textId="07CD86D0">
            <w:pPr>
              <w:spacing w:before="0" w:beforeAutospacing="off" w:after="0" w:afterAutospacing="off" w:line="360" w:lineRule="auto"/>
              <w:jc w:val="both"/>
            </w:pPr>
            <w:r w:rsidR="4B0DF1EC">
              <w:rPr/>
              <w:t>Implementation is hindered by the 'postcode lottery' and local resource gaps.</w:t>
            </w:r>
          </w:p>
        </w:tc>
      </w:tr>
    </w:tbl>
    <w:p w:rsidR="4B0DF1EC" w:rsidP="4B0DF1EC" w:rsidRDefault="4B0DF1EC" w14:paraId="1264E57D" w14:textId="3FE50174">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3C33B28" w:rsidP="2AD1E4E8" w:rsidRDefault="33C33B28" w14:paraId="620564A5" w14:textId="5F7D361A">
      <w:pPr>
        <w:pStyle w:val="Normal"/>
        <w:spacing w:line="360" w:lineRule="auto"/>
        <w:jc w:val="both"/>
      </w:pPr>
      <w:r w:rsidRPr="2AD1E4E8" w:rsidR="33C33B28">
        <w:rPr>
          <w:rFonts w:ascii="Arial" w:hAnsi="Arial" w:eastAsia="Arial" w:cs="Arial"/>
          <w:b w:val="0"/>
          <w:bCs w:val="0"/>
          <w:i w:val="0"/>
          <w:iCs w:val="0"/>
          <w:caps w:val="0"/>
          <w:smallCaps w:val="0"/>
          <w:noProof w:val="0"/>
          <w:color w:val="000000" w:themeColor="text1" w:themeTint="FF" w:themeShade="FF"/>
          <w:sz w:val="22"/>
          <w:szCs w:val="22"/>
          <w:lang w:val="en-GB"/>
        </w:rPr>
        <w:t xml:space="preserve">The UK legislative landscape provides a multi-layered framework for patient rights, as summarised in Table 1. Legislatively, the Equality Act (2010) is critical, mandating "reasonable adjustments" for those with mental health conditions. However, its impact is diluted by the invisibility of OCD symptoms; accessing these protections requires formal diagnosis a barrier for neurodivergent patients facing systemic diagnostic failures (Exceptional Individuals, 2025). </w:t>
      </w:r>
    </w:p>
    <w:p w:rsidR="33C33B28" w:rsidP="2AD1E4E8" w:rsidRDefault="33C33B28" w14:paraId="772369F0" w14:textId="7EB9DFBB">
      <w:pPr>
        <w:pStyle w:val="Normal"/>
        <w:spacing w:line="360" w:lineRule="auto"/>
        <w:jc w:val="both"/>
      </w:pPr>
      <w:r w:rsidRPr="4B0DF1EC" w:rsidR="5D39D0E2">
        <w:rPr>
          <w:rFonts w:ascii="Arial" w:hAnsi="Arial" w:eastAsia="Arial" w:cs="Arial"/>
          <w:b w:val="0"/>
          <w:bCs w:val="0"/>
          <w:i w:val="0"/>
          <w:iCs w:val="0"/>
          <w:caps w:val="0"/>
          <w:smallCaps w:val="0"/>
          <w:noProof w:val="0"/>
          <w:color w:val="000000" w:themeColor="text1" w:themeTint="FF" w:themeShade="FF"/>
          <w:sz w:val="22"/>
          <w:szCs w:val="22"/>
          <w:lang w:val="en-GB"/>
        </w:rPr>
        <w:t xml:space="preserve">Furthermore, while the Mental Health Act (1983, 2007) provides the framework for involuntary treatment, the Care Act (2014) mandates local authorities to provide essential social care support. Despite these statutes, ethical concerns persist regarding the "postcode lottery" of care; while the NHS Long Term Plan promises expansion, service provision remains uneven (Lowther-Payne </w:t>
      </w:r>
      <w:r w:rsidRPr="4B0DF1EC" w:rsidR="5D39D0E2">
        <w:rPr>
          <w:rFonts w:ascii="Arial" w:hAnsi="Arial" w:eastAsia="Arial" w:cs="Arial"/>
          <w:b w:val="0"/>
          <w:bCs w:val="0"/>
          <w:i w:val="1"/>
          <w:iCs w:val="1"/>
          <w:caps w:val="0"/>
          <w:smallCaps w:val="0"/>
          <w:noProof w:val="0"/>
          <w:color w:val="000000" w:themeColor="text1" w:themeTint="FF" w:themeShade="FF"/>
          <w:sz w:val="22"/>
          <w:szCs w:val="22"/>
          <w:lang w:val="en-GB"/>
        </w:rPr>
        <w:t>et al.</w:t>
      </w:r>
      <w:r w:rsidRPr="4B0DF1EC" w:rsidR="5D39D0E2">
        <w:rPr>
          <w:rFonts w:ascii="Arial" w:hAnsi="Arial" w:eastAsia="Arial" w:cs="Arial"/>
          <w:b w:val="0"/>
          <w:bCs w:val="0"/>
          <w:i w:val="0"/>
          <w:iCs w:val="0"/>
          <w:caps w:val="0"/>
          <w:smallCaps w:val="0"/>
          <w:noProof w:val="0"/>
          <w:color w:val="000000" w:themeColor="text1" w:themeTint="FF" w:themeShade="FF"/>
          <w:sz w:val="22"/>
          <w:szCs w:val="22"/>
          <w:lang w:val="en-GB"/>
        </w:rPr>
        <w:t>, 2023). Without neurodivergence-informed clinical training, these legislative protections remain largely unrealized, leaving patients vulnerable to therapeutic stagnation (Exceptional Individuals, 2025).</w:t>
      </w:r>
    </w:p>
    <w:p w:rsidR="06AE0F8C" w:rsidP="4B0DF1EC" w:rsidRDefault="06AE0F8C" w14:paraId="1A89E59F" w14:textId="43E0C655">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06AE0F8C" w:rsidP="4B0DF1EC" w:rsidRDefault="06AE0F8C" w14:paraId="5872F628" w14:textId="73A8A02E">
      <w:pPr>
        <w:spacing w:line="360" w:lineRule="auto"/>
      </w:pPr>
      <w:r>
        <w:br w:type="page"/>
      </w:r>
    </w:p>
    <w:p w:rsidR="06AE0F8C" w:rsidP="2AD1E4E8" w:rsidRDefault="06AE0F8C" w14:paraId="4DD60DFE" w14:textId="69C78E25">
      <w:pPr>
        <w:pStyle w:val="Normal"/>
        <w:spacing w:line="360" w:lineRule="auto"/>
        <w:jc w:val="both"/>
      </w:pPr>
      <w:r w:rsidRPr="4B0DF1EC" w:rsidR="4765C76D">
        <w:rPr>
          <w:rFonts w:ascii="Arial" w:hAnsi="Arial" w:eastAsia="Arial" w:cs="Arial"/>
          <w:b w:val="1"/>
          <w:bCs w:val="1"/>
          <w:i w:val="0"/>
          <w:iCs w:val="0"/>
          <w:caps w:val="0"/>
          <w:smallCaps w:val="0"/>
          <w:noProof w:val="0"/>
          <w:color w:val="000000" w:themeColor="text1" w:themeTint="FF" w:themeShade="FF"/>
          <w:sz w:val="22"/>
          <w:szCs w:val="22"/>
          <w:lang w:val="en-GB"/>
        </w:rPr>
        <w:t>UK Data &amp; Statistical Evidence</w:t>
      </w:r>
    </w:p>
    <w:p w:rsidR="4B0DF1EC" w:rsidP="4B0DF1EC" w:rsidRDefault="4B0DF1EC" w14:paraId="37430EC6" w14:textId="3651941D">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7B57F868" w:rsidP="2AD1E4E8" w:rsidRDefault="7B57F868" w14:paraId="34572273" w14:textId="5A8D8634">
      <w:pPr>
        <w:pStyle w:val="ListParagraph"/>
        <w:numPr>
          <w:ilvl w:val="0"/>
          <w:numId w:val="17"/>
        </w:numPr>
        <w:spacing w:line="360" w:lineRule="auto"/>
        <w:jc w:val="both"/>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2AD1E4E8" w:rsidR="7B57F868">
        <w:rPr>
          <w:rFonts w:ascii="Arial" w:hAnsi="Arial" w:eastAsia="Arial" w:cs="Arial"/>
          <w:b w:val="1"/>
          <w:bCs w:val="1"/>
          <w:i w:val="0"/>
          <w:iCs w:val="0"/>
          <w:caps w:val="0"/>
          <w:smallCaps w:val="0"/>
          <w:noProof w:val="0"/>
          <w:color w:val="000000" w:themeColor="text1" w:themeTint="FF" w:themeShade="FF"/>
          <w:sz w:val="22"/>
          <w:szCs w:val="22"/>
          <w:u w:val="single"/>
          <w:lang w:val="en-GB"/>
        </w:rPr>
        <w:t>Table 2: UK Data Sources and Their Relevance to OCD Analysis</w:t>
      </w:r>
    </w:p>
    <w:tbl>
      <w:tblPr>
        <w:tblStyle w:val="TableNormal"/>
        <w:bidiVisual w:val="0"/>
        <w:tblW w:w="0" w:type="auto"/>
        <w:tblLook w:val="06A0" w:firstRow="1" w:lastRow="0" w:firstColumn="1" w:lastColumn="0" w:noHBand="1" w:noVBand="1"/>
      </w:tblPr>
      <w:tblGrid>
        <w:gridCol w:w="2338"/>
        <w:gridCol w:w="6677"/>
      </w:tblGrid>
      <w:tr w:rsidR="2AD1E4E8" w:rsidTr="4B0DF1EC" w14:paraId="00F3A61D">
        <w:trPr>
          <w:trHeight w:val="300"/>
        </w:trPr>
        <w:tc>
          <w:tcPr>
            <w:tcW w:w="2338"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2AD1E4E8" w:rsidP="2AD1E4E8" w:rsidRDefault="2AD1E4E8" w14:paraId="6508E7A0" w14:textId="249E343E">
            <w:pPr>
              <w:spacing w:before="0" w:beforeAutospacing="off" w:after="0" w:afterAutospacing="off" w:line="360" w:lineRule="auto"/>
              <w:jc w:val="center"/>
              <w:rPr>
                <w:b w:val="1"/>
                <w:bCs w:val="1"/>
                <w:sz w:val="22"/>
                <w:szCs w:val="22"/>
              </w:rPr>
            </w:pPr>
            <w:r w:rsidRPr="4B0DF1EC" w:rsidR="746C083B">
              <w:rPr>
                <w:b w:val="1"/>
                <w:bCs w:val="1"/>
                <w:color w:val="FF0000"/>
                <w:sz w:val="22"/>
                <w:szCs w:val="22"/>
              </w:rPr>
              <w:t>Data Source</w:t>
            </w:r>
          </w:p>
        </w:tc>
        <w:tc>
          <w:tcPr>
            <w:tcW w:w="6677"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2AD1E4E8" w:rsidP="4B0DF1EC" w:rsidRDefault="2AD1E4E8" w14:paraId="53573FC0" w14:textId="1A513B6E">
            <w:pPr>
              <w:spacing w:before="0" w:beforeAutospacing="off" w:after="0" w:afterAutospacing="off" w:line="360" w:lineRule="auto"/>
              <w:jc w:val="center"/>
              <w:rPr>
                <w:b w:val="1"/>
                <w:bCs w:val="1"/>
                <w:color w:val="FF0000"/>
                <w:sz w:val="22"/>
                <w:szCs w:val="22"/>
              </w:rPr>
            </w:pPr>
            <w:r w:rsidRPr="4B0DF1EC" w:rsidR="746C083B">
              <w:rPr>
                <w:b w:val="1"/>
                <w:bCs w:val="1"/>
                <w:color w:val="FF0000"/>
                <w:sz w:val="22"/>
                <w:szCs w:val="22"/>
              </w:rPr>
              <w:t>Specific Relevance to OCD Analysis</w:t>
            </w:r>
          </w:p>
        </w:tc>
      </w:tr>
      <w:tr w:rsidR="2AD1E4E8" w:rsidTr="4B0DF1EC" w14:paraId="3AFDD472">
        <w:trPr>
          <w:trHeight w:val="300"/>
        </w:trPr>
        <w:tc>
          <w:tcPr>
            <w:tcW w:w="2338"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2AD1E4E8" w:rsidP="2AD1E4E8" w:rsidRDefault="2AD1E4E8" w14:paraId="0D160C8B" w14:textId="305867FB">
            <w:pPr>
              <w:spacing w:before="0" w:beforeAutospacing="off" w:after="0" w:afterAutospacing="off" w:line="360" w:lineRule="auto"/>
              <w:jc w:val="center"/>
              <w:rPr>
                <w:b w:val="1"/>
                <w:bCs w:val="1"/>
                <w:sz w:val="22"/>
                <w:szCs w:val="22"/>
              </w:rPr>
            </w:pPr>
            <w:r w:rsidRPr="2AD1E4E8" w:rsidR="2AD1E4E8">
              <w:rPr>
                <w:b w:val="1"/>
                <w:bCs w:val="1"/>
                <w:sz w:val="22"/>
                <w:szCs w:val="22"/>
              </w:rPr>
              <w:t>NHS Digital</w:t>
            </w:r>
          </w:p>
        </w:tc>
        <w:tc>
          <w:tcPr>
            <w:tcW w:w="6677"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2AD1E4E8" w:rsidP="4B0DF1EC" w:rsidRDefault="2AD1E4E8" w14:paraId="6937EF15" w14:textId="0B3FBFCF">
            <w:pPr>
              <w:spacing w:before="0" w:beforeAutospacing="off" w:after="0" w:afterAutospacing="off" w:line="360" w:lineRule="auto"/>
              <w:jc w:val="center"/>
              <w:rPr>
                <w:sz w:val="22"/>
                <w:szCs w:val="22"/>
              </w:rPr>
            </w:pPr>
            <w:r w:rsidRPr="4B0DF1EC" w:rsidR="746C083B">
              <w:rPr>
                <w:sz w:val="22"/>
                <w:szCs w:val="22"/>
              </w:rPr>
              <w:t xml:space="preserve">Provides empirical data on waiting times for IAPT (Improving Access to Psychological Therapies) services. </w:t>
            </w:r>
          </w:p>
        </w:tc>
      </w:tr>
      <w:tr w:rsidR="2AD1E4E8" w:rsidTr="4B0DF1EC" w14:paraId="44030EA2">
        <w:trPr>
          <w:trHeight w:val="300"/>
        </w:trPr>
        <w:tc>
          <w:tcPr>
            <w:tcW w:w="2338"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2AD1E4E8" w:rsidP="2AD1E4E8" w:rsidRDefault="2AD1E4E8" w14:paraId="2BD719F5" w14:textId="0DD4ED0C">
            <w:pPr>
              <w:spacing w:before="0" w:beforeAutospacing="off" w:after="0" w:afterAutospacing="off" w:line="360" w:lineRule="auto"/>
              <w:jc w:val="center"/>
              <w:rPr>
                <w:b w:val="1"/>
                <w:bCs w:val="1"/>
                <w:sz w:val="22"/>
                <w:szCs w:val="22"/>
              </w:rPr>
            </w:pPr>
            <w:r w:rsidRPr="2AD1E4E8" w:rsidR="2AD1E4E8">
              <w:rPr>
                <w:b w:val="1"/>
                <w:bCs w:val="1"/>
                <w:sz w:val="22"/>
                <w:szCs w:val="22"/>
              </w:rPr>
              <w:t>ONS (Office for National Statistics)</w:t>
            </w:r>
          </w:p>
        </w:tc>
        <w:tc>
          <w:tcPr>
            <w:tcW w:w="6677"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2AD1E4E8" w:rsidP="4B0DF1EC" w:rsidRDefault="2AD1E4E8" w14:paraId="187D9968" w14:textId="3E789BCB">
            <w:pPr>
              <w:spacing w:before="0" w:beforeAutospacing="off" w:after="0" w:afterAutospacing="off" w:line="360" w:lineRule="auto"/>
              <w:jc w:val="center"/>
              <w:rPr>
                <w:sz w:val="22"/>
                <w:szCs w:val="22"/>
              </w:rPr>
            </w:pPr>
            <w:r w:rsidRPr="4B0DF1EC" w:rsidR="746C083B">
              <w:rPr>
                <w:sz w:val="22"/>
                <w:szCs w:val="22"/>
              </w:rPr>
              <w:t xml:space="preserve">Supplies population-level trends regarding the prevalence and impact of mental health disorders in the UK. </w:t>
            </w:r>
          </w:p>
        </w:tc>
      </w:tr>
      <w:tr w:rsidR="2AD1E4E8" w:rsidTr="4B0DF1EC" w14:paraId="4FEE03E5">
        <w:trPr>
          <w:trHeight w:val="300"/>
        </w:trPr>
        <w:tc>
          <w:tcPr>
            <w:tcW w:w="2338"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2AD1E4E8" w:rsidP="2AD1E4E8" w:rsidRDefault="2AD1E4E8" w14:paraId="5D2801E6" w14:textId="19755A67">
            <w:pPr>
              <w:spacing w:before="0" w:beforeAutospacing="off" w:after="0" w:afterAutospacing="off" w:line="360" w:lineRule="auto"/>
              <w:jc w:val="center"/>
            </w:pPr>
            <w:r w:rsidRPr="4B0DF1EC" w:rsidR="57316524">
              <w:rPr>
                <w:b w:val="1"/>
                <w:bCs w:val="1"/>
                <w:sz w:val="22"/>
                <w:szCs w:val="22"/>
              </w:rPr>
              <w:t>OHID</w:t>
            </w:r>
          </w:p>
          <w:p w:rsidR="2AD1E4E8" w:rsidP="2AD1E4E8" w:rsidRDefault="2AD1E4E8" w14:paraId="318FB954" w14:textId="12ADF962">
            <w:pPr>
              <w:spacing w:before="0" w:beforeAutospacing="off" w:after="0" w:afterAutospacing="off" w:line="360" w:lineRule="auto"/>
              <w:jc w:val="center"/>
            </w:pPr>
            <w:r w:rsidRPr="4B0DF1EC" w:rsidR="57316524">
              <w:rPr>
                <w:b w:val="1"/>
                <w:bCs w:val="1"/>
                <w:sz w:val="22"/>
                <w:szCs w:val="22"/>
              </w:rPr>
              <w:t xml:space="preserve"> (formerly PHE)</w:t>
            </w:r>
          </w:p>
        </w:tc>
        <w:tc>
          <w:tcPr>
            <w:tcW w:w="6677"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2AD1E4E8" w:rsidP="4B0DF1EC" w:rsidRDefault="2AD1E4E8" w14:paraId="471AAF9A" w14:textId="799F788A">
            <w:pPr>
              <w:spacing w:before="0" w:beforeAutospacing="off" w:after="0" w:afterAutospacing="off" w:line="360" w:lineRule="auto"/>
              <w:jc w:val="center"/>
              <w:rPr>
                <w:sz w:val="22"/>
                <w:szCs w:val="22"/>
              </w:rPr>
            </w:pPr>
            <w:r w:rsidRPr="4B0DF1EC" w:rsidR="746C083B">
              <w:rPr>
                <w:sz w:val="22"/>
                <w:szCs w:val="22"/>
              </w:rPr>
              <w:t>Offers public health insights into the socioeconomic determinants affecting mental health service access.</w:t>
            </w:r>
          </w:p>
        </w:tc>
      </w:tr>
    </w:tbl>
    <w:p w:rsidR="4B0DF1EC" w:rsidP="4B0DF1EC" w:rsidRDefault="4B0DF1EC" w14:paraId="60336911" w14:textId="6C9176DA">
      <w:pPr>
        <w:pStyle w:val="Normal"/>
        <w:spacing w:line="360" w:lineRule="auto"/>
        <w:ind w:left="0"/>
        <w:jc w:val="both"/>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4B0DF1EC" w:rsidP="4B0DF1EC" w:rsidRDefault="4B0DF1EC" w14:paraId="64F80B0D" w14:textId="16BA0988">
      <w:pPr>
        <w:pStyle w:val="Normal"/>
        <w:spacing w:line="360" w:lineRule="auto"/>
        <w:ind w:left="0"/>
        <w:jc w:val="both"/>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1AF6BF6F" w:rsidP="4B0DF1EC" w:rsidRDefault="1AF6BF6F" w14:paraId="224F4E77" w14:textId="1609560F">
      <w:pPr>
        <w:pStyle w:val="Normal"/>
        <w:spacing w:line="360" w:lineRule="auto"/>
        <w:jc w:val="both"/>
      </w:pPr>
      <w:r w:rsidRPr="4B0DF1EC" w:rsidR="1AF6BF6F">
        <w:rPr>
          <w:rFonts w:ascii="Arial" w:hAnsi="Arial" w:eastAsia="Arial" w:cs="Arial"/>
          <w:b w:val="0"/>
          <w:bCs w:val="0"/>
          <w:i w:val="0"/>
          <w:iCs w:val="0"/>
          <w:caps w:val="0"/>
          <w:smallCaps w:val="0"/>
          <w:noProof w:val="0"/>
          <w:color w:val="000000" w:themeColor="text1" w:themeTint="FF" w:themeShade="FF"/>
          <w:sz w:val="22"/>
          <w:szCs w:val="22"/>
          <w:lang w:val="en-GB"/>
        </w:rPr>
        <w:t xml:space="preserve">As summarised in Table 2, OCD service analysis relies on key national databases. ONS and NHS Digital data reveal that prolonged waiting times, compounded by socioeconomic disparities, remain critical barriers (Lowther-Payne </w:t>
      </w:r>
      <w:r w:rsidRPr="4B0DF1EC" w:rsidR="1AF6BF6F">
        <w:rPr>
          <w:rFonts w:ascii="Arial" w:hAnsi="Arial" w:eastAsia="Arial" w:cs="Arial"/>
          <w:b w:val="0"/>
          <w:bCs w:val="0"/>
          <w:i w:val="1"/>
          <w:iCs w:val="1"/>
          <w:caps w:val="0"/>
          <w:smallCaps w:val="0"/>
          <w:noProof w:val="0"/>
          <w:color w:val="000000" w:themeColor="text1" w:themeTint="FF" w:themeShade="FF"/>
          <w:sz w:val="22"/>
          <w:szCs w:val="22"/>
          <w:lang w:val="en-GB"/>
        </w:rPr>
        <w:t>et al.,</w:t>
      </w:r>
      <w:r w:rsidRPr="4B0DF1EC" w:rsidR="1AF6BF6F">
        <w:rPr>
          <w:rFonts w:ascii="Arial" w:hAnsi="Arial" w:eastAsia="Arial" w:cs="Arial"/>
          <w:b w:val="0"/>
          <w:bCs w:val="0"/>
          <w:i w:val="0"/>
          <w:iCs w:val="0"/>
          <w:caps w:val="0"/>
          <w:smallCaps w:val="0"/>
          <w:noProof w:val="0"/>
          <w:color w:val="000000" w:themeColor="text1" w:themeTint="FF" w:themeShade="FF"/>
          <w:sz w:val="22"/>
          <w:szCs w:val="22"/>
          <w:lang w:val="en-GB"/>
        </w:rPr>
        <w:t xml:space="preserve"> 2023). Lower social capital further restricts individuals' 'ability to seek' and 'reach' services (Lowther-Payne </w:t>
      </w:r>
      <w:r w:rsidRPr="4B0DF1EC" w:rsidR="1AF6BF6F">
        <w:rPr>
          <w:rFonts w:ascii="Arial" w:hAnsi="Arial" w:eastAsia="Arial" w:cs="Arial"/>
          <w:b w:val="0"/>
          <w:bCs w:val="0"/>
          <w:i w:val="1"/>
          <w:iCs w:val="1"/>
          <w:caps w:val="0"/>
          <w:smallCaps w:val="0"/>
          <w:noProof w:val="0"/>
          <w:color w:val="000000" w:themeColor="text1" w:themeTint="FF" w:themeShade="FF"/>
          <w:sz w:val="22"/>
          <w:szCs w:val="22"/>
          <w:lang w:val="en-GB"/>
        </w:rPr>
        <w:t>et al.</w:t>
      </w:r>
      <w:r w:rsidRPr="4B0DF1EC" w:rsidR="1AF6BF6F">
        <w:rPr>
          <w:rFonts w:ascii="Arial" w:hAnsi="Arial" w:eastAsia="Arial" w:cs="Arial"/>
          <w:b w:val="0"/>
          <w:bCs w:val="0"/>
          <w:i w:val="0"/>
          <w:iCs w:val="0"/>
          <w:caps w:val="0"/>
          <w:smallCaps w:val="0"/>
          <w:noProof w:val="0"/>
          <w:color w:val="000000" w:themeColor="text1" w:themeTint="FF" w:themeShade="FF"/>
          <w:sz w:val="22"/>
          <w:szCs w:val="22"/>
          <w:lang w:val="en-GB"/>
        </w:rPr>
        <w:t>, 2023). Despite policy targets, access inequalities remain stagnant (NHS England, 2025). Without neurodivergence-informed training and reduced funding fragmentation, Equality Act (2010) and Care Act (2014) protections remain unrealized, leaving patients vulnerable to therapeutic stagnation and socioeconomic marginalization (Exceptional Individuals, 2025).</w:t>
      </w:r>
    </w:p>
    <w:p w:rsidR="2AD1E4E8" w:rsidRDefault="2AD1E4E8" w14:paraId="6F01D5DC" w14:textId="2139BE0C">
      <w:r>
        <w:br w:type="page"/>
      </w:r>
    </w:p>
    <w:p w:rsidR="268AAB7A" w:rsidP="2AD1E4E8" w:rsidRDefault="268AAB7A" w14:paraId="3E32486F" w14:textId="1DDFF527">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r w:rsidRPr="4B0DF1EC" w:rsidR="74DB5328">
        <w:rPr>
          <w:rFonts w:ascii="Arial" w:hAnsi="Arial" w:eastAsia="Arial" w:cs="Arial"/>
          <w:b w:val="1"/>
          <w:bCs w:val="1"/>
          <w:i w:val="0"/>
          <w:iCs w:val="0"/>
          <w:caps w:val="0"/>
          <w:smallCaps w:val="0"/>
          <w:noProof w:val="0"/>
          <w:color w:val="000000" w:themeColor="text1" w:themeTint="FF" w:themeShade="FF"/>
          <w:sz w:val="28"/>
          <w:szCs w:val="28"/>
          <w:lang w:val="en-GB"/>
        </w:rPr>
        <w:t xml:space="preserve">Recommendations </w:t>
      </w:r>
    </w:p>
    <w:p w:rsidR="18B797E6" w:rsidP="4B0DF1EC" w:rsidRDefault="18B797E6" w14:paraId="12D7A609" w14:textId="4E3275F5">
      <w:pPr>
        <w:pStyle w:val="Normal"/>
        <w:spacing w:line="360" w:lineRule="auto"/>
        <w:jc w:val="both"/>
      </w:pPr>
      <w:r w:rsidRPr="4B0DF1EC" w:rsidR="18B797E6">
        <w:rPr>
          <w:rFonts w:ascii="Arial" w:hAnsi="Arial" w:eastAsia="Arial" w:cs="Arial"/>
          <w:b w:val="0"/>
          <w:bCs w:val="0"/>
          <w:i w:val="0"/>
          <w:iCs w:val="0"/>
          <w:caps w:val="0"/>
          <w:smallCaps w:val="0"/>
          <w:noProof w:val="0"/>
          <w:color w:val="000000" w:themeColor="text1" w:themeTint="FF" w:themeShade="FF"/>
          <w:sz w:val="22"/>
          <w:szCs w:val="22"/>
          <w:lang w:val="en-GB"/>
        </w:rPr>
        <w:t>To improve OCD outcomes, the NHS must transition from standardized models toward personalized, neuro-inclusive care. First, practitioners require specialized training; as Weinberg et al. (2025) demonstrate, diagnostic inaccuracy is a significant clinical barrier. Training must focus on distinguishing OCD from neurodivergent traits to prevent misdiagnosis, adhering to the latest NICE (2024) guidelines which mandate specialized expertise for effective Exposure and Response Prevention (ERP).</w:t>
      </w:r>
    </w:p>
    <w:p w:rsidR="18B797E6" w:rsidP="4B0DF1EC" w:rsidRDefault="18B797E6" w14:paraId="18BBAC3E" w14:textId="44A30DDA">
      <w:pPr>
        <w:pStyle w:val="Normal"/>
        <w:spacing w:line="360" w:lineRule="auto"/>
        <w:jc w:val="both"/>
      </w:pPr>
      <w:r w:rsidRPr="4B0DF1EC" w:rsidR="18B797E6">
        <w:rPr>
          <w:rFonts w:ascii="Arial" w:hAnsi="Arial" w:eastAsia="Arial" w:cs="Arial"/>
          <w:b w:val="0"/>
          <w:bCs w:val="0"/>
          <w:i w:val="0"/>
          <w:iCs w:val="0"/>
          <w:caps w:val="0"/>
          <w:smallCaps w:val="0"/>
          <w:noProof w:val="0"/>
          <w:color w:val="000000" w:themeColor="text1" w:themeTint="FF" w:themeShade="FF"/>
          <w:sz w:val="22"/>
          <w:szCs w:val="22"/>
          <w:lang w:val="en-GB"/>
        </w:rPr>
        <w:t>Second, legislative reform must be operationalized. While amendments to the Mental Health Act (1983) are necessary, they must ensure individuals with treatment-refractory OCD are not cycled through involuntary detention without community support (NHS, 2026). Legislators should prioritize the Care Act (2014), ensuring social care funding bridges the gap between clinical discharge and social reintegration.</w:t>
      </w:r>
    </w:p>
    <w:p w:rsidR="18B797E6" w:rsidP="4B0DF1EC" w:rsidRDefault="18B797E6" w14:paraId="19B73967" w14:textId="5D0A946F">
      <w:pPr>
        <w:pStyle w:val="Normal"/>
        <w:spacing w:line="360" w:lineRule="auto"/>
        <w:jc w:val="both"/>
      </w:pPr>
      <w:r w:rsidRPr="4B0DF1EC" w:rsidR="18B797E6">
        <w:rPr>
          <w:rFonts w:ascii="Arial" w:hAnsi="Arial" w:eastAsia="Arial" w:cs="Arial"/>
          <w:b w:val="0"/>
          <w:bCs w:val="0"/>
          <w:i w:val="0"/>
          <w:iCs w:val="0"/>
          <w:caps w:val="0"/>
          <w:smallCaps w:val="0"/>
          <w:noProof w:val="0"/>
          <w:color w:val="000000" w:themeColor="text1" w:themeTint="FF" w:themeShade="FF"/>
          <w:sz w:val="22"/>
          <w:szCs w:val="22"/>
          <w:lang w:val="en-GB"/>
        </w:rPr>
        <w:t xml:space="preserve">Finally, addressing the "postcode lottery" identified by Lowther-Payne </w:t>
      </w:r>
      <w:r w:rsidRPr="4B0DF1EC" w:rsidR="18B797E6">
        <w:rPr>
          <w:rFonts w:ascii="Arial" w:hAnsi="Arial" w:eastAsia="Arial" w:cs="Arial"/>
          <w:b w:val="0"/>
          <w:bCs w:val="0"/>
          <w:i w:val="1"/>
          <w:iCs w:val="1"/>
          <w:caps w:val="0"/>
          <w:smallCaps w:val="0"/>
          <w:noProof w:val="0"/>
          <w:color w:val="000000" w:themeColor="text1" w:themeTint="FF" w:themeShade="FF"/>
          <w:sz w:val="22"/>
          <w:szCs w:val="22"/>
          <w:lang w:val="en-GB"/>
        </w:rPr>
        <w:t>et al.</w:t>
      </w:r>
      <w:r w:rsidRPr="4B0DF1EC" w:rsidR="18B797E6">
        <w:rPr>
          <w:rFonts w:ascii="Arial" w:hAnsi="Arial" w:eastAsia="Arial" w:cs="Arial"/>
          <w:b w:val="0"/>
          <w:bCs w:val="0"/>
          <w:i w:val="0"/>
          <w:iCs w:val="0"/>
          <w:caps w:val="0"/>
          <w:smallCaps w:val="0"/>
          <w:noProof w:val="0"/>
          <w:color w:val="000000" w:themeColor="text1" w:themeTint="FF" w:themeShade="FF"/>
          <w:sz w:val="22"/>
          <w:szCs w:val="22"/>
          <w:lang w:val="en-GB"/>
        </w:rPr>
        <w:t xml:space="preserve"> (2023) is essential. </w:t>
      </w:r>
    </w:p>
    <w:p w:rsidR="18B797E6" w:rsidP="4B0DF1EC" w:rsidRDefault="18B797E6" w14:paraId="03A96342" w14:textId="7991258F">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u w:val="single"/>
          <w:lang w:val="en-GB"/>
        </w:rPr>
      </w:pPr>
      <w:r w:rsidRPr="4B0DF1EC" w:rsidR="18B797E6">
        <w:rPr>
          <w:rFonts w:ascii="Arial" w:hAnsi="Arial" w:eastAsia="Arial" w:cs="Arial"/>
          <w:b w:val="0"/>
          <w:bCs w:val="0"/>
          <w:i w:val="0"/>
          <w:iCs w:val="0"/>
          <w:caps w:val="0"/>
          <w:smallCaps w:val="0"/>
          <w:noProof w:val="0"/>
          <w:color w:val="000000" w:themeColor="text1" w:themeTint="FF" w:themeShade="FF"/>
          <w:sz w:val="22"/>
          <w:szCs w:val="22"/>
          <w:u w:val="single"/>
          <w:lang w:val="en-GB"/>
        </w:rPr>
        <w:t>Recommendations include:</w:t>
      </w:r>
    </w:p>
    <w:p w:rsidR="18B797E6" w:rsidP="4B0DF1EC" w:rsidRDefault="18B797E6" w14:paraId="19281F8C" w14:textId="7F5211E2">
      <w:pPr>
        <w:pStyle w:val="ListParagraph"/>
        <w:numPr>
          <w:ilvl w:val="0"/>
          <w:numId w:val="19"/>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B0DF1EC" w:rsidR="18B797E6">
        <w:rPr>
          <w:rFonts w:ascii="Arial" w:hAnsi="Arial" w:eastAsia="Arial" w:cs="Arial"/>
          <w:b w:val="0"/>
          <w:bCs w:val="0"/>
          <w:i w:val="0"/>
          <w:iCs w:val="0"/>
          <w:caps w:val="0"/>
          <w:smallCaps w:val="0"/>
          <w:noProof w:val="0"/>
          <w:color w:val="000000" w:themeColor="text1" w:themeTint="FF" w:themeShade="FF"/>
          <w:sz w:val="22"/>
          <w:szCs w:val="22"/>
          <w:lang w:val="en-GB"/>
        </w:rPr>
        <w:t xml:space="preserve">Targeted Funding: </w:t>
      </w:r>
    </w:p>
    <w:p w:rsidR="18B797E6" w:rsidP="4B0DF1EC" w:rsidRDefault="18B797E6" w14:paraId="43838FE5" w14:textId="15C4ED08">
      <w:pPr>
        <w:pStyle w:val="Normal"/>
        <w:spacing w:line="360" w:lineRule="auto"/>
        <w:jc w:val="both"/>
      </w:pPr>
      <w:r w:rsidRPr="4B0DF1EC" w:rsidR="18B797E6">
        <w:rPr>
          <w:rFonts w:ascii="Arial" w:hAnsi="Arial" w:eastAsia="Arial" w:cs="Arial"/>
          <w:b w:val="0"/>
          <w:bCs w:val="0"/>
          <w:i w:val="0"/>
          <w:iCs w:val="0"/>
          <w:caps w:val="0"/>
          <w:smallCaps w:val="0"/>
          <w:noProof w:val="0"/>
          <w:color w:val="000000" w:themeColor="text1" w:themeTint="FF" w:themeShade="FF"/>
          <w:sz w:val="22"/>
          <w:szCs w:val="22"/>
          <w:lang w:val="en-GB"/>
        </w:rPr>
        <w:t xml:space="preserve">Redirecting resources to areas of socioeconomic deprivation to mitigate the "ability to reach" barriers (Lowther-Payne </w:t>
      </w:r>
      <w:r w:rsidRPr="4B0DF1EC" w:rsidR="18B797E6">
        <w:rPr>
          <w:rFonts w:ascii="Arial" w:hAnsi="Arial" w:eastAsia="Arial" w:cs="Arial"/>
          <w:b w:val="0"/>
          <w:bCs w:val="0"/>
          <w:i w:val="1"/>
          <w:iCs w:val="1"/>
          <w:caps w:val="0"/>
          <w:smallCaps w:val="0"/>
          <w:noProof w:val="0"/>
          <w:color w:val="000000" w:themeColor="text1" w:themeTint="FF" w:themeShade="FF"/>
          <w:sz w:val="22"/>
          <w:szCs w:val="22"/>
          <w:lang w:val="en-GB"/>
        </w:rPr>
        <w:t>et al.</w:t>
      </w:r>
      <w:r w:rsidRPr="4B0DF1EC" w:rsidR="18B797E6">
        <w:rPr>
          <w:rFonts w:ascii="Arial" w:hAnsi="Arial" w:eastAsia="Arial" w:cs="Arial"/>
          <w:b w:val="0"/>
          <w:bCs w:val="0"/>
          <w:i w:val="0"/>
          <w:iCs w:val="0"/>
          <w:caps w:val="0"/>
          <w:smallCaps w:val="0"/>
          <w:noProof w:val="0"/>
          <w:color w:val="000000" w:themeColor="text1" w:themeTint="FF" w:themeShade="FF"/>
          <w:sz w:val="22"/>
          <w:szCs w:val="22"/>
          <w:lang w:val="en-GB"/>
        </w:rPr>
        <w:t>, 2023).</w:t>
      </w:r>
    </w:p>
    <w:p w:rsidR="18B797E6" w:rsidP="4B0DF1EC" w:rsidRDefault="18B797E6" w14:paraId="05658296" w14:textId="710FF5C1">
      <w:pPr>
        <w:pStyle w:val="ListParagraph"/>
        <w:numPr>
          <w:ilvl w:val="0"/>
          <w:numId w:val="20"/>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B0DF1EC" w:rsidR="18B797E6">
        <w:rPr>
          <w:rFonts w:ascii="Arial" w:hAnsi="Arial" w:eastAsia="Arial" w:cs="Arial"/>
          <w:b w:val="0"/>
          <w:bCs w:val="0"/>
          <w:i w:val="0"/>
          <w:iCs w:val="0"/>
          <w:caps w:val="0"/>
          <w:smallCaps w:val="0"/>
          <w:noProof w:val="0"/>
          <w:color w:val="000000" w:themeColor="text1" w:themeTint="FF" w:themeShade="FF"/>
          <w:sz w:val="22"/>
          <w:szCs w:val="22"/>
          <w:lang w:val="en-GB"/>
        </w:rPr>
        <w:t xml:space="preserve">Integrated Advocacy: </w:t>
      </w:r>
    </w:p>
    <w:p w:rsidR="18B797E6" w:rsidP="4B0DF1EC" w:rsidRDefault="18B797E6" w14:paraId="2663885C" w14:textId="61C44F95">
      <w:pPr>
        <w:pStyle w:val="Normal"/>
        <w:spacing w:line="360" w:lineRule="auto"/>
        <w:jc w:val="both"/>
      </w:pPr>
      <w:r w:rsidRPr="4B0DF1EC" w:rsidR="18B797E6">
        <w:rPr>
          <w:rFonts w:ascii="Arial" w:hAnsi="Arial" w:eastAsia="Arial" w:cs="Arial"/>
          <w:b w:val="0"/>
          <w:bCs w:val="0"/>
          <w:i w:val="0"/>
          <w:iCs w:val="0"/>
          <w:caps w:val="0"/>
          <w:smallCaps w:val="0"/>
          <w:noProof w:val="0"/>
          <w:color w:val="000000" w:themeColor="text1" w:themeTint="FF" w:themeShade="FF"/>
          <w:sz w:val="22"/>
          <w:szCs w:val="22"/>
          <w:lang w:val="en-GB"/>
        </w:rPr>
        <w:t>Formalizing the role of third-sector organizations like Mind and Samaritans within regional care pathways to ensure continuous support (Samaritans, 2025).</w:t>
      </w:r>
    </w:p>
    <w:p w:rsidR="18B797E6" w:rsidP="4B0DF1EC" w:rsidRDefault="18B797E6" w14:paraId="1B9DC2DA" w14:textId="4B975AF7">
      <w:pPr>
        <w:pStyle w:val="ListParagraph"/>
        <w:numPr>
          <w:ilvl w:val="0"/>
          <w:numId w:val="21"/>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B0DF1EC" w:rsidR="18B797E6">
        <w:rPr>
          <w:rFonts w:ascii="Arial" w:hAnsi="Arial" w:eastAsia="Arial" w:cs="Arial"/>
          <w:b w:val="0"/>
          <w:bCs w:val="0"/>
          <w:i w:val="0"/>
          <w:iCs w:val="0"/>
          <w:caps w:val="0"/>
          <w:smallCaps w:val="0"/>
          <w:noProof w:val="0"/>
          <w:color w:val="000000" w:themeColor="text1" w:themeTint="FF" w:themeShade="FF"/>
          <w:sz w:val="22"/>
          <w:szCs w:val="22"/>
          <w:lang w:val="en-GB"/>
        </w:rPr>
        <w:t xml:space="preserve">Data Transparency: </w:t>
      </w:r>
    </w:p>
    <w:p w:rsidR="18B797E6" w:rsidP="4B0DF1EC" w:rsidRDefault="18B797E6" w14:paraId="20078211" w14:textId="3D25CE16">
      <w:pPr>
        <w:pStyle w:val="Normal"/>
        <w:spacing w:line="360" w:lineRule="auto"/>
        <w:jc w:val="both"/>
      </w:pPr>
      <w:r w:rsidRPr="4B0DF1EC" w:rsidR="18B797E6">
        <w:rPr>
          <w:rFonts w:ascii="Arial" w:hAnsi="Arial" w:eastAsia="Arial" w:cs="Arial"/>
          <w:b w:val="0"/>
          <w:bCs w:val="0"/>
          <w:i w:val="0"/>
          <w:iCs w:val="0"/>
          <w:caps w:val="0"/>
          <w:smallCaps w:val="0"/>
          <w:noProof w:val="0"/>
          <w:color w:val="000000" w:themeColor="text1" w:themeTint="FF" w:themeShade="FF"/>
          <w:sz w:val="22"/>
          <w:szCs w:val="22"/>
          <w:lang w:val="en-GB"/>
        </w:rPr>
        <w:t>Utilizing 2025/26 operational frameworks to enforce accountability based on long-term clinical outcomes rather than administrative service throughput (NHS England, 2025).</w:t>
      </w:r>
    </w:p>
    <w:p w:rsidR="18B797E6" w:rsidP="4B0DF1EC" w:rsidRDefault="18B797E6" w14:paraId="6A4BDB80" w14:textId="33C77B98">
      <w:pPr>
        <w:pStyle w:val="Normal"/>
        <w:spacing w:line="360" w:lineRule="auto"/>
        <w:jc w:val="both"/>
      </w:pPr>
      <w:r w:rsidRPr="4B0DF1EC" w:rsidR="18B797E6">
        <w:rPr>
          <w:rFonts w:ascii="Arial" w:hAnsi="Arial" w:eastAsia="Arial" w:cs="Arial"/>
          <w:b w:val="0"/>
          <w:bCs w:val="0"/>
          <w:i w:val="0"/>
          <w:iCs w:val="0"/>
          <w:caps w:val="0"/>
          <w:smallCaps w:val="0"/>
          <w:noProof w:val="0"/>
          <w:color w:val="000000" w:themeColor="text1" w:themeTint="FF" w:themeShade="FF"/>
          <w:sz w:val="22"/>
          <w:szCs w:val="22"/>
          <w:lang w:val="en-GB"/>
        </w:rPr>
        <w:t>By aligning protections under the Equality Act (2010) with neuro-inclusive practice, the NHS can move beyond fragmentation. These reforms are essential to ensure the UK’s mental health framework delivers accessible, long-term recovery for all.</w:t>
      </w:r>
    </w:p>
    <w:p w:rsidR="2AD1E4E8" w:rsidRDefault="2AD1E4E8" w14:paraId="587939BE" w14:textId="78AB9010">
      <w:r>
        <w:br w:type="page"/>
      </w:r>
    </w:p>
    <w:p w:rsidR="1EC0AF15" w:rsidP="2AD1E4E8" w:rsidRDefault="1EC0AF15" w14:paraId="55288F2C" w14:textId="6E7B417D">
      <w:pPr>
        <w:pStyle w:val="Normal"/>
        <w:spacing w:line="360" w:lineRule="auto"/>
        <w:jc w:val="both"/>
      </w:pPr>
      <w:r w:rsidRPr="2AD1E4E8" w:rsidR="1EC0AF15">
        <w:rPr>
          <w:rFonts w:ascii="Arial" w:hAnsi="Arial" w:eastAsia="Arial" w:cs="Arial"/>
          <w:b w:val="1"/>
          <w:bCs w:val="1"/>
          <w:i w:val="0"/>
          <w:iCs w:val="0"/>
          <w:caps w:val="0"/>
          <w:smallCaps w:val="0"/>
          <w:noProof w:val="0"/>
          <w:color w:val="000000" w:themeColor="text1" w:themeTint="FF" w:themeShade="FF"/>
          <w:sz w:val="28"/>
          <w:szCs w:val="28"/>
          <w:lang w:val="en-GB"/>
        </w:rPr>
        <w:t>Conclusion</w:t>
      </w:r>
    </w:p>
    <w:p w:rsidR="1EE45FF3" w:rsidP="2AD1E4E8" w:rsidRDefault="1EE45FF3" w14:paraId="008FA028" w14:textId="5FB53AFD">
      <w:pPr>
        <w:pStyle w:val="Normal"/>
        <w:spacing w:line="360" w:lineRule="auto"/>
        <w:jc w:val="both"/>
      </w:pPr>
      <w:r w:rsidRPr="4B0DF1EC" w:rsidR="3AAEAC29">
        <w:rPr>
          <w:sz w:val="22"/>
          <w:szCs w:val="22"/>
        </w:rPr>
        <w:t>This report critically evaluated UK OCD treatment, revealing a systemic paradox: while evidence-based frameworks like NICE (20</w:t>
      </w:r>
      <w:r w:rsidRPr="4B0DF1EC" w:rsidR="3DACEA7E">
        <w:rPr>
          <w:sz w:val="22"/>
          <w:szCs w:val="22"/>
        </w:rPr>
        <w:t>24</w:t>
      </w:r>
      <w:r w:rsidRPr="4B0DF1EC" w:rsidR="3AAEAC29">
        <w:rPr>
          <w:sz w:val="22"/>
          <w:szCs w:val="22"/>
        </w:rPr>
        <w:t xml:space="preserve">) exist, outcomes are undermined by structural fragmentation and diagnostic inaccuracy. The reliance on standardized care models </w:t>
      </w:r>
      <w:r w:rsidRPr="4B0DF1EC" w:rsidR="3AAEAC29">
        <w:rPr>
          <w:sz w:val="22"/>
          <w:szCs w:val="22"/>
        </w:rPr>
        <w:t>frequently</w:t>
      </w:r>
      <w:r w:rsidRPr="4B0DF1EC" w:rsidR="3AAEAC29">
        <w:rPr>
          <w:sz w:val="22"/>
          <w:szCs w:val="22"/>
        </w:rPr>
        <w:t xml:space="preserve"> </w:t>
      </w:r>
      <w:r w:rsidRPr="4B0DF1EC" w:rsidR="3AAEAC29">
        <w:rPr>
          <w:sz w:val="22"/>
          <w:szCs w:val="22"/>
        </w:rPr>
        <w:t>fails to</w:t>
      </w:r>
      <w:r w:rsidRPr="4B0DF1EC" w:rsidR="3AAEAC29">
        <w:rPr>
          <w:sz w:val="22"/>
          <w:szCs w:val="22"/>
        </w:rPr>
        <w:t xml:space="preserve"> address the complexities of neurodivergent presentations, leading to significant delays in accessing specialized interventions like ERP (Weinberg </w:t>
      </w:r>
      <w:r w:rsidRPr="4B0DF1EC" w:rsidR="3AAEAC29">
        <w:rPr>
          <w:i w:val="1"/>
          <w:iCs w:val="1"/>
          <w:sz w:val="22"/>
          <w:szCs w:val="22"/>
        </w:rPr>
        <w:t>et al.</w:t>
      </w:r>
      <w:r w:rsidRPr="4B0DF1EC" w:rsidR="3AAEAC29">
        <w:rPr>
          <w:sz w:val="22"/>
          <w:szCs w:val="22"/>
        </w:rPr>
        <w:t>, 2025). Furthermore, while the Equality Act (2010) and proposed Mental Health Act (1983) reforms aim to protect patient rights, their efficacy is constrained by socioeconomic disparities and a "postcode lottery" of service provision (Lowther-Payne</w:t>
      </w:r>
      <w:r w:rsidRPr="4B0DF1EC" w:rsidR="3AAEAC29">
        <w:rPr>
          <w:i w:val="1"/>
          <w:iCs w:val="1"/>
          <w:sz w:val="22"/>
          <w:szCs w:val="22"/>
        </w:rPr>
        <w:t xml:space="preserve"> et al</w:t>
      </w:r>
      <w:r w:rsidRPr="4B0DF1EC" w:rsidR="3AAEAC29">
        <w:rPr>
          <w:sz w:val="22"/>
          <w:szCs w:val="22"/>
        </w:rPr>
        <w:t>., 2023).</w:t>
      </w:r>
    </w:p>
    <w:p w:rsidR="1EE45FF3" w:rsidP="2AD1E4E8" w:rsidRDefault="1EE45FF3" w14:paraId="2A488C7E" w14:textId="39853383">
      <w:pPr>
        <w:pStyle w:val="Normal"/>
        <w:spacing w:line="360" w:lineRule="auto"/>
        <w:jc w:val="both"/>
      </w:pPr>
      <w:r w:rsidRPr="4B0DF1EC" w:rsidR="3AAEAC29">
        <w:rPr>
          <w:sz w:val="22"/>
          <w:szCs w:val="22"/>
        </w:rPr>
        <w:t>Future success under the NHS 10 Year Health Plan depends on shifting from reactive throughput to proactive, neuro-inclusive rehabilitation (NHS England, 2025). Policy must prioritize specialized clinical training to bridge diagnostic gaps and ensure sustainable funding for integrated community care. Ultimately, improving OCD outcomes requires moving beyond mere legislative compliance toward a model valuing clinical nuance and equity. The path to a sustainable system necessitates not only organizational reform but a renewed commitment to addressing the foundational inequalities that dictate patient access to high-quality care (Lowther-Payne</w:t>
      </w:r>
      <w:r w:rsidRPr="4B0DF1EC" w:rsidR="3AAEAC29">
        <w:rPr>
          <w:i w:val="1"/>
          <w:iCs w:val="1"/>
          <w:sz w:val="22"/>
          <w:szCs w:val="22"/>
        </w:rPr>
        <w:t xml:space="preserve"> et al</w:t>
      </w:r>
      <w:r w:rsidRPr="4B0DF1EC" w:rsidR="3AAEAC29">
        <w:rPr>
          <w:sz w:val="22"/>
          <w:szCs w:val="22"/>
        </w:rPr>
        <w:t>., 2023).</w:t>
      </w:r>
    </w:p>
    <w:p w:rsidR="2AD1E4E8" w:rsidP="2AD1E4E8" w:rsidRDefault="2AD1E4E8" w14:paraId="3525FF73" w14:textId="2CB4A7F3">
      <w:pPr>
        <w:pStyle w:val="Normal"/>
        <w:rPr>
          <w:sz w:val="22"/>
          <w:szCs w:val="22"/>
        </w:rPr>
      </w:pPr>
    </w:p>
    <w:p w:rsidR="2AD1E4E8" w:rsidP="2AD1E4E8" w:rsidRDefault="2AD1E4E8" w14:paraId="6E0B414A" w14:textId="4DB68E90">
      <w:pPr>
        <w:pStyle w:val="Normal"/>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pPr>
    </w:p>
    <w:p w:rsidR="2AD1E4E8" w:rsidRDefault="2AD1E4E8" w14:paraId="48ED1051" w14:textId="0D0DACBD">
      <w:r>
        <w:br w:type="page"/>
      </w:r>
    </w:p>
    <w:p w:rsidR="727324E8" w:rsidP="2AD1E4E8" w:rsidRDefault="727324E8" w14:paraId="3B7F1332" w14:textId="27F8FC09">
      <w:pPr>
        <w:pStyle w:val="Normal"/>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pPr>
      <w:r w:rsidRPr="2AD1E4E8" w:rsidR="727324E8">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t>REFERENCE LIST</w:t>
      </w:r>
    </w:p>
    <w:p w:rsidR="53C24BB4" w:rsidP="4B0DF1EC" w:rsidRDefault="53C24BB4" w14:paraId="69F28183" w14:textId="597383E6">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0"/>
          <w:bCs w:val="0"/>
          <w:noProof w:val="0"/>
          <w:sz w:val="22"/>
          <w:szCs w:val="22"/>
          <w:lang w:val="en-GB"/>
        </w:rPr>
      </w:pP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American Psychiatric Association (APA), (2022), </w:t>
      </w:r>
      <w:r w:rsidRPr="4B0DF1EC" w:rsidR="7E7B097C">
        <w:rPr>
          <w:rFonts w:ascii="Arial" w:hAnsi="Arial" w:eastAsia="Arial" w:cs="Arial" w:asciiTheme="minorAscii" w:hAnsiTheme="minorAscii" w:eastAsiaTheme="minorAscii" w:cstheme="minorAscii"/>
          <w:b w:val="0"/>
          <w:bCs w:val="0"/>
          <w:i w:val="1"/>
          <w:iCs w:val="1"/>
          <w:noProof w:val="0"/>
          <w:sz w:val="22"/>
          <w:szCs w:val="22"/>
          <w:lang w:val="en-GB"/>
        </w:rPr>
        <w:t>Diagnostic and Statistical Manual of Mental Disorders (DSM-5-TR)</w:t>
      </w: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5th </w:t>
      </w:r>
      <w:r w:rsidRPr="4B0DF1EC" w:rsidR="7E7B097C">
        <w:rPr>
          <w:rFonts w:ascii="Arial" w:hAnsi="Arial" w:eastAsia="Arial" w:cs="Arial" w:asciiTheme="minorAscii" w:hAnsiTheme="minorAscii" w:eastAsiaTheme="minorAscii" w:cstheme="minorAscii"/>
          <w:b w:val="0"/>
          <w:bCs w:val="0"/>
          <w:noProof w:val="0"/>
          <w:sz w:val="22"/>
          <w:szCs w:val="22"/>
          <w:lang w:val="en-GB"/>
        </w:rPr>
        <w:t>edn</w:t>
      </w: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Washington, DC: APA., Available at: </w:t>
      </w:r>
      <w:hyperlink r:id="R1b32171d887145a1">
        <w:r w:rsidRPr="4B0DF1EC" w:rsidR="7E7B097C">
          <w:rPr>
            <w:rStyle w:val="Hyperlink"/>
            <w:rFonts w:ascii="Arial" w:hAnsi="Arial" w:eastAsia="Arial" w:cs="Arial" w:asciiTheme="minorAscii" w:hAnsiTheme="minorAscii" w:eastAsiaTheme="minorAscii" w:cstheme="minorAscii"/>
            <w:b w:val="0"/>
            <w:bCs w:val="0"/>
            <w:noProof w:val="0"/>
            <w:sz w:val="22"/>
            <w:szCs w:val="22"/>
            <w:lang w:val="en-GB"/>
          </w:rPr>
          <w:t>https://www.psychiatry.ru/siteconst/userfiles/file/book/%D0%90%D0%BD%D0%B3%D0%BB%D0%BE%D1%8F%D0%B7%D1%8B%D1%87%D0%BD%D0%B0%D1%8F%20%D0%BB%D0%B8%D1%82%D0%B5%D1%80%D0%B0%D1%82%D1%83%D1%80%D0%B0%20%D0%BF%D0%BE%20%D0%BF%D1%81%D0%B8%D1%85%D0%B8%D0%B0%D1%82%D1%80%D0%B8%D0%B8/DSM%205%20TR-APA%20(2022).pdf</w:t>
        </w:r>
      </w:hyperlink>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(Accessed </w:t>
      </w:r>
      <w:r w:rsidRPr="4B0DF1EC" w:rsidR="2E3298E9">
        <w:rPr>
          <w:rFonts w:ascii="Arial" w:hAnsi="Arial" w:eastAsia="Arial" w:cs="Arial" w:asciiTheme="minorAscii" w:hAnsiTheme="minorAscii" w:eastAsiaTheme="minorAscii" w:cstheme="minorAscii"/>
          <w:b w:val="0"/>
          <w:bCs w:val="0"/>
          <w:noProof w:val="0"/>
          <w:sz w:val="22"/>
          <w:szCs w:val="22"/>
          <w:lang w:val="en-GB"/>
        </w:rPr>
        <w:t>14 June</w:t>
      </w: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2026)</w:t>
      </w:r>
      <w:r w:rsidRPr="4B0DF1EC" w:rsidR="0C271F63">
        <w:rPr>
          <w:rFonts w:ascii="Arial" w:hAnsi="Arial" w:eastAsia="Arial" w:cs="Arial" w:asciiTheme="minorAscii" w:hAnsiTheme="minorAscii" w:eastAsiaTheme="minorAscii" w:cstheme="minorAscii"/>
          <w:b w:val="0"/>
          <w:bCs w:val="0"/>
          <w:noProof w:val="0"/>
          <w:sz w:val="22"/>
          <w:szCs w:val="22"/>
          <w:lang w:val="en-GB"/>
        </w:rPr>
        <w:t>, p</w:t>
      </w:r>
      <w:r w:rsidRPr="4B0DF1EC" w:rsidR="0C861635">
        <w:rPr>
          <w:rFonts w:ascii="Arial" w:hAnsi="Arial" w:eastAsia="Arial" w:cs="Arial" w:asciiTheme="minorAscii" w:hAnsiTheme="minorAscii" w:eastAsiaTheme="minorAscii" w:cstheme="minorAscii"/>
          <w:b w:val="0"/>
          <w:bCs w:val="0"/>
          <w:noProof w:val="0"/>
          <w:sz w:val="22"/>
          <w:szCs w:val="22"/>
          <w:lang w:val="en-GB"/>
        </w:rPr>
        <w:t>p</w:t>
      </w:r>
      <w:r w:rsidRPr="4B0DF1EC" w:rsidR="0C271F63">
        <w:rPr>
          <w:rFonts w:ascii="Arial" w:hAnsi="Arial" w:eastAsia="Arial" w:cs="Arial" w:asciiTheme="minorAscii" w:hAnsiTheme="minorAscii" w:eastAsiaTheme="minorAscii" w:cstheme="minorAscii"/>
          <w:b w:val="0"/>
          <w:bCs w:val="0"/>
          <w:noProof w:val="0"/>
          <w:sz w:val="22"/>
          <w:szCs w:val="22"/>
          <w:lang w:val="en-GB"/>
        </w:rPr>
        <w:t>.</w:t>
      </w:r>
      <w:r w:rsidRPr="4B0DF1EC" w:rsidR="4BDD224D">
        <w:rPr>
          <w:rFonts w:ascii="Arial" w:hAnsi="Arial" w:eastAsia="Arial" w:cs="Arial" w:asciiTheme="minorAscii" w:hAnsiTheme="minorAscii" w:eastAsiaTheme="minorAscii" w:cstheme="minorAscii"/>
          <w:b w:val="0"/>
          <w:bCs w:val="0"/>
          <w:noProof w:val="0"/>
          <w:sz w:val="22"/>
          <w:szCs w:val="22"/>
          <w:lang w:val="en-GB"/>
        </w:rPr>
        <w:t xml:space="preserve">265, </w:t>
      </w:r>
      <w:r w:rsidRPr="4B0DF1EC" w:rsidR="679C41D0">
        <w:rPr>
          <w:rFonts w:ascii="Arial" w:hAnsi="Arial" w:eastAsia="Arial" w:cs="Arial" w:asciiTheme="minorAscii" w:hAnsiTheme="minorAscii" w:eastAsiaTheme="minorAscii" w:cstheme="minorAscii"/>
          <w:b w:val="0"/>
          <w:bCs w:val="0"/>
          <w:noProof w:val="0"/>
          <w:sz w:val="22"/>
          <w:szCs w:val="22"/>
          <w:lang w:val="en-GB"/>
        </w:rPr>
        <w:t>2</w:t>
      </w:r>
      <w:r w:rsidRPr="4B0DF1EC" w:rsidR="4234E476">
        <w:rPr>
          <w:rFonts w:ascii="Arial" w:hAnsi="Arial" w:eastAsia="Arial" w:cs="Arial" w:asciiTheme="minorAscii" w:hAnsiTheme="minorAscii" w:eastAsiaTheme="minorAscii" w:cstheme="minorAscii"/>
          <w:b w:val="0"/>
          <w:bCs w:val="0"/>
          <w:noProof w:val="0"/>
          <w:sz w:val="22"/>
          <w:szCs w:val="22"/>
          <w:lang w:val="en-GB"/>
        </w:rPr>
        <w:t>76</w:t>
      </w:r>
    </w:p>
    <w:p w:rsidR="4B0DF1EC" w:rsidP="4B0DF1EC" w:rsidRDefault="4B0DF1EC" w14:paraId="25EFD71C" w14:textId="06B19399">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1"/>
          <w:bCs w:val="1"/>
          <w:noProof w:val="0"/>
          <w:sz w:val="22"/>
          <w:szCs w:val="22"/>
          <w:lang w:val="en-GB"/>
        </w:rPr>
      </w:pPr>
    </w:p>
    <w:p w:rsidR="518F687C" w:rsidP="4B0DF1EC" w:rsidRDefault="518F687C" w14:paraId="2EB08B3A" w14:textId="2C91077C">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noProof w:val="0"/>
          <w:sz w:val="22"/>
          <w:szCs w:val="22"/>
          <w:lang w:val="en-GB"/>
        </w:rPr>
      </w:pPr>
      <w:r w:rsidRPr="4B0DF1EC" w:rsidR="518F687C">
        <w:rPr>
          <w:rFonts w:ascii="Arial" w:hAnsi="Arial" w:eastAsia="Arial" w:cs="Arial" w:asciiTheme="minorAscii" w:hAnsiTheme="minorAscii" w:eastAsiaTheme="minorAscii" w:cstheme="minorAscii"/>
          <w:noProof w:val="0"/>
          <w:sz w:val="22"/>
          <w:szCs w:val="22"/>
          <w:lang w:val="en-GB"/>
        </w:rPr>
        <w:t xml:space="preserve">Bey, K., Willems, S., </w:t>
      </w:r>
      <w:r w:rsidRPr="4B0DF1EC" w:rsidR="518F687C">
        <w:rPr>
          <w:rFonts w:ascii="Arial" w:hAnsi="Arial" w:eastAsia="Arial" w:cs="Arial" w:asciiTheme="minorAscii" w:hAnsiTheme="minorAscii" w:eastAsiaTheme="minorAscii" w:cstheme="minorAscii"/>
          <w:noProof w:val="0"/>
          <w:sz w:val="22"/>
          <w:szCs w:val="22"/>
          <w:lang w:val="en-GB"/>
        </w:rPr>
        <w:t>Dueren</w:t>
      </w:r>
      <w:r w:rsidRPr="4B0DF1EC" w:rsidR="518F687C">
        <w:rPr>
          <w:rFonts w:ascii="Arial" w:hAnsi="Arial" w:eastAsia="Arial" w:cs="Arial" w:asciiTheme="minorAscii" w:hAnsiTheme="minorAscii" w:eastAsiaTheme="minorAscii" w:cstheme="minorAscii"/>
          <w:noProof w:val="0"/>
          <w:sz w:val="22"/>
          <w:szCs w:val="22"/>
          <w:lang w:val="en-GB"/>
        </w:rPr>
        <w:t xml:space="preserve">, A.L., Philipsen, A. and Wagner, M., (2025), Help-seeking </w:t>
      </w:r>
      <w:r w:rsidRPr="4B0DF1EC" w:rsidR="518F687C">
        <w:rPr>
          <w:rFonts w:ascii="Arial" w:hAnsi="Arial" w:eastAsia="Arial" w:cs="Arial" w:asciiTheme="minorAscii" w:hAnsiTheme="minorAscii" w:eastAsiaTheme="minorAscii" w:cstheme="minorAscii"/>
          <w:noProof w:val="0"/>
          <w:sz w:val="22"/>
          <w:szCs w:val="22"/>
          <w:lang w:val="en-GB"/>
        </w:rPr>
        <w:t>behavior</w:t>
      </w:r>
      <w:r w:rsidRPr="4B0DF1EC" w:rsidR="518F687C">
        <w:rPr>
          <w:rFonts w:ascii="Arial" w:hAnsi="Arial" w:eastAsia="Arial" w:cs="Arial" w:asciiTheme="minorAscii" w:hAnsiTheme="minorAscii" w:eastAsiaTheme="minorAscii" w:cstheme="minorAscii"/>
          <w:noProof w:val="0"/>
          <w:sz w:val="22"/>
          <w:szCs w:val="22"/>
          <w:lang w:val="en-GB"/>
        </w:rPr>
        <w:t xml:space="preserve">, treatment barriers and facilitators, attitudes and access to first-line treatment in German adults with obsessive-compulsive disorder, </w:t>
      </w:r>
      <w:r w:rsidRPr="4B0DF1EC" w:rsidR="518F687C">
        <w:rPr>
          <w:rFonts w:ascii="Arial" w:hAnsi="Arial" w:eastAsia="Arial" w:cs="Arial" w:asciiTheme="minorAscii" w:hAnsiTheme="minorAscii" w:eastAsiaTheme="minorAscii" w:cstheme="minorAscii"/>
          <w:i w:val="1"/>
          <w:iCs w:val="1"/>
          <w:noProof w:val="0"/>
          <w:sz w:val="22"/>
          <w:szCs w:val="22"/>
          <w:lang w:val="en-GB"/>
        </w:rPr>
        <w:t>BMC Psychiatry</w:t>
      </w:r>
      <w:r w:rsidRPr="4B0DF1EC" w:rsidR="518F687C">
        <w:rPr>
          <w:rFonts w:ascii="Arial" w:hAnsi="Arial" w:eastAsia="Arial" w:cs="Arial" w:asciiTheme="minorAscii" w:hAnsiTheme="minorAscii" w:eastAsiaTheme="minorAscii" w:cstheme="minorAscii"/>
          <w:noProof w:val="0"/>
          <w:sz w:val="22"/>
          <w:szCs w:val="22"/>
          <w:lang w:val="en-GB"/>
        </w:rPr>
        <w:t>, 25(235)</w:t>
      </w:r>
      <w:r w:rsidRPr="4B0DF1EC" w:rsidR="518F687C">
        <w:rPr>
          <w:rFonts w:ascii="Arial" w:hAnsi="Arial" w:eastAsia="Arial" w:cs="Arial" w:asciiTheme="minorAscii" w:hAnsiTheme="minorAscii" w:eastAsiaTheme="minorAscii" w:cstheme="minorAscii"/>
          <w:noProof w:val="0"/>
          <w:sz w:val="22"/>
          <w:szCs w:val="22"/>
          <w:lang w:val="en-GB"/>
        </w:rPr>
        <w:t>.,  Available</w:t>
      </w:r>
      <w:r w:rsidRPr="4B0DF1EC" w:rsidR="518F687C">
        <w:rPr>
          <w:rFonts w:ascii="Arial" w:hAnsi="Arial" w:eastAsia="Arial" w:cs="Arial" w:asciiTheme="minorAscii" w:hAnsiTheme="minorAscii" w:eastAsiaTheme="minorAscii" w:cstheme="minorAscii"/>
          <w:noProof w:val="0"/>
          <w:sz w:val="22"/>
          <w:szCs w:val="22"/>
          <w:lang w:val="en-GB"/>
        </w:rPr>
        <w:t xml:space="preserve"> at: </w:t>
      </w:r>
      <w:hyperlink r:id="Rae0c7295297c40de">
        <w:r w:rsidRPr="4B0DF1EC" w:rsidR="518F687C">
          <w:rPr>
            <w:rStyle w:val="Hyperlink"/>
            <w:rFonts w:ascii="Arial" w:hAnsi="Arial" w:eastAsia="Arial" w:cs="Arial" w:asciiTheme="minorAscii" w:hAnsiTheme="minorAscii" w:eastAsiaTheme="minorAscii" w:cstheme="minorAscii"/>
            <w:noProof w:val="0"/>
            <w:sz w:val="22"/>
            <w:szCs w:val="22"/>
            <w:lang w:val="en-GB"/>
          </w:rPr>
          <w:t>https://pmc.ncbi.nlm.nih.gov/articles/PMC11900428/,</w:t>
        </w:r>
      </w:hyperlink>
      <w:r w:rsidRPr="4B0DF1EC" w:rsidR="518F687C">
        <w:rPr>
          <w:rFonts w:ascii="Arial" w:hAnsi="Arial" w:eastAsia="Arial" w:cs="Arial" w:asciiTheme="minorAscii" w:hAnsiTheme="minorAscii" w:eastAsiaTheme="minorAscii" w:cstheme="minorAscii"/>
          <w:noProof w:val="0"/>
          <w:sz w:val="22"/>
          <w:szCs w:val="22"/>
          <w:lang w:val="en-GB"/>
        </w:rPr>
        <w:t xml:space="preserve">  (Accessed </w:t>
      </w:r>
      <w:r w:rsidRPr="4B0DF1EC" w:rsidR="3E857D4D">
        <w:rPr>
          <w:rFonts w:ascii="Arial" w:hAnsi="Arial" w:eastAsia="Arial" w:cs="Arial" w:asciiTheme="minorAscii" w:hAnsiTheme="minorAscii" w:eastAsiaTheme="minorAscii" w:cstheme="minorAscii"/>
          <w:noProof w:val="0"/>
          <w:sz w:val="22"/>
          <w:szCs w:val="22"/>
          <w:lang w:val="en-GB"/>
        </w:rPr>
        <w:t>28 June</w:t>
      </w:r>
      <w:r w:rsidRPr="4B0DF1EC" w:rsidR="518F687C">
        <w:rPr>
          <w:rFonts w:ascii="Arial" w:hAnsi="Arial" w:eastAsia="Arial" w:cs="Arial" w:asciiTheme="minorAscii" w:hAnsiTheme="minorAscii" w:eastAsiaTheme="minorAscii" w:cstheme="minorAscii"/>
          <w:noProof w:val="0"/>
          <w:sz w:val="22"/>
          <w:szCs w:val="22"/>
          <w:lang w:val="en-GB"/>
        </w:rPr>
        <w:t xml:space="preserve"> 2026</w:t>
      </w:r>
      <w:r w:rsidRPr="4B0DF1EC" w:rsidR="12C1F393">
        <w:rPr>
          <w:rFonts w:ascii="Arial" w:hAnsi="Arial" w:eastAsia="Arial" w:cs="Arial" w:asciiTheme="minorAscii" w:hAnsiTheme="minorAscii" w:eastAsiaTheme="minorAscii" w:cstheme="minorAscii"/>
          <w:noProof w:val="0"/>
          <w:sz w:val="22"/>
          <w:szCs w:val="22"/>
          <w:lang w:val="en-GB"/>
        </w:rPr>
        <w:t>)</w:t>
      </w:r>
    </w:p>
    <w:p w:rsidR="2AD1E4E8" w:rsidP="4B0DF1EC" w:rsidRDefault="2AD1E4E8" w14:paraId="77BF227C" w14:textId="1B3A2F70">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1"/>
          <w:bCs w:val="1"/>
          <w:noProof w:val="0"/>
          <w:sz w:val="22"/>
          <w:szCs w:val="22"/>
          <w:lang w:val="en-GB"/>
        </w:rPr>
      </w:pPr>
    </w:p>
    <w:p w:rsidR="53C24BB4" w:rsidP="4B0DF1EC" w:rsidRDefault="53C24BB4" w14:paraId="6DF349D3" w14:textId="57DFBA4C">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0"/>
          <w:bCs w:val="0"/>
          <w:noProof w:val="0"/>
          <w:sz w:val="22"/>
          <w:szCs w:val="22"/>
          <w:lang w:val="en-GB"/>
        </w:rPr>
      </w:pP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BMJ Best Practice, (2022), </w:t>
      </w:r>
      <w:r w:rsidRPr="4B0DF1EC" w:rsidR="7E7B097C">
        <w:rPr>
          <w:rFonts w:ascii="Arial" w:hAnsi="Arial" w:eastAsia="Arial" w:cs="Arial" w:asciiTheme="minorAscii" w:hAnsiTheme="minorAscii" w:eastAsiaTheme="minorAscii" w:cstheme="minorAscii"/>
          <w:b w:val="0"/>
          <w:bCs w:val="0"/>
          <w:i w:val="1"/>
          <w:iCs w:val="1"/>
          <w:noProof w:val="0"/>
          <w:sz w:val="22"/>
          <w:szCs w:val="22"/>
          <w:lang w:val="en-GB"/>
        </w:rPr>
        <w:t>Obsessive-compulsive disorder</w:t>
      </w: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London: BMJ Publishing Group., Available at: </w:t>
      </w:r>
      <w:hyperlink r:id="R442d4660b6c04833">
        <w:r w:rsidRPr="4B0DF1EC" w:rsidR="7E7B097C">
          <w:rPr>
            <w:rStyle w:val="Hyperlink"/>
            <w:rFonts w:ascii="Arial" w:hAnsi="Arial" w:eastAsia="Arial" w:cs="Arial" w:asciiTheme="minorAscii" w:hAnsiTheme="minorAscii" w:eastAsiaTheme="minorAscii" w:cstheme="minorAscii"/>
            <w:b w:val="0"/>
            <w:bCs w:val="0"/>
            <w:noProof w:val="0"/>
            <w:sz w:val="22"/>
            <w:szCs w:val="22"/>
            <w:lang w:val="en-GB"/>
          </w:rPr>
          <w:t>https://cks.nice.org.uk/topics/obsessive-compulsive-disorder/background-information/prevalence/</w:t>
        </w:r>
      </w:hyperlink>
      <w:r w:rsidRPr="4B0DF1EC" w:rsidR="7E7B097C">
        <w:rPr>
          <w:rFonts w:ascii="Arial" w:hAnsi="Arial" w:eastAsia="Arial" w:cs="Arial" w:asciiTheme="minorAscii" w:hAnsiTheme="minorAscii" w:eastAsiaTheme="minorAscii" w:cstheme="minorAscii"/>
          <w:b w:val="0"/>
          <w:bCs w:val="0"/>
          <w:noProof w:val="0"/>
          <w:sz w:val="22"/>
          <w:szCs w:val="22"/>
          <w:lang w:val="en-GB"/>
        </w:rPr>
        <w:t>, (Accessed 11 Ju</w:t>
      </w:r>
      <w:r w:rsidRPr="4B0DF1EC" w:rsidR="6719DFDC">
        <w:rPr>
          <w:rFonts w:ascii="Arial" w:hAnsi="Arial" w:eastAsia="Arial" w:cs="Arial" w:asciiTheme="minorAscii" w:hAnsiTheme="minorAscii" w:eastAsiaTheme="minorAscii" w:cstheme="minorAscii"/>
          <w:b w:val="0"/>
          <w:bCs w:val="0"/>
          <w:noProof w:val="0"/>
          <w:sz w:val="22"/>
          <w:szCs w:val="22"/>
          <w:lang w:val="en-GB"/>
        </w:rPr>
        <w:t>ne</w:t>
      </w: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2026)</w:t>
      </w:r>
    </w:p>
    <w:p w:rsidR="2AD1E4E8" w:rsidP="4B0DF1EC" w:rsidRDefault="2AD1E4E8" w14:paraId="4730BB70" w14:textId="5F351EA3">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1"/>
          <w:bCs w:val="1"/>
          <w:noProof w:val="0"/>
          <w:sz w:val="22"/>
          <w:szCs w:val="22"/>
          <w:lang w:val="en-GB"/>
        </w:rPr>
      </w:pPr>
    </w:p>
    <w:p w:rsidR="53C24BB4" w:rsidP="4B0DF1EC" w:rsidRDefault="53C24BB4" w14:paraId="557AC3BF" w14:textId="634A8378">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0"/>
          <w:bCs w:val="0"/>
          <w:noProof w:val="0"/>
          <w:sz w:val="22"/>
          <w:szCs w:val="22"/>
          <w:lang w:val="en-GB"/>
        </w:rPr>
      </w:pP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Care Act, (2014), </w:t>
      </w:r>
      <w:r w:rsidRPr="4B0DF1EC" w:rsidR="7E7B097C">
        <w:rPr>
          <w:rFonts w:ascii="Arial" w:hAnsi="Arial" w:eastAsia="Arial" w:cs="Arial" w:asciiTheme="minorAscii" w:hAnsiTheme="minorAscii" w:eastAsiaTheme="minorAscii" w:cstheme="minorAscii"/>
          <w:b w:val="0"/>
          <w:bCs w:val="0"/>
          <w:i w:val="1"/>
          <w:iCs w:val="1"/>
          <w:noProof w:val="0"/>
          <w:sz w:val="22"/>
          <w:szCs w:val="22"/>
          <w:lang w:val="en-GB"/>
        </w:rPr>
        <w:t>Chapter 23: Care Act 2014</w:t>
      </w: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London: HMSO., Available at: </w:t>
      </w:r>
      <w:hyperlink r:id="Raad1b1d443ea44cc">
        <w:r w:rsidRPr="4B0DF1EC" w:rsidR="7E7B097C">
          <w:rPr>
            <w:rStyle w:val="Hyperlink"/>
            <w:rFonts w:ascii="Arial" w:hAnsi="Arial" w:eastAsia="Arial" w:cs="Arial" w:asciiTheme="minorAscii" w:hAnsiTheme="minorAscii" w:eastAsiaTheme="minorAscii" w:cstheme="minorAscii"/>
            <w:b w:val="0"/>
            <w:bCs w:val="0"/>
            <w:noProof w:val="0"/>
            <w:sz w:val="22"/>
            <w:szCs w:val="22"/>
            <w:lang w:val="en-GB"/>
          </w:rPr>
          <w:t>https://www.legislation.gov.uk/ukpga/2014/23/contents</w:t>
        </w:r>
      </w:hyperlink>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(Accessed </w:t>
      </w:r>
      <w:r w:rsidRPr="4B0DF1EC" w:rsidR="657D0850">
        <w:rPr>
          <w:rFonts w:ascii="Arial" w:hAnsi="Arial" w:eastAsia="Arial" w:cs="Arial" w:asciiTheme="minorAscii" w:hAnsiTheme="minorAscii" w:eastAsiaTheme="minorAscii" w:cstheme="minorAscii"/>
          <w:b w:val="0"/>
          <w:bCs w:val="0"/>
          <w:noProof w:val="0"/>
          <w:sz w:val="22"/>
          <w:szCs w:val="22"/>
          <w:lang w:val="en-GB"/>
        </w:rPr>
        <w:t>2</w:t>
      </w:r>
      <w:r w:rsidRPr="4B0DF1EC" w:rsidR="7E7B097C">
        <w:rPr>
          <w:rFonts w:ascii="Arial" w:hAnsi="Arial" w:eastAsia="Arial" w:cs="Arial" w:asciiTheme="minorAscii" w:hAnsiTheme="minorAscii" w:eastAsiaTheme="minorAscii" w:cstheme="minorAscii"/>
          <w:b w:val="0"/>
          <w:bCs w:val="0"/>
          <w:noProof w:val="0"/>
          <w:sz w:val="22"/>
          <w:szCs w:val="22"/>
          <w:lang w:val="en-GB"/>
        </w:rPr>
        <w:t>7 Ju</w:t>
      </w:r>
      <w:r w:rsidRPr="4B0DF1EC" w:rsidR="1150BA35">
        <w:rPr>
          <w:rFonts w:ascii="Arial" w:hAnsi="Arial" w:eastAsia="Arial" w:cs="Arial" w:asciiTheme="minorAscii" w:hAnsiTheme="minorAscii" w:eastAsiaTheme="minorAscii" w:cstheme="minorAscii"/>
          <w:b w:val="0"/>
          <w:bCs w:val="0"/>
          <w:noProof w:val="0"/>
          <w:sz w:val="22"/>
          <w:szCs w:val="22"/>
          <w:lang w:val="en-GB"/>
        </w:rPr>
        <w:t>ne</w:t>
      </w: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2026)</w:t>
      </w:r>
    </w:p>
    <w:p w:rsidR="2AD1E4E8" w:rsidP="4B0DF1EC" w:rsidRDefault="2AD1E4E8" w14:paraId="7985993B" w14:textId="7ED74024">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1"/>
          <w:bCs w:val="1"/>
          <w:noProof w:val="0"/>
          <w:sz w:val="22"/>
          <w:szCs w:val="22"/>
          <w:lang w:val="en-GB"/>
        </w:rPr>
      </w:pPr>
    </w:p>
    <w:p w:rsidR="53C24BB4" w:rsidP="4B0DF1EC" w:rsidRDefault="53C24BB4" w14:paraId="29898605" w14:textId="314E0163">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0"/>
          <w:bCs w:val="0"/>
          <w:noProof w:val="0"/>
          <w:sz w:val="22"/>
          <w:szCs w:val="22"/>
          <w:lang w:val="en-GB"/>
        </w:rPr>
      </w:pP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Del Casale, A., Sorice, S., Padovano, A., </w:t>
      </w:r>
      <w:r w:rsidRPr="4B0DF1EC" w:rsidR="7E7B097C">
        <w:rPr>
          <w:rFonts w:ascii="Arial" w:hAnsi="Arial" w:eastAsia="Arial" w:cs="Arial" w:asciiTheme="minorAscii" w:hAnsiTheme="minorAscii" w:eastAsiaTheme="minorAscii" w:cstheme="minorAscii"/>
          <w:b w:val="0"/>
          <w:bCs w:val="0"/>
          <w:noProof w:val="0"/>
          <w:sz w:val="22"/>
          <w:szCs w:val="22"/>
          <w:lang w:val="en-GB"/>
        </w:rPr>
        <w:t>Simmaco</w:t>
      </w: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M., </w:t>
      </w:r>
      <w:r w:rsidRPr="4B0DF1EC" w:rsidR="7E7B097C">
        <w:rPr>
          <w:rFonts w:ascii="Arial" w:hAnsi="Arial" w:eastAsia="Arial" w:cs="Arial" w:asciiTheme="minorAscii" w:hAnsiTheme="minorAscii" w:eastAsiaTheme="minorAscii" w:cstheme="minorAscii"/>
          <w:b w:val="0"/>
          <w:bCs w:val="0"/>
          <w:noProof w:val="0"/>
          <w:sz w:val="22"/>
          <w:szCs w:val="22"/>
          <w:lang w:val="en-GB"/>
        </w:rPr>
        <w:t>Ferracuti</w:t>
      </w: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S., Lamis, D. A., </w:t>
      </w:r>
      <w:r w:rsidRPr="4B0DF1EC" w:rsidR="7E7B097C">
        <w:rPr>
          <w:rFonts w:ascii="Arial" w:hAnsi="Arial" w:eastAsia="Arial" w:cs="Arial" w:asciiTheme="minorAscii" w:hAnsiTheme="minorAscii" w:eastAsiaTheme="minorAscii" w:cstheme="minorAscii"/>
          <w:b w:val="0"/>
          <w:bCs w:val="0"/>
          <w:noProof w:val="0"/>
          <w:sz w:val="22"/>
          <w:szCs w:val="22"/>
          <w:lang w:val="en-GB"/>
        </w:rPr>
        <w:t>Rapinesi</w:t>
      </w: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C., Sani, G., Girardi, P., </w:t>
      </w:r>
      <w:r w:rsidRPr="4B0DF1EC" w:rsidR="7E7B097C">
        <w:rPr>
          <w:rFonts w:ascii="Arial" w:hAnsi="Arial" w:eastAsia="Arial" w:cs="Arial" w:asciiTheme="minorAscii" w:hAnsiTheme="minorAscii" w:eastAsiaTheme="minorAscii" w:cstheme="minorAscii"/>
          <w:b w:val="0"/>
          <w:bCs w:val="0"/>
          <w:noProof w:val="0"/>
          <w:sz w:val="22"/>
          <w:szCs w:val="22"/>
          <w:lang w:val="en-GB"/>
        </w:rPr>
        <w:t>Kotzalidis</w:t>
      </w:r>
      <w:r w:rsidRPr="4B0DF1EC" w:rsidR="7E7B097C">
        <w:rPr>
          <w:rFonts w:ascii="Arial" w:hAnsi="Arial" w:eastAsia="Arial" w:cs="Arial" w:asciiTheme="minorAscii" w:hAnsiTheme="minorAscii" w:eastAsiaTheme="minorAscii" w:cstheme="minorAscii"/>
          <w:b w:val="0"/>
          <w:bCs w:val="0"/>
          <w:noProof w:val="0"/>
          <w:sz w:val="22"/>
          <w:szCs w:val="22"/>
          <w:lang w:val="en-GB"/>
        </w:rPr>
        <w:t>, G. D., Pompili, M., (2019)</w:t>
      </w: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Psychopharmacological Treatment of Obsessive-Compulsive Disorder (OCD), </w:t>
      </w:r>
      <w:r w:rsidRPr="4B0DF1EC" w:rsidR="7E7B097C">
        <w:rPr>
          <w:rFonts w:ascii="Arial" w:hAnsi="Arial" w:eastAsia="Arial" w:cs="Arial" w:asciiTheme="minorAscii" w:hAnsiTheme="minorAscii" w:eastAsiaTheme="minorAscii" w:cstheme="minorAscii"/>
          <w:b w:val="0"/>
          <w:bCs w:val="0"/>
          <w:i w:val="1"/>
          <w:iCs w:val="1"/>
          <w:noProof w:val="0"/>
          <w:sz w:val="22"/>
          <w:szCs w:val="22"/>
          <w:lang w:val="en-GB"/>
        </w:rPr>
        <w:t>Current Neuropharmacology</w:t>
      </w: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17(8), pp. 710–736., Available at: </w:t>
      </w:r>
      <w:hyperlink r:id="R4d86d26ff3664c4b">
        <w:r w:rsidRPr="4B0DF1EC" w:rsidR="7E7B097C">
          <w:rPr>
            <w:rStyle w:val="Hyperlink"/>
            <w:rFonts w:ascii="Arial" w:hAnsi="Arial" w:eastAsia="Arial" w:cs="Arial" w:asciiTheme="minorAscii" w:hAnsiTheme="minorAscii" w:eastAsiaTheme="minorAscii" w:cstheme="minorAscii"/>
            <w:b w:val="0"/>
            <w:bCs w:val="0"/>
            <w:noProof w:val="0"/>
            <w:sz w:val="22"/>
            <w:szCs w:val="22"/>
            <w:lang w:val="en-GB"/>
          </w:rPr>
          <w:t>https://pmc.ncbi.nlm.nih.gov/articles/PMC7059159/</w:t>
        </w:r>
      </w:hyperlink>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(Accessed </w:t>
      </w:r>
      <w:r w:rsidRPr="4B0DF1EC" w:rsidR="26C68756">
        <w:rPr>
          <w:rFonts w:ascii="Arial" w:hAnsi="Arial" w:eastAsia="Arial" w:cs="Arial" w:asciiTheme="minorAscii" w:hAnsiTheme="minorAscii" w:eastAsiaTheme="minorAscii" w:cstheme="minorAscii"/>
          <w:b w:val="0"/>
          <w:bCs w:val="0"/>
          <w:noProof w:val="0"/>
          <w:sz w:val="22"/>
          <w:szCs w:val="22"/>
          <w:lang w:val="en-GB"/>
        </w:rPr>
        <w:t>21 June</w:t>
      </w: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2026)</w:t>
      </w:r>
    </w:p>
    <w:p w:rsidR="2AD1E4E8" w:rsidP="4B0DF1EC" w:rsidRDefault="2AD1E4E8" w14:paraId="554FA575" w14:textId="02E05457">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1"/>
          <w:bCs w:val="1"/>
          <w:noProof w:val="0"/>
          <w:sz w:val="22"/>
          <w:szCs w:val="22"/>
          <w:lang w:val="en-GB"/>
        </w:rPr>
      </w:pPr>
    </w:p>
    <w:p w:rsidR="53C24BB4" w:rsidP="4B0DF1EC" w:rsidRDefault="53C24BB4" w14:paraId="00473C0A" w14:textId="4FE90585">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0"/>
          <w:bCs w:val="0"/>
          <w:noProof w:val="0"/>
          <w:sz w:val="22"/>
          <w:szCs w:val="22"/>
          <w:lang w:val="en-GB"/>
        </w:rPr>
      </w:pP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Equality Act, (2010), </w:t>
      </w:r>
      <w:r w:rsidRPr="4B0DF1EC" w:rsidR="7E7B097C">
        <w:rPr>
          <w:rFonts w:ascii="Arial" w:hAnsi="Arial" w:eastAsia="Arial" w:cs="Arial" w:asciiTheme="minorAscii" w:hAnsiTheme="minorAscii" w:eastAsiaTheme="minorAscii" w:cstheme="minorAscii"/>
          <w:b w:val="0"/>
          <w:bCs w:val="0"/>
          <w:i w:val="1"/>
          <w:iCs w:val="1"/>
          <w:noProof w:val="0"/>
          <w:sz w:val="22"/>
          <w:szCs w:val="22"/>
          <w:lang w:val="en-GB"/>
        </w:rPr>
        <w:t>Chapter 15: Equality Act 2010</w:t>
      </w: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London: HMSO., Available at: </w:t>
      </w:r>
      <w:hyperlink r:id="Rb2f68d74b0aa423b">
        <w:r w:rsidRPr="4B0DF1EC" w:rsidR="7E7B097C">
          <w:rPr>
            <w:rStyle w:val="Hyperlink"/>
            <w:rFonts w:ascii="Arial" w:hAnsi="Arial" w:eastAsia="Arial" w:cs="Arial" w:asciiTheme="minorAscii" w:hAnsiTheme="minorAscii" w:eastAsiaTheme="minorAscii" w:cstheme="minorAscii"/>
            <w:b w:val="0"/>
            <w:bCs w:val="0"/>
            <w:noProof w:val="0"/>
            <w:sz w:val="22"/>
            <w:szCs w:val="22"/>
            <w:lang w:val="en-GB"/>
          </w:rPr>
          <w:t>https://www.legislation.gov.uk/ukpga/2010/15/contents</w:t>
        </w:r>
      </w:hyperlink>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(Accessed </w:t>
      </w:r>
      <w:r w:rsidRPr="4B0DF1EC" w:rsidR="0E9DDE39">
        <w:rPr>
          <w:rFonts w:ascii="Arial" w:hAnsi="Arial" w:eastAsia="Arial" w:cs="Arial" w:asciiTheme="minorAscii" w:hAnsiTheme="minorAscii" w:eastAsiaTheme="minorAscii" w:cstheme="minorAscii"/>
          <w:b w:val="0"/>
          <w:bCs w:val="0"/>
          <w:noProof w:val="0"/>
          <w:sz w:val="22"/>
          <w:szCs w:val="22"/>
          <w:lang w:val="en-GB"/>
        </w:rPr>
        <w:t>27 June</w:t>
      </w: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2026)</w:t>
      </w:r>
    </w:p>
    <w:p w:rsidR="2AD1E4E8" w:rsidP="4B0DF1EC" w:rsidRDefault="2AD1E4E8" w14:paraId="0A5BDD47" w14:textId="78D56BF8">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1"/>
          <w:bCs w:val="1"/>
          <w:noProof w:val="0"/>
          <w:sz w:val="22"/>
          <w:szCs w:val="22"/>
          <w:lang w:val="en-GB"/>
        </w:rPr>
      </w:pPr>
    </w:p>
    <w:p w:rsidR="53C24BB4" w:rsidP="4B0DF1EC" w:rsidRDefault="53C24BB4" w14:paraId="723D3143" w14:textId="08CB9081">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0"/>
          <w:bCs w:val="0"/>
          <w:noProof w:val="0"/>
          <w:sz w:val="22"/>
          <w:szCs w:val="22"/>
          <w:lang w:val="en-GB"/>
        </w:rPr>
      </w:pP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Exceptional Individuals, (2025), </w:t>
      </w:r>
      <w:r w:rsidRPr="4B0DF1EC" w:rsidR="7E7B097C">
        <w:rPr>
          <w:rFonts w:ascii="Arial" w:hAnsi="Arial" w:eastAsia="Arial" w:cs="Arial" w:asciiTheme="minorAscii" w:hAnsiTheme="minorAscii" w:eastAsiaTheme="minorAscii" w:cstheme="minorAscii"/>
          <w:b w:val="0"/>
          <w:bCs w:val="0"/>
          <w:i w:val="1"/>
          <w:iCs w:val="1"/>
          <w:noProof w:val="0"/>
          <w:sz w:val="22"/>
          <w:szCs w:val="22"/>
          <w:lang w:val="en-GB"/>
        </w:rPr>
        <w:t>OCD in Neurodivergent Individuals: Overlaps, Misdiagnosis, and Tailored Support</w:t>
      </w: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Blog post, London: Exceptional Individuals., Available at: </w:t>
      </w:r>
      <w:hyperlink r:id="R637c5b3c35e044fc">
        <w:r w:rsidRPr="4B0DF1EC" w:rsidR="7E7B097C">
          <w:rPr>
            <w:rStyle w:val="Hyperlink"/>
            <w:rFonts w:ascii="Arial" w:hAnsi="Arial" w:eastAsia="Arial" w:cs="Arial" w:asciiTheme="minorAscii" w:hAnsiTheme="minorAscii" w:eastAsiaTheme="minorAscii" w:cstheme="minorAscii"/>
            <w:b w:val="0"/>
            <w:bCs w:val="0"/>
            <w:noProof w:val="0"/>
            <w:sz w:val="22"/>
            <w:szCs w:val="22"/>
            <w:lang w:val="en-GB"/>
          </w:rPr>
          <w:t>https://exceptionalindividuals.com/about-us/blog/ocd-in-neurodivergent-individuals-overlaps-misdiagnosis-and-tailored-support/</w:t>
        </w:r>
      </w:hyperlink>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(Accessed </w:t>
      </w:r>
      <w:r w:rsidRPr="4B0DF1EC" w:rsidR="73100670">
        <w:rPr>
          <w:rFonts w:ascii="Arial" w:hAnsi="Arial" w:eastAsia="Arial" w:cs="Arial" w:asciiTheme="minorAscii" w:hAnsiTheme="minorAscii" w:eastAsiaTheme="minorAscii" w:cstheme="minorAscii"/>
          <w:b w:val="0"/>
          <w:bCs w:val="0"/>
          <w:noProof w:val="0"/>
          <w:sz w:val="22"/>
          <w:szCs w:val="22"/>
          <w:lang w:val="en-GB"/>
        </w:rPr>
        <w:t>28 June</w:t>
      </w: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2026)</w:t>
      </w:r>
    </w:p>
    <w:p w:rsidR="2AD1E4E8" w:rsidP="2AD1E4E8" w:rsidRDefault="2AD1E4E8" w14:paraId="5E4BDC5D" w14:textId="46B865ED">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0"/>
          <w:bCs w:val="0"/>
          <w:noProof w:val="0"/>
          <w:sz w:val="22"/>
          <w:szCs w:val="22"/>
          <w:lang w:val="en-GB"/>
        </w:rPr>
      </w:pPr>
    </w:p>
    <w:p w:rsidR="53C24BB4" w:rsidP="4B0DF1EC" w:rsidRDefault="53C24BB4" w14:paraId="429DDBF0" w14:textId="3F28EC69">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0"/>
          <w:bCs w:val="0"/>
          <w:noProof w:val="0"/>
          <w:sz w:val="22"/>
          <w:szCs w:val="22"/>
          <w:lang w:val="en-GB"/>
        </w:rPr>
      </w:pP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Hope Therapy &amp; Counselling Services, (2023), </w:t>
      </w:r>
      <w:r w:rsidRPr="4B0DF1EC" w:rsidR="7E7B097C">
        <w:rPr>
          <w:rFonts w:ascii="Arial" w:hAnsi="Arial" w:eastAsia="Arial" w:cs="Arial" w:asciiTheme="minorAscii" w:hAnsiTheme="minorAscii" w:eastAsiaTheme="minorAscii" w:cstheme="minorAscii"/>
          <w:b w:val="0"/>
          <w:bCs w:val="0"/>
          <w:i w:val="1"/>
          <w:iCs w:val="1"/>
          <w:noProof w:val="0"/>
          <w:sz w:val="22"/>
          <w:szCs w:val="22"/>
          <w:lang w:val="en-GB"/>
        </w:rPr>
        <w:t>Why more people in the UK are suffering from OCD</w:t>
      </w: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Counselling Directory., Available at: </w:t>
      </w:r>
      <w:hyperlink r:id="Rbd01a7375f7b4c80">
        <w:r w:rsidRPr="4B0DF1EC" w:rsidR="7E7B097C">
          <w:rPr>
            <w:rStyle w:val="Hyperlink"/>
            <w:rFonts w:ascii="Arial" w:hAnsi="Arial" w:eastAsia="Arial" w:cs="Arial" w:asciiTheme="minorAscii" w:hAnsiTheme="minorAscii" w:eastAsiaTheme="minorAscii" w:cstheme="minorAscii"/>
            <w:b w:val="0"/>
            <w:bCs w:val="0"/>
            <w:noProof w:val="0"/>
            <w:sz w:val="22"/>
            <w:szCs w:val="22"/>
            <w:lang w:val="en-GB"/>
          </w:rPr>
          <w:t>https://www.counselling-directory.org.uk/articles/why-more-people-in-the-uk-are-suffering-from-ocd</w:t>
        </w:r>
      </w:hyperlink>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(Accessed </w:t>
      </w:r>
      <w:r w:rsidRPr="4B0DF1EC" w:rsidR="3F725007">
        <w:rPr>
          <w:rFonts w:ascii="Arial" w:hAnsi="Arial" w:eastAsia="Arial" w:cs="Arial" w:asciiTheme="minorAscii" w:hAnsiTheme="minorAscii" w:eastAsiaTheme="minorAscii" w:cstheme="minorAscii"/>
          <w:b w:val="0"/>
          <w:bCs w:val="0"/>
          <w:noProof w:val="0"/>
          <w:sz w:val="22"/>
          <w:szCs w:val="22"/>
          <w:lang w:val="en-GB"/>
        </w:rPr>
        <w:t>2</w:t>
      </w:r>
      <w:r w:rsidRPr="4B0DF1EC" w:rsidR="7E7B097C">
        <w:rPr>
          <w:rFonts w:ascii="Arial" w:hAnsi="Arial" w:eastAsia="Arial" w:cs="Arial" w:asciiTheme="minorAscii" w:hAnsiTheme="minorAscii" w:eastAsiaTheme="minorAscii" w:cstheme="minorAscii"/>
          <w:b w:val="0"/>
          <w:bCs w:val="0"/>
          <w:noProof w:val="0"/>
          <w:sz w:val="22"/>
          <w:szCs w:val="22"/>
          <w:lang w:val="en-GB"/>
        </w:rPr>
        <w:t>3 Ju</w:t>
      </w:r>
      <w:r w:rsidRPr="4B0DF1EC" w:rsidR="7F902F73">
        <w:rPr>
          <w:rFonts w:ascii="Arial" w:hAnsi="Arial" w:eastAsia="Arial" w:cs="Arial" w:asciiTheme="minorAscii" w:hAnsiTheme="minorAscii" w:eastAsiaTheme="minorAscii" w:cstheme="minorAscii"/>
          <w:b w:val="0"/>
          <w:bCs w:val="0"/>
          <w:noProof w:val="0"/>
          <w:sz w:val="22"/>
          <w:szCs w:val="22"/>
          <w:lang w:val="en-GB"/>
        </w:rPr>
        <w:t xml:space="preserve">ne </w:t>
      </w:r>
      <w:r w:rsidRPr="4B0DF1EC" w:rsidR="7E7B097C">
        <w:rPr>
          <w:rFonts w:ascii="Arial" w:hAnsi="Arial" w:eastAsia="Arial" w:cs="Arial" w:asciiTheme="minorAscii" w:hAnsiTheme="minorAscii" w:eastAsiaTheme="minorAscii" w:cstheme="minorAscii"/>
          <w:b w:val="0"/>
          <w:bCs w:val="0"/>
          <w:noProof w:val="0"/>
          <w:sz w:val="22"/>
          <w:szCs w:val="22"/>
          <w:lang w:val="en-GB"/>
        </w:rPr>
        <w:t>2026)</w:t>
      </w:r>
    </w:p>
    <w:p w:rsidR="2AD1E4E8" w:rsidP="4B0DF1EC" w:rsidRDefault="2AD1E4E8" w14:paraId="3CA50086" w14:textId="207F7A95">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1"/>
          <w:bCs w:val="1"/>
          <w:noProof w:val="0"/>
          <w:sz w:val="22"/>
          <w:szCs w:val="22"/>
          <w:lang w:val="en-GB"/>
        </w:rPr>
      </w:pPr>
    </w:p>
    <w:p w:rsidR="53C24BB4" w:rsidP="4B0DF1EC" w:rsidRDefault="53C24BB4" w14:paraId="591E71C2" w14:textId="74F1F309">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0"/>
          <w:bCs w:val="0"/>
          <w:noProof w:val="0"/>
          <w:sz w:val="22"/>
          <w:szCs w:val="22"/>
          <w:lang w:val="en-GB"/>
        </w:rPr>
      </w:pP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Lowther-Payne, H. J., Ushakova, A., Beckwith, A., Liberty, C., Edge, R., Lobban, F., (2023), Understanding inequalities in access to adult mental health services in the UK: a systematic mapping review, </w:t>
      </w:r>
      <w:r w:rsidRPr="4B0DF1EC" w:rsidR="7E7B097C">
        <w:rPr>
          <w:rFonts w:ascii="Arial" w:hAnsi="Arial" w:eastAsia="Arial" w:cs="Arial" w:asciiTheme="minorAscii" w:hAnsiTheme="minorAscii" w:eastAsiaTheme="minorAscii" w:cstheme="minorAscii"/>
          <w:b w:val="0"/>
          <w:bCs w:val="0"/>
          <w:i w:val="1"/>
          <w:iCs w:val="1"/>
          <w:noProof w:val="0"/>
          <w:sz w:val="22"/>
          <w:szCs w:val="22"/>
          <w:lang w:val="en-GB"/>
        </w:rPr>
        <w:t>BMC Health Services Research</w:t>
      </w: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23(1042)., Available at: </w:t>
      </w:r>
      <w:hyperlink r:id="R5ce92107a366492b">
        <w:r w:rsidRPr="4B0DF1EC" w:rsidR="7E7B097C">
          <w:rPr>
            <w:rStyle w:val="Hyperlink"/>
            <w:rFonts w:ascii="Arial" w:hAnsi="Arial" w:eastAsia="Arial" w:cs="Arial" w:asciiTheme="minorAscii" w:hAnsiTheme="minorAscii" w:eastAsiaTheme="minorAscii" w:cstheme="minorAscii"/>
            <w:b w:val="0"/>
            <w:bCs w:val="0"/>
            <w:noProof w:val="0"/>
            <w:sz w:val="22"/>
            <w:szCs w:val="22"/>
            <w:lang w:val="en-GB"/>
          </w:rPr>
          <w:t>https://pmc.ncbi.nlm.nih.gov/articles/PMC10542667/</w:t>
        </w:r>
      </w:hyperlink>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(Accessed </w:t>
      </w:r>
      <w:r w:rsidRPr="4B0DF1EC" w:rsidR="4A0C0A4A">
        <w:rPr>
          <w:rFonts w:ascii="Arial" w:hAnsi="Arial" w:eastAsia="Arial" w:cs="Arial" w:asciiTheme="minorAscii" w:hAnsiTheme="minorAscii" w:eastAsiaTheme="minorAscii" w:cstheme="minorAscii"/>
          <w:b w:val="0"/>
          <w:bCs w:val="0"/>
          <w:noProof w:val="0"/>
          <w:sz w:val="22"/>
          <w:szCs w:val="22"/>
          <w:lang w:val="en-GB"/>
        </w:rPr>
        <w:t>2</w:t>
      </w:r>
      <w:r w:rsidRPr="4B0DF1EC" w:rsidR="7E7B097C">
        <w:rPr>
          <w:rFonts w:ascii="Arial" w:hAnsi="Arial" w:eastAsia="Arial" w:cs="Arial" w:asciiTheme="minorAscii" w:hAnsiTheme="minorAscii" w:eastAsiaTheme="minorAscii" w:cstheme="minorAscii"/>
          <w:b w:val="0"/>
          <w:bCs w:val="0"/>
          <w:noProof w:val="0"/>
          <w:sz w:val="22"/>
          <w:szCs w:val="22"/>
          <w:lang w:val="en-GB"/>
        </w:rPr>
        <w:t>6 Ju</w:t>
      </w:r>
      <w:r w:rsidRPr="4B0DF1EC" w:rsidR="1AD96ACE">
        <w:rPr>
          <w:rFonts w:ascii="Arial" w:hAnsi="Arial" w:eastAsia="Arial" w:cs="Arial" w:asciiTheme="minorAscii" w:hAnsiTheme="minorAscii" w:eastAsiaTheme="minorAscii" w:cstheme="minorAscii"/>
          <w:b w:val="0"/>
          <w:bCs w:val="0"/>
          <w:noProof w:val="0"/>
          <w:sz w:val="22"/>
          <w:szCs w:val="22"/>
          <w:lang w:val="en-GB"/>
        </w:rPr>
        <w:t>ne</w:t>
      </w: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2026)</w:t>
      </w:r>
    </w:p>
    <w:p w:rsidR="4B0DF1EC" w:rsidP="4B0DF1EC" w:rsidRDefault="4B0DF1EC" w14:paraId="6B689647" w14:textId="1E3E62C3">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0"/>
          <w:bCs w:val="0"/>
          <w:noProof w:val="0"/>
          <w:sz w:val="22"/>
          <w:szCs w:val="22"/>
          <w:lang w:val="en-GB"/>
        </w:rPr>
      </w:pPr>
    </w:p>
    <w:p w:rsidR="75951A29" w:rsidP="4B0DF1EC" w:rsidRDefault="75951A29" w14:paraId="4E53B5D3" w14:textId="6A4508D3">
      <w:pPr>
        <w:pStyle w:val="ListParagraph"/>
        <w:spacing w:before="240" w:beforeAutospacing="off" w:after="240" w:afterAutospacing="off" w:line="360" w:lineRule="auto"/>
        <w:ind w:left="720"/>
        <w:jc w:val="both"/>
        <w:rPr>
          <w:noProof w:val="0"/>
          <w:sz w:val="22"/>
          <w:szCs w:val="22"/>
          <w:lang w:val="en-GB"/>
        </w:rPr>
      </w:pPr>
      <w:r w:rsidRPr="4B0DF1EC" w:rsidR="75951A29">
        <w:rPr>
          <w:noProof w:val="0"/>
          <w:sz w:val="22"/>
          <w:szCs w:val="22"/>
          <w:lang w:val="en-GB"/>
        </w:rPr>
        <w:t xml:space="preserve">Marras, A., Fineberg, N. and </w:t>
      </w:r>
      <w:r w:rsidRPr="4B0DF1EC" w:rsidR="75951A29">
        <w:rPr>
          <w:noProof w:val="0"/>
          <w:sz w:val="22"/>
          <w:szCs w:val="22"/>
          <w:lang w:val="en-GB"/>
        </w:rPr>
        <w:t>Pallanti</w:t>
      </w:r>
      <w:r w:rsidRPr="4B0DF1EC" w:rsidR="75951A29">
        <w:rPr>
          <w:noProof w:val="0"/>
          <w:sz w:val="22"/>
          <w:szCs w:val="22"/>
          <w:lang w:val="en-GB"/>
        </w:rPr>
        <w:t xml:space="preserve">, S., (2016), Obsessive-compulsive and related disorders: comparing DSM-5 and ICD-11, </w:t>
      </w:r>
      <w:r w:rsidRPr="4B0DF1EC" w:rsidR="75951A29">
        <w:rPr>
          <w:i w:val="1"/>
          <w:iCs w:val="1"/>
          <w:noProof w:val="0"/>
          <w:sz w:val="22"/>
          <w:szCs w:val="22"/>
          <w:lang w:val="en-GB"/>
        </w:rPr>
        <w:t>CNS Spectrums</w:t>
      </w:r>
      <w:r w:rsidRPr="4B0DF1EC" w:rsidR="75951A29">
        <w:rPr>
          <w:noProof w:val="0"/>
          <w:sz w:val="22"/>
          <w:szCs w:val="22"/>
          <w:lang w:val="en-GB"/>
        </w:rPr>
        <w:t xml:space="preserve">, 21(3), pp. 248–254., Available at: </w:t>
      </w:r>
      <w:hyperlink r:id="Rfd0e02845c4e4510">
        <w:r w:rsidRPr="4B0DF1EC" w:rsidR="75951A29">
          <w:rPr>
            <w:rStyle w:val="Hyperlink"/>
            <w:noProof w:val="0"/>
            <w:sz w:val="22"/>
            <w:szCs w:val="22"/>
            <w:lang w:val="en-GB"/>
          </w:rPr>
          <w:t>https://pubmed.ncbi.nlm.nih.gov/27401060/</w:t>
        </w:r>
      </w:hyperlink>
      <w:r w:rsidRPr="4B0DF1EC" w:rsidR="75951A29">
        <w:rPr>
          <w:noProof w:val="0"/>
          <w:sz w:val="22"/>
          <w:szCs w:val="22"/>
          <w:lang w:val="en-GB"/>
        </w:rPr>
        <w:t xml:space="preserve"> , (Accessed 17 June 2026)</w:t>
      </w:r>
    </w:p>
    <w:p w:rsidR="2AD1E4E8" w:rsidP="4B0DF1EC" w:rsidRDefault="2AD1E4E8" w14:paraId="1C2CBC62" w14:textId="5B60A783">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1"/>
          <w:bCs w:val="1"/>
          <w:noProof w:val="0"/>
          <w:sz w:val="22"/>
          <w:szCs w:val="22"/>
          <w:lang w:val="en-GB"/>
        </w:rPr>
      </w:pPr>
    </w:p>
    <w:p w:rsidR="53C24BB4" w:rsidP="4B0DF1EC" w:rsidRDefault="53C24BB4" w14:paraId="0811D619" w14:textId="402E46EA">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0"/>
          <w:bCs w:val="0"/>
          <w:noProof w:val="0"/>
          <w:sz w:val="22"/>
          <w:szCs w:val="22"/>
          <w:lang w:val="en-GB"/>
        </w:rPr>
      </w:pP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Mental Health Act, (1983), </w:t>
      </w:r>
      <w:r w:rsidRPr="4B0DF1EC" w:rsidR="7E7B097C">
        <w:rPr>
          <w:rFonts w:ascii="Arial" w:hAnsi="Arial" w:eastAsia="Arial" w:cs="Arial" w:asciiTheme="minorAscii" w:hAnsiTheme="minorAscii" w:eastAsiaTheme="minorAscii" w:cstheme="minorAscii"/>
          <w:b w:val="0"/>
          <w:bCs w:val="0"/>
          <w:i w:val="1"/>
          <w:iCs w:val="1"/>
          <w:noProof w:val="0"/>
          <w:sz w:val="22"/>
          <w:szCs w:val="22"/>
          <w:lang w:val="en-GB"/>
        </w:rPr>
        <w:t>Chapter 20: Mental Health Act 1983</w:t>
      </w: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London: HMSO., Available at: </w:t>
      </w:r>
      <w:hyperlink r:id="R7d3ff077aa4247cd">
        <w:r w:rsidRPr="4B0DF1EC" w:rsidR="7E7B097C">
          <w:rPr>
            <w:rStyle w:val="Hyperlink"/>
            <w:rFonts w:ascii="Arial" w:hAnsi="Arial" w:eastAsia="Arial" w:cs="Arial" w:asciiTheme="minorAscii" w:hAnsiTheme="minorAscii" w:eastAsiaTheme="minorAscii" w:cstheme="minorAscii"/>
            <w:b w:val="0"/>
            <w:bCs w:val="0"/>
            <w:noProof w:val="0"/>
            <w:sz w:val="22"/>
            <w:szCs w:val="22"/>
            <w:lang w:val="en-GB"/>
          </w:rPr>
          <w:t>https://www.legislation.gov.uk/ukpga/1983/20/contents</w:t>
        </w:r>
      </w:hyperlink>
      <w:r w:rsidRPr="4B0DF1EC" w:rsidR="7E7B097C">
        <w:rPr>
          <w:rFonts w:ascii="Arial" w:hAnsi="Arial" w:eastAsia="Arial" w:cs="Arial" w:asciiTheme="minorAscii" w:hAnsiTheme="minorAscii" w:eastAsiaTheme="minorAscii" w:cstheme="minorAscii"/>
          <w:b w:val="0"/>
          <w:bCs w:val="0"/>
          <w:noProof w:val="0"/>
          <w:sz w:val="22"/>
          <w:szCs w:val="22"/>
          <w:lang w:val="en-GB"/>
        </w:rPr>
        <w:t>, (Accessed 13 Ju</w:t>
      </w:r>
      <w:r w:rsidRPr="4B0DF1EC" w:rsidR="03AEBFE7">
        <w:rPr>
          <w:rFonts w:ascii="Arial" w:hAnsi="Arial" w:eastAsia="Arial" w:cs="Arial" w:asciiTheme="minorAscii" w:hAnsiTheme="minorAscii" w:eastAsiaTheme="minorAscii" w:cstheme="minorAscii"/>
          <w:b w:val="0"/>
          <w:bCs w:val="0"/>
          <w:noProof w:val="0"/>
          <w:sz w:val="22"/>
          <w:szCs w:val="22"/>
          <w:lang w:val="en-GB"/>
        </w:rPr>
        <w:t>ne</w:t>
      </w: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2026)</w:t>
      </w:r>
    </w:p>
    <w:p w:rsidR="2AD1E4E8" w:rsidP="4B0DF1EC" w:rsidRDefault="2AD1E4E8" w14:paraId="6EEC38B8" w14:textId="3EC8583E">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1"/>
          <w:bCs w:val="1"/>
          <w:noProof w:val="0"/>
          <w:sz w:val="22"/>
          <w:szCs w:val="22"/>
          <w:lang w:val="en-GB"/>
        </w:rPr>
      </w:pPr>
    </w:p>
    <w:p w:rsidR="53C24BB4" w:rsidP="4B0DF1EC" w:rsidRDefault="53C24BB4" w14:paraId="5998A71C" w14:textId="5EADAEA4">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0"/>
          <w:bCs w:val="0"/>
          <w:noProof w:val="0"/>
          <w:sz w:val="22"/>
          <w:szCs w:val="22"/>
          <w:lang w:val="en-GB"/>
        </w:rPr>
      </w:pP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Mental Health Foundation, (2026), </w:t>
      </w:r>
      <w:r w:rsidRPr="4B0DF1EC" w:rsidR="7E7B097C">
        <w:rPr>
          <w:rFonts w:ascii="Arial" w:hAnsi="Arial" w:eastAsia="Arial" w:cs="Arial" w:asciiTheme="minorAscii" w:hAnsiTheme="minorAscii" w:eastAsiaTheme="minorAscii" w:cstheme="minorAscii"/>
          <w:b w:val="0"/>
          <w:bCs w:val="0"/>
          <w:i w:val="1"/>
          <w:iCs w:val="1"/>
          <w:noProof w:val="0"/>
          <w:sz w:val="22"/>
          <w:szCs w:val="22"/>
          <w:lang w:val="en-GB"/>
        </w:rPr>
        <w:t>Obsessive-compulsive disorder</w:t>
      </w:r>
      <w:r w:rsidRPr="4B0DF1EC" w:rsidR="7E7B097C">
        <w:rPr>
          <w:rFonts w:ascii="Arial" w:hAnsi="Arial" w:eastAsia="Arial" w:cs="Arial" w:asciiTheme="minorAscii" w:hAnsiTheme="minorAscii" w:eastAsiaTheme="minorAscii" w:cstheme="minorAscii"/>
          <w:b w:val="0"/>
          <w:bCs w:val="0"/>
          <w:i w:val="1"/>
          <w:iCs w:val="1"/>
          <w:noProof w:val="0"/>
          <w:sz w:val="22"/>
          <w:szCs w:val="22"/>
          <w:lang w:val="en-GB"/>
        </w:rPr>
        <w:t xml:space="preserve"> (OCD)</w:t>
      </w: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London: MHF., Available at: </w:t>
      </w:r>
      <w:hyperlink r:id="R422f1aae4a5e4f58">
        <w:r w:rsidRPr="4B0DF1EC" w:rsidR="7E7B097C">
          <w:rPr>
            <w:rStyle w:val="Hyperlink"/>
            <w:rFonts w:ascii="Arial" w:hAnsi="Arial" w:eastAsia="Arial" w:cs="Arial" w:asciiTheme="minorAscii" w:hAnsiTheme="minorAscii" w:eastAsiaTheme="minorAscii" w:cstheme="minorAscii"/>
            <w:b w:val="0"/>
            <w:bCs w:val="0"/>
            <w:noProof w:val="0"/>
            <w:sz w:val="22"/>
            <w:szCs w:val="22"/>
            <w:lang w:val="en-GB"/>
          </w:rPr>
          <w:t>https://www.mentalhealth.org.uk/explore-mental-health/a-z-topics/obsessive-compulsive-disorder-ocd</w:t>
        </w:r>
      </w:hyperlink>
      <w:r w:rsidRPr="4B0DF1EC" w:rsidR="7E7B097C">
        <w:rPr>
          <w:rFonts w:ascii="Arial" w:hAnsi="Arial" w:eastAsia="Arial" w:cs="Arial" w:asciiTheme="minorAscii" w:hAnsiTheme="minorAscii" w:eastAsiaTheme="minorAscii" w:cstheme="minorAscii"/>
          <w:b w:val="0"/>
          <w:bCs w:val="0"/>
          <w:noProof w:val="0"/>
          <w:sz w:val="22"/>
          <w:szCs w:val="22"/>
          <w:lang w:val="en-GB"/>
        </w:rPr>
        <w:t>, (Accessed 10 Ju</w:t>
      </w:r>
      <w:r w:rsidRPr="4B0DF1EC" w:rsidR="5B9E93ED">
        <w:rPr>
          <w:rFonts w:ascii="Arial" w:hAnsi="Arial" w:eastAsia="Arial" w:cs="Arial" w:asciiTheme="minorAscii" w:hAnsiTheme="minorAscii" w:eastAsiaTheme="minorAscii" w:cstheme="minorAscii"/>
          <w:b w:val="0"/>
          <w:bCs w:val="0"/>
          <w:noProof w:val="0"/>
          <w:sz w:val="22"/>
          <w:szCs w:val="22"/>
          <w:lang w:val="en-GB"/>
        </w:rPr>
        <w:t>ne</w:t>
      </w: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2026)</w:t>
      </w:r>
    </w:p>
    <w:p w:rsidR="2AD1E4E8" w:rsidP="4B0DF1EC" w:rsidRDefault="2AD1E4E8" w14:paraId="66DA3ED7" w14:textId="13811ED0">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1"/>
          <w:bCs w:val="1"/>
          <w:noProof w:val="0"/>
          <w:sz w:val="22"/>
          <w:szCs w:val="22"/>
          <w:lang w:val="en-GB"/>
        </w:rPr>
      </w:pPr>
    </w:p>
    <w:p w:rsidR="53C24BB4" w:rsidP="4B0DF1EC" w:rsidRDefault="53C24BB4" w14:paraId="24371207" w14:textId="65F8DFB5">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0"/>
          <w:bCs w:val="0"/>
          <w:noProof w:val="0"/>
          <w:sz w:val="22"/>
          <w:szCs w:val="22"/>
          <w:lang w:val="en-GB"/>
        </w:rPr>
      </w:pP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Mind, (2026), </w:t>
      </w:r>
      <w:r w:rsidRPr="4B0DF1EC" w:rsidR="7E7B097C">
        <w:rPr>
          <w:rFonts w:ascii="Arial" w:hAnsi="Arial" w:eastAsia="Arial" w:cs="Arial" w:asciiTheme="minorAscii" w:hAnsiTheme="minorAscii" w:eastAsiaTheme="minorAscii" w:cstheme="minorAscii"/>
          <w:b w:val="0"/>
          <w:bCs w:val="0"/>
          <w:i w:val="1"/>
          <w:iCs w:val="1"/>
          <w:noProof w:val="0"/>
          <w:sz w:val="22"/>
          <w:szCs w:val="22"/>
          <w:lang w:val="en-GB"/>
        </w:rPr>
        <w:t xml:space="preserve">What is the Mental Health Act </w:t>
      </w:r>
      <w:r w:rsidRPr="4B0DF1EC" w:rsidR="7E7B097C">
        <w:rPr>
          <w:rFonts w:ascii="Arial" w:hAnsi="Arial" w:eastAsia="Arial" w:cs="Arial" w:asciiTheme="minorAscii" w:hAnsiTheme="minorAscii" w:eastAsiaTheme="minorAscii" w:cstheme="minorAscii"/>
          <w:b w:val="0"/>
          <w:bCs w:val="0"/>
          <w:i w:val="1"/>
          <w:iCs w:val="1"/>
          <w:noProof w:val="0"/>
          <w:sz w:val="22"/>
          <w:szCs w:val="22"/>
          <w:lang w:val="en-GB"/>
        </w:rPr>
        <w:t>1983</w:t>
      </w:r>
      <w:r w:rsidRPr="4B0DF1EC" w:rsidR="7E7B097C">
        <w:rPr>
          <w:rFonts w:ascii="Arial" w:hAnsi="Arial" w:eastAsia="Arial" w:cs="Arial" w:asciiTheme="minorAscii" w:hAnsiTheme="minorAscii" w:eastAsiaTheme="minorAscii" w:cstheme="minorAscii"/>
          <w:b w:val="0"/>
          <w:bCs w:val="0"/>
          <w:noProof w:val="0"/>
          <w:sz w:val="22"/>
          <w:szCs w:val="22"/>
          <w:lang w:val="en-GB"/>
        </w:rPr>
        <w:t>,</w:t>
      </w: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London: Mind., Available at: </w:t>
      </w:r>
      <w:hyperlink r:id="R0db821a502ba4782">
        <w:r w:rsidRPr="4B0DF1EC" w:rsidR="7E7B097C">
          <w:rPr>
            <w:rStyle w:val="Hyperlink"/>
            <w:rFonts w:ascii="Arial" w:hAnsi="Arial" w:eastAsia="Arial" w:cs="Arial" w:asciiTheme="minorAscii" w:hAnsiTheme="minorAscii" w:eastAsiaTheme="minorAscii" w:cstheme="minorAscii"/>
            <w:b w:val="0"/>
            <w:bCs w:val="0"/>
            <w:noProof w:val="0"/>
            <w:sz w:val="22"/>
            <w:szCs w:val="22"/>
            <w:lang w:val="en-GB"/>
          </w:rPr>
          <w:t>https://www.mind.org.uk/information-support/legal-rights/mental-health-act-1983/about-the-mha-1983/</w:t>
        </w:r>
      </w:hyperlink>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(Accessed </w:t>
      </w:r>
      <w:r w:rsidRPr="4B0DF1EC" w:rsidR="50084997">
        <w:rPr>
          <w:rFonts w:ascii="Arial" w:hAnsi="Arial" w:eastAsia="Arial" w:cs="Arial" w:asciiTheme="minorAscii" w:hAnsiTheme="minorAscii" w:eastAsiaTheme="minorAscii" w:cstheme="minorAscii"/>
          <w:b w:val="0"/>
          <w:bCs w:val="0"/>
          <w:noProof w:val="0"/>
          <w:sz w:val="22"/>
          <w:szCs w:val="22"/>
          <w:lang w:val="en-GB"/>
        </w:rPr>
        <w:t>2</w:t>
      </w:r>
      <w:r w:rsidRPr="4B0DF1EC" w:rsidR="7E7B097C">
        <w:rPr>
          <w:rFonts w:ascii="Arial" w:hAnsi="Arial" w:eastAsia="Arial" w:cs="Arial" w:asciiTheme="minorAscii" w:hAnsiTheme="minorAscii" w:eastAsiaTheme="minorAscii" w:cstheme="minorAscii"/>
          <w:b w:val="0"/>
          <w:bCs w:val="0"/>
          <w:noProof w:val="0"/>
          <w:sz w:val="22"/>
          <w:szCs w:val="22"/>
          <w:lang w:val="en-GB"/>
        </w:rPr>
        <w:t>8 Ju</w:t>
      </w:r>
      <w:r w:rsidRPr="4B0DF1EC" w:rsidR="0F8F0023">
        <w:rPr>
          <w:rFonts w:ascii="Arial" w:hAnsi="Arial" w:eastAsia="Arial" w:cs="Arial" w:asciiTheme="minorAscii" w:hAnsiTheme="minorAscii" w:eastAsiaTheme="minorAscii" w:cstheme="minorAscii"/>
          <w:b w:val="0"/>
          <w:bCs w:val="0"/>
          <w:noProof w:val="0"/>
          <w:sz w:val="22"/>
          <w:szCs w:val="22"/>
          <w:lang w:val="en-GB"/>
        </w:rPr>
        <w:t>ne</w:t>
      </w: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2026)</w:t>
      </w:r>
    </w:p>
    <w:p w:rsidR="4B0DF1EC" w:rsidP="4B0DF1EC" w:rsidRDefault="4B0DF1EC" w14:paraId="0CB31FDD" w14:textId="61BD1B97">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1"/>
          <w:bCs w:val="1"/>
          <w:noProof w:val="0"/>
          <w:sz w:val="22"/>
          <w:szCs w:val="22"/>
          <w:lang w:val="en-GB"/>
        </w:rPr>
      </w:pPr>
    </w:p>
    <w:p w:rsidR="75CB031A" w:rsidP="4B0DF1EC" w:rsidRDefault="75CB031A" w14:paraId="6BE09DBA" w14:textId="5EE9F59D">
      <w:pPr>
        <w:pStyle w:val="ListParagraph"/>
        <w:spacing w:before="240" w:beforeAutospacing="off" w:after="240" w:afterAutospacing="off" w:line="360" w:lineRule="auto"/>
        <w:ind w:left="720"/>
        <w:jc w:val="both"/>
        <w:rPr>
          <w:noProof w:val="0"/>
          <w:sz w:val="22"/>
          <w:szCs w:val="22"/>
          <w:lang w:val="en-GB"/>
        </w:rPr>
      </w:pPr>
      <w:r w:rsidRPr="4B0DF1EC" w:rsidR="75CB031A">
        <w:rPr>
          <w:noProof w:val="0"/>
          <w:sz w:val="22"/>
          <w:szCs w:val="22"/>
          <w:lang w:val="en-GB"/>
        </w:rPr>
        <w:t xml:space="preserve">National </w:t>
      </w:r>
      <w:r w:rsidRPr="4B0DF1EC" w:rsidR="75CB031A">
        <w:rPr>
          <w:noProof w:val="0"/>
          <w:sz w:val="22"/>
          <w:szCs w:val="22"/>
          <w:lang w:val="en-GB"/>
        </w:rPr>
        <w:t>Center</w:t>
      </w:r>
      <w:r w:rsidRPr="4B0DF1EC" w:rsidR="75CB031A">
        <w:rPr>
          <w:noProof w:val="0"/>
          <w:sz w:val="22"/>
          <w:szCs w:val="22"/>
          <w:lang w:val="en-GB"/>
        </w:rPr>
        <w:t xml:space="preserve"> for Biotechnology Information (NCBI), (2018), </w:t>
      </w:r>
      <w:r w:rsidRPr="4B0DF1EC" w:rsidR="75CB031A">
        <w:rPr>
          <w:i w:val="1"/>
          <w:iCs w:val="1"/>
          <w:noProof w:val="0"/>
          <w:sz w:val="22"/>
          <w:szCs w:val="22"/>
          <w:lang w:val="en-GB"/>
        </w:rPr>
        <w:t xml:space="preserve">Impact of the DSM-IV to DSM-5 Changes on the National Survey on Drug Use and Health, </w:t>
      </w:r>
      <w:r w:rsidRPr="4B0DF1EC" w:rsidR="75CB031A">
        <w:rPr>
          <w:noProof w:val="0"/>
          <w:sz w:val="22"/>
          <w:szCs w:val="22"/>
          <w:lang w:val="en-GB"/>
        </w:rPr>
        <w:t>Rockville (MD): Substance Abuse and Mental Health Services Administration (US).</w:t>
      </w:r>
      <w:r w:rsidRPr="4B0DF1EC" w:rsidR="45ECAE56">
        <w:rPr>
          <w:noProof w:val="0"/>
          <w:sz w:val="22"/>
          <w:szCs w:val="22"/>
          <w:lang w:val="en-GB"/>
        </w:rPr>
        <w:t>,</w:t>
      </w:r>
      <w:r w:rsidRPr="4B0DF1EC" w:rsidR="75CB031A">
        <w:rPr>
          <w:noProof w:val="0"/>
          <w:sz w:val="22"/>
          <w:szCs w:val="22"/>
          <w:lang w:val="en-GB"/>
        </w:rPr>
        <w:t xml:space="preserve"> Available at: </w:t>
      </w:r>
      <w:hyperlink r:id="R537d0b781f8d4997">
        <w:r w:rsidRPr="4B0DF1EC" w:rsidR="75CB031A">
          <w:rPr>
            <w:rStyle w:val="Hyperlink"/>
            <w:noProof w:val="0"/>
            <w:sz w:val="22"/>
            <w:szCs w:val="22"/>
            <w:lang w:val="en-GB"/>
          </w:rPr>
          <w:t>https://www.ncbi.nlm.nih.gov/books/NBK519704/table/ch3.t13/,</w:t>
        </w:r>
      </w:hyperlink>
      <w:r w:rsidRPr="4B0DF1EC" w:rsidR="75CB031A">
        <w:rPr>
          <w:noProof w:val="0"/>
          <w:sz w:val="22"/>
          <w:szCs w:val="22"/>
          <w:lang w:val="en-GB"/>
        </w:rPr>
        <w:t xml:space="preserve"> (Accessed 15 June 2026).</w:t>
      </w:r>
    </w:p>
    <w:p w:rsidR="2AD1E4E8" w:rsidP="4B0DF1EC" w:rsidRDefault="2AD1E4E8" w14:paraId="54A0E031" w14:textId="338868C2">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1"/>
          <w:bCs w:val="1"/>
          <w:noProof w:val="0"/>
          <w:sz w:val="22"/>
          <w:szCs w:val="22"/>
          <w:lang w:val="en-GB"/>
        </w:rPr>
      </w:pPr>
    </w:p>
    <w:p w:rsidR="2AD1E4E8" w:rsidP="2AD1E4E8" w:rsidRDefault="2AD1E4E8" w14:paraId="3C211BF0" w14:textId="3826E5F4">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0"/>
          <w:bCs w:val="0"/>
          <w:noProof w:val="0"/>
          <w:sz w:val="22"/>
          <w:szCs w:val="22"/>
          <w:lang w:val="en-GB"/>
        </w:rPr>
      </w:pP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NHS, (2026), </w:t>
      </w:r>
      <w:r w:rsidRPr="4B0DF1EC" w:rsidR="7E7B097C">
        <w:rPr>
          <w:rFonts w:ascii="Arial" w:hAnsi="Arial" w:eastAsia="Arial" w:cs="Arial" w:asciiTheme="minorAscii" w:hAnsiTheme="minorAscii" w:eastAsiaTheme="minorAscii" w:cstheme="minorAscii"/>
          <w:b w:val="0"/>
          <w:bCs w:val="0"/>
          <w:i w:val="1"/>
          <w:iCs w:val="1"/>
          <w:noProof w:val="0"/>
          <w:sz w:val="22"/>
          <w:szCs w:val="22"/>
          <w:lang w:val="en-GB"/>
        </w:rPr>
        <w:t xml:space="preserve">Overview - </w:t>
      </w:r>
      <w:r w:rsidRPr="4B0DF1EC" w:rsidR="7E7B097C">
        <w:rPr>
          <w:rFonts w:ascii="Arial" w:hAnsi="Arial" w:eastAsia="Arial" w:cs="Arial" w:asciiTheme="minorAscii" w:hAnsiTheme="minorAscii" w:eastAsiaTheme="minorAscii" w:cstheme="minorAscii"/>
          <w:b w:val="0"/>
          <w:bCs w:val="0"/>
          <w:i w:val="1"/>
          <w:iCs w:val="1"/>
          <w:noProof w:val="0"/>
          <w:sz w:val="22"/>
          <w:szCs w:val="22"/>
          <w:lang w:val="en-GB"/>
        </w:rPr>
        <w:t>Obsessive compulsive disorder</w:t>
      </w:r>
      <w:r w:rsidRPr="4B0DF1EC" w:rsidR="7E7B097C">
        <w:rPr>
          <w:rFonts w:ascii="Arial" w:hAnsi="Arial" w:eastAsia="Arial" w:cs="Arial" w:asciiTheme="minorAscii" w:hAnsiTheme="minorAscii" w:eastAsiaTheme="minorAscii" w:cstheme="minorAscii"/>
          <w:b w:val="0"/>
          <w:bCs w:val="0"/>
          <w:i w:val="1"/>
          <w:iCs w:val="1"/>
          <w:noProof w:val="0"/>
          <w:sz w:val="22"/>
          <w:szCs w:val="22"/>
          <w:lang w:val="en-GB"/>
        </w:rPr>
        <w:t xml:space="preserve"> (OCD)</w:t>
      </w: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London: NHS., Available at: </w:t>
      </w:r>
      <w:hyperlink r:id="Rbd69611375e64f7d">
        <w:r w:rsidRPr="4B0DF1EC" w:rsidR="7E7B097C">
          <w:rPr>
            <w:rStyle w:val="Hyperlink"/>
            <w:rFonts w:ascii="Arial" w:hAnsi="Arial" w:eastAsia="Arial" w:cs="Arial" w:asciiTheme="minorAscii" w:hAnsiTheme="minorAscii" w:eastAsiaTheme="minorAscii" w:cstheme="minorAscii"/>
            <w:b w:val="0"/>
            <w:bCs w:val="0"/>
            <w:noProof w:val="0"/>
            <w:sz w:val="22"/>
            <w:szCs w:val="22"/>
            <w:lang w:val="en-GB"/>
          </w:rPr>
          <w:t>https://www.nhs.uk/mental-health/conditions/obsessive-compulsive-disorder-ocd/overview/</w:t>
        </w:r>
      </w:hyperlink>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(Accessed </w:t>
      </w:r>
      <w:r w:rsidRPr="4B0DF1EC" w:rsidR="6BCD06C9">
        <w:rPr>
          <w:rFonts w:ascii="Arial" w:hAnsi="Arial" w:eastAsia="Arial" w:cs="Arial" w:asciiTheme="minorAscii" w:hAnsiTheme="minorAscii" w:eastAsiaTheme="minorAscii" w:cstheme="minorAscii"/>
          <w:b w:val="0"/>
          <w:bCs w:val="0"/>
          <w:noProof w:val="0"/>
          <w:sz w:val="22"/>
          <w:szCs w:val="22"/>
          <w:lang w:val="en-GB"/>
        </w:rPr>
        <w:t>2</w:t>
      </w:r>
      <w:r w:rsidRPr="4B0DF1EC" w:rsidR="7E7B097C">
        <w:rPr>
          <w:rFonts w:ascii="Arial" w:hAnsi="Arial" w:eastAsia="Arial" w:cs="Arial" w:asciiTheme="minorAscii" w:hAnsiTheme="minorAscii" w:eastAsiaTheme="minorAscii" w:cstheme="minorAscii"/>
          <w:b w:val="0"/>
          <w:bCs w:val="0"/>
          <w:noProof w:val="0"/>
          <w:sz w:val="22"/>
          <w:szCs w:val="22"/>
          <w:lang w:val="en-GB"/>
        </w:rPr>
        <w:t>5 Ju</w:t>
      </w:r>
      <w:r w:rsidRPr="4B0DF1EC" w:rsidR="20EB2A75">
        <w:rPr>
          <w:rFonts w:ascii="Arial" w:hAnsi="Arial" w:eastAsia="Arial" w:cs="Arial" w:asciiTheme="minorAscii" w:hAnsiTheme="minorAscii" w:eastAsiaTheme="minorAscii" w:cstheme="minorAscii"/>
          <w:b w:val="0"/>
          <w:bCs w:val="0"/>
          <w:noProof w:val="0"/>
          <w:sz w:val="22"/>
          <w:szCs w:val="22"/>
          <w:lang w:val="en-GB"/>
        </w:rPr>
        <w:t>ne</w:t>
      </w: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2026)</w:t>
      </w:r>
    </w:p>
    <w:p w:rsidR="4B0DF1EC" w:rsidP="4B0DF1EC" w:rsidRDefault="4B0DF1EC" w14:paraId="3B42413B" w14:textId="64A4B5B7">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0"/>
          <w:bCs w:val="0"/>
          <w:noProof w:val="0"/>
          <w:sz w:val="22"/>
          <w:szCs w:val="22"/>
          <w:lang w:val="en-GB"/>
        </w:rPr>
      </w:pPr>
    </w:p>
    <w:p w:rsidR="2AD1E4E8" w:rsidP="2AD1E4E8" w:rsidRDefault="2AD1E4E8" w14:paraId="5B92D8C5" w14:textId="3535698B">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0"/>
          <w:bCs w:val="0"/>
          <w:noProof w:val="0"/>
          <w:sz w:val="22"/>
          <w:szCs w:val="22"/>
          <w:lang w:val="en-GB"/>
        </w:rPr>
      </w:pP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NHS Digital, (2026), </w:t>
      </w:r>
      <w:r w:rsidRPr="4B0DF1EC" w:rsidR="7E7B097C">
        <w:rPr>
          <w:rFonts w:ascii="Arial" w:hAnsi="Arial" w:eastAsia="Arial" w:cs="Arial" w:asciiTheme="minorAscii" w:hAnsiTheme="minorAscii" w:eastAsiaTheme="minorAscii" w:cstheme="minorAscii"/>
          <w:b w:val="0"/>
          <w:bCs w:val="0"/>
          <w:i w:val="1"/>
          <w:iCs w:val="1"/>
          <w:noProof w:val="0"/>
          <w:sz w:val="22"/>
          <w:szCs w:val="22"/>
          <w:lang w:val="en-GB"/>
        </w:rPr>
        <w:t>Improving Access to Psychological Therapies (IAPT)</w:t>
      </w: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Leeds: NHS Digital., Available at: </w:t>
      </w:r>
      <w:hyperlink r:id="R1410b7d71dd84246">
        <w:r w:rsidRPr="4B0DF1EC" w:rsidR="7E7B097C">
          <w:rPr>
            <w:rStyle w:val="Hyperlink"/>
            <w:rFonts w:ascii="Arial" w:hAnsi="Arial" w:eastAsia="Arial" w:cs="Arial" w:asciiTheme="minorAscii" w:hAnsiTheme="minorAscii" w:eastAsiaTheme="minorAscii" w:cstheme="minorAscii"/>
            <w:b w:val="0"/>
            <w:bCs w:val="0"/>
            <w:noProof w:val="0"/>
            <w:sz w:val="22"/>
            <w:szCs w:val="22"/>
            <w:lang w:val="en-GB"/>
          </w:rPr>
          <w:t>https://digital.nhs.uk/services/data-services-for-commissioners/datasets/improving-access-to-psychological-therapies-iapt</w:t>
        </w:r>
      </w:hyperlink>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(Accessed </w:t>
      </w:r>
      <w:r w:rsidRPr="4B0DF1EC" w:rsidR="0154DA3C">
        <w:rPr>
          <w:rFonts w:ascii="Arial" w:hAnsi="Arial" w:eastAsia="Arial" w:cs="Arial" w:asciiTheme="minorAscii" w:hAnsiTheme="minorAscii" w:eastAsiaTheme="minorAscii" w:cstheme="minorAscii"/>
          <w:b w:val="0"/>
          <w:bCs w:val="0"/>
          <w:noProof w:val="0"/>
          <w:sz w:val="22"/>
          <w:szCs w:val="22"/>
          <w:lang w:val="en-GB"/>
        </w:rPr>
        <w:t>2</w:t>
      </w:r>
      <w:r w:rsidRPr="4B0DF1EC" w:rsidR="7E7B097C">
        <w:rPr>
          <w:rFonts w:ascii="Arial" w:hAnsi="Arial" w:eastAsia="Arial" w:cs="Arial" w:asciiTheme="minorAscii" w:hAnsiTheme="minorAscii" w:eastAsiaTheme="minorAscii" w:cstheme="minorAscii"/>
          <w:b w:val="0"/>
          <w:bCs w:val="0"/>
          <w:noProof w:val="0"/>
          <w:sz w:val="22"/>
          <w:szCs w:val="22"/>
          <w:lang w:val="en-GB"/>
        </w:rPr>
        <w:t>4 Ju</w:t>
      </w:r>
      <w:r w:rsidRPr="4B0DF1EC" w:rsidR="241C66FB">
        <w:rPr>
          <w:rFonts w:ascii="Arial" w:hAnsi="Arial" w:eastAsia="Arial" w:cs="Arial" w:asciiTheme="minorAscii" w:hAnsiTheme="minorAscii" w:eastAsiaTheme="minorAscii" w:cstheme="minorAscii"/>
          <w:b w:val="0"/>
          <w:bCs w:val="0"/>
          <w:noProof w:val="0"/>
          <w:sz w:val="22"/>
          <w:szCs w:val="22"/>
          <w:lang w:val="en-GB"/>
        </w:rPr>
        <w:t>ne</w:t>
      </w: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2026)</w:t>
      </w:r>
    </w:p>
    <w:p w:rsidR="4B0DF1EC" w:rsidP="4B0DF1EC" w:rsidRDefault="4B0DF1EC" w14:paraId="7EB2E647" w14:textId="6E8F5B3F">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0"/>
          <w:bCs w:val="0"/>
          <w:noProof w:val="0"/>
          <w:sz w:val="22"/>
          <w:szCs w:val="22"/>
          <w:lang w:val="en-GB"/>
        </w:rPr>
      </w:pPr>
    </w:p>
    <w:p w:rsidR="53C24BB4" w:rsidP="4B0DF1EC" w:rsidRDefault="53C24BB4" w14:paraId="5E33EC1D" w14:textId="7D0EB30F">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0"/>
          <w:bCs w:val="0"/>
          <w:noProof w:val="0"/>
          <w:sz w:val="22"/>
          <w:szCs w:val="22"/>
          <w:lang w:val="en-GB"/>
        </w:rPr>
      </w:pP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NHS England, (2025), </w:t>
      </w:r>
      <w:r w:rsidRPr="4B0DF1EC" w:rsidR="7E7B097C">
        <w:rPr>
          <w:rFonts w:ascii="Arial" w:hAnsi="Arial" w:eastAsia="Arial" w:cs="Arial" w:asciiTheme="minorAscii" w:hAnsiTheme="minorAscii" w:eastAsiaTheme="minorAscii" w:cstheme="minorAscii"/>
          <w:b w:val="0"/>
          <w:bCs w:val="0"/>
          <w:i w:val="1"/>
          <w:iCs w:val="1"/>
          <w:noProof w:val="0"/>
          <w:sz w:val="22"/>
          <w:szCs w:val="22"/>
          <w:lang w:val="en-GB"/>
        </w:rPr>
        <w:t>2025/26 priorities and operational planning guidance</w:t>
      </w: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London: NHS England., Available at: </w:t>
      </w:r>
      <w:hyperlink r:id="Rea1108dc02e64cbf">
        <w:r w:rsidRPr="4B0DF1EC" w:rsidR="7E7B097C">
          <w:rPr>
            <w:rStyle w:val="Hyperlink"/>
            <w:rFonts w:ascii="Arial" w:hAnsi="Arial" w:eastAsia="Arial" w:cs="Arial" w:asciiTheme="minorAscii" w:hAnsiTheme="minorAscii" w:eastAsiaTheme="minorAscii" w:cstheme="minorAscii"/>
            <w:b w:val="0"/>
            <w:bCs w:val="0"/>
            <w:noProof w:val="0"/>
            <w:sz w:val="22"/>
            <w:szCs w:val="22"/>
            <w:lang w:val="en-GB"/>
          </w:rPr>
          <w:t>https://www.england.nhs.uk/long-read/2025-26-priorities-and-operational-planning-guidance/</w:t>
        </w:r>
      </w:hyperlink>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(Accessed </w:t>
      </w:r>
      <w:r w:rsidRPr="4B0DF1EC" w:rsidR="27B2421D">
        <w:rPr>
          <w:rFonts w:ascii="Arial" w:hAnsi="Arial" w:eastAsia="Arial" w:cs="Arial" w:asciiTheme="minorAscii" w:hAnsiTheme="minorAscii" w:eastAsiaTheme="minorAscii" w:cstheme="minorAscii"/>
          <w:b w:val="0"/>
          <w:bCs w:val="0"/>
          <w:noProof w:val="0"/>
          <w:sz w:val="22"/>
          <w:szCs w:val="22"/>
          <w:lang w:val="en-GB"/>
        </w:rPr>
        <w:t>24</w:t>
      </w: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Ju</w:t>
      </w:r>
      <w:r w:rsidRPr="4B0DF1EC" w:rsidR="5E5C7374">
        <w:rPr>
          <w:rFonts w:ascii="Arial" w:hAnsi="Arial" w:eastAsia="Arial" w:cs="Arial" w:asciiTheme="minorAscii" w:hAnsiTheme="minorAscii" w:eastAsiaTheme="minorAscii" w:cstheme="minorAscii"/>
          <w:b w:val="0"/>
          <w:bCs w:val="0"/>
          <w:noProof w:val="0"/>
          <w:sz w:val="22"/>
          <w:szCs w:val="22"/>
          <w:lang w:val="en-GB"/>
        </w:rPr>
        <w:t>ne</w:t>
      </w: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2026)</w:t>
      </w:r>
    </w:p>
    <w:p w:rsidR="4B0DF1EC" w:rsidP="4B0DF1EC" w:rsidRDefault="4B0DF1EC" w14:paraId="4607CD47" w14:textId="5CED83BD">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1"/>
          <w:bCs w:val="1"/>
          <w:noProof w:val="0"/>
          <w:sz w:val="22"/>
          <w:szCs w:val="22"/>
          <w:lang w:val="en-GB"/>
        </w:rPr>
      </w:pPr>
    </w:p>
    <w:p w:rsidR="0E20DE91" w:rsidP="4B0DF1EC" w:rsidRDefault="0E20DE91" w14:paraId="0F5CBF63" w14:textId="3F21F8E2">
      <w:pPr>
        <w:pStyle w:val="ListParagraph"/>
        <w:spacing w:before="240" w:beforeAutospacing="off" w:after="240" w:afterAutospacing="off" w:line="360" w:lineRule="auto"/>
        <w:ind w:left="720"/>
        <w:jc w:val="both"/>
        <w:rPr>
          <w:noProof w:val="0"/>
          <w:sz w:val="22"/>
          <w:szCs w:val="22"/>
          <w:lang w:val="en-GB"/>
        </w:rPr>
      </w:pPr>
      <w:r w:rsidRPr="4B0DF1EC" w:rsidR="0E20DE91">
        <w:rPr>
          <w:noProof w:val="0"/>
          <w:sz w:val="22"/>
          <w:szCs w:val="22"/>
          <w:lang w:val="en-GB"/>
        </w:rPr>
        <w:t xml:space="preserve">NICE, (2024), </w:t>
      </w:r>
      <w:r w:rsidRPr="4B0DF1EC" w:rsidR="0E20DE91">
        <w:rPr>
          <w:i w:val="1"/>
          <w:iCs w:val="1"/>
          <w:noProof w:val="0"/>
          <w:sz w:val="22"/>
          <w:szCs w:val="22"/>
          <w:lang w:val="en-GB"/>
        </w:rPr>
        <w:t>Obsessive-compulsive disorder</w:t>
      </w:r>
      <w:r w:rsidRPr="4B0DF1EC" w:rsidR="0E20DE91">
        <w:rPr>
          <w:i w:val="1"/>
          <w:iCs w:val="1"/>
          <w:noProof w:val="0"/>
          <w:sz w:val="22"/>
          <w:szCs w:val="22"/>
          <w:lang w:val="en-GB"/>
        </w:rPr>
        <w:t>: background information - prevalence</w:t>
      </w:r>
      <w:r w:rsidRPr="4B0DF1EC" w:rsidR="0E20DE91">
        <w:rPr>
          <w:noProof w:val="0"/>
          <w:sz w:val="22"/>
          <w:szCs w:val="22"/>
          <w:lang w:val="en-GB"/>
        </w:rPr>
        <w:t xml:space="preserve">., Available at: </w:t>
      </w:r>
      <w:hyperlink r:id="Rfc460503d3134482">
        <w:r w:rsidRPr="4B0DF1EC" w:rsidR="0E20DE91">
          <w:rPr>
            <w:rStyle w:val="Hyperlink"/>
            <w:noProof w:val="0"/>
            <w:sz w:val="22"/>
            <w:szCs w:val="22"/>
            <w:lang w:val="en-GB"/>
          </w:rPr>
          <w:t>https://cks.nice.org.uk/topics/obsessive-compulsive-disorder/background-information/prevalence/,</w:t>
        </w:r>
      </w:hyperlink>
      <w:r w:rsidRPr="4B0DF1EC" w:rsidR="0E20DE91">
        <w:rPr>
          <w:noProof w:val="0"/>
          <w:sz w:val="22"/>
          <w:szCs w:val="22"/>
          <w:lang w:val="en-GB"/>
        </w:rPr>
        <w:t xml:space="preserve"> (Accessed </w:t>
      </w:r>
      <w:r w:rsidRPr="4B0DF1EC" w:rsidR="44DEDA8C">
        <w:rPr>
          <w:noProof w:val="0"/>
          <w:sz w:val="22"/>
          <w:szCs w:val="22"/>
          <w:lang w:val="en-GB"/>
        </w:rPr>
        <w:t>15 June</w:t>
      </w:r>
      <w:r w:rsidRPr="4B0DF1EC" w:rsidR="0E20DE91">
        <w:rPr>
          <w:noProof w:val="0"/>
          <w:sz w:val="22"/>
          <w:szCs w:val="22"/>
          <w:lang w:val="en-GB"/>
        </w:rPr>
        <w:t xml:space="preserve"> 2026)</w:t>
      </w:r>
    </w:p>
    <w:p w:rsidR="2AD1E4E8" w:rsidP="4B0DF1EC" w:rsidRDefault="2AD1E4E8" w14:paraId="2D9E2B2A" w14:textId="7F9D350A">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1"/>
          <w:bCs w:val="1"/>
          <w:noProof w:val="0"/>
          <w:sz w:val="22"/>
          <w:szCs w:val="22"/>
          <w:lang w:val="en-GB"/>
        </w:rPr>
      </w:pPr>
    </w:p>
    <w:p w:rsidR="53C24BB4" w:rsidP="4B0DF1EC" w:rsidRDefault="53C24BB4" w14:paraId="398EC083" w14:textId="2A779BC2">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0"/>
          <w:bCs w:val="0"/>
          <w:noProof w:val="0"/>
          <w:sz w:val="22"/>
          <w:szCs w:val="22"/>
          <w:lang w:val="en-GB"/>
        </w:rPr>
      </w:pPr>
      <w:r w:rsidRPr="4B0DF1EC" w:rsidR="7E7B097C">
        <w:rPr>
          <w:rFonts w:ascii="Arial" w:hAnsi="Arial" w:eastAsia="Arial" w:cs="Arial" w:asciiTheme="minorAscii" w:hAnsiTheme="minorAscii" w:eastAsiaTheme="minorAscii" w:cstheme="minorAscii"/>
          <w:b w:val="0"/>
          <w:bCs w:val="0"/>
          <w:noProof w:val="0"/>
          <w:sz w:val="22"/>
          <w:szCs w:val="22"/>
          <w:lang w:val="en-GB"/>
        </w:rPr>
        <w:t>NICE, (200</w:t>
      </w:r>
      <w:r w:rsidRPr="4B0DF1EC" w:rsidR="32D643F4">
        <w:rPr>
          <w:rFonts w:ascii="Arial" w:hAnsi="Arial" w:eastAsia="Arial" w:cs="Arial" w:asciiTheme="minorAscii" w:hAnsiTheme="minorAscii" w:eastAsiaTheme="minorAscii" w:cstheme="minorAscii"/>
          <w:b w:val="0"/>
          <w:bCs w:val="0"/>
          <w:noProof w:val="0"/>
          <w:sz w:val="22"/>
          <w:szCs w:val="22"/>
          <w:lang w:val="en-GB"/>
        </w:rPr>
        <w:t>5</w:t>
      </w:r>
      <w:r w:rsidRPr="4B0DF1EC" w:rsidR="7E7B097C">
        <w:rPr>
          <w:rFonts w:ascii="Arial" w:hAnsi="Arial" w:eastAsia="Arial" w:cs="Arial" w:asciiTheme="minorAscii" w:hAnsiTheme="minorAscii" w:eastAsiaTheme="minorAscii" w:cstheme="minorAscii"/>
          <w:b w:val="0"/>
          <w:bCs w:val="0"/>
          <w:noProof w:val="0"/>
          <w:sz w:val="22"/>
          <w:szCs w:val="22"/>
          <w:lang w:val="en-GB"/>
        </w:rPr>
        <w:t>),</w:t>
      </w:r>
      <w:r w:rsidRPr="4B0DF1EC" w:rsidR="1012F819">
        <w:rPr>
          <w:rFonts w:ascii="Arial" w:hAnsi="Arial" w:eastAsia="Arial" w:cs="Arial" w:asciiTheme="minorAscii" w:hAnsiTheme="minorAscii" w:eastAsiaTheme="minorAscii" w:cstheme="minorAscii"/>
          <w:b w:val="0"/>
          <w:bCs w:val="0"/>
          <w:noProof w:val="0"/>
          <w:sz w:val="22"/>
          <w:szCs w:val="22"/>
          <w:lang w:val="en-GB"/>
        </w:rPr>
        <w:t xml:space="preserve"> </w:t>
      </w:r>
      <w:r w:rsidRPr="4B0DF1EC" w:rsidR="7E7B097C">
        <w:rPr>
          <w:rFonts w:ascii="Arial" w:hAnsi="Arial" w:eastAsia="Arial" w:cs="Arial" w:asciiTheme="minorAscii" w:hAnsiTheme="minorAscii" w:eastAsiaTheme="minorAscii" w:cstheme="minorAscii"/>
          <w:b w:val="0"/>
          <w:bCs w:val="0"/>
          <w:i w:val="1"/>
          <w:iCs w:val="1"/>
          <w:noProof w:val="0"/>
          <w:sz w:val="22"/>
          <w:szCs w:val="22"/>
          <w:lang w:val="en-GB"/>
        </w:rPr>
        <w:t xml:space="preserve"> </w:t>
      </w:r>
      <w:r w:rsidRPr="4B0DF1EC" w:rsidR="46B4A64A">
        <w:rPr>
          <w:rFonts w:ascii="Arial" w:hAnsi="Arial" w:eastAsia="Arial" w:cs="Arial" w:asciiTheme="minorAscii" w:hAnsiTheme="minorAscii" w:eastAsiaTheme="minorAscii" w:cstheme="minorAscii"/>
          <w:b w:val="0"/>
          <w:bCs w:val="0"/>
          <w:i w:val="1"/>
          <w:iCs w:val="1"/>
          <w:noProof w:val="0"/>
          <w:sz w:val="22"/>
          <w:szCs w:val="22"/>
          <w:lang w:val="en-GB"/>
        </w:rPr>
        <w:t>Obsessive</w:t>
      </w:r>
      <w:r w:rsidRPr="4B0DF1EC" w:rsidR="46B4A64A">
        <w:rPr>
          <w:rFonts w:ascii="Arial" w:hAnsi="Arial" w:eastAsia="Arial" w:cs="Arial" w:asciiTheme="minorAscii" w:hAnsiTheme="minorAscii" w:eastAsiaTheme="minorAscii" w:cstheme="minorAscii"/>
          <w:b w:val="0"/>
          <w:bCs w:val="0"/>
          <w:i w:val="1"/>
          <w:iCs w:val="1"/>
          <w:noProof w:val="0"/>
          <w:sz w:val="22"/>
          <w:szCs w:val="22"/>
          <w:lang w:val="en-GB"/>
        </w:rPr>
        <w:t xml:space="preserve">-compulsive disorder and body dysmorphic disorder: treatment, </w:t>
      </w:r>
      <w:r w:rsidRPr="4B0DF1EC" w:rsidR="7E7B097C">
        <w:rPr>
          <w:rFonts w:ascii="Arial" w:hAnsi="Arial" w:eastAsia="Arial" w:cs="Arial" w:asciiTheme="minorAscii" w:hAnsiTheme="minorAscii" w:eastAsiaTheme="minorAscii" w:cstheme="minorAscii"/>
          <w:b w:val="0"/>
          <w:bCs w:val="0"/>
          <w:noProof w:val="0"/>
          <w:sz w:val="22"/>
          <w:szCs w:val="22"/>
          <w:lang w:val="en-GB"/>
        </w:rPr>
        <w:t>London: NICE.,</w:t>
      </w:r>
      <w:r w:rsidRPr="4B0DF1EC" w:rsidR="0089FA4E">
        <w:rPr>
          <w:rFonts w:ascii="Arial" w:hAnsi="Arial" w:eastAsia="Arial" w:cs="Arial" w:asciiTheme="minorAscii" w:hAnsiTheme="minorAscii" w:eastAsiaTheme="minorAscii" w:cstheme="minorAscii"/>
          <w:b w:val="0"/>
          <w:bCs w:val="0"/>
          <w:noProof w:val="0"/>
          <w:sz w:val="22"/>
          <w:szCs w:val="22"/>
          <w:lang w:val="en-GB"/>
        </w:rPr>
        <w:t xml:space="preserve"> (reviewed 2024),</w:t>
      </w: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Available at: </w:t>
      </w:r>
      <w:hyperlink r:id="R4c2f05618add467f">
        <w:r w:rsidRPr="4B0DF1EC" w:rsidR="7E7B097C">
          <w:rPr>
            <w:rStyle w:val="Hyperlink"/>
            <w:rFonts w:ascii="Arial" w:hAnsi="Arial" w:eastAsia="Arial" w:cs="Arial" w:asciiTheme="minorAscii" w:hAnsiTheme="minorAscii" w:eastAsiaTheme="minorAscii" w:cstheme="minorAscii"/>
            <w:b w:val="0"/>
            <w:bCs w:val="0"/>
            <w:noProof w:val="0"/>
            <w:sz w:val="22"/>
            <w:szCs w:val="22"/>
            <w:lang w:val="en-GB"/>
          </w:rPr>
          <w:t>https://www.nice.org.uk/guidance/cg31</w:t>
        </w:r>
      </w:hyperlink>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(Accessed </w:t>
      </w:r>
      <w:r w:rsidRPr="4B0DF1EC" w:rsidR="08BC00FD">
        <w:rPr>
          <w:rFonts w:ascii="Arial" w:hAnsi="Arial" w:eastAsia="Arial" w:cs="Arial" w:asciiTheme="minorAscii" w:hAnsiTheme="minorAscii" w:eastAsiaTheme="minorAscii" w:cstheme="minorAscii"/>
          <w:b w:val="0"/>
          <w:bCs w:val="0"/>
          <w:noProof w:val="0"/>
          <w:sz w:val="22"/>
          <w:szCs w:val="22"/>
          <w:lang w:val="en-GB"/>
        </w:rPr>
        <w:t>1</w:t>
      </w:r>
      <w:r w:rsidRPr="4B0DF1EC" w:rsidR="7E7B097C">
        <w:rPr>
          <w:rFonts w:ascii="Arial" w:hAnsi="Arial" w:eastAsia="Arial" w:cs="Arial" w:asciiTheme="minorAscii" w:hAnsiTheme="minorAscii" w:eastAsiaTheme="minorAscii" w:cstheme="minorAscii"/>
          <w:b w:val="0"/>
          <w:bCs w:val="0"/>
          <w:noProof w:val="0"/>
          <w:sz w:val="22"/>
          <w:szCs w:val="22"/>
          <w:lang w:val="en-GB"/>
        </w:rPr>
        <w:t>7 Ju</w:t>
      </w:r>
      <w:r w:rsidRPr="4B0DF1EC" w:rsidR="2214FA8C">
        <w:rPr>
          <w:rFonts w:ascii="Arial" w:hAnsi="Arial" w:eastAsia="Arial" w:cs="Arial" w:asciiTheme="minorAscii" w:hAnsiTheme="minorAscii" w:eastAsiaTheme="minorAscii" w:cstheme="minorAscii"/>
          <w:b w:val="0"/>
          <w:bCs w:val="0"/>
          <w:noProof w:val="0"/>
          <w:sz w:val="22"/>
          <w:szCs w:val="22"/>
          <w:lang w:val="en-GB"/>
        </w:rPr>
        <w:t>ne</w:t>
      </w: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2026)</w:t>
      </w:r>
    </w:p>
    <w:p w:rsidR="2AD1E4E8" w:rsidP="4B0DF1EC" w:rsidRDefault="2AD1E4E8" w14:paraId="06125CB3" w14:textId="20520D4E">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1"/>
          <w:bCs w:val="1"/>
          <w:noProof w:val="0"/>
          <w:sz w:val="22"/>
          <w:szCs w:val="22"/>
          <w:lang w:val="en-GB"/>
        </w:rPr>
      </w:pPr>
    </w:p>
    <w:p w:rsidR="53C24BB4" w:rsidP="4B0DF1EC" w:rsidRDefault="53C24BB4" w14:paraId="465B535B" w14:textId="798EA63C">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0"/>
          <w:bCs w:val="0"/>
          <w:noProof w:val="0"/>
          <w:sz w:val="22"/>
          <w:szCs w:val="22"/>
          <w:lang w:val="en-GB"/>
        </w:rPr>
      </w:pPr>
      <w:r w:rsidRPr="4B0DF1EC" w:rsidR="7E7B097C">
        <w:rPr>
          <w:rFonts w:ascii="Arial" w:hAnsi="Arial" w:eastAsia="Arial" w:cs="Arial" w:asciiTheme="minorAscii" w:hAnsiTheme="minorAscii" w:eastAsiaTheme="minorAscii" w:cstheme="minorAscii"/>
          <w:b w:val="0"/>
          <w:bCs w:val="0"/>
          <w:noProof w:val="0"/>
          <w:sz w:val="22"/>
          <w:szCs w:val="22"/>
          <w:lang w:val="en-GB"/>
        </w:rPr>
        <w:t>OCD-UK, (2024</w:t>
      </w: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a), </w:t>
      </w:r>
      <w:r w:rsidRPr="4B0DF1EC" w:rsidR="7E7B097C">
        <w:rPr>
          <w:rFonts w:ascii="Arial" w:hAnsi="Arial" w:eastAsia="Arial" w:cs="Arial" w:asciiTheme="minorAscii" w:hAnsiTheme="minorAscii" w:eastAsiaTheme="minorAscii" w:cstheme="minorAscii"/>
          <w:b w:val="0"/>
          <w:bCs w:val="0"/>
          <w:i w:val="1"/>
          <w:iCs w:val="1"/>
          <w:noProof w:val="0"/>
          <w:sz w:val="22"/>
          <w:szCs w:val="22"/>
          <w:lang w:val="en-GB"/>
        </w:rPr>
        <w:t>Accessing OCD treatment through the NHS</w:t>
      </w: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Derby: OCD-UK., Available at: </w:t>
      </w:r>
      <w:hyperlink r:id="Rb30f17182b7a46b5">
        <w:r w:rsidRPr="4B0DF1EC" w:rsidR="39E3BD5D">
          <w:rPr>
            <w:rStyle w:val="Hyperlink"/>
            <w:b w:val="0"/>
            <w:bCs w:val="0"/>
            <w:noProof w:val="0"/>
            <w:sz w:val="22"/>
            <w:szCs w:val="22"/>
            <w:lang w:val="en-GB"/>
          </w:rPr>
          <w:t>https://www.ocduk.org/overcoming-ocd/accessing-ocd-treatment/accessing-ocd-treatment-through-the-nhs/</w:t>
        </w:r>
      </w:hyperlink>
      <w:r w:rsidRPr="4B0DF1EC" w:rsidR="39E3BD5D">
        <w:rPr>
          <w:rFonts w:ascii="Arial" w:hAnsi="Arial" w:eastAsia="Arial" w:cs="Arial" w:asciiTheme="minorAscii" w:hAnsiTheme="minorAscii" w:eastAsiaTheme="minorAscii" w:cstheme="minorAscii"/>
          <w:b w:val="0"/>
          <w:bCs w:val="0"/>
          <w:noProof w:val="0"/>
          <w:sz w:val="22"/>
          <w:szCs w:val="22"/>
          <w:lang w:val="en-GB"/>
        </w:rPr>
        <w:t xml:space="preserve"> </w:t>
      </w:r>
      <w:r w:rsidRPr="4B0DF1EC" w:rsidR="40390A07">
        <w:rPr>
          <w:rFonts w:ascii="Arial" w:hAnsi="Arial" w:eastAsia="Arial" w:cs="Arial" w:asciiTheme="minorAscii" w:hAnsiTheme="minorAscii" w:eastAsiaTheme="minorAscii" w:cstheme="minorAscii"/>
          <w:b w:val="0"/>
          <w:bCs w:val="0"/>
          <w:noProof w:val="0"/>
          <w:sz w:val="22"/>
          <w:szCs w:val="22"/>
          <w:lang w:val="en-GB"/>
        </w:rPr>
        <w:t>,</w:t>
      </w:r>
      <w:r w:rsidRPr="4B0DF1EC" w:rsidR="6DE3B1C0">
        <w:rPr>
          <w:rFonts w:ascii="Arial" w:hAnsi="Arial" w:eastAsia="Arial" w:cs="Arial" w:asciiTheme="minorAscii" w:hAnsiTheme="minorAscii" w:eastAsiaTheme="minorAscii" w:cstheme="minorAscii"/>
          <w:b w:val="0"/>
          <w:bCs w:val="0"/>
          <w:noProof w:val="0"/>
          <w:sz w:val="22"/>
          <w:szCs w:val="22"/>
          <w:lang w:val="en-GB"/>
        </w:rPr>
        <w:t xml:space="preserve"> </w:t>
      </w: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(Accessed 1</w:t>
      </w:r>
      <w:r w:rsidRPr="4B0DF1EC" w:rsidR="439101F8">
        <w:rPr>
          <w:rFonts w:ascii="Arial" w:hAnsi="Arial" w:eastAsia="Arial" w:cs="Arial" w:asciiTheme="minorAscii" w:hAnsiTheme="minorAscii" w:eastAsiaTheme="minorAscii" w:cstheme="minorAscii"/>
          <w:b w:val="0"/>
          <w:bCs w:val="0"/>
          <w:noProof w:val="0"/>
          <w:sz w:val="22"/>
          <w:szCs w:val="22"/>
          <w:lang w:val="en-GB"/>
        </w:rPr>
        <w:t>7 June</w:t>
      </w: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2026)</w:t>
      </w:r>
    </w:p>
    <w:p w:rsidR="2AD1E4E8" w:rsidP="4B0DF1EC" w:rsidRDefault="2AD1E4E8" w14:paraId="39A9CABF" w14:textId="2CDBEC77">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1"/>
          <w:bCs w:val="1"/>
          <w:noProof w:val="0"/>
          <w:sz w:val="22"/>
          <w:szCs w:val="22"/>
          <w:lang w:val="en-GB"/>
        </w:rPr>
      </w:pPr>
    </w:p>
    <w:p w:rsidR="2AD1E4E8" w:rsidP="2AD1E4E8" w:rsidRDefault="2AD1E4E8" w14:paraId="7C835A81" w14:textId="48870897">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0"/>
          <w:bCs w:val="0"/>
          <w:noProof w:val="0"/>
          <w:sz w:val="22"/>
          <w:szCs w:val="22"/>
          <w:lang w:val="en-GB"/>
        </w:rPr>
      </w:pP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OCD-UK, (2024b), </w:t>
      </w:r>
      <w:r w:rsidRPr="4B0DF1EC" w:rsidR="7E7B097C">
        <w:rPr>
          <w:rFonts w:ascii="Arial" w:hAnsi="Arial" w:eastAsia="Arial" w:cs="Arial" w:asciiTheme="minorAscii" w:hAnsiTheme="minorAscii" w:eastAsiaTheme="minorAscii" w:cstheme="minorAscii"/>
          <w:b w:val="0"/>
          <w:bCs w:val="0"/>
          <w:i w:val="1"/>
          <w:iCs w:val="1"/>
          <w:noProof w:val="0"/>
          <w:sz w:val="22"/>
          <w:szCs w:val="22"/>
          <w:lang w:val="en-GB"/>
        </w:rPr>
        <w:t>Diagnosing OCD</w:t>
      </w: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Derby: OCD-UK., Available at: </w:t>
      </w:r>
      <w:hyperlink r:id="Rfcfe8b7a7e3d4325">
        <w:r w:rsidRPr="4B0DF1EC" w:rsidR="7E7B097C">
          <w:rPr>
            <w:rStyle w:val="Hyperlink"/>
            <w:rFonts w:ascii="Arial" w:hAnsi="Arial" w:eastAsia="Arial" w:cs="Arial" w:asciiTheme="minorAscii" w:hAnsiTheme="minorAscii" w:eastAsiaTheme="minorAscii" w:cstheme="minorAscii"/>
            <w:b w:val="0"/>
            <w:bCs w:val="0"/>
            <w:noProof w:val="0"/>
            <w:sz w:val="22"/>
            <w:szCs w:val="22"/>
            <w:lang w:val="en-GB"/>
          </w:rPr>
          <w:t>https://www.ocduk.org/ocd/diagnosing-ocd/</w:t>
        </w:r>
      </w:hyperlink>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(Accessed </w:t>
      </w:r>
      <w:r w:rsidRPr="4B0DF1EC" w:rsidR="7834108E">
        <w:rPr>
          <w:rFonts w:ascii="Arial" w:hAnsi="Arial" w:eastAsia="Arial" w:cs="Arial" w:asciiTheme="minorAscii" w:hAnsiTheme="minorAscii" w:eastAsiaTheme="minorAscii" w:cstheme="minorAscii"/>
          <w:b w:val="0"/>
          <w:bCs w:val="0"/>
          <w:noProof w:val="0"/>
          <w:sz w:val="22"/>
          <w:szCs w:val="22"/>
          <w:lang w:val="en-GB"/>
        </w:rPr>
        <w:t>17 June</w:t>
      </w: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2026)</w:t>
      </w:r>
    </w:p>
    <w:p w:rsidR="4B0DF1EC" w:rsidP="4B0DF1EC" w:rsidRDefault="4B0DF1EC" w14:paraId="10B31EC7" w14:textId="6EA0BBDA">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0"/>
          <w:bCs w:val="0"/>
          <w:noProof w:val="0"/>
          <w:sz w:val="22"/>
          <w:szCs w:val="22"/>
          <w:lang w:val="en-GB"/>
        </w:rPr>
      </w:pPr>
    </w:p>
    <w:p w:rsidR="53C24BB4" w:rsidP="4B0DF1EC" w:rsidRDefault="53C24BB4" w14:paraId="0DB58BE3" w14:textId="2883A359">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0"/>
          <w:bCs w:val="0"/>
          <w:noProof w:val="0"/>
          <w:sz w:val="22"/>
          <w:szCs w:val="22"/>
          <w:lang w:val="en-GB"/>
        </w:rPr>
      </w:pPr>
      <w:r w:rsidRPr="4B0DF1EC" w:rsidR="7E7B097C">
        <w:rPr>
          <w:rFonts w:ascii="Arial" w:hAnsi="Arial" w:eastAsia="Arial" w:cs="Arial" w:asciiTheme="minorAscii" w:hAnsiTheme="minorAscii" w:eastAsiaTheme="minorAscii" w:cstheme="minorAscii"/>
          <w:b w:val="0"/>
          <w:bCs w:val="0"/>
          <w:noProof w:val="0"/>
          <w:sz w:val="22"/>
          <w:szCs w:val="22"/>
          <w:lang w:val="en-GB"/>
        </w:rPr>
        <w:t>Pittenger, C.</w:t>
      </w:r>
      <w:r w:rsidRPr="4B0DF1EC" w:rsidR="13785FA0">
        <w:rPr>
          <w:rFonts w:ascii="Arial" w:hAnsi="Arial" w:eastAsia="Arial" w:cs="Arial" w:asciiTheme="minorAscii" w:hAnsiTheme="minorAscii" w:eastAsiaTheme="minorAscii" w:cstheme="minorAscii"/>
          <w:b w:val="0"/>
          <w:bCs w:val="0"/>
          <w:noProof w:val="0"/>
          <w:sz w:val="22"/>
          <w:szCs w:val="22"/>
          <w:lang w:val="en-GB"/>
        </w:rPr>
        <w:t>, (2023),</w:t>
      </w: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Pharmacological treatment of obsessive-compulsive disorder, </w:t>
      </w:r>
      <w:r w:rsidRPr="4B0DF1EC" w:rsidR="267C39BC">
        <w:rPr>
          <w:rFonts w:ascii="Arial" w:hAnsi="Arial" w:eastAsia="Arial" w:cs="Arial" w:asciiTheme="minorAscii" w:hAnsiTheme="minorAscii" w:eastAsiaTheme="minorAscii" w:cstheme="minorAscii"/>
          <w:b w:val="0"/>
          <w:bCs w:val="0"/>
          <w:i w:val="1"/>
          <w:iCs w:val="1"/>
          <w:noProof w:val="0"/>
          <w:sz w:val="22"/>
          <w:szCs w:val="22"/>
          <w:lang w:val="en-GB"/>
        </w:rPr>
        <w:t>Psychiatric Clinics of North America,</w:t>
      </w:r>
      <w:r w:rsidRPr="4B0DF1EC" w:rsidR="267C39BC">
        <w:rPr>
          <w:rFonts w:ascii="Arial" w:hAnsi="Arial" w:eastAsia="Arial" w:cs="Arial" w:asciiTheme="minorAscii" w:hAnsiTheme="minorAscii" w:eastAsiaTheme="minorAscii" w:cstheme="minorAscii"/>
          <w:b w:val="0"/>
          <w:bCs w:val="0"/>
          <w:noProof w:val="0"/>
          <w:sz w:val="22"/>
          <w:szCs w:val="22"/>
          <w:lang w:val="en-GB"/>
        </w:rPr>
        <w:t xml:space="preserve"> </w:t>
      </w:r>
      <w:r w:rsidRPr="4B0DF1EC" w:rsidR="267C39BC">
        <w:rPr>
          <w:sz w:val="22"/>
          <w:szCs w:val="22"/>
        </w:rPr>
        <w:t>Vol. 46, Issue 1, March 2023, Pages 107-</w:t>
      </w:r>
      <w:r w:rsidRPr="4B0DF1EC" w:rsidR="267C39BC">
        <w:rPr>
          <w:sz w:val="22"/>
          <w:szCs w:val="22"/>
        </w:rPr>
        <w:t xml:space="preserve">119, </w:t>
      </w: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Available</w:t>
      </w: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at:</w:t>
      </w:r>
      <w:r w:rsidRPr="4B0DF1EC" w:rsidR="0D16FC23">
        <w:rPr>
          <w:rFonts w:ascii="Arial" w:hAnsi="Arial" w:eastAsia="Arial" w:cs="Arial" w:asciiTheme="minorAscii" w:hAnsiTheme="minorAscii" w:eastAsiaTheme="minorAscii" w:cstheme="minorAscii"/>
          <w:b w:val="0"/>
          <w:bCs w:val="0"/>
          <w:noProof w:val="0"/>
          <w:sz w:val="22"/>
          <w:szCs w:val="22"/>
          <w:lang w:val="en-GB"/>
        </w:rPr>
        <w:t xml:space="preserve"> </w:t>
      </w:r>
      <w:hyperlink r:id="R53a9ebc7179f4733">
        <w:r w:rsidRPr="4B0DF1EC" w:rsidR="7809A133">
          <w:rPr>
            <w:rStyle w:val="Hyperlink"/>
            <w:b w:val="0"/>
            <w:bCs w:val="0"/>
            <w:noProof w:val="0"/>
            <w:sz w:val="22"/>
            <w:szCs w:val="22"/>
            <w:lang w:val="en-GB"/>
          </w:rPr>
          <w:t>https://www.sciencedirect.com/science/article/abs/pii/S0193953X22001022?via%3Dihub</w:t>
        </w:r>
      </w:hyperlink>
      <w:r w:rsidRPr="4B0DF1EC" w:rsidR="7809A133">
        <w:rPr>
          <w:rFonts w:ascii="Arial" w:hAnsi="Arial" w:eastAsia="Arial" w:cs="Arial" w:asciiTheme="minorAscii" w:hAnsiTheme="minorAscii" w:eastAsiaTheme="minorAscii" w:cstheme="minorAscii"/>
          <w:b w:val="0"/>
          <w:bCs w:val="0"/>
          <w:noProof w:val="0"/>
          <w:sz w:val="22"/>
          <w:szCs w:val="22"/>
          <w:lang w:val="en-GB"/>
        </w:rPr>
        <w:t xml:space="preserve"> </w:t>
      </w:r>
      <w:r w:rsidRPr="4B0DF1EC" w:rsidR="49C64063">
        <w:rPr>
          <w:rFonts w:ascii="Arial" w:hAnsi="Arial" w:eastAsia="Arial" w:cs="Arial" w:asciiTheme="minorAscii" w:hAnsiTheme="minorAscii" w:eastAsiaTheme="minorAscii" w:cstheme="minorAscii"/>
          <w:b w:val="0"/>
          <w:bCs w:val="0"/>
          <w:noProof w:val="0"/>
          <w:sz w:val="22"/>
          <w:szCs w:val="22"/>
          <w:lang w:val="en-GB"/>
        </w:rPr>
        <w:t xml:space="preserve">, </w:t>
      </w: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(Accessed </w:t>
      </w:r>
      <w:r w:rsidRPr="4B0DF1EC" w:rsidR="2362B0C4">
        <w:rPr>
          <w:rFonts w:ascii="Arial" w:hAnsi="Arial" w:eastAsia="Arial" w:cs="Arial" w:asciiTheme="minorAscii" w:hAnsiTheme="minorAscii" w:eastAsiaTheme="minorAscii" w:cstheme="minorAscii"/>
          <w:b w:val="0"/>
          <w:bCs w:val="0"/>
          <w:noProof w:val="0"/>
          <w:sz w:val="22"/>
          <w:szCs w:val="22"/>
          <w:lang w:val="en-GB"/>
        </w:rPr>
        <w:t>21</w:t>
      </w: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J</w:t>
      </w:r>
      <w:r w:rsidRPr="4B0DF1EC" w:rsidR="0A7E4AF4">
        <w:rPr>
          <w:rFonts w:ascii="Arial" w:hAnsi="Arial" w:eastAsia="Arial" w:cs="Arial" w:asciiTheme="minorAscii" w:hAnsiTheme="minorAscii" w:eastAsiaTheme="minorAscii" w:cstheme="minorAscii"/>
          <w:b w:val="0"/>
          <w:bCs w:val="0"/>
          <w:noProof w:val="0"/>
          <w:sz w:val="22"/>
          <w:szCs w:val="22"/>
          <w:lang w:val="en-GB"/>
        </w:rPr>
        <w:t xml:space="preserve">une </w:t>
      </w:r>
      <w:r w:rsidRPr="4B0DF1EC" w:rsidR="7E7B097C">
        <w:rPr>
          <w:rFonts w:ascii="Arial" w:hAnsi="Arial" w:eastAsia="Arial" w:cs="Arial" w:asciiTheme="minorAscii" w:hAnsiTheme="minorAscii" w:eastAsiaTheme="minorAscii" w:cstheme="minorAscii"/>
          <w:b w:val="0"/>
          <w:bCs w:val="0"/>
          <w:noProof w:val="0"/>
          <w:sz w:val="22"/>
          <w:szCs w:val="22"/>
          <w:lang w:val="en-GB"/>
        </w:rPr>
        <w:t>2026)</w:t>
      </w:r>
    </w:p>
    <w:p w:rsidR="2AD1E4E8" w:rsidP="4B0DF1EC" w:rsidRDefault="2AD1E4E8" w14:paraId="757FBCF5" w14:textId="182D186E">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1"/>
          <w:bCs w:val="1"/>
          <w:noProof w:val="0"/>
          <w:sz w:val="22"/>
          <w:szCs w:val="22"/>
          <w:lang w:val="en-GB"/>
        </w:rPr>
      </w:pPr>
    </w:p>
    <w:p w:rsidR="53C24BB4" w:rsidP="4B0DF1EC" w:rsidRDefault="53C24BB4" w14:paraId="0F85218E" w14:textId="1158E8D7">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0"/>
          <w:bCs w:val="0"/>
          <w:noProof w:val="0"/>
          <w:sz w:val="22"/>
          <w:szCs w:val="22"/>
          <w:lang w:val="en-GB"/>
        </w:rPr>
      </w:pP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Samaritans, (2025), </w:t>
      </w:r>
      <w:r w:rsidRPr="4B0DF1EC" w:rsidR="7E7B097C">
        <w:rPr>
          <w:rFonts w:ascii="Arial" w:hAnsi="Arial" w:eastAsia="Arial" w:cs="Arial" w:asciiTheme="minorAscii" w:hAnsiTheme="minorAscii" w:eastAsiaTheme="minorAscii" w:cstheme="minorAscii"/>
          <w:b w:val="0"/>
          <w:bCs w:val="0"/>
          <w:i w:val="1"/>
          <w:iCs w:val="1"/>
          <w:noProof w:val="0"/>
          <w:sz w:val="22"/>
          <w:szCs w:val="22"/>
          <w:lang w:val="en-GB"/>
        </w:rPr>
        <w:t xml:space="preserve">The </w:t>
      </w:r>
      <w:r w:rsidRPr="4B0DF1EC" w:rsidR="7E7B097C">
        <w:rPr>
          <w:rFonts w:ascii="Arial" w:hAnsi="Arial" w:eastAsia="Arial" w:cs="Arial" w:asciiTheme="minorAscii" w:hAnsiTheme="minorAscii" w:eastAsiaTheme="minorAscii" w:cstheme="minorAscii"/>
          <w:b w:val="0"/>
          <w:bCs w:val="0"/>
          <w:i w:val="1"/>
          <w:iCs w:val="1"/>
          <w:noProof w:val="0"/>
          <w:sz w:val="22"/>
          <w:szCs w:val="22"/>
          <w:lang w:val="en-GB"/>
        </w:rPr>
        <w:t>10 Year</w:t>
      </w:r>
      <w:r w:rsidRPr="4B0DF1EC" w:rsidR="7E7B097C">
        <w:rPr>
          <w:rFonts w:ascii="Arial" w:hAnsi="Arial" w:eastAsia="Arial" w:cs="Arial" w:asciiTheme="minorAscii" w:hAnsiTheme="minorAscii" w:eastAsiaTheme="minorAscii" w:cstheme="minorAscii"/>
          <w:b w:val="0"/>
          <w:bCs w:val="0"/>
          <w:i w:val="1"/>
          <w:iCs w:val="1"/>
          <w:noProof w:val="0"/>
          <w:sz w:val="22"/>
          <w:szCs w:val="22"/>
          <w:lang w:val="en-GB"/>
        </w:rPr>
        <w:t xml:space="preserve"> Health Plan for England – the devil will be in the detail</w:t>
      </w: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Blog post, Ewell: Samaritans., Available at: </w:t>
      </w:r>
      <w:hyperlink r:id="Rdd0644a706c641b5">
        <w:r w:rsidRPr="4B0DF1EC" w:rsidR="7E7B097C">
          <w:rPr>
            <w:rStyle w:val="Hyperlink"/>
            <w:rFonts w:ascii="Arial" w:hAnsi="Arial" w:eastAsia="Arial" w:cs="Arial" w:asciiTheme="minorAscii" w:hAnsiTheme="minorAscii" w:eastAsiaTheme="minorAscii" w:cstheme="minorAscii"/>
            <w:b w:val="0"/>
            <w:bCs w:val="0"/>
            <w:noProof w:val="0"/>
            <w:sz w:val="22"/>
            <w:szCs w:val="22"/>
            <w:lang w:val="en-GB"/>
          </w:rPr>
          <w:t>https://www.samaritans.org/news/the-10-year-health-plan-for-england-blog/</w:t>
        </w:r>
      </w:hyperlink>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(Accessed </w:t>
      </w:r>
      <w:r w:rsidRPr="4B0DF1EC" w:rsidR="013E80D7">
        <w:rPr>
          <w:rFonts w:ascii="Arial" w:hAnsi="Arial" w:eastAsia="Arial" w:cs="Arial" w:asciiTheme="minorAscii" w:hAnsiTheme="minorAscii" w:eastAsiaTheme="minorAscii" w:cstheme="minorAscii"/>
          <w:b w:val="0"/>
          <w:bCs w:val="0"/>
          <w:noProof w:val="0"/>
          <w:sz w:val="22"/>
          <w:szCs w:val="22"/>
          <w:lang w:val="en-GB"/>
        </w:rPr>
        <w:t xml:space="preserve">24 </w:t>
      </w:r>
      <w:r w:rsidRPr="4B0DF1EC" w:rsidR="7E7B097C">
        <w:rPr>
          <w:rFonts w:ascii="Arial" w:hAnsi="Arial" w:eastAsia="Arial" w:cs="Arial" w:asciiTheme="minorAscii" w:hAnsiTheme="minorAscii" w:eastAsiaTheme="minorAscii" w:cstheme="minorAscii"/>
          <w:b w:val="0"/>
          <w:bCs w:val="0"/>
          <w:noProof w:val="0"/>
          <w:sz w:val="22"/>
          <w:szCs w:val="22"/>
          <w:lang w:val="en-GB"/>
        </w:rPr>
        <w:t>Ju</w:t>
      </w:r>
      <w:r w:rsidRPr="4B0DF1EC" w:rsidR="6DD8EB01">
        <w:rPr>
          <w:rFonts w:ascii="Arial" w:hAnsi="Arial" w:eastAsia="Arial" w:cs="Arial" w:asciiTheme="minorAscii" w:hAnsiTheme="minorAscii" w:eastAsiaTheme="minorAscii" w:cstheme="minorAscii"/>
          <w:b w:val="0"/>
          <w:bCs w:val="0"/>
          <w:noProof w:val="0"/>
          <w:sz w:val="22"/>
          <w:szCs w:val="22"/>
          <w:lang w:val="en-GB"/>
        </w:rPr>
        <w:t>ne</w:t>
      </w: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2026)</w:t>
      </w:r>
    </w:p>
    <w:p w:rsidR="2AD1E4E8" w:rsidP="4B0DF1EC" w:rsidRDefault="2AD1E4E8" w14:paraId="711C2129" w14:textId="7A9BE1E9">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1"/>
          <w:bCs w:val="1"/>
          <w:noProof w:val="0"/>
          <w:sz w:val="22"/>
          <w:szCs w:val="22"/>
          <w:lang w:val="en-GB"/>
        </w:rPr>
      </w:pPr>
    </w:p>
    <w:p w:rsidR="53C24BB4" w:rsidP="4B0DF1EC" w:rsidRDefault="53C24BB4" w14:paraId="138421E6" w14:textId="07BE4CB9">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0"/>
          <w:bCs w:val="0"/>
          <w:noProof w:val="0"/>
          <w:sz w:val="22"/>
          <w:szCs w:val="22"/>
          <w:lang w:val="en-GB"/>
        </w:rPr>
      </w:pP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Weinberg, L., Martin, L. A., Post, K. M., Ricketts, E. J., (2025), Psychologists Diagnostic Accuracy and Treatment Recommendations for Obsessive-Compulsive Disorder, </w:t>
      </w:r>
      <w:r w:rsidRPr="4B0DF1EC" w:rsidR="7E7B097C">
        <w:rPr>
          <w:rFonts w:ascii="Arial" w:hAnsi="Arial" w:eastAsia="Arial" w:cs="Arial" w:asciiTheme="minorAscii" w:hAnsiTheme="minorAscii" w:eastAsiaTheme="minorAscii" w:cstheme="minorAscii"/>
          <w:b w:val="0"/>
          <w:bCs w:val="0"/>
          <w:i w:val="1"/>
          <w:iCs w:val="1"/>
          <w:noProof w:val="0"/>
          <w:sz w:val="22"/>
          <w:szCs w:val="22"/>
          <w:lang w:val="en-GB"/>
        </w:rPr>
        <w:t>Journal of Clinical Psychology</w:t>
      </w: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81(5), pp. 275–386., Available at: </w:t>
      </w:r>
      <w:hyperlink r:id="R7d3224886c67405d">
        <w:r w:rsidRPr="4B0DF1EC" w:rsidR="7E7B097C">
          <w:rPr>
            <w:rStyle w:val="Hyperlink"/>
            <w:rFonts w:ascii="Arial" w:hAnsi="Arial" w:eastAsia="Arial" w:cs="Arial" w:asciiTheme="minorAscii" w:hAnsiTheme="minorAscii" w:eastAsiaTheme="minorAscii" w:cstheme="minorAscii"/>
            <w:b w:val="0"/>
            <w:bCs w:val="0"/>
            <w:noProof w:val="0"/>
            <w:sz w:val="22"/>
            <w:szCs w:val="22"/>
            <w:lang w:val="en-GB"/>
          </w:rPr>
          <w:t>https://onlinelibrary.wiley.com/doi/10.1002/jclp.23775</w:t>
        </w:r>
      </w:hyperlink>
      <w:r w:rsidRPr="4B0DF1EC" w:rsidR="7E7B097C">
        <w:rPr>
          <w:rFonts w:ascii="Arial" w:hAnsi="Arial" w:eastAsia="Arial" w:cs="Arial" w:asciiTheme="minorAscii" w:hAnsiTheme="minorAscii" w:eastAsiaTheme="minorAscii" w:cstheme="minorAscii"/>
          <w:b w:val="0"/>
          <w:bCs w:val="0"/>
          <w:noProof w:val="0"/>
          <w:sz w:val="22"/>
          <w:szCs w:val="22"/>
          <w:lang w:val="en-GB"/>
        </w:rPr>
        <w:t>, (Accessed 12 J</w:t>
      </w:r>
      <w:r w:rsidRPr="4B0DF1EC" w:rsidR="0C673CCF">
        <w:rPr>
          <w:rFonts w:ascii="Arial" w:hAnsi="Arial" w:eastAsia="Arial" w:cs="Arial" w:asciiTheme="minorAscii" w:hAnsiTheme="minorAscii" w:eastAsiaTheme="minorAscii" w:cstheme="minorAscii"/>
          <w:b w:val="0"/>
          <w:bCs w:val="0"/>
          <w:noProof w:val="0"/>
          <w:sz w:val="22"/>
          <w:szCs w:val="22"/>
          <w:lang w:val="en-GB"/>
        </w:rPr>
        <w:t>une</w:t>
      </w: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2026)</w:t>
      </w:r>
    </w:p>
    <w:p w:rsidR="2AD1E4E8" w:rsidP="4B0DF1EC" w:rsidRDefault="2AD1E4E8" w14:paraId="7B8A87DD" w14:textId="63A8F845">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1"/>
          <w:bCs w:val="1"/>
          <w:noProof w:val="0"/>
          <w:sz w:val="22"/>
          <w:szCs w:val="22"/>
          <w:lang w:val="en-GB"/>
        </w:rPr>
      </w:pPr>
    </w:p>
    <w:p w:rsidR="53C24BB4" w:rsidP="4B0DF1EC" w:rsidRDefault="53C24BB4" w14:paraId="1A98D041" w14:textId="14519AFB">
      <w:pPr>
        <w:pStyle w:val="ListParagraph"/>
        <w:spacing w:before="240" w:beforeAutospacing="off" w:after="240" w:afterAutospacing="off" w:line="360" w:lineRule="auto"/>
        <w:ind w:left="720"/>
        <w:jc w:val="both"/>
        <w:rPr>
          <w:rFonts w:ascii="Arial" w:hAnsi="Arial" w:eastAsia="Arial" w:cs="Arial" w:asciiTheme="minorAscii" w:hAnsiTheme="minorAscii" w:eastAsiaTheme="minorAscii" w:cstheme="minorAscii"/>
          <w:b w:val="0"/>
          <w:bCs w:val="0"/>
          <w:noProof w:val="0"/>
          <w:sz w:val="22"/>
          <w:szCs w:val="22"/>
          <w:lang w:val="en-GB"/>
        </w:rPr>
      </w:pPr>
      <w:r w:rsidRPr="4B0DF1EC" w:rsidR="7E7B097C">
        <w:rPr>
          <w:rFonts w:ascii="Arial" w:hAnsi="Arial" w:eastAsia="Arial" w:cs="Arial" w:asciiTheme="minorAscii" w:hAnsiTheme="minorAscii" w:eastAsiaTheme="minorAscii" w:cstheme="minorAscii"/>
          <w:b w:val="0"/>
          <w:bCs w:val="0"/>
          <w:noProof w:val="0"/>
          <w:sz w:val="22"/>
          <w:szCs w:val="22"/>
          <w:lang w:val="en-GB"/>
        </w:rPr>
        <w:t>World Health Organization</w:t>
      </w: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(WHO), (2024), </w:t>
      </w:r>
      <w:r w:rsidRPr="4B0DF1EC" w:rsidR="7E7B097C">
        <w:rPr>
          <w:rFonts w:ascii="Arial" w:hAnsi="Arial" w:eastAsia="Arial" w:cs="Arial" w:asciiTheme="minorAscii" w:hAnsiTheme="minorAscii" w:eastAsiaTheme="minorAscii" w:cstheme="minorAscii"/>
          <w:b w:val="0"/>
          <w:bCs w:val="0"/>
          <w:i w:val="1"/>
          <w:iCs w:val="1"/>
          <w:noProof w:val="0"/>
          <w:sz w:val="22"/>
          <w:szCs w:val="22"/>
          <w:lang w:val="en-GB"/>
        </w:rPr>
        <w:t>ICD-11 for Mortality and Morbidity Statistics: 6B20 Obsessive-compulsive disorder</w:t>
      </w:r>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Geneva: WHO., Available at: </w:t>
      </w:r>
      <w:hyperlink r:id="Ra15c473f105f40c5">
        <w:r w:rsidRPr="4B0DF1EC" w:rsidR="7E7B097C">
          <w:rPr>
            <w:rStyle w:val="Hyperlink"/>
            <w:rFonts w:ascii="Arial" w:hAnsi="Arial" w:eastAsia="Arial" w:cs="Arial" w:asciiTheme="minorAscii" w:hAnsiTheme="minorAscii" w:eastAsiaTheme="minorAscii" w:cstheme="minorAscii"/>
            <w:b w:val="0"/>
            <w:bCs w:val="0"/>
            <w:noProof w:val="0"/>
            <w:sz w:val="22"/>
            <w:szCs w:val="22"/>
            <w:lang w:val="en-GB"/>
          </w:rPr>
          <w:t>https://icd.who.int/browse/2024-01/mms/en#1582741816</w:t>
        </w:r>
      </w:hyperlink>
      <w:r w:rsidRPr="4B0DF1EC" w:rsidR="7E7B097C">
        <w:rPr>
          <w:rFonts w:ascii="Arial" w:hAnsi="Arial" w:eastAsia="Arial" w:cs="Arial" w:asciiTheme="minorAscii" w:hAnsiTheme="minorAscii" w:eastAsiaTheme="minorAscii" w:cstheme="minorAscii"/>
          <w:b w:val="0"/>
          <w:bCs w:val="0"/>
          <w:noProof w:val="0"/>
          <w:sz w:val="22"/>
          <w:szCs w:val="22"/>
          <w:lang w:val="en-GB"/>
        </w:rPr>
        <w:t xml:space="preserve">, (Accessed </w:t>
      </w:r>
      <w:r w:rsidRPr="4B0DF1EC" w:rsidR="0551F961">
        <w:rPr>
          <w:rFonts w:ascii="Arial" w:hAnsi="Arial" w:eastAsia="Arial" w:cs="Arial" w:asciiTheme="minorAscii" w:hAnsiTheme="minorAscii" w:eastAsiaTheme="minorAscii" w:cstheme="minorAscii"/>
          <w:b w:val="0"/>
          <w:bCs w:val="0"/>
          <w:noProof w:val="0"/>
          <w:sz w:val="22"/>
          <w:szCs w:val="22"/>
          <w:lang w:val="en-GB"/>
        </w:rPr>
        <w:t>7 June 202</w:t>
      </w:r>
      <w:r w:rsidRPr="4B0DF1EC" w:rsidR="7E7B097C">
        <w:rPr>
          <w:rFonts w:ascii="Arial" w:hAnsi="Arial" w:eastAsia="Arial" w:cs="Arial" w:asciiTheme="minorAscii" w:hAnsiTheme="minorAscii" w:eastAsiaTheme="minorAscii" w:cstheme="minorAscii"/>
          <w:b w:val="0"/>
          <w:bCs w:val="0"/>
          <w:noProof w:val="0"/>
          <w:sz w:val="22"/>
          <w:szCs w:val="22"/>
          <w:lang w:val="en-GB"/>
        </w:rPr>
        <w:t>6</w:t>
      </w:r>
      <w:r w:rsidRPr="4B0DF1EC" w:rsidR="6C3EDBF4">
        <w:rPr>
          <w:rFonts w:ascii="Arial" w:hAnsi="Arial" w:eastAsia="Arial" w:cs="Arial" w:asciiTheme="minorAscii" w:hAnsiTheme="minorAscii" w:eastAsiaTheme="minorAscii" w:cstheme="minorAscii"/>
          <w:b w:val="0"/>
          <w:bCs w:val="0"/>
          <w:noProof w:val="0"/>
          <w:sz w:val="22"/>
          <w:szCs w:val="22"/>
          <w:lang w:val="en-GB"/>
        </w:rPr>
        <w:t>)</w:t>
      </w:r>
    </w:p>
    <w:p xmlns:wp14="http://schemas.microsoft.com/office/word/2010/wordml" w:rsidP="4B0DF1EC" wp14:paraId="693032E7" wp14:textId="5CC7167A">
      <w:pPr>
        <w:spacing w:before="93" w:after="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71C15D3" wp14:paraId="5EF5E21F" wp14:textId="70569E37">
      <w:pPr>
        <w:spacing w:before="93" w:after="0" w:line="257" w:lineRule="auto"/>
        <w:jc w:val="left"/>
        <w:rPr>
          <w:rFonts w:ascii="Arial" w:hAnsi="Arial" w:eastAsia="Arial" w:cs="Arial"/>
          <w:b w:val="0"/>
          <w:bCs w:val="0"/>
          <w:i w:val="0"/>
          <w:iCs w:val="0"/>
          <w:caps w:val="0"/>
          <w:smallCaps w:val="0"/>
          <w:noProof w:val="0"/>
          <w:color w:val="000000" w:themeColor="text1" w:themeTint="FF" w:themeShade="FF"/>
          <w:sz w:val="32"/>
          <w:szCs w:val="32"/>
          <w:lang w:val="en-GB"/>
        </w:rPr>
      </w:pPr>
    </w:p>
    <w:p xmlns:wp14="http://schemas.microsoft.com/office/word/2010/wordml" w:rsidP="571C15D3" wp14:paraId="72F1FF0D" wp14:textId="64E3EA71">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p14:paraId="5E5787A5" wp14:textId="26DCCEE2"/>
    <w:sectPr>
      <w:pgSz w:w="11906" w:h="16838" w:orient="portrait"/>
      <w:pgMar w:top="1440" w:right="1440" w:bottom="1440" w:left="1440" w:header="720" w:footer="720" w:gutter="0"/>
      <w:cols w:space="720"/>
      <w:docGrid w:linePitch="360"/>
      <w:headerReference w:type="default" r:id="R938b338a343b499c"/>
      <w:footerReference w:type="default" r:id="R9679ba14ca534b5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B0DF1EC" w:rsidTr="4B0DF1EC" w14:paraId="706A5F65">
      <w:trPr>
        <w:trHeight w:val="300"/>
      </w:trPr>
      <w:tc>
        <w:tcPr>
          <w:tcW w:w="3005" w:type="dxa"/>
          <w:tcMar/>
        </w:tcPr>
        <w:p w:rsidR="4B0DF1EC" w:rsidP="4B0DF1EC" w:rsidRDefault="4B0DF1EC" w14:paraId="042BEDCA" w14:textId="469E4F70">
          <w:pPr>
            <w:pStyle w:val="Header"/>
            <w:bidi w:val="0"/>
            <w:ind w:left="-115"/>
            <w:jc w:val="left"/>
          </w:pPr>
        </w:p>
      </w:tc>
      <w:tc>
        <w:tcPr>
          <w:tcW w:w="3005" w:type="dxa"/>
          <w:tcMar/>
        </w:tcPr>
        <w:p w:rsidR="4B0DF1EC" w:rsidP="4B0DF1EC" w:rsidRDefault="4B0DF1EC" w14:paraId="1BFEF475" w14:textId="2A81096D">
          <w:pPr>
            <w:pStyle w:val="Header"/>
            <w:bidi w:val="0"/>
            <w:jc w:val="center"/>
          </w:pPr>
        </w:p>
      </w:tc>
      <w:tc>
        <w:tcPr>
          <w:tcW w:w="3005" w:type="dxa"/>
          <w:tcMar/>
        </w:tcPr>
        <w:p w:rsidR="4B0DF1EC" w:rsidP="4B0DF1EC" w:rsidRDefault="4B0DF1EC" w14:paraId="5838E29E" w14:textId="34758AA2">
          <w:pPr>
            <w:pStyle w:val="Header"/>
            <w:bidi w:val="0"/>
            <w:ind w:right="-115"/>
            <w:jc w:val="right"/>
          </w:pPr>
          <w:r>
            <w:fldChar w:fldCharType="begin"/>
          </w:r>
          <w:r>
            <w:instrText xml:space="preserve">PAGE</w:instrText>
          </w:r>
          <w:r>
            <w:fldChar w:fldCharType="separate"/>
          </w:r>
          <w:r>
            <w:fldChar w:fldCharType="end"/>
          </w:r>
        </w:p>
      </w:tc>
    </w:tr>
  </w:tbl>
  <w:p w:rsidR="4B0DF1EC" w:rsidP="4B0DF1EC" w:rsidRDefault="4B0DF1EC" w14:paraId="0A6BB911" w14:textId="4B54F2B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B0DF1EC" w:rsidTr="4B0DF1EC" w14:paraId="79D1AF6A">
      <w:trPr>
        <w:trHeight w:val="300"/>
      </w:trPr>
      <w:tc>
        <w:tcPr>
          <w:tcW w:w="3005" w:type="dxa"/>
          <w:tcMar/>
        </w:tcPr>
        <w:p w:rsidR="4B0DF1EC" w:rsidP="4B0DF1EC" w:rsidRDefault="4B0DF1EC" w14:paraId="309EC2AF" w14:textId="1FF7E862">
          <w:pPr>
            <w:pStyle w:val="Header"/>
            <w:bidi w:val="0"/>
            <w:ind w:left="-115"/>
            <w:jc w:val="left"/>
          </w:pPr>
        </w:p>
      </w:tc>
      <w:tc>
        <w:tcPr>
          <w:tcW w:w="3005" w:type="dxa"/>
          <w:tcMar/>
        </w:tcPr>
        <w:p w:rsidR="4B0DF1EC" w:rsidP="4B0DF1EC" w:rsidRDefault="4B0DF1EC" w14:paraId="08782460" w14:textId="0286D684">
          <w:pPr>
            <w:pStyle w:val="Header"/>
            <w:bidi w:val="0"/>
            <w:jc w:val="center"/>
          </w:pPr>
        </w:p>
      </w:tc>
      <w:tc>
        <w:tcPr>
          <w:tcW w:w="3005" w:type="dxa"/>
          <w:tcMar/>
        </w:tcPr>
        <w:p w:rsidR="4B0DF1EC" w:rsidP="4B0DF1EC" w:rsidRDefault="4B0DF1EC" w14:paraId="097CE003" w14:textId="697C920B">
          <w:pPr>
            <w:pStyle w:val="Header"/>
            <w:bidi w:val="0"/>
            <w:ind w:right="-115"/>
            <w:jc w:val="right"/>
          </w:pPr>
        </w:p>
      </w:tc>
    </w:tr>
  </w:tbl>
  <w:p w:rsidR="4B0DF1EC" w:rsidP="4B0DF1EC" w:rsidRDefault="4B0DF1EC" w14:paraId="77851584" w14:textId="53C0944C">
    <w:pPr>
      <w:pStyle w:val="Header"/>
      <w:bidi w:val="0"/>
    </w:pPr>
  </w:p>
</w:hdr>
</file>

<file path=word/numbering.xml><?xml version="1.0" encoding="utf-8"?>
<w:numbering xmlns:w="http://schemas.openxmlformats.org/wordprocessingml/2006/main">
  <w:abstractNum xmlns:w="http://schemas.openxmlformats.org/wordprocessingml/2006/main" w:abstractNumId="21">
    <w:nsid w:val="13beba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92a2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d36ce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68f0a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fcbe1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22387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ff833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ef96b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7fad7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94fac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e9133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0a81ee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2a98eb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a087b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3f71f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ecba6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cfcb4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1fa86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5ea01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763157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aeeda3a"/>
    <w:multiLevelType xmlns:w="http://schemas.openxmlformats.org/wordprocessingml/2006/main" w:val="hybridMultilevel"/>
    <w:lvl xmlns:w="http://schemas.openxmlformats.org/wordprocessingml/2006/main" w:ilvl="0">
      <w:start w:val="1"/>
      <w:numFmt w:val="lowerLetter"/>
      <w:lvlText w:val="d)"/>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21A6CB"/>
    <w:rsid w:val="0024697F"/>
    <w:rsid w:val="0037EEFD"/>
    <w:rsid w:val="0089FA4E"/>
    <w:rsid w:val="00B6F84D"/>
    <w:rsid w:val="00F3234D"/>
    <w:rsid w:val="01052141"/>
    <w:rsid w:val="0108708D"/>
    <w:rsid w:val="013E80D7"/>
    <w:rsid w:val="0154DA3C"/>
    <w:rsid w:val="0156EE1C"/>
    <w:rsid w:val="015C50E4"/>
    <w:rsid w:val="0254FB6D"/>
    <w:rsid w:val="025983B8"/>
    <w:rsid w:val="03446A8B"/>
    <w:rsid w:val="03AEBFE7"/>
    <w:rsid w:val="047E5B0E"/>
    <w:rsid w:val="04964610"/>
    <w:rsid w:val="051BC3FD"/>
    <w:rsid w:val="0551F961"/>
    <w:rsid w:val="066291B0"/>
    <w:rsid w:val="06A70BFE"/>
    <w:rsid w:val="06AE0F8C"/>
    <w:rsid w:val="06C331C5"/>
    <w:rsid w:val="07292692"/>
    <w:rsid w:val="088A6E7B"/>
    <w:rsid w:val="08994713"/>
    <w:rsid w:val="08A03610"/>
    <w:rsid w:val="08B3FAF8"/>
    <w:rsid w:val="08BC00FD"/>
    <w:rsid w:val="09E44708"/>
    <w:rsid w:val="09ED22CE"/>
    <w:rsid w:val="0A44FB34"/>
    <w:rsid w:val="0A7E4AF4"/>
    <w:rsid w:val="0B1B9FFD"/>
    <w:rsid w:val="0C271F63"/>
    <w:rsid w:val="0C673CCF"/>
    <w:rsid w:val="0C861635"/>
    <w:rsid w:val="0CC5BFE1"/>
    <w:rsid w:val="0CE6020D"/>
    <w:rsid w:val="0D16FC23"/>
    <w:rsid w:val="0D3C351B"/>
    <w:rsid w:val="0D542773"/>
    <w:rsid w:val="0D82FD2E"/>
    <w:rsid w:val="0D9261FE"/>
    <w:rsid w:val="0DC47B68"/>
    <w:rsid w:val="0E00A805"/>
    <w:rsid w:val="0E20DE91"/>
    <w:rsid w:val="0E848312"/>
    <w:rsid w:val="0E9DDE39"/>
    <w:rsid w:val="0ECAA642"/>
    <w:rsid w:val="0EEB1658"/>
    <w:rsid w:val="0EFC01E5"/>
    <w:rsid w:val="0F8F0023"/>
    <w:rsid w:val="0FE2FC45"/>
    <w:rsid w:val="1012F819"/>
    <w:rsid w:val="1036A1B0"/>
    <w:rsid w:val="104E4D61"/>
    <w:rsid w:val="10A0572F"/>
    <w:rsid w:val="10ABB315"/>
    <w:rsid w:val="110F132F"/>
    <w:rsid w:val="112061F8"/>
    <w:rsid w:val="1124F409"/>
    <w:rsid w:val="1150BA35"/>
    <w:rsid w:val="1155F8D1"/>
    <w:rsid w:val="12191BEB"/>
    <w:rsid w:val="12C1F393"/>
    <w:rsid w:val="13785FA0"/>
    <w:rsid w:val="13826BD7"/>
    <w:rsid w:val="13A3FAC3"/>
    <w:rsid w:val="13C61C38"/>
    <w:rsid w:val="14CAAD5B"/>
    <w:rsid w:val="1561C4EC"/>
    <w:rsid w:val="16757AA2"/>
    <w:rsid w:val="16EE9CC6"/>
    <w:rsid w:val="171B25A2"/>
    <w:rsid w:val="17283A22"/>
    <w:rsid w:val="172B8EBA"/>
    <w:rsid w:val="175D3945"/>
    <w:rsid w:val="17CC6872"/>
    <w:rsid w:val="17CC6872"/>
    <w:rsid w:val="17E680BC"/>
    <w:rsid w:val="17F2308D"/>
    <w:rsid w:val="181FF5C6"/>
    <w:rsid w:val="188DC973"/>
    <w:rsid w:val="18B797E6"/>
    <w:rsid w:val="190A5E49"/>
    <w:rsid w:val="1991DD95"/>
    <w:rsid w:val="19A81F65"/>
    <w:rsid w:val="19DE8F8E"/>
    <w:rsid w:val="19DE8F8E"/>
    <w:rsid w:val="19F674FD"/>
    <w:rsid w:val="1A4B0F4A"/>
    <w:rsid w:val="1AD96ACE"/>
    <w:rsid w:val="1AF6BF6F"/>
    <w:rsid w:val="1BC22A26"/>
    <w:rsid w:val="1BE696E0"/>
    <w:rsid w:val="1C0F3A84"/>
    <w:rsid w:val="1C9A6680"/>
    <w:rsid w:val="1D258E85"/>
    <w:rsid w:val="1E9F1B8D"/>
    <w:rsid w:val="1EB7AC29"/>
    <w:rsid w:val="1EC0AF15"/>
    <w:rsid w:val="1EE45FF3"/>
    <w:rsid w:val="1F587933"/>
    <w:rsid w:val="1FFF6695"/>
    <w:rsid w:val="2045F80E"/>
    <w:rsid w:val="2045F80E"/>
    <w:rsid w:val="20916922"/>
    <w:rsid w:val="20A86D82"/>
    <w:rsid w:val="20EB2A75"/>
    <w:rsid w:val="2123FC70"/>
    <w:rsid w:val="2182973D"/>
    <w:rsid w:val="21C553CA"/>
    <w:rsid w:val="2214FA8C"/>
    <w:rsid w:val="22AD6F55"/>
    <w:rsid w:val="23253C53"/>
    <w:rsid w:val="2362B0C4"/>
    <w:rsid w:val="239EBC1B"/>
    <w:rsid w:val="23A159AC"/>
    <w:rsid w:val="23C01696"/>
    <w:rsid w:val="241C66FB"/>
    <w:rsid w:val="24852693"/>
    <w:rsid w:val="24BC414E"/>
    <w:rsid w:val="2576EE5A"/>
    <w:rsid w:val="25B50EEE"/>
    <w:rsid w:val="25C7065F"/>
    <w:rsid w:val="260B4F22"/>
    <w:rsid w:val="261C3D5B"/>
    <w:rsid w:val="26758639"/>
    <w:rsid w:val="267C39BC"/>
    <w:rsid w:val="268AAB7A"/>
    <w:rsid w:val="26A7E00B"/>
    <w:rsid w:val="26C68756"/>
    <w:rsid w:val="27790EFC"/>
    <w:rsid w:val="27B2421D"/>
    <w:rsid w:val="27BACB1E"/>
    <w:rsid w:val="28796770"/>
    <w:rsid w:val="2893DEEC"/>
    <w:rsid w:val="289465B3"/>
    <w:rsid w:val="28F867DB"/>
    <w:rsid w:val="29AB2627"/>
    <w:rsid w:val="29BE8D80"/>
    <w:rsid w:val="2A6BBF27"/>
    <w:rsid w:val="2A982396"/>
    <w:rsid w:val="2AB172A4"/>
    <w:rsid w:val="2AD1E4E8"/>
    <w:rsid w:val="2AF7EC7A"/>
    <w:rsid w:val="2B7A82AE"/>
    <w:rsid w:val="2BEE9811"/>
    <w:rsid w:val="2C242D2D"/>
    <w:rsid w:val="2C650CE2"/>
    <w:rsid w:val="2D264D93"/>
    <w:rsid w:val="2D39F5C7"/>
    <w:rsid w:val="2DE88CB9"/>
    <w:rsid w:val="2E3298E9"/>
    <w:rsid w:val="2EEF2F08"/>
    <w:rsid w:val="2F313E0F"/>
    <w:rsid w:val="2F3C5505"/>
    <w:rsid w:val="2F8E51CD"/>
    <w:rsid w:val="2FA30173"/>
    <w:rsid w:val="300B6B10"/>
    <w:rsid w:val="31BABFEA"/>
    <w:rsid w:val="31E56409"/>
    <w:rsid w:val="31FFD329"/>
    <w:rsid w:val="325B0DAC"/>
    <w:rsid w:val="3274F904"/>
    <w:rsid w:val="32D643F4"/>
    <w:rsid w:val="33C33B28"/>
    <w:rsid w:val="33FEFF7C"/>
    <w:rsid w:val="3431B0F5"/>
    <w:rsid w:val="35A14E54"/>
    <w:rsid w:val="3625C7DB"/>
    <w:rsid w:val="3630ECBE"/>
    <w:rsid w:val="368DC603"/>
    <w:rsid w:val="369A6D6E"/>
    <w:rsid w:val="36F0369C"/>
    <w:rsid w:val="3782A7BB"/>
    <w:rsid w:val="3912F3C4"/>
    <w:rsid w:val="39245BE6"/>
    <w:rsid w:val="39E3BD5D"/>
    <w:rsid w:val="3A293C23"/>
    <w:rsid w:val="3A9AB34C"/>
    <w:rsid w:val="3AAEAC29"/>
    <w:rsid w:val="3BCC0432"/>
    <w:rsid w:val="3C525879"/>
    <w:rsid w:val="3D6B29B4"/>
    <w:rsid w:val="3DAC91BD"/>
    <w:rsid w:val="3DACEA7E"/>
    <w:rsid w:val="3DB1A68F"/>
    <w:rsid w:val="3E0E7618"/>
    <w:rsid w:val="3E2265C7"/>
    <w:rsid w:val="3E603966"/>
    <w:rsid w:val="3E857D4D"/>
    <w:rsid w:val="3E98875A"/>
    <w:rsid w:val="3EB5CEE2"/>
    <w:rsid w:val="3F546688"/>
    <w:rsid w:val="3F5A2B2C"/>
    <w:rsid w:val="3F725007"/>
    <w:rsid w:val="3FDE7ABB"/>
    <w:rsid w:val="3FE1DE5B"/>
    <w:rsid w:val="3FE734C7"/>
    <w:rsid w:val="40054FC2"/>
    <w:rsid w:val="40390A07"/>
    <w:rsid w:val="403AE7C8"/>
    <w:rsid w:val="40466F5A"/>
    <w:rsid w:val="405EBDB0"/>
    <w:rsid w:val="408860B0"/>
    <w:rsid w:val="40AA8501"/>
    <w:rsid w:val="40C13AB8"/>
    <w:rsid w:val="412093D6"/>
    <w:rsid w:val="4234E476"/>
    <w:rsid w:val="42D4BEDA"/>
    <w:rsid w:val="431CC21B"/>
    <w:rsid w:val="436564B6"/>
    <w:rsid w:val="43846657"/>
    <w:rsid w:val="439101F8"/>
    <w:rsid w:val="44242274"/>
    <w:rsid w:val="44DEDA8C"/>
    <w:rsid w:val="44E79FD1"/>
    <w:rsid w:val="45385498"/>
    <w:rsid w:val="45ECAE56"/>
    <w:rsid w:val="46018879"/>
    <w:rsid w:val="46062B46"/>
    <w:rsid w:val="4619D9CA"/>
    <w:rsid w:val="46B4A64A"/>
    <w:rsid w:val="46C06D01"/>
    <w:rsid w:val="46CE8A4A"/>
    <w:rsid w:val="46EC1E8D"/>
    <w:rsid w:val="4765C76D"/>
    <w:rsid w:val="49C64063"/>
    <w:rsid w:val="4A0C0A4A"/>
    <w:rsid w:val="4A4A75A7"/>
    <w:rsid w:val="4A4BDD69"/>
    <w:rsid w:val="4A86D0D7"/>
    <w:rsid w:val="4B0DF1EC"/>
    <w:rsid w:val="4B9B1335"/>
    <w:rsid w:val="4BBA26F4"/>
    <w:rsid w:val="4BDD224D"/>
    <w:rsid w:val="4CFBC96F"/>
    <w:rsid w:val="4D36E367"/>
    <w:rsid w:val="4DA55106"/>
    <w:rsid w:val="4DCFE485"/>
    <w:rsid w:val="4E20EFA7"/>
    <w:rsid w:val="4EAD4856"/>
    <w:rsid w:val="4EBD15F2"/>
    <w:rsid w:val="4F36D5BA"/>
    <w:rsid w:val="4F640878"/>
    <w:rsid w:val="4FBEA548"/>
    <w:rsid w:val="4FD20934"/>
    <w:rsid w:val="4FFFC544"/>
    <w:rsid w:val="50084997"/>
    <w:rsid w:val="5013C2E4"/>
    <w:rsid w:val="504F877C"/>
    <w:rsid w:val="5056F220"/>
    <w:rsid w:val="507D047D"/>
    <w:rsid w:val="5084AE79"/>
    <w:rsid w:val="50E211BC"/>
    <w:rsid w:val="5139C27D"/>
    <w:rsid w:val="5157C88F"/>
    <w:rsid w:val="518F687C"/>
    <w:rsid w:val="51C46FDA"/>
    <w:rsid w:val="5274153D"/>
    <w:rsid w:val="52F114B0"/>
    <w:rsid w:val="52F76266"/>
    <w:rsid w:val="53924ABA"/>
    <w:rsid w:val="53C24BB4"/>
    <w:rsid w:val="545C44AD"/>
    <w:rsid w:val="54622D48"/>
    <w:rsid w:val="54E2B44A"/>
    <w:rsid w:val="553B0FF9"/>
    <w:rsid w:val="55BF6EEE"/>
    <w:rsid w:val="563EB163"/>
    <w:rsid w:val="571C15D3"/>
    <w:rsid w:val="572C356F"/>
    <w:rsid w:val="57316524"/>
    <w:rsid w:val="57BE15F8"/>
    <w:rsid w:val="59F999D8"/>
    <w:rsid w:val="5A0C7E83"/>
    <w:rsid w:val="5A5EC4E0"/>
    <w:rsid w:val="5A8BEE15"/>
    <w:rsid w:val="5A977866"/>
    <w:rsid w:val="5B6784C6"/>
    <w:rsid w:val="5B9E93ED"/>
    <w:rsid w:val="5BB50674"/>
    <w:rsid w:val="5C1A2489"/>
    <w:rsid w:val="5D39D0E2"/>
    <w:rsid w:val="5DA0FF12"/>
    <w:rsid w:val="5DC358DF"/>
    <w:rsid w:val="5E198F6A"/>
    <w:rsid w:val="5E47FDD4"/>
    <w:rsid w:val="5E5C7374"/>
    <w:rsid w:val="5E8FD047"/>
    <w:rsid w:val="5EB13932"/>
    <w:rsid w:val="61675F2F"/>
    <w:rsid w:val="61CE1BC7"/>
    <w:rsid w:val="61F67ABF"/>
    <w:rsid w:val="643B39F2"/>
    <w:rsid w:val="64653373"/>
    <w:rsid w:val="6495DEA2"/>
    <w:rsid w:val="657C9C28"/>
    <w:rsid w:val="657D0850"/>
    <w:rsid w:val="65B26E6E"/>
    <w:rsid w:val="65DAC0FF"/>
    <w:rsid w:val="6719DFDC"/>
    <w:rsid w:val="672C6433"/>
    <w:rsid w:val="67738641"/>
    <w:rsid w:val="6778E6CC"/>
    <w:rsid w:val="679C41D0"/>
    <w:rsid w:val="67F8B750"/>
    <w:rsid w:val="6820049E"/>
    <w:rsid w:val="69B4936A"/>
    <w:rsid w:val="6BB94C41"/>
    <w:rsid w:val="6BCD06C9"/>
    <w:rsid w:val="6BDD8FCA"/>
    <w:rsid w:val="6C3EDBF4"/>
    <w:rsid w:val="6C5736C9"/>
    <w:rsid w:val="6C830A35"/>
    <w:rsid w:val="6CAA82B8"/>
    <w:rsid w:val="6D1BE5B0"/>
    <w:rsid w:val="6D269359"/>
    <w:rsid w:val="6DCA8436"/>
    <w:rsid w:val="6DD8EB01"/>
    <w:rsid w:val="6DE3B1C0"/>
    <w:rsid w:val="6DEACDA7"/>
    <w:rsid w:val="6E181970"/>
    <w:rsid w:val="6ED1A1E8"/>
    <w:rsid w:val="6EE36558"/>
    <w:rsid w:val="6F804E3E"/>
    <w:rsid w:val="6FEB9417"/>
    <w:rsid w:val="6FFB9DB0"/>
    <w:rsid w:val="7046DA73"/>
    <w:rsid w:val="71006671"/>
    <w:rsid w:val="7137C35C"/>
    <w:rsid w:val="723DD31C"/>
    <w:rsid w:val="7268699E"/>
    <w:rsid w:val="7270C62A"/>
    <w:rsid w:val="727324E8"/>
    <w:rsid w:val="7273A329"/>
    <w:rsid w:val="727FED7A"/>
    <w:rsid w:val="73100670"/>
    <w:rsid w:val="734FCA24"/>
    <w:rsid w:val="7416A319"/>
    <w:rsid w:val="74340593"/>
    <w:rsid w:val="744FF1E6"/>
    <w:rsid w:val="7466FE32"/>
    <w:rsid w:val="746C083B"/>
    <w:rsid w:val="74BBC6EE"/>
    <w:rsid w:val="74DB5328"/>
    <w:rsid w:val="751C18E3"/>
    <w:rsid w:val="7521A6CB"/>
    <w:rsid w:val="75951A29"/>
    <w:rsid w:val="75CB031A"/>
    <w:rsid w:val="75FDA7CF"/>
    <w:rsid w:val="76089F7C"/>
    <w:rsid w:val="763815A1"/>
    <w:rsid w:val="7667DDF3"/>
    <w:rsid w:val="76972084"/>
    <w:rsid w:val="76CA5AFB"/>
    <w:rsid w:val="770FACEA"/>
    <w:rsid w:val="77A0D0FE"/>
    <w:rsid w:val="7809A133"/>
    <w:rsid w:val="7834108E"/>
    <w:rsid w:val="783DEED8"/>
    <w:rsid w:val="78616F49"/>
    <w:rsid w:val="7914C6AB"/>
    <w:rsid w:val="797967BD"/>
    <w:rsid w:val="79B812F7"/>
    <w:rsid w:val="79C528DA"/>
    <w:rsid w:val="7A962A81"/>
    <w:rsid w:val="7ABFD347"/>
    <w:rsid w:val="7B57F868"/>
    <w:rsid w:val="7BD0A2DC"/>
    <w:rsid w:val="7CBADC0D"/>
    <w:rsid w:val="7CE4D01C"/>
    <w:rsid w:val="7E0C3ADD"/>
    <w:rsid w:val="7E1287F1"/>
    <w:rsid w:val="7E490F2A"/>
    <w:rsid w:val="7E7B097C"/>
    <w:rsid w:val="7EC06549"/>
    <w:rsid w:val="7EF7FA11"/>
    <w:rsid w:val="7F3F3F2A"/>
    <w:rsid w:val="7F67C7D5"/>
    <w:rsid w:val="7F736A9B"/>
    <w:rsid w:val="7F902F73"/>
    <w:rsid w:val="7FB26421"/>
    <w:rsid w:val="7FC41BF2"/>
    <w:rsid w:val="7FDE7F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C4E47"/>
  <w15:chartTrackingRefBased/>
  <w15:docId w15:val="{E9BFEFAF-2154-4558-8E59-7D277682CCC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571C15D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571C15D3"/>
    <w:pPr>
      <w:spacing/>
      <w:ind w:left="720"/>
      <w:contextualSpacing/>
    </w:pPr>
  </w:style>
  <w:style w:type="paragraph" w:styleId="Heading3">
    <w:uiPriority w:val="9"/>
    <w:name w:val="heading 3"/>
    <w:basedOn w:val="Normal"/>
    <w:next w:val="Normal"/>
    <w:unhideWhenUsed/>
    <w:qFormat/>
    <w:rsid w:val="0EFC01E5"/>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40466F5A"/>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yperlink">
    <w:uiPriority w:val="99"/>
    <w:name w:val="Hyperlink"/>
    <w:basedOn w:val="DefaultParagraphFont"/>
    <w:unhideWhenUsed/>
    <w:rsid w:val="2AD1E4E8"/>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4B0DF1EC"/>
    <w:pPr>
      <w:tabs>
        <w:tab w:val="center" w:leader="none" w:pos="4680"/>
        <w:tab w:val="right" w:leader="none" w:pos="9360"/>
      </w:tabs>
      <w:spacing w:after="0" w:line="240" w:lineRule="auto"/>
    </w:pPr>
  </w:style>
  <w:style w:type="paragraph" w:styleId="Footer">
    <w:uiPriority w:val="99"/>
    <w:name w:val="footer"/>
    <w:basedOn w:val="Normal"/>
    <w:unhideWhenUsed/>
    <w:rsid w:val="4B0DF1EC"/>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775366460" /><Relationship Type="http://schemas.openxmlformats.org/officeDocument/2006/relationships/numbering" Target="/word/numbering.xml" Id="Re214912873ea492f" /><Relationship Type="http://schemas.openxmlformats.org/officeDocument/2006/relationships/hyperlink" Target="https://www.psychiatry.ru/siteconst/userfiles/file/book/%D0%90%D0%BD%D0%B3%D0%BB%D0%BE%D1%8F%D0%B7%D1%8B%D1%87%D0%BD%D0%B0%D1%8F%20%D0%BB%D0%B8%D1%82%D0%B5%D1%80%D0%B0%D1%82%D1%83%D1%80%D0%B0%20%D0%BF%D0%BE%20%D0%BF%D1%81%D0%B8%D1%85%D0%B8%D0%B0%D1%82%D1%80%D0%B8%D0%B8/DSM%205%20TR-APA%20(2022).pdf" TargetMode="External" Id="R1b32171d887145a1" /><Relationship Type="http://schemas.openxmlformats.org/officeDocument/2006/relationships/hyperlink" Target="https://pmc.ncbi.nlm.nih.gov/articles/PMC11900428/" TargetMode="External" Id="Rae0c7295297c40de" /><Relationship Type="http://schemas.openxmlformats.org/officeDocument/2006/relationships/hyperlink" Target="https://cks.nice.org.uk/topics/obsessive-compulsive-disorder/background-information/prevalence/" TargetMode="External" Id="R442d4660b6c04833" /><Relationship Type="http://schemas.openxmlformats.org/officeDocument/2006/relationships/hyperlink" Target="https://www.legislation.gov.uk/ukpga/2014/23/contents" TargetMode="External" Id="Raad1b1d443ea44cc" /><Relationship Type="http://schemas.openxmlformats.org/officeDocument/2006/relationships/hyperlink" Target="https://pmc.ncbi.nlm.nih.gov/articles/PMC7059159/" TargetMode="External" Id="R4d86d26ff3664c4b" /><Relationship Type="http://schemas.openxmlformats.org/officeDocument/2006/relationships/hyperlink" Target="https://www.legislation.gov.uk/ukpga/2010/15/contents" TargetMode="External" Id="Rb2f68d74b0aa423b" /><Relationship Type="http://schemas.openxmlformats.org/officeDocument/2006/relationships/hyperlink" Target="https://exceptionalindividuals.com/about-us/blog/ocd-in-neurodivergent-individuals-overlaps-misdiagnosis-and-tailored-support/" TargetMode="External" Id="R637c5b3c35e044fc" /><Relationship Type="http://schemas.openxmlformats.org/officeDocument/2006/relationships/hyperlink" Target="https://www.counselling-directory.org.uk/articles/why-more-people-in-the-uk-are-suffering-from-ocd" TargetMode="External" Id="Rbd01a7375f7b4c80" /><Relationship Type="http://schemas.openxmlformats.org/officeDocument/2006/relationships/hyperlink" Target="https://pmc.ncbi.nlm.nih.gov/articles/PMC10542667/" TargetMode="External" Id="R5ce92107a366492b" /><Relationship Type="http://schemas.openxmlformats.org/officeDocument/2006/relationships/hyperlink" Target="https://pubmed.ncbi.nlm.nih.gov/27401060/" TargetMode="External" Id="Rfd0e02845c4e4510" /><Relationship Type="http://schemas.openxmlformats.org/officeDocument/2006/relationships/hyperlink" Target="https://www.legislation.gov.uk/ukpga/1983/20/contents" TargetMode="External" Id="R7d3ff077aa4247cd" /><Relationship Type="http://schemas.openxmlformats.org/officeDocument/2006/relationships/hyperlink" Target="https://www.mentalhealth.org.uk/explore-mental-health/a-z-topics/obsessive-compulsive-disorder-ocd" TargetMode="External" Id="R422f1aae4a5e4f58" /><Relationship Type="http://schemas.openxmlformats.org/officeDocument/2006/relationships/hyperlink" Target="https://www.mind.org.uk/information-support/legal-rights/mental-health-act-1983/about-the-mha-1983/" TargetMode="External" Id="R0db821a502ba4782" /><Relationship Type="http://schemas.openxmlformats.org/officeDocument/2006/relationships/hyperlink" Target="https://www.ncbi.nlm.nih.gov/books/NBK519704/table/ch3.t13/" TargetMode="External" Id="R537d0b781f8d4997" /><Relationship Type="http://schemas.openxmlformats.org/officeDocument/2006/relationships/hyperlink" Target="https://www.nhs.uk/mental-health/conditions/obsessive-compulsive-disorder-ocd/overview/" TargetMode="External" Id="Rbd69611375e64f7d" /><Relationship Type="http://schemas.openxmlformats.org/officeDocument/2006/relationships/hyperlink" Target="https://digital.nhs.uk/services/data-services-for-commissioners/datasets/improving-access-to-psychological-therapies-iapt" TargetMode="External" Id="R1410b7d71dd84246" /><Relationship Type="http://schemas.openxmlformats.org/officeDocument/2006/relationships/hyperlink" Target="https://www.england.nhs.uk/long-read/2025-26-priorities-and-operational-planning-guidance/" TargetMode="External" Id="Rea1108dc02e64cbf" /><Relationship Type="http://schemas.openxmlformats.org/officeDocument/2006/relationships/hyperlink" Target="https://cks.nice.org.uk/topics/obsessive-compulsive-disorder/background-information/prevalence/" TargetMode="External" Id="Rfc460503d3134482" /><Relationship Type="http://schemas.openxmlformats.org/officeDocument/2006/relationships/hyperlink" Target="https://www.nice.org.uk/guidance/cg31" TargetMode="External" Id="R4c2f05618add467f" /><Relationship Type="http://schemas.openxmlformats.org/officeDocument/2006/relationships/hyperlink" Target="https://www.ocduk.org/overcoming-ocd/accessing-ocd-treatment/accessing-ocd-treatment-through-the-nhs/" TargetMode="External" Id="Rb30f17182b7a46b5" /><Relationship Type="http://schemas.openxmlformats.org/officeDocument/2006/relationships/hyperlink" Target="https://www.ocduk.org/ocd/diagnosing-ocd/" TargetMode="External" Id="Rfcfe8b7a7e3d4325" /><Relationship Type="http://schemas.openxmlformats.org/officeDocument/2006/relationships/hyperlink" Target="https://www.sciencedirect.com/science/article/abs/pii/S0193953X22001022?via%3Dihub" TargetMode="External" Id="R53a9ebc7179f4733" /><Relationship Type="http://schemas.openxmlformats.org/officeDocument/2006/relationships/hyperlink" Target="https://www.samaritans.org/news/the-10-year-health-plan-for-england-blog/" TargetMode="External" Id="Rdd0644a706c641b5" /><Relationship Type="http://schemas.openxmlformats.org/officeDocument/2006/relationships/hyperlink" Target="https://onlinelibrary.wiley.com/doi/10.1002/jclp.23775" TargetMode="External" Id="R7d3224886c67405d" /><Relationship Type="http://schemas.openxmlformats.org/officeDocument/2006/relationships/hyperlink" Target="https://icd.who.int/browse/2024-01/mms/en#1582741816" TargetMode="External" Id="Ra15c473f105f40c5" /><Relationship Type="http://schemas.openxmlformats.org/officeDocument/2006/relationships/header" Target="/word/header.xml" Id="R938b338a343b499c" /><Relationship Type="http://schemas.openxmlformats.org/officeDocument/2006/relationships/footer" Target="/word/footer.xml" Id="R9679ba14ca534b5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Kamila Zikavska (2332569)</dc:creator>
  <keywords/>
  <dc:description/>
  <lastModifiedBy>Kamila Zikavska (2332569)</lastModifiedBy>
  <revision>6</revision>
  <dcterms:created xsi:type="dcterms:W3CDTF">2026-07-02T11:32:18.9761800Z</dcterms:created>
  <dcterms:modified xsi:type="dcterms:W3CDTF">2026-07-15T12:53:09.8465518Z</dcterms:modified>
</coreProperties>
</file>