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C08C32" w14:textId="2AAFAB16" w:rsidR="000B5775" w:rsidRPr="003A2F04" w:rsidRDefault="000B5775" w:rsidP="003A2F04">
      <w:pPr>
        <w:jc w:val="center"/>
        <w:rPr>
          <w:sz w:val="28"/>
          <w:szCs w:val="28"/>
        </w:rPr>
      </w:pPr>
      <w:r w:rsidRPr="000B5775">
        <w:rPr>
          <w:sz w:val="28"/>
          <w:szCs w:val="28"/>
        </w:rPr>
        <w:t>The Chronicle of Raymond of Aguilers</w:t>
      </w:r>
    </w:p>
    <w:p w14:paraId="1FD1D53F" w14:textId="17C57BA6" w:rsidR="000B5775" w:rsidRPr="000B5775" w:rsidRDefault="000B5775" w:rsidP="000B5775">
      <w:r w:rsidRPr="000B5775">
        <w:t>Raymond of Aguilers, a chaplain in the army of Raymond IV of Toulouse, wrote a detailed and significant eyewitness account of the First Crusade</w:t>
      </w:r>
      <w:r w:rsidR="00274B8A">
        <w:t>, with the assistance, or encouragement of Pons of Balazun</w:t>
      </w:r>
      <w:r w:rsidRPr="000B5775">
        <w:t>. His chronicle,</w:t>
      </w:r>
      <w:r w:rsidR="004E2473" w:rsidRPr="004E2473">
        <w:t xml:space="preserve"> </w:t>
      </w:r>
      <w:r w:rsidR="004E2473" w:rsidRPr="000B5775">
        <w:t>The Chronicle of Raymond of Aguilers</w:t>
      </w:r>
      <w:r w:rsidR="004E2473">
        <w:t>, known as</w:t>
      </w:r>
      <w:r w:rsidRPr="000B5775">
        <w:t xml:space="preserve"> </w:t>
      </w:r>
      <w:r w:rsidRPr="000B5775">
        <w:rPr>
          <w:i/>
          <w:iCs/>
        </w:rPr>
        <w:t>Historia Francorum Qui Ceperunt Iherusalem</w:t>
      </w:r>
      <w:r w:rsidRPr="000B5775">
        <w:t xml:space="preserve">, is one of the key primary sources that sheds light on the political, military, and religious perspectives surrounding the Crusade. Written during his time on Crusade, the chronicle serves as an essential document for understanding not just </w:t>
      </w:r>
      <w:r w:rsidR="004C4525">
        <w:t>only</w:t>
      </w:r>
      <w:r w:rsidRPr="000B5775">
        <w:t xml:space="preserve"> events of the Crusade, but also the mindset of its participants. As a chaplain closely affiliated with </w:t>
      </w:r>
      <w:r>
        <w:t xml:space="preserve">Count </w:t>
      </w:r>
      <w:r w:rsidRPr="000B5775">
        <w:t>Raymond IV</w:t>
      </w:r>
      <w:r w:rsidR="004E2473">
        <w:t xml:space="preserve"> of Toulouse</w:t>
      </w:r>
      <w:r w:rsidRPr="000B5775">
        <w:t>, Raymond of Aguilers’</w:t>
      </w:r>
      <w:r w:rsidR="004E2473">
        <w:t>s</w:t>
      </w:r>
      <w:r w:rsidRPr="000B5775">
        <w:t xml:space="preserve"> account is </w:t>
      </w:r>
      <w:r>
        <w:t>shaped</w:t>
      </w:r>
      <w:r w:rsidRPr="000B5775">
        <w:t xml:space="preserve"> by his desire to justify and defend the actions of his leader, who had been accused of opportunism and political </w:t>
      </w:r>
      <w:r w:rsidRPr="000B5775">
        <w:t>manoeuvring</w:t>
      </w:r>
      <w:r w:rsidRPr="000B5775">
        <w:t>. This political context shapes much of Raymond’s narrative, emphasizing the righteousness of the actions of his fellow Crusaders and presenting their religious motivations as central to the campaign.</w:t>
      </w:r>
      <w:r w:rsidR="007D31DF">
        <w:t xml:space="preserve"> This can be seen from his intended audience, the Bishop of Le Puy, where he sought to</w:t>
      </w:r>
      <w:r w:rsidR="002C63F1">
        <w:t xml:space="preserve"> correct the ‘rumours spread by </w:t>
      </w:r>
      <w:r w:rsidR="007D31DF" w:rsidRPr="007D31DF">
        <w:t>misfits of war and cowardly</w:t>
      </w:r>
      <w:r w:rsidR="002C63F1">
        <w:t xml:space="preserve"> deserters</w:t>
      </w:r>
      <w:r w:rsidR="007D31DF">
        <w:t>’.</w:t>
      </w:r>
      <w:r w:rsidR="005839D6">
        <w:rPr>
          <w:rStyle w:val="FootnoteReference"/>
        </w:rPr>
        <w:footnoteReference w:id="1"/>
      </w:r>
    </w:p>
    <w:p w14:paraId="4FEE988B" w14:textId="19640F01" w:rsidR="000B5775" w:rsidRPr="000B5775" w:rsidRDefault="000B5775" w:rsidP="000B5775">
      <w:r w:rsidRPr="000B5775">
        <w:t>Raymond of Aguilers’ association with the church was an important aspect of his background. He was educated as a clerk in the monastery of Vézelay and later served as a canon of the cathedral church of St. Mary of Le Puy in Auvergne.</w:t>
      </w:r>
      <w:r w:rsidR="005839D6">
        <w:rPr>
          <w:rStyle w:val="FootnoteReference"/>
        </w:rPr>
        <w:footnoteReference w:id="2"/>
      </w:r>
      <w:r w:rsidRPr="000B5775">
        <w:t xml:space="preserve"> This connection to the church</w:t>
      </w:r>
      <w:r>
        <w:t>, though</w:t>
      </w:r>
      <w:r w:rsidR="00795696">
        <w:t xml:space="preserve"> </w:t>
      </w:r>
      <w:r w:rsidR="00BC4E5C">
        <w:t>not un</w:t>
      </w:r>
      <w:r w:rsidRPr="000B5775">
        <w:t>usual for the time</w:t>
      </w:r>
      <w:r>
        <w:t>,</w:t>
      </w:r>
      <w:r w:rsidRPr="000B5775">
        <w:t xml:space="preserve"> undoubtedly influenced his perspective on the Crusade. Throughout the chronicle, there is a distinct emphasis on the religious elements of the Crusade, with Raymond highlighting miraculous events and divine intervention in battle</w:t>
      </w:r>
      <w:r w:rsidR="004C4525">
        <w:t>, including finding the</w:t>
      </w:r>
      <w:r w:rsidR="00685322">
        <w:t xml:space="preserve"> Holy Lance</w:t>
      </w:r>
      <w:r w:rsidR="00BC4E5C">
        <w:t>,</w:t>
      </w:r>
      <w:r w:rsidR="005839D6">
        <w:rPr>
          <w:rStyle w:val="FootnoteReference"/>
        </w:rPr>
        <w:footnoteReference w:id="3"/>
      </w:r>
      <w:r w:rsidR="00BC4E5C">
        <w:t xml:space="preserve"> </w:t>
      </w:r>
      <w:r w:rsidR="00274B8A">
        <w:t xml:space="preserve"> which held significant importance for the crusaders.</w:t>
      </w:r>
      <w:r w:rsidRPr="000B5775">
        <w:t xml:space="preserve"> This focus on the spiritual aspects of the Crusade contrasts with the more pragmatic and political concerns emphasized by other chroniclers of the time. Raymond’s religious viewpoint often leads him to describe military and political events through a theological lens, of</w:t>
      </w:r>
      <w:r>
        <w:t>ten referring to biblical passages</w:t>
      </w:r>
      <w:r w:rsidR="00274B8A">
        <w:t xml:space="preserve"> and psalms</w:t>
      </w:r>
      <w:r>
        <w:t xml:space="preserve"> to further legitimise the actions of Raymond IV’s army as </w:t>
      </w:r>
      <w:r>
        <w:lastRenderedPageBreak/>
        <w:t>righteous and God-given</w:t>
      </w:r>
      <w:r w:rsidR="00274B8A">
        <w:t xml:space="preserve">, whilst increasing his scholarly reputation and </w:t>
      </w:r>
      <w:r w:rsidR="00281CB4">
        <w:t>adding to the religious importance of both the crusade itself and Raymond’s account</w:t>
      </w:r>
      <w:r>
        <w:t>.</w:t>
      </w:r>
      <w:r w:rsidR="005839D6">
        <w:rPr>
          <w:rStyle w:val="FootnoteReference"/>
        </w:rPr>
        <w:footnoteReference w:id="4"/>
      </w:r>
    </w:p>
    <w:p w14:paraId="7957A1BF" w14:textId="223EFE6B" w:rsidR="00465A3F" w:rsidRDefault="000B5775" w:rsidP="000B5775">
      <w:r w:rsidRPr="000B5775">
        <w:t xml:space="preserve">Though there is no definitive date for the completion of the chronicle, scholars suggest it was likely finished before or </w:t>
      </w:r>
      <w:r>
        <w:t>circa</w:t>
      </w:r>
      <w:r w:rsidRPr="000B5775">
        <w:t xml:space="preserve"> 1101. This assumption is based on Raymond’s work </w:t>
      </w:r>
      <w:r w:rsidR="004E2473">
        <w:t>being</w:t>
      </w:r>
      <w:r w:rsidRPr="000B5775">
        <w:t xml:space="preserve"> quoted by Fulcher of Chartres, a contemporary historian</w:t>
      </w:r>
      <w:r>
        <w:t>,</w:t>
      </w:r>
      <w:r w:rsidRPr="000B5775">
        <w:t xml:space="preserve"> in 1101</w:t>
      </w:r>
      <w:r>
        <w:t>.</w:t>
      </w:r>
      <w:r w:rsidR="005839D6">
        <w:rPr>
          <w:rStyle w:val="FootnoteReference"/>
        </w:rPr>
        <w:footnoteReference w:id="5"/>
      </w:r>
      <w:r>
        <w:t xml:space="preserve"> T</w:t>
      </w:r>
      <w:r w:rsidRPr="000B5775">
        <w:t xml:space="preserve">he chronicle </w:t>
      </w:r>
      <w:r>
        <w:t xml:space="preserve">also </w:t>
      </w:r>
      <w:r w:rsidRPr="000B5775">
        <w:t>does not mention the death of Raymond IV, who died in 1105. The document begins with the call to arms at the Council of Clermont in 1095 and covers the Crusaders’ journey, culminating in the capture of Jerusalem in 1099. Throughout this narrative, Raymond provides a detailed account of the hardships and challenges faced by the Crusading army</w:t>
      </w:r>
      <w:r>
        <w:t>.</w:t>
      </w:r>
    </w:p>
    <w:p w14:paraId="51FDB253" w14:textId="338B5841" w:rsidR="000B5775" w:rsidRPr="000B5775" w:rsidRDefault="00465A3F" w:rsidP="000B5775">
      <w:r>
        <w:t>A</w:t>
      </w:r>
      <w:r w:rsidR="000B5775" w:rsidRPr="000B5775">
        <w:t xml:space="preserve"> theme central to Raymond’s chronicle is the issue of cowardice and desertion among the Crusaders. Desertion was </w:t>
      </w:r>
      <w:r w:rsidRPr="000B5775">
        <w:t>common</w:t>
      </w:r>
      <w:r w:rsidR="000B5775" w:rsidRPr="000B5775">
        <w:t xml:space="preserve"> during the First Crusade, especially when the army faced difficult conditions</w:t>
      </w:r>
      <w:r w:rsidR="000B5775">
        <w:t xml:space="preserve"> such as famine</w:t>
      </w:r>
      <w:r w:rsidR="000B5775" w:rsidRPr="000B5775">
        <w:t xml:space="preserve"> and the threat of hostile forces.</w:t>
      </w:r>
      <w:r w:rsidR="005839D6">
        <w:rPr>
          <w:rStyle w:val="FootnoteReference"/>
        </w:rPr>
        <w:footnoteReference w:id="6"/>
      </w:r>
      <w:r w:rsidR="000B5775" w:rsidRPr="000B5775">
        <w:t xml:space="preserve"> Raymond discusses the discouragement among the Crusaders </w:t>
      </w:r>
      <w:r w:rsidR="000B5775">
        <w:t>on the arrival</w:t>
      </w:r>
      <w:r w:rsidR="000B5775" w:rsidRPr="000B5775">
        <w:t xml:space="preserve"> in Byzantine territory, where they were harassed by light cavalry, making it difficult for the pilgrims to resupply and regroup. Raymond uses this example to highlight the piety of his comrades, who, despite their hardship, found strength through fasting and repentance.</w:t>
      </w:r>
      <w:r w:rsidR="005839D6">
        <w:rPr>
          <w:rStyle w:val="FootnoteReference"/>
        </w:rPr>
        <w:footnoteReference w:id="7"/>
      </w:r>
      <w:r w:rsidR="000B5775" w:rsidRPr="000B5775">
        <w:t xml:space="preserve"> He contrasts their piety with the actions of deserters, particularly those who fled during the Siege of Antioch.</w:t>
      </w:r>
    </w:p>
    <w:p w14:paraId="0CAEF917" w14:textId="1B66705B" w:rsidR="000B5775" w:rsidRPr="000B5775" w:rsidRDefault="000B5775" w:rsidP="000B5775">
      <w:r w:rsidRPr="000B5775">
        <w:t>The Siege of Antioch becomes a critical moment in Raymond’s narrative, as he addresses the issue</w:t>
      </w:r>
      <w:r w:rsidR="0031684D">
        <w:t>s</w:t>
      </w:r>
      <w:r w:rsidRPr="000B5775">
        <w:t xml:space="preserve"> of leadership and morale within the Crusader army. Raymond condemns Count Stephen of Blois for abandoning the siege and returning to the West, which he sees as an act of cowardice. Raymond’s criticism of Stephen reflects his broader concerns with maintaining the Crusaders’ unity and commitment to the mission.</w:t>
      </w:r>
      <w:r w:rsidR="005839D6">
        <w:rPr>
          <w:rStyle w:val="FootnoteReference"/>
        </w:rPr>
        <w:footnoteReference w:id="8"/>
      </w:r>
      <w:r w:rsidRPr="000B5775">
        <w:t xml:space="preserve"> He also criticizes the Byzantine general Tati</w:t>
      </w:r>
      <w:r w:rsidR="00465A3F">
        <w:t>ciu</w:t>
      </w:r>
      <w:r w:rsidRPr="000B5775">
        <w:t>s for his lack of enthusiasm in the Crusaders’ mission, stating that his actions brought “e</w:t>
      </w:r>
      <w:r w:rsidR="00BD1B38">
        <w:t>ternal</w:t>
      </w:r>
      <w:r w:rsidRPr="000B5775">
        <w:t xml:space="preserve"> shame” upon himself and his troops.</w:t>
      </w:r>
      <w:r w:rsidR="005839D6">
        <w:rPr>
          <w:rStyle w:val="FootnoteReference"/>
        </w:rPr>
        <w:footnoteReference w:id="9"/>
      </w:r>
      <w:r w:rsidRPr="000B5775">
        <w:t xml:space="preserve"> Raymond’s portrayal of the Crusaders as devout pilgrims and soldiers committed to a divine mission is central to understanding his narrative. He repeatedly emphasizes that the Crusaders were not merely fighting for territorial gain but were seeking spiritual salvation through their military actions. This spiritual dimension of the Crusade is important in understanding the Crusaders’ worldview, where the violence </w:t>
      </w:r>
      <w:r w:rsidRPr="000B5775">
        <w:lastRenderedPageBreak/>
        <w:t>and bloodshed of the campaign were seen as a form of penance and a necessary part of their religious duty.</w:t>
      </w:r>
      <w:r w:rsidR="005839D6">
        <w:rPr>
          <w:rStyle w:val="FootnoteReference"/>
        </w:rPr>
        <w:footnoteReference w:id="10"/>
      </w:r>
    </w:p>
    <w:p w14:paraId="2F96A027" w14:textId="3B60CD44" w:rsidR="000B5775" w:rsidRPr="000B5775" w:rsidRDefault="000B5775" w:rsidP="000B5775">
      <w:r w:rsidRPr="000B5775">
        <w:t xml:space="preserve">In his chronicle, Raymond frequently contrasts the piety of the Crusaders with the supposed barbarity of the Muslims they encountered. Muslim forces are depicted as infidels who stand in opposition to the spread of Christianity. While Raymond does not demonize the Muslims excessively, his portrayal of them aligns with the broader Christian rhetoric of the time, which often depicted Muslims as obstacles to the Christianization of the Holy Land. The Muslim forces are seen as both militarily formidable and spiritually depraved, making their defeat a significant victory for Christendom. This portrayal of the Crusaders as righteous pilgrims fighting against </w:t>
      </w:r>
      <w:r w:rsidR="001721AE">
        <w:t xml:space="preserve">a common enemy </w:t>
      </w:r>
      <w:r w:rsidRPr="000B5775">
        <w:t>reflects the religious dynamics that shaped the First Crusade.</w:t>
      </w:r>
    </w:p>
    <w:p w14:paraId="408AC5DE" w14:textId="04671F78" w:rsidR="000B5775" w:rsidRPr="000B5775" w:rsidRDefault="000B5775" w:rsidP="000B5775">
      <w:r w:rsidRPr="000B5775">
        <w:t>Raymond’s account is also shaped by his loyalty to Raymond IV of Toulouse. As a close associate of the Count, Raymond of Aguilers presents him in an idealized light, highlighting his Christian virtues and bravery</w:t>
      </w:r>
      <w:r w:rsidR="0031684D" w:rsidRPr="001721AE">
        <w:t>,</w:t>
      </w:r>
      <w:r w:rsidRPr="001721AE">
        <w:t xml:space="preserve"> including when unwell</w:t>
      </w:r>
      <w:r w:rsidRPr="000B5775">
        <w:t>.</w:t>
      </w:r>
      <w:r w:rsidR="005839D6">
        <w:rPr>
          <w:rStyle w:val="FootnoteReference"/>
        </w:rPr>
        <w:footnoteReference w:id="11"/>
      </w:r>
      <w:r w:rsidRPr="000B5775">
        <w:t xml:space="preserve"> This loyalty, however, also leads to a biased portrayal of events. Raymond tends to downplay or omit any actions that might reflect poorly on his leader, such as the massacres that took place during and after the Siege of Antioch. These omissions illustrate the selective nature of Raymond’s narrative and the need to read his account critically</w:t>
      </w:r>
      <w:r>
        <w:t>.</w:t>
      </w:r>
    </w:p>
    <w:p w14:paraId="26D5BD5A" w14:textId="62DA6551" w:rsidR="000B5775" w:rsidRPr="000B5775" w:rsidRDefault="000B5775" w:rsidP="000B5775">
      <w:r w:rsidRPr="000B5775">
        <w:t xml:space="preserve">Despite its biases, Raymond’s chronicle remains a valuable historical source for understanding the First Crusade. Scholars have long debated the reliability of the chronicle, with some emphasizing its religious and ideological context as essential for understanding the mentality of the Crusaders. </w:t>
      </w:r>
    </w:p>
    <w:p w14:paraId="70CDE827" w14:textId="358CB6EF" w:rsidR="000B5775" w:rsidRPr="000B5775" w:rsidRDefault="000B5775" w:rsidP="000B5775">
      <w:r w:rsidRPr="000B5775">
        <w:t xml:space="preserve">In conclusion, the </w:t>
      </w:r>
      <w:r w:rsidRPr="000B5775">
        <w:rPr>
          <w:i/>
          <w:iCs/>
        </w:rPr>
        <w:t>Chronicle of Raymond of Aguilers</w:t>
      </w:r>
      <w:r w:rsidRPr="000B5775">
        <w:t xml:space="preserve"> offers invaluable insight into the mindset of the Crusaders and the religious dynamics that motivated their actions. Raymond’s deeply religious perspective, selective portrayal of events, and ideali</w:t>
      </w:r>
      <w:r w:rsidR="00BC4E5C">
        <w:t>s</w:t>
      </w:r>
      <w:r w:rsidRPr="000B5775">
        <w:t>ation of his leader provide a unique window into the world of the First Crusade. However, his account must be read with a critical eye, recognizing the biases and ideological context that shape it. Despite these limitations, the chronicle remains an essential document for understanding one of the most significant events in medieval history.</w:t>
      </w:r>
    </w:p>
    <w:p w14:paraId="7A144415" w14:textId="502D73E8" w:rsidR="000B5775" w:rsidRDefault="000B5775" w:rsidP="000B5775"/>
    <w:p w14:paraId="2A7F08A2" w14:textId="77777777" w:rsidR="00ED460D" w:rsidRDefault="00ED460D" w:rsidP="000B5775"/>
    <w:p w14:paraId="687BCBF1" w14:textId="77777777" w:rsidR="00F220EC" w:rsidRDefault="00F220EC" w:rsidP="000B5775"/>
    <w:p w14:paraId="26A06979" w14:textId="77777777" w:rsidR="00F220EC" w:rsidRDefault="00F220EC" w:rsidP="000B5775"/>
    <w:p w14:paraId="75269FAA" w14:textId="333BB872" w:rsidR="00ED460D" w:rsidRPr="005E468A" w:rsidRDefault="00ED460D" w:rsidP="00A248C3">
      <w:pPr>
        <w:jc w:val="center"/>
        <w:rPr>
          <w:b/>
          <w:bCs/>
          <w:sz w:val="32"/>
          <w:szCs w:val="32"/>
        </w:rPr>
      </w:pPr>
      <w:r w:rsidRPr="005E468A">
        <w:rPr>
          <w:b/>
          <w:bCs/>
          <w:sz w:val="32"/>
          <w:szCs w:val="32"/>
        </w:rPr>
        <w:lastRenderedPageBreak/>
        <w:t>Bibliography</w:t>
      </w:r>
    </w:p>
    <w:p w14:paraId="7D30811C" w14:textId="5ABF7BE1" w:rsidR="00ED460D" w:rsidRPr="00A248C3" w:rsidRDefault="00F220EC" w:rsidP="005E468A">
      <w:pPr>
        <w:ind w:left="720" w:hanging="720"/>
      </w:pPr>
      <w:r>
        <w:t>D</w:t>
      </w:r>
      <w:r w:rsidR="00502423" w:rsidRPr="00A248C3">
        <w:t>’Aguilers</w:t>
      </w:r>
      <w:r>
        <w:t>,</w:t>
      </w:r>
      <w:r w:rsidR="00502423" w:rsidRPr="00A248C3">
        <w:t xml:space="preserve"> </w:t>
      </w:r>
      <w:r w:rsidR="00114BF0" w:rsidRPr="00A248C3">
        <w:t xml:space="preserve">Raymond, </w:t>
      </w:r>
      <w:r w:rsidR="00114BF0" w:rsidRPr="00F220EC">
        <w:rPr>
          <w:i/>
          <w:iCs/>
        </w:rPr>
        <w:t>Historia Francorum qui ceperunt Iherusalem</w:t>
      </w:r>
      <w:r w:rsidR="00114BF0" w:rsidRPr="00A248C3">
        <w:t>, trans. by John Hugh Hill and Laurita L. Hill</w:t>
      </w:r>
      <w:r>
        <w:t xml:space="preserve"> </w:t>
      </w:r>
      <w:r>
        <w:t>(</w:t>
      </w:r>
      <w:r w:rsidRPr="00A248C3">
        <w:t>1968</w:t>
      </w:r>
      <w:r>
        <w:t>)</w:t>
      </w:r>
      <w:r w:rsidR="00114BF0" w:rsidRPr="00A248C3">
        <w:t xml:space="preserve"> </w:t>
      </w:r>
      <w:r>
        <w:t>&lt;</w:t>
      </w:r>
      <w:r w:rsidR="00114BF0" w:rsidRPr="00A248C3">
        <w:t>https://archive.org/details/raymond-of-aguilers/page/51/mode/2up)</w:t>
      </w:r>
      <w:r>
        <w:t xml:space="preserve">&gt; </w:t>
      </w:r>
      <w:r w:rsidRPr="00F220EC">
        <w:t>[accessed 16 February 2025]</w:t>
      </w:r>
    </w:p>
    <w:p w14:paraId="587EF554" w14:textId="61B132B9" w:rsidR="00A248C3" w:rsidRPr="00A248C3" w:rsidRDefault="00A248C3" w:rsidP="005E468A">
      <w:pPr>
        <w:ind w:left="720" w:hanging="720"/>
      </w:pPr>
      <w:r w:rsidRPr="00A248C3">
        <w:t>DeVries, Kelly</w:t>
      </w:r>
      <w:r w:rsidR="00F220EC">
        <w:t>, ‘Review: [Untitled]’,</w:t>
      </w:r>
      <w:r w:rsidRPr="00A248C3">
        <w:t> </w:t>
      </w:r>
      <w:r w:rsidRPr="00A248C3">
        <w:rPr>
          <w:i/>
          <w:iCs/>
        </w:rPr>
        <w:t>Speculum</w:t>
      </w:r>
      <w:r w:rsidRPr="00A248C3">
        <w:t xml:space="preserve">, </w:t>
      </w:r>
      <w:r w:rsidR="00F220EC">
        <w:t>72:1</w:t>
      </w:r>
      <w:r w:rsidRPr="00A248C3">
        <w:t xml:space="preserve"> </w:t>
      </w:r>
      <w:r w:rsidR="00F220EC">
        <w:t>(</w:t>
      </w:r>
      <w:r w:rsidRPr="00A248C3">
        <w:t>1997</w:t>
      </w:r>
      <w:r w:rsidR="00F220EC">
        <w:t>)</w:t>
      </w:r>
      <w:r w:rsidRPr="00A248C3">
        <w:t>, pp. 151–52 </w:t>
      </w:r>
      <w:r w:rsidR="00F220EC">
        <w:t>&lt;DOI:</w:t>
      </w:r>
      <w:r w:rsidRPr="00A248C3">
        <w:t>10.2307/2865896</w:t>
      </w:r>
      <w:r w:rsidR="00F220EC">
        <w:t>&gt;</w:t>
      </w:r>
    </w:p>
    <w:p w14:paraId="46A2D070" w14:textId="2696E514" w:rsidR="00F220EC" w:rsidRDefault="00F220EC" w:rsidP="005E468A">
      <w:pPr>
        <w:ind w:left="720" w:hanging="720"/>
      </w:pPr>
      <w:r w:rsidRPr="00F220EC">
        <w:t>Kostick</w:t>
      </w:r>
      <w:r>
        <w:t>,</w:t>
      </w:r>
      <w:r w:rsidRPr="00F220EC">
        <w:t xml:space="preserve"> </w:t>
      </w:r>
      <w:r w:rsidRPr="00F220EC">
        <w:t xml:space="preserve">Conor, ‘Courage and Cowardice on the First Crusade, 1096-1099’, </w:t>
      </w:r>
      <w:r w:rsidRPr="00F220EC">
        <w:rPr>
          <w:i/>
          <w:iCs/>
        </w:rPr>
        <w:t>War in History</w:t>
      </w:r>
      <w:r w:rsidRPr="00F220EC">
        <w:t>, 20.1 (2013),</w:t>
      </w:r>
      <w:r>
        <w:t xml:space="preserve"> pp. 32-49 &lt;DOI: 101177/0968344512454517&gt;</w:t>
      </w:r>
    </w:p>
    <w:p w14:paraId="7E2AE6A1" w14:textId="7762D1C9" w:rsidR="00F220EC" w:rsidRDefault="00F220EC" w:rsidP="005E468A">
      <w:pPr>
        <w:ind w:left="720" w:hanging="720"/>
      </w:pPr>
      <w:r w:rsidRPr="00F220EC">
        <w:t>Thomas Lecaque, ‘Reading Raymond: The Bible of Le Puy, the Cathedral Library and the Literary Background of the Liber of Raymond of Aguilers’</w:t>
      </w:r>
      <w:r w:rsidRPr="00F220EC">
        <w:rPr>
          <w:i/>
          <w:iCs/>
        </w:rPr>
        <w:t>, The Uses of the Bible in Crusader Sources</w:t>
      </w:r>
      <w:r w:rsidRPr="00F220EC">
        <w:t>, (Brill, 2017), p. 106 &lt;https://brill.com/display/book/9789004341210/B9789004341210_007.xml&gt; [accessed 16 February 2025]</w:t>
      </w:r>
    </w:p>
    <w:p w14:paraId="6D0D5DE6" w14:textId="011B6D94" w:rsidR="00114BF0" w:rsidRPr="00A248C3" w:rsidRDefault="0072244D" w:rsidP="005E468A">
      <w:pPr>
        <w:ind w:left="720" w:hanging="720"/>
      </w:pPr>
      <w:r w:rsidRPr="00A248C3">
        <w:t xml:space="preserve">Morton, Nicholas, ‘The First Crusade and the Conquest of Jerusalem’, </w:t>
      </w:r>
      <w:r w:rsidRPr="00A248C3">
        <w:rPr>
          <w:i/>
          <w:iCs/>
        </w:rPr>
        <w:t>Encountering Islam on the First Crusade</w:t>
      </w:r>
      <w:r w:rsidRPr="00A248C3">
        <w:t> (Cambridge: Cambridge University Press, 2016), pp. 111–89</w:t>
      </w:r>
      <w:r w:rsidRPr="00A248C3">
        <w:t xml:space="preserve"> </w:t>
      </w:r>
      <w:r w:rsidR="00F220EC">
        <w:t>&lt;</w:t>
      </w:r>
      <w:r w:rsidRPr="00A248C3">
        <w:t>https://www.cambridge.org/core/books/abs/encountering-islam-on-the-first-crusade/first-crusade-and-the-conquest-of-jerusalem/F0BCDCA3818B44A9ABB1DEAA2C615A48</w:t>
      </w:r>
      <w:r w:rsidR="00F220EC">
        <w:t>&gt;</w:t>
      </w:r>
      <w:r w:rsidR="005E468A">
        <w:t xml:space="preserve"> </w:t>
      </w:r>
      <w:r w:rsidR="005E468A" w:rsidRPr="00F220EC">
        <w:t>[accessed 16 February 2025]</w:t>
      </w:r>
    </w:p>
    <w:p w14:paraId="737896A1" w14:textId="6D26B282" w:rsidR="00F95089" w:rsidRPr="00A248C3" w:rsidRDefault="0072244D" w:rsidP="005E468A">
      <w:pPr>
        <w:ind w:left="720" w:hanging="720"/>
      </w:pPr>
      <w:r w:rsidRPr="00A248C3">
        <w:t>Tyerman</w:t>
      </w:r>
      <w:r w:rsidRPr="00A248C3">
        <w:t xml:space="preserve">, </w:t>
      </w:r>
      <w:r w:rsidR="00F95089" w:rsidRPr="00A248C3">
        <w:t xml:space="preserve">Christopher, </w:t>
      </w:r>
      <w:r w:rsidR="00F95089" w:rsidRPr="00A248C3">
        <w:rPr>
          <w:i/>
          <w:iCs/>
        </w:rPr>
        <w:t>God’s War</w:t>
      </w:r>
      <w:r w:rsidR="00F95089" w:rsidRPr="00A248C3">
        <w:t>, (</w:t>
      </w:r>
      <w:r w:rsidR="00F220EC">
        <w:t xml:space="preserve">London: </w:t>
      </w:r>
      <w:r w:rsidR="00F95089" w:rsidRPr="00A248C3">
        <w:t>Penguin Books: 2007), p. 3</w:t>
      </w:r>
      <w:r w:rsidR="00F220EC">
        <w:t>1</w:t>
      </w:r>
    </w:p>
    <w:p w14:paraId="638A446A" w14:textId="6C55C886" w:rsidR="00A248C3" w:rsidRDefault="00A248C3" w:rsidP="005E468A">
      <w:pPr>
        <w:pStyle w:val="FootnoteText"/>
        <w:spacing w:after="240" w:line="276" w:lineRule="auto"/>
        <w:ind w:left="720" w:hanging="720"/>
        <w:rPr>
          <w:sz w:val="24"/>
          <w:szCs w:val="24"/>
        </w:rPr>
      </w:pPr>
      <w:r w:rsidRPr="00A248C3">
        <w:rPr>
          <w:sz w:val="24"/>
          <w:szCs w:val="24"/>
        </w:rPr>
        <w:t xml:space="preserve">Peters, Edward, </w:t>
      </w:r>
      <w:r w:rsidR="00F220EC" w:rsidRPr="00F220EC">
        <w:rPr>
          <w:sz w:val="24"/>
          <w:szCs w:val="24"/>
        </w:rPr>
        <w:t xml:space="preserve">‘Pope Urban II at the Council of Clermont, November 27, 1095.’ </w:t>
      </w:r>
      <w:r w:rsidR="00F220EC" w:rsidRPr="00F220EC">
        <w:rPr>
          <w:i/>
          <w:iCs/>
          <w:sz w:val="24"/>
          <w:szCs w:val="24"/>
        </w:rPr>
        <w:t>The First Crusade: “The Chronicle of Fulcher of Chartres” and Other Source Materials</w:t>
      </w:r>
      <w:r w:rsidR="00F220EC" w:rsidRPr="00F220EC">
        <w:rPr>
          <w:sz w:val="24"/>
          <w:szCs w:val="24"/>
        </w:rPr>
        <w:t>, 2nd ed., (Philadelphia: University of Pennsylvania Press, 1998), pp. 25–46. &lt; http://www.jstor.org/stable/j.ctt3fhh0t.6.&gt; [Accessed 16 Feb. 2025]</w:t>
      </w:r>
    </w:p>
    <w:p w14:paraId="7038AF92" w14:textId="5B51EA28" w:rsidR="005E468A" w:rsidRPr="005E468A" w:rsidRDefault="005E468A" w:rsidP="005E468A">
      <w:pPr>
        <w:ind w:left="720" w:hanging="720"/>
      </w:pPr>
      <w:r>
        <w:t xml:space="preserve">Spencer, Stephen J., </w:t>
      </w:r>
      <w:r>
        <w:rPr>
          <w:i/>
          <w:iCs/>
        </w:rPr>
        <w:t>The Uses of the Bible in Crusader Sources</w:t>
      </w:r>
      <w:r>
        <w:t xml:space="preserve"> (Leiden: Brill, 2017) &lt;</w:t>
      </w:r>
      <w:r w:rsidRPr="00A248C3">
        <w:t>https://reviews.history.ac.uk/review/2193/print/</w:t>
      </w:r>
      <w:r>
        <w:t xml:space="preserve">&gt; </w:t>
      </w:r>
      <w:r w:rsidRPr="00F220EC">
        <w:t>[accessed 16 February 2025]</w:t>
      </w:r>
    </w:p>
    <w:p w14:paraId="12E4A0B5" w14:textId="04153213" w:rsidR="00F95089" w:rsidRPr="00A248C3" w:rsidRDefault="00F95089" w:rsidP="000B5775"/>
    <w:sectPr w:rsidR="00F95089" w:rsidRPr="00A248C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C8674A" w14:textId="77777777" w:rsidR="005A4858" w:rsidRDefault="005A4858" w:rsidP="003204FF">
      <w:pPr>
        <w:spacing w:after="0" w:line="240" w:lineRule="auto"/>
      </w:pPr>
      <w:r>
        <w:separator/>
      </w:r>
    </w:p>
  </w:endnote>
  <w:endnote w:type="continuationSeparator" w:id="0">
    <w:p w14:paraId="52FEBAFC" w14:textId="77777777" w:rsidR="005A4858" w:rsidRDefault="005A4858" w:rsidP="003204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218625" w14:textId="77777777" w:rsidR="005A4858" w:rsidRDefault="005A4858" w:rsidP="003204FF">
      <w:pPr>
        <w:spacing w:after="0" w:line="240" w:lineRule="auto"/>
      </w:pPr>
      <w:r>
        <w:separator/>
      </w:r>
    </w:p>
  </w:footnote>
  <w:footnote w:type="continuationSeparator" w:id="0">
    <w:p w14:paraId="0B192475" w14:textId="77777777" w:rsidR="005A4858" w:rsidRDefault="005A4858" w:rsidP="003204FF">
      <w:pPr>
        <w:spacing w:after="0" w:line="240" w:lineRule="auto"/>
      </w:pPr>
      <w:r>
        <w:continuationSeparator/>
      </w:r>
    </w:p>
  </w:footnote>
  <w:footnote w:id="1">
    <w:p w14:paraId="0E253EF6" w14:textId="2CB3758D" w:rsidR="005839D6" w:rsidRPr="00502423" w:rsidRDefault="005839D6" w:rsidP="005839D6">
      <w:pPr>
        <w:spacing w:after="0"/>
      </w:pPr>
      <w:r>
        <w:rPr>
          <w:rStyle w:val="FootnoteReference"/>
        </w:rPr>
        <w:footnoteRef/>
      </w:r>
      <w:r>
        <w:t xml:space="preserve"> </w:t>
      </w:r>
      <w:r w:rsidR="00D726BD" w:rsidRPr="00FC6197">
        <w:rPr>
          <w:sz w:val="20"/>
          <w:szCs w:val="20"/>
        </w:rPr>
        <w:t xml:space="preserve">Christopher Tyerman, </w:t>
      </w:r>
      <w:r w:rsidR="00D726BD" w:rsidRPr="00FC6197">
        <w:rPr>
          <w:i/>
          <w:iCs/>
          <w:sz w:val="20"/>
          <w:szCs w:val="20"/>
        </w:rPr>
        <w:t>God’s War</w:t>
      </w:r>
      <w:r w:rsidR="00D726BD" w:rsidRPr="00FC6197">
        <w:rPr>
          <w:sz w:val="20"/>
          <w:szCs w:val="20"/>
        </w:rPr>
        <w:t>, (</w:t>
      </w:r>
      <w:r w:rsidR="00D726BD" w:rsidRPr="00D726BD">
        <w:rPr>
          <w:sz w:val="20"/>
          <w:szCs w:val="20"/>
        </w:rPr>
        <w:t>London</w:t>
      </w:r>
      <w:r w:rsidR="00D726BD">
        <w:t xml:space="preserve">: </w:t>
      </w:r>
      <w:r w:rsidR="00D726BD" w:rsidRPr="00FC6197">
        <w:rPr>
          <w:sz w:val="20"/>
          <w:szCs w:val="20"/>
        </w:rPr>
        <w:t>Penguin Books</w:t>
      </w:r>
      <w:r w:rsidR="00D726BD">
        <w:t>,</w:t>
      </w:r>
      <w:r w:rsidR="00D726BD" w:rsidRPr="00FC6197">
        <w:rPr>
          <w:sz w:val="20"/>
          <w:szCs w:val="20"/>
        </w:rPr>
        <w:t xml:space="preserve"> 2007), </w:t>
      </w:r>
      <w:r w:rsidRPr="00502423">
        <w:rPr>
          <w:sz w:val="20"/>
          <w:szCs w:val="20"/>
        </w:rPr>
        <w:t xml:space="preserve">p. </w:t>
      </w:r>
      <w:r w:rsidRPr="00502423">
        <w:rPr>
          <w:sz w:val="20"/>
          <w:szCs w:val="20"/>
        </w:rPr>
        <w:t>60.</w:t>
      </w:r>
    </w:p>
  </w:footnote>
  <w:footnote w:id="2">
    <w:p w14:paraId="55936429" w14:textId="251700D6" w:rsidR="005839D6" w:rsidRPr="00502423" w:rsidRDefault="005839D6" w:rsidP="00502423">
      <w:pPr>
        <w:spacing w:after="0"/>
      </w:pPr>
      <w:r w:rsidRPr="00502423">
        <w:rPr>
          <w:rStyle w:val="FootnoteReference"/>
        </w:rPr>
        <w:footnoteRef/>
      </w:r>
      <w:r w:rsidRPr="00502423">
        <w:t xml:space="preserve"> </w:t>
      </w:r>
      <w:r w:rsidR="00030D97" w:rsidRPr="00502423">
        <w:rPr>
          <w:sz w:val="20"/>
          <w:szCs w:val="20"/>
        </w:rPr>
        <w:t>Thomas Lecaque</w:t>
      </w:r>
      <w:r w:rsidR="00030D97" w:rsidRPr="00502423">
        <w:rPr>
          <w:sz w:val="20"/>
          <w:szCs w:val="20"/>
        </w:rPr>
        <w:t xml:space="preserve">, </w:t>
      </w:r>
      <w:r w:rsidR="0027053C">
        <w:rPr>
          <w:sz w:val="20"/>
          <w:szCs w:val="20"/>
        </w:rPr>
        <w:t xml:space="preserve">‘Reading Raymond: The Bible of Le Puy, the Cathedral Library and the Literary Background of the Liber of Raymond of Aguilers’, </w:t>
      </w:r>
      <w:r w:rsidR="0027053C">
        <w:rPr>
          <w:i/>
          <w:iCs/>
          <w:sz w:val="20"/>
          <w:szCs w:val="20"/>
        </w:rPr>
        <w:t>The Uses of the Bible in Crusader Sources</w:t>
      </w:r>
      <w:r w:rsidR="00030D97" w:rsidRPr="00502423">
        <w:rPr>
          <w:sz w:val="20"/>
          <w:szCs w:val="20"/>
        </w:rPr>
        <w:t>, (</w:t>
      </w:r>
      <w:r w:rsidR="00030D97" w:rsidRPr="00502423">
        <w:rPr>
          <w:sz w:val="20"/>
          <w:szCs w:val="20"/>
        </w:rPr>
        <w:t>Brill</w:t>
      </w:r>
      <w:r w:rsidR="0027053C">
        <w:rPr>
          <w:sz w:val="20"/>
          <w:szCs w:val="20"/>
        </w:rPr>
        <w:t>, 2017</w:t>
      </w:r>
      <w:r w:rsidR="00030D97" w:rsidRPr="00502423">
        <w:rPr>
          <w:sz w:val="20"/>
          <w:szCs w:val="20"/>
        </w:rPr>
        <w:t xml:space="preserve">), p. </w:t>
      </w:r>
      <w:r w:rsidR="00030D97" w:rsidRPr="00502423">
        <w:rPr>
          <w:sz w:val="20"/>
          <w:szCs w:val="20"/>
        </w:rPr>
        <w:t>106</w:t>
      </w:r>
      <w:r w:rsidR="00030D97" w:rsidRPr="00502423">
        <w:rPr>
          <w:sz w:val="20"/>
          <w:szCs w:val="20"/>
        </w:rPr>
        <w:t xml:space="preserve"> </w:t>
      </w:r>
      <w:r w:rsidR="00502423" w:rsidRPr="00502423">
        <w:rPr>
          <w:sz w:val="20"/>
          <w:szCs w:val="20"/>
        </w:rPr>
        <w:t>&lt;</w:t>
      </w:r>
      <w:r w:rsidR="00030D97" w:rsidRPr="00502423">
        <w:rPr>
          <w:sz w:val="20"/>
          <w:szCs w:val="20"/>
        </w:rPr>
        <w:t>https://brill.com/display/book/9789004341210/B9789004341210_007.xml</w:t>
      </w:r>
      <w:r w:rsidR="00502423" w:rsidRPr="00502423">
        <w:rPr>
          <w:sz w:val="20"/>
          <w:szCs w:val="20"/>
        </w:rPr>
        <w:t xml:space="preserve">&gt; [accessed </w:t>
      </w:r>
      <w:r w:rsidR="0027053C">
        <w:rPr>
          <w:sz w:val="20"/>
          <w:szCs w:val="20"/>
        </w:rPr>
        <w:t>16 February 2025</w:t>
      </w:r>
      <w:r w:rsidR="00502423" w:rsidRPr="00502423">
        <w:rPr>
          <w:sz w:val="20"/>
          <w:szCs w:val="20"/>
        </w:rPr>
        <w:t>].</w:t>
      </w:r>
    </w:p>
  </w:footnote>
  <w:footnote w:id="3">
    <w:p w14:paraId="77F7C403" w14:textId="32E59B33" w:rsidR="00ED460D" w:rsidRPr="00502423" w:rsidRDefault="005839D6" w:rsidP="00ED460D">
      <w:pPr>
        <w:rPr>
          <w:sz w:val="20"/>
          <w:szCs w:val="20"/>
        </w:rPr>
      </w:pPr>
      <w:r w:rsidRPr="00502423">
        <w:rPr>
          <w:rStyle w:val="FootnoteReference"/>
        </w:rPr>
        <w:footnoteRef/>
      </w:r>
      <w:r w:rsidRPr="00502423">
        <w:t xml:space="preserve"> </w:t>
      </w:r>
      <w:r w:rsidR="00ED460D" w:rsidRPr="00502423">
        <w:rPr>
          <w:sz w:val="20"/>
          <w:szCs w:val="20"/>
        </w:rPr>
        <w:t xml:space="preserve">Raymond d’Aguilers, </w:t>
      </w:r>
      <w:r w:rsidR="00ED460D" w:rsidRPr="0027053C">
        <w:rPr>
          <w:i/>
          <w:iCs/>
          <w:sz w:val="20"/>
          <w:szCs w:val="20"/>
        </w:rPr>
        <w:t>Historia Francorum qui ceperunt Iherusalem</w:t>
      </w:r>
      <w:r w:rsidR="00ED460D" w:rsidRPr="00502423">
        <w:rPr>
          <w:sz w:val="20"/>
          <w:szCs w:val="20"/>
        </w:rPr>
        <w:t xml:space="preserve">, trans. </w:t>
      </w:r>
      <w:r w:rsidR="00ED460D" w:rsidRPr="00502423">
        <w:rPr>
          <w:sz w:val="20"/>
          <w:szCs w:val="20"/>
        </w:rPr>
        <w:t xml:space="preserve">by </w:t>
      </w:r>
      <w:r w:rsidR="00ED460D" w:rsidRPr="00502423">
        <w:rPr>
          <w:sz w:val="20"/>
          <w:szCs w:val="20"/>
        </w:rPr>
        <w:t>John Hugh Hill and Laurita L. Hill</w:t>
      </w:r>
      <w:r w:rsidR="00502423" w:rsidRPr="00502423">
        <w:rPr>
          <w:sz w:val="20"/>
          <w:szCs w:val="20"/>
        </w:rPr>
        <w:t xml:space="preserve"> (1968)</w:t>
      </w:r>
      <w:r w:rsidR="00ED460D" w:rsidRPr="00502423">
        <w:rPr>
          <w:sz w:val="20"/>
          <w:szCs w:val="20"/>
        </w:rPr>
        <w:t xml:space="preserve">, </w:t>
      </w:r>
      <w:r w:rsidR="00502423" w:rsidRPr="00502423">
        <w:rPr>
          <w:sz w:val="20"/>
          <w:szCs w:val="20"/>
        </w:rPr>
        <w:t>&lt;</w:t>
      </w:r>
      <w:r w:rsidR="00ED460D" w:rsidRPr="00502423">
        <w:rPr>
          <w:sz w:val="20"/>
          <w:szCs w:val="20"/>
        </w:rPr>
        <w:t>https://archive.org/details/raymond-of-aguilers/page/51/mode/2up</w:t>
      </w:r>
      <w:r w:rsidR="00502423" w:rsidRPr="00502423">
        <w:rPr>
          <w:sz w:val="20"/>
          <w:szCs w:val="20"/>
        </w:rPr>
        <w:t>&gt;</w:t>
      </w:r>
      <w:r w:rsidR="00ED460D" w:rsidRPr="00502423">
        <w:rPr>
          <w:sz w:val="20"/>
          <w:szCs w:val="20"/>
        </w:rPr>
        <w:t xml:space="preserve">, </w:t>
      </w:r>
      <w:r w:rsidR="00ED460D" w:rsidRPr="00502423">
        <w:rPr>
          <w:sz w:val="20"/>
          <w:szCs w:val="20"/>
        </w:rPr>
        <w:t xml:space="preserve">pp. </w:t>
      </w:r>
      <w:r w:rsidR="00ED460D" w:rsidRPr="00502423">
        <w:rPr>
          <w:sz w:val="20"/>
          <w:szCs w:val="20"/>
        </w:rPr>
        <w:t>51</w:t>
      </w:r>
      <w:r w:rsidR="00ED460D" w:rsidRPr="00502423">
        <w:rPr>
          <w:sz w:val="20"/>
          <w:szCs w:val="20"/>
        </w:rPr>
        <w:t>-</w:t>
      </w:r>
      <w:r w:rsidR="00ED460D" w:rsidRPr="00502423">
        <w:rPr>
          <w:sz w:val="20"/>
          <w:szCs w:val="20"/>
        </w:rPr>
        <w:t>58</w:t>
      </w:r>
      <w:r w:rsidR="00ED460D" w:rsidRPr="00502423">
        <w:rPr>
          <w:sz w:val="20"/>
          <w:szCs w:val="20"/>
        </w:rPr>
        <w:t>.</w:t>
      </w:r>
      <w:r w:rsidR="00502423" w:rsidRPr="00502423">
        <w:rPr>
          <w:sz w:val="20"/>
          <w:szCs w:val="20"/>
        </w:rPr>
        <w:t xml:space="preserve"> </w:t>
      </w:r>
      <w:r w:rsidR="0027053C" w:rsidRPr="00502423">
        <w:rPr>
          <w:sz w:val="20"/>
          <w:szCs w:val="20"/>
        </w:rPr>
        <w:t xml:space="preserve">[accessed </w:t>
      </w:r>
      <w:r w:rsidR="0027053C">
        <w:rPr>
          <w:sz w:val="20"/>
          <w:szCs w:val="20"/>
        </w:rPr>
        <w:t>16 February 2025</w:t>
      </w:r>
      <w:r w:rsidR="0027053C" w:rsidRPr="00502423">
        <w:rPr>
          <w:sz w:val="20"/>
          <w:szCs w:val="20"/>
        </w:rPr>
        <w:t>].</w:t>
      </w:r>
    </w:p>
    <w:p w14:paraId="6C63E7CD" w14:textId="7727B214" w:rsidR="00ED460D" w:rsidRPr="002375B6" w:rsidRDefault="00ED460D" w:rsidP="00ED460D">
      <w:pPr>
        <w:rPr>
          <w:color w:val="0070C0"/>
          <w:sz w:val="20"/>
          <w:szCs w:val="20"/>
        </w:rPr>
      </w:pPr>
    </w:p>
    <w:p w14:paraId="6E17E2FD" w14:textId="4FC09CDB" w:rsidR="005839D6" w:rsidRDefault="005839D6">
      <w:pPr>
        <w:pStyle w:val="FootnoteText"/>
      </w:pPr>
    </w:p>
  </w:footnote>
  <w:footnote w:id="4">
    <w:p w14:paraId="2EA0686A" w14:textId="40781B63" w:rsidR="005839D6" w:rsidRDefault="005839D6">
      <w:pPr>
        <w:pStyle w:val="FootnoteText"/>
      </w:pPr>
      <w:r>
        <w:rPr>
          <w:rStyle w:val="FootnoteReference"/>
        </w:rPr>
        <w:footnoteRef/>
      </w:r>
      <w:r>
        <w:t xml:space="preserve"> </w:t>
      </w:r>
      <w:r w:rsidR="00ED460D" w:rsidRPr="00FC6197">
        <w:t xml:space="preserve">Christopher Tyerman, </w:t>
      </w:r>
      <w:r w:rsidR="00ED460D" w:rsidRPr="00FC6197">
        <w:rPr>
          <w:i/>
          <w:iCs/>
        </w:rPr>
        <w:t>God’s War</w:t>
      </w:r>
      <w:r w:rsidR="00ED460D" w:rsidRPr="00FC6197">
        <w:t xml:space="preserve">, p. </w:t>
      </w:r>
      <w:r w:rsidR="00ED460D" w:rsidRPr="00FC6197">
        <w:t>31.</w:t>
      </w:r>
    </w:p>
  </w:footnote>
  <w:footnote w:id="5">
    <w:p w14:paraId="65B32303" w14:textId="0D9A310B" w:rsidR="005839D6" w:rsidRDefault="005839D6">
      <w:pPr>
        <w:pStyle w:val="FootnoteText"/>
      </w:pPr>
      <w:r>
        <w:rPr>
          <w:rStyle w:val="FootnoteReference"/>
        </w:rPr>
        <w:footnoteRef/>
      </w:r>
      <w:r>
        <w:t xml:space="preserve"> </w:t>
      </w:r>
      <w:r w:rsidR="00D726BD">
        <w:t>Edward Peters</w:t>
      </w:r>
      <w:r w:rsidR="00ED460D" w:rsidRPr="00ED460D">
        <w:t>,</w:t>
      </w:r>
      <w:r w:rsidR="00D726BD">
        <w:t xml:space="preserve"> </w:t>
      </w:r>
      <w:bookmarkStart w:id="0" w:name="_Hlk190628735"/>
      <w:r w:rsidR="0027053C">
        <w:t>‘</w:t>
      </w:r>
      <w:r w:rsidR="00ED460D" w:rsidRPr="00ED460D">
        <w:t>Pope Urban II at the Council of Clermont, November 27, 1095.</w:t>
      </w:r>
      <w:r w:rsidR="0027053C">
        <w:t>’</w:t>
      </w:r>
      <w:r w:rsidR="00ED460D" w:rsidRPr="00ED460D">
        <w:t> </w:t>
      </w:r>
      <w:r w:rsidR="00ED460D" w:rsidRPr="00ED460D">
        <w:rPr>
          <w:i/>
          <w:iCs/>
        </w:rPr>
        <w:t>The First Crusade: “The Chronicle of Fulcher of Chartres” and Other Source Materials</w:t>
      </w:r>
      <w:r w:rsidR="00ED460D" w:rsidRPr="00ED460D">
        <w:t xml:space="preserve">, 2nd ed., </w:t>
      </w:r>
      <w:r w:rsidR="0027053C">
        <w:t xml:space="preserve">(Philadelphia: </w:t>
      </w:r>
      <w:r w:rsidR="00ED460D" w:rsidRPr="00ED460D">
        <w:t>University of Pennsylvania Press, 1998</w:t>
      </w:r>
      <w:r w:rsidR="0027053C">
        <w:t>)</w:t>
      </w:r>
      <w:r w:rsidR="00ED460D" w:rsidRPr="00ED460D">
        <w:t>, pp. 25–46. </w:t>
      </w:r>
      <w:r w:rsidR="0027053C">
        <w:rPr>
          <w:i/>
          <w:iCs/>
        </w:rPr>
        <w:t>&lt;</w:t>
      </w:r>
      <w:r w:rsidR="00ED460D" w:rsidRPr="00ED460D">
        <w:t xml:space="preserve"> http://www.jstor.org/stable/j.ctt3fhh0t.6.</w:t>
      </w:r>
      <w:r w:rsidR="0027053C">
        <w:t>&gt;</w:t>
      </w:r>
      <w:r w:rsidR="00ED460D" w:rsidRPr="00ED460D">
        <w:t xml:space="preserve"> </w:t>
      </w:r>
      <w:r w:rsidR="0027053C">
        <w:t>[</w:t>
      </w:r>
      <w:r w:rsidR="00ED460D" w:rsidRPr="00ED460D">
        <w:t>Accessed 16 Feb. 2025</w:t>
      </w:r>
      <w:r w:rsidR="0027053C">
        <w:t>]</w:t>
      </w:r>
      <w:r w:rsidR="00ED460D" w:rsidRPr="00ED460D">
        <w:t xml:space="preserve">. </w:t>
      </w:r>
      <w:bookmarkEnd w:id="0"/>
    </w:p>
  </w:footnote>
  <w:footnote w:id="6">
    <w:p w14:paraId="46F9D53D" w14:textId="0C8C362F" w:rsidR="005839D6" w:rsidRDefault="005839D6">
      <w:pPr>
        <w:pStyle w:val="FootnoteText"/>
      </w:pPr>
      <w:r>
        <w:rPr>
          <w:rStyle w:val="FootnoteReference"/>
        </w:rPr>
        <w:footnoteRef/>
      </w:r>
      <w:r>
        <w:t xml:space="preserve"> </w:t>
      </w:r>
      <w:r w:rsidR="0027053C" w:rsidRPr="00F220EC">
        <w:t>Conor</w:t>
      </w:r>
      <w:r w:rsidR="0027053C" w:rsidRPr="00F220EC">
        <w:t xml:space="preserve"> </w:t>
      </w:r>
      <w:r w:rsidR="00ED460D" w:rsidRPr="00F220EC">
        <w:t xml:space="preserve">Kostick, </w:t>
      </w:r>
      <w:r w:rsidR="0027053C" w:rsidRPr="00F220EC">
        <w:t>‘</w:t>
      </w:r>
      <w:r w:rsidR="00ED460D" w:rsidRPr="00F220EC">
        <w:t>Courage and Cowardice on the First Crusade</w:t>
      </w:r>
      <w:r w:rsidR="0027053C" w:rsidRPr="00F220EC">
        <w:t xml:space="preserve">, 1096-1099’, </w:t>
      </w:r>
      <w:r w:rsidR="00ED460D" w:rsidRPr="00F220EC">
        <w:rPr>
          <w:i/>
          <w:iCs/>
        </w:rPr>
        <w:t>War in History</w:t>
      </w:r>
      <w:r w:rsidR="00F220EC" w:rsidRPr="00F220EC">
        <w:t xml:space="preserve">, 20.1 </w:t>
      </w:r>
      <w:r w:rsidR="00ED460D" w:rsidRPr="00F220EC">
        <w:t>(2013</w:t>
      </w:r>
      <w:r w:rsidR="00D726BD" w:rsidRPr="00F220EC">
        <w:t>)</w:t>
      </w:r>
      <w:r w:rsidR="00F220EC" w:rsidRPr="00F220EC">
        <w:t>,</w:t>
      </w:r>
      <w:r w:rsidR="00F220EC">
        <w:t xml:space="preserve"> pp. 32-49 &lt;DOI: 101177/0968344512454517&gt;.</w:t>
      </w:r>
    </w:p>
  </w:footnote>
  <w:footnote w:id="7">
    <w:p w14:paraId="03C59620" w14:textId="76A1A410" w:rsidR="005839D6" w:rsidRDefault="005839D6">
      <w:pPr>
        <w:pStyle w:val="FootnoteText"/>
      </w:pPr>
      <w:r>
        <w:rPr>
          <w:rStyle w:val="FootnoteReference"/>
        </w:rPr>
        <w:footnoteRef/>
      </w:r>
      <w:r>
        <w:t xml:space="preserve"> </w:t>
      </w:r>
      <w:r w:rsidR="00502423" w:rsidRPr="00502423">
        <w:t xml:space="preserve">Raymond d’Aguilers, </w:t>
      </w:r>
      <w:r w:rsidR="00502423" w:rsidRPr="00F220EC">
        <w:rPr>
          <w:i/>
          <w:iCs/>
        </w:rPr>
        <w:t>Historia Francorum qui ceperunt Iherusalem</w:t>
      </w:r>
      <w:r w:rsidR="00502423" w:rsidRPr="00502423">
        <w:t>,</w:t>
      </w:r>
      <w:r w:rsidR="00ED460D">
        <w:t xml:space="preserve"> </w:t>
      </w:r>
      <w:r w:rsidR="00ED460D">
        <w:t>p. 23</w:t>
      </w:r>
      <w:r w:rsidR="00F220EC">
        <w:t>.</w:t>
      </w:r>
    </w:p>
  </w:footnote>
  <w:footnote w:id="8">
    <w:p w14:paraId="07C0F83F" w14:textId="1A5FE73F" w:rsidR="005839D6" w:rsidRDefault="005839D6">
      <w:pPr>
        <w:pStyle w:val="FootnoteText"/>
      </w:pPr>
      <w:r>
        <w:rPr>
          <w:rStyle w:val="FootnoteReference"/>
        </w:rPr>
        <w:footnoteRef/>
      </w:r>
      <w:r>
        <w:t xml:space="preserve"> </w:t>
      </w:r>
      <w:r w:rsidR="00F220EC">
        <w:t xml:space="preserve">Ibid. </w:t>
      </w:r>
      <w:r w:rsidR="00ED460D">
        <w:t>p. 59</w:t>
      </w:r>
      <w:r w:rsidR="00F220EC">
        <w:t>.</w:t>
      </w:r>
    </w:p>
  </w:footnote>
  <w:footnote w:id="9">
    <w:p w14:paraId="61F3C062" w14:textId="4EFE5755" w:rsidR="005839D6" w:rsidRDefault="005839D6">
      <w:pPr>
        <w:pStyle w:val="FootnoteText"/>
      </w:pPr>
      <w:r>
        <w:rPr>
          <w:rStyle w:val="FootnoteReference"/>
        </w:rPr>
        <w:footnoteRef/>
      </w:r>
      <w:r>
        <w:t xml:space="preserve"> </w:t>
      </w:r>
      <w:r w:rsidR="00F220EC">
        <w:t>Ibid.</w:t>
      </w:r>
      <w:r w:rsidR="00ED460D">
        <w:t xml:space="preserve"> </w:t>
      </w:r>
      <w:r w:rsidR="00ED460D">
        <w:t>p. 37</w:t>
      </w:r>
      <w:r w:rsidR="00F220EC">
        <w:t xml:space="preserve">. </w:t>
      </w:r>
    </w:p>
  </w:footnote>
  <w:footnote w:id="10">
    <w:p w14:paraId="43F1167F" w14:textId="0E267008" w:rsidR="005839D6" w:rsidRDefault="005839D6">
      <w:pPr>
        <w:pStyle w:val="FootnoteText"/>
      </w:pPr>
      <w:r>
        <w:rPr>
          <w:rStyle w:val="FootnoteReference"/>
        </w:rPr>
        <w:footnoteRef/>
      </w:r>
      <w:r>
        <w:t xml:space="preserve"> </w:t>
      </w:r>
      <w:r w:rsidR="00502423" w:rsidRPr="00502423">
        <w:t xml:space="preserve">Raymond d’Aguilers, </w:t>
      </w:r>
      <w:r w:rsidR="00502423" w:rsidRPr="00F220EC">
        <w:rPr>
          <w:i/>
          <w:iCs/>
        </w:rPr>
        <w:t>Historia Francorum qui ceperunt Iherusalem</w:t>
      </w:r>
      <w:r w:rsidR="00502423" w:rsidRPr="00502423">
        <w:t>,</w:t>
      </w:r>
      <w:r w:rsidR="00ED460D">
        <w:t xml:space="preserve"> p. 71</w:t>
      </w:r>
      <w:r w:rsidR="00F220EC">
        <w:t>.</w:t>
      </w:r>
    </w:p>
  </w:footnote>
  <w:footnote w:id="11">
    <w:p w14:paraId="5EE1E9BB" w14:textId="0BBFA410" w:rsidR="00ED460D" w:rsidRDefault="005839D6">
      <w:pPr>
        <w:pStyle w:val="FootnoteText"/>
      </w:pPr>
      <w:r>
        <w:rPr>
          <w:rStyle w:val="FootnoteReference"/>
        </w:rPr>
        <w:footnoteRef/>
      </w:r>
      <w:r>
        <w:t xml:space="preserve"> </w:t>
      </w:r>
      <w:r w:rsidR="00502423" w:rsidRPr="00502423">
        <w:t xml:space="preserve">Raymond d’Aguilers, </w:t>
      </w:r>
      <w:r w:rsidR="00502423" w:rsidRPr="005E468A">
        <w:rPr>
          <w:i/>
          <w:iCs/>
        </w:rPr>
        <w:t>Historia Francorum qui ceperunt Iherusalem</w:t>
      </w:r>
      <w:r w:rsidR="00502423" w:rsidRPr="00502423">
        <w:t xml:space="preserve">, </w:t>
      </w:r>
      <w:r w:rsidR="00ED460D">
        <w:t>p. 61</w:t>
      </w:r>
      <w:r w:rsidR="00F220EC">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B45A6B" w14:textId="02F46024" w:rsidR="003A2F04" w:rsidRPr="00AA25D4" w:rsidRDefault="003A2F04" w:rsidP="003A2F04">
    <w:pPr>
      <w:pStyle w:val="Header"/>
      <w:rPr>
        <w:b/>
        <w:bCs/>
        <w:color w:val="467886" w:themeColor="hyperlink"/>
        <w:u w:val="single"/>
      </w:rPr>
    </w:pPr>
    <w:r>
      <w:t>Chris Guy</w:t>
    </w:r>
    <w:r>
      <w:tab/>
    </w:r>
    <w:hyperlink r:id="rId1" w:history="1">
      <w:r w:rsidRPr="00E06137">
        <w:rPr>
          <w:rStyle w:val="Hyperlink"/>
          <w:color w:val="auto"/>
          <w:u w:val="none"/>
        </w:rPr>
        <w:t>Crusading in the Middle Ages (</w:t>
      </w:r>
      <w:r w:rsidR="00E06137" w:rsidRPr="00E06137">
        <w:rPr>
          <w:rStyle w:val="Hyperlink"/>
          <w:color w:val="auto"/>
          <w:u w:val="none"/>
        </w:rPr>
        <w:t>HPHI4905</w:t>
      </w:r>
      <w:r w:rsidRPr="00E06137">
        <w:rPr>
          <w:rStyle w:val="Hyperlink"/>
          <w:color w:val="auto"/>
          <w:u w:val="none"/>
        </w:rPr>
        <w:t>)</w:t>
      </w:r>
    </w:hyperlink>
    <w:r w:rsidRPr="00E06137">
      <w:ptab w:relativeTo="margin" w:alignment="right" w:leader="none"/>
    </w:r>
    <w:r w:rsidRPr="00E06137">
      <w:t>1</w:t>
    </w:r>
    <w:r w:rsidRPr="00E06137">
      <w:t>6</w:t>
    </w:r>
    <w:r>
      <w:t>/0</w:t>
    </w:r>
    <w:r>
      <w:t>2</w:t>
    </w:r>
    <w:r>
      <w:t>/2025</w:t>
    </w:r>
  </w:p>
  <w:p w14:paraId="50D28504" w14:textId="77777777" w:rsidR="003A2F04" w:rsidRDefault="003A2F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4FF"/>
    <w:rsid w:val="00030D97"/>
    <w:rsid w:val="000B5775"/>
    <w:rsid w:val="00114BF0"/>
    <w:rsid w:val="001721AE"/>
    <w:rsid w:val="001F7D8B"/>
    <w:rsid w:val="0027053C"/>
    <w:rsid w:val="00274B8A"/>
    <w:rsid w:val="00281CB4"/>
    <w:rsid w:val="002C63F1"/>
    <w:rsid w:val="0031684D"/>
    <w:rsid w:val="003204FF"/>
    <w:rsid w:val="003A2F04"/>
    <w:rsid w:val="00465A3F"/>
    <w:rsid w:val="004C4525"/>
    <w:rsid w:val="004E2473"/>
    <w:rsid w:val="00502423"/>
    <w:rsid w:val="005839D6"/>
    <w:rsid w:val="005A4858"/>
    <w:rsid w:val="005E468A"/>
    <w:rsid w:val="00685322"/>
    <w:rsid w:val="0072244D"/>
    <w:rsid w:val="00795696"/>
    <w:rsid w:val="007D31DF"/>
    <w:rsid w:val="009D5044"/>
    <w:rsid w:val="00A248C3"/>
    <w:rsid w:val="00B37031"/>
    <w:rsid w:val="00BC4E5C"/>
    <w:rsid w:val="00BD1B38"/>
    <w:rsid w:val="00C16EE1"/>
    <w:rsid w:val="00C60D90"/>
    <w:rsid w:val="00D726BD"/>
    <w:rsid w:val="00D85136"/>
    <w:rsid w:val="00E06137"/>
    <w:rsid w:val="00ED460D"/>
    <w:rsid w:val="00F12513"/>
    <w:rsid w:val="00F220EC"/>
    <w:rsid w:val="00F95089"/>
    <w:rsid w:val="00FC6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1AA9DE"/>
  <w15:chartTrackingRefBased/>
  <w15:docId w15:val="{B039BBCA-D882-4B7E-80CA-8A71688F6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04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04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04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04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04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04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04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04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04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4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04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04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04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04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04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04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04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04FF"/>
    <w:rPr>
      <w:rFonts w:eastAsiaTheme="majorEastAsia" w:cstheme="majorBidi"/>
      <w:color w:val="272727" w:themeColor="text1" w:themeTint="D8"/>
    </w:rPr>
  </w:style>
  <w:style w:type="paragraph" w:styleId="Title">
    <w:name w:val="Title"/>
    <w:basedOn w:val="Normal"/>
    <w:next w:val="Normal"/>
    <w:link w:val="TitleChar"/>
    <w:uiPriority w:val="10"/>
    <w:qFormat/>
    <w:rsid w:val="003204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04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04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04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04FF"/>
    <w:pPr>
      <w:spacing w:before="160"/>
      <w:jc w:val="center"/>
    </w:pPr>
    <w:rPr>
      <w:i/>
      <w:iCs/>
      <w:color w:val="404040" w:themeColor="text1" w:themeTint="BF"/>
    </w:rPr>
  </w:style>
  <w:style w:type="character" w:customStyle="1" w:styleId="QuoteChar">
    <w:name w:val="Quote Char"/>
    <w:basedOn w:val="DefaultParagraphFont"/>
    <w:link w:val="Quote"/>
    <w:uiPriority w:val="29"/>
    <w:rsid w:val="003204FF"/>
    <w:rPr>
      <w:i/>
      <w:iCs/>
      <w:color w:val="404040" w:themeColor="text1" w:themeTint="BF"/>
    </w:rPr>
  </w:style>
  <w:style w:type="paragraph" w:styleId="ListParagraph">
    <w:name w:val="List Paragraph"/>
    <w:basedOn w:val="Normal"/>
    <w:uiPriority w:val="34"/>
    <w:qFormat/>
    <w:rsid w:val="003204FF"/>
    <w:pPr>
      <w:ind w:left="720"/>
      <w:contextualSpacing/>
    </w:pPr>
  </w:style>
  <w:style w:type="character" w:styleId="IntenseEmphasis">
    <w:name w:val="Intense Emphasis"/>
    <w:basedOn w:val="DefaultParagraphFont"/>
    <w:uiPriority w:val="21"/>
    <w:qFormat/>
    <w:rsid w:val="003204FF"/>
    <w:rPr>
      <w:i/>
      <w:iCs/>
      <w:color w:val="0F4761" w:themeColor="accent1" w:themeShade="BF"/>
    </w:rPr>
  </w:style>
  <w:style w:type="paragraph" w:styleId="IntenseQuote">
    <w:name w:val="Intense Quote"/>
    <w:basedOn w:val="Normal"/>
    <w:next w:val="Normal"/>
    <w:link w:val="IntenseQuoteChar"/>
    <w:uiPriority w:val="30"/>
    <w:qFormat/>
    <w:rsid w:val="003204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04FF"/>
    <w:rPr>
      <w:i/>
      <w:iCs/>
      <w:color w:val="0F4761" w:themeColor="accent1" w:themeShade="BF"/>
    </w:rPr>
  </w:style>
  <w:style w:type="character" w:styleId="IntenseReference">
    <w:name w:val="Intense Reference"/>
    <w:basedOn w:val="DefaultParagraphFont"/>
    <w:uiPriority w:val="32"/>
    <w:qFormat/>
    <w:rsid w:val="003204FF"/>
    <w:rPr>
      <w:b/>
      <w:bCs/>
      <w:smallCaps/>
      <w:color w:val="0F4761" w:themeColor="accent1" w:themeShade="BF"/>
      <w:spacing w:val="5"/>
    </w:rPr>
  </w:style>
  <w:style w:type="paragraph" w:styleId="Header">
    <w:name w:val="header"/>
    <w:basedOn w:val="Normal"/>
    <w:link w:val="HeaderChar"/>
    <w:uiPriority w:val="99"/>
    <w:unhideWhenUsed/>
    <w:rsid w:val="003204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4FF"/>
  </w:style>
  <w:style w:type="paragraph" w:styleId="Footer">
    <w:name w:val="footer"/>
    <w:basedOn w:val="Normal"/>
    <w:link w:val="FooterChar"/>
    <w:uiPriority w:val="99"/>
    <w:unhideWhenUsed/>
    <w:rsid w:val="003204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4FF"/>
  </w:style>
  <w:style w:type="character" w:styleId="Hyperlink">
    <w:name w:val="Hyperlink"/>
    <w:basedOn w:val="DefaultParagraphFont"/>
    <w:uiPriority w:val="99"/>
    <w:unhideWhenUsed/>
    <w:rsid w:val="000B5775"/>
    <w:rPr>
      <w:color w:val="467886" w:themeColor="hyperlink"/>
      <w:u w:val="single"/>
    </w:rPr>
  </w:style>
  <w:style w:type="character" w:styleId="UnresolvedMention">
    <w:name w:val="Unresolved Mention"/>
    <w:basedOn w:val="DefaultParagraphFont"/>
    <w:uiPriority w:val="99"/>
    <w:semiHidden/>
    <w:unhideWhenUsed/>
    <w:rsid w:val="000B5775"/>
    <w:rPr>
      <w:color w:val="605E5C"/>
      <w:shd w:val="clear" w:color="auto" w:fill="E1DFDD"/>
    </w:rPr>
  </w:style>
  <w:style w:type="character" w:styleId="CommentReference">
    <w:name w:val="annotation reference"/>
    <w:basedOn w:val="DefaultParagraphFont"/>
    <w:uiPriority w:val="99"/>
    <w:semiHidden/>
    <w:unhideWhenUsed/>
    <w:rsid w:val="000B5775"/>
    <w:rPr>
      <w:sz w:val="16"/>
      <w:szCs w:val="16"/>
    </w:rPr>
  </w:style>
  <w:style w:type="paragraph" w:styleId="CommentText">
    <w:name w:val="annotation text"/>
    <w:basedOn w:val="Normal"/>
    <w:link w:val="CommentTextChar"/>
    <w:uiPriority w:val="99"/>
    <w:unhideWhenUsed/>
    <w:rsid w:val="000B5775"/>
    <w:pPr>
      <w:spacing w:line="240" w:lineRule="auto"/>
    </w:pPr>
    <w:rPr>
      <w:sz w:val="20"/>
      <w:szCs w:val="20"/>
    </w:rPr>
  </w:style>
  <w:style w:type="character" w:customStyle="1" w:styleId="CommentTextChar">
    <w:name w:val="Comment Text Char"/>
    <w:basedOn w:val="DefaultParagraphFont"/>
    <w:link w:val="CommentText"/>
    <w:uiPriority w:val="99"/>
    <w:rsid w:val="000B5775"/>
    <w:rPr>
      <w:sz w:val="20"/>
      <w:szCs w:val="20"/>
    </w:rPr>
  </w:style>
  <w:style w:type="paragraph" w:styleId="CommentSubject">
    <w:name w:val="annotation subject"/>
    <w:basedOn w:val="CommentText"/>
    <w:next w:val="CommentText"/>
    <w:link w:val="CommentSubjectChar"/>
    <w:uiPriority w:val="99"/>
    <w:semiHidden/>
    <w:unhideWhenUsed/>
    <w:rsid w:val="000B5775"/>
    <w:rPr>
      <w:b/>
      <w:bCs/>
    </w:rPr>
  </w:style>
  <w:style w:type="character" w:customStyle="1" w:styleId="CommentSubjectChar">
    <w:name w:val="Comment Subject Char"/>
    <w:basedOn w:val="CommentTextChar"/>
    <w:link w:val="CommentSubject"/>
    <w:uiPriority w:val="99"/>
    <w:semiHidden/>
    <w:rsid w:val="000B5775"/>
    <w:rPr>
      <w:b/>
      <w:bCs/>
      <w:sz w:val="20"/>
      <w:szCs w:val="20"/>
    </w:rPr>
  </w:style>
  <w:style w:type="paragraph" w:styleId="Revision">
    <w:name w:val="Revision"/>
    <w:hidden/>
    <w:uiPriority w:val="99"/>
    <w:semiHidden/>
    <w:rsid w:val="00465A3F"/>
    <w:pPr>
      <w:spacing w:after="0" w:line="240" w:lineRule="auto"/>
    </w:pPr>
  </w:style>
  <w:style w:type="paragraph" w:styleId="FootnoteText">
    <w:name w:val="footnote text"/>
    <w:basedOn w:val="Normal"/>
    <w:link w:val="FootnoteTextChar"/>
    <w:uiPriority w:val="99"/>
    <w:unhideWhenUsed/>
    <w:rsid w:val="005839D6"/>
    <w:pPr>
      <w:spacing w:after="0" w:line="240" w:lineRule="auto"/>
    </w:pPr>
    <w:rPr>
      <w:sz w:val="20"/>
      <w:szCs w:val="20"/>
    </w:rPr>
  </w:style>
  <w:style w:type="character" w:customStyle="1" w:styleId="FootnoteTextChar">
    <w:name w:val="Footnote Text Char"/>
    <w:basedOn w:val="DefaultParagraphFont"/>
    <w:link w:val="FootnoteText"/>
    <w:uiPriority w:val="99"/>
    <w:rsid w:val="005839D6"/>
    <w:rPr>
      <w:sz w:val="20"/>
      <w:szCs w:val="20"/>
    </w:rPr>
  </w:style>
  <w:style w:type="character" w:styleId="FootnoteReference">
    <w:name w:val="footnote reference"/>
    <w:basedOn w:val="DefaultParagraphFont"/>
    <w:uiPriority w:val="99"/>
    <w:semiHidden/>
    <w:unhideWhenUsed/>
    <w:rsid w:val="005839D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676211">
      <w:bodyDiv w:val="1"/>
      <w:marLeft w:val="0"/>
      <w:marRight w:val="0"/>
      <w:marTop w:val="0"/>
      <w:marBottom w:val="0"/>
      <w:divBdr>
        <w:top w:val="none" w:sz="0" w:space="0" w:color="auto"/>
        <w:left w:val="none" w:sz="0" w:space="0" w:color="auto"/>
        <w:bottom w:val="none" w:sz="0" w:space="0" w:color="auto"/>
        <w:right w:val="none" w:sz="0" w:space="0" w:color="auto"/>
      </w:divBdr>
    </w:div>
    <w:div w:id="291635450">
      <w:bodyDiv w:val="1"/>
      <w:marLeft w:val="0"/>
      <w:marRight w:val="0"/>
      <w:marTop w:val="0"/>
      <w:marBottom w:val="0"/>
      <w:divBdr>
        <w:top w:val="none" w:sz="0" w:space="0" w:color="auto"/>
        <w:left w:val="none" w:sz="0" w:space="0" w:color="auto"/>
        <w:bottom w:val="none" w:sz="0" w:space="0" w:color="auto"/>
        <w:right w:val="none" w:sz="0" w:space="0" w:color="auto"/>
      </w:divBdr>
      <w:divsChild>
        <w:div w:id="421101382">
          <w:marLeft w:val="0"/>
          <w:marRight w:val="0"/>
          <w:marTop w:val="0"/>
          <w:marBottom w:val="0"/>
          <w:divBdr>
            <w:top w:val="none" w:sz="0" w:space="0" w:color="auto"/>
            <w:left w:val="none" w:sz="0" w:space="0" w:color="auto"/>
            <w:bottom w:val="none" w:sz="0" w:space="0" w:color="auto"/>
            <w:right w:val="none" w:sz="0" w:space="0" w:color="auto"/>
          </w:divBdr>
        </w:div>
        <w:div w:id="1381785400">
          <w:marLeft w:val="0"/>
          <w:marRight w:val="0"/>
          <w:marTop w:val="0"/>
          <w:marBottom w:val="0"/>
          <w:divBdr>
            <w:top w:val="none" w:sz="0" w:space="0" w:color="auto"/>
            <w:left w:val="none" w:sz="0" w:space="0" w:color="auto"/>
            <w:bottom w:val="none" w:sz="0" w:space="0" w:color="auto"/>
            <w:right w:val="none" w:sz="0" w:space="0" w:color="auto"/>
          </w:divBdr>
        </w:div>
      </w:divsChild>
    </w:div>
    <w:div w:id="299654072">
      <w:bodyDiv w:val="1"/>
      <w:marLeft w:val="0"/>
      <w:marRight w:val="0"/>
      <w:marTop w:val="0"/>
      <w:marBottom w:val="0"/>
      <w:divBdr>
        <w:top w:val="none" w:sz="0" w:space="0" w:color="auto"/>
        <w:left w:val="none" w:sz="0" w:space="0" w:color="auto"/>
        <w:bottom w:val="none" w:sz="0" w:space="0" w:color="auto"/>
        <w:right w:val="none" w:sz="0" w:space="0" w:color="auto"/>
      </w:divBdr>
    </w:div>
    <w:div w:id="353506960">
      <w:bodyDiv w:val="1"/>
      <w:marLeft w:val="0"/>
      <w:marRight w:val="0"/>
      <w:marTop w:val="0"/>
      <w:marBottom w:val="0"/>
      <w:divBdr>
        <w:top w:val="none" w:sz="0" w:space="0" w:color="auto"/>
        <w:left w:val="none" w:sz="0" w:space="0" w:color="auto"/>
        <w:bottom w:val="none" w:sz="0" w:space="0" w:color="auto"/>
        <w:right w:val="none" w:sz="0" w:space="0" w:color="auto"/>
      </w:divBdr>
    </w:div>
    <w:div w:id="476998312">
      <w:bodyDiv w:val="1"/>
      <w:marLeft w:val="0"/>
      <w:marRight w:val="0"/>
      <w:marTop w:val="0"/>
      <w:marBottom w:val="0"/>
      <w:divBdr>
        <w:top w:val="none" w:sz="0" w:space="0" w:color="auto"/>
        <w:left w:val="none" w:sz="0" w:space="0" w:color="auto"/>
        <w:bottom w:val="none" w:sz="0" w:space="0" w:color="auto"/>
        <w:right w:val="none" w:sz="0" w:space="0" w:color="auto"/>
      </w:divBdr>
    </w:div>
    <w:div w:id="851650463">
      <w:bodyDiv w:val="1"/>
      <w:marLeft w:val="0"/>
      <w:marRight w:val="0"/>
      <w:marTop w:val="0"/>
      <w:marBottom w:val="0"/>
      <w:divBdr>
        <w:top w:val="none" w:sz="0" w:space="0" w:color="auto"/>
        <w:left w:val="none" w:sz="0" w:space="0" w:color="auto"/>
        <w:bottom w:val="none" w:sz="0" w:space="0" w:color="auto"/>
        <w:right w:val="none" w:sz="0" w:space="0" w:color="auto"/>
      </w:divBdr>
    </w:div>
    <w:div w:id="1084961508">
      <w:bodyDiv w:val="1"/>
      <w:marLeft w:val="0"/>
      <w:marRight w:val="0"/>
      <w:marTop w:val="0"/>
      <w:marBottom w:val="0"/>
      <w:divBdr>
        <w:top w:val="none" w:sz="0" w:space="0" w:color="auto"/>
        <w:left w:val="none" w:sz="0" w:space="0" w:color="auto"/>
        <w:bottom w:val="none" w:sz="0" w:space="0" w:color="auto"/>
        <w:right w:val="none" w:sz="0" w:space="0" w:color="auto"/>
      </w:divBdr>
    </w:div>
    <w:div w:id="1107891296">
      <w:bodyDiv w:val="1"/>
      <w:marLeft w:val="0"/>
      <w:marRight w:val="0"/>
      <w:marTop w:val="0"/>
      <w:marBottom w:val="0"/>
      <w:divBdr>
        <w:top w:val="none" w:sz="0" w:space="0" w:color="auto"/>
        <w:left w:val="none" w:sz="0" w:space="0" w:color="auto"/>
        <w:bottom w:val="none" w:sz="0" w:space="0" w:color="auto"/>
        <w:right w:val="none" w:sz="0" w:space="0" w:color="auto"/>
      </w:divBdr>
    </w:div>
    <w:div w:id="1199048069">
      <w:bodyDiv w:val="1"/>
      <w:marLeft w:val="0"/>
      <w:marRight w:val="0"/>
      <w:marTop w:val="0"/>
      <w:marBottom w:val="0"/>
      <w:divBdr>
        <w:top w:val="none" w:sz="0" w:space="0" w:color="auto"/>
        <w:left w:val="none" w:sz="0" w:space="0" w:color="auto"/>
        <w:bottom w:val="none" w:sz="0" w:space="0" w:color="auto"/>
        <w:right w:val="none" w:sz="0" w:space="0" w:color="auto"/>
      </w:divBdr>
    </w:div>
    <w:div w:id="1342509281">
      <w:bodyDiv w:val="1"/>
      <w:marLeft w:val="0"/>
      <w:marRight w:val="0"/>
      <w:marTop w:val="0"/>
      <w:marBottom w:val="0"/>
      <w:divBdr>
        <w:top w:val="none" w:sz="0" w:space="0" w:color="auto"/>
        <w:left w:val="none" w:sz="0" w:space="0" w:color="auto"/>
        <w:bottom w:val="none" w:sz="0" w:space="0" w:color="auto"/>
        <w:right w:val="none" w:sz="0" w:space="0" w:color="auto"/>
      </w:divBdr>
    </w:div>
    <w:div w:id="1482771979">
      <w:bodyDiv w:val="1"/>
      <w:marLeft w:val="0"/>
      <w:marRight w:val="0"/>
      <w:marTop w:val="0"/>
      <w:marBottom w:val="0"/>
      <w:divBdr>
        <w:top w:val="none" w:sz="0" w:space="0" w:color="auto"/>
        <w:left w:val="none" w:sz="0" w:space="0" w:color="auto"/>
        <w:bottom w:val="none" w:sz="0" w:space="0" w:color="auto"/>
        <w:right w:val="none" w:sz="0" w:space="0" w:color="auto"/>
      </w:divBdr>
    </w:div>
    <w:div w:id="1485974645">
      <w:bodyDiv w:val="1"/>
      <w:marLeft w:val="0"/>
      <w:marRight w:val="0"/>
      <w:marTop w:val="0"/>
      <w:marBottom w:val="0"/>
      <w:divBdr>
        <w:top w:val="none" w:sz="0" w:space="0" w:color="auto"/>
        <w:left w:val="none" w:sz="0" w:space="0" w:color="auto"/>
        <w:bottom w:val="none" w:sz="0" w:space="0" w:color="auto"/>
        <w:right w:val="none" w:sz="0" w:space="0" w:color="auto"/>
      </w:divBdr>
    </w:div>
    <w:div w:id="1653832224">
      <w:bodyDiv w:val="1"/>
      <w:marLeft w:val="0"/>
      <w:marRight w:val="0"/>
      <w:marTop w:val="0"/>
      <w:marBottom w:val="0"/>
      <w:divBdr>
        <w:top w:val="none" w:sz="0" w:space="0" w:color="auto"/>
        <w:left w:val="none" w:sz="0" w:space="0" w:color="auto"/>
        <w:bottom w:val="none" w:sz="0" w:space="0" w:color="auto"/>
        <w:right w:val="none" w:sz="0" w:space="0" w:color="auto"/>
      </w:divBdr>
      <w:divsChild>
        <w:div w:id="985621007">
          <w:marLeft w:val="0"/>
          <w:marRight w:val="0"/>
          <w:marTop w:val="0"/>
          <w:marBottom w:val="0"/>
          <w:divBdr>
            <w:top w:val="none" w:sz="0" w:space="0" w:color="auto"/>
            <w:left w:val="none" w:sz="0" w:space="0" w:color="auto"/>
            <w:bottom w:val="none" w:sz="0" w:space="0" w:color="auto"/>
            <w:right w:val="none" w:sz="0" w:space="0" w:color="auto"/>
          </w:divBdr>
        </w:div>
        <w:div w:id="2061593210">
          <w:marLeft w:val="0"/>
          <w:marRight w:val="0"/>
          <w:marTop w:val="0"/>
          <w:marBottom w:val="0"/>
          <w:divBdr>
            <w:top w:val="none" w:sz="0" w:space="0" w:color="auto"/>
            <w:left w:val="none" w:sz="0" w:space="0" w:color="auto"/>
            <w:bottom w:val="none" w:sz="0" w:space="0" w:color="auto"/>
            <w:right w:val="none" w:sz="0" w:space="0" w:color="auto"/>
          </w:divBdr>
        </w:div>
      </w:divsChild>
    </w:div>
    <w:div w:id="1700470407">
      <w:bodyDiv w:val="1"/>
      <w:marLeft w:val="0"/>
      <w:marRight w:val="0"/>
      <w:marTop w:val="0"/>
      <w:marBottom w:val="0"/>
      <w:divBdr>
        <w:top w:val="none" w:sz="0" w:space="0" w:color="auto"/>
        <w:left w:val="none" w:sz="0" w:space="0" w:color="auto"/>
        <w:bottom w:val="none" w:sz="0" w:space="0" w:color="auto"/>
        <w:right w:val="none" w:sz="0" w:space="0" w:color="auto"/>
      </w:divBdr>
    </w:div>
    <w:div w:id="1903443929">
      <w:bodyDiv w:val="1"/>
      <w:marLeft w:val="0"/>
      <w:marRight w:val="0"/>
      <w:marTop w:val="0"/>
      <w:marBottom w:val="0"/>
      <w:divBdr>
        <w:top w:val="none" w:sz="0" w:space="0" w:color="auto"/>
        <w:left w:val="none" w:sz="0" w:space="0" w:color="auto"/>
        <w:bottom w:val="none" w:sz="0" w:space="0" w:color="auto"/>
        <w:right w:val="none" w:sz="0" w:space="0" w:color="auto"/>
      </w:divBdr>
    </w:div>
    <w:div w:id="1906527947">
      <w:bodyDiv w:val="1"/>
      <w:marLeft w:val="0"/>
      <w:marRight w:val="0"/>
      <w:marTop w:val="0"/>
      <w:marBottom w:val="0"/>
      <w:divBdr>
        <w:top w:val="none" w:sz="0" w:space="0" w:color="auto"/>
        <w:left w:val="none" w:sz="0" w:space="0" w:color="auto"/>
        <w:bottom w:val="none" w:sz="0" w:space="0" w:color="auto"/>
        <w:right w:val="none" w:sz="0" w:space="0" w:color="auto"/>
      </w:divBdr>
    </w:div>
    <w:div w:id="1952934686">
      <w:bodyDiv w:val="1"/>
      <w:marLeft w:val="0"/>
      <w:marRight w:val="0"/>
      <w:marTop w:val="0"/>
      <w:marBottom w:val="0"/>
      <w:divBdr>
        <w:top w:val="none" w:sz="0" w:space="0" w:color="auto"/>
        <w:left w:val="none" w:sz="0" w:space="0" w:color="auto"/>
        <w:bottom w:val="none" w:sz="0" w:space="0" w:color="auto"/>
        <w:right w:val="none" w:sz="0" w:space="0" w:color="auto"/>
      </w:divBdr>
    </w:div>
    <w:div w:id="2089619149">
      <w:bodyDiv w:val="1"/>
      <w:marLeft w:val="0"/>
      <w:marRight w:val="0"/>
      <w:marTop w:val="0"/>
      <w:marBottom w:val="0"/>
      <w:divBdr>
        <w:top w:val="none" w:sz="0" w:space="0" w:color="auto"/>
        <w:left w:val="none" w:sz="0" w:space="0" w:color="auto"/>
        <w:bottom w:val="none" w:sz="0" w:space="0" w:color="auto"/>
        <w:right w:val="none" w:sz="0" w:space="0" w:color="auto"/>
      </w:divBdr>
    </w:div>
    <w:div w:id="2117940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hyperlink" Target="https://moodle.uwtsd.ac.uk/course/view.php?id=101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Tye06</b:Tag>
    <b:SourceType>BookSection</b:SourceType>
    <b:Guid>{3A9004D8-AE1B-4B5B-B428-EF3D93A8FE19}</b:Guid>
    <b:Author>
      <b:Author>
        <b:NameList>
          <b:Person>
            <b:Last>Tyerman</b:Last>
            <b:First>Christopher</b:First>
          </b:Person>
        </b:NameList>
      </b:Author>
    </b:Author>
    <b:Year>2006</b:Year>
    <b:BookTitle>God's War</b:BookTitle>
    <b:Pages>60</b:Pages>
    <b:Publisher>Penguin Books</b:Publisher>
    <b:RefOrder>1</b:RefOrder>
  </b:Source>
</b:Sources>
</file>

<file path=customXml/itemProps1.xml><?xml version="1.0" encoding="utf-8"?>
<ds:datastoreItem xmlns:ds="http://schemas.openxmlformats.org/officeDocument/2006/customXml" ds:itemID="{FDD7AB35-F1DA-4D6E-BEFD-36CFB6FA43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5276</TotalTime>
  <Pages>4</Pages>
  <Words>1302</Words>
  <Characters>7425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Guy (2404993)</dc:creator>
  <cp:keywords/>
  <dc:description/>
  <cp:lastModifiedBy>Chris Guy (2404993)</cp:lastModifiedBy>
  <cp:revision>10</cp:revision>
  <dcterms:created xsi:type="dcterms:W3CDTF">2025-02-10T17:36:00Z</dcterms:created>
  <dcterms:modified xsi:type="dcterms:W3CDTF">2025-02-16T20:23:00Z</dcterms:modified>
</cp:coreProperties>
</file>