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A1600" w14:textId="5EE6E776" w:rsidR="001F003A" w:rsidRPr="00AF4867" w:rsidRDefault="001F003A" w:rsidP="003B435D">
      <w:pPr>
        <w:pStyle w:val="Textbody"/>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FAE70C" w14:textId="6924BF33" w:rsidR="001F003A" w:rsidRPr="00AF4867" w:rsidRDefault="001F003A" w:rsidP="00E64CCA">
      <w:pPr>
        <w:pStyle w:val="Textbody"/>
        <w:spacing w:line="276"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7EAAAD" w14:textId="47205A1D" w:rsidR="001F003A" w:rsidRPr="00AF4867" w:rsidRDefault="001F003A" w:rsidP="00E64CCA">
      <w:pPr>
        <w:pStyle w:val="Textbody"/>
        <w:spacing w:line="276"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86C045" w14:textId="012D61B3" w:rsidR="00AF4867" w:rsidRDefault="00AF4867" w:rsidP="00AF4867">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509BE55" wp14:editId="15657126">
            <wp:extent cx="4230622" cy="1413510"/>
            <wp:effectExtent l="0" t="0" r="0" b="0"/>
            <wp:docPr id="1513368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68358" name=""/>
                    <pic:cNvPicPr/>
                  </pic:nvPicPr>
                  <pic:blipFill>
                    <a:blip r:embed="rId8"/>
                    <a:stretch>
                      <a:fillRect/>
                    </a:stretch>
                  </pic:blipFill>
                  <pic:spPr>
                    <a:xfrm>
                      <a:off x="0" y="0"/>
                      <a:ext cx="4243577" cy="1417838"/>
                    </a:xfrm>
                    <a:prstGeom prst="rect">
                      <a:avLst/>
                    </a:prstGeom>
                  </pic:spPr>
                </pic:pic>
              </a:graphicData>
            </a:graphic>
          </wp:inline>
        </w:drawing>
      </w:r>
    </w:p>
    <w:p w14:paraId="4EA54458" w14:textId="4086E41A" w:rsidR="00AF4867" w:rsidRDefault="00AF4867" w:rsidP="003B435D">
      <w:pPr>
        <w:pStyle w:val="Textbody"/>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3907B" w14:textId="7A2C404D" w:rsidR="00AF4867" w:rsidRDefault="00AF4867" w:rsidP="00AF4867">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9267CC" w14:textId="31E99D8D" w:rsidR="001F003A" w:rsidRPr="00AF4867" w:rsidRDefault="001F003A" w:rsidP="00AF4867">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MASTERS OF BUSINESS ADMINISTRATION (MBA)</w:t>
      </w:r>
    </w:p>
    <w:p w14:paraId="65A4B168" w14:textId="77777777" w:rsidR="001F003A" w:rsidRPr="00AF4867" w:rsidRDefault="001F003A" w:rsidP="003B435D">
      <w:pPr>
        <w:pStyle w:val="Textbody"/>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36DABD" w14:textId="61B5F505" w:rsidR="001F003A" w:rsidRPr="00AF4867" w:rsidRDefault="001F003A"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w:t>
      </w: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w:t>
      </w:r>
      <w:proofErr w:type="gramEnd"/>
    </w:p>
    <w:p w14:paraId="1B195D32" w14:textId="77777777" w:rsidR="003B435D" w:rsidRPr="00AF4867" w:rsidRDefault="003B435D"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4350C3" w14:textId="79913042" w:rsidR="001F003A" w:rsidRPr="00AF4867" w:rsidRDefault="001F003A"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 LCMB70</w:t>
      </w: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p>
    <w:p w14:paraId="4F83436C" w14:textId="77777777" w:rsidR="00AF4867" w:rsidRDefault="00AF4867"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DA77D8" w14:textId="3D21A9FE" w:rsidR="001F003A" w:rsidRPr="00AF4867" w:rsidRDefault="001F003A"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 </w:t>
      </w: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PATRICK YEBOAH</w:t>
      </w:r>
    </w:p>
    <w:p w14:paraId="3064037C" w14:textId="77777777" w:rsidR="003B435D" w:rsidRPr="00AF4867" w:rsidRDefault="003B435D" w:rsidP="003B435D">
      <w:pPr>
        <w:pStyle w:val="Textbody"/>
        <w:spacing w:line="48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D63172" w14:textId="29E51FF8" w:rsidR="00AF4867" w:rsidRDefault="001F003A" w:rsidP="00AF4867">
      <w:pPr>
        <w:pStyle w:val="Textbody"/>
        <w:spacing w:line="48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COMPONENT</w:t>
      </w:r>
    </w:p>
    <w:p w14:paraId="0D9D61DE" w14:textId="10D73623" w:rsidR="001F003A" w:rsidRPr="00AF4867" w:rsidRDefault="001F003A" w:rsidP="00AF4867">
      <w:pPr>
        <w:pStyle w:val="Textbody"/>
        <w:spacing w:line="48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 PERFORMANCE</w:t>
      </w:r>
      <w:r w:rsidR="003B435D"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3B435D"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p>
    <w:p w14:paraId="4AA8AF5F" w14:textId="77777777" w:rsidR="00AF4867" w:rsidRDefault="00AF4867" w:rsidP="00AF4867">
      <w:pPr>
        <w:pStyle w:val="Textbody"/>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C0429C" w14:textId="23C7FFAF" w:rsidR="001F003A" w:rsidRPr="00AF4867" w:rsidRDefault="001F003A" w:rsidP="00AF4867">
      <w:pPr>
        <w:pStyle w:val="Textbody"/>
        <w:spacing w:line="360" w:lineRule="auto"/>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_____________________________________</w:t>
      </w:r>
    </w:p>
    <w:p w14:paraId="7EE6A30E" w14:textId="77777777" w:rsidR="00AF4867" w:rsidRDefault="00AF4867"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C84705" w14:textId="64C6B32A" w:rsidR="001F003A" w:rsidRPr="00AF4867" w:rsidRDefault="001F003A" w:rsidP="00AF4867">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SUBMITTED</w:t>
      </w:r>
    </w:p>
    <w:p w14:paraId="11595752" w14:textId="0D57E780" w:rsidR="001F003A" w:rsidRPr="00AF4867" w:rsidRDefault="001F003A" w:rsidP="003B435D">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t>
      </w:r>
    </w:p>
    <w:p w14:paraId="5D363654" w14:textId="77777777" w:rsidR="00AF4867" w:rsidRDefault="001F003A" w:rsidP="00AF4867">
      <w:pPr>
        <w:pStyle w:val="Textbody"/>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DHRUMILKUMAR</w:t>
      </w:r>
      <w:proofErr w:type="gramEnd"/>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w:t>
      </w:r>
      <w:proofErr w:type="gramStart"/>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MAKRUBIYA )</w:t>
      </w:r>
      <w:proofErr w:type="gramEnd"/>
      <w:r w:rsidRPr="00AF4867">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STUDENT ID – 2536596</w:t>
      </w:r>
    </w:p>
    <w:p w14:paraId="1518593B" w14:textId="1A8AE314" w:rsidR="001F003A" w:rsidRPr="00AF4867" w:rsidRDefault="001F003A" w:rsidP="00AF4867">
      <w:pPr>
        <w:pStyle w:val="Textbody"/>
        <w:spacing w:line="360" w:lineRule="auto"/>
        <w:rPr>
          <w:rFonts w:ascii="Arial" w:hAnsi="Arial" w:cs="Arial"/>
          <w:b/>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bCs/>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6FC0F94C" w14:textId="77777777" w:rsidR="001F003A" w:rsidRPr="00AF4867" w:rsidRDefault="001F003A" w:rsidP="00032799">
      <w:pPr>
        <w:pStyle w:val="TOC1"/>
        <w:rPr>
          <w:rFonts w:ascii="Arial" w:hAnsi="Arial" w:cs="Arial"/>
          <w:sz w:val="24"/>
          <w:szCs w:val="24"/>
        </w:rPr>
      </w:pPr>
      <w:hyperlink w:anchor="_Toc235636645" w:history="1">
        <w:r w:rsidRPr="00AF4867">
          <w:rPr>
            <w:rStyle w:val="Hyperlink"/>
            <w:rFonts w:ascii="Arial" w:hAnsi="Arial" w:cs="Arial"/>
            <w:color w:val="000000" w:themeColor="text1"/>
            <w:sz w:val="24"/>
            <w:szCs w:val="24"/>
            <w:u w:val="none"/>
          </w:rPr>
          <w:t>List of Tables</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_Toc235636645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5928D7B0" w14:textId="77777777" w:rsidR="001F003A" w:rsidRPr="00AF4867" w:rsidRDefault="001F003A" w:rsidP="00032799">
      <w:pPr>
        <w:pStyle w:val="TOC1"/>
        <w:rPr>
          <w:rFonts w:ascii="Arial" w:hAnsi="Arial" w:cs="Arial"/>
          <w:sz w:val="24"/>
          <w:szCs w:val="24"/>
        </w:rPr>
      </w:pPr>
      <w:hyperlink w:anchor="_Toc235636646" w:history="1">
        <w:r w:rsidRPr="00AF4867">
          <w:rPr>
            <w:rStyle w:val="Hyperlink"/>
            <w:rFonts w:ascii="Arial" w:hAnsi="Arial" w:cs="Arial"/>
            <w:color w:val="000000" w:themeColor="text1"/>
            <w:sz w:val="24"/>
            <w:szCs w:val="24"/>
            <w:u w:val="none"/>
          </w:rPr>
          <w:t>1. Introduction</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_Toc235636646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0EE7572D" w14:textId="77777777" w:rsidR="001F003A" w:rsidRPr="00AF4867" w:rsidRDefault="001F003A" w:rsidP="00032799">
      <w:pPr>
        <w:pStyle w:val="TOC1"/>
        <w:rPr>
          <w:rFonts w:ascii="Arial" w:hAnsi="Arial" w:cs="Arial"/>
          <w:sz w:val="24"/>
          <w:szCs w:val="24"/>
        </w:rPr>
      </w:pPr>
      <w:hyperlink w:anchor="_Toc235636647" w:history="1">
        <w:r w:rsidRPr="00AF4867">
          <w:rPr>
            <w:rStyle w:val="Hyperlink"/>
            <w:rFonts w:ascii="Arial" w:hAnsi="Arial" w:cs="Arial"/>
            <w:color w:val="000000" w:themeColor="text1"/>
            <w:sz w:val="24"/>
            <w:szCs w:val="24"/>
            <w:u w:val="none"/>
          </w:rPr>
          <w:t>2. Financial Health Check</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_Toc235636647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5C0823D3"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48"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Five-Year Performance Overview</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_Toc235636648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F53449F"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49"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Ratio Analysis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_Toc235636649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87C61F9"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0"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Trend Analysis and Critical Interpretation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_Toc235636650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6C781F8"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1"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 Profitability</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_Toc235636651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ED1F251"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2"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2.3.2 Liquidity</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_Toc235636652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749E47F"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3"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2.3.3 Efficiency</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_Toc235636653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8CF922A"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4"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2.3.4 Gearing</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_Toc235636654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E270750"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5"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Industry Benchmark Comparison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_Toc235636655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A50486D" w14:textId="77777777" w:rsidR="001F003A" w:rsidRPr="00AF4867" w:rsidRDefault="001F003A" w:rsidP="00032799">
      <w:pPr>
        <w:pStyle w:val="TOC1"/>
        <w:rPr>
          <w:rFonts w:ascii="Arial" w:hAnsi="Arial" w:cs="Arial"/>
          <w:sz w:val="24"/>
          <w:szCs w:val="24"/>
        </w:rPr>
      </w:pPr>
      <w:hyperlink w:anchor="_Toc235636656" w:history="1">
        <w:r w:rsidRPr="00AF4867">
          <w:rPr>
            <w:rStyle w:val="Hyperlink"/>
            <w:rFonts w:ascii="Arial" w:hAnsi="Arial" w:cs="Arial"/>
            <w:color w:val="000000" w:themeColor="text1"/>
            <w:sz w:val="24"/>
            <w:szCs w:val="24"/>
            <w:u w:val="none"/>
          </w:rPr>
          <w:t>3. Working Capital Management Analysis</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_Toc235636656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54F7588F"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7"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Cash Operating Cycle</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_Toc235636657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00D536C"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8"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Strategic Working Capital Improvements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_Toc235636658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A46182D"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59"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3.2.1 Accounts Receivable Management</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_Toc235636659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E1A23D4"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0"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3.2.2 Payable Days Extension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_Toc235636660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BDD5FAC"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1"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3.2.3 Pre-payment and Loyalty Programme Liabilities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_Toc235636661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6AC134A"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2"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Short-term vs Long-term Financing of Working Capital</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_Toc235636662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26CD480" w14:textId="77777777" w:rsidR="001F003A" w:rsidRPr="00AF4867" w:rsidRDefault="001F003A" w:rsidP="00032799">
      <w:pPr>
        <w:pStyle w:val="TOC1"/>
        <w:rPr>
          <w:rFonts w:ascii="Arial" w:hAnsi="Arial" w:cs="Arial"/>
          <w:sz w:val="24"/>
          <w:szCs w:val="24"/>
        </w:rPr>
      </w:pPr>
      <w:hyperlink w:anchor="_Toc235636663" w:history="1">
        <w:r w:rsidRPr="00AF4867">
          <w:rPr>
            <w:rStyle w:val="Hyperlink"/>
            <w:rFonts w:ascii="Arial" w:hAnsi="Arial" w:cs="Arial"/>
            <w:color w:val="000000" w:themeColor="text1"/>
            <w:sz w:val="24"/>
            <w:szCs w:val="24"/>
            <w:u w:val="none"/>
          </w:rPr>
          <w:t>4. Strategic Financial Restructuring Plan</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_Toc235636663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34210B71"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4"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Diagnosis of the Structural Challenge</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_Toc235636664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2C0B8D4"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5"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Recommended Restructuring Options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_Toc235636665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67F817E"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6"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4.2.1 Selective Asset Monetisation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_Toc235636666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497AEF1"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7"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4.2.2 Moderated Capital Return Programme</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_Toc235636667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A1F2A2C"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8"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4.2.3 Interest Rate and Refinancing Strategy</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_Toc235636668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8A18C8F"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69"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International and Ethical Dimensions of the Restructuring Plan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_Toc235636669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89A3B18" w14:textId="77777777" w:rsidR="001F003A" w:rsidRPr="00AF4867" w:rsidRDefault="001F003A" w:rsidP="00032799">
      <w:pPr>
        <w:pStyle w:val="TOC1"/>
        <w:rPr>
          <w:rFonts w:ascii="Arial" w:hAnsi="Arial" w:cs="Arial"/>
          <w:sz w:val="24"/>
          <w:szCs w:val="24"/>
        </w:rPr>
      </w:pPr>
      <w:hyperlink w:anchor="_Toc235636670" w:history="1">
        <w:r w:rsidRPr="00AF4867">
          <w:rPr>
            <w:rStyle w:val="Hyperlink"/>
            <w:rFonts w:ascii="Arial" w:hAnsi="Arial" w:cs="Arial"/>
            <w:color w:val="000000" w:themeColor="text1"/>
            <w:sz w:val="24"/>
            <w:szCs w:val="24"/>
            <w:u w:val="none"/>
          </w:rPr>
          <w:t>5. Investment Appraisal and Capital Budgeting</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_Toc235636670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6FD9C5D5"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1"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 Project Overview and Assumptions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_Toc235636671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0876C7A"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2"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 Appraisal Methods Applied</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_Toc235636672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6592D9B"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3"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5.2.1 Payback Period (PBP)</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_Toc235636673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637705F"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4"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5.2.2 Accounting Rate of Return (ARR)</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_Toc235636674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7DEB6EA"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5"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5.2.3 Net Present Value (NPV) and Profitability Index (PI)</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_Toc235636675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61C1702" w14:textId="77777777" w:rsidR="001F003A" w:rsidRPr="00AF4867" w:rsidRDefault="001F003A" w:rsidP="00E64CCA">
      <w:pPr>
        <w:pStyle w:val="TOC3"/>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6"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5.2.4 Internal Rate of Return (IRR)</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_Toc235636676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EAB860F"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7"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5.3 Investment Appraisal Results Summary</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_Toc235636677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542E196"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8"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 Critical Evaluation of Methods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_Toc235636678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1D5262A"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79"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 Capital Rationing Analysis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_Toc235636679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925D7AD" w14:textId="77777777" w:rsidR="001F003A" w:rsidRPr="00AF4867" w:rsidRDefault="001F003A" w:rsidP="00032799">
      <w:pPr>
        <w:pStyle w:val="TOC1"/>
        <w:rPr>
          <w:rFonts w:ascii="Arial" w:hAnsi="Arial" w:cs="Arial"/>
          <w:sz w:val="24"/>
          <w:szCs w:val="24"/>
        </w:rPr>
      </w:pPr>
      <w:hyperlink w:anchor="_Toc235636680" w:history="1">
        <w:r w:rsidRPr="00AF4867">
          <w:rPr>
            <w:rStyle w:val="Hyperlink"/>
            <w:rFonts w:ascii="Arial" w:hAnsi="Arial" w:cs="Arial"/>
            <w:color w:val="000000" w:themeColor="text1"/>
            <w:sz w:val="24"/>
            <w:szCs w:val="24"/>
            <w:u w:val="none"/>
          </w:rPr>
          <w:t>6. Critical Reflection on the Use of Artificial Intelligence</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_Toc235636680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0BCFC717"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81"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 Disclosure of AI Tools Used</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_Toc235636681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D157C85"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82"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 Critical Evaluation of AI Output</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_Toc235636682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C56D8DF"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83"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6.3 Contribution Analysis and Author Attribution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_Toc235636683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ACAEC0F"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84"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 Professional and Ethical Reflection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_Toc235636684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5CEB777" w14:textId="77777777" w:rsidR="001F003A" w:rsidRPr="00AF4867" w:rsidRDefault="001F003A" w:rsidP="00032799">
      <w:pPr>
        <w:pStyle w:val="TOC1"/>
        <w:rPr>
          <w:rFonts w:ascii="Arial" w:hAnsi="Arial" w:cs="Arial"/>
          <w:sz w:val="24"/>
          <w:szCs w:val="24"/>
        </w:rPr>
      </w:pPr>
      <w:hyperlink w:anchor="_Toc235636685" w:history="1">
        <w:r w:rsidRPr="00AF4867">
          <w:rPr>
            <w:rStyle w:val="Hyperlink"/>
            <w:rFonts w:ascii="Arial" w:hAnsi="Arial" w:cs="Arial"/>
            <w:color w:val="000000" w:themeColor="text1"/>
            <w:sz w:val="24"/>
            <w:szCs w:val="24"/>
            <w:u w:val="none"/>
          </w:rPr>
          <w:t>7. Conclusion</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_Toc235636685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26613D07" w14:textId="77777777" w:rsidR="001F003A" w:rsidRPr="00AF4867" w:rsidRDefault="001F003A" w:rsidP="00032799">
      <w:pPr>
        <w:pStyle w:val="TOC1"/>
        <w:rPr>
          <w:rFonts w:ascii="Arial" w:hAnsi="Arial" w:cs="Arial"/>
          <w:sz w:val="24"/>
          <w:szCs w:val="24"/>
        </w:rPr>
      </w:pPr>
      <w:hyperlink w:anchor="_Toc235636686" w:history="1">
        <w:r w:rsidRPr="00AF4867">
          <w:rPr>
            <w:rStyle w:val="Hyperlink"/>
            <w:rFonts w:ascii="Arial" w:hAnsi="Arial" w:cs="Arial"/>
            <w:color w:val="000000" w:themeColor="text1"/>
            <w:sz w:val="24"/>
            <w:szCs w:val="24"/>
            <w:u w:val="none"/>
          </w:rPr>
          <w:t>Reference List</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_Toc235636686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7B6F057D" w14:textId="77777777" w:rsidR="001F003A" w:rsidRPr="00AF4867" w:rsidRDefault="001F003A" w:rsidP="00032799">
      <w:pPr>
        <w:pStyle w:val="TOC1"/>
        <w:rPr>
          <w:rFonts w:ascii="Arial" w:hAnsi="Arial" w:cs="Arial"/>
          <w:sz w:val="24"/>
          <w:szCs w:val="24"/>
        </w:rPr>
      </w:pPr>
      <w:hyperlink w:anchor="_Toc235636687" w:history="1">
        <w:r w:rsidRPr="00AF4867">
          <w:rPr>
            <w:rStyle w:val="Hyperlink"/>
            <w:rFonts w:ascii="Arial" w:hAnsi="Arial" w:cs="Arial"/>
            <w:color w:val="000000" w:themeColor="text1"/>
            <w:sz w:val="24"/>
            <w:szCs w:val="24"/>
            <w:u w:val="none"/>
          </w:rPr>
          <w:t>Appendix A: Ratio Formulae and Supporting Calculations</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_Toc235636687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6D328558"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88"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A.1 Ratio Formulae</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_Toc235636688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6326167" w14:textId="77777777" w:rsidR="001F003A" w:rsidRPr="00AF4867" w:rsidRDefault="001F003A" w:rsidP="00032799">
      <w:pPr>
        <w:pStyle w:val="TOC1"/>
        <w:rPr>
          <w:rFonts w:ascii="Arial" w:hAnsi="Arial" w:cs="Arial"/>
          <w:sz w:val="24"/>
          <w:szCs w:val="24"/>
        </w:rPr>
      </w:pPr>
      <w:hyperlink w:anchor="_Toc235636689" w:history="1">
        <w:r w:rsidRPr="00AF4867">
          <w:rPr>
            <w:rStyle w:val="Hyperlink"/>
            <w:rFonts w:ascii="Arial" w:hAnsi="Arial" w:cs="Arial"/>
            <w:color w:val="000000" w:themeColor="text1"/>
            <w:sz w:val="24"/>
            <w:szCs w:val="24"/>
            <w:u w:val="none"/>
          </w:rPr>
          <w:t>Appendix B: Investment Appraisal — Detailed Workings</w:t>
        </w:r>
        <w:r w:rsidRPr="00AF4867">
          <w:rPr>
            <w:rFonts w:ascii="Arial" w:hAnsi="Arial" w:cs="Arial"/>
            <w:sz w:val="24"/>
            <w:szCs w:val="24"/>
          </w:rPr>
          <w:tab/>
        </w:r>
        <w:r w:rsidRPr="00AF4867">
          <w:rPr>
            <w:rFonts w:ascii="Arial" w:hAnsi="Arial" w:cs="Arial"/>
            <w:sz w:val="24"/>
            <w:szCs w:val="24"/>
          </w:rPr>
          <w:fldChar w:fldCharType="begin"/>
        </w:r>
        <w:r w:rsidRPr="00AF4867">
          <w:rPr>
            <w:rFonts w:ascii="Arial" w:hAnsi="Arial" w:cs="Arial"/>
            <w:sz w:val="24"/>
            <w:szCs w:val="24"/>
          </w:rPr>
          <w:instrText xml:space="preserve"> PAGEREF _Toc235636689 \h </w:instrText>
        </w:r>
        <w:r w:rsidRPr="00AF4867">
          <w:rPr>
            <w:rFonts w:ascii="Arial" w:hAnsi="Arial" w:cs="Arial"/>
            <w:sz w:val="24"/>
            <w:szCs w:val="24"/>
          </w:rPr>
        </w:r>
        <w:r w:rsidRPr="00AF4867">
          <w:rPr>
            <w:rFonts w:ascii="Arial" w:hAnsi="Arial" w:cs="Arial"/>
            <w:sz w:val="24"/>
            <w:szCs w:val="24"/>
          </w:rPr>
          <w:fldChar w:fldCharType="separate"/>
        </w:r>
        <w:r w:rsidRPr="00AF4867">
          <w:rPr>
            <w:rFonts w:ascii="Arial" w:hAnsi="Arial" w:cs="Arial"/>
            <w:sz w:val="24"/>
            <w:szCs w:val="24"/>
          </w:rPr>
          <w:t>1</w:t>
        </w:r>
        <w:r w:rsidRPr="00AF4867">
          <w:rPr>
            <w:rFonts w:ascii="Arial" w:hAnsi="Arial" w:cs="Arial"/>
            <w:sz w:val="24"/>
            <w:szCs w:val="24"/>
          </w:rPr>
          <w:fldChar w:fldCharType="end"/>
        </w:r>
      </w:hyperlink>
    </w:p>
    <w:p w14:paraId="15CF7D91"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90"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B.1 Payback Period — Cumulative Cash Flow Schedules</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_Toc235636690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410F2A6" w14:textId="77777777" w:rsidR="001F003A" w:rsidRPr="00AF4867" w:rsidRDefault="001F003A" w:rsidP="00E64CCA">
      <w:pPr>
        <w:pStyle w:val="TOC2"/>
        <w:tabs>
          <w:tab w:val="right" w:leader="dot" w:pos="901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91"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B.2 ARR — Annual Profit and Average Profit</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_Toc235636691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939B561" w14:textId="77777777" w:rsidR="001F003A" w:rsidRPr="00AF4867" w:rsidRDefault="001F003A" w:rsidP="00E64CCA">
      <w:pPr>
        <w:pStyle w:val="TOC2"/>
        <w:tabs>
          <w:tab w:val="right" w:leader="dot" w:pos="9016"/>
        </w:tabs>
        <w:jc w:val="both"/>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35636692" w:history="1">
        <w:r w:rsidRPr="00AF4867">
          <w:rPr>
            <w:rStyle w:val="Hyperlink"/>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B.3 IRR Interpolation — Trial Rates and Verification</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_Toc235636692 \h </w:instrTex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F48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3CC95FA" w14:textId="77777777" w:rsidR="00663E27" w:rsidRPr="00AF4867" w:rsidRDefault="00663E27" w:rsidP="00E64CCA">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99DD6" w14:textId="77777777" w:rsidR="00663E27" w:rsidRPr="00AF4867" w:rsidRDefault="00663E27" w:rsidP="00E64CCA">
      <w:pPr>
        <w:jc w:val="both"/>
        <w:rPr>
          <w:rFonts w:ascii="Arial" w:hAnsi="Arial" w:cs="Arial"/>
        </w:rPr>
      </w:pPr>
    </w:p>
    <w:p w14:paraId="1252D953" w14:textId="77777777" w:rsidR="00663E27" w:rsidRPr="00AF4867" w:rsidRDefault="00663E27" w:rsidP="00E64CCA">
      <w:pPr>
        <w:jc w:val="both"/>
        <w:rPr>
          <w:rFonts w:ascii="Arial" w:hAnsi="Arial" w:cs="Arial"/>
        </w:rPr>
      </w:pPr>
    </w:p>
    <w:p w14:paraId="220D91EC" w14:textId="77777777" w:rsidR="00663E27" w:rsidRPr="00AF4867" w:rsidRDefault="00663E27" w:rsidP="00E64CCA">
      <w:pPr>
        <w:jc w:val="both"/>
        <w:rPr>
          <w:rFonts w:ascii="Arial" w:hAnsi="Arial" w:cs="Arial"/>
        </w:rPr>
      </w:pPr>
    </w:p>
    <w:p w14:paraId="10431295" w14:textId="77777777" w:rsidR="00663E27" w:rsidRPr="00AF4867" w:rsidRDefault="00663E27" w:rsidP="00E64CCA">
      <w:pPr>
        <w:jc w:val="both"/>
        <w:rPr>
          <w:rFonts w:ascii="Arial" w:hAnsi="Arial" w:cs="Arial"/>
        </w:rPr>
      </w:pPr>
    </w:p>
    <w:p w14:paraId="61A9AFAB" w14:textId="77777777" w:rsidR="00663E27" w:rsidRPr="00AF4867" w:rsidRDefault="00663E27" w:rsidP="00E64CCA">
      <w:pPr>
        <w:jc w:val="both"/>
        <w:rPr>
          <w:rFonts w:ascii="Arial" w:hAnsi="Arial" w:cs="Arial"/>
        </w:rPr>
      </w:pPr>
    </w:p>
    <w:p w14:paraId="350A79F8" w14:textId="77777777" w:rsidR="00663E27" w:rsidRPr="00AF4867" w:rsidRDefault="00663E27" w:rsidP="00E64CCA">
      <w:pPr>
        <w:jc w:val="both"/>
        <w:rPr>
          <w:rFonts w:ascii="Arial" w:hAnsi="Arial" w:cs="Arial"/>
        </w:rPr>
      </w:pPr>
    </w:p>
    <w:p w14:paraId="0F42072C" w14:textId="77777777" w:rsidR="00663E27" w:rsidRPr="00AF4867" w:rsidRDefault="00663E27" w:rsidP="00E64CCA">
      <w:pPr>
        <w:jc w:val="both"/>
        <w:rPr>
          <w:rFonts w:ascii="Arial" w:hAnsi="Arial" w:cs="Arial"/>
        </w:rPr>
      </w:pPr>
    </w:p>
    <w:p w14:paraId="443C1C66" w14:textId="77777777" w:rsidR="00663E27" w:rsidRPr="00AF4867" w:rsidRDefault="00663E27" w:rsidP="00E64CCA">
      <w:pPr>
        <w:jc w:val="both"/>
        <w:rPr>
          <w:rFonts w:ascii="Arial" w:hAnsi="Arial" w:cs="Arial"/>
        </w:rPr>
      </w:pPr>
    </w:p>
    <w:p w14:paraId="7735112C" w14:textId="77777777" w:rsidR="00663E27" w:rsidRPr="00AF4867" w:rsidRDefault="00663E27" w:rsidP="00E64CCA">
      <w:pPr>
        <w:jc w:val="both"/>
        <w:rPr>
          <w:rFonts w:ascii="Arial" w:hAnsi="Arial" w:cs="Arial"/>
        </w:rPr>
      </w:pPr>
    </w:p>
    <w:p w14:paraId="2E77949D" w14:textId="77777777" w:rsidR="00032799" w:rsidRPr="00AF4867" w:rsidRDefault="00032799" w:rsidP="00E64CCA">
      <w:pPr>
        <w:jc w:val="both"/>
        <w:rPr>
          <w:rFonts w:ascii="Arial" w:hAnsi="Arial" w:cs="Arial"/>
        </w:rPr>
      </w:pPr>
    </w:p>
    <w:p w14:paraId="598C6EB6"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13046D"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A40B9A"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80842C"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CB5C69"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BFF86D"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581BCA"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AF4FCA"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25AEC5" w14:textId="77777777" w:rsidR="00AF4867" w:rsidRDefault="00AF4867" w:rsidP="00E64CCA">
      <w:pPr>
        <w:jc w:val="both"/>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999E19" w14:textId="6F94F270" w:rsidR="00F65DC2" w:rsidRPr="00AF4867" w:rsidRDefault="00663E27" w:rsidP="00E64CCA">
      <w:pPr>
        <w:jc w:val="both"/>
        <w:rPr>
          <w:rFonts w:ascii="Arial" w:hAnsi="Arial" w:cs="Arial"/>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4867">
        <w:rPr>
          <w:rFonts w:ascii="Arial" w:hAnsi="Arial" w:cs="Arial"/>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 Introduction</w:t>
      </w:r>
    </w:p>
    <w:p w14:paraId="5089B0AE" w14:textId="1E39B089" w:rsidR="00FD5612" w:rsidRPr="00AF4867" w:rsidRDefault="00FD5612" w:rsidP="00E64CCA">
      <w:pPr>
        <w:spacing w:before="60" w:after="120"/>
        <w:jc w:val="both"/>
        <w:rPr>
          <w:rFonts w:ascii="Arial" w:hAnsi="Arial" w:cs="Arial"/>
        </w:rPr>
      </w:pPr>
      <w:r w:rsidRPr="00AF4867">
        <w:rPr>
          <w:rFonts w:ascii="Arial" w:hAnsi="Arial" w:cs="Arial"/>
        </w:rPr>
        <w:t>Marriott International Inc is the largest hotel firm globally by number of properties, owning or franchising over 9,000 properties across 141 nations in the world under 32 different brands as of December 2024. Established in 1927 with its headquarters in Bethesda, Maryland, the company is largely run on the asset-light model of business in which it makes money via management and franchise fees from third parties who own the properties instead of putting in the capital involved in direct ownership of properties. Total revenue was above $25.1 billion for the fiscal year 2024, showing how devastating the COVID-19 pandemic has been to travel around the world.</w:t>
      </w:r>
    </w:p>
    <w:p w14:paraId="0967A791" w14:textId="0A313BB3" w:rsidR="00FD5612" w:rsidRPr="00AF4867" w:rsidRDefault="00FD5612" w:rsidP="00E64CCA">
      <w:pPr>
        <w:spacing w:before="60" w:after="120"/>
        <w:jc w:val="both"/>
        <w:rPr>
          <w:rFonts w:ascii="Arial" w:hAnsi="Arial" w:cs="Arial"/>
        </w:rPr>
      </w:pPr>
      <w:r w:rsidRPr="00AF4867">
        <w:rPr>
          <w:rFonts w:ascii="Arial" w:hAnsi="Arial" w:cs="Arial"/>
        </w:rPr>
        <w:t xml:space="preserve">This report is written from the viewpoint of a newly appointed CFO at Marriott and achieves four analysis objectives. Firstly, this report performs a thorough financial health check in the form of ratio analysis relative to industry competitors for a five-year period. Secondly, this report analyzes the working capital management at Marriott and makes suggestions for improving its performance. Thirdly, this report recommends a strategy for financial restructuring taking into account the high level of leverage at Marriott owing to its vigorous capital budgeting </w:t>
      </w:r>
      <w:proofErr w:type="spellStart"/>
      <w:r w:rsidRPr="00AF4867">
        <w:rPr>
          <w:rFonts w:ascii="Arial" w:hAnsi="Arial" w:cs="Arial"/>
        </w:rPr>
        <w:t>programme</w:t>
      </w:r>
      <w:proofErr w:type="spellEnd"/>
      <w:r w:rsidRPr="00AF4867">
        <w:rPr>
          <w:rFonts w:ascii="Arial" w:hAnsi="Arial" w:cs="Arial"/>
        </w:rPr>
        <w:t xml:space="preserve"> in 2024. Fourthly, this report appraises three alternative capital budgeting projects using five valuation techniques such as payback period, accounting rate of return, net present value, profitability index, and internal rate of return considering capital rationing of £100 million. This report ends with a critical evaluation of artificial intelligence in writing this report. All ratio computations have been made using annual reports and Form 10-K of Marriott.</w:t>
      </w:r>
    </w:p>
    <w:p w14:paraId="34038E22" w14:textId="77777777" w:rsidR="00FD5612" w:rsidRPr="00AF4867" w:rsidRDefault="00FD5612" w:rsidP="00E64CCA">
      <w:pPr>
        <w:spacing w:before="60" w:after="120"/>
        <w:jc w:val="both"/>
        <w:rPr>
          <w:rFonts w:ascii="Arial" w:hAnsi="Arial" w:cs="Arial"/>
        </w:rPr>
      </w:pPr>
    </w:p>
    <w:p w14:paraId="6DC7A533" w14:textId="77777777" w:rsidR="00FD5612" w:rsidRPr="00AF4867" w:rsidRDefault="00FD5612" w:rsidP="00E64CCA">
      <w:pPr>
        <w:spacing w:before="60" w:after="120"/>
        <w:jc w:val="both"/>
        <w:rPr>
          <w:rFonts w:ascii="Arial" w:hAnsi="Arial" w:cs="Arial"/>
        </w:rPr>
      </w:pPr>
    </w:p>
    <w:p w14:paraId="33D9D560" w14:textId="77777777" w:rsidR="00FD5612" w:rsidRPr="00AF4867" w:rsidRDefault="00FD5612" w:rsidP="00E64CCA">
      <w:pPr>
        <w:spacing w:before="60" w:after="120"/>
        <w:jc w:val="both"/>
        <w:rPr>
          <w:rFonts w:ascii="Arial" w:hAnsi="Arial" w:cs="Arial"/>
        </w:rPr>
      </w:pPr>
    </w:p>
    <w:p w14:paraId="0EC52681" w14:textId="77777777" w:rsidR="00FD5612" w:rsidRPr="00AF4867" w:rsidRDefault="00FD5612" w:rsidP="00E64CCA">
      <w:pPr>
        <w:spacing w:before="60" w:after="120"/>
        <w:jc w:val="both"/>
        <w:rPr>
          <w:rFonts w:ascii="Arial" w:hAnsi="Arial" w:cs="Arial"/>
        </w:rPr>
      </w:pPr>
    </w:p>
    <w:p w14:paraId="38B40309" w14:textId="77777777" w:rsidR="00FD5612" w:rsidRPr="00AF4867" w:rsidRDefault="00FD5612" w:rsidP="00E64CCA">
      <w:pPr>
        <w:spacing w:before="60" w:after="120"/>
        <w:jc w:val="both"/>
        <w:rPr>
          <w:rFonts w:ascii="Arial" w:hAnsi="Arial" w:cs="Arial"/>
        </w:rPr>
      </w:pPr>
    </w:p>
    <w:p w14:paraId="308A462D" w14:textId="77777777" w:rsidR="00FD5612" w:rsidRPr="00AF4867" w:rsidRDefault="00FD5612" w:rsidP="00E64CCA">
      <w:pPr>
        <w:spacing w:before="60" w:after="120"/>
        <w:jc w:val="both"/>
        <w:rPr>
          <w:rFonts w:ascii="Arial" w:hAnsi="Arial" w:cs="Arial"/>
        </w:rPr>
      </w:pPr>
    </w:p>
    <w:p w14:paraId="451B3B75" w14:textId="77777777" w:rsidR="00FD5612" w:rsidRPr="00AF4867" w:rsidRDefault="00FD5612" w:rsidP="00E64CCA">
      <w:pPr>
        <w:spacing w:before="60" w:after="120"/>
        <w:jc w:val="both"/>
        <w:rPr>
          <w:rFonts w:ascii="Arial" w:hAnsi="Arial" w:cs="Arial"/>
        </w:rPr>
      </w:pPr>
    </w:p>
    <w:p w14:paraId="5738CA51" w14:textId="77777777" w:rsidR="00FD5612" w:rsidRPr="00AF4867" w:rsidRDefault="00FD5612" w:rsidP="00E64CCA">
      <w:pPr>
        <w:spacing w:before="60" w:after="120"/>
        <w:jc w:val="both"/>
        <w:rPr>
          <w:rFonts w:ascii="Arial" w:hAnsi="Arial" w:cs="Arial"/>
        </w:rPr>
      </w:pPr>
    </w:p>
    <w:p w14:paraId="474F06ED" w14:textId="77777777" w:rsidR="00FD5612" w:rsidRPr="00AF4867" w:rsidRDefault="00FD5612" w:rsidP="00E64CCA">
      <w:pPr>
        <w:spacing w:before="60" w:after="120"/>
        <w:jc w:val="both"/>
        <w:rPr>
          <w:rFonts w:ascii="Arial" w:hAnsi="Arial" w:cs="Arial"/>
        </w:rPr>
      </w:pPr>
    </w:p>
    <w:p w14:paraId="79A2757E" w14:textId="77777777" w:rsidR="00FD5612" w:rsidRPr="00AF4867" w:rsidRDefault="00FD5612" w:rsidP="00E64CCA">
      <w:pPr>
        <w:spacing w:before="60" w:after="120"/>
        <w:jc w:val="both"/>
        <w:rPr>
          <w:rFonts w:ascii="Arial" w:hAnsi="Arial" w:cs="Arial"/>
        </w:rPr>
      </w:pPr>
    </w:p>
    <w:p w14:paraId="6B94F427" w14:textId="77777777" w:rsidR="00FD5612" w:rsidRPr="00AF4867" w:rsidRDefault="00FD5612" w:rsidP="00E64CCA">
      <w:pPr>
        <w:spacing w:before="60" w:after="120"/>
        <w:jc w:val="both"/>
        <w:rPr>
          <w:rFonts w:ascii="Arial" w:hAnsi="Arial" w:cs="Arial"/>
        </w:rPr>
      </w:pPr>
    </w:p>
    <w:p w14:paraId="37D648F3" w14:textId="77777777" w:rsidR="00FD5612" w:rsidRPr="00AF4867" w:rsidRDefault="00FD5612" w:rsidP="00E64CCA">
      <w:pPr>
        <w:spacing w:before="60" w:after="120"/>
        <w:jc w:val="both"/>
        <w:rPr>
          <w:rFonts w:ascii="Arial" w:hAnsi="Arial" w:cs="Arial"/>
        </w:rPr>
      </w:pPr>
    </w:p>
    <w:p w14:paraId="0B874E54" w14:textId="77777777" w:rsidR="00FD5612" w:rsidRPr="00AF4867" w:rsidRDefault="00FD5612" w:rsidP="00E64CCA">
      <w:pPr>
        <w:spacing w:before="60" w:after="120"/>
        <w:jc w:val="both"/>
        <w:rPr>
          <w:rFonts w:ascii="Arial" w:hAnsi="Arial" w:cs="Arial"/>
        </w:rPr>
      </w:pPr>
    </w:p>
    <w:p w14:paraId="298FAF77" w14:textId="77777777" w:rsidR="00B007C4" w:rsidRPr="00AF4867" w:rsidRDefault="00B007C4" w:rsidP="00E64CCA">
      <w:pPr>
        <w:spacing w:before="60" w:after="120"/>
        <w:jc w:val="both"/>
        <w:rPr>
          <w:rFonts w:ascii="Arial" w:hAnsi="Arial" w:cs="Arial"/>
        </w:rPr>
      </w:pPr>
    </w:p>
    <w:p w14:paraId="47A5FB91" w14:textId="77777777" w:rsidR="00B007C4" w:rsidRPr="00AF4867" w:rsidRDefault="00B007C4" w:rsidP="00E64CCA">
      <w:pPr>
        <w:spacing w:before="60" w:after="120"/>
        <w:jc w:val="both"/>
        <w:rPr>
          <w:rFonts w:ascii="Arial" w:hAnsi="Arial" w:cs="Arial"/>
        </w:rPr>
      </w:pPr>
    </w:p>
    <w:p w14:paraId="1CB60F26" w14:textId="77777777" w:rsidR="002E749D" w:rsidRDefault="002E749D" w:rsidP="00E64CCA">
      <w:pPr>
        <w:spacing w:before="60" w:after="120"/>
        <w:jc w:val="both"/>
        <w:rPr>
          <w:rFonts w:ascii="Arial" w:hAnsi="Arial" w:cs="Arial"/>
        </w:rPr>
      </w:pPr>
    </w:p>
    <w:p w14:paraId="6E3C1552" w14:textId="15313B21" w:rsidR="00FD5612" w:rsidRPr="00AF4867" w:rsidRDefault="00FD5612" w:rsidP="00E64CCA">
      <w:pPr>
        <w:spacing w:before="60" w:after="120"/>
        <w:jc w:val="both"/>
        <w:rPr>
          <w:rFonts w:ascii="Arial" w:hAnsi="Arial" w:cs="Arial"/>
          <w:b/>
          <w:bCs/>
          <w:sz w:val="52"/>
          <w:szCs w:val="52"/>
          <w:u w:val="single"/>
        </w:rPr>
      </w:pPr>
      <w:r w:rsidRPr="00AF4867">
        <w:rPr>
          <w:rFonts w:ascii="Arial" w:hAnsi="Arial" w:cs="Arial"/>
          <w:b/>
          <w:bCs/>
          <w:sz w:val="52"/>
          <w:szCs w:val="52"/>
          <w:u w:val="single"/>
        </w:rPr>
        <w:lastRenderedPageBreak/>
        <w:t>2. Financial Health Check</w:t>
      </w:r>
    </w:p>
    <w:p w14:paraId="37719AD5" w14:textId="4BCFDF68" w:rsidR="00FD5612" w:rsidRPr="00AF4867" w:rsidRDefault="00FD5612" w:rsidP="00E64CCA">
      <w:pPr>
        <w:spacing w:before="60" w:after="120"/>
        <w:jc w:val="both"/>
        <w:rPr>
          <w:rFonts w:ascii="Arial" w:hAnsi="Arial" w:cs="Arial"/>
          <w:b/>
          <w:bCs/>
          <w:sz w:val="40"/>
          <w:szCs w:val="40"/>
        </w:rPr>
      </w:pPr>
      <w:r w:rsidRPr="00AF4867">
        <w:rPr>
          <w:rFonts w:ascii="Arial" w:hAnsi="Arial" w:cs="Arial"/>
          <w:b/>
          <w:bCs/>
          <w:sz w:val="40"/>
          <w:szCs w:val="40"/>
        </w:rPr>
        <w:t xml:space="preserve">2.1 </w:t>
      </w:r>
      <w:proofErr w:type="gramStart"/>
      <w:r w:rsidRPr="00AF4867">
        <w:rPr>
          <w:rFonts w:ascii="Arial" w:hAnsi="Arial" w:cs="Arial"/>
          <w:b/>
          <w:bCs/>
          <w:sz w:val="40"/>
          <w:szCs w:val="40"/>
        </w:rPr>
        <w:t>Five Year</w:t>
      </w:r>
      <w:proofErr w:type="gramEnd"/>
      <w:r w:rsidRPr="00AF4867">
        <w:rPr>
          <w:rFonts w:ascii="Arial" w:hAnsi="Arial" w:cs="Arial"/>
          <w:b/>
          <w:bCs/>
          <w:sz w:val="40"/>
          <w:szCs w:val="40"/>
        </w:rPr>
        <w:t xml:space="preserve"> Performance Overview </w:t>
      </w:r>
    </w:p>
    <w:p w14:paraId="0B33B64B" w14:textId="02D0A8F6" w:rsidR="00FD5612" w:rsidRPr="00AF4867" w:rsidRDefault="00FD5612" w:rsidP="00E64CCA">
      <w:pPr>
        <w:spacing w:before="60" w:after="120"/>
        <w:jc w:val="both"/>
        <w:rPr>
          <w:rFonts w:ascii="Arial" w:hAnsi="Arial" w:cs="Arial"/>
        </w:rPr>
      </w:pPr>
      <w:r w:rsidRPr="00AF4867">
        <w:rPr>
          <w:rFonts w:ascii="Arial" w:hAnsi="Arial" w:cs="Arial"/>
        </w:rPr>
        <w:t>The table below provides the summary of the major headlines from the audited financial results of Marriott for the fiscal years 2020 to 2024. It is important to note that the 2020 results represent the impact of the COVID-19 crisis on Marriott as well as a collapse in global RevPAR and the first-ever annual net loss reported by Marriott since many decades. The recovery was fast and consistent, resulting in an impressive revenue generation of $25.1 billion in 2024, which represents a 137.4% increase from the 2020 low point within only four years.</w:t>
      </w:r>
    </w:p>
    <w:tbl>
      <w:tblPr>
        <w:tblpPr w:leftFromText="180" w:rightFromText="180" w:vertAnchor="text" w:tblpY="207"/>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76"/>
        <w:gridCol w:w="1070"/>
        <w:gridCol w:w="1070"/>
        <w:gridCol w:w="1070"/>
        <w:gridCol w:w="1070"/>
        <w:gridCol w:w="1070"/>
      </w:tblGrid>
      <w:tr w:rsidR="00B007C4" w:rsidRPr="00AF4867" w14:paraId="2FFC5091" w14:textId="77777777" w:rsidTr="00B007C4">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3330C2F0"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FFFFFF"/>
              </w:rPr>
              <w:t>Item (USD millions)</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0B33F1C"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FFFFFF"/>
              </w:rPr>
              <w:t>2020</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78911C8"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FFFFFF"/>
              </w:rPr>
              <w:t>2021</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507BDBD4"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FFFFFF"/>
              </w:rPr>
              <w:t>2022</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3AAD3A5E"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FFFFFF"/>
              </w:rPr>
              <w:t>2023</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2A506A3"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FFFFFF"/>
              </w:rPr>
              <w:t>2024</w:t>
            </w:r>
          </w:p>
        </w:tc>
      </w:tr>
      <w:tr w:rsidR="00B007C4" w:rsidRPr="00AF4867" w14:paraId="3934D2BE"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DAB8ABC"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Total Revenues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8F65A1D"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10,571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DEBE246"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13,857</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D548C2B"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20,773</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F92274F"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23,713</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4FAEBCC"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25,100</w:t>
            </w:r>
          </w:p>
        </w:tc>
      </w:tr>
      <w:tr w:rsidR="00B007C4" w:rsidRPr="00AF4867" w14:paraId="38C41058"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A859080"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Operating Income / (Loss)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105514C"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(394)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40C9F6F"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1,593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34D4275"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2,956</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5FB7A3E"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3,952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8D5A0A"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3,840</w:t>
            </w:r>
          </w:p>
        </w:tc>
      </w:tr>
      <w:tr w:rsidR="00B007C4" w:rsidRPr="00AF4867" w14:paraId="2E0A5D56"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4B3CA39"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Net Income / (Loss)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061C6C6"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(267)</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2135A25"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1,099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B760A79"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2,054</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A7C6CF1"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3,083</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26C411B"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2,380</w:t>
            </w:r>
          </w:p>
        </w:tc>
      </w:tr>
      <w:tr w:rsidR="00B007C4" w:rsidRPr="00AF4867" w14:paraId="387EC59D"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EAB6C61"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Operating Cash Flow</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169B1A8"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1,301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ED173DC"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1,294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456CC9D"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2,675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0F46918"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3,218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B709130"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3,700</w:t>
            </w:r>
          </w:p>
        </w:tc>
      </w:tr>
      <w:tr w:rsidR="00B007C4" w:rsidRPr="00AF4867" w14:paraId="2DC71BB2"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26FF671"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Total Assets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C4E4828"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22,942</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2331127"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22,620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C25F137"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23,676</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6A3A21F"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25,430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E8F629F"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26,540</w:t>
            </w:r>
          </w:p>
        </w:tc>
      </w:tr>
      <w:tr w:rsidR="00B007C4" w:rsidRPr="00AF4867" w14:paraId="3F7FBE1A"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A7E3C67"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Long-term Debt</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7E012DB"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10,500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A405ACA"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10,500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1E7BB32"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10,600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2052F67"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11,400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F84BC6"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14,400</w:t>
            </w:r>
          </w:p>
        </w:tc>
      </w:tr>
      <w:tr w:rsidR="00B007C4" w:rsidRPr="00AF4867" w14:paraId="5430FE69"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2ACB6C0"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Shareholders' Equity (Deficit)</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6EBAC48"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(8,358)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A3D1967"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(6,900)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50456B1"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(8,500)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27E88B7"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(8,570)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B4F81BD"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(8,700)</w:t>
            </w:r>
          </w:p>
        </w:tc>
      </w:tr>
      <w:tr w:rsidR="00B007C4" w:rsidRPr="00AF4867" w14:paraId="48C1A3DC" w14:textId="77777777" w:rsidTr="00B007C4">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69CD84F"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Earnings per Share ($)</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A234A8D"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(0.82)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6F00D2B"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3.31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235ED89"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6.19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9E65C1D"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10.18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56898FA" w14:textId="77777777" w:rsidR="00B007C4" w:rsidRPr="00AF4867" w:rsidRDefault="00B007C4" w:rsidP="00E64CCA">
            <w:pPr>
              <w:spacing w:line="360" w:lineRule="auto"/>
              <w:jc w:val="both"/>
              <w:rPr>
                <w:rFonts w:ascii="Arial" w:hAnsi="Arial" w:cs="Arial"/>
              </w:rPr>
            </w:pPr>
            <w:r w:rsidRPr="00AF4867">
              <w:rPr>
                <w:rFonts w:ascii="Arial" w:eastAsia="Arial" w:hAnsi="Arial" w:cs="Arial"/>
                <w:color w:val="1A1A1A"/>
              </w:rPr>
              <w:t>8.33</w:t>
            </w:r>
          </w:p>
        </w:tc>
      </w:tr>
    </w:tbl>
    <w:p w14:paraId="727B7BDB" w14:textId="60D4A0F7" w:rsidR="00FD5612" w:rsidRPr="00AF4867" w:rsidRDefault="00FD5612" w:rsidP="00E64CCA">
      <w:pPr>
        <w:spacing w:before="60" w:after="120"/>
        <w:jc w:val="both"/>
        <w:rPr>
          <w:rFonts w:ascii="Arial" w:eastAsia="Arial" w:hAnsi="Arial" w:cs="Arial"/>
          <w:color w:val="595959"/>
        </w:rPr>
      </w:pPr>
      <w:r w:rsidRPr="00AF4867">
        <w:rPr>
          <w:rFonts w:ascii="Arial" w:eastAsia="Arial" w:hAnsi="Arial" w:cs="Arial"/>
          <w:color w:val="595959"/>
        </w:rPr>
        <w:t>Table 1: Marriott International — Key Financial Summary 2020–2024 (USD millions) Source: Marriott International Annual Reports 2020–2024</w:t>
      </w:r>
      <w:r w:rsidRPr="00AF4867">
        <w:rPr>
          <w:rFonts w:ascii="Arial" w:eastAsia="Arial" w:hAnsi="Arial" w:cs="Arial"/>
          <w:color w:val="595959"/>
        </w:rPr>
        <w:t>.</w:t>
      </w:r>
    </w:p>
    <w:p w14:paraId="370F1886" w14:textId="77777777" w:rsidR="00B007C4" w:rsidRPr="00AF4867" w:rsidRDefault="00B007C4" w:rsidP="00E64CCA">
      <w:pPr>
        <w:spacing w:before="60" w:after="120"/>
        <w:jc w:val="both"/>
        <w:rPr>
          <w:rFonts w:ascii="Arial" w:eastAsia="Arial" w:hAnsi="Arial" w:cs="Arial"/>
          <w:color w:val="595959"/>
        </w:rPr>
      </w:pPr>
    </w:p>
    <w:p w14:paraId="44FA11E2" w14:textId="77777777" w:rsidR="00FD5612" w:rsidRPr="00AF4867" w:rsidRDefault="00FD5612" w:rsidP="00E64CCA">
      <w:pPr>
        <w:spacing w:before="60" w:after="120"/>
        <w:jc w:val="both"/>
        <w:rPr>
          <w:rFonts w:ascii="Arial" w:eastAsia="Arial" w:hAnsi="Arial" w:cs="Arial"/>
          <w:color w:val="595959"/>
        </w:rPr>
      </w:pPr>
    </w:p>
    <w:p w14:paraId="5F350EDC" w14:textId="77777777" w:rsidR="00FD5612" w:rsidRPr="00AF4867" w:rsidRDefault="00FD5612" w:rsidP="00E64CCA">
      <w:pPr>
        <w:spacing w:before="60" w:after="120"/>
        <w:jc w:val="both"/>
        <w:rPr>
          <w:rFonts w:ascii="Arial" w:eastAsia="Arial" w:hAnsi="Arial" w:cs="Arial"/>
          <w:color w:val="595959"/>
        </w:rPr>
      </w:pPr>
    </w:p>
    <w:p w14:paraId="2998CA0F" w14:textId="77777777" w:rsidR="00FD5612" w:rsidRPr="00AF4867" w:rsidRDefault="00FD5612" w:rsidP="00E64CCA">
      <w:pPr>
        <w:spacing w:before="60" w:after="120"/>
        <w:jc w:val="both"/>
        <w:rPr>
          <w:rFonts w:ascii="Arial" w:eastAsia="Arial" w:hAnsi="Arial" w:cs="Arial"/>
          <w:color w:val="595959"/>
        </w:rPr>
      </w:pPr>
    </w:p>
    <w:p w14:paraId="58C75E89" w14:textId="77777777" w:rsidR="00FD5612" w:rsidRPr="00AF4867" w:rsidRDefault="00FD5612" w:rsidP="00E64CCA">
      <w:pPr>
        <w:spacing w:before="60" w:after="120"/>
        <w:jc w:val="both"/>
        <w:rPr>
          <w:rFonts w:ascii="Arial" w:eastAsia="Arial" w:hAnsi="Arial" w:cs="Arial"/>
          <w:color w:val="595959"/>
        </w:rPr>
      </w:pPr>
    </w:p>
    <w:p w14:paraId="76228918" w14:textId="77777777" w:rsidR="00FD5612" w:rsidRPr="00AF4867" w:rsidRDefault="00FD5612" w:rsidP="00E64CCA">
      <w:pPr>
        <w:spacing w:before="60" w:after="120"/>
        <w:jc w:val="both"/>
        <w:rPr>
          <w:rFonts w:ascii="Arial" w:eastAsia="Arial" w:hAnsi="Arial" w:cs="Arial"/>
          <w:color w:val="595959"/>
        </w:rPr>
      </w:pPr>
    </w:p>
    <w:p w14:paraId="71A8B351" w14:textId="77777777" w:rsidR="00FD5612" w:rsidRPr="00AF4867" w:rsidRDefault="00FD5612" w:rsidP="00E64CCA">
      <w:pPr>
        <w:spacing w:before="60" w:after="120"/>
        <w:jc w:val="both"/>
        <w:rPr>
          <w:rFonts w:ascii="Arial" w:eastAsia="Arial" w:hAnsi="Arial" w:cs="Arial"/>
          <w:color w:val="595959"/>
        </w:rPr>
      </w:pPr>
    </w:p>
    <w:p w14:paraId="474972C5" w14:textId="77777777" w:rsidR="00FD5612" w:rsidRPr="00AF4867" w:rsidRDefault="00FD5612" w:rsidP="00E64CCA">
      <w:pPr>
        <w:jc w:val="both"/>
        <w:rPr>
          <w:rFonts w:ascii="Arial" w:hAnsi="Arial" w:cs="Arial"/>
        </w:rPr>
      </w:pPr>
      <w:r w:rsidRPr="00AF4867">
        <w:rPr>
          <w:rFonts w:ascii="Arial" w:hAnsi="Arial" w:cs="Arial"/>
          <w:noProof/>
        </w:rPr>
        <w:lastRenderedPageBreak/>
        <w:drawing>
          <wp:inline distT="0" distB="0" distL="0" distR="0" wp14:anchorId="1D54B940" wp14:editId="56537E9A">
            <wp:extent cx="5577840" cy="31120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revenue_profit.png"/>
                    <pic:cNvPicPr/>
                  </pic:nvPicPr>
                  <pic:blipFill>
                    <a:blip r:embed="rId9"/>
                    <a:stretch>
                      <a:fillRect/>
                    </a:stretch>
                  </pic:blipFill>
                  <pic:spPr>
                    <a:xfrm>
                      <a:off x="0" y="0"/>
                      <a:ext cx="5577840" cy="3112041"/>
                    </a:xfrm>
                    <a:prstGeom prst="rect">
                      <a:avLst/>
                    </a:prstGeom>
                  </pic:spPr>
                </pic:pic>
              </a:graphicData>
            </a:graphic>
          </wp:inline>
        </w:drawing>
      </w:r>
    </w:p>
    <w:p w14:paraId="67C4CAC1" w14:textId="77777777" w:rsidR="00FD5612" w:rsidRPr="00AF4867" w:rsidRDefault="00FD5612" w:rsidP="00E64CCA">
      <w:pPr>
        <w:jc w:val="both"/>
        <w:rPr>
          <w:rFonts w:ascii="Arial" w:hAnsi="Arial" w:cs="Arial"/>
        </w:rPr>
      </w:pPr>
      <w:r w:rsidRPr="00AF4867">
        <w:rPr>
          <w:rFonts w:ascii="Arial" w:hAnsi="Arial" w:cs="Arial"/>
          <w:color w:val="404040"/>
        </w:rPr>
        <w:t>Figure 1: Marriott International — Revenue and Profitability Recovery, 2020–2024. Source: Author's own, from data in Table 1.</w:t>
      </w:r>
    </w:p>
    <w:p w14:paraId="03A32A21" w14:textId="77777777" w:rsidR="00FD5612" w:rsidRPr="00AF4867" w:rsidRDefault="00FD5612" w:rsidP="00E64CCA">
      <w:pPr>
        <w:jc w:val="both"/>
        <w:rPr>
          <w:rFonts w:ascii="Arial" w:hAnsi="Arial" w:cs="Arial"/>
        </w:rPr>
      </w:pPr>
    </w:p>
    <w:p w14:paraId="2593E990" w14:textId="77777777" w:rsidR="00FD5612" w:rsidRPr="00AF4867" w:rsidRDefault="00FD5612" w:rsidP="00E64CCA">
      <w:pPr>
        <w:jc w:val="both"/>
        <w:rPr>
          <w:rFonts w:ascii="Arial" w:hAnsi="Arial" w:cs="Arial"/>
        </w:rPr>
      </w:pPr>
      <w:r w:rsidRPr="00AF4867">
        <w:rPr>
          <w:rFonts w:ascii="Arial" w:hAnsi="Arial" w:cs="Arial"/>
          <w:noProof/>
        </w:rPr>
        <w:drawing>
          <wp:inline distT="0" distB="0" distL="0" distR="0" wp14:anchorId="5C2CB62E" wp14:editId="3A55F38E">
            <wp:extent cx="5577840" cy="31094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balance_sheet.png"/>
                    <pic:cNvPicPr/>
                  </pic:nvPicPr>
                  <pic:blipFill>
                    <a:blip r:embed="rId10"/>
                    <a:stretch>
                      <a:fillRect/>
                    </a:stretch>
                  </pic:blipFill>
                  <pic:spPr>
                    <a:xfrm>
                      <a:off x="0" y="0"/>
                      <a:ext cx="5577840" cy="3109486"/>
                    </a:xfrm>
                    <a:prstGeom prst="rect">
                      <a:avLst/>
                    </a:prstGeom>
                  </pic:spPr>
                </pic:pic>
              </a:graphicData>
            </a:graphic>
          </wp:inline>
        </w:drawing>
      </w:r>
    </w:p>
    <w:p w14:paraId="36740E48" w14:textId="5488B684" w:rsidR="00FD5612" w:rsidRPr="00AF4867" w:rsidRDefault="00FD5612" w:rsidP="00E64CCA">
      <w:pPr>
        <w:jc w:val="both"/>
        <w:rPr>
          <w:rFonts w:ascii="Arial" w:hAnsi="Arial" w:cs="Arial"/>
        </w:rPr>
      </w:pPr>
      <w:r w:rsidRPr="00AF4867">
        <w:rPr>
          <w:rFonts w:ascii="Arial" w:hAnsi="Arial" w:cs="Arial"/>
          <w:color w:val="404040"/>
        </w:rPr>
        <w:t>Figure 2: Marriott International — Balance Sheet Structure, 2020–2024. Source: Author's own, from data in Table 1.</w:t>
      </w:r>
    </w:p>
    <w:p w14:paraId="3A97EDD5" w14:textId="77777777" w:rsidR="00296E2A" w:rsidRDefault="00296E2A" w:rsidP="00E64CCA">
      <w:pPr>
        <w:spacing w:before="60" w:after="120"/>
        <w:jc w:val="both"/>
        <w:rPr>
          <w:rFonts w:ascii="Arial" w:hAnsi="Arial" w:cs="Arial"/>
        </w:rPr>
      </w:pPr>
    </w:p>
    <w:p w14:paraId="0225F611" w14:textId="14C448B4" w:rsidR="00FD5612" w:rsidRPr="00AF4867" w:rsidRDefault="00FD5612" w:rsidP="00E64CCA">
      <w:pPr>
        <w:spacing w:before="60" w:after="120"/>
        <w:jc w:val="both"/>
        <w:rPr>
          <w:rFonts w:ascii="Arial" w:hAnsi="Arial" w:cs="Arial"/>
        </w:rPr>
      </w:pPr>
      <w:r w:rsidRPr="00AF4867">
        <w:rPr>
          <w:rFonts w:ascii="Arial" w:hAnsi="Arial" w:cs="Arial"/>
        </w:rPr>
        <w:t>The continued deficits in shareholders’ equity, which is an intrinsic part of Marriott's financial strategy, stems from the aggressive buyback strategy pursued by the company that is funded mainly by borrowing. By the end of 2024, the debt had shot up to $14.4 billion, an increase of 26.3% from the previous year, partly due to the $4.4 billion paid out as dividend and stock repurchases in 2024 alone. Leverage is one of the key issues addressed in Section 4.</w:t>
      </w:r>
    </w:p>
    <w:p w14:paraId="7324390E" w14:textId="77777777" w:rsidR="00296E2A" w:rsidRDefault="00296E2A" w:rsidP="00E64CCA">
      <w:pPr>
        <w:spacing w:before="60" w:after="120"/>
        <w:jc w:val="both"/>
        <w:rPr>
          <w:rFonts w:ascii="Arial" w:hAnsi="Arial" w:cs="Arial"/>
        </w:rPr>
      </w:pPr>
    </w:p>
    <w:p w14:paraId="5ADD2376" w14:textId="06973DA3" w:rsidR="00FD5612" w:rsidRPr="00AF4867" w:rsidRDefault="00FD5612" w:rsidP="00E64CCA">
      <w:pPr>
        <w:spacing w:before="60" w:after="120"/>
        <w:jc w:val="both"/>
        <w:rPr>
          <w:rFonts w:ascii="Arial" w:hAnsi="Arial" w:cs="Arial"/>
          <w:b/>
          <w:bCs/>
          <w:sz w:val="40"/>
          <w:szCs w:val="40"/>
        </w:rPr>
      </w:pPr>
      <w:r w:rsidRPr="00AF4867">
        <w:rPr>
          <w:rFonts w:ascii="Arial" w:hAnsi="Arial" w:cs="Arial"/>
          <w:b/>
          <w:bCs/>
          <w:sz w:val="40"/>
          <w:szCs w:val="40"/>
        </w:rPr>
        <w:lastRenderedPageBreak/>
        <w:t>2.2 Ratio Analysis</w:t>
      </w:r>
    </w:p>
    <w:p w14:paraId="361D9D8F" w14:textId="3D34B4EB" w:rsidR="00FD5612" w:rsidRPr="00AF4867" w:rsidRDefault="00FD5612" w:rsidP="00E64CCA">
      <w:pPr>
        <w:spacing w:before="60" w:after="120"/>
        <w:jc w:val="both"/>
        <w:rPr>
          <w:rFonts w:ascii="Arial" w:hAnsi="Arial" w:cs="Arial"/>
        </w:rPr>
      </w:pPr>
      <w:r w:rsidRPr="00AF4867">
        <w:rPr>
          <w:rFonts w:ascii="Arial" w:hAnsi="Arial" w:cs="Arial"/>
        </w:rPr>
        <w:t>The below ratio analysis covers all major aspects, namely profitability, liquidity, efficiency, gearing, and investments. All the ratios are derived by the author based on the published data available from financial statements; details are provided in Appendix A.</w:t>
      </w:r>
    </w:p>
    <w:p w14:paraId="3A170532" w14:textId="77777777" w:rsidR="00FD5612" w:rsidRPr="00AF4867" w:rsidRDefault="00FD5612" w:rsidP="00E64CCA">
      <w:pPr>
        <w:spacing w:before="120"/>
        <w:jc w:val="both"/>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00"/>
        <w:gridCol w:w="1046"/>
        <w:gridCol w:w="1045"/>
        <w:gridCol w:w="1045"/>
        <w:gridCol w:w="1045"/>
        <w:gridCol w:w="1045"/>
      </w:tblGrid>
      <w:tr w:rsidR="00FD5612" w:rsidRPr="00AF4867" w14:paraId="489FE4AC"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02F0F7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Ratio</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870A923"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2020</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5156EF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2021</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24DFB7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2022</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4B54EB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2023</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A9887D5"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2024</w:t>
            </w:r>
          </w:p>
        </w:tc>
      </w:tr>
      <w:tr w:rsidR="00FD5612" w:rsidRPr="00AF4867" w14:paraId="62E74CFE" w14:textId="77777777" w:rsidTr="00551B9B">
        <w:tblPrEx>
          <w:tblCellMar>
            <w:top w:w="0" w:type="dxa"/>
            <w:bottom w:w="0" w:type="dxa"/>
          </w:tblCellMar>
        </w:tblPrEx>
        <w:tc>
          <w:tcPr>
            <w:tcW w:w="0" w:type="auto"/>
            <w:gridSpan w:val="6"/>
            <w:tcBorders>
              <w:top w:val="single" w:sz="1" w:space="0" w:color="CCCCCC"/>
              <w:left w:val="single" w:sz="1" w:space="0" w:color="CCCCCC"/>
              <w:bottom w:val="single" w:sz="1" w:space="0" w:color="CCCCCC"/>
              <w:right w:val="single" w:sz="1" w:space="0" w:color="CCCCCC"/>
            </w:tcBorders>
            <w:shd w:val="clear" w:color="auto" w:fill="003087"/>
            <w:tcMar>
              <w:top w:w="80" w:type="dxa"/>
              <w:left w:w="100" w:type="dxa"/>
              <w:bottom w:w="80" w:type="dxa"/>
              <w:right w:w="100" w:type="dxa"/>
            </w:tcMar>
            <w:vAlign w:val="center"/>
          </w:tcPr>
          <w:p w14:paraId="391482B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PROFITABILITY</w:t>
            </w:r>
          </w:p>
        </w:tc>
      </w:tr>
      <w:tr w:rsidR="00FD5612" w:rsidRPr="00AF4867" w14:paraId="59954DCE"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E81940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Operating Profit Margin</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C19802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-3.7%</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956324E"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11.5%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AD4C7E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14.2%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004F20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16.7%</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8C5067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15.3%</w:t>
            </w:r>
          </w:p>
        </w:tc>
      </w:tr>
      <w:tr w:rsidR="00FD5612" w:rsidRPr="00AF4867" w14:paraId="406058FC"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FD6C47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Net Profit Margin</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D3C8B0E"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-2.5%</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6AF994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7.9%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9977ED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9.9%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3EB218D"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13.0%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E7317A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9.5%</w:t>
            </w:r>
          </w:p>
        </w:tc>
      </w:tr>
      <w:tr w:rsidR="00FD5612" w:rsidRPr="00AF4867" w14:paraId="3768C218"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B428F2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Return on Assets (ROA)</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37B335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86E99AE"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60A7DB5"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8.7%</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B8545E5"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12.1%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2D7446D"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9.0%</w:t>
            </w:r>
          </w:p>
        </w:tc>
      </w:tr>
      <w:tr w:rsidR="00FD5612" w:rsidRPr="00AF4867" w14:paraId="74C71F03"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8EAEAE9"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Return on Capital Employed</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742BE7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691C28E"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8.8%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0E1AE0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15.9%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CDD563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19.8%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240A35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18.5%</w:t>
            </w:r>
          </w:p>
        </w:tc>
      </w:tr>
      <w:tr w:rsidR="00FD5612" w:rsidRPr="00AF4867" w14:paraId="4083B5CA" w14:textId="77777777" w:rsidTr="00551B9B">
        <w:tblPrEx>
          <w:tblCellMar>
            <w:top w:w="0" w:type="dxa"/>
            <w:bottom w:w="0" w:type="dxa"/>
          </w:tblCellMar>
        </w:tblPrEx>
        <w:tc>
          <w:tcPr>
            <w:tcW w:w="0" w:type="auto"/>
            <w:gridSpan w:val="6"/>
            <w:tcBorders>
              <w:top w:val="single" w:sz="1" w:space="0" w:color="CCCCCC"/>
              <w:left w:val="single" w:sz="1" w:space="0" w:color="CCCCCC"/>
              <w:bottom w:val="single" w:sz="1" w:space="0" w:color="CCCCCC"/>
              <w:right w:val="single" w:sz="1" w:space="0" w:color="CCCCCC"/>
            </w:tcBorders>
            <w:shd w:val="clear" w:color="auto" w:fill="003087"/>
            <w:tcMar>
              <w:top w:w="80" w:type="dxa"/>
              <w:left w:w="100" w:type="dxa"/>
              <w:bottom w:w="80" w:type="dxa"/>
              <w:right w:w="100" w:type="dxa"/>
            </w:tcMar>
            <w:vAlign w:val="center"/>
          </w:tcPr>
          <w:p w14:paraId="15FDB133"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LIQUIDITY</w:t>
            </w:r>
          </w:p>
        </w:tc>
      </w:tr>
      <w:tr w:rsidR="00FD5612" w:rsidRPr="00AF4867" w14:paraId="1BDF5444"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7E1CC1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Current Ratio</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C5E7F2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0.69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0416A0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0.74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88DDE2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0.67</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590FDF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0.52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66C17F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0.52</w:t>
            </w:r>
          </w:p>
        </w:tc>
      </w:tr>
      <w:tr w:rsidR="00FD5612" w:rsidRPr="00AF4867" w14:paraId="1836AEB0"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1B074C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Quick Ratio</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97C68A8"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0.51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4C7CC9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0.60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001D69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0.54</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191343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0.41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A8E17D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0.43</w:t>
            </w:r>
          </w:p>
        </w:tc>
      </w:tr>
      <w:tr w:rsidR="00FD5612" w:rsidRPr="00AF4867" w14:paraId="20EA67C5"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4D8664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Cash Ratio</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CD7E763"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0.22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1D4B303"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0.30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7E418E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0.18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49B890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0.05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DE54DE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0.07</w:t>
            </w:r>
          </w:p>
        </w:tc>
      </w:tr>
      <w:tr w:rsidR="00FD5612" w:rsidRPr="00AF4867" w14:paraId="7CE2AC50" w14:textId="77777777" w:rsidTr="00551B9B">
        <w:tblPrEx>
          <w:tblCellMar>
            <w:top w:w="0" w:type="dxa"/>
            <w:bottom w:w="0" w:type="dxa"/>
          </w:tblCellMar>
        </w:tblPrEx>
        <w:tc>
          <w:tcPr>
            <w:tcW w:w="0" w:type="auto"/>
            <w:gridSpan w:val="6"/>
            <w:tcBorders>
              <w:top w:val="single" w:sz="1" w:space="0" w:color="CCCCCC"/>
              <w:left w:val="single" w:sz="1" w:space="0" w:color="CCCCCC"/>
              <w:bottom w:val="single" w:sz="1" w:space="0" w:color="CCCCCC"/>
              <w:right w:val="single" w:sz="1" w:space="0" w:color="CCCCCC"/>
            </w:tcBorders>
            <w:shd w:val="clear" w:color="auto" w:fill="003087"/>
            <w:tcMar>
              <w:top w:w="80" w:type="dxa"/>
              <w:left w:w="100" w:type="dxa"/>
              <w:bottom w:w="80" w:type="dxa"/>
              <w:right w:w="100" w:type="dxa"/>
            </w:tcMar>
            <w:vAlign w:val="center"/>
          </w:tcPr>
          <w:p w14:paraId="5B9BA3A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EFFICIENCY</w:t>
            </w:r>
          </w:p>
        </w:tc>
      </w:tr>
      <w:tr w:rsidR="00FD5612" w:rsidRPr="00AF4867" w14:paraId="2E9F243F"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EF9670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Asset Turnover (x)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0F376CD"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0.46x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72173D5"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0.61x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96598A8"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0.88x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99E3CA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0.93x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688869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0.95x</w:t>
            </w:r>
          </w:p>
        </w:tc>
      </w:tr>
      <w:tr w:rsidR="00FD5612" w:rsidRPr="00AF4867" w14:paraId="3210E358"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A3E47E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Receivable Days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2581EB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41.3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99E164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35.6</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0C8D76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32.2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3FBE31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30.9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143689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30.5</w:t>
            </w:r>
          </w:p>
        </w:tc>
      </w:tr>
      <w:tr w:rsidR="00FD5612" w:rsidRPr="00AF4867" w14:paraId="666C18E6"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CEE631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Payable Days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05B2A3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31.1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46F4BCE"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28.9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CBC172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24.6</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6D0C348"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23.1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1E056B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23.3</w:t>
            </w:r>
          </w:p>
        </w:tc>
      </w:tr>
      <w:tr w:rsidR="00FD5612" w:rsidRPr="00AF4867" w14:paraId="278C3872" w14:textId="77777777" w:rsidTr="00551B9B">
        <w:tblPrEx>
          <w:tblCellMar>
            <w:top w:w="0" w:type="dxa"/>
            <w:bottom w:w="0" w:type="dxa"/>
          </w:tblCellMar>
        </w:tblPrEx>
        <w:tc>
          <w:tcPr>
            <w:tcW w:w="0" w:type="auto"/>
            <w:gridSpan w:val="6"/>
            <w:tcBorders>
              <w:top w:val="single" w:sz="1" w:space="0" w:color="CCCCCC"/>
              <w:left w:val="single" w:sz="1" w:space="0" w:color="CCCCCC"/>
              <w:bottom w:val="single" w:sz="1" w:space="0" w:color="CCCCCC"/>
              <w:right w:val="single" w:sz="1" w:space="0" w:color="CCCCCC"/>
            </w:tcBorders>
            <w:shd w:val="clear" w:color="auto" w:fill="003087"/>
            <w:tcMar>
              <w:top w:w="80" w:type="dxa"/>
              <w:left w:w="100" w:type="dxa"/>
              <w:bottom w:w="80" w:type="dxa"/>
              <w:right w:w="100" w:type="dxa"/>
            </w:tcMar>
            <w:vAlign w:val="center"/>
          </w:tcPr>
          <w:p w14:paraId="5C042F02"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GEARING</w:t>
            </w:r>
          </w:p>
        </w:tc>
      </w:tr>
      <w:tr w:rsidR="00FD5612" w:rsidRPr="00AF4867" w14:paraId="79C98373"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95E234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Debt-to-Assets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7C985D"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45.8%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5EDF06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46.4%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42C068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44.8%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803D0A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44.8%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568351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54.3%</w:t>
            </w:r>
          </w:p>
        </w:tc>
      </w:tr>
      <w:tr w:rsidR="00FD5612" w:rsidRPr="00AF4867" w14:paraId="07156082"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2C4D9A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Interest Coverage (x)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4DE8D59"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-1.1x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8E15338"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4.4x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742548D"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7.3x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6B26A7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8.7x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5AADE0E"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7.2x</w:t>
            </w:r>
          </w:p>
        </w:tc>
      </w:tr>
      <w:tr w:rsidR="00FD5612" w:rsidRPr="00AF4867" w14:paraId="3466204A" w14:textId="77777777" w:rsidTr="00551B9B">
        <w:tblPrEx>
          <w:tblCellMar>
            <w:top w:w="0" w:type="dxa"/>
            <w:bottom w:w="0" w:type="dxa"/>
          </w:tblCellMar>
        </w:tblPrEx>
        <w:tc>
          <w:tcPr>
            <w:tcW w:w="0" w:type="auto"/>
            <w:gridSpan w:val="6"/>
            <w:tcBorders>
              <w:top w:val="single" w:sz="1" w:space="0" w:color="CCCCCC"/>
              <w:left w:val="single" w:sz="1" w:space="0" w:color="CCCCCC"/>
              <w:bottom w:val="single" w:sz="1" w:space="0" w:color="CCCCCC"/>
              <w:right w:val="single" w:sz="1" w:space="0" w:color="CCCCCC"/>
            </w:tcBorders>
            <w:shd w:val="clear" w:color="auto" w:fill="003087"/>
            <w:tcMar>
              <w:top w:w="80" w:type="dxa"/>
              <w:left w:w="100" w:type="dxa"/>
              <w:bottom w:w="80" w:type="dxa"/>
              <w:right w:w="100" w:type="dxa"/>
            </w:tcMar>
            <w:vAlign w:val="center"/>
          </w:tcPr>
          <w:p w14:paraId="5A240F2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lastRenderedPageBreak/>
              <w:t>INVESTMENT</w:t>
            </w:r>
          </w:p>
        </w:tc>
      </w:tr>
      <w:tr w:rsidR="00FD5612" w:rsidRPr="00AF4867" w14:paraId="05E1466B"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CF1778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Earnings per Share ($)</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6840655"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(0.82)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1F3C7DD"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3.31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047531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6.19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4B38C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10.18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FCCFBB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8.33</w:t>
            </w:r>
          </w:p>
        </w:tc>
      </w:tr>
      <w:tr w:rsidR="00FD5612" w:rsidRPr="00AF4867" w14:paraId="274E4146"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E572D6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Price / Earnings Ratio (x)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17644B3"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N/A</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136774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52.9x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18A6FA6"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26.7x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6EA2E7C"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21.1x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1063C90"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28.8x</w:t>
            </w:r>
          </w:p>
        </w:tc>
      </w:tr>
      <w:tr w:rsidR="00FD5612" w:rsidRPr="00AF4867" w14:paraId="05694C1D" w14:textId="77777777" w:rsidTr="00551B9B">
        <w:tblPrEx>
          <w:tblCellMar>
            <w:top w:w="0" w:type="dxa"/>
            <w:bottom w:w="0" w:type="dxa"/>
          </w:tblCellMar>
        </w:tblPrEx>
        <w:tc>
          <w:tcPr>
            <w:tcW w:w="0" w:type="auto"/>
            <w:gridSpan w:val="6"/>
            <w:tcBorders>
              <w:top w:val="single" w:sz="1" w:space="0" w:color="CCCCCC"/>
              <w:left w:val="single" w:sz="1" w:space="0" w:color="CCCCCC"/>
              <w:bottom w:val="single" w:sz="1" w:space="0" w:color="CCCCCC"/>
              <w:right w:val="single" w:sz="1" w:space="0" w:color="CCCCCC"/>
            </w:tcBorders>
            <w:shd w:val="clear" w:color="auto" w:fill="003087"/>
            <w:tcMar>
              <w:top w:w="80" w:type="dxa"/>
              <w:left w:w="100" w:type="dxa"/>
              <w:bottom w:w="80" w:type="dxa"/>
              <w:right w:w="100" w:type="dxa"/>
            </w:tcMar>
            <w:vAlign w:val="center"/>
          </w:tcPr>
          <w:p w14:paraId="002ACF8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FFFFFF"/>
              </w:rPr>
              <w:t>CASH FLOW</w:t>
            </w:r>
          </w:p>
        </w:tc>
      </w:tr>
      <w:tr w:rsidR="00FD5612" w:rsidRPr="00AF4867" w14:paraId="0CC3F311"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39999A1"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OCF-to-Revenue</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6A773F7"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12.3%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118A06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9.3%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8CEBDE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12.9%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E57989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13.6%</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1852AB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14.7%</w:t>
            </w:r>
          </w:p>
        </w:tc>
      </w:tr>
      <w:tr w:rsidR="00FD5612" w:rsidRPr="00AF4867" w14:paraId="452CDB0D"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4508514"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OCF-to-Current Liabilities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00E290F"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0.31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A49E14B"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0.28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F54C09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0.52</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16DC34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0.58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AE9C4BA" w14:textId="77777777" w:rsidR="00FD5612" w:rsidRPr="00AF4867" w:rsidRDefault="00FD5612" w:rsidP="00E64CCA">
            <w:pPr>
              <w:spacing w:line="360" w:lineRule="auto"/>
              <w:jc w:val="both"/>
              <w:rPr>
                <w:rFonts w:ascii="Arial" w:hAnsi="Arial" w:cs="Arial"/>
              </w:rPr>
            </w:pPr>
            <w:r w:rsidRPr="00AF4867">
              <w:rPr>
                <w:rFonts w:ascii="Arial" w:eastAsia="Arial" w:hAnsi="Arial" w:cs="Arial"/>
                <w:color w:val="1A1A1A"/>
              </w:rPr>
              <w:t>0.64</w:t>
            </w:r>
          </w:p>
        </w:tc>
      </w:tr>
    </w:tbl>
    <w:p w14:paraId="64DC6680" w14:textId="77777777" w:rsidR="00FD5612" w:rsidRPr="00AF4867" w:rsidRDefault="00FD5612" w:rsidP="00E64CCA">
      <w:pPr>
        <w:spacing w:before="60" w:after="120"/>
        <w:jc w:val="both"/>
        <w:rPr>
          <w:rFonts w:ascii="Arial" w:hAnsi="Arial" w:cs="Arial"/>
        </w:rPr>
      </w:pPr>
      <w:r w:rsidRPr="00AF4867">
        <w:rPr>
          <w:rFonts w:ascii="Arial" w:eastAsia="Arial" w:hAnsi="Arial" w:cs="Arial"/>
          <w:color w:val="595959"/>
        </w:rPr>
        <w:t>Table 2: Marriott International — Comprehensive Ratio Analysis 2020–2024 Source: Calculated by author from Marriott International Annual Reports 2020–2024. Formulae in Appendix A.</w:t>
      </w:r>
    </w:p>
    <w:p w14:paraId="5F3CE279" w14:textId="77777777" w:rsidR="00FD5612" w:rsidRPr="00AF4867" w:rsidRDefault="00FD5612" w:rsidP="00E64CCA">
      <w:pPr>
        <w:spacing w:before="60" w:after="120"/>
        <w:jc w:val="both"/>
        <w:rPr>
          <w:rFonts w:ascii="Arial" w:hAnsi="Arial" w:cs="Arial"/>
        </w:rPr>
      </w:pPr>
    </w:p>
    <w:p w14:paraId="454E8A8A" w14:textId="77777777" w:rsidR="00FD5612" w:rsidRPr="00AF4867" w:rsidRDefault="00FD5612" w:rsidP="00E64CCA">
      <w:pPr>
        <w:jc w:val="both"/>
        <w:rPr>
          <w:rFonts w:ascii="Arial" w:hAnsi="Arial" w:cs="Arial"/>
        </w:rPr>
      </w:pPr>
    </w:p>
    <w:p w14:paraId="7125B343" w14:textId="77777777" w:rsidR="00FD5612" w:rsidRPr="00AF4867" w:rsidRDefault="00FD5612" w:rsidP="00E64CCA">
      <w:pPr>
        <w:spacing w:after="0"/>
        <w:jc w:val="both"/>
        <w:rPr>
          <w:rFonts w:ascii="Arial" w:hAnsi="Arial" w:cs="Arial"/>
        </w:rPr>
      </w:pPr>
      <w:r w:rsidRPr="00AF4867">
        <w:rPr>
          <w:rFonts w:ascii="Arial" w:hAnsi="Arial" w:cs="Arial"/>
          <w:noProof/>
        </w:rPr>
        <w:drawing>
          <wp:inline distT="0" distB="0" distL="0" distR="0" wp14:anchorId="55EBAE59" wp14:editId="4D8C6785">
            <wp:extent cx="5577840" cy="2923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profitability.png"/>
                    <pic:cNvPicPr/>
                  </pic:nvPicPr>
                  <pic:blipFill>
                    <a:blip r:embed="rId11"/>
                    <a:stretch>
                      <a:fillRect/>
                    </a:stretch>
                  </pic:blipFill>
                  <pic:spPr>
                    <a:xfrm>
                      <a:off x="0" y="0"/>
                      <a:ext cx="5577840" cy="2923905"/>
                    </a:xfrm>
                    <a:prstGeom prst="rect">
                      <a:avLst/>
                    </a:prstGeom>
                  </pic:spPr>
                </pic:pic>
              </a:graphicData>
            </a:graphic>
          </wp:inline>
        </w:drawing>
      </w:r>
    </w:p>
    <w:p w14:paraId="4E5AF718" w14:textId="77777777" w:rsidR="00FD5612" w:rsidRPr="00AF4867" w:rsidRDefault="00FD5612" w:rsidP="00E64CCA">
      <w:pPr>
        <w:jc w:val="both"/>
        <w:rPr>
          <w:rFonts w:ascii="Arial" w:hAnsi="Arial" w:cs="Arial"/>
          <w:color w:val="404040"/>
        </w:rPr>
      </w:pPr>
      <w:r w:rsidRPr="00AF4867">
        <w:rPr>
          <w:rFonts w:ascii="Arial" w:hAnsi="Arial" w:cs="Arial"/>
          <w:color w:val="404040"/>
        </w:rPr>
        <w:t>Figure 3: Profitability Ratios, 2020–2024. Source: Author's own, from data in Table 2.</w:t>
      </w:r>
    </w:p>
    <w:p w14:paraId="01F8C902" w14:textId="77777777" w:rsidR="00B007C4" w:rsidRPr="00AF4867" w:rsidRDefault="00B007C4" w:rsidP="00E64CCA">
      <w:pPr>
        <w:jc w:val="both"/>
        <w:rPr>
          <w:rFonts w:ascii="Arial" w:hAnsi="Arial" w:cs="Arial"/>
        </w:rPr>
      </w:pPr>
    </w:p>
    <w:p w14:paraId="404406A0" w14:textId="77777777" w:rsidR="00B007C4" w:rsidRPr="00AF4867" w:rsidRDefault="00B007C4" w:rsidP="00E64CCA">
      <w:pPr>
        <w:jc w:val="both"/>
        <w:rPr>
          <w:rFonts w:ascii="Arial" w:hAnsi="Arial" w:cs="Arial"/>
        </w:rPr>
      </w:pPr>
      <w:r w:rsidRPr="00AF4867">
        <w:rPr>
          <w:rFonts w:ascii="Arial" w:hAnsi="Arial" w:cs="Arial"/>
          <w:noProof/>
        </w:rPr>
        <w:lastRenderedPageBreak/>
        <w:drawing>
          <wp:inline distT="0" distB="0" distL="0" distR="0" wp14:anchorId="1819F9A1" wp14:editId="378A61C4">
            <wp:extent cx="5577840" cy="29287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liquidity.png"/>
                    <pic:cNvPicPr/>
                  </pic:nvPicPr>
                  <pic:blipFill>
                    <a:blip r:embed="rId12"/>
                    <a:stretch>
                      <a:fillRect/>
                    </a:stretch>
                  </pic:blipFill>
                  <pic:spPr>
                    <a:xfrm>
                      <a:off x="0" y="0"/>
                      <a:ext cx="5577840" cy="2928710"/>
                    </a:xfrm>
                    <a:prstGeom prst="rect">
                      <a:avLst/>
                    </a:prstGeom>
                  </pic:spPr>
                </pic:pic>
              </a:graphicData>
            </a:graphic>
          </wp:inline>
        </w:drawing>
      </w:r>
    </w:p>
    <w:p w14:paraId="0CBF0B1C" w14:textId="77777777" w:rsidR="00B007C4" w:rsidRDefault="00B007C4" w:rsidP="00E64CCA">
      <w:pPr>
        <w:jc w:val="both"/>
        <w:rPr>
          <w:rFonts w:ascii="Arial" w:hAnsi="Arial" w:cs="Arial"/>
          <w:color w:val="404040"/>
        </w:rPr>
      </w:pPr>
      <w:r w:rsidRPr="00AF4867">
        <w:rPr>
          <w:rFonts w:ascii="Arial" w:hAnsi="Arial" w:cs="Arial"/>
          <w:color w:val="404040"/>
        </w:rPr>
        <w:t>Figure 4: Liquidity Ratios against the 1.0 Benchmark, 2020–2024. Source: Author's own, from data in Table 2.</w:t>
      </w:r>
    </w:p>
    <w:p w14:paraId="7D97804B" w14:textId="77777777" w:rsidR="00FA6B7F" w:rsidRDefault="00FA6B7F" w:rsidP="00E64CCA">
      <w:pPr>
        <w:jc w:val="both"/>
        <w:rPr>
          <w:rFonts w:ascii="Arial" w:hAnsi="Arial" w:cs="Arial"/>
          <w:color w:val="404040"/>
        </w:rPr>
      </w:pPr>
    </w:p>
    <w:p w14:paraId="7F570E93" w14:textId="77777777" w:rsidR="00FA6B7F" w:rsidRPr="00AF4867" w:rsidRDefault="00FA6B7F" w:rsidP="00E64CCA">
      <w:pPr>
        <w:jc w:val="both"/>
        <w:rPr>
          <w:rFonts w:ascii="Arial" w:hAnsi="Arial" w:cs="Arial"/>
        </w:rPr>
      </w:pPr>
    </w:p>
    <w:p w14:paraId="39A14791" w14:textId="77777777" w:rsidR="00B007C4" w:rsidRPr="00AF4867" w:rsidRDefault="00B007C4" w:rsidP="00E64CCA">
      <w:pPr>
        <w:jc w:val="both"/>
        <w:rPr>
          <w:rFonts w:ascii="Arial" w:hAnsi="Arial" w:cs="Arial"/>
        </w:rPr>
      </w:pPr>
      <w:r w:rsidRPr="00AF4867">
        <w:rPr>
          <w:rFonts w:ascii="Arial" w:hAnsi="Arial" w:cs="Arial"/>
          <w:noProof/>
        </w:rPr>
        <w:drawing>
          <wp:inline distT="0" distB="0" distL="0" distR="0" wp14:anchorId="57782C95" wp14:editId="385336EE">
            <wp:extent cx="5577840" cy="29335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efficiency.png"/>
                    <pic:cNvPicPr/>
                  </pic:nvPicPr>
                  <pic:blipFill>
                    <a:blip r:embed="rId13"/>
                    <a:stretch>
                      <a:fillRect/>
                    </a:stretch>
                  </pic:blipFill>
                  <pic:spPr>
                    <a:xfrm>
                      <a:off x="0" y="0"/>
                      <a:ext cx="5577840" cy="2933531"/>
                    </a:xfrm>
                    <a:prstGeom prst="rect">
                      <a:avLst/>
                    </a:prstGeom>
                  </pic:spPr>
                </pic:pic>
              </a:graphicData>
            </a:graphic>
          </wp:inline>
        </w:drawing>
      </w:r>
    </w:p>
    <w:p w14:paraId="7B435B17" w14:textId="77777777" w:rsidR="00B007C4" w:rsidRPr="00AF4867" w:rsidRDefault="00B007C4" w:rsidP="00E64CCA">
      <w:pPr>
        <w:jc w:val="both"/>
        <w:rPr>
          <w:rFonts w:ascii="Arial" w:hAnsi="Arial" w:cs="Arial"/>
        </w:rPr>
      </w:pPr>
      <w:r w:rsidRPr="00AF4867">
        <w:rPr>
          <w:rFonts w:ascii="Arial" w:hAnsi="Arial" w:cs="Arial"/>
          <w:color w:val="404040"/>
        </w:rPr>
        <w:t>Figure 5: Efficiency — Receivable/Payable Days and Asset Turnover, 2020–2024. Source: Author's own, from data in Table 2.</w:t>
      </w:r>
    </w:p>
    <w:p w14:paraId="620A8441" w14:textId="77777777" w:rsidR="00B007C4" w:rsidRPr="00AF4867" w:rsidRDefault="00B007C4" w:rsidP="00E64CCA">
      <w:pPr>
        <w:jc w:val="both"/>
        <w:rPr>
          <w:rFonts w:ascii="Arial" w:hAnsi="Arial" w:cs="Arial"/>
        </w:rPr>
      </w:pPr>
    </w:p>
    <w:p w14:paraId="4880980A" w14:textId="77777777" w:rsidR="00B007C4" w:rsidRPr="00AF4867" w:rsidRDefault="00B007C4" w:rsidP="00E64CCA">
      <w:pPr>
        <w:jc w:val="both"/>
        <w:rPr>
          <w:rFonts w:ascii="Arial" w:hAnsi="Arial" w:cs="Arial"/>
        </w:rPr>
      </w:pPr>
      <w:r w:rsidRPr="00AF4867">
        <w:rPr>
          <w:rFonts w:ascii="Arial" w:hAnsi="Arial" w:cs="Arial"/>
          <w:noProof/>
        </w:rPr>
        <w:lastRenderedPageBreak/>
        <w:drawing>
          <wp:inline distT="0" distB="0" distL="0" distR="0" wp14:anchorId="6B6F2A64" wp14:editId="22BA27AE">
            <wp:extent cx="5577840" cy="29335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gearing.png"/>
                    <pic:cNvPicPr/>
                  </pic:nvPicPr>
                  <pic:blipFill>
                    <a:blip r:embed="rId14"/>
                    <a:stretch>
                      <a:fillRect/>
                    </a:stretch>
                  </pic:blipFill>
                  <pic:spPr>
                    <a:xfrm>
                      <a:off x="0" y="0"/>
                      <a:ext cx="5577840" cy="2933531"/>
                    </a:xfrm>
                    <a:prstGeom prst="rect">
                      <a:avLst/>
                    </a:prstGeom>
                  </pic:spPr>
                </pic:pic>
              </a:graphicData>
            </a:graphic>
          </wp:inline>
        </w:drawing>
      </w:r>
    </w:p>
    <w:p w14:paraId="08559D17" w14:textId="77777777" w:rsidR="00B007C4" w:rsidRPr="00AF4867" w:rsidRDefault="00B007C4" w:rsidP="00E64CCA">
      <w:pPr>
        <w:jc w:val="both"/>
        <w:rPr>
          <w:rFonts w:ascii="Arial" w:hAnsi="Arial" w:cs="Arial"/>
        </w:rPr>
      </w:pPr>
      <w:r w:rsidRPr="00AF4867">
        <w:rPr>
          <w:rFonts w:ascii="Arial" w:hAnsi="Arial" w:cs="Arial"/>
          <w:color w:val="404040"/>
        </w:rPr>
        <w:t>Figure 6: Gearing — Debt-to-Assets and Interest Coverage, 2020–2024. Source: Author's own, from data in Table 2.</w:t>
      </w:r>
    </w:p>
    <w:p w14:paraId="14259CB0" w14:textId="77777777" w:rsidR="00B007C4" w:rsidRPr="00AF4867" w:rsidRDefault="00B007C4" w:rsidP="00E64CCA">
      <w:pPr>
        <w:jc w:val="both"/>
        <w:rPr>
          <w:rFonts w:ascii="Arial" w:hAnsi="Arial" w:cs="Arial"/>
        </w:rPr>
      </w:pPr>
    </w:p>
    <w:p w14:paraId="2A226F95" w14:textId="4415CE54" w:rsidR="00B007C4" w:rsidRPr="00AF4867" w:rsidRDefault="00B007C4" w:rsidP="00E64CCA">
      <w:pPr>
        <w:jc w:val="both"/>
        <w:rPr>
          <w:rFonts w:ascii="Arial" w:hAnsi="Arial" w:cs="Arial"/>
          <w:b/>
          <w:bCs/>
          <w:sz w:val="40"/>
          <w:szCs w:val="40"/>
        </w:rPr>
      </w:pPr>
      <w:r w:rsidRPr="00AF4867">
        <w:rPr>
          <w:rFonts w:ascii="Arial" w:hAnsi="Arial" w:cs="Arial"/>
          <w:b/>
          <w:bCs/>
          <w:sz w:val="40"/>
          <w:szCs w:val="40"/>
        </w:rPr>
        <w:t>2.3 Trend Analysis and Critical Interpretation</w:t>
      </w:r>
    </w:p>
    <w:p w14:paraId="788EF55A" w14:textId="22ED32CE" w:rsidR="00B007C4" w:rsidRPr="00AF4867" w:rsidRDefault="00B007C4" w:rsidP="00E64CCA">
      <w:pPr>
        <w:jc w:val="both"/>
        <w:rPr>
          <w:rFonts w:ascii="Arial" w:hAnsi="Arial" w:cs="Arial"/>
          <w:b/>
          <w:bCs/>
          <w:sz w:val="32"/>
          <w:szCs w:val="32"/>
        </w:rPr>
      </w:pPr>
      <w:r w:rsidRPr="00AF4867">
        <w:rPr>
          <w:rFonts w:ascii="Arial" w:hAnsi="Arial" w:cs="Arial"/>
          <w:b/>
          <w:bCs/>
          <w:sz w:val="32"/>
          <w:szCs w:val="32"/>
        </w:rPr>
        <w:t xml:space="preserve">2.3.1 Profitability </w:t>
      </w:r>
    </w:p>
    <w:p w14:paraId="4D8AAF06" w14:textId="3466A1C4" w:rsidR="00B007C4" w:rsidRPr="00AF4867" w:rsidRDefault="00B007C4" w:rsidP="00E64CCA">
      <w:pPr>
        <w:jc w:val="both"/>
        <w:rPr>
          <w:rFonts w:ascii="Arial" w:hAnsi="Arial" w:cs="Arial"/>
        </w:rPr>
      </w:pPr>
      <w:r w:rsidRPr="00AF4867">
        <w:rPr>
          <w:rFonts w:ascii="Arial" w:hAnsi="Arial" w:cs="Arial"/>
        </w:rPr>
        <w:t>Marriott's profitability trend in the period from 2020 to 2024 represents one of the most spectacular recoveries in the modern history of corporate finance. From operating losses amounting to 3.7% of revenues in 2020 — brought about by the almost complete cessation of business and international travel due to the global coronavirus pandemic — to a 16.7% operating margin in 2023, the profitability of Marriott hotels shows the potential for pricing power in the company's portfolio of brands and efficiency due to its asset-light structure. As Arnold</w:t>
      </w:r>
      <w:r w:rsidR="00F5065A">
        <w:rPr>
          <w:rFonts w:ascii="Arial" w:hAnsi="Arial" w:cs="Arial"/>
        </w:rPr>
        <w:t xml:space="preserve"> </w:t>
      </w:r>
      <w:r w:rsidRPr="00AF4867">
        <w:rPr>
          <w:rFonts w:ascii="Arial" w:hAnsi="Arial" w:cs="Arial"/>
        </w:rPr>
        <w:t>notes, companies which lack physical assets have lower fixed cost structures, thereby making them quicker to restore their margins in recovering demand periods. It can be seen through the example of operating leverage at Marriott: revenue increased by 124.3%, and operating income shifted from -$394m to +$3,952m.</w:t>
      </w:r>
    </w:p>
    <w:p w14:paraId="6DF688D4" w14:textId="0AC39686" w:rsidR="00B007C4" w:rsidRPr="00AF4867" w:rsidRDefault="00B007C4" w:rsidP="00E64CCA">
      <w:pPr>
        <w:jc w:val="both"/>
        <w:rPr>
          <w:rFonts w:ascii="Arial" w:hAnsi="Arial" w:cs="Arial"/>
        </w:rPr>
      </w:pPr>
      <w:r w:rsidRPr="00AF4867">
        <w:rPr>
          <w:rFonts w:ascii="Arial" w:hAnsi="Arial" w:cs="Arial"/>
        </w:rPr>
        <w:t>The ROCE ratio was positive in 2020, standing at -2.1%, and peaked at 19.8% in 2023, which is much higher than the average in the hospitality industry of approximately 14% per Deloitte (2024). The decrease to 18.5% in 2024 is relatively insignificant, but it does reflect the growing amount of capital employed caused by a greater number of assets. The ROA indicator also demonstrated a similar trend: it peaked at 12.1% in 2023 and fell to 9.0% in 2024, as the number of assets and net income reduced. Overall, the provided indicators prove that Marriott earns a good return on its capital employed.</w:t>
      </w:r>
    </w:p>
    <w:p w14:paraId="15706FEC" w14:textId="77777777" w:rsidR="00B007C4" w:rsidRPr="00AF4867" w:rsidRDefault="00B007C4" w:rsidP="00E64CCA">
      <w:pPr>
        <w:jc w:val="both"/>
        <w:rPr>
          <w:rFonts w:ascii="Arial" w:hAnsi="Arial" w:cs="Arial"/>
        </w:rPr>
      </w:pPr>
    </w:p>
    <w:p w14:paraId="7F37073D" w14:textId="77777777" w:rsidR="00FA6B7F" w:rsidRDefault="00FA6B7F" w:rsidP="00E64CCA">
      <w:pPr>
        <w:jc w:val="both"/>
        <w:rPr>
          <w:rFonts w:ascii="Arial" w:hAnsi="Arial" w:cs="Arial"/>
          <w:b/>
          <w:bCs/>
          <w:sz w:val="32"/>
          <w:szCs w:val="32"/>
        </w:rPr>
      </w:pPr>
    </w:p>
    <w:p w14:paraId="745C514B" w14:textId="77777777" w:rsidR="00FA6B7F" w:rsidRDefault="00FA6B7F" w:rsidP="00E64CCA">
      <w:pPr>
        <w:jc w:val="both"/>
        <w:rPr>
          <w:rFonts w:ascii="Arial" w:hAnsi="Arial" w:cs="Arial"/>
          <w:b/>
          <w:bCs/>
          <w:sz w:val="32"/>
          <w:szCs w:val="32"/>
        </w:rPr>
      </w:pPr>
    </w:p>
    <w:p w14:paraId="4A58EE9A" w14:textId="7D1D9EA6" w:rsidR="00B007C4" w:rsidRPr="00AF4867" w:rsidRDefault="00B007C4" w:rsidP="00E64CCA">
      <w:pPr>
        <w:jc w:val="both"/>
        <w:rPr>
          <w:rFonts w:ascii="Arial" w:hAnsi="Arial" w:cs="Arial"/>
          <w:b/>
          <w:bCs/>
          <w:sz w:val="32"/>
          <w:szCs w:val="32"/>
        </w:rPr>
      </w:pPr>
      <w:r w:rsidRPr="00AF4867">
        <w:rPr>
          <w:rFonts w:ascii="Arial" w:hAnsi="Arial" w:cs="Arial"/>
          <w:b/>
          <w:bCs/>
          <w:sz w:val="32"/>
          <w:szCs w:val="32"/>
        </w:rPr>
        <w:lastRenderedPageBreak/>
        <w:t>2.3.2 Liquidity</w:t>
      </w:r>
    </w:p>
    <w:p w14:paraId="14237279" w14:textId="452FE2C0" w:rsidR="006A53EF" w:rsidRPr="00AF4867" w:rsidRDefault="006A53EF" w:rsidP="00E64CCA">
      <w:pPr>
        <w:jc w:val="both"/>
        <w:rPr>
          <w:rFonts w:ascii="Arial" w:hAnsi="Arial" w:cs="Arial"/>
        </w:rPr>
      </w:pPr>
      <w:r w:rsidRPr="00AF4867">
        <w:rPr>
          <w:rFonts w:ascii="Arial" w:hAnsi="Arial" w:cs="Arial"/>
        </w:rPr>
        <w:t xml:space="preserve">Liquidity ratios for Marriott pose the most crucial sign of risk in this study. The current ratio </w:t>
      </w:r>
      <w:proofErr w:type="spellStart"/>
      <w:r w:rsidRPr="00AF4867">
        <w:rPr>
          <w:rFonts w:ascii="Arial" w:hAnsi="Arial" w:cs="Arial"/>
        </w:rPr>
        <w:t>ratio</w:t>
      </w:r>
      <w:proofErr w:type="spellEnd"/>
      <w:r w:rsidRPr="00AF4867">
        <w:rPr>
          <w:rFonts w:ascii="Arial" w:hAnsi="Arial" w:cs="Arial"/>
        </w:rPr>
        <w:t xml:space="preserve"> has been steadily falling from 0.74 in 2021 to 0.52 in 2023 and 2024, which is significantly lower than the commonly acceptable level of 1.0x and below the industry average of about 0.74 as stated by Deloitte (2024). Most importantly, the cash ratio decreased from 0.30 in 2021 to 0.05 in 2023 but improved slightly to 0.07 in 2024. This is due to the almost complete depletion of cash because of the deliberate policy of using all free cash flow and even more on shareholder payouts.</w:t>
      </w:r>
    </w:p>
    <w:p w14:paraId="72EF74C6" w14:textId="5EE385B4" w:rsidR="006A53EF" w:rsidRPr="00AF4867" w:rsidRDefault="006A53EF" w:rsidP="00E64CCA">
      <w:pPr>
        <w:jc w:val="both"/>
        <w:rPr>
          <w:rFonts w:ascii="Arial" w:hAnsi="Arial" w:cs="Arial"/>
        </w:rPr>
      </w:pPr>
      <w:r w:rsidRPr="00AF4867">
        <w:rPr>
          <w:rFonts w:ascii="Arial" w:hAnsi="Arial" w:cs="Arial"/>
        </w:rPr>
        <w:t xml:space="preserve">It should be emphasized, however, that the mentioned indicators should be evaluated in proper context. According to </w:t>
      </w:r>
      <w:proofErr w:type="spellStart"/>
      <w:r w:rsidRPr="00AF4867">
        <w:rPr>
          <w:rFonts w:ascii="Arial" w:hAnsi="Arial" w:cs="Arial"/>
        </w:rPr>
        <w:t>Atrill</w:t>
      </w:r>
      <w:proofErr w:type="spellEnd"/>
      <w:r w:rsidRPr="00AF4867">
        <w:rPr>
          <w:rFonts w:ascii="Arial" w:hAnsi="Arial" w:cs="Arial"/>
        </w:rPr>
        <w:t xml:space="preserve"> &amp; McLaney, liquidity ratios of service sector organizations tend to underestimate the actual liquidity of businesses since deferred revenues, which can be very substantial due to advance bookings of services, do not need cash payment as the company only needs to provide services to the customers as per the agreement. Additionally, Marriott has an unused credit facility of $4.5 billion, adding significant contingency to the firm's liquidity</w:t>
      </w:r>
      <w:r w:rsidRPr="00AF4867">
        <w:rPr>
          <w:rFonts w:ascii="Arial" w:hAnsi="Arial" w:cs="Arial"/>
        </w:rPr>
        <w:t xml:space="preserve">. </w:t>
      </w:r>
      <w:r w:rsidRPr="00AF4867">
        <w:rPr>
          <w:rFonts w:ascii="Arial" w:hAnsi="Arial" w:cs="Arial"/>
        </w:rPr>
        <w:t>However, the cash ratio of 0.07, when compared to the company’s total debt of $14.4 billion and interest expense of $531 million per year, becomes quite a risk of short-term financing problems, especially in view of the 2008 financial crisis and 2020 pandemic experience.</w:t>
      </w:r>
    </w:p>
    <w:p w14:paraId="162123B4" w14:textId="77777777" w:rsidR="006A53EF" w:rsidRPr="00AF4867" w:rsidRDefault="006A53EF" w:rsidP="00E64CCA">
      <w:pPr>
        <w:jc w:val="both"/>
        <w:rPr>
          <w:rFonts w:ascii="Arial" w:hAnsi="Arial" w:cs="Arial"/>
        </w:rPr>
      </w:pPr>
    </w:p>
    <w:p w14:paraId="52AA0E69" w14:textId="48DC4280" w:rsidR="006A53EF" w:rsidRPr="00AF4867" w:rsidRDefault="006A53EF" w:rsidP="00E64CCA">
      <w:pPr>
        <w:jc w:val="both"/>
        <w:rPr>
          <w:rFonts w:ascii="Arial" w:hAnsi="Arial" w:cs="Arial"/>
          <w:b/>
          <w:bCs/>
          <w:sz w:val="32"/>
          <w:szCs w:val="32"/>
        </w:rPr>
      </w:pPr>
      <w:r w:rsidRPr="00AF4867">
        <w:rPr>
          <w:rFonts w:ascii="Arial" w:hAnsi="Arial" w:cs="Arial"/>
          <w:b/>
          <w:bCs/>
          <w:sz w:val="32"/>
          <w:szCs w:val="32"/>
        </w:rPr>
        <w:t>2.3.3 Efficiency</w:t>
      </w:r>
    </w:p>
    <w:p w14:paraId="4714B393" w14:textId="1E18A321" w:rsidR="006A53EF" w:rsidRPr="00AF4867" w:rsidRDefault="006A53EF" w:rsidP="00E64CCA">
      <w:pPr>
        <w:jc w:val="both"/>
        <w:rPr>
          <w:rFonts w:ascii="Arial" w:hAnsi="Arial" w:cs="Arial"/>
        </w:rPr>
      </w:pPr>
      <w:r w:rsidRPr="00AF4867">
        <w:rPr>
          <w:rFonts w:ascii="Arial" w:hAnsi="Arial" w:cs="Arial"/>
        </w:rPr>
        <w:t xml:space="preserve">The trend for asset turnover was positive throughout, moving up from 0.46x in 2020 to 0.95x in 2024, reaching industry-best standards due to not only the recovery of sales volumes but the asset-light model’s capability to earn money without increasing assets. Receivable days were shortened from 41.3 days in 2020 to 30.5 days in 2024, indicating better collection efficiency amidst the post-pandemic period. Payable days were also shortened from 31.1 to 23.3 days in the period considered, which can be explained by the lack of negotiating power in regard to suppliers under the circumstances of high demand in 2022-2024. Ross, </w:t>
      </w:r>
      <w:proofErr w:type="spellStart"/>
      <w:r w:rsidRPr="00AF4867">
        <w:rPr>
          <w:rFonts w:ascii="Arial" w:hAnsi="Arial" w:cs="Arial"/>
        </w:rPr>
        <w:t>Westerfield</w:t>
      </w:r>
      <w:proofErr w:type="spellEnd"/>
      <w:r w:rsidRPr="00AF4867">
        <w:rPr>
          <w:rFonts w:ascii="Arial" w:hAnsi="Arial" w:cs="Arial"/>
        </w:rPr>
        <w:t xml:space="preserve"> and Jordan (2019) warn about possible restrictions on the cash operating cycle due to reducing payable days; see section 3.</w:t>
      </w:r>
    </w:p>
    <w:p w14:paraId="7DF3D00E" w14:textId="77777777" w:rsidR="006A53EF" w:rsidRPr="00AF4867" w:rsidRDefault="006A53EF" w:rsidP="00E64CCA">
      <w:pPr>
        <w:jc w:val="both"/>
        <w:rPr>
          <w:rFonts w:ascii="Arial" w:hAnsi="Arial" w:cs="Arial"/>
        </w:rPr>
      </w:pPr>
    </w:p>
    <w:p w14:paraId="40206676" w14:textId="137574CD" w:rsidR="006A53EF" w:rsidRPr="00AF4867" w:rsidRDefault="006A53EF" w:rsidP="00E64CCA">
      <w:pPr>
        <w:jc w:val="both"/>
        <w:rPr>
          <w:rFonts w:ascii="Arial" w:hAnsi="Arial" w:cs="Arial"/>
          <w:b/>
          <w:bCs/>
          <w:sz w:val="32"/>
          <w:szCs w:val="32"/>
        </w:rPr>
      </w:pPr>
      <w:r w:rsidRPr="00AF4867">
        <w:rPr>
          <w:rFonts w:ascii="Arial" w:hAnsi="Arial" w:cs="Arial"/>
          <w:b/>
          <w:bCs/>
          <w:sz w:val="32"/>
          <w:szCs w:val="32"/>
        </w:rPr>
        <w:t>2.3.4 Gearing</w:t>
      </w:r>
    </w:p>
    <w:p w14:paraId="743F7FC2" w14:textId="6147CED6" w:rsidR="006A53EF" w:rsidRPr="00AF4867" w:rsidRDefault="006A53EF" w:rsidP="00E64CCA">
      <w:pPr>
        <w:jc w:val="both"/>
        <w:rPr>
          <w:rFonts w:ascii="Arial" w:hAnsi="Arial" w:cs="Arial"/>
        </w:rPr>
      </w:pPr>
      <w:r w:rsidRPr="00AF4867">
        <w:rPr>
          <w:rFonts w:ascii="Arial" w:hAnsi="Arial" w:cs="Arial"/>
        </w:rPr>
        <w:t>The debt-to-assets ratio of 54.3% for 2024 is significantly higher compared to the 44.8% ratio seen consistently during 2022-2023, thanks to additional debt raised in the amount of $3 billion for the $4.4 billion value created through shareholder returns in 2024. The interest coverage ratio, although high, has been on a downward trend and currently stands at 7.2x, having dropped from the highest 2023 value of 8.7x. The classic debt-to-equity ratio cannot be calculated since Marriott has permanent negative equity owing to decades of aggressive buybacks surpassing the retained earnings. Pike &amp; Neale (2023) term this as an inherent leverage structure in capital management characteristic of franchise companies with reliable cash flow generation from fees.</w:t>
      </w:r>
    </w:p>
    <w:p w14:paraId="4375DF40" w14:textId="77777777" w:rsidR="006A53EF" w:rsidRPr="00AF4867" w:rsidRDefault="006A53EF" w:rsidP="00E64CCA">
      <w:pPr>
        <w:jc w:val="both"/>
        <w:rPr>
          <w:rFonts w:ascii="Arial" w:hAnsi="Arial" w:cs="Arial"/>
        </w:rPr>
      </w:pPr>
    </w:p>
    <w:p w14:paraId="22B4047B" w14:textId="25E8A3E6" w:rsidR="006A53EF" w:rsidRPr="00AF4867" w:rsidRDefault="006A53EF" w:rsidP="00E64CCA">
      <w:pPr>
        <w:jc w:val="both"/>
        <w:rPr>
          <w:rFonts w:ascii="Arial" w:hAnsi="Arial" w:cs="Arial"/>
          <w:b/>
          <w:bCs/>
          <w:sz w:val="40"/>
          <w:szCs w:val="40"/>
        </w:rPr>
      </w:pPr>
      <w:r w:rsidRPr="00AF4867">
        <w:rPr>
          <w:rFonts w:ascii="Arial" w:hAnsi="Arial" w:cs="Arial"/>
          <w:b/>
          <w:bCs/>
          <w:sz w:val="40"/>
          <w:szCs w:val="40"/>
        </w:rPr>
        <w:t>2.4 Industry Benchmark Comparison</w:t>
      </w:r>
    </w:p>
    <w:p w14:paraId="75992783" w14:textId="77777777" w:rsidR="006A53EF" w:rsidRPr="00AF4867" w:rsidRDefault="006A53EF" w:rsidP="00E64CCA">
      <w:pPr>
        <w:spacing w:before="80" w:after="80" w:line="360" w:lineRule="auto"/>
        <w:jc w:val="both"/>
        <w:rPr>
          <w:rFonts w:ascii="Arial" w:hAnsi="Arial" w:cs="Arial"/>
        </w:rPr>
      </w:pPr>
      <w:r w:rsidRPr="00AF4867">
        <w:rPr>
          <w:rFonts w:ascii="Arial" w:eastAsia="Arial" w:hAnsi="Arial" w:cs="Arial"/>
          <w:color w:val="1A1A1A"/>
        </w:rPr>
        <w:t>Table 3 compares Marriott's 2023 liquidity position against major hospitality sector peers. Current and quick ratios are presented as the most reliable cross-company liquidity measures.</w:t>
      </w:r>
    </w:p>
    <w:p w14:paraId="502928F2" w14:textId="77777777" w:rsidR="006A53EF" w:rsidRPr="00AF4867" w:rsidRDefault="006A53EF" w:rsidP="00E64CCA">
      <w:pPr>
        <w:spacing w:before="120"/>
        <w:jc w:val="both"/>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73"/>
        <w:gridCol w:w="1314"/>
        <w:gridCol w:w="1127"/>
        <w:gridCol w:w="1074"/>
        <w:gridCol w:w="3338"/>
      </w:tblGrid>
      <w:tr w:rsidR="006A53EF" w:rsidRPr="00AF4867" w14:paraId="218A435B"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561499EA"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Company</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6F618337"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Current Ratio</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0AF3D3B0"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Quick Ratio</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70CC068"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Cash Ratio</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F3E3BD5"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Comment</w:t>
            </w:r>
          </w:p>
        </w:tc>
      </w:tr>
      <w:tr w:rsidR="006A53EF" w:rsidRPr="00AF4867" w14:paraId="1C3740EB"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046BFE4"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Marriott International</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53C72C2"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0.52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0B49A7"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0.41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1568F4"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0.05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F6837F3"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Below sector avg; relies on credit facility</w:t>
            </w:r>
          </w:p>
        </w:tc>
      </w:tr>
      <w:tr w:rsidR="006A53EF" w:rsidRPr="00AF4867" w14:paraId="0D0895E3"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EC23078"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Hilton Hotels &amp; Resorts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ACA2ECE"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0.64</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9726C0D"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0.58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5A8190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0.12</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CD5B188"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 xml:space="preserve">Moderate liquidity; active buyback </w:t>
            </w:r>
            <w:proofErr w:type="spellStart"/>
            <w:r w:rsidRPr="00AF4867">
              <w:rPr>
                <w:rFonts w:ascii="Arial" w:eastAsia="Arial" w:hAnsi="Arial" w:cs="Arial"/>
                <w:color w:val="1A1A1A"/>
              </w:rPr>
              <w:t>programme</w:t>
            </w:r>
            <w:proofErr w:type="spellEnd"/>
          </w:p>
        </w:tc>
      </w:tr>
      <w:tr w:rsidR="006A53EF" w:rsidRPr="00AF4867" w14:paraId="5DD72282"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D6AD30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IHG Hotels &amp; Resorts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62E5171"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0.52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9F721B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0.47</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8D60049"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0.14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4D5EC4D"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Similar asset-light profile to Marriott</w:t>
            </w:r>
          </w:p>
        </w:tc>
      </w:tr>
      <w:tr w:rsidR="006A53EF" w:rsidRPr="00AF4867" w14:paraId="35A9291F"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153BB95"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Hyatt Hotels Corporation</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44FFB41"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1.30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B66A1F7"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1.22</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B6040C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0.38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6A29133"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Owns more assets; higher liquidity buffer</w:t>
            </w:r>
          </w:p>
        </w:tc>
      </w:tr>
      <w:tr w:rsidR="006A53EF" w:rsidRPr="00AF4867" w14:paraId="5FFC1FCA"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59B4AB3"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Accor SA</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18D96F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0.71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FE51E5A"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0.66</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3CA4B5F"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0.21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2BA4BD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European hybrid model; moderate leverage</w:t>
            </w:r>
          </w:p>
        </w:tc>
      </w:tr>
      <w:tr w:rsidR="006A53EF" w:rsidRPr="00AF4867" w14:paraId="0DCC0A6E"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665C7A6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Sector Average (est.)</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04D16C9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0.74</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71405B4F"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0.67</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4CFBE035"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0.18</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75D52A7E"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 xml:space="preserve">Weighted by market </w:t>
            </w:r>
            <w:proofErr w:type="spellStart"/>
            <w:r w:rsidRPr="00AF4867">
              <w:rPr>
                <w:rFonts w:ascii="Arial" w:eastAsia="Arial" w:hAnsi="Arial" w:cs="Arial"/>
                <w:color w:val="1A1A1A"/>
              </w:rPr>
              <w:t>capitalisation</w:t>
            </w:r>
            <w:proofErr w:type="spellEnd"/>
          </w:p>
        </w:tc>
      </w:tr>
    </w:tbl>
    <w:p w14:paraId="67B8CBBD" w14:textId="77777777" w:rsidR="006A53EF" w:rsidRPr="00AF4867" w:rsidRDefault="006A53EF" w:rsidP="00E64CCA">
      <w:pPr>
        <w:spacing w:before="60" w:after="120"/>
        <w:jc w:val="both"/>
        <w:rPr>
          <w:rFonts w:ascii="Arial" w:eastAsia="Arial" w:hAnsi="Arial" w:cs="Arial"/>
          <w:color w:val="595959"/>
        </w:rPr>
      </w:pPr>
      <w:r w:rsidRPr="00AF4867">
        <w:rPr>
          <w:rFonts w:ascii="Arial" w:eastAsia="Arial" w:hAnsi="Arial" w:cs="Arial"/>
          <w:color w:val="595959"/>
        </w:rPr>
        <w:t>Table 3: Hospitality Sector Liquidity Benchmark Comparison 2023 Source: Hilton (2024); IHG (2024); Hyatt (2024); Accor (2024); sector average calculated by author.</w:t>
      </w:r>
    </w:p>
    <w:p w14:paraId="6D563599" w14:textId="77777777" w:rsidR="006A53EF" w:rsidRPr="00AF4867" w:rsidRDefault="006A53EF" w:rsidP="00E64CCA">
      <w:pPr>
        <w:spacing w:before="60" w:after="120"/>
        <w:jc w:val="both"/>
        <w:rPr>
          <w:rFonts w:ascii="Arial" w:eastAsia="Arial" w:hAnsi="Arial" w:cs="Arial"/>
          <w:color w:val="595959"/>
        </w:rPr>
      </w:pPr>
    </w:p>
    <w:p w14:paraId="6589449E" w14:textId="7533EFD8" w:rsidR="006A53EF" w:rsidRPr="00F5065A" w:rsidRDefault="006A53EF" w:rsidP="00E64CCA">
      <w:pPr>
        <w:jc w:val="both"/>
        <w:rPr>
          <w:rFonts w:ascii="Arial" w:hAnsi="Arial" w:cs="Arial"/>
        </w:rPr>
      </w:pPr>
      <w:r w:rsidRPr="00AF4867">
        <w:rPr>
          <w:rFonts w:ascii="Arial" w:hAnsi="Arial" w:cs="Arial"/>
          <w:noProof/>
        </w:rPr>
        <w:lastRenderedPageBreak/>
        <w:drawing>
          <wp:inline distT="0" distB="0" distL="0" distR="0" wp14:anchorId="30313B64" wp14:editId="6BC04AC9">
            <wp:extent cx="5577840" cy="31212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peer_liquidity.png"/>
                    <pic:cNvPicPr/>
                  </pic:nvPicPr>
                  <pic:blipFill>
                    <a:blip r:embed="rId15"/>
                    <a:stretch>
                      <a:fillRect/>
                    </a:stretch>
                  </pic:blipFill>
                  <pic:spPr>
                    <a:xfrm>
                      <a:off x="0" y="0"/>
                      <a:ext cx="5577840" cy="3121207"/>
                    </a:xfrm>
                    <a:prstGeom prst="rect">
                      <a:avLst/>
                    </a:prstGeom>
                  </pic:spPr>
                </pic:pic>
              </a:graphicData>
            </a:graphic>
          </wp:inline>
        </w:drawing>
      </w:r>
      <w:r w:rsidRPr="00AF4867">
        <w:rPr>
          <w:rFonts w:ascii="Arial" w:hAnsi="Arial" w:cs="Arial"/>
          <w:color w:val="404040"/>
        </w:rPr>
        <w:t>Figure 7: Hospitality Peer Liquidity Comparison, 2023. Source: Author's own, from data in Table 3.</w:t>
      </w:r>
    </w:p>
    <w:p w14:paraId="54E06AA5" w14:textId="53460E1A" w:rsidR="006A53EF" w:rsidRPr="00AF4867" w:rsidRDefault="006A53EF" w:rsidP="00E64CCA">
      <w:pPr>
        <w:jc w:val="both"/>
        <w:rPr>
          <w:rFonts w:ascii="Arial" w:hAnsi="Arial" w:cs="Arial"/>
        </w:rPr>
      </w:pPr>
      <w:r w:rsidRPr="00AF4867">
        <w:rPr>
          <w:rFonts w:ascii="Arial" w:hAnsi="Arial" w:cs="Arial"/>
        </w:rPr>
        <w:t>Liquidity ratios for Marriott are in the bottom half of the group, together with IHG which employs an analogous asset-light business model. The stronger liquidity of Hyatt stems from its higher level of capital intensity through maintaining more direct property ownerships. Marriott's structural sub-sector average ratios are clearly not a sign of financial distress and, at the same time, show the need for careful management. According to McKinsey and Company (2023), in case of a credit market stress scenario, good contingent liquidity (credit lines) can turn into poor realized liquidity in a short period due to covenant tightening by lenders, like in the travel industry from March to June 2020.</w:t>
      </w:r>
    </w:p>
    <w:p w14:paraId="3BB3E211" w14:textId="77777777" w:rsidR="006A53EF" w:rsidRPr="00AF4867" w:rsidRDefault="006A53EF" w:rsidP="00E64CCA">
      <w:pPr>
        <w:jc w:val="both"/>
        <w:rPr>
          <w:rFonts w:ascii="Arial" w:hAnsi="Arial" w:cs="Arial"/>
        </w:rPr>
      </w:pPr>
    </w:p>
    <w:p w14:paraId="036D1BD0" w14:textId="77777777" w:rsidR="006A53EF" w:rsidRPr="00AF4867" w:rsidRDefault="006A53EF" w:rsidP="00E64CCA">
      <w:pPr>
        <w:jc w:val="both"/>
        <w:rPr>
          <w:rFonts w:ascii="Arial" w:hAnsi="Arial" w:cs="Arial"/>
        </w:rPr>
      </w:pPr>
    </w:p>
    <w:p w14:paraId="5ED15164" w14:textId="77777777" w:rsidR="006A53EF" w:rsidRPr="00AF4867" w:rsidRDefault="006A53EF" w:rsidP="00E64CCA">
      <w:pPr>
        <w:jc w:val="both"/>
        <w:rPr>
          <w:rFonts w:ascii="Arial" w:hAnsi="Arial" w:cs="Arial"/>
        </w:rPr>
      </w:pPr>
    </w:p>
    <w:p w14:paraId="023601FC" w14:textId="77777777" w:rsidR="006A53EF" w:rsidRPr="00AF4867" w:rsidRDefault="006A53EF" w:rsidP="00E64CCA">
      <w:pPr>
        <w:jc w:val="both"/>
        <w:rPr>
          <w:rFonts w:ascii="Arial" w:hAnsi="Arial" w:cs="Arial"/>
        </w:rPr>
      </w:pPr>
    </w:p>
    <w:p w14:paraId="53000990" w14:textId="77777777" w:rsidR="006A53EF" w:rsidRPr="00AF4867" w:rsidRDefault="006A53EF" w:rsidP="00E64CCA">
      <w:pPr>
        <w:jc w:val="both"/>
        <w:rPr>
          <w:rFonts w:ascii="Arial" w:hAnsi="Arial" w:cs="Arial"/>
        </w:rPr>
      </w:pPr>
    </w:p>
    <w:p w14:paraId="7B723263" w14:textId="77777777" w:rsidR="006A53EF" w:rsidRPr="00AF4867" w:rsidRDefault="006A53EF" w:rsidP="00E64CCA">
      <w:pPr>
        <w:jc w:val="both"/>
        <w:rPr>
          <w:rFonts w:ascii="Arial" w:hAnsi="Arial" w:cs="Arial"/>
        </w:rPr>
      </w:pPr>
    </w:p>
    <w:p w14:paraId="211F7101" w14:textId="77777777" w:rsidR="006A53EF" w:rsidRPr="00AF4867" w:rsidRDefault="006A53EF" w:rsidP="00E64CCA">
      <w:pPr>
        <w:jc w:val="both"/>
        <w:rPr>
          <w:rFonts w:ascii="Arial" w:hAnsi="Arial" w:cs="Arial"/>
        </w:rPr>
      </w:pPr>
    </w:p>
    <w:p w14:paraId="636EBB1F" w14:textId="77777777" w:rsidR="006A53EF" w:rsidRPr="00AF4867" w:rsidRDefault="006A53EF" w:rsidP="00E64CCA">
      <w:pPr>
        <w:jc w:val="both"/>
        <w:rPr>
          <w:rFonts w:ascii="Arial" w:hAnsi="Arial" w:cs="Arial"/>
        </w:rPr>
      </w:pPr>
    </w:p>
    <w:p w14:paraId="63C3A4E5" w14:textId="77777777" w:rsidR="006A53EF" w:rsidRPr="00AF4867" w:rsidRDefault="006A53EF" w:rsidP="00E64CCA">
      <w:pPr>
        <w:jc w:val="both"/>
        <w:rPr>
          <w:rFonts w:ascii="Arial" w:hAnsi="Arial" w:cs="Arial"/>
        </w:rPr>
      </w:pPr>
    </w:p>
    <w:p w14:paraId="1F98212C" w14:textId="77777777" w:rsidR="006A53EF" w:rsidRPr="00AF4867" w:rsidRDefault="006A53EF" w:rsidP="00E64CCA">
      <w:pPr>
        <w:jc w:val="both"/>
        <w:rPr>
          <w:rFonts w:ascii="Arial" w:hAnsi="Arial" w:cs="Arial"/>
        </w:rPr>
      </w:pPr>
    </w:p>
    <w:p w14:paraId="044A1B3A" w14:textId="77777777" w:rsidR="00AF4867" w:rsidRDefault="00AF4867" w:rsidP="00E64CCA">
      <w:pPr>
        <w:jc w:val="both"/>
        <w:rPr>
          <w:rFonts w:ascii="Arial" w:hAnsi="Arial" w:cs="Arial"/>
        </w:rPr>
      </w:pPr>
    </w:p>
    <w:p w14:paraId="59FF7AF5" w14:textId="77777777" w:rsidR="00AF4867" w:rsidRDefault="00AF4867" w:rsidP="00E64CCA">
      <w:pPr>
        <w:jc w:val="both"/>
        <w:rPr>
          <w:rFonts w:ascii="Arial" w:hAnsi="Arial" w:cs="Arial"/>
        </w:rPr>
      </w:pPr>
    </w:p>
    <w:p w14:paraId="278A23DD" w14:textId="77777777" w:rsidR="00AF4867" w:rsidRDefault="00AF4867" w:rsidP="00E64CCA">
      <w:pPr>
        <w:jc w:val="both"/>
        <w:rPr>
          <w:rFonts w:ascii="Arial" w:hAnsi="Arial" w:cs="Arial"/>
        </w:rPr>
      </w:pPr>
    </w:p>
    <w:p w14:paraId="0C8D42FB" w14:textId="391CF906" w:rsidR="006A53EF" w:rsidRDefault="006A53EF" w:rsidP="00A6107F">
      <w:pPr>
        <w:pStyle w:val="NoSpacing"/>
        <w:rPr>
          <w:rFonts w:ascii="Arial" w:hAnsi="Arial" w:cs="Arial"/>
          <w:b/>
          <w:bCs/>
          <w:sz w:val="52"/>
          <w:szCs w:val="52"/>
          <w:u w:val="single"/>
        </w:rPr>
      </w:pPr>
      <w:r w:rsidRPr="00A6107F">
        <w:rPr>
          <w:rFonts w:ascii="Arial" w:hAnsi="Arial" w:cs="Arial"/>
          <w:b/>
          <w:bCs/>
          <w:sz w:val="52"/>
          <w:szCs w:val="52"/>
          <w:u w:val="single"/>
        </w:rPr>
        <w:lastRenderedPageBreak/>
        <w:t>3. Working Capital Management Analysis</w:t>
      </w:r>
    </w:p>
    <w:p w14:paraId="473E61BB" w14:textId="77777777" w:rsidR="00A6107F" w:rsidRPr="00A6107F" w:rsidRDefault="00A6107F" w:rsidP="00A6107F">
      <w:pPr>
        <w:pStyle w:val="NoSpacing"/>
        <w:rPr>
          <w:rFonts w:ascii="Arial" w:hAnsi="Arial" w:cs="Arial"/>
          <w:b/>
          <w:bCs/>
          <w:sz w:val="52"/>
          <w:szCs w:val="52"/>
          <w:u w:val="single"/>
        </w:rPr>
      </w:pPr>
    </w:p>
    <w:p w14:paraId="49354CD5" w14:textId="66AB5125" w:rsidR="006A53EF" w:rsidRPr="00A6107F" w:rsidRDefault="006A53EF" w:rsidP="00E64CCA">
      <w:pPr>
        <w:jc w:val="both"/>
        <w:rPr>
          <w:rFonts w:ascii="Arial" w:hAnsi="Arial" w:cs="Arial"/>
          <w:b/>
          <w:bCs/>
          <w:sz w:val="40"/>
          <w:szCs w:val="40"/>
        </w:rPr>
      </w:pPr>
      <w:r w:rsidRPr="00A6107F">
        <w:rPr>
          <w:rFonts w:ascii="Arial" w:hAnsi="Arial" w:cs="Arial"/>
          <w:b/>
          <w:bCs/>
          <w:sz w:val="40"/>
          <w:szCs w:val="40"/>
        </w:rPr>
        <w:t>3.1 Cash Opening Cycle</w:t>
      </w:r>
    </w:p>
    <w:p w14:paraId="364135B8" w14:textId="7A45288B" w:rsidR="006A53EF" w:rsidRPr="00AF4867" w:rsidRDefault="006A53EF" w:rsidP="00E64CCA">
      <w:pPr>
        <w:jc w:val="both"/>
        <w:rPr>
          <w:rFonts w:ascii="Arial" w:hAnsi="Arial" w:cs="Arial"/>
        </w:rPr>
      </w:pPr>
      <w:r w:rsidRPr="00AF4867">
        <w:rPr>
          <w:rFonts w:ascii="Arial" w:hAnsi="Arial" w:cs="Arial"/>
        </w:rPr>
        <w:t xml:space="preserve">The subject of working capital management relates to how a business manages its short-term assets and liabilities in a way that ensures maximum liquidity while minimizing the costs of financing current activities. The Cash Operating Cycle (COC), or Cash Conversion Cycle, is defined as the period between spending on purchases and getting </w:t>
      </w:r>
    </w:p>
    <w:p w14:paraId="226FEF92" w14:textId="77777777" w:rsidR="006A53EF" w:rsidRPr="00AF4867" w:rsidRDefault="006A53EF" w:rsidP="00E64CCA">
      <w:pPr>
        <w:spacing w:before="80" w:after="80" w:line="360" w:lineRule="auto"/>
        <w:jc w:val="both"/>
        <w:rPr>
          <w:rFonts w:ascii="Arial" w:hAnsi="Arial" w:cs="Arial"/>
        </w:rPr>
      </w:pPr>
      <w:r w:rsidRPr="00AF4867">
        <w:rPr>
          <w:rFonts w:ascii="Arial" w:eastAsia="Arial" w:hAnsi="Arial" w:cs="Arial"/>
          <w:color w:val="1A1A1A"/>
        </w:rPr>
        <w:t>Cash Operating Cycle = Receivable Days + Inventory Days − Payable Days</w:t>
      </w:r>
    </w:p>
    <w:p w14:paraId="626C9A64" w14:textId="77777777" w:rsidR="006A53EF" w:rsidRPr="00AF4867" w:rsidRDefault="006A53EF" w:rsidP="00E64CCA">
      <w:pPr>
        <w:spacing w:before="120"/>
        <w:jc w:val="both"/>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97"/>
        <w:gridCol w:w="1045"/>
        <w:gridCol w:w="1046"/>
        <w:gridCol w:w="1046"/>
        <w:gridCol w:w="1046"/>
        <w:gridCol w:w="1046"/>
      </w:tblGrid>
      <w:tr w:rsidR="006A53EF" w:rsidRPr="00AF4867" w14:paraId="02C3B886"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B6BE1F0"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Component</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4C7BECD"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2020</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DEFC02D"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2021</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61AC4202"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2022</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86D2164"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2023</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DA6CAE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FFFFFF"/>
              </w:rPr>
              <w:t>2024</w:t>
            </w:r>
          </w:p>
        </w:tc>
      </w:tr>
      <w:tr w:rsidR="006A53EF" w:rsidRPr="00AF4867" w14:paraId="3E52CCE1"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98A98AA"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Receivable Days (days)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50F7D23"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41.3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E408E37"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35.6</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D9CC068"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32.2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18E02F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30.9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0148583"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30.5</w:t>
            </w:r>
          </w:p>
        </w:tc>
      </w:tr>
      <w:tr w:rsidR="006A53EF" w:rsidRPr="00AF4867" w14:paraId="09755BDD"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98AA8D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Inventory Days (days)</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77CC09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7F50AF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EB282B8"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1.7</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14D905A"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1.4</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7A7BFC9"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1.2</w:t>
            </w:r>
          </w:p>
        </w:tc>
      </w:tr>
      <w:tr w:rsidR="006A53EF" w:rsidRPr="00AF4867" w14:paraId="088A71D3"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651D897"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Payable Days (days)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CEF189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31.1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B8FE6F9"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28.9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A9CB12E"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24.6</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845F992"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23.1</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F8410EE"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23.3</w:t>
            </w:r>
          </w:p>
        </w:tc>
      </w:tr>
      <w:tr w:rsidR="006A53EF" w:rsidRPr="00AF4867" w14:paraId="3A01BE95"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423D6CC4"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Cash Operating Cycle (days)</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49826F1F"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12.1</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2BEDE2E3"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8.6</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6025E426"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9.3</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28AE5CC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9.2</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442AD387"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8.4</w:t>
            </w:r>
          </w:p>
        </w:tc>
      </w:tr>
      <w:tr w:rsidR="006A53EF" w:rsidRPr="00AF4867" w14:paraId="5CE47D8B"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FF91A1D"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Working Capital (USD millions)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26BCF62"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(1,310)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CFFBE64"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(1,200)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A37C95C"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(1,700)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934AFC2"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(2,650)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5475714" w14:textId="77777777" w:rsidR="006A53EF" w:rsidRPr="00AF4867" w:rsidRDefault="006A53EF" w:rsidP="00E64CCA">
            <w:pPr>
              <w:spacing w:line="360" w:lineRule="auto"/>
              <w:jc w:val="both"/>
              <w:rPr>
                <w:rFonts w:ascii="Arial" w:hAnsi="Arial" w:cs="Arial"/>
              </w:rPr>
            </w:pPr>
            <w:r w:rsidRPr="00AF4867">
              <w:rPr>
                <w:rFonts w:ascii="Arial" w:eastAsia="Arial" w:hAnsi="Arial" w:cs="Arial"/>
                <w:color w:val="1A1A1A"/>
              </w:rPr>
              <w:t>(2,800)</w:t>
            </w:r>
          </w:p>
        </w:tc>
      </w:tr>
    </w:tbl>
    <w:p w14:paraId="44B1312F" w14:textId="77777777" w:rsidR="006A53EF" w:rsidRPr="00AF4867" w:rsidRDefault="006A53EF" w:rsidP="00E64CCA">
      <w:pPr>
        <w:spacing w:before="60" w:after="120"/>
        <w:jc w:val="both"/>
        <w:rPr>
          <w:rFonts w:ascii="Arial" w:eastAsia="Arial" w:hAnsi="Arial" w:cs="Arial"/>
          <w:color w:val="595959"/>
        </w:rPr>
      </w:pPr>
      <w:r w:rsidRPr="00AF4867">
        <w:rPr>
          <w:rFonts w:ascii="Arial" w:eastAsia="Arial" w:hAnsi="Arial" w:cs="Arial"/>
          <w:color w:val="595959"/>
        </w:rPr>
        <w:t>Table 4: Marriott International — Working Capital Components 2020–2024 Source: Calculated by author from Marriott International Annual Reports 2020–2024.</w:t>
      </w:r>
    </w:p>
    <w:p w14:paraId="5DC8FC0B" w14:textId="77777777" w:rsidR="006A53EF" w:rsidRPr="00AF4867" w:rsidRDefault="006A53EF" w:rsidP="00E64CCA">
      <w:pPr>
        <w:jc w:val="both"/>
        <w:rPr>
          <w:rFonts w:ascii="Arial" w:hAnsi="Arial" w:cs="Arial"/>
        </w:rPr>
      </w:pPr>
    </w:p>
    <w:p w14:paraId="027A2889" w14:textId="77777777" w:rsidR="006A53EF" w:rsidRPr="00AF4867" w:rsidRDefault="006A53EF" w:rsidP="00E64CCA">
      <w:pPr>
        <w:jc w:val="both"/>
        <w:rPr>
          <w:rFonts w:ascii="Arial" w:hAnsi="Arial" w:cs="Arial"/>
        </w:rPr>
      </w:pPr>
      <w:r w:rsidRPr="00AF4867">
        <w:rPr>
          <w:rFonts w:ascii="Arial" w:hAnsi="Arial" w:cs="Arial"/>
          <w:noProof/>
        </w:rPr>
        <w:lastRenderedPageBreak/>
        <w:drawing>
          <wp:inline distT="0" distB="0" distL="0" distR="0" wp14:anchorId="60674206" wp14:editId="745CBB71">
            <wp:extent cx="5577840" cy="31120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coc.png"/>
                    <pic:cNvPicPr/>
                  </pic:nvPicPr>
                  <pic:blipFill>
                    <a:blip r:embed="rId16"/>
                    <a:stretch>
                      <a:fillRect/>
                    </a:stretch>
                  </pic:blipFill>
                  <pic:spPr>
                    <a:xfrm>
                      <a:off x="0" y="0"/>
                      <a:ext cx="5577840" cy="3112041"/>
                    </a:xfrm>
                    <a:prstGeom prst="rect">
                      <a:avLst/>
                    </a:prstGeom>
                  </pic:spPr>
                </pic:pic>
              </a:graphicData>
            </a:graphic>
          </wp:inline>
        </w:drawing>
      </w:r>
    </w:p>
    <w:p w14:paraId="2371D0E2" w14:textId="77777777" w:rsidR="006A53EF" w:rsidRPr="00AF4867" w:rsidRDefault="006A53EF" w:rsidP="00E64CCA">
      <w:pPr>
        <w:jc w:val="both"/>
        <w:rPr>
          <w:rFonts w:ascii="Arial" w:hAnsi="Arial" w:cs="Arial"/>
        </w:rPr>
      </w:pPr>
      <w:r w:rsidRPr="00AF4867">
        <w:rPr>
          <w:rFonts w:ascii="Arial" w:hAnsi="Arial" w:cs="Arial"/>
          <w:color w:val="404040"/>
        </w:rPr>
        <w:t>Figure 8: Cash Operating Cycle Decomposition, 2020–2024. Source: Author's own, from data in Table 4.</w:t>
      </w:r>
    </w:p>
    <w:p w14:paraId="530078DE" w14:textId="77777777" w:rsidR="006A53EF" w:rsidRPr="00AF4867" w:rsidRDefault="006A53EF" w:rsidP="00E64CCA">
      <w:pPr>
        <w:spacing w:before="60" w:after="120"/>
        <w:jc w:val="both"/>
        <w:rPr>
          <w:rFonts w:ascii="Arial" w:hAnsi="Arial" w:cs="Arial"/>
        </w:rPr>
      </w:pPr>
    </w:p>
    <w:p w14:paraId="5A1CABF9" w14:textId="77777777" w:rsidR="006A53EF" w:rsidRPr="00AF4867" w:rsidRDefault="006A53EF" w:rsidP="00E64CCA">
      <w:pPr>
        <w:jc w:val="both"/>
        <w:rPr>
          <w:rFonts w:ascii="Arial" w:hAnsi="Arial" w:cs="Arial"/>
        </w:rPr>
      </w:pPr>
    </w:p>
    <w:p w14:paraId="18FE55F6" w14:textId="77777777" w:rsidR="006A53EF" w:rsidRPr="00AF4867" w:rsidRDefault="006A53EF" w:rsidP="00E64CCA">
      <w:pPr>
        <w:jc w:val="both"/>
        <w:rPr>
          <w:rFonts w:ascii="Arial" w:hAnsi="Arial" w:cs="Arial"/>
        </w:rPr>
      </w:pPr>
      <w:r w:rsidRPr="00AF4867">
        <w:rPr>
          <w:rFonts w:ascii="Arial" w:hAnsi="Arial" w:cs="Arial"/>
          <w:noProof/>
        </w:rPr>
        <w:drawing>
          <wp:inline distT="0" distB="0" distL="0" distR="0" wp14:anchorId="236CFC81" wp14:editId="271FA6D9">
            <wp:extent cx="5577840" cy="26537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working_capital.png"/>
                    <pic:cNvPicPr/>
                  </pic:nvPicPr>
                  <pic:blipFill>
                    <a:blip r:embed="rId17"/>
                    <a:stretch>
                      <a:fillRect/>
                    </a:stretch>
                  </pic:blipFill>
                  <pic:spPr>
                    <a:xfrm>
                      <a:off x="0" y="0"/>
                      <a:ext cx="5577840" cy="2653714"/>
                    </a:xfrm>
                    <a:prstGeom prst="rect">
                      <a:avLst/>
                    </a:prstGeom>
                  </pic:spPr>
                </pic:pic>
              </a:graphicData>
            </a:graphic>
          </wp:inline>
        </w:drawing>
      </w:r>
    </w:p>
    <w:p w14:paraId="7034846C" w14:textId="77777777" w:rsidR="006A53EF" w:rsidRPr="00AF4867" w:rsidRDefault="006A53EF" w:rsidP="00E64CCA">
      <w:pPr>
        <w:jc w:val="both"/>
        <w:rPr>
          <w:rFonts w:ascii="Arial" w:hAnsi="Arial" w:cs="Arial"/>
        </w:rPr>
      </w:pPr>
      <w:r w:rsidRPr="00AF4867">
        <w:rPr>
          <w:rFonts w:ascii="Arial" w:hAnsi="Arial" w:cs="Arial"/>
          <w:color w:val="404040"/>
        </w:rPr>
        <w:t>Figure 9: Negative Working Capital Position, 2020–2024. Source: Author's own, from data in Table 4.</w:t>
      </w:r>
    </w:p>
    <w:p w14:paraId="29C91D12" w14:textId="77777777" w:rsidR="006A53EF" w:rsidRPr="00AF4867" w:rsidRDefault="006A53EF" w:rsidP="00E64CCA">
      <w:pPr>
        <w:spacing w:before="120"/>
        <w:jc w:val="both"/>
        <w:rPr>
          <w:rFonts w:ascii="Arial" w:hAnsi="Arial" w:cs="Arial"/>
        </w:rPr>
      </w:pPr>
    </w:p>
    <w:p w14:paraId="62BD2361" w14:textId="5ADD04DD" w:rsidR="006A53EF" w:rsidRDefault="006A53EF" w:rsidP="00E64CCA">
      <w:pPr>
        <w:spacing w:before="60" w:after="120"/>
        <w:jc w:val="both"/>
        <w:rPr>
          <w:rFonts w:ascii="Arial" w:hAnsi="Arial" w:cs="Arial"/>
        </w:rPr>
      </w:pPr>
      <w:r w:rsidRPr="00AF4867">
        <w:rPr>
          <w:rFonts w:ascii="Arial" w:hAnsi="Arial" w:cs="Arial"/>
        </w:rPr>
        <w:t xml:space="preserve">The COC of Marriott was increased from 12.1 days in 2020 to 8.4 days in 2024 mainly due to the 35.1% decrease in receivable days from 41.3 days to 30.5 days. The inventory days are insignificant during the period and it is in keeping with the nature of business as the inventory management does not play any role in Marriott. More importantly, there is a constant negative working capital during the whole period, starting from $(1,310) million in 2020 to $(2,800) million in 2024. It must be noted that this is a strategic move: when the working capital remains negative, then the company can get finance from the suppliers and customers' advance payments and utilize them for the operations as zero cost funding as mentioned by Ross, </w:t>
      </w:r>
      <w:proofErr w:type="spellStart"/>
      <w:r w:rsidRPr="00AF4867">
        <w:rPr>
          <w:rFonts w:ascii="Arial" w:hAnsi="Arial" w:cs="Arial"/>
        </w:rPr>
        <w:t>Westerfield</w:t>
      </w:r>
      <w:proofErr w:type="spellEnd"/>
      <w:r w:rsidRPr="00AF4867">
        <w:rPr>
          <w:rFonts w:ascii="Arial" w:hAnsi="Arial" w:cs="Arial"/>
        </w:rPr>
        <w:t xml:space="preserve"> and Jordan</w:t>
      </w:r>
      <w:r w:rsidRPr="00AF4867">
        <w:rPr>
          <w:rFonts w:ascii="Arial" w:hAnsi="Arial" w:cs="Arial"/>
        </w:rPr>
        <w:t>.</w:t>
      </w:r>
    </w:p>
    <w:p w14:paraId="04A88F6D" w14:textId="77777777" w:rsidR="002E749D" w:rsidRPr="00AF4867" w:rsidRDefault="002E749D" w:rsidP="00E64CCA">
      <w:pPr>
        <w:spacing w:before="60" w:after="120"/>
        <w:jc w:val="both"/>
        <w:rPr>
          <w:rFonts w:ascii="Arial" w:hAnsi="Arial" w:cs="Arial"/>
        </w:rPr>
      </w:pPr>
    </w:p>
    <w:p w14:paraId="4FB17B09" w14:textId="77777777" w:rsidR="006A53EF" w:rsidRPr="00AF4867" w:rsidRDefault="006A53EF" w:rsidP="00E64CCA">
      <w:pPr>
        <w:spacing w:before="60" w:after="120"/>
        <w:jc w:val="both"/>
        <w:rPr>
          <w:rFonts w:ascii="Arial" w:hAnsi="Arial" w:cs="Arial"/>
        </w:rPr>
      </w:pPr>
    </w:p>
    <w:p w14:paraId="6919A7AC" w14:textId="4480BE91" w:rsidR="006A53EF" w:rsidRPr="00A6107F" w:rsidRDefault="006A53EF" w:rsidP="00E64CCA">
      <w:pPr>
        <w:spacing w:before="60" w:after="120"/>
        <w:jc w:val="both"/>
        <w:rPr>
          <w:rFonts w:ascii="Arial" w:hAnsi="Arial" w:cs="Arial"/>
          <w:b/>
          <w:bCs/>
          <w:sz w:val="40"/>
          <w:szCs w:val="40"/>
        </w:rPr>
      </w:pPr>
      <w:r w:rsidRPr="00A6107F">
        <w:rPr>
          <w:rFonts w:ascii="Arial" w:hAnsi="Arial" w:cs="Arial"/>
          <w:b/>
          <w:bCs/>
          <w:sz w:val="40"/>
          <w:szCs w:val="40"/>
        </w:rPr>
        <w:t xml:space="preserve">3.2 Strategic Working Capital Improvements </w:t>
      </w:r>
    </w:p>
    <w:p w14:paraId="30C14317" w14:textId="4FADB9AF" w:rsidR="006A53EF" w:rsidRPr="00A6107F" w:rsidRDefault="006A53EF" w:rsidP="00E64CCA">
      <w:pPr>
        <w:spacing w:before="60" w:after="120"/>
        <w:jc w:val="both"/>
        <w:rPr>
          <w:rFonts w:ascii="Arial" w:hAnsi="Arial" w:cs="Arial"/>
          <w:b/>
          <w:bCs/>
          <w:sz w:val="32"/>
          <w:szCs w:val="32"/>
        </w:rPr>
      </w:pPr>
      <w:r w:rsidRPr="00A6107F">
        <w:rPr>
          <w:rFonts w:ascii="Arial" w:hAnsi="Arial" w:cs="Arial"/>
          <w:b/>
          <w:bCs/>
          <w:sz w:val="32"/>
          <w:szCs w:val="32"/>
        </w:rPr>
        <w:t xml:space="preserve">3.2.1 Accounts Receivable Managements </w:t>
      </w:r>
    </w:p>
    <w:p w14:paraId="280B887E" w14:textId="4231A3B9" w:rsidR="00585597" w:rsidRDefault="00E62510" w:rsidP="00E64CCA">
      <w:pPr>
        <w:spacing w:before="60" w:after="120"/>
        <w:jc w:val="both"/>
        <w:rPr>
          <w:rFonts w:ascii="Arial" w:hAnsi="Arial" w:cs="Arial"/>
        </w:rPr>
      </w:pPr>
      <w:r w:rsidRPr="00AF4867">
        <w:rPr>
          <w:rFonts w:ascii="Arial" w:hAnsi="Arial" w:cs="Arial"/>
        </w:rPr>
        <w:t>Days sales outstanding were reduced from 41.3 in 2020 to 30.5 days in 2024; however, the level of receivables increased from $1,195m to $2,100m due to revenue increase outpacing improvements in receivables collection speed. Three actions should be prioritized by the Chief Financial Officer (CFO). The first measure is speeding up the deployment of Marriott Bonvoy incentives for direct bookings, making the company less dependent on travel agent facilitators which usually take from 30 to 45 days to make payments, while direct bookings usually take 7–14 days. Second action will be the use of AI predictive scoring for receivables implemented by Marriott technology partner Oracle MICROS, leading to reduction of 18% of delinquent accounts (Oracle, 2024). The third step will be the negotiation of dynamic invoice financing deals with key corporate clients enabling the selection of receivables ahead of time for a cost lower than short-term debt cost.</w:t>
      </w:r>
    </w:p>
    <w:p w14:paraId="1747E514" w14:textId="77777777" w:rsidR="00585597" w:rsidRDefault="00585597" w:rsidP="00E64CCA">
      <w:pPr>
        <w:spacing w:before="60" w:after="120"/>
        <w:jc w:val="both"/>
        <w:rPr>
          <w:rFonts w:ascii="Arial" w:hAnsi="Arial" w:cs="Arial"/>
        </w:rPr>
      </w:pPr>
    </w:p>
    <w:p w14:paraId="532424AF" w14:textId="5D801F91" w:rsidR="00E62510" w:rsidRPr="00585597" w:rsidRDefault="00E62510" w:rsidP="00E64CCA">
      <w:pPr>
        <w:spacing w:before="60" w:after="120"/>
        <w:jc w:val="both"/>
        <w:rPr>
          <w:rFonts w:ascii="Arial" w:hAnsi="Arial" w:cs="Arial"/>
        </w:rPr>
      </w:pPr>
      <w:r w:rsidRPr="00816BF4">
        <w:rPr>
          <w:rFonts w:ascii="Arial" w:hAnsi="Arial" w:cs="Arial"/>
          <w:b/>
          <w:bCs/>
          <w:sz w:val="32"/>
          <w:szCs w:val="32"/>
        </w:rPr>
        <w:t xml:space="preserve">3.2.2 Payable Days </w:t>
      </w:r>
      <w:proofErr w:type="spellStart"/>
      <w:r w:rsidRPr="00816BF4">
        <w:rPr>
          <w:rFonts w:ascii="Arial" w:hAnsi="Arial" w:cs="Arial"/>
          <w:b/>
          <w:bCs/>
          <w:sz w:val="32"/>
          <w:szCs w:val="32"/>
        </w:rPr>
        <w:t>Extention</w:t>
      </w:r>
      <w:proofErr w:type="spellEnd"/>
    </w:p>
    <w:p w14:paraId="69B82A84" w14:textId="1B56C948" w:rsidR="00585597" w:rsidRDefault="00E62510" w:rsidP="00E64CCA">
      <w:pPr>
        <w:spacing w:before="60" w:after="120"/>
        <w:jc w:val="both"/>
        <w:rPr>
          <w:rFonts w:ascii="Arial" w:hAnsi="Arial" w:cs="Arial"/>
        </w:rPr>
      </w:pPr>
      <w:r w:rsidRPr="00AF4867">
        <w:rPr>
          <w:rFonts w:ascii="Arial" w:hAnsi="Arial" w:cs="Arial"/>
        </w:rPr>
        <w:t>The reduction in payable days from 31.1 (2020) to 23.3 (2024) amounts to a lost opportunity of working capital financing. Extending payable days to the industry standard of roughly 32 days – as seen in case of IHG (2024) – will free up roughly $230 million of working capital. This is possible through supply chain financing initiatives, whereby Marriott's better credit rating allows its suppliers to get early payments from banks at cheaper costs than that of Marriott’s own cost of capital. It is important to do this without compromising on relationships with suppliers, especially smaller hospitality service providers.</w:t>
      </w:r>
    </w:p>
    <w:p w14:paraId="20A884D4" w14:textId="77777777" w:rsidR="00585597" w:rsidRDefault="00585597" w:rsidP="00E64CCA">
      <w:pPr>
        <w:spacing w:before="60" w:after="120"/>
        <w:jc w:val="both"/>
        <w:rPr>
          <w:rFonts w:ascii="Arial" w:hAnsi="Arial" w:cs="Arial"/>
        </w:rPr>
      </w:pPr>
    </w:p>
    <w:p w14:paraId="512F0317" w14:textId="5943FF5D" w:rsidR="00E62510" w:rsidRPr="00585597" w:rsidRDefault="00E62510" w:rsidP="00E64CCA">
      <w:pPr>
        <w:spacing w:before="60" w:after="120"/>
        <w:jc w:val="both"/>
        <w:rPr>
          <w:rFonts w:ascii="Arial" w:hAnsi="Arial" w:cs="Arial"/>
        </w:rPr>
      </w:pPr>
      <w:proofErr w:type="gramStart"/>
      <w:r w:rsidRPr="00816BF4">
        <w:rPr>
          <w:rFonts w:ascii="Arial" w:hAnsi="Arial" w:cs="Arial"/>
          <w:b/>
          <w:bCs/>
          <w:sz w:val="32"/>
          <w:szCs w:val="32"/>
        </w:rPr>
        <w:t>3.2.3</w:t>
      </w:r>
      <w:r w:rsidR="00816BF4">
        <w:rPr>
          <w:rFonts w:ascii="Arial" w:hAnsi="Arial" w:cs="Arial"/>
          <w:b/>
          <w:bCs/>
          <w:sz w:val="32"/>
          <w:szCs w:val="32"/>
        </w:rPr>
        <w:t xml:space="preserve"> </w:t>
      </w:r>
      <w:r w:rsidRPr="00816BF4">
        <w:rPr>
          <w:rFonts w:ascii="Arial" w:hAnsi="Arial" w:cs="Arial"/>
          <w:b/>
          <w:bCs/>
          <w:sz w:val="32"/>
          <w:szCs w:val="32"/>
        </w:rPr>
        <w:t xml:space="preserve"> Pre</w:t>
      </w:r>
      <w:proofErr w:type="gramEnd"/>
      <w:r w:rsidRPr="00816BF4">
        <w:rPr>
          <w:rFonts w:ascii="Arial" w:hAnsi="Arial" w:cs="Arial"/>
          <w:b/>
          <w:bCs/>
          <w:sz w:val="32"/>
          <w:szCs w:val="32"/>
        </w:rPr>
        <w:t xml:space="preserve"> </w:t>
      </w:r>
      <w:proofErr w:type="spellStart"/>
      <w:r w:rsidRPr="00816BF4">
        <w:rPr>
          <w:rFonts w:ascii="Arial" w:hAnsi="Arial" w:cs="Arial"/>
          <w:b/>
          <w:bCs/>
          <w:sz w:val="32"/>
          <w:szCs w:val="32"/>
        </w:rPr>
        <w:t>Programme</w:t>
      </w:r>
      <w:proofErr w:type="spellEnd"/>
      <w:r w:rsidRPr="00816BF4">
        <w:rPr>
          <w:rFonts w:ascii="Arial" w:hAnsi="Arial" w:cs="Arial"/>
          <w:b/>
          <w:bCs/>
          <w:sz w:val="32"/>
          <w:szCs w:val="32"/>
        </w:rPr>
        <w:t xml:space="preserve"> and Loyalty </w:t>
      </w:r>
      <w:proofErr w:type="spellStart"/>
      <w:r w:rsidRPr="00816BF4">
        <w:rPr>
          <w:rFonts w:ascii="Arial" w:hAnsi="Arial" w:cs="Arial"/>
          <w:b/>
          <w:bCs/>
          <w:sz w:val="32"/>
          <w:szCs w:val="32"/>
        </w:rPr>
        <w:t>Programme</w:t>
      </w:r>
      <w:proofErr w:type="spellEnd"/>
      <w:r w:rsidRPr="00816BF4">
        <w:rPr>
          <w:rFonts w:ascii="Arial" w:hAnsi="Arial" w:cs="Arial"/>
          <w:b/>
          <w:bCs/>
          <w:sz w:val="32"/>
          <w:szCs w:val="32"/>
        </w:rPr>
        <w:t xml:space="preserve"> Liabilities</w:t>
      </w:r>
    </w:p>
    <w:p w14:paraId="04E9F610" w14:textId="5137459D" w:rsidR="00E62510" w:rsidRPr="00AF4867" w:rsidRDefault="00E62510" w:rsidP="00E64CCA">
      <w:pPr>
        <w:spacing w:before="60" w:after="120"/>
        <w:jc w:val="both"/>
        <w:rPr>
          <w:rFonts w:ascii="Arial" w:hAnsi="Arial" w:cs="Arial"/>
        </w:rPr>
      </w:pPr>
      <w:r w:rsidRPr="00AF4867">
        <w:rPr>
          <w:rFonts w:ascii="Arial" w:hAnsi="Arial" w:cs="Arial"/>
        </w:rPr>
        <w:t>Deferred revenue arising from the Marriott's Bonvoy reward program which consists of 228 million members as of 2024 creates considerable deferred revenue liabilities due to the points earned and not redeemed by the members. Currently, the liabilities which fall under current liabilities amount to about $1.1 billion. Instead of looking at these liabilities as liabilities that should be minimized, the best way forward for Marriott is to strategically control the cost associated with the liabilities using promotions at times when RevPAR is low.</w:t>
      </w:r>
    </w:p>
    <w:p w14:paraId="0B296679" w14:textId="77777777" w:rsidR="00E62510" w:rsidRPr="00AF4867" w:rsidRDefault="00E62510" w:rsidP="00E64CCA">
      <w:pPr>
        <w:spacing w:before="60" w:after="120"/>
        <w:jc w:val="both"/>
        <w:rPr>
          <w:rFonts w:ascii="Arial" w:hAnsi="Arial" w:cs="Arial"/>
        </w:rPr>
      </w:pPr>
    </w:p>
    <w:p w14:paraId="1D231EF7" w14:textId="77777777" w:rsidR="00816BF4" w:rsidRDefault="00816BF4" w:rsidP="00E64CCA">
      <w:pPr>
        <w:spacing w:before="60" w:after="120"/>
        <w:jc w:val="both"/>
        <w:rPr>
          <w:rFonts w:ascii="Arial" w:hAnsi="Arial" w:cs="Arial"/>
        </w:rPr>
      </w:pPr>
    </w:p>
    <w:p w14:paraId="11A716A6" w14:textId="77777777" w:rsidR="00816BF4" w:rsidRDefault="00816BF4" w:rsidP="00E64CCA">
      <w:pPr>
        <w:spacing w:before="60" w:after="120"/>
        <w:jc w:val="both"/>
        <w:rPr>
          <w:rFonts w:ascii="Arial" w:hAnsi="Arial" w:cs="Arial"/>
        </w:rPr>
      </w:pPr>
    </w:p>
    <w:p w14:paraId="6DA1D186" w14:textId="77777777" w:rsidR="00F5065A" w:rsidRDefault="00F5065A" w:rsidP="00E64CCA">
      <w:pPr>
        <w:spacing w:before="60" w:after="120"/>
        <w:jc w:val="both"/>
        <w:rPr>
          <w:rFonts w:ascii="Arial" w:hAnsi="Arial" w:cs="Arial"/>
          <w:b/>
          <w:bCs/>
          <w:sz w:val="40"/>
          <w:szCs w:val="40"/>
        </w:rPr>
      </w:pPr>
    </w:p>
    <w:p w14:paraId="79A6697F" w14:textId="5076838E" w:rsidR="00E62510" w:rsidRPr="00816BF4" w:rsidRDefault="00E62510" w:rsidP="00E64CCA">
      <w:pPr>
        <w:spacing w:before="60" w:after="120"/>
        <w:jc w:val="both"/>
        <w:rPr>
          <w:rFonts w:ascii="Arial" w:hAnsi="Arial" w:cs="Arial"/>
          <w:b/>
          <w:bCs/>
          <w:sz w:val="40"/>
          <w:szCs w:val="40"/>
        </w:rPr>
      </w:pPr>
      <w:r w:rsidRPr="00816BF4">
        <w:rPr>
          <w:rFonts w:ascii="Arial" w:hAnsi="Arial" w:cs="Arial"/>
          <w:b/>
          <w:bCs/>
          <w:sz w:val="40"/>
          <w:szCs w:val="40"/>
        </w:rPr>
        <w:lastRenderedPageBreak/>
        <w:t>3.3 Short-term vs Long -term Financing of Working Capital</w:t>
      </w:r>
    </w:p>
    <w:p w14:paraId="659E5406" w14:textId="5EA5B6C5" w:rsidR="00E62510" w:rsidRPr="00AF4867" w:rsidRDefault="00E62510" w:rsidP="00E64CCA">
      <w:pPr>
        <w:spacing w:before="60" w:after="120"/>
        <w:jc w:val="both"/>
        <w:rPr>
          <w:rFonts w:ascii="Arial" w:hAnsi="Arial" w:cs="Arial"/>
        </w:rPr>
      </w:pPr>
      <w:r w:rsidRPr="00AF4867">
        <w:rPr>
          <w:rFonts w:ascii="Arial" w:hAnsi="Arial" w:cs="Arial"/>
        </w:rPr>
        <w:t>The financing spectrum of working capital, according to Arnold (2019, p.512), is a spectrum ranging from aggressive methods of financing (short-term funding of all working capital) to conservative financing (long-term financing of a portion of permanent current assets). The best method of working capital management for Marriott involves the hybrid method; that is, the permanent element of the working capital, which is the minimum level of receivables and operating cash balances needed for trading operations, should be financed by means of long-term sources like Marriott's existing revolving credit line and operating cash flow. The seasonal element, associated with demand cycles in peak quarters (Q2 and Q3), should be financed using short-term commercial paper.</w:t>
      </w:r>
    </w:p>
    <w:p w14:paraId="402FD7C8" w14:textId="67B0CAF1" w:rsidR="00E62510" w:rsidRPr="00AF4867" w:rsidRDefault="00E62510" w:rsidP="00E64CCA">
      <w:pPr>
        <w:spacing w:before="60" w:after="120"/>
        <w:jc w:val="both"/>
        <w:rPr>
          <w:rFonts w:ascii="Arial" w:hAnsi="Arial" w:cs="Arial"/>
        </w:rPr>
      </w:pPr>
      <w:r w:rsidRPr="00AF4867">
        <w:rPr>
          <w:rFonts w:ascii="Arial" w:hAnsi="Arial" w:cs="Arial"/>
        </w:rPr>
        <w:t>The risk involved in this strategy is the inability to incur more debt because of the existing leverage ratio and the amount of long-term debt outstanding at 54.3% and $14.4 billion, respectively. The strategy proposed in section 4 to de-leverage by disposing of select assets will provide borrowing flexibility to cover for working capital peaks as in Q1 2020.</w:t>
      </w:r>
    </w:p>
    <w:p w14:paraId="694E9728" w14:textId="77777777" w:rsidR="00E62510" w:rsidRPr="00AF4867" w:rsidRDefault="00E62510" w:rsidP="00E64CCA">
      <w:pPr>
        <w:spacing w:before="60" w:after="120"/>
        <w:jc w:val="both"/>
        <w:rPr>
          <w:rFonts w:ascii="Arial" w:hAnsi="Arial" w:cs="Arial"/>
        </w:rPr>
      </w:pPr>
    </w:p>
    <w:p w14:paraId="1D7D4F4B" w14:textId="77777777" w:rsidR="00E62510" w:rsidRPr="00AF4867" w:rsidRDefault="00E62510" w:rsidP="00E64CCA">
      <w:pPr>
        <w:spacing w:before="60" w:after="120"/>
        <w:jc w:val="both"/>
        <w:rPr>
          <w:rFonts w:ascii="Arial" w:hAnsi="Arial" w:cs="Arial"/>
        </w:rPr>
      </w:pPr>
    </w:p>
    <w:p w14:paraId="1F24BFDE" w14:textId="77777777" w:rsidR="00E62510" w:rsidRPr="00AF4867" w:rsidRDefault="00E62510" w:rsidP="00E64CCA">
      <w:pPr>
        <w:spacing w:before="60" w:after="120"/>
        <w:jc w:val="both"/>
        <w:rPr>
          <w:rFonts w:ascii="Arial" w:hAnsi="Arial" w:cs="Arial"/>
        </w:rPr>
      </w:pPr>
    </w:p>
    <w:p w14:paraId="67B03B69" w14:textId="77777777" w:rsidR="00E62510" w:rsidRPr="00AF4867" w:rsidRDefault="00E62510" w:rsidP="00E64CCA">
      <w:pPr>
        <w:spacing w:before="60" w:after="120"/>
        <w:jc w:val="both"/>
        <w:rPr>
          <w:rFonts w:ascii="Arial" w:hAnsi="Arial" w:cs="Arial"/>
        </w:rPr>
      </w:pPr>
    </w:p>
    <w:p w14:paraId="3ED36FDF" w14:textId="77777777" w:rsidR="00E62510" w:rsidRPr="00AF4867" w:rsidRDefault="00E62510" w:rsidP="00E64CCA">
      <w:pPr>
        <w:spacing w:before="60" w:after="120"/>
        <w:jc w:val="both"/>
        <w:rPr>
          <w:rFonts w:ascii="Arial" w:hAnsi="Arial" w:cs="Arial"/>
        </w:rPr>
      </w:pPr>
    </w:p>
    <w:p w14:paraId="16AD5C02" w14:textId="77777777" w:rsidR="00E62510" w:rsidRPr="00AF4867" w:rsidRDefault="00E62510" w:rsidP="00E64CCA">
      <w:pPr>
        <w:spacing w:before="60" w:after="120"/>
        <w:jc w:val="both"/>
        <w:rPr>
          <w:rFonts w:ascii="Arial" w:hAnsi="Arial" w:cs="Arial"/>
        </w:rPr>
      </w:pPr>
    </w:p>
    <w:p w14:paraId="4E497C5E" w14:textId="77777777" w:rsidR="00E62510" w:rsidRPr="00AF4867" w:rsidRDefault="00E62510" w:rsidP="00E64CCA">
      <w:pPr>
        <w:spacing w:before="60" w:after="120"/>
        <w:jc w:val="both"/>
        <w:rPr>
          <w:rFonts w:ascii="Arial" w:hAnsi="Arial" w:cs="Arial"/>
        </w:rPr>
      </w:pPr>
    </w:p>
    <w:p w14:paraId="0ECD9F4E" w14:textId="77777777" w:rsidR="00816BF4" w:rsidRDefault="00816BF4" w:rsidP="00E64CCA">
      <w:pPr>
        <w:spacing w:before="60" w:after="120"/>
        <w:jc w:val="both"/>
        <w:rPr>
          <w:rFonts w:ascii="Arial" w:hAnsi="Arial" w:cs="Arial"/>
        </w:rPr>
      </w:pPr>
    </w:p>
    <w:p w14:paraId="2385A918" w14:textId="77777777" w:rsidR="00816BF4" w:rsidRDefault="00816BF4" w:rsidP="00E64CCA">
      <w:pPr>
        <w:spacing w:before="60" w:after="120"/>
        <w:jc w:val="both"/>
        <w:rPr>
          <w:rFonts w:ascii="Arial" w:hAnsi="Arial" w:cs="Arial"/>
        </w:rPr>
      </w:pPr>
    </w:p>
    <w:p w14:paraId="079C3EB3" w14:textId="77777777" w:rsidR="00816BF4" w:rsidRDefault="00816BF4" w:rsidP="00E64CCA">
      <w:pPr>
        <w:spacing w:before="60" w:after="120"/>
        <w:jc w:val="both"/>
        <w:rPr>
          <w:rFonts w:ascii="Arial" w:hAnsi="Arial" w:cs="Arial"/>
        </w:rPr>
      </w:pPr>
    </w:p>
    <w:p w14:paraId="6A8DB126" w14:textId="77777777" w:rsidR="00816BF4" w:rsidRDefault="00816BF4" w:rsidP="00E64CCA">
      <w:pPr>
        <w:spacing w:before="60" w:after="120"/>
        <w:jc w:val="both"/>
        <w:rPr>
          <w:rFonts w:ascii="Arial" w:hAnsi="Arial" w:cs="Arial"/>
        </w:rPr>
      </w:pPr>
    </w:p>
    <w:p w14:paraId="062BDB36" w14:textId="77777777" w:rsidR="00816BF4" w:rsidRDefault="00816BF4" w:rsidP="00E64CCA">
      <w:pPr>
        <w:spacing w:before="60" w:after="120"/>
        <w:jc w:val="both"/>
        <w:rPr>
          <w:rFonts w:ascii="Arial" w:hAnsi="Arial" w:cs="Arial"/>
        </w:rPr>
      </w:pPr>
    </w:p>
    <w:p w14:paraId="25E6BC01" w14:textId="77777777" w:rsidR="00816BF4" w:rsidRDefault="00816BF4" w:rsidP="00E64CCA">
      <w:pPr>
        <w:spacing w:before="60" w:after="120"/>
        <w:jc w:val="both"/>
        <w:rPr>
          <w:rFonts w:ascii="Arial" w:hAnsi="Arial" w:cs="Arial"/>
        </w:rPr>
      </w:pPr>
    </w:p>
    <w:p w14:paraId="39D7AEAE" w14:textId="77777777" w:rsidR="00816BF4" w:rsidRDefault="00816BF4" w:rsidP="00E64CCA">
      <w:pPr>
        <w:spacing w:before="60" w:after="120"/>
        <w:jc w:val="both"/>
        <w:rPr>
          <w:rFonts w:ascii="Arial" w:hAnsi="Arial" w:cs="Arial"/>
        </w:rPr>
      </w:pPr>
    </w:p>
    <w:p w14:paraId="337CC5F2" w14:textId="77777777" w:rsidR="00816BF4" w:rsidRDefault="00816BF4" w:rsidP="00E64CCA">
      <w:pPr>
        <w:spacing w:before="60" w:after="120"/>
        <w:jc w:val="both"/>
        <w:rPr>
          <w:rFonts w:ascii="Arial" w:hAnsi="Arial" w:cs="Arial"/>
        </w:rPr>
      </w:pPr>
    </w:p>
    <w:p w14:paraId="47DD0025" w14:textId="77777777" w:rsidR="00816BF4" w:rsidRDefault="00816BF4" w:rsidP="00E64CCA">
      <w:pPr>
        <w:spacing w:before="60" w:after="120"/>
        <w:jc w:val="both"/>
        <w:rPr>
          <w:rFonts w:ascii="Arial" w:hAnsi="Arial" w:cs="Arial"/>
        </w:rPr>
      </w:pPr>
    </w:p>
    <w:p w14:paraId="4054F7D2" w14:textId="77777777" w:rsidR="00816BF4" w:rsidRDefault="00816BF4" w:rsidP="00E64CCA">
      <w:pPr>
        <w:spacing w:before="60" w:after="120"/>
        <w:jc w:val="both"/>
        <w:rPr>
          <w:rFonts w:ascii="Arial" w:hAnsi="Arial" w:cs="Arial"/>
        </w:rPr>
      </w:pPr>
    </w:p>
    <w:p w14:paraId="1517D4C6" w14:textId="77777777" w:rsidR="00816BF4" w:rsidRDefault="00816BF4" w:rsidP="00E64CCA">
      <w:pPr>
        <w:spacing w:before="60" w:after="120"/>
        <w:jc w:val="both"/>
        <w:rPr>
          <w:rFonts w:ascii="Arial" w:hAnsi="Arial" w:cs="Arial"/>
        </w:rPr>
      </w:pPr>
    </w:p>
    <w:p w14:paraId="1955619E" w14:textId="77777777" w:rsidR="00816BF4" w:rsidRDefault="00816BF4" w:rsidP="00E64CCA">
      <w:pPr>
        <w:spacing w:before="60" w:after="120"/>
        <w:jc w:val="both"/>
        <w:rPr>
          <w:rFonts w:ascii="Arial" w:hAnsi="Arial" w:cs="Arial"/>
        </w:rPr>
      </w:pPr>
    </w:p>
    <w:p w14:paraId="297C49DA" w14:textId="77777777" w:rsidR="00816BF4" w:rsidRDefault="00816BF4" w:rsidP="00E64CCA">
      <w:pPr>
        <w:spacing w:before="60" w:after="120"/>
        <w:jc w:val="both"/>
        <w:rPr>
          <w:rFonts w:ascii="Arial" w:hAnsi="Arial" w:cs="Arial"/>
        </w:rPr>
      </w:pPr>
    </w:p>
    <w:p w14:paraId="0301844C" w14:textId="77777777" w:rsidR="00816BF4" w:rsidRDefault="00816BF4" w:rsidP="00E64CCA">
      <w:pPr>
        <w:spacing w:before="60" w:after="120"/>
        <w:jc w:val="both"/>
        <w:rPr>
          <w:rFonts w:ascii="Arial" w:hAnsi="Arial" w:cs="Arial"/>
        </w:rPr>
      </w:pPr>
    </w:p>
    <w:p w14:paraId="32FB44D2" w14:textId="2029E9F8" w:rsidR="00E62510" w:rsidRPr="00816BF4" w:rsidRDefault="00E62510" w:rsidP="00E64CCA">
      <w:pPr>
        <w:spacing w:before="60" w:after="120"/>
        <w:jc w:val="both"/>
        <w:rPr>
          <w:rFonts w:ascii="Arial" w:hAnsi="Arial" w:cs="Arial"/>
          <w:b/>
          <w:bCs/>
          <w:sz w:val="52"/>
          <w:szCs w:val="52"/>
          <w:u w:val="single"/>
        </w:rPr>
      </w:pPr>
      <w:r w:rsidRPr="00816BF4">
        <w:rPr>
          <w:rFonts w:ascii="Arial" w:hAnsi="Arial" w:cs="Arial"/>
          <w:b/>
          <w:bCs/>
          <w:sz w:val="52"/>
          <w:szCs w:val="52"/>
          <w:u w:val="single"/>
        </w:rPr>
        <w:lastRenderedPageBreak/>
        <w:t>4. Strategic Financial Restructuring Plan</w:t>
      </w:r>
    </w:p>
    <w:p w14:paraId="650E9BDE" w14:textId="4B357CED" w:rsidR="00E62510" w:rsidRPr="00816BF4" w:rsidRDefault="00E62510" w:rsidP="00E64CCA">
      <w:pPr>
        <w:spacing w:before="60" w:after="120"/>
        <w:jc w:val="both"/>
        <w:rPr>
          <w:rFonts w:ascii="Arial" w:hAnsi="Arial" w:cs="Arial"/>
          <w:b/>
          <w:bCs/>
          <w:sz w:val="40"/>
          <w:szCs w:val="40"/>
        </w:rPr>
      </w:pPr>
      <w:r w:rsidRPr="00816BF4">
        <w:rPr>
          <w:rFonts w:ascii="Arial" w:hAnsi="Arial" w:cs="Arial"/>
          <w:b/>
          <w:bCs/>
          <w:sz w:val="40"/>
          <w:szCs w:val="40"/>
        </w:rPr>
        <w:t xml:space="preserve">4.1 Diagnosis of the Structural Challenge </w:t>
      </w:r>
    </w:p>
    <w:p w14:paraId="3529A43C" w14:textId="6B637C55" w:rsidR="00E62510" w:rsidRPr="00AF4867" w:rsidRDefault="00E62510" w:rsidP="00E64CCA">
      <w:pPr>
        <w:spacing w:before="60" w:after="120"/>
        <w:jc w:val="both"/>
        <w:rPr>
          <w:rFonts w:ascii="Arial" w:hAnsi="Arial" w:cs="Arial"/>
        </w:rPr>
      </w:pPr>
      <w:r w:rsidRPr="00AF4867">
        <w:rPr>
          <w:rFonts w:ascii="Arial" w:hAnsi="Arial" w:cs="Arial"/>
        </w:rPr>
        <w:t>The financing structure of Marriott in 2024 is rather atypical one – high profit and growing margins, excellent cash flow generation and negative equity capital structure combined with debt-equity ratio that has increased to 54.3% within one year. It lies in the conflict between the finance approach of shareholders' value maximization through levered profits – implemented actively by Marriott executives via dividends and buybacks – and financial robustness needed for coping with demand cyclicality, which in turn might lead to revenue declines as in 2020 year when they have fallen down by over 49% in one year. According to Brealey et al. (2020), this is called leverage optimization problem, as the tax shield effects of debt should be weighed against financial distress effects, including reputational and operational problems.</w:t>
      </w:r>
    </w:p>
    <w:p w14:paraId="0D4B1A84" w14:textId="77777777" w:rsidR="00E62510" w:rsidRPr="00AF4867" w:rsidRDefault="00E62510" w:rsidP="00E64CCA">
      <w:pPr>
        <w:spacing w:before="60" w:after="120"/>
        <w:jc w:val="both"/>
        <w:rPr>
          <w:rFonts w:ascii="Arial" w:hAnsi="Arial" w:cs="Arial"/>
        </w:rPr>
      </w:pPr>
    </w:p>
    <w:p w14:paraId="0ED717D6" w14:textId="0EA3451E" w:rsidR="00E62510" w:rsidRPr="00816BF4" w:rsidRDefault="00E62510" w:rsidP="00E64CCA">
      <w:pPr>
        <w:spacing w:before="60" w:after="120"/>
        <w:jc w:val="both"/>
        <w:rPr>
          <w:rFonts w:ascii="Arial" w:hAnsi="Arial" w:cs="Arial"/>
          <w:b/>
          <w:bCs/>
          <w:sz w:val="40"/>
          <w:szCs w:val="40"/>
        </w:rPr>
      </w:pPr>
      <w:r w:rsidRPr="00816BF4">
        <w:rPr>
          <w:rFonts w:ascii="Arial" w:hAnsi="Arial" w:cs="Arial"/>
          <w:b/>
          <w:bCs/>
          <w:sz w:val="40"/>
          <w:szCs w:val="40"/>
        </w:rPr>
        <w:t xml:space="preserve">4.2 Recommended </w:t>
      </w:r>
      <w:r w:rsidRPr="00816BF4">
        <w:rPr>
          <w:rFonts w:ascii="Arial" w:hAnsi="Arial" w:cs="Arial"/>
          <w:b/>
          <w:bCs/>
          <w:sz w:val="40"/>
          <w:szCs w:val="40"/>
        </w:rPr>
        <w:t>Restructuring</w:t>
      </w:r>
      <w:r w:rsidRPr="00816BF4">
        <w:rPr>
          <w:rFonts w:ascii="Arial" w:hAnsi="Arial" w:cs="Arial"/>
          <w:b/>
          <w:bCs/>
          <w:sz w:val="40"/>
          <w:szCs w:val="40"/>
        </w:rPr>
        <w:t xml:space="preserve"> Options</w:t>
      </w:r>
    </w:p>
    <w:p w14:paraId="02D6F54F" w14:textId="16699FC9" w:rsidR="00E62510" w:rsidRPr="00816BF4" w:rsidRDefault="00E62510" w:rsidP="00E64CCA">
      <w:pPr>
        <w:spacing w:before="60" w:after="120"/>
        <w:jc w:val="both"/>
        <w:rPr>
          <w:rFonts w:ascii="Arial" w:hAnsi="Arial" w:cs="Arial"/>
          <w:b/>
          <w:bCs/>
          <w:sz w:val="32"/>
          <w:szCs w:val="32"/>
        </w:rPr>
      </w:pPr>
      <w:r w:rsidRPr="00816BF4">
        <w:rPr>
          <w:rFonts w:ascii="Arial" w:hAnsi="Arial" w:cs="Arial"/>
          <w:b/>
          <w:bCs/>
          <w:sz w:val="32"/>
          <w:szCs w:val="32"/>
        </w:rPr>
        <w:t xml:space="preserve">4.2.1 Selective Asset </w:t>
      </w:r>
      <w:proofErr w:type="spellStart"/>
      <w:r w:rsidRPr="00816BF4">
        <w:rPr>
          <w:rFonts w:ascii="Arial" w:hAnsi="Arial" w:cs="Arial"/>
          <w:b/>
          <w:bCs/>
          <w:sz w:val="32"/>
          <w:szCs w:val="32"/>
        </w:rPr>
        <w:t>Monetisation</w:t>
      </w:r>
      <w:proofErr w:type="spellEnd"/>
    </w:p>
    <w:p w14:paraId="09DA52EC" w14:textId="04CDFDE4" w:rsidR="00E62510" w:rsidRPr="00AF4867" w:rsidRDefault="002C0DA5" w:rsidP="00E64CCA">
      <w:pPr>
        <w:spacing w:before="60" w:after="120"/>
        <w:jc w:val="both"/>
        <w:rPr>
          <w:rFonts w:ascii="Arial" w:hAnsi="Arial" w:cs="Arial"/>
        </w:rPr>
      </w:pPr>
      <w:r w:rsidRPr="00AF4867">
        <w:rPr>
          <w:rFonts w:ascii="Arial" w:hAnsi="Arial" w:cs="Arial"/>
        </w:rPr>
        <w:t xml:space="preserve">While maintaining the majority of the assets-light approach, the company owns certain hotels and real estate assets in its balance sheet with an overall net book value worth approximately $1.2 billion (Marriott International, 2025a). A strategic sale-and-leaseback of these assets based on the same </w:t>
      </w:r>
      <w:proofErr w:type="spellStart"/>
      <w:r w:rsidRPr="00AF4867">
        <w:rPr>
          <w:rFonts w:ascii="Arial" w:hAnsi="Arial" w:cs="Arial"/>
        </w:rPr>
        <w:t>DispoHotel</w:t>
      </w:r>
      <w:proofErr w:type="spellEnd"/>
      <w:r w:rsidRPr="00AF4867">
        <w:rPr>
          <w:rFonts w:ascii="Arial" w:hAnsi="Arial" w:cs="Arial"/>
        </w:rPr>
        <w:t xml:space="preserve"> initiative carried out by Accor between 2014 and 2019 will create proceeds of about $1.5–2.0 billion at current capitalization ratios of 6.0–7.5% in the US upper-upscale hotel transactions (CBRE Hotels, 2024). After accounting for the tax and transaction cost impacts, the net proceeds of the sale will result in a reduction of the long-term debt by about $1.2–1.5 billion to lower the debt/assets ratio to 48-50% while not affecting operating cash flows. Sale-and-leaseback transactions are neutral in terms of value creation within efficient markets as argued by Ross, </w:t>
      </w:r>
      <w:proofErr w:type="spellStart"/>
      <w:r w:rsidRPr="00AF4867">
        <w:rPr>
          <w:rFonts w:ascii="Arial" w:hAnsi="Arial" w:cs="Arial"/>
        </w:rPr>
        <w:t>Westerfield</w:t>
      </w:r>
      <w:proofErr w:type="spellEnd"/>
      <w:r w:rsidRPr="00AF4867">
        <w:rPr>
          <w:rFonts w:ascii="Arial" w:hAnsi="Arial" w:cs="Arial"/>
        </w:rPr>
        <w:t xml:space="preserve"> and Jordan (2019) if the effective lease interest rate is equal to the cost of capital that for Marriott at BBB credit rating is estimated to be 5.8-6.2% (Moody's, 2024).</w:t>
      </w:r>
    </w:p>
    <w:p w14:paraId="2710AB6A" w14:textId="77777777" w:rsidR="00845C47" w:rsidRPr="00AF4867" w:rsidRDefault="00845C47" w:rsidP="00E64CCA">
      <w:pPr>
        <w:spacing w:before="60" w:after="120"/>
        <w:jc w:val="both"/>
        <w:rPr>
          <w:rFonts w:ascii="Arial" w:hAnsi="Arial" w:cs="Arial"/>
        </w:rPr>
      </w:pPr>
    </w:p>
    <w:p w14:paraId="0DC2BF90" w14:textId="2512B5A8" w:rsidR="002C0DA5" w:rsidRPr="00296E2A" w:rsidRDefault="002C0DA5" w:rsidP="00E64CCA">
      <w:pPr>
        <w:spacing w:before="60" w:after="120"/>
        <w:jc w:val="both"/>
        <w:rPr>
          <w:rFonts w:ascii="Arial" w:hAnsi="Arial" w:cs="Arial"/>
          <w:b/>
          <w:bCs/>
          <w:sz w:val="32"/>
          <w:szCs w:val="32"/>
        </w:rPr>
      </w:pPr>
      <w:r w:rsidRPr="00296E2A">
        <w:rPr>
          <w:rFonts w:ascii="Arial" w:hAnsi="Arial" w:cs="Arial"/>
          <w:b/>
          <w:bCs/>
          <w:sz w:val="32"/>
          <w:szCs w:val="32"/>
        </w:rPr>
        <w:t xml:space="preserve">4.2.2 Moderated Capital Return </w:t>
      </w:r>
      <w:proofErr w:type="spellStart"/>
      <w:r w:rsidRPr="00296E2A">
        <w:rPr>
          <w:rFonts w:ascii="Arial" w:hAnsi="Arial" w:cs="Arial"/>
          <w:b/>
          <w:bCs/>
          <w:sz w:val="32"/>
          <w:szCs w:val="32"/>
        </w:rPr>
        <w:t>Programme</w:t>
      </w:r>
      <w:proofErr w:type="spellEnd"/>
    </w:p>
    <w:p w14:paraId="22103C3B" w14:textId="6B8F6A2E" w:rsidR="00585597" w:rsidRDefault="00845C47" w:rsidP="00E64CCA">
      <w:pPr>
        <w:spacing w:before="60" w:after="120"/>
        <w:jc w:val="both"/>
        <w:rPr>
          <w:rFonts w:ascii="Arial" w:hAnsi="Arial" w:cs="Arial"/>
        </w:rPr>
      </w:pPr>
      <w:r w:rsidRPr="00AF4867">
        <w:rPr>
          <w:rFonts w:ascii="Arial" w:hAnsi="Arial" w:cs="Arial"/>
        </w:rPr>
        <w:t xml:space="preserve">The $4.4bn shareholder returns in 2024 have been above free cash flow – the operating cash flow minus the capital expenditure – by an estimated $1.1 billion, where the gap was covered through borrowing. As the chief financial officer, my recommendation would be to revisit the buyback strategy to ensure that it is sustainable at an amount of about 80-90% of free cash flow, leaving some $200-$300 million per year for accelerating debt repayment. This decision will fit into the residual dividend policy approach as recommended by Arnold where shareholders' remuneration will be a residual after allocating funds towards all positive-NPV projects as well as keeping the desired capital structure. Importantly, Marriott's stock buyback </w:t>
      </w:r>
      <w:r w:rsidRPr="00AF4867">
        <w:rPr>
          <w:rFonts w:ascii="Arial" w:hAnsi="Arial" w:cs="Arial"/>
        </w:rPr>
        <w:lastRenderedPageBreak/>
        <w:t>program enjoys a tax advantage in America since capital gains are more favorable than dividends for most institutions.</w:t>
      </w:r>
    </w:p>
    <w:p w14:paraId="2738CFE6" w14:textId="77777777" w:rsidR="00585597" w:rsidRDefault="00585597" w:rsidP="00E64CCA">
      <w:pPr>
        <w:spacing w:before="60" w:after="120"/>
        <w:jc w:val="both"/>
        <w:rPr>
          <w:rFonts w:ascii="Arial" w:hAnsi="Arial" w:cs="Arial"/>
        </w:rPr>
      </w:pPr>
    </w:p>
    <w:p w14:paraId="4922092C" w14:textId="63E36F7C" w:rsidR="00845C47" w:rsidRPr="00585597" w:rsidRDefault="00845C47" w:rsidP="00E64CCA">
      <w:pPr>
        <w:spacing w:before="60" w:after="120"/>
        <w:jc w:val="both"/>
        <w:rPr>
          <w:rFonts w:ascii="Arial" w:hAnsi="Arial" w:cs="Arial"/>
        </w:rPr>
      </w:pPr>
      <w:r w:rsidRPr="00296E2A">
        <w:rPr>
          <w:rFonts w:ascii="Arial" w:hAnsi="Arial" w:cs="Arial"/>
          <w:b/>
          <w:bCs/>
          <w:sz w:val="32"/>
          <w:szCs w:val="32"/>
        </w:rPr>
        <w:t xml:space="preserve">4.2.3 </w:t>
      </w:r>
      <w:proofErr w:type="spellStart"/>
      <w:r w:rsidRPr="00296E2A">
        <w:rPr>
          <w:rFonts w:ascii="Arial" w:hAnsi="Arial" w:cs="Arial"/>
          <w:b/>
          <w:bCs/>
          <w:sz w:val="32"/>
          <w:szCs w:val="32"/>
        </w:rPr>
        <w:t>Interesr</w:t>
      </w:r>
      <w:proofErr w:type="spellEnd"/>
      <w:r w:rsidRPr="00296E2A">
        <w:rPr>
          <w:rFonts w:ascii="Arial" w:hAnsi="Arial" w:cs="Arial"/>
          <w:b/>
          <w:bCs/>
          <w:sz w:val="32"/>
          <w:szCs w:val="32"/>
        </w:rPr>
        <w:t xml:space="preserve"> Rate and Refinancing Strategy</w:t>
      </w:r>
    </w:p>
    <w:p w14:paraId="3CDD425E" w14:textId="781DF3CD" w:rsidR="00845C47" w:rsidRPr="00AF4867" w:rsidRDefault="00845C47" w:rsidP="00E64CCA">
      <w:pPr>
        <w:spacing w:before="60" w:after="120"/>
        <w:jc w:val="both"/>
        <w:rPr>
          <w:rFonts w:ascii="Arial" w:hAnsi="Arial" w:cs="Arial"/>
        </w:rPr>
      </w:pPr>
      <w:r w:rsidRPr="00AF4867">
        <w:rPr>
          <w:rFonts w:ascii="Arial" w:hAnsi="Arial" w:cs="Arial"/>
        </w:rPr>
        <w:t>Given the amount of Marriott’s long-term debt at $14.4 billion, a 1% decline in weighted average interest rate would result in $144 million in interest cost savings per annum, which represents 6.0% of 2024 net income. The maturity schedule of Marriott debt is such that the company has maturities totaling approximately $2.1 billion until 2026 (Marriott International, 2025a). With the current interest rate scenario, with US Federal Reserve base rates coming down from the 5.25–5.50% range for the first half of 2024 to a terminal level of 3.5–4.0% by mid-2026 (IMF, 2024), it would be beneficial for Marriott to extend its maturities currently while they have favorable interest rates, instead of waiting to refinance at the unfavorable future rates. This is known as liability-matching and described as such by Pike &amp; Neale.</w:t>
      </w:r>
    </w:p>
    <w:p w14:paraId="087E8E83" w14:textId="77777777" w:rsidR="00845C47" w:rsidRPr="00AF4867" w:rsidRDefault="00845C47" w:rsidP="00E64CCA">
      <w:pPr>
        <w:spacing w:before="60" w:after="120"/>
        <w:jc w:val="both"/>
        <w:rPr>
          <w:rFonts w:ascii="Arial" w:hAnsi="Arial" w:cs="Arial"/>
        </w:rPr>
      </w:pPr>
    </w:p>
    <w:p w14:paraId="507CE761" w14:textId="35342C87" w:rsidR="00845C47" w:rsidRPr="00296E2A" w:rsidRDefault="00845C47" w:rsidP="00E64CCA">
      <w:pPr>
        <w:spacing w:before="60" w:after="120"/>
        <w:jc w:val="both"/>
        <w:rPr>
          <w:rFonts w:ascii="Arial" w:hAnsi="Arial" w:cs="Arial"/>
          <w:b/>
          <w:bCs/>
          <w:sz w:val="40"/>
          <w:szCs w:val="40"/>
        </w:rPr>
      </w:pPr>
      <w:r w:rsidRPr="00296E2A">
        <w:rPr>
          <w:rFonts w:ascii="Arial" w:hAnsi="Arial" w:cs="Arial"/>
          <w:b/>
          <w:bCs/>
          <w:sz w:val="40"/>
          <w:szCs w:val="40"/>
        </w:rPr>
        <w:t xml:space="preserve">4.3 International and Ethical </w:t>
      </w:r>
      <w:proofErr w:type="spellStart"/>
      <w:r w:rsidRPr="00296E2A">
        <w:rPr>
          <w:rFonts w:ascii="Arial" w:hAnsi="Arial" w:cs="Arial"/>
          <w:b/>
          <w:bCs/>
          <w:sz w:val="40"/>
          <w:szCs w:val="40"/>
        </w:rPr>
        <w:t>Dimencions</w:t>
      </w:r>
      <w:proofErr w:type="spellEnd"/>
      <w:r w:rsidRPr="00296E2A">
        <w:rPr>
          <w:rFonts w:ascii="Arial" w:hAnsi="Arial" w:cs="Arial"/>
          <w:b/>
          <w:bCs/>
          <w:sz w:val="40"/>
          <w:szCs w:val="40"/>
        </w:rPr>
        <w:t xml:space="preserve"> of the </w:t>
      </w:r>
      <w:proofErr w:type="spellStart"/>
      <w:r w:rsidRPr="00296E2A">
        <w:rPr>
          <w:rFonts w:ascii="Arial" w:hAnsi="Arial" w:cs="Arial"/>
          <w:b/>
          <w:bCs/>
          <w:sz w:val="40"/>
          <w:szCs w:val="40"/>
        </w:rPr>
        <w:t>Restructing</w:t>
      </w:r>
      <w:proofErr w:type="spellEnd"/>
      <w:r w:rsidRPr="00296E2A">
        <w:rPr>
          <w:rFonts w:ascii="Arial" w:hAnsi="Arial" w:cs="Arial"/>
          <w:b/>
          <w:bCs/>
          <w:sz w:val="40"/>
          <w:szCs w:val="40"/>
        </w:rPr>
        <w:t xml:space="preserve"> Plan</w:t>
      </w:r>
    </w:p>
    <w:p w14:paraId="7BFF9265" w14:textId="70AEC31B" w:rsidR="00845C47" w:rsidRPr="00AF4867" w:rsidRDefault="00845C47" w:rsidP="00E64CCA">
      <w:pPr>
        <w:spacing w:before="60" w:after="120"/>
        <w:jc w:val="both"/>
        <w:rPr>
          <w:rFonts w:ascii="Arial" w:hAnsi="Arial" w:cs="Arial"/>
        </w:rPr>
      </w:pPr>
      <w:r w:rsidRPr="00AF4867">
        <w:rPr>
          <w:rFonts w:ascii="Arial" w:hAnsi="Arial" w:cs="Arial"/>
        </w:rPr>
        <w:t xml:space="preserve">With Marriott’s operations in 141 countries, there would definitely be some international legal, tax, and ethical issues associated with the financial </w:t>
      </w:r>
      <w:proofErr w:type="spellStart"/>
      <w:r w:rsidRPr="00AF4867">
        <w:rPr>
          <w:rFonts w:ascii="Arial" w:hAnsi="Arial" w:cs="Arial"/>
        </w:rPr>
        <w:t>reorganisation</w:t>
      </w:r>
      <w:proofErr w:type="spellEnd"/>
      <w:r w:rsidRPr="00AF4867">
        <w:rPr>
          <w:rFonts w:ascii="Arial" w:hAnsi="Arial" w:cs="Arial"/>
        </w:rPr>
        <w:t xml:space="preserve"> process. The company should take into account capital gains tax treatment in each of the countries from where the targeted properties can be obtained; for instance, there could be up to 20 percent saving on stamp duty land tax using the UK REIT structure when buying hotel properties. The risk of fluctuations in currency value for its non-US business operations worth approximately 38 percent of its total revenue can be hedged by currency matching and the use of selected forwards.</w:t>
      </w:r>
    </w:p>
    <w:p w14:paraId="373C982F" w14:textId="286B9CCD" w:rsidR="00845C47" w:rsidRPr="00AF4867" w:rsidRDefault="00845C47" w:rsidP="00E64CCA">
      <w:pPr>
        <w:spacing w:before="60" w:after="120"/>
        <w:jc w:val="both"/>
        <w:rPr>
          <w:rFonts w:ascii="Arial" w:hAnsi="Arial" w:cs="Arial"/>
        </w:rPr>
      </w:pPr>
      <w:r w:rsidRPr="00AF4867">
        <w:rPr>
          <w:rFonts w:ascii="Arial" w:hAnsi="Arial" w:cs="Arial"/>
        </w:rPr>
        <w:t xml:space="preserve">Under ESG considerations, lowering financial leverage is beneficial for Marriott from the point of view of improving its credit worthiness, which in turn will have an impact on its ability to invest in the decarbonization of its hotel inventory in accordance with its goal of achieving net zero emission by 2050 as outlined in the Sustainability Report of Marriott in 2024. Being overleveraged leads to less capital that can be invested in making climate change efforts and leads to conflicts between shareholders' short term financial gains and </w:t>
      </w:r>
      <w:proofErr w:type="gramStart"/>
      <w:r w:rsidRPr="00AF4867">
        <w:rPr>
          <w:rFonts w:ascii="Arial" w:hAnsi="Arial" w:cs="Arial"/>
        </w:rPr>
        <w:t>long term</w:t>
      </w:r>
      <w:proofErr w:type="gramEnd"/>
      <w:r w:rsidRPr="00AF4867">
        <w:rPr>
          <w:rFonts w:ascii="Arial" w:hAnsi="Arial" w:cs="Arial"/>
        </w:rPr>
        <w:t xml:space="preserve"> environmental commitment. The 20% leverage covenant headroom, which in the current case equates to an estimated $800m debt capacity under the current BBB credit rating, is essential.</w:t>
      </w:r>
    </w:p>
    <w:p w14:paraId="421E9396" w14:textId="77777777" w:rsidR="00845C47" w:rsidRPr="00AF4867" w:rsidRDefault="00845C47" w:rsidP="00E64CCA">
      <w:pPr>
        <w:spacing w:before="60" w:after="120"/>
        <w:jc w:val="both"/>
        <w:rPr>
          <w:rFonts w:ascii="Arial" w:hAnsi="Arial" w:cs="Arial"/>
        </w:rPr>
      </w:pPr>
    </w:p>
    <w:p w14:paraId="5D0C9347" w14:textId="77777777" w:rsidR="00845C47" w:rsidRPr="00AF4867" w:rsidRDefault="00845C47" w:rsidP="00E64CCA">
      <w:pPr>
        <w:spacing w:before="60" w:after="120"/>
        <w:jc w:val="both"/>
        <w:rPr>
          <w:rFonts w:ascii="Arial" w:hAnsi="Arial" w:cs="Arial"/>
        </w:rPr>
      </w:pPr>
    </w:p>
    <w:p w14:paraId="73D5AA31" w14:textId="77777777" w:rsidR="00845C47" w:rsidRPr="00AF4867" w:rsidRDefault="00845C47" w:rsidP="00E64CCA">
      <w:pPr>
        <w:spacing w:before="60" w:after="120"/>
        <w:jc w:val="both"/>
        <w:rPr>
          <w:rFonts w:ascii="Arial" w:hAnsi="Arial" w:cs="Arial"/>
        </w:rPr>
      </w:pPr>
    </w:p>
    <w:p w14:paraId="7E15E67C" w14:textId="77777777" w:rsidR="00845C47" w:rsidRPr="00AF4867" w:rsidRDefault="00845C47" w:rsidP="00E64CCA">
      <w:pPr>
        <w:spacing w:before="60" w:after="120"/>
        <w:jc w:val="both"/>
        <w:rPr>
          <w:rFonts w:ascii="Arial" w:hAnsi="Arial" w:cs="Arial"/>
        </w:rPr>
      </w:pPr>
    </w:p>
    <w:p w14:paraId="55D71EA0" w14:textId="77777777" w:rsidR="00296E2A" w:rsidRDefault="00296E2A" w:rsidP="00E64CCA">
      <w:pPr>
        <w:spacing w:before="60" w:after="120"/>
        <w:jc w:val="both"/>
        <w:rPr>
          <w:rFonts w:ascii="Arial" w:hAnsi="Arial" w:cs="Arial"/>
        </w:rPr>
      </w:pPr>
    </w:p>
    <w:p w14:paraId="65D66A75" w14:textId="7CF9E677" w:rsidR="00296E2A" w:rsidRPr="00296E2A" w:rsidRDefault="00845C47" w:rsidP="00E64CCA">
      <w:pPr>
        <w:spacing w:before="60" w:after="120"/>
        <w:jc w:val="both"/>
        <w:rPr>
          <w:rFonts w:ascii="Arial" w:hAnsi="Arial" w:cs="Arial"/>
          <w:b/>
          <w:bCs/>
          <w:sz w:val="52"/>
          <w:szCs w:val="52"/>
          <w:u w:val="single"/>
        </w:rPr>
      </w:pPr>
      <w:r w:rsidRPr="00296E2A">
        <w:rPr>
          <w:rFonts w:ascii="Arial" w:hAnsi="Arial" w:cs="Arial"/>
          <w:b/>
          <w:bCs/>
          <w:sz w:val="52"/>
          <w:szCs w:val="52"/>
          <w:u w:val="single"/>
        </w:rPr>
        <w:lastRenderedPageBreak/>
        <w:t>5. Investment Appraisal and Capital Budgeting</w:t>
      </w:r>
    </w:p>
    <w:p w14:paraId="3E5D7440" w14:textId="77777777" w:rsidR="00296E2A" w:rsidRDefault="00296E2A" w:rsidP="00E64CCA">
      <w:pPr>
        <w:spacing w:before="60" w:after="120"/>
        <w:jc w:val="both"/>
        <w:rPr>
          <w:rFonts w:ascii="Arial" w:hAnsi="Arial" w:cs="Arial"/>
        </w:rPr>
      </w:pPr>
    </w:p>
    <w:p w14:paraId="5710C46E" w14:textId="1A0B4B89" w:rsidR="00845C47" w:rsidRPr="002E749D" w:rsidRDefault="00845C47" w:rsidP="00E64CCA">
      <w:pPr>
        <w:spacing w:before="60" w:after="120"/>
        <w:jc w:val="both"/>
        <w:rPr>
          <w:rFonts w:ascii="Arial" w:hAnsi="Arial" w:cs="Arial"/>
          <w:b/>
          <w:bCs/>
          <w:sz w:val="40"/>
          <w:szCs w:val="40"/>
        </w:rPr>
      </w:pPr>
      <w:r w:rsidRPr="002E749D">
        <w:rPr>
          <w:rFonts w:ascii="Arial" w:hAnsi="Arial" w:cs="Arial"/>
          <w:b/>
          <w:bCs/>
          <w:sz w:val="40"/>
          <w:szCs w:val="40"/>
        </w:rPr>
        <w:t>5.1 Project Overview and Assumptions</w:t>
      </w:r>
    </w:p>
    <w:p w14:paraId="528DFB92" w14:textId="71BA3DFC" w:rsidR="00845C47" w:rsidRPr="00AF4867" w:rsidRDefault="00845C47" w:rsidP="00E64CCA">
      <w:pPr>
        <w:spacing w:before="60" w:after="120"/>
        <w:jc w:val="both"/>
        <w:rPr>
          <w:rFonts w:ascii="Arial" w:hAnsi="Arial" w:cs="Arial"/>
        </w:rPr>
      </w:pPr>
      <w:r w:rsidRPr="00AF4867">
        <w:rPr>
          <w:rFonts w:ascii="Arial" w:hAnsi="Arial" w:cs="Arial"/>
        </w:rPr>
        <w:t xml:space="preserve">Marriott’s capital budgeting committee has developed three alternative investments that are mutually exclusive with an initial outlay of £50 million each and an evaluation period of five years. Depreciation for all alternatives occurs under the </w:t>
      </w:r>
      <w:proofErr w:type="gramStart"/>
      <w:r w:rsidRPr="00AF4867">
        <w:rPr>
          <w:rFonts w:ascii="Arial" w:hAnsi="Arial" w:cs="Arial"/>
        </w:rPr>
        <w:t>straight line</w:t>
      </w:r>
      <w:proofErr w:type="gramEnd"/>
      <w:r w:rsidRPr="00AF4867">
        <w:rPr>
          <w:rFonts w:ascii="Arial" w:hAnsi="Arial" w:cs="Arial"/>
        </w:rPr>
        <w:t xml:space="preserve"> method at the end of five years with no salvage value, resulting in depreciation expenses of £10 million each year (£50m ÷ 5). Marriott’s discount rate is 8.0% per year.</w:t>
      </w:r>
    </w:p>
    <w:p w14:paraId="2BDCCA85" w14:textId="77777777" w:rsidR="00845C47" w:rsidRPr="00AF4867" w:rsidRDefault="00845C47" w:rsidP="00E64CCA">
      <w:pPr>
        <w:spacing w:before="120"/>
        <w:jc w:val="both"/>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80"/>
        <w:gridCol w:w="1468"/>
        <w:gridCol w:w="1131"/>
        <w:gridCol w:w="753"/>
        <w:gridCol w:w="753"/>
        <w:gridCol w:w="753"/>
        <w:gridCol w:w="753"/>
        <w:gridCol w:w="753"/>
        <w:gridCol w:w="782"/>
      </w:tblGrid>
      <w:tr w:rsidR="00845C47" w:rsidRPr="00AF4867" w14:paraId="53164583"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50520B5C"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Project</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68AA75A"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Initial Investment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0432D38" w14:textId="77777777" w:rsidR="00845C47" w:rsidRPr="00AF4867" w:rsidRDefault="00845C47" w:rsidP="00E64CCA">
            <w:pPr>
              <w:spacing w:line="360" w:lineRule="auto"/>
              <w:jc w:val="both"/>
              <w:rPr>
                <w:rFonts w:ascii="Arial" w:hAnsi="Arial" w:cs="Arial"/>
              </w:rPr>
            </w:pPr>
            <w:proofErr w:type="spellStart"/>
            <w:r w:rsidRPr="00AF4867">
              <w:rPr>
                <w:rFonts w:ascii="Arial" w:eastAsia="Arial" w:hAnsi="Arial" w:cs="Arial"/>
                <w:color w:val="FFFFFF"/>
              </w:rPr>
              <w:t>Dep'n</w:t>
            </w:r>
            <w:proofErr w:type="spellEnd"/>
            <w:r w:rsidRPr="00AF4867">
              <w:rPr>
                <w:rFonts w:ascii="Arial" w:eastAsia="Arial" w:hAnsi="Arial" w:cs="Arial"/>
                <w:color w:val="FFFFFF"/>
              </w:rPr>
              <w:t>/yr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6C2A8B31"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Y1 CF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372ACC70"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Y2 CF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FF1C56B"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Y3 CF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92F86D0"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Y4 CF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F53DDF6"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Y5 CF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3F76FEB5"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FFFFFF"/>
              </w:rPr>
              <w:t>Total CF (£m)</w:t>
            </w:r>
          </w:p>
        </w:tc>
      </w:tr>
      <w:tr w:rsidR="00845C47" w:rsidRPr="00AF4867" w14:paraId="771C6256"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87591AD"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A: Digital Guest Experience Platform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1626094"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61FF996"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3B6D804"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889FA34"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0507454"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98BB9BE"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0619858"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B1E5E82"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54</w:t>
            </w:r>
          </w:p>
        </w:tc>
      </w:tr>
      <w:tr w:rsidR="00845C47" w:rsidRPr="00AF4867" w14:paraId="710A2BC8"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6F57787"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B: Uniform Regional Loyalty Hub</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1F73A4D"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4848804"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B62FECF"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FD6209E"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4AE29EF"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88B9C2D"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EF348D5"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63DEF17"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55</w:t>
            </w:r>
          </w:p>
        </w:tc>
      </w:tr>
      <w:tr w:rsidR="00845C47" w:rsidRPr="00AF4867" w14:paraId="0382C0FA"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E3E7D1C"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C: Asia-Pacific Revenue Management System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E5272EA"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C0F4962"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17F0E4A"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25416FB"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10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F027CD1"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20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D7B2B67"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25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93CE136"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F98C9CE" w14:textId="77777777" w:rsidR="00845C47" w:rsidRPr="00AF4867" w:rsidRDefault="00845C47" w:rsidP="00E64CCA">
            <w:pPr>
              <w:spacing w:line="360" w:lineRule="auto"/>
              <w:jc w:val="both"/>
              <w:rPr>
                <w:rFonts w:ascii="Arial" w:hAnsi="Arial" w:cs="Arial"/>
              </w:rPr>
            </w:pPr>
            <w:r w:rsidRPr="00AF4867">
              <w:rPr>
                <w:rFonts w:ascii="Arial" w:eastAsia="Arial" w:hAnsi="Arial" w:cs="Arial"/>
                <w:color w:val="1A1A1A"/>
              </w:rPr>
              <w:t>65</w:t>
            </w:r>
          </w:p>
        </w:tc>
      </w:tr>
    </w:tbl>
    <w:p w14:paraId="4A31E1D4" w14:textId="77777777" w:rsidR="00845C47" w:rsidRPr="00AF4867" w:rsidRDefault="00845C47" w:rsidP="00E64CCA">
      <w:pPr>
        <w:spacing w:before="60" w:after="120"/>
        <w:jc w:val="both"/>
        <w:rPr>
          <w:rFonts w:ascii="Arial" w:hAnsi="Arial" w:cs="Arial"/>
        </w:rPr>
      </w:pPr>
      <w:r w:rsidRPr="00AF4867">
        <w:rPr>
          <w:rFonts w:ascii="Arial" w:eastAsia="Arial" w:hAnsi="Arial" w:cs="Arial"/>
          <w:color w:val="595959"/>
        </w:rPr>
        <w:t>Table 5: Investment Project Parameters Source: Author's own, based on assignment specification data.</w:t>
      </w:r>
    </w:p>
    <w:p w14:paraId="76B165E4" w14:textId="77777777" w:rsidR="00845C47" w:rsidRPr="00AF4867" w:rsidRDefault="00845C47" w:rsidP="00E64CCA">
      <w:pPr>
        <w:jc w:val="both"/>
        <w:rPr>
          <w:rFonts w:ascii="Arial" w:hAnsi="Arial" w:cs="Arial"/>
        </w:rPr>
      </w:pPr>
    </w:p>
    <w:p w14:paraId="7A77CDE2" w14:textId="77777777" w:rsidR="00845C47" w:rsidRPr="00AF4867" w:rsidRDefault="00845C47" w:rsidP="00E64CCA">
      <w:pPr>
        <w:jc w:val="both"/>
        <w:rPr>
          <w:rFonts w:ascii="Arial" w:hAnsi="Arial" w:cs="Arial"/>
        </w:rPr>
      </w:pPr>
      <w:r w:rsidRPr="00AF4867">
        <w:rPr>
          <w:rFonts w:ascii="Arial" w:hAnsi="Arial" w:cs="Arial"/>
          <w:noProof/>
        </w:rPr>
        <w:lastRenderedPageBreak/>
        <w:drawing>
          <wp:inline distT="0" distB="0" distL="0" distR="0" wp14:anchorId="25321C39" wp14:editId="0E717414">
            <wp:extent cx="5577840" cy="29287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project_cashflows.png"/>
                    <pic:cNvPicPr/>
                  </pic:nvPicPr>
                  <pic:blipFill>
                    <a:blip r:embed="rId18"/>
                    <a:stretch>
                      <a:fillRect/>
                    </a:stretch>
                  </pic:blipFill>
                  <pic:spPr>
                    <a:xfrm>
                      <a:off x="0" y="0"/>
                      <a:ext cx="5577840" cy="2928710"/>
                    </a:xfrm>
                    <a:prstGeom prst="rect">
                      <a:avLst/>
                    </a:prstGeom>
                  </pic:spPr>
                </pic:pic>
              </a:graphicData>
            </a:graphic>
          </wp:inline>
        </w:drawing>
      </w:r>
    </w:p>
    <w:p w14:paraId="61225D39" w14:textId="77777777" w:rsidR="00845C47" w:rsidRPr="00AF4867" w:rsidRDefault="00845C47" w:rsidP="00E64CCA">
      <w:pPr>
        <w:jc w:val="both"/>
        <w:rPr>
          <w:rFonts w:ascii="Arial" w:hAnsi="Arial" w:cs="Arial"/>
        </w:rPr>
      </w:pPr>
      <w:r w:rsidRPr="00AF4867">
        <w:rPr>
          <w:rFonts w:ascii="Arial" w:hAnsi="Arial" w:cs="Arial"/>
          <w:color w:val="404040"/>
        </w:rPr>
        <w:t>Figure 10: Project Cash Flow Profiles, Years 1–5. Source: Author's own, from data in Table 5.</w:t>
      </w:r>
    </w:p>
    <w:p w14:paraId="7E5F32F0" w14:textId="77777777" w:rsidR="00845C47" w:rsidRPr="00AF4867" w:rsidRDefault="00845C47" w:rsidP="00E64CCA">
      <w:pPr>
        <w:spacing w:before="120"/>
        <w:jc w:val="both"/>
        <w:rPr>
          <w:rFonts w:ascii="Arial" w:hAnsi="Arial" w:cs="Arial"/>
        </w:rPr>
      </w:pPr>
    </w:p>
    <w:p w14:paraId="376D1130" w14:textId="2C3CA53A" w:rsidR="006A53EF" w:rsidRPr="00296E2A" w:rsidRDefault="00845C47" w:rsidP="00E64CCA">
      <w:pPr>
        <w:spacing w:before="60" w:after="120"/>
        <w:jc w:val="both"/>
        <w:rPr>
          <w:rFonts w:ascii="Arial" w:hAnsi="Arial" w:cs="Arial"/>
          <w:b/>
          <w:bCs/>
          <w:sz w:val="40"/>
          <w:szCs w:val="40"/>
        </w:rPr>
      </w:pPr>
      <w:r w:rsidRPr="00296E2A">
        <w:rPr>
          <w:rFonts w:ascii="Arial" w:hAnsi="Arial" w:cs="Arial"/>
          <w:b/>
          <w:bCs/>
          <w:sz w:val="40"/>
          <w:szCs w:val="40"/>
        </w:rPr>
        <w:t>5.2 Appraisal Methods Applied</w:t>
      </w:r>
    </w:p>
    <w:p w14:paraId="4085EFF9" w14:textId="4E406D95" w:rsidR="00845C47" w:rsidRPr="00296E2A" w:rsidRDefault="00845C47" w:rsidP="00E64CCA">
      <w:pPr>
        <w:spacing w:before="60" w:after="120"/>
        <w:jc w:val="both"/>
        <w:rPr>
          <w:rFonts w:ascii="Arial" w:hAnsi="Arial" w:cs="Arial"/>
          <w:b/>
          <w:bCs/>
          <w:sz w:val="32"/>
          <w:szCs w:val="32"/>
        </w:rPr>
      </w:pPr>
      <w:r w:rsidRPr="00296E2A">
        <w:rPr>
          <w:rFonts w:ascii="Arial" w:hAnsi="Arial" w:cs="Arial"/>
          <w:b/>
          <w:bCs/>
          <w:sz w:val="32"/>
          <w:szCs w:val="32"/>
        </w:rPr>
        <w:t>5.2.1 Payback Period (PBP)</w:t>
      </w:r>
    </w:p>
    <w:p w14:paraId="02403A95" w14:textId="79932827" w:rsidR="00845C47" w:rsidRPr="00AF4867" w:rsidRDefault="00845C47" w:rsidP="00E64CCA">
      <w:pPr>
        <w:spacing w:before="60" w:after="120"/>
        <w:jc w:val="both"/>
        <w:rPr>
          <w:rFonts w:ascii="Arial" w:hAnsi="Arial" w:cs="Arial"/>
        </w:rPr>
      </w:pPr>
      <w:r w:rsidRPr="00AF4867">
        <w:rPr>
          <w:rFonts w:ascii="Arial" w:hAnsi="Arial" w:cs="Arial"/>
        </w:rPr>
        <w:t>The Payback Period refers to the time needed to recoup the original cost of an investment using net cash flow. Although the payback period is easy to calculate and is a commonly employed risk assessment technique, it overlooks the time value of money (Arnold, 2019).</w:t>
      </w:r>
    </w:p>
    <w:p w14:paraId="520FB6D7" w14:textId="77777777" w:rsidR="009525D6" w:rsidRPr="00AF4867" w:rsidRDefault="009525D6" w:rsidP="00E64CCA">
      <w:pPr>
        <w:spacing w:before="80" w:after="80" w:line="360" w:lineRule="auto"/>
        <w:jc w:val="both"/>
        <w:rPr>
          <w:rFonts w:ascii="Arial" w:eastAsia="Arial" w:hAnsi="Arial" w:cs="Arial"/>
          <w:color w:val="1A1A1A"/>
        </w:rPr>
      </w:pPr>
    </w:p>
    <w:p w14:paraId="7B519986" w14:textId="39F2C340" w:rsidR="009525D6"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A: Cumulative flows: Y1 £10m, Y2 £22m, Y3 £36m, Y4 £46m, Y5 £54m.Recovery of £4m remaining after Y4; Y5 generates £8m</w:t>
      </w:r>
    </w:p>
    <w:p w14:paraId="7D658DA1" w14:textId="3FE62621" w:rsidR="00845C47"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PBP = 4 + (4 ÷ 8) </w:t>
      </w:r>
    </w:p>
    <w:p w14:paraId="15EF8FED" w14:textId="4A5F6B59" w:rsidR="00845C47"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4</w:t>
      </w:r>
      <w:r w:rsidR="009525D6" w:rsidRPr="00AF4867">
        <w:rPr>
          <w:rFonts w:ascii="Arial" w:eastAsia="Arial" w:hAnsi="Arial" w:cs="Arial"/>
          <w:color w:val="1A1A1A"/>
        </w:rPr>
        <w:t xml:space="preserve"> </w:t>
      </w:r>
      <w:r w:rsidRPr="00AF4867">
        <w:rPr>
          <w:rFonts w:ascii="Arial" w:eastAsia="Arial" w:hAnsi="Arial" w:cs="Arial"/>
          <w:color w:val="1A1A1A"/>
        </w:rPr>
        <w:t>+</w:t>
      </w:r>
      <w:r w:rsidR="009525D6" w:rsidRPr="00AF4867">
        <w:rPr>
          <w:rFonts w:ascii="Arial" w:eastAsia="Arial" w:hAnsi="Arial" w:cs="Arial"/>
          <w:color w:val="1A1A1A"/>
        </w:rPr>
        <w:t xml:space="preserve"> </w:t>
      </w:r>
      <w:r w:rsidRPr="00AF4867">
        <w:rPr>
          <w:rFonts w:ascii="Arial" w:eastAsia="Arial" w:hAnsi="Arial" w:cs="Arial"/>
          <w:color w:val="1A1A1A"/>
        </w:rPr>
        <w:t>(0.5)</w:t>
      </w:r>
    </w:p>
    <w:p w14:paraId="2ADB2CB1" w14:textId="459F9815" w:rsidR="00845C47"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4.50 years</w:t>
      </w:r>
    </w:p>
    <w:p w14:paraId="2FDFE064" w14:textId="77777777" w:rsidR="009525D6" w:rsidRPr="00AF4867" w:rsidRDefault="009525D6" w:rsidP="00E64CCA">
      <w:pPr>
        <w:spacing w:before="80" w:after="80" w:line="360" w:lineRule="auto"/>
        <w:jc w:val="both"/>
        <w:rPr>
          <w:rFonts w:ascii="Arial" w:eastAsia="Arial" w:hAnsi="Arial" w:cs="Arial"/>
          <w:color w:val="1A1A1A"/>
        </w:rPr>
      </w:pPr>
    </w:p>
    <w:p w14:paraId="5CDB06C9" w14:textId="3184425D" w:rsidR="009525D6"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B: Cumulative flows: Y1 £11m, Y2 £22m, Y3 £33m, Y4 £44m, Y5 £55m.Recovery of £6m remaining after Y4; Y5 generates £11m</w:t>
      </w:r>
    </w:p>
    <w:p w14:paraId="1196BBD6" w14:textId="19EA4FA7" w:rsidR="009525D6"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PBP = 4 + (6 ÷ 11) </w:t>
      </w:r>
    </w:p>
    <w:p w14:paraId="52AA9613" w14:textId="23BD83BD"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00845C47" w:rsidRPr="00AF4867">
        <w:rPr>
          <w:rFonts w:ascii="Arial" w:eastAsia="Arial" w:hAnsi="Arial" w:cs="Arial"/>
          <w:color w:val="1A1A1A"/>
        </w:rPr>
        <w:t>= 4</w:t>
      </w:r>
      <w:r w:rsidRPr="00AF4867">
        <w:rPr>
          <w:rFonts w:ascii="Arial" w:eastAsia="Arial" w:hAnsi="Arial" w:cs="Arial"/>
          <w:color w:val="1A1A1A"/>
        </w:rPr>
        <w:t xml:space="preserve"> + (0.</w:t>
      </w:r>
      <w:r w:rsidR="00845C47" w:rsidRPr="00AF4867">
        <w:rPr>
          <w:rFonts w:ascii="Arial" w:eastAsia="Arial" w:hAnsi="Arial" w:cs="Arial"/>
          <w:color w:val="1A1A1A"/>
        </w:rPr>
        <w:t>55</w:t>
      </w:r>
      <w:r w:rsidRPr="00AF4867">
        <w:rPr>
          <w:rFonts w:ascii="Arial" w:eastAsia="Arial" w:hAnsi="Arial" w:cs="Arial"/>
          <w:color w:val="1A1A1A"/>
        </w:rPr>
        <w:t>)</w:t>
      </w:r>
      <w:r w:rsidR="00845C47" w:rsidRPr="00AF4867">
        <w:rPr>
          <w:rFonts w:ascii="Arial" w:eastAsia="Arial" w:hAnsi="Arial" w:cs="Arial"/>
          <w:color w:val="1A1A1A"/>
        </w:rPr>
        <w:t xml:space="preserve"> </w:t>
      </w:r>
    </w:p>
    <w:p w14:paraId="206978FF" w14:textId="2A2AC3A0" w:rsidR="00845C47" w:rsidRPr="00AF4867" w:rsidRDefault="009525D6" w:rsidP="00E64CCA">
      <w:pPr>
        <w:spacing w:before="80" w:after="80" w:line="360" w:lineRule="auto"/>
        <w:jc w:val="both"/>
        <w:rPr>
          <w:rFonts w:ascii="Arial" w:hAnsi="Arial" w:cs="Arial"/>
        </w:rPr>
      </w:pPr>
      <w:r w:rsidRPr="00AF4867">
        <w:rPr>
          <w:rFonts w:ascii="Arial" w:eastAsia="Arial" w:hAnsi="Arial" w:cs="Arial"/>
          <w:color w:val="1A1A1A"/>
        </w:rPr>
        <w:t xml:space="preserve">        = 4.55</w:t>
      </w:r>
      <w:r w:rsidRPr="00AF4867">
        <w:rPr>
          <w:rFonts w:ascii="Arial" w:eastAsia="Arial" w:hAnsi="Arial" w:cs="Arial"/>
          <w:color w:val="1A1A1A"/>
        </w:rPr>
        <w:t>years</w:t>
      </w:r>
    </w:p>
    <w:p w14:paraId="1434EBA4" w14:textId="77777777" w:rsidR="009525D6" w:rsidRPr="00AF4867" w:rsidRDefault="009525D6" w:rsidP="00E64CCA">
      <w:pPr>
        <w:spacing w:before="80" w:after="80" w:line="360" w:lineRule="auto"/>
        <w:jc w:val="both"/>
        <w:rPr>
          <w:rFonts w:ascii="Arial" w:eastAsia="Arial" w:hAnsi="Arial" w:cs="Arial"/>
          <w:color w:val="1A1A1A"/>
        </w:rPr>
      </w:pPr>
    </w:p>
    <w:p w14:paraId="690046F2" w14:textId="7CDD340B" w:rsidR="009525D6"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C: Cumulative flows: Y1 £5m, Y2 £15m, Y3 £35m, Y4 £60m</w:t>
      </w:r>
    </w:p>
    <w:p w14:paraId="4787D238" w14:textId="3F172F8E" w:rsidR="009525D6"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lastRenderedPageBreak/>
        <w:t>Recovery of £15m remaining after Y3; Y4 generates £25m</w:t>
      </w:r>
    </w:p>
    <w:p w14:paraId="368AC64D" w14:textId="77777777" w:rsidR="009525D6" w:rsidRPr="00AF4867" w:rsidRDefault="00845C47"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PBP = 3 + (15 ÷ 25) </w:t>
      </w:r>
    </w:p>
    <w:p w14:paraId="79E5062E" w14:textId="110C62A1"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 3 + (0.60)</w:t>
      </w:r>
    </w:p>
    <w:p w14:paraId="76DD6F83"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00845C47" w:rsidRPr="00AF4867">
        <w:rPr>
          <w:rFonts w:ascii="Arial" w:eastAsia="Arial" w:hAnsi="Arial" w:cs="Arial"/>
          <w:color w:val="1A1A1A"/>
        </w:rPr>
        <w:t>= 3.60 years</w:t>
      </w:r>
    </w:p>
    <w:p w14:paraId="69A1B0C5" w14:textId="77777777" w:rsidR="009525D6" w:rsidRPr="00AF4867" w:rsidRDefault="009525D6" w:rsidP="00E64CCA">
      <w:pPr>
        <w:spacing w:before="80" w:after="80" w:line="360" w:lineRule="auto"/>
        <w:jc w:val="both"/>
        <w:rPr>
          <w:rFonts w:ascii="Arial" w:eastAsia="Arial" w:hAnsi="Arial" w:cs="Arial"/>
          <w:color w:val="1A1A1A"/>
        </w:rPr>
      </w:pPr>
    </w:p>
    <w:p w14:paraId="0031E34C" w14:textId="280BD972" w:rsidR="009525D6" w:rsidRPr="002E749D" w:rsidRDefault="009525D6" w:rsidP="00E64CCA">
      <w:pPr>
        <w:spacing w:before="80" w:after="80" w:line="360" w:lineRule="auto"/>
        <w:jc w:val="both"/>
        <w:rPr>
          <w:rFonts w:ascii="Arial" w:eastAsia="Arial" w:hAnsi="Arial" w:cs="Arial"/>
          <w:b/>
          <w:bCs/>
          <w:color w:val="1A1A1A"/>
          <w:sz w:val="32"/>
          <w:szCs w:val="32"/>
        </w:rPr>
      </w:pPr>
      <w:r w:rsidRPr="002E749D">
        <w:rPr>
          <w:rFonts w:ascii="Arial" w:eastAsia="Arial" w:hAnsi="Arial" w:cs="Arial"/>
          <w:b/>
          <w:bCs/>
          <w:color w:val="1A1A1A"/>
          <w:sz w:val="32"/>
          <w:szCs w:val="32"/>
        </w:rPr>
        <w:t>5.2.2 Accounting Rate of Return (ARR)</w:t>
      </w:r>
    </w:p>
    <w:p w14:paraId="614D7912" w14:textId="38B7AC74"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ARR = (Average Annual Accounting Profit ÷ Initial Investment) × 100</w:t>
      </w:r>
    </w:p>
    <w:p w14:paraId="3FD6D766" w14:textId="1916B7B3"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Accounting profit = Cash flow </w:t>
      </w:r>
      <w:r w:rsidRPr="00AF4867">
        <w:rPr>
          <w:rFonts w:ascii="Arial" w:eastAsia="Arial" w:hAnsi="Arial" w:cs="Arial"/>
          <w:color w:val="1A1A1A"/>
        </w:rPr>
        <w:t>–</w:t>
      </w:r>
      <w:r w:rsidRPr="00AF4867">
        <w:rPr>
          <w:rFonts w:ascii="Arial" w:eastAsia="Arial" w:hAnsi="Arial" w:cs="Arial"/>
          <w:color w:val="1A1A1A"/>
        </w:rPr>
        <w:t xml:space="preserve"> Depreciation</w:t>
      </w:r>
    </w:p>
    <w:p w14:paraId="44F680E4" w14:textId="77777777" w:rsidR="009525D6" w:rsidRPr="00AF4867" w:rsidRDefault="009525D6" w:rsidP="00E64CCA">
      <w:pPr>
        <w:spacing w:before="80" w:after="80" w:line="360" w:lineRule="auto"/>
        <w:jc w:val="both"/>
        <w:rPr>
          <w:rFonts w:ascii="Arial" w:eastAsia="Arial" w:hAnsi="Arial" w:cs="Arial"/>
          <w:color w:val="1A1A1A"/>
        </w:rPr>
      </w:pPr>
    </w:p>
    <w:p w14:paraId="5E39F2AB"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A: Annual profits = £0m, £2m, £4m, £0m, −£2m</w:t>
      </w:r>
    </w:p>
    <w:p w14:paraId="41FF4446"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Average profit = £4m ÷ 5 </w:t>
      </w:r>
    </w:p>
    <w:p w14:paraId="3C52F265" w14:textId="7252CE22"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£0.80m</w:t>
      </w:r>
    </w:p>
    <w:p w14:paraId="351149EC"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ARR = (0.80 ÷ 50) × 100 </w:t>
      </w:r>
    </w:p>
    <w:p w14:paraId="58EB910A" w14:textId="7471549D"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1.6%</w:t>
      </w:r>
    </w:p>
    <w:p w14:paraId="71146B76" w14:textId="77777777" w:rsidR="009525D6" w:rsidRPr="00AF4867" w:rsidRDefault="009525D6" w:rsidP="00E64CCA">
      <w:pPr>
        <w:spacing w:before="80" w:after="80" w:line="360" w:lineRule="auto"/>
        <w:jc w:val="both"/>
        <w:rPr>
          <w:rFonts w:ascii="Arial" w:eastAsia="Arial" w:hAnsi="Arial" w:cs="Arial"/>
          <w:color w:val="1A1A1A"/>
        </w:rPr>
      </w:pPr>
    </w:p>
    <w:p w14:paraId="6D08C9AA"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B: Annual profits = £1m × 5</w:t>
      </w:r>
    </w:p>
    <w:p w14:paraId="410E8887"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Average profit = £1.00m</w:t>
      </w:r>
    </w:p>
    <w:p w14:paraId="255AC305"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ARR = (1.00 ÷ 50) × 100 </w:t>
      </w:r>
    </w:p>
    <w:p w14:paraId="66264F51" w14:textId="178060B5"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2.0%</w:t>
      </w:r>
    </w:p>
    <w:p w14:paraId="3DC6E1E1" w14:textId="77777777" w:rsidR="009525D6" w:rsidRPr="00AF4867" w:rsidRDefault="009525D6" w:rsidP="00E64CCA">
      <w:pPr>
        <w:spacing w:before="80" w:after="80" w:line="360" w:lineRule="auto"/>
        <w:jc w:val="both"/>
        <w:rPr>
          <w:rFonts w:ascii="Arial" w:eastAsia="Arial" w:hAnsi="Arial" w:cs="Arial"/>
          <w:color w:val="1A1A1A"/>
        </w:rPr>
      </w:pPr>
    </w:p>
    <w:p w14:paraId="7FE48C67"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C: Annual profits = −£5m, £0m, £10m, £15m, −£5m</w:t>
      </w:r>
    </w:p>
    <w:p w14:paraId="25DA9AAB"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Average profit = £15m ÷ 5</w:t>
      </w:r>
    </w:p>
    <w:p w14:paraId="5A562FB0"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£3.00m</w:t>
      </w:r>
    </w:p>
    <w:p w14:paraId="1FA7ED67" w14:textId="77777777"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ARR = (3.00 ÷ 50) × 100</w:t>
      </w:r>
    </w:p>
    <w:p w14:paraId="19D44A0F" w14:textId="0B974ECD" w:rsidR="009525D6" w:rsidRPr="00AF4867" w:rsidRDefault="009525D6"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6.0%</w:t>
      </w:r>
    </w:p>
    <w:p w14:paraId="4443BEC9" w14:textId="77777777" w:rsidR="005F79DC" w:rsidRPr="00AF4867" w:rsidRDefault="005F79DC" w:rsidP="00E64CCA">
      <w:pPr>
        <w:spacing w:before="80" w:after="80" w:line="360" w:lineRule="auto"/>
        <w:jc w:val="both"/>
        <w:rPr>
          <w:rFonts w:ascii="Arial" w:eastAsia="Arial" w:hAnsi="Arial" w:cs="Arial"/>
          <w:color w:val="1A1A1A"/>
        </w:rPr>
      </w:pPr>
    </w:p>
    <w:p w14:paraId="6F9C9205" w14:textId="117506C0" w:rsidR="005F79DC" w:rsidRPr="00296E2A" w:rsidRDefault="005F79DC" w:rsidP="00E64CCA">
      <w:pPr>
        <w:spacing w:before="80" w:after="80" w:line="360" w:lineRule="auto"/>
        <w:jc w:val="both"/>
        <w:rPr>
          <w:rFonts w:ascii="Arial" w:eastAsia="Arial" w:hAnsi="Arial" w:cs="Arial"/>
          <w:b/>
          <w:bCs/>
          <w:color w:val="1A1A1A"/>
          <w:sz w:val="32"/>
          <w:szCs w:val="32"/>
        </w:rPr>
      </w:pPr>
      <w:r w:rsidRPr="00296E2A">
        <w:rPr>
          <w:rFonts w:ascii="Arial" w:eastAsia="Arial" w:hAnsi="Arial" w:cs="Arial"/>
          <w:b/>
          <w:bCs/>
          <w:color w:val="1A1A1A"/>
          <w:sz w:val="32"/>
          <w:szCs w:val="32"/>
        </w:rPr>
        <w:t>5.2.3 Net Present Value (NPV) and Profitability Index (PI)</w:t>
      </w:r>
    </w:p>
    <w:p w14:paraId="38042FDE" w14:textId="371DF364"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NPV will discount all the cash flow at the rate of 8%, and then it will be deducted by the initial cost. This measure of NPV is considered theoretically better than other methods because it aligns well with shareholder wealth maximization (Brealey, Myers </w:t>
      </w:r>
      <w:r w:rsidRPr="00AF4867">
        <w:rPr>
          <w:rFonts w:ascii="Arial" w:eastAsia="Arial" w:hAnsi="Arial" w:cs="Arial"/>
          <w:color w:val="1A1A1A"/>
        </w:rPr>
        <w:lastRenderedPageBreak/>
        <w:t>and Allen, 2020). If NPV is positive, it implies that the project creates value; otherwise, it destroys value. PI = Sum of PV of cash inflows / Initial cost; PI &gt; 1.0 creates value.</w:t>
      </w:r>
    </w:p>
    <w:p w14:paraId="0A97CB21" w14:textId="77777777" w:rsidR="005F79DC" w:rsidRPr="00AF4867" w:rsidRDefault="005F79DC" w:rsidP="00E64CCA">
      <w:pPr>
        <w:spacing w:before="120"/>
        <w:jc w:val="both"/>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21"/>
        <w:gridCol w:w="1105"/>
        <w:gridCol w:w="2321"/>
        <w:gridCol w:w="2336"/>
        <w:gridCol w:w="2343"/>
      </w:tblGrid>
      <w:tr w:rsidR="005F79DC" w:rsidRPr="00AF4867" w14:paraId="248073DD"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C586B47"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FFFFFF"/>
              </w:rPr>
              <w:t>Year</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67188F22"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FFFFFF"/>
              </w:rPr>
              <w:t>DF @ 8%</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3437ED6F"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FFFFFF"/>
              </w:rPr>
              <w:t>Project A CF (£m) / PV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609C8C3F"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FFFFFF"/>
              </w:rPr>
              <w:t>Project B CF (£m) / PV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0BD2D51"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FFFFFF"/>
              </w:rPr>
              <w:t>Project C CF (£m) / PV (£m)</w:t>
            </w:r>
          </w:p>
        </w:tc>
      </w:tr>
      <w:tr w:rsidR="005F79DC" w:rsidRPr="00AF4867" w14:paraId="0430581E"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EE9AD70"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5AF9ED2"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1.0000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D6C9EF5"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−50.000 / −50.000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B1AC71E"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−50.000 / −50.000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D558085"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−50.000 / −50.000</w:t>
            </w:r>
          </w:p>
        </w:tc>
      </w:tr>
      <w:tr w:rsidR="005F79DC" w:rsidRPr="00AF4867" w14:paraId="1436750E"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DB13CA8"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370D6FE"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0.9259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AF49F92"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10.000 / 9.259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59A80F3"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11.000 / 10.185</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351CD1C"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5.000 / 4.630</w:t>
            </w:r>
          </w:p>
        </w:tc>
      </w:tr>
      <w:tr w:rsidR="005F79DC" w:rsidRPr="00AF4867" w14:paraId="093B6101"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8355150"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2</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07D1886"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0.8573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5A227178"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12.000 / 10.288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667E98D"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11.000 / 9.430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B77AD2D"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10.000 / 8.573</w:t>
            </w:r>
          </w:p>
        </w:tc>
      </w:tr>
      <w:tr w:rsidR="005F79DC" w:rsidRPr="00AF4867" w14:paraId="1305F493"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6052C0B"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3</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F77832D"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0.7938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6F045BE"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14.000 / 11.113</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AB04F2F"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11.000 / 8.732</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8DA8AA7"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20.000 / 15.877</w:t>
            </w:r>
          </w:p>
        </w:tc>
      </w:tr>
      <w:tr w:rsidR="005F79DC" w:rsidRPr="00AF4867" w14:paraId="3E761DFE"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6845EF3"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4</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F3B8F47"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0.7350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AF4926D"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10.000 / 7.350</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3A22E5A"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11.000 / 8.085</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FD8E27F"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25.000 / 18.375</w:t>
            </w:r>
          </w:p>
        </w:tc>
      </w:tr>
      <w:tr w:rsidR="005F79DC" w:rsidRPr="00AF4867" w14:paraId="406F3695"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4697CDA"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DE7A064"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0.6806</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6A011D6D"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8.000 / 5.445</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7D2DD9A"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11.000 / 7.487</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F8C3236"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5.000 / 3.403</w:t>
            </w:r>
          </w:p>
        </w:tc>
      </w:tr>
      <w:tr w:rsidR="005F79DC" w:rsidRPr="00AF4867" w14:paraId="1082C192"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058DBA70"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Total PV</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29361908" w14:textId="77777777" w:rsidR="005F79DC" w:rsidRPr="00AF4867" w:rsidRDefault="005F79DC" w:rsidP="00E64CCA">
            <w:pPr>
              <w:spacing w:line="360" w:lineRule="auto"/>
              <w:jc w:val="both"/>
              <w:rPr>
                <w:rFonts w:ascii="Arial" w:hAnsi="Arial" w:cs="Arial"/>
              </w:rPr>
            </w:pP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1B6B002E"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43.455</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72F2A7FE"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43.919</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6223BFD2"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50.858</w:t>
            </w:r>
          </w:p>
        </w:tc>
      </w:tr>
      <w:tr w:rsidR="005F79DC" w:rsidRPr="00AF4867" w14:paraId="6FCC1E8A"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0348AF32"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NPV</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1675CAA3" w14:textId="77777777" w:rsidR="005F79DC" w:rsidRPr="00AF4867" w:rsidRDefault="005F79DC" w:rsidP="00E64CCA">
            <w:pPr>
              <w:spacing w:line="360" w:lineRule="auto"/>
              <w:jc w:val="both"/>
              <w:rPr>
                <w:rFonts w:ascii="Arial" w:hAnsi="Arial" w:cs="Arial"/>
              </w:rPr>
            </w:pP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3FEB8EE8"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−£6.545m</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4AD633E5"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−£6.081m</w:t>
            </w:r>
          </w:p>
        </w:tc>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1691BB53"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+£0.858m</w:t>
            </w:r>
          </w:p>
        </w:tc>
      </w:tr>
      <w:tr w:rsidR="005F79DC" w:rsidRPr="00AF4867" w14:paraId="580CD9E5"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04BC879A"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PI</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FAACEF9" w14:textId="77777777" w:rsidR="005F79DC" w:rsidRPr="00AF4867" w:rsidRDefault="005F79DC" w:rsidP="00E64CCA">
            <w:pPr>
              <w:spacing w:line="360" w:lineRule="auto"/>
              <w:jc w:val="both"/>
              <w:rPr>
                <w:rFonts w:ascii="Arial" w:hAnsi="Arial" w:cs="Arial"/>
              </w:rPr>
            </w:pP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6D310DA"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0.869</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A3A78B3"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0.878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0354E62" w14:textId="77777777" w:rsidR="005F79DC" w:rsidRPr="00AF4867" w:rsidRDefault="005F79DC" w:rsidP="00E64CCA">
            <w:pPr>
              <w:spacing w:line="360" w:lineRule="auto"/>
              <w:jc w:val="both"/>
              <w:rPr>
                <w:rFonts w:ascii="Arial" w:hAnsi="Arial" w:cs="Arial"/>
              </w:rPr>
            </w:pPr>
            <w:r w:rsidRPr="00AF4867">
              <w:rPr>
                <w:rFonts w:ascii="Arial" w:eastAsia="Arial" w:hAnsi="Arial" w:cs="Arial"/>
                <w:color w:val="1A1A1A"/>
              </w:rPr>
              <w:t>1.017</w:t>
            </w:r>
          </w:p>
        </w:tc>
      </w:tr>
    </w:tbl>
    <w:p w14:paraId="02DACDB1" w14:textId="51CF9590" w:rsidR="005F79DC" w:rsidRDefault="005F79DC" w:rsidP="00E64CCA">
      <w:pPr>
        <w:jc w:val="both"/>
        <w:rPr>
          <w:rFonts w:ascii="Arial" w:hAnsi="Arial" w:cs="Arial"/>
        </w:rPr>
      </w:pPr>
      <w:r w:rsidRPr="00AF4867">
        <w:rPr>
          <w:rFonts w:ascii="Arial" w:hAnsi="Arial" w:cs="Arial"/>
        </w:rPr>
        <w:t>Table 6: Calculation of Net Present Values for All Three Projects (£ Millions) Discount Factors: DF = 1</w:t>
      </w:r>
      <w:proofErr w:type="gramStart"/>
      <w:r w:rsidRPr="00AF4867">
        <w:rPr>
          <w:rFonts w:ascii="Arial" w:hAnsi="Arial" w:cs="Arial"/>
        </w:rPr>
        <w:t>/(1.08)^</w:t>
      </w:r>
      <w:proofErr w:type="gramEnd"/>
      <w:r w:rsidRPr="00AF4867">
        <w:rPr>
          <w:rFonts w:ascii="Arial" w:hAnsi="Arial" w:cs="Arial"/>
        </w:rPr>
        <w:t>n. Source: Calculations by Author.</w:t>
      </w:r>
    </w:p>
    <w:p w14:paraId="5AFA42AE" w14:textId="77777777" w:rsidR="00585597" w:rsidRPr="00AF4867" w:rsidRDefault="00585597" w:rsidP="00E64CCA">
      <w:pPr>
        <w:jc w:val="both"/>
        <w:rPr>
          <w:rFonts w:ascii="Arial" w:hAnsi="Arial" w:cs="Arial"/>
        </w:rPr>
      </w:pPr>
    </w:p>
    <w:p w14:paraId="222EEAB0" w14:textId="6DCB2D00" w:rsidR="005F79DC" w:rsidRPr="00AF4867" w:rsidRDefault="00296E2A" w:rsidP="00296E2A">
      <w:pPr>
        <w:jc w:val="center"/>
        <w:rPr>
          <w:rFonts w:ascii="Arial" w:hAnsi="Arial" w:cs="Arial"/>
        </w:rPr>
      </w:pPr>
      <w:r w:rsidRPr="00AF4867">
        <w:rPr>
          <w:rFonts w:ascii="Arial" w:hAnsi="Arial" w:cs="Arial"/>
          <w:noProof/>
        </w:rPr>
        <w:drawing>
          <wp:anchor distT="0" distB="0" distL="114300" distR="114300" simplePos="0" relativeHeight="251658240" behindDoc="0" locked="0" layoutInCell="1" allowOverlap="1" wp14:anchorId="322F3A41" wp14:editId="2E1A6233">
            <wp:simplePos x="0" y="0"/>
            <wp:positionH relativeFrom="margin">
              <wp:posOffset>13854</wp:posOffset>
            </wp:positionH>
            <wp:positionV relativeFrom="page">
              <wp:posOffset>7335347</wp:posOffset>
            </wp:positionV>
            <wp:extent cx="5577840" cy="2653665"/>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npv.png"/>
                    <pic:cNvPicPr/>
                  </pic:nvPicPr>
                  <pic:blipFill>
                    <a:blip r:embed="rId19">
                      <a:extLst>
                        <a:ext uri="{28A0092B-C50C-407E-A947-70E740481C1C}">
                          <a14:useLocalDpi xmlns:a14="http://schemas.microsoft.com/office/drawing/2010/main" val="0"/>
                        </a:ext>
                      </a:extLst>
                    </a:blip>
                    <a:stretch>
                      <a:fillRect/>
                    </a:stretch>
                  </pic:blipFill>
                  <pic:spPr>
                    <a:xfrm>
                      <a:off x="0" y="0"/>
                      <a:ext cx="5577840" cy="2653665"/>
                    </a:xfrm>
                    <a:prstGeom prst="rect">
                      <a:avLst/>
                    </a:prstGeom>
                  </pic:spPr>
                </pic:pic>
              </a:graphicData>
            </a:graphic>
          </wp:anchor>
        </w:drawing>
      </w:r>
    </w:p>
    <w:p w14:paraId="6E9E4491" w14:textId="77777777" w:rsidR="00585597" w:rsidRPr="00585597" w:rsidRDefault="00585597" w:rsidP="00585597">
      <w:pPr>
        <w:rPr>
          <w:iCs/>
        </w:rPr>
      </w:pPr>
      <w:r w:rsidRPr="00585597">
        <w:rPr>
          <w:rFonts w:ascii="Arial" w:hAnsi="Arial"/>
          <w:iCs/>
          <w:color w:val="404040"/>
        </w:rPr>
        <w:lastRenderedPageBreak/>
        <w:t>Figure 11: Net Present Value by Project at an 8% Discount Rate. Source: Author's own, from data in Table 6.</w:t>
      </w:r>
    </w:p>
    <w:p w14:paraId="5C2D4169" w14:textId="0296C9DF" w:rsidR="005F79DC" w:rsidRPr="00AF4867" w:rsidRDefault="005F79DC" w:rsidP="00296E2A">
      <w:pPr>
        <w:jc w:val="both"/>
        <w:rPr>
          <w:rFonts w:ascii="Arial" w:hAnsi="Arial" w:cs="Arial"/>
        </w:rPr>
      </w:pPr>
    </w:p>
    <w:p w14:paraId="7ACA589F" w14:textId="77777777" w:rsidR="005F79DC" w:rsidRPr="00AF4867" w:rsidRDefault="005F79DC" w:rsidP="00E64CCA">
      <w:pPr>
        <w:jc w:val="both"/>
        <w:rPr>
          <w:rFonts w:ascii="Arial" w:hAnsi="Arial" w:cs="Arial"/>
        </w:rPr>
      </w:pPr>
      <w:r w:rsidRPr="00AF4867">
        <w:rPr>
          <w:rFonts w:ascii="Arial" w:hAnsi="Arial" w:cs="Arial"/>
          <w:noProof/>
        </w:rPr>
        <w:drawing>
          <wp:inline distT="0" distB="0" distL="0" distR="0" wp14:anchorId="534E0ABB" wp14:editId="73FE9327">
            <wp:extent cx="5577840" cy="29287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cumulative_dcf.png"/>
                    <pic:cNvPicPr/>
                  </pic:nvPicPr>
                  <pic:blipFill>
                    <a:blip r:embed="rId20"/>
                    <a:stretch>
                      <a:fillRect/>
                    </a:stretch>
                  </pic:blipFill>
                  <pic:spPr>
                    <a:xfrm>
                      <a:off x="0" y="0"/>
                      <a:ext cx="5577840" cy="2928710"/>
                    </a:xfrm>
                    <a:prstGeom prst="rect">
                      <a:avLst/>
                    </a:prstGeom>
                  </pic:spPr>
                </pic:pic>
              </a:graphicData>
            </a:graphic>
          </wp:inline>
        </w:drawing>
      </w:r>
    </w:p>
    <w:p w14:paraId="3FB6B928" w14:textId="77777777" w:rsidR="005F79DC" w:rsidRPr="00AF4867" w:rsidRDefault="005F79DC" w:rsidP="00E64CCA">
      <w:pPr>
        <w:jc w:val="both"/>
        <w:rPr>
          <w:rFonts w:ascii="Arial" w:hAnsi="Arial" w:cs="Arial"/>
        </w:rPr>
      </w:pPr>
      <w:r w:rsidRPr="00AF4867">
        <w:rPr>
          <w:rFonts w:ascii="Arial" w:hAnsi="Arial" w:cs="Arial"/>
          <w:color w:val="404040"/>
        </w:rPr>
        <w:t>Figure 12: Cumulative Discounted Cash Flow (NPV Build-up) by Project. Source: Author's own calculations.</w:t>
      </w:r>
    </w:p>
    <w:p w14:paraId="5FEA14DD" w14:textId="77777777" w:rsidR="005F79DC" w:rsidRPr="00AF4867" w:rsidRDefault="005F79DC" w:rsidP="00E64CCA">
      <w:pPr>
        <w:spacing w:before="120"/>
        <w:jc w:val="both"/>
        <w:rPr>
          <w:rFonts w:ascii="Arial" w:hAnsi="Arial" w:cs="Arial"/>
        </w:rPr>
      </w:pPr>
    </w:p>
    <w:p w14:paraId="3C472CEF" w14:textId="1C958E4E" w:rsidR="005F79DC" w:rsidRPr="00585597" w:rsidRDefault="005F79DC" w:rsidP="00E64CCA">
      <w:pPr>
        <w:jc w:val="both"/>
        <w:rPr>
          <w:rFonts w:ascii="Arial" w:hAnsi="Arial" w:cs="Arial"/>
          <w:b/>
          <w:bCs/>
          <w:sz w:val="32"/>
          <w:szCs w:val="32"/>
        </w:rPr>
      </w:pPr>
      <w:r w:rsidRPr="00585597">
        <w:rPr>
          <w:rFonts w:ascii="Arial" w:hAnsi="Arial" w:cs="Arial"/>
          <w:b/>
          <w:bCs/>
          <w:sz w:val="32"/>
          <w:szCs w:val="32"/>
        </w:rPr>
        <w:t>5.2.4 Internal Rate of Return (IRR)</w:t>
      </w:r>
    </w:p>
    <w:p w14:paraId="632CA1FE" w14:textId="461B97E5" w:rsidR="005F79DC" w:rsidRPr="00AF4867" w:rsidRDefault="005F79DC" w:rsidP="00E64CCA">
      <w:pPr>
        <w:jc w:val="both"/>
        <w:rPr>
          <w:rFonts w:ascii="Arial" w:hAnsi="Arial" w:cs="Arial"/>
        </w:rPr>
      </w:pPr>
      <w:r w:rsidRPr="00AF4867">
        <w:rPr>
          <w:rFonts w:ascii="Arial" w:hAnsi="Arial" w:cs="Arial"/>
        </w:rPr>
        <w:t>IRR is the discount rate where NPV = 0. This rate is found through linear interpolation between two rates. The project will be accepted if IRR is greater than the required rate of return (8%).</w:t>
      </w:r>
    </w:p>
    <w:p w14:paraId="112CB642" w14:textId="77777777" w:rsidR="005F79DC" w:rsidRPr="00AF4867" w:rsidRDefault="005F79DC" w:rsidP="00E64CCA">
      <w:pPr>
        <w:jc w:val="both"/>
        <w:rPr>
          <w:rFonts w:ascii="Arial" w:hAnsi="Arial" w:cs="Arial"/>
        </w:rPr>
      </w:pPr>
    </w:p>
    <w:p w14:paraId="3DCB9053" w14:textId="5F2CC6C4"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A: At 2%, NPV = +£1.014m; at 3%, NPV = −£0.383m</w:t>
      </w:r>
    </w:p>
    <w:p w14:paraId="72F1F038"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IRR = 2% + [1.014 ÷ (1.014 + 0.383)] × 1% </w:t>
      </w:r>
    </w:p>
    <w:p w14:paraId="67B16128"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2.7%</w:t>
      </w:r>
    </w:p>
    <w:p w14:paraId="5E6FEABE" w14:textId="417B33CC"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Decision: Reject (2.7% &lt; 8%)</w:t>
      </w:r>
    </w:p>
    <w:p w14:paraId="1D0A83B0" w14:textId="77777777" w:rsidR="005F79DC" w:rsidRPr="00AF4867" w:rsidRDefault="005F79DC" w:rsidP="00E64CCA">
      <w:pPr>
        <w:spacing w:before="80" w:after="80" w:line="360" w:lineRule="auto"/>
        <w:jc w:val="both"/>
        <w:rPr>
          <w:rFonts w:ascii="Arial" w:eastAsia="Arial" w:hAnsi="Arial" w:cs="Arial"/>
          <w:color w:val="1A1A1A"/>
        </w:rPr>
      </w:pPr>
    </w:p>
    <w:p w14:paraId="540B79F3"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B: At 3%, NPV = +£0.377m; at 4%, NPV = −£1.030m</w:t>
      </w:r>
    </w:p>
    <w:p w14:paraId="0951BAF8"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IRR = 3% + [0.377 ÷ (0.377 + 1.030)] × 1% </w:t>
      </w:r>
    </w:p>
    <w:p w14:paraId="730ECE88"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3.3%</w:t>
      </w:r>
    </w:p>
    <w:p w14:paraId="09FEB34E" w14:textId="53D22FA8"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Decision: Reject (3.3% &lt; 8%)</w:t>
      </w:r>
    </w:p>
    <w:p w14:paraId="55219E22" w14:textId="77777777" w:rsidR="005F79DC" w:rsidRPr="00AF4867" w:rsidRDefault="005F79DC" w:rsidP="00E64CCA">
      <w:pPr>
        <w:spacing w:before="80" w:after="80" w:line="360" w:lineRule="auto"/>
        <w:jc w:val="both"/>
        <w:rPr>
          <w:rFonts w:ascii="Arial" w:eastAsia="Arial" w:hAnsi="Arial" w:cs="Arial"/>
          <w:color w:val="1A1A1A"/>
        </w:rPr>
      </w:pPr>
    </w:p>
    <w:p w14:paraId="00E989DF"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C: At 8%, NPV = +£0.858m; at 9%, NPV = −£0.591m</w:t>
      </w:r>
    </w:p>
    <w:p w14:paraId="0BB246B5"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IRR = 8% + [0.858 ÷ (0.858 + 0.591)] × 1%</w:t>
      </w:r>
    </w:p>
    <w:p w14:paraId="2F2ACF49" w14:textId="77777777" w:rsidR="005F79DC" w:rsidRPr="00AF4867"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lastRenderedPageBreak/>
        <w:t xml:space="preserve">       </w:t>
      </w:r>
      <w:r w:rsidRPr="00AF4867">
        <w:rPr>
          <w:rFonts w:ascii="Arial" w:eastAsia="Arial" w:hAnsi="Arial" w:cs="Arial"/>
          <w:color w:val="1A1A1A"/>
        </w:rPr>
        <w:t>= 8.6%</w:t>
      </w:r>
    </w:p>
    <w:p w14:paraId="14C47478" w14:textId="185EE921" w:rsidR="005F79DC" w:rsidRDefault="005F79DC"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Decision: Accept (8.6% &gt; 8%)</w:t>
      </w:r>
    </w:p>
    <w:p w14:paraId="42836BE4" w14:textId="77777777" w:rsidR="00585597" w:rsidRPr="00AF4867" w:rsidRDefault="00585597" w:rsidP="00E64CCA">
      <w:pPr>
        <w:spacing w:before="80" w:after="80" w:line="360" w:lineRule="auto"/>
        <w:jc w:val="both"/>
        <w:rPr>
          <w:rFonts w:ascii="Arial" w:eastAsia="Arial" w:hAnsi="Arial" w:cs="Arial"/>
          <w:color w:val="1A1A1A"/>
        </w:rPr>
      </w:pPr>
    </w:p>
    <w:p w14:paraId="1ED6B7A2" w14:textId="77777777" w:rsidR="005F79DC" w:rsidRPr="00AF4867" w:rsidRDefault="005F79DC" w:rsidP="00E64CCA">
      <w:pPr>
        <w:spacing w:before="80" w:after="80" w:line="360" w:lineRule="auto"/>
        <w:jc w:val="both"/>
        <w:rPr>
          <w:rFonts w:ascii="Arial" w:eastAsia="Arial" w:hAnsi="Arial" w:cs="Arial"/>
          <w:color w:val="1A1A1A"/>
        </w:rPr>
      </w:pPr>
    </w:p>
    <w:p w14:paraId="6DA1A1BE" w14:textId="309E76BA" w:rsidR="004E60BB" w:rsidRPr="00585597" w:rsidRDefault="005F79DC" w:rsidP="00585597">
      <w:pPr>
        <w:spacing w:before="80" w:after="80" w:line="360" w:lineRule="auto"/>
        <w:jc w:val="both"/>
        <w:rPr>
          <w:rFonts w:ascii="Arial" w:eastAsia="Arial" w:hAnsi="Arial" w:cs="Arial"/>
          <w:b/>
          <w:bCs/>
          <w:color w:val="1A1A1A"/>
          <w:sz w:val="40"/>
          <w:szCs w:val="40"/>
        </w:rPr>
      </w:pPr>
      <w:r w:rsidRPr="00585597">
        <w:rPr>
          <w:rFonts w:ascii="Arial" w:eastAsia="Arial" w:hAnsi="Arial" w:cs="Arial"/>
          <w:b/>
          <w:bCs/>
          <w:color w:val="1A1A1A"/>
          <w:sz w:val="40"/>
          <w:szCs w:val="40"/>
        </w:rPr>
        <w:t xml:space="preserve">5.3 Investment Appraisal </w:t>
      </w:r>
      <w:r w:rsidR="004E60BB" w:rsidRPr="00585597">
        <w:rPr>
          <w:rFonts w:ascii="Arial" w:eastAsia="Arial" w:hAnsi="Arial" w:cs="Arial"/>
          <w:b/>
          <w:bCs/>
          <w:color w:val="1A1A1A"/>
          <w:sz w:val="40"/>
          <w:szCs w:val="40"/>
        </w:rPr>
        <w:t>Results Summary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9"/>
        <w:gridCol w:w="1412"/>
        <w:gridCol w:w="1412"/>
        <w:gridCol w:w="1412"/>
        <w:gridCol w:w="2581"/>
      </w:tblGrid>
      <w:tr w:rsidR="004E60BB" w:rsidRPr="00AF4867" w14:paraId="25B154B0"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6CC6E2F7"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Appraisal Method</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4FE2221"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Project A</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44702454"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Project B</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1D2E8A47"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Project C</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1D7B7E84"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Recommendation</w:t>
            </w:r>
          </w:p>
        </w:tc>
      </w:tr>
      <w:tr w:rsidR="004E60BB" w:rsidRPr="00AF4867" w14:paraId="038FFD73"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F0AA966"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Payback Period</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711702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4.50 years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7307F6DB"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4.55 years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396316A"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3.60 years</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03F25AB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C (shortest)</w:t>
            </w:r>
          </w:p>
        </w:tc>
      </w:tr>
      <w:tr w:rsidR="004E60BB" w:rsidRPr="00AF4867" w14:paraId="12A1C28A"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5FAD0C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ARR</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42279438"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1.6%</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36DF7D9"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2.0%</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CC9E898"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6.0%</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58ECE1DD"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C (highest)</w:t>
            </w:r>
          </w:p>
        </w:tc>
      </w:tr>
      <w:tr w:rsidR="004E60BB" w:rsidRPr="00AF4867" w14:paraId="09EA1406"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2B0E725"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NPV @ 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7A06D6E"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−£6.545m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092D986"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−£6.081m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CAFA4E0"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+£0.858m</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3954EBE2"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C (only positive)</w:t>
            </w:r>
          </w:p>
        </w:tc>
      </w:tr>
      <w:tr w:rsidR="004E60BB" w:rsidRPr="00AF4867" w14:paraId="023DDA0F"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40ED24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Profitability Index</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7A55B5C"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0.869</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DAEBE8D"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0.878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3D0F0E0"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1.017</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11B5B06C"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C (only &gt;1.0)</w:t>
            </w:r>
          </w:p>
        </w:tc>
      </w:tr>
      <w:tr w:rsidR="004E60BB" w:rsidRPr="00AF4867" w14:paraId="32143968"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9E3151E"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IRR</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7ADE50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2.7%</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5395408"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3.3%</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35979B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8.6%</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3AA048C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C (only exceeds 8%)</w:t>
            </w:r>
          </w:p>
        </w:tc>
      </w:tr>
      <w:tr w:rsidR="004E60BB" w:rsidRPr="00AF4867" w14:paraId="65C8AA5F"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D6E4F0"/>
            <w:tcMar>
              <w:top w:w="80" w:type="dxa"/>
              <w:left w:w="100" w:type="dxa"/>
              <w:bottom w:w="80" w:type="dxa"/>
              <w:right w:w="100" w:type="dxa"/>
            </w:tcMar>
            <w:vAlign w:val="center"/>
          </w:tcPr>
          <w:p w14:paraId="4CEB1915"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Overall Verdict</w:t>
            </w:r>
          </w:p>
        </w:tc>
        <w:tc>
          <w:tcPr>
            <w:tcW w:w="0" w:type="auto"/>
            <w:tcBorders>
              <w:top w:val="single" w:sz="1" w:space="0" w:color="CCCCCC"/>
              <w:left w:val="single" w:sz="1" w:space="0" w:color="CCCCCC"/>
              <w:bottom w:val="single" w:sz="1" w:space="0" w:color="CCCCCC"/>
              <w:right w:val="single" w:sz="1" w:space="0" w:color="CCCCCC"/>
            </w:tcBorders>
            <w:shd w:val="clear" w:color="auto" w:fill="FEF2F2"/>
            <w:tcMar>
              <w:top w:w="80" w:type="dxa"/>
              <w:left w:w="100" w:type="dxa"/>
              <w:bottom w:w="80" w:type="dxa"/>
              <w:right w:w="100" w:type="dxa"/>
            </w:tcMar>
            <w:vAlign w:val="center"/>
          </w:tcPr>
          <w:p w14:paraId="722E0D59"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B91C1C"/>
              </w:rPr>
              <w:t>Reject</w:t>
            </w:r>
          </w:p>
        </w:tc>
        <w:tc>
          <w:tcPr>
            <w:tcW w:w="0" w:type="auto"/>
            <w:tcBorders>
              <w:top w:val="single" w:sz="1" w:space="0" w:color="CCCCCC"/>
              <w:left w:val="single" w:sz="1" w:space="0" w:color="CCCCCC"/>
              <w:bottom w:val="single" w:sz="1" w:space="0" w:color="CCCCCC"/>
              <w:right w:val="single" w:sz="1" w:space="0" w:color="CCCCCC"/>
            </w:tcBorders>
            <w:shd w:val="clear" w:color="auto" w:fill="FEF2F2"/>
            <w:tcMar>
              <w:top w:w="80" w:type="dxa"/>
              <w:left w:w="100" w:type="dxa"/>
              <w:bottom w:w="80" w:type="dxa"/>
              <w:right w:w="100" w:type="dxa"/>
            </w:tcMar>
            <w:vAlign w:val="center"/>
          </w:tcPr>
          <w:p w14:paraId="6BC2FD8D"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B91C1C"/>
              </w:rPr>
              <w:t>Reject</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3285EB8E"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B5E20"/>
              </w:rPr>
              <w:t>Accept</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56AA7EA0"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B5E20"/>
              </w:rPr>
              <w:t>Project C</w:t>
            </w:r>
          </w:p>
        </w:tc>
      </w:tr>
    </w:tbl>
    <w:p w14:paraId="5E3CEE14" w14:textId="77777777" w:rsidR="004E60BB" w:rsidRDefault="004E60BB" w:rsidP="00E64CCA">
      <w:pPr>
        <w:spacing w:before="60" w:after="120"/>
        <w:jc w:val="both"/>
        <w:rPr>
          <w:rFonts w:ascii="Arial" w:eastAsia="Arial" w:hAnsi="Arial" w:cs="Arial"/>
          <w:color w:val="595959"/>
        </w:rPr>
      </w:pPr>
      <w:r w:rsidRPr="00AF4867">
        <w:rPr>
          <w:rFonts w:ascii="Arial" w:eastAsia="Arial" w:hAnsi="Arial" w:cs="Arial"/>
          <w:color w:val="595959"/>
        </w:rPr>
        <w:t>Table 7: Investment Appraisal Results Summary Source: Author's own calculations. Detailed workings in Appendix B.</w:t>
      </w:r>
    </w:p>
    <w:p w14:paraId="51055D05" w14:textId="77777777" w:rsidR="00585597" w:rsidRPr="00AF4867" w:rsidRDefault="00585597" w:rsidP="00E64CCA">
      <w:pPr>
        <w:spacing w:before="60" w:after="120"/>
        <w:jc w:val="both"/>
        <w:rPr>
          <w:rFonts w:ascii="Arial" w:hAnsi="Arial" w:cs="Arial"/>
        </w:rPr>
      </w:pPr>
    </w:p>
    <w:p w14:paraId="628660DC" w14:textId="77777777" w:rsidR="004E60BB" w:rsidRPr="00AF4867" w:rsidRDefault="004E60BB" w:rsidP="00E64CCA">
      <w:pPr>
        <w:jc w:val="both"/>
        <w:rPr>
          <w:rFonts w:ascii="Arial" w:hAnsi="Arial" w:cs="Arial"/>
        </w:rPr>
      </w:pPr>
    </w:p>
    <w:p w14:paraId="583ED1D4" w14:textId="77777777" w:rsidR="004E60BB" w:rsidRPr="00AF4867" w:rsidRDefault="004E60BB" w:rsidP="00E64CCA">
      <w:pPr>
        <w:jc w:val="both"/>
        <w:rPr>
          <w:rFonts w:ascii="Arial" w:hAnsi="Arial" w:cs="Arial"/>
        </w:rPr>
      </w:pPr>
      <w:r w:rsidRPr="00AF4867">
        <w:rPr>
          <w:rFonts w:ascii="Arial" w:hAnsi="Arial" w:cs="Arial"/>
          <w:noProof/>
        </w:rPr>
        <w:drawing>
          <wp:inline distT="0" distB="0" distL="0" distR="0" wp14:anchorId="35962345" wp14:editId="5BD3D5B2">
            <wp:extent cx="5577840" cy="26515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irr.png"/>
                    <pic:cNvPicPr/>
                  </pic:nvPicPr>
                  <pic:blipFill>
                    <a:blip r:embed="rId21"/>
                    <a:stretch>
                      <a:fillRect/>
                    </a:stretch>
                  </pic:blipFill>
                  <pic:spPr>
                    <a:xfrm>
                      <a:off x="0" y="0"/>
                      <a:ext cx="5577840" cy="2651535"/>
                    </a:xfrm>
                    <a:prstGeom prst="rect">
                      <a:avLst/>
                    </a:prstGeom>
                  </pic:spPr>
                </pic:pic>
              </a:graphicData>
            </a:graphic>
          </wp:inline>
        </w:drawing>
      </w:r>
    </w:p>
    <w:p w14:paraId="0DA584E8" w14:textId="77777777" w:rsidR="004E60BB" w:rsidRPr="00AF4867" w:rsidRDefault="004E60BB" w:rsidP="00E64CCA">
      <w:pPr>
        <w:jc w:val="both"/>
        <w:rPr>
          <w:rFonts w:ascii="Arial" w:hAnsi="Arial" w:cs="Arial"/>
          <w:color w:val="404040"/>
        </w:rPr>
      </w:pPr>
      <w:r w:rsidRPr="00AF4867">
        <w:rPr>
          <w:rFonts w:ascii="Arial" w:hAnsi="Arial" w:cs="Arial"/>
          <w:color w:val="404040"/>
        </w:rPr>
        <w:t>Figure 13: Internal Rate of Return versus the 8% Hurdle Rate. Source: Author's own, from data in Table 7.</w:t>
      </w:r>
    </w:p>
    <w:p w14:paraId="3541BF7E" w14:textId="77777777" w:rsidR="00585597" w:rsidRDefault="00585597" w:rsidP="00E64CCA">
      <w:pPr>
        <w:jc w:val="both"/>
        <w:rPr>
          <w:rFonts w:ascii="Arial" w:hAnsi="Arial" w:cs="Arial"/>
        </w:rPr>
      </w:pPr>
    </w:p>
    <w:p w14:paraId="4CD01DFB" w14:textId="37AE500C" w:rsidR="004E60BB" w:rsidRPr="00585597" w:rsidRDefault="004E60BB" w:rsidP="00E64CCA">
      <w:pPr>
        <w:jc w:val="both"/>
        <w:rPr>
          <w:rFonts w:ascii="Arial" w:hAnsi="Arial" w:cs="Arial"/>
          <w:b/>
          <w:bCs/>
          <w:sz w:val="40"/>
          <w:szCs w:val="40"/>
        </w:rPr>
      </w:pPr>
      <w:r w:rsidRPr="00585597">
        <w:rPr>
          <w:rFonts w:ascii="Arial" w:hAnsi="Arial" w:cs="Arial"/>
          <w:b/>
          <w:bCs/>
          <w:sz w:val="40"/>
          <w:szCs w:val="40"/>
        </w:rPr>
        <w:lastRenderedPageBreak/>
        <w:t>5.4 Critical Evaluation of Methods</w:t>
      </w:r>
    </w:p>
    <w:p w14:paraId="1DC3BED6" w14:textId="5B909852" w:rsidR="004E60BB" w:rsidRPr="00AF4867" w:rsidRDefault="004E60BB" w:rsidP="00E64CCA">
      <w:pPr>
        <w:jc w:val="both"/>
        <w:rPr>
          <w:rFonts w:ascii="Arial" w:hAnsi="Arial" w:cs="Arial"/>
          <w:color w:val="404040"/>
        </w:rPr>
      </w:pPr>
      <w:r w:rsidRPr="00AF4867">
        <w:rPr>
          <w:rFonts w:ascii="Arial" w:hAnsi="Arial" w:cs="Arial"/>
          <w:color w:val="404040"/>
        </w:rPr>
        <w:t>Project C, the Asia-Pacific Revenue Management System, is unequivocally recommended using all five evaluation approaches. The agreement across the different methods, which is relatively uncommon, leads to increased certainty regarding the recommendation and decreases the reliance on a single approach.</w:t>
      </w:r>
    </w:p>
    <w:p w14:paraId="1D1F3015" w14:textId="1B6F174C" w:rsidR="004E60BB" w:rsidRPr="00AF4867" w:rsidRDefault="004E60BB" w:rsidP="00E64CCA">
      <w:pPr>
        <w:jc w:val="both"/>
        <w:rPr>
          <w:rFonts w:ascii="Arial" w:hAnsi="Arial" w:cs="Arial"/>
          <w:color w:val="404040"/>
        </w:rPr>
      </w:pPr>
      <w:r w:rsidRPr="00AF4867">
        <w:rPr>
          <w:rFonts w:ascii="Arial" w:hAnsi="Arial" w:cs="Arial"/>
          <w:color w:val="404040"/>
        </w:rPr>
        <w:t>What makes the NPV technique especially informative in the case of Projects A and B is their negative NPV at 8%. This means that they are not adding any value but subtracting it from that of the cost of capital. Project A has higher cash flows in year 3 while Project B has cash flows in the form of equal annuities and neither can overcome the present value cost of the £50 million investment in the first year at 8%. What makes Project C more attractive is its back loaded cash flows where £25 million in Year 4 is the highest out of the three projects and has a discount factor of 0.7350.</w:t>
      </w:r>
    </w:p>
    <w:p w14:paraId="4125FCDB" w14:textId="663F45CE" w:rsidR="004E60BB" w:rsidRDefault="004E60BB" w:rsidP="00E64CCA">
      <w:pPr>
        <w:jc w:val="both"/>
        <w:rPr>
          <w:rFonts w:ascii="Arial" w:hAnsi="Arial" w:cs="Arial"/>
          <w:color w:val="404040"/>
        </w:rPr>
      </w:pPr>
      <w:r w:rsidRPr="00AF4867">
        <w:rPr>
          <w:rFonts w:ascii="Arial" w:hAnsi="Arial" w:cs="Arial"/>
          <w:color w:val="404040"/>
        </w:rPr>
        <w:t xml:space="preserve">An important weakness of the PBP approach is that it does not account for any cash flow beyond the payback date. The cash flow for Year 5 of Project C (i.e., £5 million, which happens past the payback period of 3.6 years) is totally overlooked under PBP, while accounting for £3.4 million of the NPV. On the other hand, Project A has PBP of 4.5 years that is quite close to the 4.55 years of Project B despite the slightly lower NPV of −£6.545m as compared to −£6.081m. It is an example of how PBP approach has been criticized by Arnold (2019, p.91) to always use it as a screening tool but not a </w:t>
      </w:r>
      <w:proofErr w:type="gramStart"/>
      <w:r w:rsidRPr="00AF4867">
        <w:rPr>
          <w:rFonts w:ascii="Arial" w:hAnsi="Arial" w:cs="Arial"/>
          <w:color w:val="404040"/>
        </w:rPr>
        <w:t>decision making</w:t>
      </w:r>
      <w:proofErr w:type="gramEnd"/>
      <w:r w:rsidRPr="00AF4867">
        <w:rPr>
          <w:rFonts w:ascii="Arial" w:hAnsi="Arial" w:cs="Arial"/>
          <w:color w:val="404040"/>
        </w:rPr>
        <w:t xml:space="preserve"> tool.</w:t>
      </w:r>
    </w:p>
    <w:p w14:paraId="2FCBCCF7" w14:textId="77777777" w:rsidR="00585597" w:rsidRPr="00AF4867" w:rsidRDefault="00585597" w:rsidP="00E64CCA">
      <w:pPr>
        <w:jc w:val="both"/>
        <w:rPr>
          <w:rFonts w:ascii="Arial" w:hAnsi="Arial" w:cs="Arial"/>
          <w:color w:val="404040"/>
        </w:rPr>
      </w:pPr>
    </w:p>
    <w:p w14:paraId="739F7D58" w14:textId="77A576EE" w:rsidR="004E60BB" w:rsidRPr="002E749D" w:rsidRDefault="004E60BB" w:rsidP="00E64CCA">
      <w:pPr>
        <w:jc w:val="both"/>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9D">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 Capital Rationing Analysis</w:t>
      </w:r>
    </w:p>
    <w:p w14:paraId="590C0870" w14:textId="0369DFC3" w:rsidR="004E60BB" w:rsidRPr="00AF4867" w:rsidRDefault="004E60BB" w:rsidP="00E64CCA">
      <w:pPr>
        <w:jc w:val="both"/>
        <w:rPr>
          <w:rFonts w:ascii="Arial" w:hAnsi="Arial" w:cs="Arial"/>
          <w:color w:val="404040"/>
        </w:rPr>
      </w:pPr>
      <w:r w:rsidRPr="00AF4867">
        <w:rPr>
          <w:rFonts w:ascii="Arial" w:hAnsi="Arial" w:cs="Arial"/>
          <w:color w:val="404040"/>
        </w:rPr>
        <w:t xml:space="preserve">Capital rationing exists as Marriott’s company can afford to allocate up to £100 million for this particular capital allocation period. The </w:t>
      </w:r>
      <w:proofErr w:type="spellStart"/>
      <w:r w:rsidRPr="00AF4867">
        <w:rPr>
          <w:rFonts w:ascii="Arial" w:hAnsi="Arial" w:cs="Arial"/>
          <w:color w:val="404040"/>
        </w:rPr>
        <w:t>projects</w:t>
      </w:r>
      <w:proofErr w:type="spellEnd"/>
      <w:r w:rsidRPr="00AF4867">
        <w:rPr>
          <w:rFonts w:ascii="Arial" w:hAnsi="Arial" w:cs="Arial"/>
          <w:color w:val="404040"/>
        </w:rPr>
        <w:t xml:space="preserve"> cost £50 million each and since projects are mutually exclusive to each technology group, the maximum number of projects that Marriott can select is two.</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27"/>
        <w:gridCol w:w="1280"/>
        <w:gridCol w:w="1521"/>
        <w:gridCol w:w="1797"/>
        <w:gridCol w:w="2401"/>
      </w:tblGrid>
      <w:tr w:rsidR="004E60BB" w:rsidRPr="00AF4867" w14:paraId="1E85DC88" w14:textId="77777777" w:rsidTr="00551B9B">
        <w:tblPrEx>
          <w:tblCellMar>
            <w:top w:w="0" w:type="dxa"/>
            <w:bottom w:w="0" w:type="dxa"/>
          </w:tblCellMar>
        </w:tblPrEx>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5F4913C4"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Investment Combination</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11881E2C"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Total Cost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DFA3AE7"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Project NPVs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73B27D3E"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Combined NPV (£m)</w:t>
            </w:r>
          </w:p>
        </w:tc>
        <w:tc>
          <w:tcPr>
            <w:tcW w:w="0" w:type="auto"/>
            <w:tcBorders>
              <w:top w:val="single" w:sz="4" w:space="0" w:color="003087"/>
              <w:left w:val="single" w:sz="1" w:space="0" w:color="CCCCCC"/>
              <w:bottom w:val="single" w:sz="4" w:space="0" w:color="003087"/>
              <w:right w:val="single" w:sz="1" w:space="0" w:color="CCCCCC"/>
            </w:tcBorders>
            <w:shd w:val="clear" w:color="auto" w:fill="003087"/>
            <w:tcMar>
              <w:top w:w="80" w:type="dxa"/>
              <w:left w:w="100" w:type="dxa"/>
              <w:bottom w:w="80" w:type="dxa"/>
              <w:right w:w="100" w:type="dxa"/>
            </w:tcMar>
            <w:vAlign w:val="center"/>
          </w:tcPr>
          <w:p w14:paraId="217B9EB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FFFFFF"/>
              </w:rPr>
              <w:t>Recommendation</w:t>
            </w:r>
          </w:p>
        </w:tc>
      </w:tr>
      <w:tr w:rsidR="004E60BB" w:rsidRPr="00AF4867" w14:paraId="4E7BEF80"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06A0A67"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Project C only</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F1DBF59"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£50m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4342A06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+0.858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E1199C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+£0.858m</w:t>
            </w:r>
          </w:p>
        </w:tc>
        <w:tc>
          <w:tcPr>
            <w:tcW w:w="0" w:type="auto"/>
            <w:tcBorders>
              <w:top w:val="single" w:sz="1" w:space="0" w:color="CCCCCC"/>
              <w:left w:val="single" w:sz="1" w:space="0" w:color="CCCCCC"/>
              <w:bottom w:val="single" w:sz="1" w:space="0" w:color="CCCCCC"/>
              <w:right w:val="single" w:sz="1" w:space="0" w:color="CCCCCC"/>
            </w:tcBorders>
            <w:shd w:val="clear" w:color="auto" w:fill="EDFBF3"/>
            <w:tcMar>
              <w:top w:w="80" w:type="dxa"/>
              <w:left w:w="100" w:type="dxa"/>
              <w:bottom w:w="80" w:type="dxa"/>
              <w:right w:w="100" w:type="dxa"/>
            </w:tcMar>
            <w:vAlign w:val="center"/>
          </w:tcPr>
          <w:p w14:paraId="3444CD12"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Optimal — value-creating</w:t>
            </w:r>
          </w:p>
        </w:tc>
      </w:tr>
      <w:tr w:rsidR="004E60BB" w:rsidRPr="00AF4867" w14:paraId="4E0B1190"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039FD1AD"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Project B + C</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253B9AF6"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£100m</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AB4A349"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−6.081 + 0.858</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7EE91224"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−£5.222m</w:t>
            </w:r>
          </w:p>
        </w:tc>
        <w:tc>
          <w:tcPr>
            <w:tcW w:w="0" w:type="auto"/>
            <w:tcBorders>
              <w:top w:val="single" w:sz="1" w:space="0" w:color="CCCCCC"/>
              <w:left w:val="single" w:sz="1" w:space="0" w:color="CCCCCC"/>
              <w:bottom w:val="single" w:sz="1" w:space="0" w:color="CCCCCC"/>
              <w:right w:val="single" w:sz="1" w:space="0" w:color="CCCCCC"/>
            </w:tcBorders>
            <w:shd w:val="clear" w:color="auto" w:fill="FEF2F2"/>
            <w:tcMar>
              <w:top w:w="80" w:type="dxa"/>
              <w:left w:w="100" w:type="dxa"/>
              <w:bottom w:w="80" w:type="dxa"/>
              <w:right w:w="100" w:type="dxa"/>
            </w:tcMar>
            <w:vAlign w:val="center"/>
          </w:tcPr>
          <w:p w14:paraId="4E69DB3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Value-destructive</w:t>
            </w:r>
          </w:p>
        </w:tc>
      </w:tr>
      <w:tr w:rsidR="004E60BB" w:rsidRPr="00AF4867" w14:paraId="0C23BF14"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19AD9995"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Project A + C</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33E99B8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£100m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240179CB"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−6.545 + 0.858</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vAlign w:val="center"/>
          </w:tcPr>
          <w:p w14:paraId="67AA271A"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−£5.687m</w:t>
            </w:r>
          </w:p>
        </w:tc>
        <w:tc>
          <w:tcPr>
            <w:tcW w:w="0" w:type="auto"/>
            <w:tcBorders>
              <w:top w:val="single" w:sz="1" w:space="0" w:color="CCCCCC"/>
              <w:left w:val="single" w:sz="1" w:space="0" w:color="CCCCCC"/>
              <w:bottom w:val="single" w:sz="1" w:space="0" w:color="CCCCCC"/>
              <w:right w:val="single" w:sz="1" w:space="0" w:color="CCCCCC"/>
            </w:tcBorders>
            <w:shd w:val="clear" w:color="auto" w:fill="FEF2F2"/>
            <w:tcMar>
              <w:top w:w="80" w:type="dxa"/>
              <w:left w:w="100" w:type="dxa"/>
              <w:bottom w:w="80" w:type="dxa"/>
              <w:right w:w="100" w:type="dxa"/>
            </w:tcMar>
            <w:vAlign w:val="center"/>
          </w:tcPr>
          <w:p w14:paraId="05AAFFCB"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Value-destructive</w:t>
            </w:r>
          </w:p>
        </w:tc>
      </w:tr>
      <w:tr w:rsidR="004E60BB" w:rsidRPr="00AF4867" w14:paraId="0B54C954" w14:textId="77777777" w:rsidTr="00551B9B">
        <w:tblPrEx>
          <w:tblCellMar>
            <w:top w:w="0" w:type="dxa"/>
            <w:bottom w:w="0" w:type="dxa"/>
          </w:tblCellMar>
        </w:tblPrEx>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52661BCF"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lastRenderedPageBreak/>
              <w:t>Project A + B</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245C139"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£100m</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3912663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−6.545 + (−6.081)</w:t>
            </w:r>
          </w:p>
        </w:tc>
        <w:tc>
          <w:tcPr>
            <w:tcW w:w="0" w:type="auto"/>
            <w:tcBorders>
              <w:top w:val="single" w:sz="1" w:space="0" w:color="CCCCCC"/>
              <w:left w:val="single" w:sz="1" w:space="0" w:color="CCCCCC"/>
              <w:bottom w:val="single" w:sz="1" w:space="0" w:color="CCCCCC"/>
              <w:right w:val="single" w:sz="1" w:space="0" w:color="CCCCCC"/>
            </w:tcBorders>
            <w:shd w:val="clear" w:color="auto" w:fill="F5F5F5"/>
            <w:tcMar>
              <w:top w:w="80" w:type="dxa"/>
              <w:left w:w="100" w:type="dxa"/>
              <w:bottom w:w="80" w:type="dxa"/>
              <w:right w:w="100" w:type="dxa"/>
            </w:tcMar>
            <w:vAlign w:val="center"/>
          </w:tcPr>
          <w:p w14:paraId="11E778BD"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−£12.626m</w:t>
            </w:r>
          </w:p>
        </w:tc>
        <w:tc>
          <w:tcPr>
            <w:tcW w:w="0" w:type="auto"/>
            <w:tcBorders>
              <w:top w:val="single" w:sz="1" w:space="0" w:color="CCCCCC"/>
              <w:left w:val="single" w:sz="1" w:space="0" w:color="CCCCCC"/>
              <w:bottom w:val="single" w:sz="1" w:space="0" w:color="CCCCCC"/>
              <w:right w:val="single" w:sz="1" w:space="0" w:color="CCCCCC"/>
            </w:tcBorders>
            <w:shd w:val="clear" w:color="auto" w:fill="FEF2F2"/>
            <w:tcMar>
              <w:top w:w="80" w:type="dxa"/>
              <w:left w:w="100" w:type="dxa"/>
              <w:bottom w:w="80" w:type="dxa"/>
              <w:right w:w="100" w:type="dxa"/>
            </w:tcMar>
            <w:vAlign w:val="center"/>
          </w:tcPr>
          <w:p w14:paraId="780FA5B3" w14:textId="77777777" w:rsidR="004E60BB" w:rsidRPr="00AF4867" w:rsidRDefault="004E60BB" w:rsidP="00E64CCA">
            <w:pPr>
              <w:spacing w:line="360" w:lineRule="auto"/>
              <w:jc w:val="both"/>
              <w:rPr>
                <w:rFonts w:ascii="Arial" w:hAnsi="Arial" w:cs="Arial"/>
              </w:rPr>
            </w:pPr>
            <w:r w:rsidRPr="00AF4867">
              <w:rPr>
                <w:rFonts w:ascii="Arial" w:eastAsia="Arial" w:hAnsi="Arial" w:cs="Arial"/>
                <w:color w:val="1A1A1A"/>
              </w:rPr>
              <w:t>Most value-destructive</w:t>
            </w:r>
          </w:p>
        </w:tc>
      </w:tr>
    </w:tbl>
    <w:p w14:paraId="4EBC5463" w14:textId="77777777" w:rsidR="004E60BB" w:rsidRPr="00AF4867" w:rsidRDefault="004E60BB" w:rsidP="00E64CCA">
      <w:pPr>
        <w:spacing w:before="60" w:after="120"/>
        <w:jc w:val="both"/>
        <w:rPr>
          <w:rFonts w:ascii="Arial" w:hAnsi="Arial" w:cs="Arial"/>
        </w:rPr>
      </w:pPr>
      <w:r w:rsidRPr="00AF4867">
        <w:rPr>
          <w:rFonts w:ascii="Arial" w:eastAsia="Arial" w:hAnsi="Arial" w:cs="Arial"/>
          <w:color w:val="595959"/>
        </w:rPr>
        <w:t>Table 8: Capital Rationing Analysis — Optimal Combination Selection Source: Author's own. NPVs from Table 7.</w:t>
      </w:r>
    </w:p>
    <w:p w14:paraId="4F0B7F7A" w14:textId="34114543" w:rsidR="004E60BB" w:rsidRPr="00AF4867" w:rsidRDefault="004E60BB" w:rsidP="00E64CCA">
      <w:pPr>
        <w:jc w:val="both"/>
        <w:rPr>
          <w:rFonts w:ascii="Arial" w:hAnsi="Arial" w:cs="Arial"/>
        </w:rPr>
      </w:pPr>
    </w:p>
    <w:p w14:paraId="6588186B" w14:textId="208DFFC4" w:rsidR="004E60BB" w:rsidRPr="00AF4867" w:rsidRDefault="004E60BB" w:rsidP="00E64CCA">
      <w:pPr>
        <w:jc w:val="both"/>
        <w:rPr>
          <w:rFonts w:ascii="Arial" w:hAnsi="Arial" w:cs="Arial"/>
        </w:rPr>
      </w:pPr>
      <w:r w:rsidRPr="00AF4867">
        <w:rPr>
          <w:rFonts w:ascii="Arial" w:hAnsi="Arial" w:cs="Arial"/>
          <w:noProof/>
        </w:rPr>
        <w:drawing>
          <wp:anchor distT="0" distB="0" distL="114300" distR="114300" simplePos="0" relativeHeight="251659264" behindDoc="0" locked="0" layoutInCell="1" allowOverlap="1" wp14:anchorId="311D9D1C" wp14:editId="74F0750D">
            <wp:simplePos x="0" y="0"/>
            <wp:positionH relativeFrom="column">
              <wp:posOffset>76200</wp:posOffset>
            </wp:positionH>
            <wp:positionV relativeFrom="paragraph">
              <wp:posOffset>-3406</wp:posOffset>
            </wp:positionV>
            <wp:extent cx="5577840" cy="2651535"/>
            <wp:effectExtent l="0" t="0" r="381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capital_rationing.png"/>
                    <pic:cNvPicPr/>
                  </pic:nvPicPr>
                  <pic:blipFill>
                    <a:blip r:embed="rId22">
                      <a:extLst>
                        <a:ext uri="{28A0092B-C50C-407E-A947-70E740481C1C}">
                          <a14:useLocalDpi xmlns:a14="http://schemas.microsoft.com/office/drawing/2010/main" val="0"/>
                        </a:ext>
                      </a:extLst>
                    </a:blip>
                    <a:stretch>
                      <a:fillRect/>
                    </a:stretch>
                  </pic:blipFill>
                  <pic:spPr>
                    <a:xfrm>
                      <a:off x="0" y="0"/>
                      <a:ext cx="5577840" cy="2651535"/>
                    </a:xfrm>
                    <a:prstGeom prst="rect">
                      <a:avLst/>
                    </a:prstGeom>
                  </pic:spPr>
                </pic:pic>
              </a:graphicData>
            </a:graphic>
          </wp:anchor>
        </w:drawing>
      </w:r>
      <w:r w:rsidRPr="00AF4867">
        <w:rPr>
          <w:rFonts w:ascii="Arial" w:hAnsi="Arial" w:cs="Arial"/>
          <w:color w:val="404040"/>
        </w:rPr>
        <w:t>Figure 14: Capital Rationing — Combined NPV under the £100m Constraint. Source: Author's own, from data in Table 8.</w:t>
      </w:r>
    </w:p>
    <w:p w14:paraId="6D46AF44" w14:textId="54A83544" w:rsidR="004E60BB" w:rsidRPr="00AF4867" w:rsidRDefault="004E60BB" w:rsidP="00E64CCA">
      <w:pPr>
        <w:jc w:val="both"/>
        <w:rPr>
          <w:rFonts w:ascii="Arial" w:eastAsia="Arial" w:hAnsi="Arial" w:cs="Arial"/>
          <w:color w:val="1A1A1A"/>
        </w:rPr>
      </w:pPr>
      <w:r w:rsidRPr="00AF4867">
        <w:rPr>
          <w:rFonts w:ascii="Arial" w:eastAsia="Arial" w:hAnsi="Arial" w:cs="Arial"/>
          <w:color w:val="1A1A1A"/>
        </w:rPr>
        <w:t>Under capital rationing, the profitability index (PI) provides the correct ranking tool because it measures NPV generated per unit of capital invested</w:t>
      </w:r>
    </w:p>
    <w:p w14:paraId="4DAA83DA" w14:textId="77777777" w:rsidR="004E60BB" w:rsidRPr="00AF4867" w:rsidRDefault="004E60BB" w:rsidP="00E64CCA">
      <w:pPr>
        <w:jc w:val="both"/>
        <w:rPr>
          <w:rFonts w:ascii="Arial" w:eastAsia="Arial" w:hAnsi="Arial" w:cs="Arial"/>
          <w:color w:val="1A1A1A"/>
        </w:rPr>
      </w:pPr>
    </w:p>
    <w:p w14:paraId="795F9F8F" w14:textId="77777777" w:rsidR="004E60BB" w:rsidRPr="00AF4867" w:rsidRDefault="004E60BB"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PI C = 1.017 &gt; PI B = 0.878 &gt; PI A = 0.869</w:t>
      </w:r>
    </w:p>
    <w:p w14:paraId="4C0A3DDD" w14:textId="77777777" w:rsidR="004E60BB" w:rsidRPr="00AF4867" w:rsidRDefault="004E60BB" w:rsidP="00E64CCA">
      <w:pPr>
        <w:spacing w:before="80" w:after="80" w:line="360" w:lineRule="auto"/>
        <w:jc w:val="both"/>
        <w:rPr>
          <w:rFonts w:ascii="Arial" w:hAnsi="Arial" w:cs="Arial"/>
        </w:rPr>
      </w:pPr>
    </w:p>
    <w:p w14:paraId="09246733" w14:textId="10D4BAAD" w:rsidR="004E60BB" w:rsidRPr="00AF4867" w:rsidRDefault="004E60BB" w:rsidP="00E64CCA">
      <w:pPr>
        <w:spacing w:before="80" w:after="80" w:line="360" w:lineRule="auto"/>
        <w:jc w:val="both"/>
        <w:rPr>
          <w:rFonts w:ascii="Arial" w:hAnsi="Arial" w:cs="Arial"/>
        </w:rPr>
      </w:pPr>
      <w:r w:rsidRPr="00AF4867">
        <w:rPr>
          <w:rFonts w:ascii="Arial" w:hAnsi="Arial" w:cs="Arial"/>
        </w:rPr>
        <w:t xml:space="preserve">Given that only Project C has a PI of more than 1.0, allocating all the £100m by allocating to both C and either A or B will lead to the generation of a negative combined NPV, thus creating destruction of shareholder value. The best possible capital budgeting decision based on the allocation of £100m will be to allocate £50m to Project C while keeping the remaining £50m in liquid assets (for example, US Treasury bills which earn about 4.8% as of mid-2025). This strategy is aligned with the basic tenet of finance whereby the only time that capital should be used is when its expected returns exceed the cost of capital (Ross, </w:t>
      </w:r>
      <w:proofErr w:type="spellStart"/>
      <w:r w:rsidRPr="00AF4867">
        <w:rPr>
          <w:rFonts w:ascii="Arial" w:hAnsi="Arial" w:cs="Arial"/>
        </w:rPr>
        <w:t>Westerfield</w:t>
      </w:r>
      <w:proofErr w:type="spellEnd"/>
      <w:r w:rsidRPr="00AF4867">
        <w:rPr>
          <w:rFonts w:ascii="Arial" w:hAnsi="Arial" w:cs="Arial"/>
        </w:rPr>
        <w:t xml:space="preserve"> and Jordan, 2019). Keeping £50m in risk-free Treasury bills which earn 4.8% leads to expected yearly earnings of £2.4m, which is way better than the negative returns of Projects A or B at an 8% hurdle rate.</w:t>
      </w:r>
    </w:p>
    <w:p w14:paraId="6B38A0C6" w14:textId="77777777" w:rsidR="0031148D" w:rsidRPr="00AF4867" w:rsidRDefault="0031148D" w:rsidP="00E64CCA">
      <w:pPr>
        <w:spacing w:before="80" w:after="80" w:line="360" w:lineRule="auto"/>
        <w:jc w:val="both"/>
        <w:rPr>
          <w:rFonts w:ascii="Arial" w:hAnsi="Arial" w:cs="Arial"/>
        </w:rPr>
      </w:pPr>
    </w:p>
    <w:p w14:paraId="64058A90" w14:textId="77777777" w:rsidR="00585597" w:rsidRDefault="00585597" w:rsidP="00E64CCA">
      <w:pPr>
        <w:spacing w:before="80" w:after="80" w:line="360" w:lineRule="auto"/>
        <w:jc w:val="both"/>
        <w:rPr>
          <w:rFonts w:ascii="Arial" w:hAnsi="Arial" w:cs="Arial"/>
        </w:rPr>
      </w:pPr>
    </w:p>
    <w:p w14:paraId="22560023" w14:textId="4E606B69" w:rsidR="0031148D" w:rsidRPr="00585597" w:rsidRDefault="0031148D" w:rsidP="00E64CCA">
      <w:pPr>
        <w:spacing w:before="80" w:after="80" w:line="360" w:lineRule="auto"/>
        <w:jc w:val="both"/>
        <w:rPr>
          <w:rFonts w:ascii="Arial" w:hAnsi="Arial" w:cs="Arial"/>
          <w:b/>
          <w:bCs/>
          <w:sz w:val="52"/>
          <w:szCs w:val="52"/>
          <w:u w:val="single"/>
        </w:rPr>
      </w:pPr>
      <w:r w:rsidRPr="00585597">
        <w:rPr>
          <w:rFonts w:ascii="Arial" w:hAnsi="Arial" w:cs="Arial"/>
          <w:b/>
          <w:bCs/>
          <w:sz w:val="52"/>
          <w:szCs w:val="52"/>
          <w:u w:val="single"/>
        </w:rPr>
        <w:lastRenderedPageBreak/>
        <w:t xml:space="preserve">6. Critical Reflection on the Use of Artificial Intelligence </w:t>
      </w:r>
    </w:p>
    <w:p w14:paraId="7C7E4A71" w14:textId="46D6B008" w:rsidR="0031148D" w:rsidRPr="00585597" w:rsidRDefault="0031148D" w:rsidP="00E64CCA">
      <w:pPr>
        <w:spacing w:before="80" w:after="80" w:line="360" w:lineRule="auto"/>
        <w:jc w:val="both"/>
        <w:rPr>
          <w:rFonts w:ascii="Arial" w:hAnsi="Arial" w:cs="Arial"/>
          <w:b/>
          <w:bCs/>
          <w:sz w:val="40"/>
          <w:szCs w:val="40"/>
        </w:rPr>
      </w:pPr>
      <w:r w:rsidRPr="00585597">
        <w:rPr>
          <w:rFonts w:ascii="Arial" w:hAnsi="Arial" w:cs="Arial"/>
          <w:b/>
          <w:bCs/>
          <w:sz w:val="40"/>
          <w:szCs w:val="40"/>
        </w:rPr>
        <w:t>6.1 Disclosure of AI Tools Used</w:t>
      </w:r>
    </w:p>
    <w:p w14:paraId="7410371B" w14:textId="501AD867" w:rsidR="0031148D" w:rsidRPr="00AF4867" w:rsidRDefault="0031148D" w:rsidP="00E64CCA">
      <w:pPr>
        <w:spacing w:before="80" w:after="80" w:line="360" w:lineRule="auto"/>
        <w:jc w:val="both"/>
        <w:rPr>
          <w:rFonts w:ascii="Arial" w:hAnsi="Arial" w:cs="Arial"/>
        </w:rPr>
      </w:pPr>
      <w:r w:rsidRPr="00AF4867">
        <w:rPr>
          <w:rFonts w:ascii="Arial" w:hAnsi="Arial" w:cs="Arial"/>
        </w:rPr>
        <w:t>When compiling this report, Claude.ai, which is developed by Anthropic, was employed as a research assistant tool in accordance with LCMB7002 assignment requirements regarding the use of AI in research but not in generating analysis or write-up of the paper. In particular, the assistance of AI was sought in finding scholarly articles, understanding the technical formulation of cash operating cycle, and suggesting the format for comparing the performance of Marriott with that of the rest of the industry. All financial information presented in this report was obtained from the annual reports of Marriott.</w:t>
      </w:r>
    </w:p>
    <w:p w14:paraId="097367F9" w14:textId="77777777" w:rsidR="0031148D" w:rsidRPr="00AF4867" w:rsidRDefault="0031148D" w:rsidP="00E64CCA">
      <w:pPr>
        <w:spacing w:before="80" w:after="80" w:line="360" w:lineRule="auto"/>
        <w:jc w:val="both"/>
        <w:rPr>
          <w:rFonts w:ascii="Arial" w:hAnsi="Arial" w:cs="Arial"/>
        </w:rPr>
      </w:pPr>
    </w:p>
    <w:p w14:paraId="638DF4CD" w14:textId="669D7FB4" w:rsidR="0031148D" w:rsidRPr="00585597" w:rsidRDefault="0031148D" w:rsidP="00E64CCA">
      <w:pPr>
        <w:spacing w:before="80" w:after="80" w:line="360" w:lineRule="auto"/>
        <w:jc w:val="both"/>
        <w:rPr>
          <w:rFonts w:ascii="Arial" w:hAnsi="Arial" w:cs="Arial"/>
          <w:b/>
          <w:bCs/>
          <w:sz w:val="40"/>
          <w:szCs w:val="40"/>
        </w:rPr>
      </w:pPr>
      <w:r w:rsidRPr="00585597">
        <w:rPr>
          <w:rFonts w:ascii="Arial" w:hAnsi="Arial" w:cs="Arial"/>
          <w:b/>
          <w:bCs/>
          <w:sz w:val="40"/>
          <w:szCs w:val="40"/>
        </w:rPr>
        <w:t>6.2 Critical Evaluation of AI Output</w:t>
      </w:r>
    </w:p>
    <w:p w14:paraId="0024CF3E" w14:textId="199D796C" w:rsidR="0031148D" w:rsidRPr="00AF4867" w:rsidRDefault="0031148D" w:rsidP="00E64CCA">
      <w:pPr>
        <w:spacing w:before="80" w:after="80" w:line="360" w:lineRule="auto"/>
        <w:jc w:val="both"/>
        <w:rPr>
          <w:rFonts w:ascii="Arial" w:hAnsi="Arial" w:cs="Arial"/>
        </w:rPr>
      </w:pPr>
      <w:r w:rsidRPr="00AF4867">
        <w:rPr>
          <w:rFonts w:ascii="Arial" w:hAnsi="Arial" w:cs="Arial"/>
        </w:rPr>
        <w:t>Several AI-generated proposals required careful scrutiny before accepting or rejecting them. In particular, in estimating Marriott's 2024 liquidity ratios, the AI generated an approximate current ratio of 0.70 on the basis of an approximation of cash and cash equivalents amounting to around $1.3 billion. On cross-checking this figure in light of Marriott's year-end 2024 press release (confirming cash and cash equivalents amounting to just $0.4 billion with a current ratio of around 0.52), it became clear that there was a significant inaccuracy. This difference of $900 million is due to the fact that the AI's dataset may have included the high cash balances during the COVID period, which Marriott had used up as part of its 2023-2024 buyback program. This example demonstrates 'hallucination', which according to Bender et al. (2021), refers to the generation of plausible but inaccurate information by large language models, especially if precise numbers are requested. Correction of this single inaccuracy transformed the assessment of Marriott's liquidity situation from "slightly below sector average" to "at the lower end of the peer group with sharp cash ratio deterioration".</w:t>
      </w:r>
    </w:p>
    <w:p w14:paraId="621F8C3C" w14:textId="77777777" w:rsidR="00585597" w:rsidRDefault="0031148D" w:rsidP="00E64CCA">
      <w:pPr>
        <w:spacing w:before="80" w:after="80" w:line="360" w:lineRule="auto"/>
        <w:jc w:val="both"/>
        <w:rPr>
          <w:rFonts w:ascii="Arial" w:hAnsi="Arial" w:cs="Arial"/>
        </w:rPr>
      </w:pPr>
      <w:r w:rsidRPr="00AF4867">
        <w:rPr>
          <w:rFonts w:ascii="Arial" w:hAnsi="Arial" w:cs="Arial"/>
        </w:rPr>
        <w:t xml:space="preserve">The second area requiring critical evaluation was that of investment appraisal, whereby the first formula suggested by the AI for interpolating IRR, while mathematically correct, used rates of trial at 5% and 10%, which is an excessively wide interval for linear interpolation considering the non-linearity of the present value function when larger values of NPV are considered. According to Ross, </w:t>
      </w:r>
      <w:proofErr w:type="spellStart"/>
      <w:r w:rsidRPr="00AF4867">
        <w:rPr>
          <w:rFonts w:ascii="Arial" w:hAnsi="Arial" w:cs="Arial"/>
        </w:rPr>
        <w:t>Westerfield</w:t>
      </w:r>
      <w:proofErr w:type="spellEnd"/>
      <w:r w:rsidRPr="00AF4867">
        <w:rPr>
          <w:rFonts w:ascii="Arial" w:hAnsi="Arial" w:cs="Arial"/>
        </w:rPr>
        <w:t xml:space="preserve">, &amp; </w:t>
      </w:r>
      <w:r w:rsidRPr="00AF4867">
        <w:rPr>
          <w:rFonts w:ascii="Arial" w:hAnsi="Arial" w:cs="Arial"/>
        </w:rPr>
        <w:lastRenderedPageBreak/>
        <w:t>Jordan (2019, p. 261), trial rates were within 2% of the estimated IRR, and the process was validated by calculating the residual NPV using the interpolated rate as input, producing residuals smaller than £50,000 in all cases.</w:t>
      </w:r>
    </w:p>
    <w:p w14:paraId="7DF06E67" w14:textId="77777777" w:rsidR="00585597" w:rsidRDefault="00585597" w:rsidP="00E64CCA">
      <w:pPr>
        <w:spacing w:before="80" w:after="80" w:line="360" w:lineRule="auto"/>
        <w:jc w:val="both"/>
        <w:rPr>
          <w:rFonts w:ascii="Arial" w:hAnsi="Arial" w:cs="Arial"/>
        </w:rPr>
      </w:pPr>
    </w:p>
    <w:p w14:paraId="04608A26" w14:textId="172B13AB" w:rsidR="0031148D" w:rsidRPr="00585597" w:rsidRDefault="0031148D" w:rsidP="00585597">
      <w:pPr>
        <w:pStyle w:val="NoSpacing"/>
        <w:rPr>
          <w:b/>
          <w:bCs/>
          <w:sz w:val="40"/>
          <w:szCs w:val="40"/>
        </w:rPr>
      </w:pPr>
      <w:r w:rsidRPr="00585597">
        <w:rPr>
          <w:b/>
          <w:bCs/>
          <w:sz w:val="40"/>
          <w:szCs w:val="40"/>
        </w:rPr>
        <w:t>6.3</w:t>
      </w:r>
      <w:r w:rsidR="00585597" w:rsidRPr="00585597">
        <w:rPr>
          <w:b/>
          <w:bCs/>
          <w:sz w:val="40"/>
          <w:szCs w:val="40"/>
        </w:rPr>
        <w:t xml:space="preserve"> </w:t>
      </w:r>
      <w:r w:rsidRPr="00585597">
        <w:rPr>
          <w:b/>
          <w:bCs/>
          <w:sz w:val="40"/>
          <w:szCs w:val="40"/>
        </w:rPr>
        <w:t>Contribution Analysis and Author Attribution</w:t>
      </w:r>
    </w:p>
    <w:p w14:paraId="02E5498D" w14:textId="5611F933" w:rsidR="0031148D" w:rsidRPr="00AF4867" w:rsidRDefault="0031148D" w:rsidP="00E64CCA">
      <w:pPr>
        <w:spacing w:before="80" w:after="80" w:line="360" w:lineRule="auto"/>
        <w:jc w:val="both"/>
        <w:rPr>
          <w:rFonts w:ascii="Arial" w:hAnsi="Arial" w:cs="Arial"/>
        </w:rPr>
      </w:pPr>
      <w:r w:rsidRPr="00AF4867">
        <w:rPr>
          <w:rFonts w:ascii="Arial" w:hAnsi="Arial" w:cs="Arial"/>
        </w:rPr>
        <w:t xml:space="preserve">Analytical framework of this report such as ratio selection, calculation of all </w:t>
      </w:r>
      <w:proofErr w:type="gramStart"/>
      <w:r w:rsidRPr="00AF4867">
        <w:rPr>
          <w:rFonts w:ascii="Arial" w:hAnsi="Arial" w:cs="Arial"/>
        </w:rPr>
        <w:t>16 ratio</w:t>
      </w:r>
      <w:proofErr w:type="gramEnd"/>
      <w:r w:rsidRPr="00AF4867">
        <w:rPr>
          <w:rFonts w:ascii="Arial" w:hAnsi="Arial" w:cs="Arial"/>
        </w:rPr>
        <w:t xml:space="preserve"> series, working capital management improvement suggestions, restructuring strategy and five investment appraisal techniques along with their explanation are the outcome of completely new analytical effort on my part. The only role of AI here has been of bibliographical help (checked and verified from university library database) and structural help of section headings which have been significantly restructured in the final report. There is not a single sentence generated through AI in this report and all the content has been created on the basis of independent reading of literature.</w:t>
      </w:r>
    </w:p>
    <w:p w14:paraId="1FB30679" w14:textId="77777777" w:rsidR="0031148D" w:rsidRPr="00AF4867" w:rsidRDefault="0031148D" w:rsidP="00E64CCA">
      <w:pPr>
        <w:spacing w:before="80" w:after="80" w:line="360" w:lineRule="auto"/>
        <w:jc w:val="both"/>
        <w:rPr>
          <w:rFonts w:ascii="Arial" w:hAnsi="Arial" w:cs="Arial"/>
        </w:rPr>
      </w:pPr>
    </w:p>
    <w:p w14:paraId="14A42BB4" w14:textId="63C04AEE" w:rsidR="0031148D" w:rsidRPr="00585597" w:rsidRDefault="0031148D" w:rsidP="00E64CCA">
      <w:pPr>
        <w:spacing w:before="80" w:after="80" w:line="360" w:lineRule="auto"/>
        <w:jc w:val="both"/>
        <w:rPr>
          <w:rFonts w:ascii="Arial" w:hAnsi="Arial" w:cs="Arial"/>
          <w:b/>
          <w:bCs/>
          <w:sz w:val="40"/>
          <w:szCs w:val="40"/>
        </w:rPr>
      </w:pPr>
      <w:r w:rsidRPr="00585597">
        <w:rPr>
          <w:rFonts w:ascii="Arial" w:hAnsi="Arial" w:cs="Arial"/>
          <w:b/>
          <w:bCs/>
          <w:sz w:val="40"/>
          <w:szCs w:val="40"/>
        </w:rPr>
        <w:t xml:space="preserve">6.4 </w:t>
      </w:r>
      <w:proofErr w:type="spellStart"/>
      <w:r w:rsidRPr="00585597">
        <w:rPr>
          <w:rFonts w:ascii="Arial" w:hAnsi="Arial" w:cs="Arial"/>
          <w:b/>
          <w:bCs/>
          <w:sz w:val="40"/>
          <w:szCs w:val="40"/>
        </w:rPr>
        <w:t>Proffesional</w:t>
      </w:r>
      <w:proofErr w:type="spellEnd"/>
      <w:r w:rsidRPr="00585597">
        <w:rPr>
          <w:rFonts w:ascii="Arial" w:hAnsi="Arial" w:cs="Arial"/>
          <w:b/>
          <w:bCs/>
          <w:sz w:val="40"/>
          <w:szCs w:val="40"/>
        </w:rPr>
        <w:t xml:space="preserve"> and Ethical Reflection</w:t>
      </w:r>
    </w:p>
    <w:p w14:paraId="2FDAD367" w14:textId="26F7D7DC" w:rsidR="0031148D" w:rsidRPr="00AF4867" w:rsidRDefault="0031148D" w:rsidP="00E64CCA">
      <w:pPr>
        <w:spacing w:before="80" w:after="80" w:line="360" w:lineRule="auto"/>
        <w:jc w:val="both"/>
        <w:rPr>
          <w:rFonts w:ascii="Arial" w:hAnsi="Arial" w:cs="Arial"/>
        </w:rPr>
      </w:pPr>
      <w:r w:rsidRPr="00AF4867">
        <w:rPr>
          <w:rFonts w:ascii="Arial" w:hAnsi="Arial" w:cs="Arial"/>
        </w:rPr>
        <w:t>The employment of AI in financial analysis presents additional ethical issues apart from the question of academic integrity. From the perspective of actual corporate finance decisions – whether these involve the CFO of Marriott making recommendations regarding capital structure and investments to the board of directors – blind faith in the figures produced by AI analysis may result in making decisions which will have serious negative ramifications for stakeholders. The example of the $900 million difference between the two versions of the figures, had it not been detected and fixed, would have yielded a materially different recommendation. This further confirms the stance of the Chartered Financial Analyst Institute (CFA Institute, 2023) that AI in finance analysis needs to serve as a support system requiring human expertise, rather than being an independent analytical mechanism. The development of the skills to detect, analyze, and reflect on AI errors becomes a crucial aspect of Level 7 when one has to demonstrate professional competence. It is increasingly likely to become one of the core skills in the field of financial management in the rest of this decade.</w:t>
      </w:r>
    </w:p>
    <w:p w14:paraId="17FBF3F0" w14:textId="77777777" w:rsidR="0031148D" w:rsidRPr="00AF4867" w:rsidRDefault="0031148D" w:rsidP="00E64CCA">
      <w:pPr>
        <w:spacing w:before="80" w:after="80" w:line="360" w:lineRule="auto"/>
        <w:jc w:val="both"/>
        <w:rPr>
          <w:rFonts w:ascii="Arial" w:hAnsi="Arial" w:cs="Arial"/>
        </w:rPr>
      </w:pPr>
    </w:p>
    <w:p w14:paraId="5D790831" w14:textId="77777777" w:rsidR="0031148D" w:rsidRPr="00AF4867" w:rsidRDefault="0031148D" w:rsidP="00E64CCA">
      <w:pPr>
        <w:spacing w:before="80" w:after="80" w:line="360" w:lineRule="auto"/>
        <w:jc w:val="both"/>
        <w:rPr>
          <w:rFonts w:ascii="Arial" w:hAnsi="Arial" w:cs="Arial"/>
        </w:rPr>
      </w:pPr>
    </w:p>
    <w:p w14:paraId="273A9F8E" w14:textId="77777777" w:rsidR="0031148D" w:rsidRPr="00AF4867" w:rsidRDefault="0031148D" w:rsidP="00E64CCA">
      <w:pPr>
        <w:spacing w:before="80" w:after="80" w:line="360" w:lineRule="auto"/>
        <w:jc w:val="both"/>
        <w:rPr>
          <w:rFonts w:ascii="Arial" w:hAnsi="Arial" w:cs="Arial"/>
        </w:rPr>
      </w:pPr>
    </w:p>
    <w:p w14:paraId="3955037E" w14:textId="77777777" w:rsidR="0031148D" w:rsidRPr="00AF4867" w:rsidRDefault="0031148D" w:rsidP="00E64CCA">
      <w:pPr>
        <w:spacing w:before="80" w:after="80" w:line="360" w:lineRule="auto"/>
        <w:jc w:val="both"/>
        <w:rPr>
          <w:rFonts w:ascii="Arial" w:hAnsi="Arial" w:cs="Arial"/>
        </w:rPr>
      </w:pPr>
    </w:p>
    <w:p w14:paraId="27CF4676" w14:textId="77777777" w:rsidR="00585597" w:rsidRDefault="00585597" w:rsidP="00E64CCA">
      <w:pPr>
        <w:spacing w:before="80" w:after="80" w:line="360" w:lineRule="auto"/>
        <w:jc w:val="both"/>
        <w:rPr>
          <w:rFonts w:ascii="Arial" w:hAnsi="Arial" w:cs="Arial"/>
        </w:rPr>
      </w:pPr>
    </w:p>
    <w:p w14:paraId="3B9D02D7" w14:textId="0E3F2731" w:rsidR="0031148D" w:rsidRPr="00585597" w:rsidRDefault="0031148D" w:rsidP="00E64CCA">
      <w:pPr>
        <w:spacing w:before="80" w:after="80" w:line="360" w:lineRule="auto"/>
        <w:jc w:val="both"/>
        <w:rPr>
          <w:rFonts w:ascii="Arial" w:hAnsi="Arial" w:cs="Arial"/>
          <w:b/>
          <w:bCs/>
          <w:sz w:val="52"/>
          <w:szCs w:val="52"/>
          <w:u w:val="single"/>
        </w:rPr>
      </w:pPr>
      <w:r w:rsidRPr="00585597">
        <w:rPr>
          <w:rFonts w:ascii="Arial" w:hAnsi="Arial" w:cs="Arial"/>
          <w:b/>
          <w:bCs/>
          <w:sz w:val="52"/>
          <w:szCs w:val="52"/>
          <w:u w:val="single"/>
        </w:rPr>
        <w:lastRenderedPageBreak/>
        <w:t>7. Conclusion</w:t>
      </w:r>
    </w:p>
    <w:p w14:paraId="00DDFE93" w14:textId="211929BB" w:rsidR="0031148D" w:rsidRPr="00AF4867" w:rsidRDefault="0031148D" w:rsidP="00E64CCA">
      <w:pPr>
        <w:spacing w:before="80" w:after="80" w:line="360" w:lineRule="auto"/>
        <w:jc w:val="both"/>
        <w:rPr>
          <w:rFonts w:ascii="Arial" w:hAnsi="Arial" w:cs="Arial"/>
        </w:rPr>
      </w:pPr>
      <w:r w:rsidRPr="00AF4867">
        <w:rPr>
          <w:rFonts w:ascii="Arial" w:hAnsi="Arial" w:cs="Arial"/>
        </w:rPr>
        <w:t>It can thus be seen from this report that Marriott International exhibits one such paradox that exists in many well-established businesses based on the franchise model, where excellent performance operations, as illustrated by an increase in ROCE from −2.1% in 2020 to 18.5% in 2024 and an operating cash flow of $3.7 billion, goes hand-in-hand with a financial structure that without access to investment grade credit market funding and robust operating cash flows would be deemed financially fragile.</w:t>
      </w:r>
    </w:p>
    <w:p w14:paraId="12EB3CDD" w14:textId="4996AC31" w:rsidR="0031148D" w:rsidRPr="00AF4867" w:rsidRDefault="0031148D" w:rsidP="00E64CCA">
      <w:pPr>
        <w:spacing w:before="80" w:after="80" w:line="360" w:lineRule="auto"/>
        <w:jc w:val="both"/>
        <w:rPr>
          <w:rFonts w:ascii="Arial" w:hAnsi="Arial" w:cs="Arial"/>
        </w:rPr>
      </w:pPr>
      <w:r w:rsidRPr="00AF4867">
        <w:rPr>
          <w:rFonts w:ascii="Arial" w:hAnsi="Arial" w:cs="Arial"/>
        </w:rPr>
        <w:t>To start with, optimal working capital management for Marriott needs to be done in such a way that the payable days are extended to 32 days, which is the standard for the industry, via supply chain financing. Furthermore, receivable days can be shortened via direct booking discounts and AI-driven collections analysis, and together these strategies can free up approximately $400-$500 million worth of working capital, without incurring more debt.</w:t>
      </w:r>
    </w:p>
    <w:p w14:paraId="4A40B048" w14:textId="4188E2A5" w:rsidR="0031148D" w:rsidRPr="00AF4867" w:rsidRDefault="0031148D" w:rsidP="00E64CCA">
      <w:pPr>
        <w:spacing w:before="80" w:after="80" w:line="360" w:lineRule="auto"/>
        <w:jc w:val="both"/>
        <w:rPr>
          <w:rFonts w:ascii="Arial" w:hAnsi="Arial" w:cs="Arial"/>
        </w:rPr>
      </w:pPr>
      <w:r w:rsidRPr="00AF4867">
        <w:rPr>
          <w:rFonts w:ascii="Arial" w:hAnsi="Arial" w:cs="Arial"/>
        </w:rPr>
        <w:t>Secondly, the recommended structural re-engineering plan entails a sale and leaseback strategy that is expected to raise between $1.2 and $1.5 billion in net proceeds and an adjustment of the repurchase program to be around 80% to 90% of free cash flow. This would help lower the debt-to-assets ratio of 54.3% to around 48% to 50%.</w:t>
      </w:r>
    </w:p>
    <w:p w14:paraId="29511858" w14:textId="687E4D22" w:rsidR="0031148D" w:rsidRPr="00AF4867" w:rsidRDefault="0031148D" w:rsidP="00E64CCA">
      <w:pPr>
        <w:spacing w:before="80" w:after="80" w:line="360" w:lineRule="auto"/>
        <w:jc w:val="both"/>
        <w:rPr>
          <w:rFonts w:ascii="Arial" w:hAnsi="Arial" w:cs="Arial"/>
        </w:rPr>
      </w:pPr>
      <w:r w:rsidRPr="00AF4867">
        <w:rPr>
          <w:rFonts w:ascii="Arial" w:hAnsi="Arial" w:cs="Arial"/>
        </w:rPr>
        <w:t>Thirdly, among the three capital investment projects appraised using five appraisal techniques, Project C (the Asia Pacific Revenue Management System) emerges as the unanimous choice due to its positive net present value (NPV) of £0.858 million and internal rate of return (IRR) of 8.6%, which is higher than the required 8%. Given the capital budgeting constraint of £100 million, only Project C qualifies as a value-generating project and should therefore be undertaken in isolation, while the leftover £50 million of capital should be held in liquid form until future profitable ventures become available. According to Arnold (2019, p.161), it is equally vital to reject negative-NPV projects within the framework of capital rationing as it is to identify positive-NPV projects.</w:t>
      </w:r>
    </w:p>
    <w:p w14:paraId="59A2104A" w14:textId="77777777" w:rsidR="0031148D" w:rsidRPr="00AF4867" w:rsidRDefault="0031148D" w:rsidP="00E64CCA">
      <w:pPr>
        <w:spacing w:before="80" w:after="80" w:line="360" w:lineRule="auto"/>
        <w:jc w:val="both"/>
        <w:rPr>
          <w:rFonts w:ascii="Arial" w:hAnsi="Arial" w:cs="Arial"/>
        </w:rPr>
      </w:pPr>
    </w:p>
    <w:p w14:paraId="75F6B179" w14:textId="77777777" w:rsidR="0031148D" w:rsidRPr="00AF4867" w:rsidRDefault="0031148D" w:rsidP="00E64CCA">
      <w:pPr>
        <w:spacing w:before="80" w:after="80" w:line="360" w:lineRule="auto"/>
        <w:jc w:val="both"/>
        <w:rPr>
          <w:rFonts w:ascii="Arial" w:hAnsi="Arial" w:cs="Arial"/>
        </w:rPr>
      </w:pPr>
    </w:p>
    <w:p w14:paraId="5FBB8D05" w14:textId="77777777" w:rsidR="0031148D" w:rsidRPr="00AF4867" w:rsidRDefault="0031148D" w:rsidP="00E64CCA">
      <w:pPr>
        <w:spacing w:before="80" w:after="80" w:line="360" w:lineRule="auto"/>
        <w:jc w:val="both"/>
        <w:rPr>
          <w:rFonts w:ascii="Arial" w:hAnsi="Arial" w:cs="Arial"/>
        </w:rPr>
      </w:pPr>
    </w:p>
    <w:p w14:paraId="4C0CBBD4" w14:textId="77777777" w:rsidR="0031148D" w:rsidRPr="00AF4867" w:rsidRDefault="0031148D" w:rsidP="00E64CCA">
      <w:pPr>
        <w:spacing w:before="80" w:after="80" w:line="360" w:lineRule="auto"/>
        <w:jc w:val="both"/>
        <w:rPr>
          <w:rFonts w:ascii="Arial" w:hAnsi="Arial" w:cs="Arial"/>
        </w:rPr>
      </w:pPr>
    </w:p>
    <w:p w14:paraId="393E4F3E" w14:textId="77777777" w:rsidR="0031148D" w:rsidRPr="00AF4867" w:rsidRDefault="0031148D" w:rsidP="00E64CCA">
      <w:pPr>
        <w:spacing w:before="80" w:after="80" w:line="360" w:lineRule="auto"/>
        <w:jc w:val="both"/>
        <w:rPr>
          <w:rFonts w:ascii="Arial" w:hAnsi="Arial" w:cs="Arial"/>
        </w:rPr>
      </w:pPr>
    </w:p>
    <w:p w14:paraId="13785E8A" w14:textId="77777777" w:rsidR="00585597" w:rsidRDefault="00585597" w:rsidP="00E64CCA">
      <w:pPr>
        <w:spacing w:before="80" w:after="80" w:line="360" w:lineRule="auto"/>
        <w:jc w:val="both"/>
        <w:rPr>
          <w:rFonts w:ascii="Arial" w:hAnsi="Arial" w:cs="Arial"/>
        </w:rPr>
      </w:pPr>
    </w:p>
    <w:p w14:paraId="636636B9" w14:textId="55E6D4A3" w:rsidR="0031148D" w:rsidRPr="00585597" w:rsidRDefault="0031148D" w:rsidP="00E64CCA">
      <w:pPr>
        <w:spacing w:before="80" w:after="80" w:line="360" w:lineRule="auto"/>
        <w:jc w:val="both"/>
        <w:rPr>
          <w:rFonts w:ascii="Arial" w:hAnsi="Arial" w:cs="Arial"/>
          <w:b/>
          <w:bCs/>
          <w:sz w:val="52"/>
          <w:szCs w:val="52"/>
          <w:u w:val="single"/>
        </w:rPr>
      </w:pPr>
      <w:r w:rsidRPr="00585597">
        <w:rPr>
          <w:rFonts w:ascii="Arial" w:hAnsi="Arial" w:cs="Arial"/>
          <w:b/>
          <w:bCs/>
          <w:sz w:val="52"/>
          <w:szCs w:val="52"/>
          <w:u w:val="single"/>
        </w:rPr>
        <w:lastRenderedPageBreak/>
        <w:t>Reference List</w:t>
      </w:r>
    </w:p>
    <w:p w14:paraId="4E539455"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Accor SA (2024) Annual Report and Accounts 2023. Paris: Accor SA.</w:t>
      </w:r>
    </w:p>
    <w:p w14:paraId="776E4CEE"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 xml:space="preserve">Arnold, G. (2019) Corporate Financial Management. 6th </w:t>
      </w:r>
      <w:proofErr w:type="spellStart"/>
      <w:r w:rsidRPr="00AF4867">
        <w:rPr>
          <w:rFonts w:ascii="Arial" w:eastAsia="Arial" w:hAnsi="Arial" w:cs="Arial"/>
          <w:color w:val="1A1A1A"/>
        </w:rPr>
        <w:t>edn</w:t>
      </w:r>
      <w:proofErr w:type="spellEnd"/>
      <w:r w:rsidRPr="00AF4867">
        <w:rPr>
          <w:rFonts w:ascii="Arial" w:eastAsia="Arial" w:hAnsi="Arial" w:cs="Arial"/>
          <w:color w:val="1A1A1A"/>
        </w:rPr>
        <w:t>. Harlow: Pearson Education.</w:t>
      </w:r>
    </w:p>
    <w:p w14:paraId="5D8A2E4F" w14:textId="77777777" w:rsidR="0031148D" w:rsidRPr="00AF4867" w:rsidRDefault="0031148D" w:rsidP="00E64CCA">
      <w:pPr>
        <w:spacing w:before="60" w:after="40" w:line="360" w:lineRule="auto"/>
        <w:ind w:left="720" w:hanging="720"/>
        <w:jc w:val="both"/>
        <w:rPr>
          <w:rFonts w:ascii="Arial" w:hAnsi="Arial" w:cs="Arial"/>
        </w:rPr>
      </w:pPr>
      <w:proofErr w:type="spellStart"/>
      <w:r w:rsidRPr="00AF4867">
        <w:rPr>
          <w:rFonts w:ascii="Arial" w:eastAsia="Arial" w:hAnsi="Arial" w:cs="Arial"/>
          <w:color w:val="1A1A1A"/>
        </w:rPr>
        <w:t>Atrill</w:t>
      </w:r>
      <w:proofErr w:type="spellEnd"/>
      <w:r w:rsidRPr="00AF4867">
        <w:rPr>
          <w:rFonts w:ascii="Arial" w:eastAsia="Arial" w:hAnsi="Arial" w:cs="Arial"/>
          <w:color w:val="1A1A1A"/>
        </w:rPr>
        <w:t xml:space="preserve">, P. and McLaney, E. (2022) Financial Management for Decision Makers. 9th </w:t>
      </w:r>
      <w:proofErr w:type="spellStart"/>
      <w:r w:rsidRPr="00AF4867">
        <w:rPr>
          <w:rFonts w:ascii="Arial" w:eastAsia="Arial" w:hAnsi="Arial" w:cs="Arial"/>
          <w:color w:val="1A1A1A"/>
        </w:rPr>
        <w:t>edn</w:t>
      </w:r>
      <w:proofErr w:type="spellEnd"/>
      <w:r w:rsidRPr="00AF4867">
        <w:rPr>
          <w:rFonts w:ascii="Arial" w:eastAsia="Arial" w:hAnsi="Arial" w:cs="Arial"/>
          <w:color w:val="1A1A1A"/>
        </w:rPr>
        <w:t>. Harlow: Pearson Education.</w:t>
      </w:r>
    </w:p>
    <w:p w14:paraId="191F839D"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Bender, E.M. et al. (2021) 'On the dangers of stochastic parrots: Can language models be too big?', Proceedings of the ACM Conference on Fairness, Accountability, and Transparency, pp. 610–623.</w:t>
      </w:r>
    </w:p>
    <w:p w14:paraId="6908DBA0"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 xml:space="preserve">Brealey, R.A., Myers, S.C. and Allen, F. (2020) Principles of Corporate Finance. 13th </w:t>
      </w:r>
      <w:proofErr w:type="spellStart"/>
      <w:r w:rsidRPr="00AF4867">
        <w:rPr>
          <w:rFonts w:ascii="Arial" w:eastAsia="Arial" w:hAnsi="Arial" w:cs="Arial"/>
          <w:color w:val="1A1A1A"/>
        </w:rPr>
        <w:t>edn</w:t>
      </w:r>
      <w:proofErr w:type="spellEnd"/>
      <w:r w:rsidRPr="00AF4867">
        <w:rPr>
          <w:rFonts w:ascii="Arial" w:eastAsia="Arial" w:hAnsi="Arial" w:cs="Arial"/>
          <w:color w:val="1A1A1A"/>
        </w:rPr>
        <w:t>. New York: McGraw-Hill Education.</w:t>
      </w:r>
    </w:p>
    <w:p w14:paraId="13DE6ECE"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CBRE Hotels (2024) Hotel Valuation Index: US Upper-Upscale Segment Q4 2024. Dallas: CBRE Group.</w:t>
      </w:r>
    </w:p>
    <w:p w14:paraId="574D9AF8"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CFA Institute (2023) Artificial Intelligence in Investment Management: Principles and Practices. Charlottesville: CFA Institute.</w:t>
      </w:r>
    </w:p>
    <w:p w14:paraId="573EF688"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Deloitte (2024) 2024 Travel and Hospitality Industry Outlook. Available at: https://www2.deloitte.com/us/en/insights/industry/hospitality [Accessed 12 July 2026].</w:t>
      </w:r>
    </w:p>
    <w:p w14:paraId="2584A277"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Hilton Worldwide Holdings (2024) Annual Report and Form 10-K 2023. McLean: Hilton Worldwide Holdings Inc.</w:t>
      </w:r>
    </w:p>
    <w:p w14:paraId="6C5967A6"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Hyatt Hotels Corporation (2024) Annual Report 2023. Chicago: Hyatt Hotels Corporation.</w:t>
      </w:r>
    </w:p>
    <w:p w14:paraId="3CEA42E4"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IHG Hotels &amp; Resorts (2024) Annual Report and Accounts 2023. Windsor: InterContinental Hotels Group PLC.</w:t>
      </w:r>
    </w:p>
    <w:p w14:paraId="0214FAC6"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International Monetary Fund (2024) World Economic Outlook, October 2024: Policy Pivot, Rising Threats. Washington, DC: IMF.</w:t>
      </w:r>
    </w:p>
    <w:p w14:paraId="79E53E84"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Marriott International (2021) Annual Report 2020. Bethesda: Marriott International Inc.</w:t>
      </w:r>
    </w:p>
    <w:p w14:paraId="6A9C3DD2"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Marriott International (2022) Annual Report 2021. Bethesda: Marriott International Inc.</w:t>
      </w:r>
    </w:p>
    <w:p w14:paraId="06FC9967"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Marriott International (2023) Annual Report 2022. Bethesda: Marriott International Inc.</w:t>
      </w:r>
    </w:p>
    <w:p w14:paraId="2395BE6A"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Marriott International (2024) Annual Report 2023 and SEC Form 10-K. Bethesda: Marriott International Inc.</w:t>
      </w:r>
    </w:p>
    <w:p w14:paraId="42B6B29D"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Marriott International (2025a) Annual Report 2024 and SEC Form 10-K. Bethesda: Marriott International Inc.</w:t>
      </w:r>
    </w:p>
    <w:p w14:paraId="75EEFD29"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lastRenderedPageBreak/>
        <w:t>Marriott International (2025b) Full Year and Fourth Quarter 2024 Results: Press Release, 11 February 2025. Bethesda: Marriott International Inc.</w:t>
      </w:r>
    </w:p>
    <w:p w14:paraId="6C72FCB6"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McKinsey and Company (2023) The State of Travel and Hospitality 2023. New York: McKinsey Global Institute.</w:t>
      </w:r>
    </w:p>
    <w:p w14:paraId="1255C4D6"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Moody's Corporation (2024) Marriott International Inc. Credit Opinion: Senior Unsecured Rating BBB, Outlook Stable. New York: Moody's Analytics.</w:t>
      </w:r>
    </w:p>
    <w:p w14:paraId="7F6CFCD0"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Oracle Corporation (2024) AI-Powered Receivables Management in Hospitality: Whitepaper. Redwood Shores: Oracle Corporation.</w:t>
      </w:r>
    </w:p>
    <w:p w14:paraId="132BA4D0"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 xml:space="preserve">Pike, R. and Neale, B. (2023) Corporate Finance and Investment: Decisions and Strategies. 10th </w:t>
      </w:r>
      <w:proofErr w:type="spellStart"/>
      <w:r w:rsidRPr="00AF4867">
        <w:rPr>
          <w:rFonts w:ascii="Arial" w:eastAsia="Arial" w:hAnsi="Arial" w:cs="Arial"/>
          <w:color w:val="1A1A1A"/>
        </w:rPr>
        <w:t>edn</w:t>
      </w:r>
      <w:proofErr w:type="spellEnd"/>
      <w:r w:rsidRPr="00AF4867">
        <w:rPr>
          <w:rFonts w:ascii="Arial" w:eastAsia="Arial" w:hAnsi="Arial" w:cs="Arial"/>
          <w:color w:val="1A1A1A"/>
        </w:rPr>
        <w:t>. Harlow: Pearson Education.</w:t>
      </w:r>
    </w:p>
    <w:p w14:paraId="0C5E6CBF" w14:textId="77777777" w:rsidR="0031148D" w:rsidRPr="00AF4867" w:rsidRDefault="0031148D" w:rsidP="00E64CCA">
      <w:pPr>
        <w:spacing w:before="60" w:after="40" w:line="360" w:lineRule="auto"/>
        <w:ind w:left="720" w:hanging="720"/>
        <w:jc w:val="both"/>
        <w:rPr>
          <w:rFonts w:ascii="Arial" w:hAnsi="Arial" w:cs="Arial"/>
        </w:rPr>
      </w:pPr>
      <w:r w:rsidRPr="00AF4867">
        <w:rPr>
          <w:rFonts w:ascii="Arial" w:eastAsia="Arial" w:hAnsi="Arial" w:cs="Arial"/>
          <w:color w:val="1A1A1A"/>
        </w:rPr>
        <w:t xml:space="preserve">Ross, S.A., </w:t>
      </w:r>
      <w:proofErr w:type="spellStart"/>
      <w:r w:rsidRPr="00AF4867">
        <w:rPr>
          <w:rFonts w:ascii="Arial" w:eastAsia="Arial" w:hAnsi="Arial" w:cs="Arial"/>
          <w:color w:val="1A1A1A"/>
        </w:rPr>
        <w:t>Westerfield</w:t>
      </w:r>
      <w:proofErr w:type="spellEnd"/>
      <w:r w:rsidRPr="00AF4867">
        <w:rPr>
          <w:rFonts w:ascii="Arial" w:eastAsia="Arial" w:hAnsi="Arial" w:cs="Arial"/>
          <w:color w:val="1A1A1A"/>
        </w:rPr>
        <w:t xml:space="preserve">, R.W. and Jordan, B.D. (2019) Corporate Finance: Core Principles and Applications. 5th </w:t>
      </w:r>
      <w:proofErr w:type="spellStart"/>
      <w:r w:rsidRPr="00AF4867">
        <w:rPr>
          <w:rFonts w:ascii="Arial" w:eastAsia="Arial" w:hAnsi="Arial" w:cs="Arial"/>
          <w:color w:val="1A1A1A"/>
        </w:rPr>
        <w:t>edn</w:t>
      </w:r>
      <w:proofErr w:type="spellEnd"/>
      <w:r w:rsidRPr="00AF4867">
        <w:rPr>
          <w:rFonts w:ascii="Arial" w:eastAsia="Arial" w:hAnsi="Arial" w:cs="Arial"/>
          <w:color w:val="1A1A1A"/>
        </w:rPr>
        <w:t>. New York: McGraw-Hill Education.</w:t>
      </w:r>
    </w:p>
    <w:p w14:paraId="11E042C3" w14:textId="77777777" w:rsidR="0031148D" w:rsidRPr="00AF4867" w:rsidRDefault="0031148D" w:rsidP="00E64CCA">
      <w:pPr>
        <w:spacing w:before="80" w:after="80" w:line="360" w:lineRule="auto"/>
        <w:jc w:val="both"/>
        <w:rPr>
          <w:rFonts w:ascii="Arial" w:hAnsi="Arial" w:cs="Arial"/>
        </w:rPr>
      </w:pPr>
    </w:p>
    <w:p w14:paraId="305A7AA8" w14:textId="77777777" w:rsidR="0031148D" w:rsidRPr="00AF4867" w:rsidRDefault="0031148D" w:rsidP="00E64CCA">
      <w:pPr>
        <w:spacing w:before="80" w:after="80" w:line="360" w:lineRule="auto"/>
        <w:jc w:val="both"/>
        <w:rPr>
          <w:rFonts w:ascii="Arial" w:hAnsi="Arial" w:cs="Arial"/>
        </w:rPr>
      </w:pPr>
    </w:p>
    <w:p w14:paraId="76FD9590" w14:textId="77777777" w:rsidR="004E60BB" w:rsidRPr="00AF4867" w:rsidRDefault="004E60BB" w:rsidP="00E64CCA">
      <w:pPr>
        <w:jc w:val="both"/>
        <w:rPr>
          <w:rFonts w:ascii="Arial" w:hAnsi="Arial" w:cs="Arial"/>
          <w:color w:val="404040"/>
        </w:rPr>
      </w:pPr>
    </w:p>
    <w:p w14:paraId="35811F2F" w14:textId="77777777" w:rsidR="004E60BB" w:rsidRPr="00AF4867" w:rsidRDefault="004E60BB" w:rsidP="00E64CCA">
      <w:pPr>
        <w:spacing w:before="120"/>
        <w:jc w:val="both"/>
        <w:rPr>
          <w:rFonts w:ascii="Arial" w:hAnsi="Arial" w:cs="Arial"/>
        </w:rPr>
      </w:pPr>
    </w:p>
    <w:p w14:paraId="12D24A85" w14:textId="77777777" w:rsidR="004E60BB" w:rsidRPr="00AF4867" w:rsidRDefault="004E60BB" w:rsidP="00E64CCA">
      <w:pPr>
        <w:spacing w:before="80" w:after="80" w:line="360" w:lineRule="auto"/>
        <w:jc w:val="both"/>
        <w:rPr>
          <w:rFonts w:ascii="Arial" w:eastAsia="Arial" w:hAnsi="Arial" w:cs="Arial"/>
          <w:color w:val="1A1A1A"/>
        </w:rPr>
      </w:pPr>
    </w:p>
    <w:p w14:paraId="0E75677D" w14:textId="77777777" w:rsidR="004E60BB" w:rsidRPr="00AF4867" w:rsidRDefault="004E60BB" w:rsidP="00E64CCA">
      <w:pPr>
        <w:spacing w:before="80" w:after="80" w:line="360" w:lineRule="auto"/>
        <w:jc w:val="both"/>
        <w:rPr>
          <w:rFonts w:ascii="Arial" w:hAnsi="Arial" w:cs="Arial"/>
        </w:rPr>
      </w:pPr>
    </w:p>
    <w:p w14:paraId="26003C6E" w14:textId="77777777" w:rsidR="005F79DC" w:rsidRPr="00AF4867" w:rsidRDefault="005F79DC" w:rsidP="00E64CCA">
      <w:pPr>
        <w:spacing w:before="80" w:after="80" w:line="360" w:lineRule="auto"/>
        <w:jc w:val="both"/>
        <w:rPr>
          <w:rFonts w:ascii="Arial" w:hAnsi="Arial" w:cs="Arial"/>
        </w:rPr>
      </w:pPr>
    </w:p>
    <w:p w14:paraId="1576CF63" w14:textId="77777777" w:rsidR="005F79DC" w:rsidRPr="00AF4867" w:rsidRDefault="005F79DC" w:rsidP="00E64CCA">
      <w:pPr>
        <w:spacing w:before="80" w:after="80" w:line="360" w:lineRule="auto"/>
        <w:jc w:val="both"/>
        <w:rPr>
          <w:rFonts w:ascii="Arial" w:eastAsia="Arial" w:hAnsi="Arial" w:cs="Arial"/>
          <w:color w:val="1A1A1A"/>
        </w:rPr>
      </w:pPr>
    </w:p>
    <w:p w14:paraId="699C7C09" w14:textId="77777777" w:rsidR="005F79DC" w:rsidRPr="00AF4867" w:rsidRDefault="005F79DC" w:rsidP="00E64CCA">
      <w:pPr>
        <w:spacing w:before="80" w:after="80" w:line="360" w:lineRule="auto"/>
        <w:jc w:val="both"/>
        <w:rPr>
          <w:rFonts w:ascii="Arial" w:hAnsi="Arial" w:cs="Arial"/>
        </w:rPr>
      </w:pPr>
    </w:p>
    <w:p w14:paraId="18F086CB" w14:textId="77777777" w:rsidR="005F79DC" w:rsidRPr="00AF4867" w:rsidRDefault="005F79DC" w:rsidP="00E64CCA">
      <w:pPr>
        <w:jc w:val="both"/>
        <w:rPr>
          <w:rFonts w:ascii="Arial" w:hAnsi="Arial" w:cs="Arial"/>
        </w:rPr>
      </w:pPr>
    </w:p>
    <w:p w14:paraId="3B129872" w14:textId="77777777" w:rsidR="005F79DC" w:rsidRPr="00AF4867" w:rsidRDefault="005F79DC" w:rsidP="00E64CCA">
      <w:pPr>
        <w:spacing w:before="80" w:after="80" w:line="360" w:lineRule="auto"/>
        <w:jc w:val="both"/>
        <w:rPr>
          <w:rFonts w:ascii="Arial" w:eastAsia="Arial" w:hAnsi="Arial" w:cs="Arial"/>
          <w:color w:val="1A1A1A"/>
        </w:rPr>
      </w:pPr>
    </w:p>
    <w:p w14:paraId="2FDDAC43" w14:textId="77777777" w:rsidR="009525D6" w:rsidRPr="00AF4867" w:rsidRDefault="009525D6" w:rsidP="00E64CCA">
      <w:pPr>
        <w:spacing w:before="80" w:after="80" w:line="360" w:lineRule="auto"/>
        <w:jc w:val="both"/>
        <w:rPr>
          <w:rFonts w:ascii="Arial" w:hAnsi="Arial" w:cs="Arial"/>
        </w:rPr>
      </w:pPr>
    </w:p>
    <w:p w14:paraId="65B71556" w14:textId="77777777" w:rsidR="009525D6" w:rsidRPr="00AF4867" w:rsidRDefault="009525D6" w:rsidP="00E64CCA">
      <w:pPr>
        <w:spacing w:before="80" w:after="80" w:line="360" w:lineRule="auto"/>
        <w:jc w:val="both"/>
        <w:rPr>
          <w:rFonts w:ascii="Arial" w:eastAsia="Arial" w:hAnsi="Arial" w:cs="Arial"/>
          <w:color w:val="1A1A1A"/>
        </w:rPr>
      </w:pPr>
    </w:p>
    <w:p w14:paraId="2AFD12D5" w14:textId="77777777" w:rsidR="00845C47" w:rsidRPr="00AF4867" w:rsidRDefault="00845C47" w:rsidP="00E64CCA">
      <w:pPr>
        <w:spacing w:before="60" w:after="120"/>
        <w:jc w:val="both"/>
        <w:rPr>
          <w:rFonts w:ascii="Arial" w:hAnsi="Arial" w:cs="Arial"/>
        </w:rPr>
      </w:pPr>
    </w:p>
    <w:p w14:paraId="2B89E387" w14:textId="77777777" w:rsidR="006A53EF" w:rsidRPr="00AF4867" w:rsidRDefault="006A53EF" w:rsidP="00E64CCA">
      <w:pPr>
        <w:jc w:val="both"/>
        <w:rPr>
          <w:rFonts w:ascii="Arial" w:hAnsi="Arial" w:cs="Arial"/>
        </w:rPr>
      </w:pPr>
    </w:p>
    <w:p w14:paraId="12C620F9" w14:textId="77777777" w:rsidR="00FD5612" w:rsidRPr="00AF4867" w:rsidRDefault="00FD5612" w:rsidP="00E64CCA">
      <w:pPr>
        <w:jc w:val="both"/>
        <w:rPr>
          <w:rFonts w:ascii="Arial" w:hAnsi="Arial" w:cs="Arial"/>
        </w:rPr>
      </w:pPr>
    </w:p>
    <w:p w14:paraId="64332944" w14:textId="77777777" w:rsidR="00663E27" w:rsidRPr="00AF4867" w:rsidRDefault="00663E27" w:rsidP="00E64CCA">
      <w:pPr>
        <w:jc w:val="both"/>
        <w:rPr>
          <w:rFonts w:ascii="Arial" w:hAnsi="Arial" w:cs="Arial"/>
        </w:rPr>
      </w:pPr>
    </w:p>
    <w:p w14:paraId="028DDC6B" w14:textId="77777777" w:rsidR="0031148D" w:rsidRPr="00AF4867" w:rsidRDefault="0031148D" w:rsidP="00E64CCA">
      <w:pPr>
        <w:jc w:val="both"/>
        <w:rPr>
          <w:rFonts w:ascii="Arial" w:hAnsi="Arial" w:cs="Arial"/>
        </w:rPr>
      </w:pPr>
    </w:p>
    <w:p w14:paraId="18BC0174" w14:textId="77777777" w:rsidR="0031148D" w:rsidRPr="00AF4867" w:rsidRDefault="0031148D" w:rsidP="00E64CCA">
      <w:pPr>
        <w:jc w:val="both"/>
        <w:rPr>
          <w:rFonts w:ascii="Arial" w:hAnsi="Arial" w:cs="Arial"/>
        </w:rPr>
      </w:pPr>
    </w:p>
    <w:p w14:paraId="67A1A9EE" w14:textId="77777777" w:rsidR="0031148D" w:rsidRPr="00AF4867" w:rsidRDefault="0031148D" w:rsidP="00E64CCA">
      <w:pPr>
        <w:jc w:val="both"/>
        <w:rPr>
          <w:rFonts w:ascii="Arial" w:hAnsi="Arial" w:cs="Arial"/>
        </w:rPr>
      </w:pPr>
    </w:p>
    <w:p w14:paraId="40037CCC" w14:textId="77777777" w:rsidR="00585597" w:rsidRDefault="00585597" w:rsidP="00E64CCA">
      <w:pPr>
        <w:jc w:val="both"/>
        <w:rPr>
          <w:rFonts w:ascii="Arial" w:hAnsi="Arial" w:cs="Arial"/>
        </w:rPr>
      </w:pPr>
    </w:p>
    <w:p w14:paraId="6793C5FE" w14:textId="0DCE579B" w:rsidR="0031148D" w:rsidRPr="00585597" w:rsidRDefault="0031148D" w:rsidP="00E64CCA">
      <w:pPr>
        <w:jc w:val="both"/>
        <w:rPr>
          <w:rFonts w:ascii="Arial" w:hAnsi="Arial" w:cs="Arial"/>
          <w:b/>
          <w:bCs/>
          <w:sz w:val="52"/>
          <w:szCs w:val="52"/>
          <w:u w:val="single"/>
        </w:rPr>
      </w:pPr>
      <w:r w:rsidRPr="00585597">
        <w:rPr>
          <w:rFonts w:ascii="Arial" w:hAnsi="Arial" w:cs="Arial"/>
          <w:b/>
          <w:bCs/>
          <w:sz w:val="52"/>
          <w:szCs w:val="52"/>
          <w:u w:val="single"/>
        </w:rPr>
        <w:lastRenderedPageBreak/>
        <w:t>Appendix A: Ratio Formulae and Supporting Calculations</w:t>
      </w:r>
    </w:p>
    <w:p w14:paraId="47181FB3" w14:textId="3834524C" w:rsidR="0031148D" w:rsidRPr="00585597" w:rsidRDefault="0031148D" w:rsidP="00E64CCA">
      <w:pPr>
        <w:jc w:val="both"/>
        <w:rPr>
          <w:rFonts w:ascii="Arial" w:hAnsi="Arial" w:cs="Arial"/>
          <w:b/>
          <w:bCs/>
          <w:sz w:val="40"/>
          <w:szCs w:val="40"/>
        </w:rPr>
      </w:pPr>
      <w:r w:rsidRPr="00585597">
        <w:rPr>
          <w:rFonts w:ascii="Arial" w:hAnsi="Arial" w:cs="Arial"/>
          <w:b/>
          <w:bCs/>
          <w:sz w:val="40"/>
          <w:szCs w:val="40"/>
        </w:rPr>
        <w:t xml:space="preserve">A.1 Ratio </w:t>
      </w:r>
      <w:r w:rsidRPr="00585597">
        <w:rPr>
          <w:rFonts w:ascii="Arial" w:hAnsi="Arial" w:cs="Arial"/>
          <w:b/>
          <w:bCs/>
          <w:sz w:val="40"/>
          <w:szCs w:val="40"/>
        </w:rPr>
        <w:t>Formulae</w:t>
      </w:r>
    </w:p>
    <w:p w14:paraId="4AB65F13"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Operating Profit Margin (%): </w:t>
      </w:r>
      <w:r w:rsidRPr="00AF4867">
        <w:rPr>
          <w:rFonts w:ascii="Arial" w:eastAsia="Arial" w:hAnsi="Arial" w:cs="Arial"/>
          <w:color w:val="1A1A1A"/>
        </w:rPr>
        <w:t>Operating Income ÷ Total Revenue × 100</w:t>
      </w:r>
    </w:p>
    <w:p w14:paraId="516A49AC"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Net Profit Margin (%): </w:t>
      </w:r>
      <w:r w:rsidRPr="00AF4867">
        <w:rPr>
          <w:rFonts w:ascii="Arial" w:eastAsia="Arial" w:hAnsi="Arial" w:cs="Arial"/>
          <w:color w:val="1A1A1A"/>
        </w:rPr>
        <w:t>Net Income ÷ Total Revenue × 100</w:t>
      </w:r>
    </w:p>
    <w:p w14:paraId="7599294B"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Return on Assets (%): </w:t>
      </w:r>
      <w:r w:rsidRPr="00AF4867">
        <w:rPr>
          <w:rFonts w:ascii="Arial" w:eastAsia="Arial" w:hAnsi="Arial" w:cs="Arial"/>
          <w:color w:val="1A1A1A"/>
        </w:rPr>
        <w:t>Net Income ÷ Total Assets × 100</w:t>
      </w:r>
    </w:p>
    <w:p w14:paraId="0FD20BF9"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Return on Capital Employed (%): </w:t>
      </w:r>
      <w:r w:rsidRPr="00AF4867">
        <w:rPr>
          <w:rFonts w:ascii="Arial" w:eastAsia="Arial" w:hAnsi="Arial" w:cs="Arial"/>
          <w:color w:val="1A1A1A"/>
        </w:rPr>
        <w:t>EBIT ÷ (Total Assets − Current Liabilities) × 100</w:t>
      </w:r>
    </w:p>
    <w:p w14:paraId="08220E53"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Current Ratio: </w:t>
      </w:r>
      <w:r w:rsidRPr="00AF4867">
        <w:rPr>
          <w:rFonts w:ascii="Arial" w:eastAsia="Arial" w:hAnsi="Arial" w:cs="Arial"/>
          <w:color w:val="1A1A1A"/>
        </w:rPr>
        <w:t>Current Assets ÷ Current Liabilities</w:t>
      </w:r>
    </w:p>
    <w:p w14:paraId="1D8C48D7"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Quick Ratio: </w:t>
      </w:r>
      <w:r w:rsidRPr="00AF4867">
        <w:rPr>
          <w:rFonts w:ascii="Arial" w:eastAsia="Arial" w:hAnsi="Arial" w:cs="Arial"/>
          <w:color w:val="1A1A1A"/>
        </w:rPr>
        <w:t>(Cash + Receivables) ÷ Current Liabilities</w:t>
      </w:r>
    </w:p>
    <w:p w14:paraId="29D32CE9"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Cash Ratio: </w:t>
      </w:r>
      <w:r w:rsidRPr="00AF4867">
        <w:rPr>
          <w:rFonts w:ascii="Arial" w:eastAsia="Arial" w:hAnsi="Arial" w:cs="Arial"/>
          <w:color w:val="1A1A1A"/>
        </w:rPr>
        <w:t>Cash and Cash Equivalents ÷ Current Liabilities</w:t>
      </w:r>
    </w:p>
    <w:p w14:paraId="256EA117"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Asset Turnover (x): </w:t>
      </w:r>
      <w:r w:rsidRPr="00AF4867">
        <w:rPr>
          <w:rFonts w:ascii="Arial" w:eastAsia="Arial" w:hAnsi="Arial" w:cs="Arial"/>
          <w:color w:val="1A1A1A"/>
        </w:rPr>
        <w:t>Total Revenue ÷ Total Assets</w:t>
      </w:r>
    </w:p>
    <w:p w14:paraId="2026BCE9"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Receivable Days: </w:t>
      </w:r>
      <w:r w:rsidRPr="00AF4867">
        <w:rPr>
          <w:rFonts w:ascii="Arial" w:eastAsia="Arial" w:hAnsi="Arial" w:cs="Arial"/>
          <w:color w:val="1A1A1A"/>
        </w:rPr>
        <w:t>(Receivables ÷ Revenue) × 365</w:t>
      </w:r>
    </w:p>
    <w:p w14:paraId="0929EA0D"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Payable Days: </w:t>
      </w:r>
      <w:r w:rsidRPr="00AF4867">
        <w:rPr>
          <w:rFonts w:ascii="Arial" w:eastAsia="Arial" w:hAnsi="Arial" w:cs="Arial"/>
          <w:color w:val="1A1A1A"/>
        </w:rPr>
        <w:t>(Trade Payables ÷ Revenue) × 365</w:t>
      </w:r>
    </w:p>
    <w:p w14:paraId="28049911"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Debt-to-Assets (%): </w:t>
      </w:r>
      <w:r w:rsidRPr="00AF4867">
        <w:rPr>
          <w:rFonts w:ascii="Arial" w:eastAsia="Arial" w:hAnsi="Arial" w:cs="Arial"/>
          <w:color w:val="1A1A1A"/>
        </w:rPr>
        <w:t>Long-term Debt ÷ Total Assets × 100</w:t>
      </w:r>
    </w:p>
    <w:p w14:paraId="5370D852"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Interest Coverage (x): </w:t>
      </w:r>
      <w:r w:rsidRPr="00AF4867">
        <w:rPr>
          <w:rFonts w:ascii="Arial" w:eastAsia="Arial" w:hAnsi="Arial" w:cs="Arial"/>
          <w:color w:val="1A1A1A"/>
        </w:rPr>
        <w:t>EBIT ÷ Interest Expense</w:t>
      </w:r>
    </w:p>
    <w:p w14:paraId="2B27B601"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Earnings per Share ($): </w:t>
      </w:r>
      <w:r w:rsidRPr="00AF4867">
        <w:rPr>
          <w:rFonts w:ascii="Arial" w:eastAsia="Arial" w:hAnsi="Arial" w:cs="Arial"/>
          <w:color w:val="1A1A1A"/>
        </w:rPr>
        <w:t>Net Income ÷ Weighted Average Diluted Shares Outstanding</w:t>
      </w:r>
    </w:p>
    <w:p w14:paraId="2D7E13A4"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Price / Earnings Ratio (x): </w:t>
      </w:r>
      <w:r w:rsidRPr="00AF4867">
        <w:rPr>
          <w:rFonts w:ascii="Arial" w:eastAsia="Arial" w:hAnsi="Arial" w:cs="Arial"/>
          <w:color w:val="1A1A1A"/>
        </w:rPr>
        <w:t>Market Share Price ÷ EPS</w:t>
      </w:r>
    </w:p>
    <w:p w14:paraId="58C434CC"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OCF-to-Revenue (%): </w:t>
      </w:r>
      <w:r w:rsidRPr="00AF4867">
        <w:rPr>
          <w:rFonts w:ascii="Arial" w:eastAsia="Arial" w:hAnsi="Arial" w:cs="Arial"/>
          <w:color w:val="1A1A1A"/>
        </w:rPr>
        <w:t>Operating Cash Flow ÷ Revenue × 100</w:t>
      </w:r>
    </w:p>
    <w:p w14:paraId="7A2A551D" w14:textId="77777777" w:rsidR="0031148D" w:rsidRPr="00AF4867" w:rsidRDefault="0031148D" w:rsidP="00E64CCA">
      <w:pPr>
        <w:spacing w:before="40" w:after="40"/>
        <w:jc w:val="both"/>
        <w:rPr>
          <w:rFonts w:ascii="Arial" w:hAnsi="Arial" w:cs="Arial"/>
        </w:rPr>
      </w:pPr>
      <w:r w:rsidRPr="00AF4867">
        <w:rPr>
          <w:rFonts w:ascii="Arial" w:eastAsia="Arial" w:hAnsi="Arial" w:cs="Arial"/>
          <w:color w:val="003087"/>
        </w:rPr>
        <w:t xml:space="preserve">OCF-to-Current Liabilities: </w:t>
      </w:r>
      <w:r w:rsidRPr="00AF4867">
        <w:rPr>
          <w:rFonts w:ascii="Arial" w:eastAsia="Arial" w:hAnsi="Arial" w:cs="Arial"/>
          <w:color w:val="1A1A1A"/>
        </w:rPr>
        <w:t>Operating Cash Flow ÷ Current Liabilities</w:t>
      </w:r>
    </w:p>
    <w:p w14:paraId="79DDEC5D" w14:textId="77777777" w:rsidR="0031148D" w:rsidRPr="00AF4867" w:rsidRDefault="0031148D" w:rsidP="00E64CCA">
      <w:pPr>
        <w:jc w:val="both"/>
        <w:rPr>
          <w:rFonts w:ascii="Arial" w:hAnsi="Arial" w:cs="Arial"/>
        </w:rPr>
      </w:pPr>
    </w:p>
    <w:p w14:paraId="26DF2610" w14:textId="1F72E3C7" w:rsidR="0031148D" w:rsidRPr="00585597" w:rsidRDefault="0031148D" w:rsidP="00E64CCA">
      <w:pPr>
        <w:jc w:val="both"/>
        <w:rPr>
          <w:rFonts w:ascii="Arial" w:hAnsi="Arial" w:cs="Arial"/>
          <w:b/>
          <w:bCs/>
          <w:sz w:val="40"/>
          <w:szCs w:val="40"/>
        </w:rPr>
      </w:pPr>
      <w:r w:rsidRPr="00585597">
        <w:rPr>
          <w:rFonts w:ascii="Arial" w:hAnsi="Arial" w:cs="Arial"/>
          <w:b/>
          <w:bCs/>
          <w:sz w:val="40"/>
          <w:szCs w:val="40"/>
        </w:rPr>
        <w:t>Appendix</w:t>
      </w:r>
      <w:r w:rsidRPr="00585597">
        <w:rPr>
          <w:rFonts w:ascii="Arial" w:hAnsi="Arial" w:cs="Arial"/>
          <w:b/>
          <w:bCs/>
          <w:sz w:val="40"/>
          <w:szCs w:val="40"/>
        </w:rPr>
        <w:t xml:space="preserve"> B: Investment Appraisal –– Detailed Workings</w:t>
      </w:r>
    </w:p>
    <w:p w14:paraId="2BDAA413" w14:textId="5D2679F0" w:rsidR="0031148D" w:rsidRPr="00585597" w:rsidRDefault="0031148D" w:rsidP="00E64CCA">
      <w:pPr>
        <w:jc w:val="both"/>
        <w:rPr>
          <w:rFonts w:ascii="Arial" w:hAnsi="Arial" w:cs="Arial"/>
          <w:b/>
          <w:bCs/>
          <w:sz w:val="32"/>
          <w:szCs w:val="32"/>
        </w:rPr>
      </w:pPr>
      <w:r w:rsidRPr="00585597">
        <w:rPr>
          <w:rFonts w:ascii="Arial" w:hAnsi="Arial" w:cs="Arial"/>
          <w:b/>
          <w:bCs/>
          <w:sz w:val="32"/>
          <w:szCs w:val="32"/>
        </w:rPr>
        <w:t xml:space="preserve">B.1 Payback Period –– Cumulative Cash Flow Schedules </w:t>
      </w:r>
    </w:p>
    <w:p w14:paraId="161DBB99" w14:textId="0E6065DB"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A: 0: −£50.0m | Y1: £10.0m (−£40.0m) | Y2: £12.0m (−£28.0m) | Y3: £14.0m (−£14.0m) | Y4: £10.0m (−£4.0m) | Y5: £8.0m (+£4.0m)</w:t>
      </w:r>
    </w:p>
    <w:p w14:paraId="19557E35" w14:textId="49ED6087"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PBP = 4 + (4 ÷ 8) </w:t>
      </w:r>
    </w:p>
    <w:p w14:paraId="66E2EB35" w14:textId="77777777"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4</w:t>
      </w:r>
      <w:r w:rsidRPr="00AF4867">
        <w:rPr>
          <w:rFonts w:ascii="Arial" w:eastAsia="Arial" w:hAnsi="Arial" w:cs="Arial"/>
          <w:color w:val="1A1A1A"/>
        </w:rPr>
        <w:t xml:space="preserve"> + (0.</w:t>
      </w:r>
      <w:r w:rsidRPr="00AF4867">
        <w:rPr>
          <w:rFonts w:ascii="Arial" w:eastAsia="Arial" w:hAnsi="Arial" w:cs="Arial"/>
          <w:color w:val="1A1A1A"/>
        </w:rPr>
        <w:t>50</w:t>
      </w:r>
      <w:r w:rsidRPr="00AF4867">
        <w:rPr>
          <w:rFonts w:ascii="Arial" w:eastAsia="Arial" w:hAnsi="Arial" w:cs="Arial"/>
          <w:color w:val="1A1A1A"/>
        </w:rPr>
        <w:t>)</w:t>
      </w:r>
    </w:p>
    <w:p w14:paraId="2D3BD89D" w14:textId="6956FE70"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 4.5</w:t>
      </w:r>
      <w:r w:rsidRPr="00AF4867">
        <w:rPr>
          <w:rFonts w:ascii="Arial" w:eastAsia="Arial" w:hAnsi="Arial" w:cs="Arial"/>
          <w:color w:val="1A1A1A"/>
        </w:rPr>
        <w:t xml:space="preserve"> years</w:t>
      </w:r>
    </w:p>
    <w:p w14:paraId="4C795C1B" w14:textId="77777777" w:rsidR="0031148D" w:rsidRPr="00AF4867" w:rsidRDefault="0031148D" w:rsidP="00E64CCA">
      <w:pPr>
        <w:spacing w:before="80" w:after="80" w:line="360" w:lineRule="auto"/>
        <w:jc w:val="both"/>
        <w:rPr>
          <w:rFonts w:ascii="Arial" w:eastAsia="Arial" w:hAnsi="Arial" w:cs="Arial"/>
          <w:color w:val="1A1A1A"/>
        </w:rPr>
      </w:pPr>
    </w:p>
    <w:p w14:paraId="6B9C307C" w14:textId="2109C1E6"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B: Y1: £11.0m (−£39.0m) | Y2: £11.0m (−£28.0m) | Y3: £11.0m (−£17.0m) | Y4: £11.0m (−£6.0m) | Y5: £11.0m (+£5.0m)</w:t>
      </w:r>
    </w:p>
    <w:p w14:paraId="2D2DF34F" w14:textId="77777777"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PBP = 4 + (6 ÷ 11) </w:t>
      </w:r>
    </w:p>
    <w:p w14:paraId="409FF284" w14:textId="364D316F"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w:t>
      </w:r>
      <w:r w:rsidRPr="00AF4867">
        <w:rPr>
          <w:rFonts w:ascii="Arial" w:eastAsia="Arial" w:hAnsi="Arial" w:cs="Arial"/>
          <w:color w:val="1A1A1A"/>
        </w:rPr>
        <w:t xml:space="preserve"> 4 + (0.55)</w:t>
      </w:r>
    </w:p>
    <w:p w14:paraId="13391DBC" w14:textId="4A6E38FA"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xml:space="preserve">       = </w:t>
      </w:r>
      <w:r w:rsidRPr="00AF4867">
        <w:rPr>
          <w:rFonts w:ascii="Arial" w:eastAsia="Arial" w:hAnsi="Arial" w:cs="Arial"/>
          <w:color w:val="1A1A1A"/>
        </w:rPr>
        <w:t>4.55 years</w:t>
      </w:r>
    </w:p>
    <w:p w14:paraId="0F5CA878" w14:textId="77777777" w:rsidR="0031148D" w:rsidRPr="00AF4867" w:rsidRDefault="0031148D" w:rsidP="00E64CCA">
      <w:pPr>
        <w:spacing w:before="80" w:after="80" w:line="360" w:lineRule="auto"/>
        <w:jc w:val="both"/>
        <w:rPr>
          <w:rFonts w:ascii="Arial" w:eastAsia="Arial" w:hAnsi="Arial" w:cs="Arial"/>
          <w:color w:val="1A1A1A"/>
        </w:rPr>
      </w:pPr>
    </w:p>
    <w:p w14:paraId="312C8292" w14:textId="0D953FC6"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C: Y1: £5.0m (−£45.0m) | Y2: £10.0m (−£35.0m) | Y3: £20.0m (−£15.0m) | Y4: £25.0m (+£10.0m)</w:t>
      </w:r>
    </w:p>
    <w:p w14:paraId="72AFCCD2" w14:textId="77777777"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PBP = 3 + (15 ÷ 25) </w:t>
      </w:r>
    </w:p>
    <w:p w14:paraId="1542C2AE" w14:textId="1240F073"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w:t>
      </w:r>
      <w:r w:rsidRPr="00AF4867">
        <w:rPr>
          <w:rFonts w:ascii="Arial" w:eastAsia="Arial" w:hAnsi="Arial" w:cs="Arial"/>
          <w:color w:val="1A1A1A"/>
        </w:rPr>
        <w:t xml:space="preserve"> 3 + (0.60)</w:t>
      </w:r>
    </w:p>
    <w:p w14:paraId="4C96FA02" w14:textId="7AE26CFC" w:rsidR="0031148D" w:rsidRPr="00AF4867" w:rsidRDefault="0031148D"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xml:space="preserve">        = </w:t>
      </w:r>
      <w:r w:rsidRPr="00AF4867">
        <w:rPr>
          <w:rFonts w:ascii="Arial" w:eastAsia="Arial" w:hAnsi="Arial" w:cs="Arial"/>
          <w:color w:val="1A1A1A"/>
        </w:rPr>
        <w:t>3.60 year</w:t>
      </w:r>
      <w:r w:rsidRPr="00AF4867">
        <w:rPr>
          <w:rFonts w:ascii="Arial" w:eastAsia="Arial" w:hAnsi="Arial" w:cs="Arial"/>
          <w:color w:val="1A1A1A"/>
        </w:rPr>
        <w:t>s</w:t>
      </w:r>
    </w:p>
    <w:p w14:paraId="3DDE8835" w14:textId="77777777" w:rsidR="0031148D" w:rsidRPr="00AF4867" w:rsidRDefault="0031148D" w:rsidP="00E64CCA">
      <w:pPr>
        <w:spacing w:before="80" w:after="80" w:line="360" w:lineRule="auto"/>
        <w:jc w:val="both"/>
        <w:rPr>
          <w:rFonts w:ascii="Arial" w:eastAsia="Arial" w:hAnsi="Arial" w:cs="Arial"/>
          <w:color w:val="1A1A1A"/>
        </w:rPr>
      </w:pPr>
    </w:p>
    <w:p w14:paraId="5B546EBF" w14:textId="1BCF9760" w:rsidR="0031148D" w:rsidRPr="00585597" w:rsidRDefault="0031148D" w:rsidP="00E64CCA">
      <w:pPr>
        <w:spacing w:before="80" w:after="80" w:line="360" w:lineRule="auto"/>
        <w:jc w:val="both"/>
        <w:rPr>
          <w:rFonts w:ascii="Arial" w:hAnsi="Arial" w:cs="Arial"/>
          <w:b/>
          <w:bCs/>
          <w:sz w:val="32"/>
          <w:szCs w:val="32"/>
        </w:rPr>
      </w:pPr>
      <w:r w:rsidRPr="00585597">
        <w:rPr>
          <w:rFonts w:ascii="Arial" w:hAnsi="Arial" w:cs="Arial"/>
          <w:b/>
          <w:bCs/>
          <w:sz w:val="32"/>
          <w:szCs w:val="32"/>
        </w:rPr>
        <w:t>B.2 ARR –– Annual Profit and Average Profit</w:t>
      </w:r>
    </w:p>
    <w:p w14:paraId="33169964" w14:textId="2330391C" w:rsidR="000C300E" w:rsidRPr="00AF4867" w:rsidRDefault="000C300E" w:rsidP="00E64CCA">
      <w:pPr>
        <w:spacing w:before="80" w:after="80" w:line="360" w:lineRule="auto"/>
        <w:jc w:val="both"/>
        <w:rPr>
          <w:rFonts w:ascii="Arial" w:hAnsi="Arial" w:cs="Arial"/>
        </w:rPr>
      </w:pPr>
      <w:r w:rsidRPr="00AF4867">
        <w:rPr>
          <w:rFonts w:ascii="Arial" w:eastAsia="Arial" w:hAnsi="Arial" w:cs="Arial"/>
          <w:color w:val="1A1A1A"/>
        </w:rPr>
        <w:t>Annual Depreciation = £50m ÷ 5 = £10m. Annual Profit = Cash Flow − £10m</w:t>
      </w:r>
    </w:p>
    <w:p w14:paraId="0ED65819" w14:textId="77777777" w:rsidR="000C300E" w:rsidRPr="00AF4867" w:rsidRDefault="000C300E" w:rsidP="00E64CCA">
      <w:pPr>
        <w:spacing w:before="80" w:after="80" w:line="360" w:lineRule="auto"/>
        <w:jc w:val="both"/>
        <w:rPr>
          <w:rFonts w:ascii="Arial" w:eastAsia="Arial" w:hAnsi="Arial" w:cs="Arial"/>
          <w:color w:val="1A1A1A"/>
        </w:rPr>
      </w:pPr>
    </w:p>
    <w:p w14:paraId="712200E6" w14:textId="35919475"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A profits: Y1 £0m, Y2 £2m, Y3 £4m, Y4 £0m, Y5 −£2m. Total = £4m</w:t>
      </w:r>
    </w:p>
    <w:p w14:paraId="73AD4BD7" w14:textId="18079810"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Average = £0.80m</w:t>
      </w:r>
    </w:p>
    <w:p w14:paraId="544B26E6"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ARR = 0.80 ÷ 50</w:t>
      </w:r>
    </w:p>
    <w:p w14:paraId="7CDCFDCD" w14:textId="28EDFC24"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xml:space="preserve"> 1.6%</w:t>
      </w:r>
    </w:p>
    <w:p w14:paraId="093B2B02" w14:textId="77777777" w:rsidR="000C300E" w:rsidRPr="00AF4867" w:rsidRDefault="000C300E" w:rsidP="00E64CCA">
      <w:pPr>
        <w:spacing w:before="80" w:after="80" w:line="360" w:lineRule="auto"/>
        <w:jc w:val="both"/>
        <w:rPr>
          <w:rFonts w:ascii="Arial" w:eastAsia="Arial" w:hAnsi="Arial" w:cs="Arial"/>
          <w:color w:val="1A1A1A"/>
        </w:rPr>
      </w:pPr>
    </w:p>
    <w:p w14:paraId="60D3361F" w14:textId="327A5802"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B profits: Y1–Y5 = £1m each. Total = £5m</w:t>
      </w:r>
    </w:p>
    <w:p w14:paraId="0EBE9E17" w14:textId="41C39C51"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Average = £1.00m</w:t>
      </w:r>
    </w:p>
    <w:p w14:paraId="74C023B9"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ARR = 1.00 ÷ 50 </w:t>
      </w:r>
    </w:p>
    <w:p w14:paraId="6A188991" w14:textId="121E4EF1"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2.0%</w:t>
      </w:r>
    </w:p>
    <w:p w14:paraId="09B1E0DE" w14:textId="77777777" w:rsidR="000C300E" w:rsidRPr="00AF4867" w:rsidRDefault="000C300E" w:rsidP="00E64CCA">
      <w:pPr>
        <w:spacing w:before="80" w:after="80" w:line="360" w:lineRule="auto"/>
        <w:jc w:val="both"/>
        <w:rPr>
          <w:rFonts w:ascii="Arial" w:eastAsia="Arial" w:hAnsi="Arial" w:cs="Arial"/>
          <w:color w:val="1A1A1A"/>
        </w:rPr>
      </w:pPr>
    </w:p>
    <w:p w14:paraId="70EC00F7"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C profits: Y1 −£5m, Y2 £0m, Y3 £10m, Y4 £15m, Y5 −£5m. Total = £15m</w:t>
      </w:r>
    </w:p>
    <w:p w14:paraId="2ECC4317" w14:textId="7700B350"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Average = £3.00m</w:t>
      </w:r>
    </w:p>
    <w:p w14:paraId="6153C709"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ARR = 3.00 ÷ 50 </w:t>
      </w:r>
    </w:p>
    <w:p w14:paraId="01E8B820" w14:textId="3233F9F1"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6.0%</w:t>
      </w:r>
    </w:p>
    <w:p w14:paraId="5010B710" w14:textId="77777777" w:rsidR="000C300E" w:rsidRPr="00AF4867" w:rsidRDefault="000C300E" w:rsidP="00E64CCA">
      <w:pPr>
        <w:spacing w:before="80" w:after="80" w:line="360" w:lineRule="auto"/>
        <w:jc w:val="both"/>
        <w:rPr>
          <w:rFonts w:ascii="Arial" w:hAnsi="Arial" w:cs="Arial"/>
        </w:rPr>
      </w:pPr>
    </w:p>
    <w:p w14:paraId="6F55D512" w14:textId="33FB239D" w:rsidR="000C300E" w:rsidRPr="00585597" w:rsidRDefault="000C300E" w:rsidP="00E64CCA">
      <w:pPr>
        <w:spacing w:before="80" w:after="80" w:line="360" w:lineRule="auto"/>
        <w:jc w:val="both"/>
        <w:rPr>
          <w:rFonts w:ascii="Arial" w:hAnsi="Arial" w:cs="Arial"/>
          <w:b/>
          <w:bCs/>
          <w:sz w:val="32"/>
          <w:szCs w:val="32"/>
        </w:rPr>
      </w:pPr>
      <w:r w:rsidRPr="00585597">
        <w:rPr>
          <w:rFonts w:ascii="Arial" w:hAnsi="Arial" w:cs="Arial"/>
          <w:b/>
          <w:bCs/>
          <w:sz w:val="32"/>
          <w:szCs w:val="32"/>
        </w:rPr>
        <w:t>B.3 IRR Interpolation –– Trial Rates and Verification</w:t>
      </w:r>
    </w:p>
    <w:p w14:paraId="0FD594D3"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Project A: NPV at 2% = +£1.014m; NPV at 3% </w:t>
      </w:r>
    </w:p>
    <w:p w14:paraId="6D1D1ED3" w14:textId="4456FC29"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−£0.383m</w:t>
      </w:r>
    </w:p>
    <w:p w14:paraId="2190FBD9"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IRR = 2% + [1.014 ÷ 1.397] × 1%</w:t>
      </w:r>
    </w:p>
    <w:p w14:paraId="4F9D03B5" w14:textId="442B01FE"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xml:space="preserve"> = 2.73%</w:t>
      </w:r>
    </w:p>
    <w:p w14:paraId="769A7A73"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Verification: Substituting 2.73% yields NPV ≈ +£0.018m</w:t>
      </w:r>
    </w:p>
    <w:p w14:paraId="7896BA4A" w14:textId="19AA2DB1"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lastRenderedPageBreak/>
        <w:t>Confirmed IRR ≈ 2.7%</w:t>
      </w:r>
    </w:p>
    <w:p w14:paraId="28F84A81" w14:textId="77777777" w:rsidR="000C300E" w:rsidRPr="00AF4867" w:rsidRDefault="000C300E" w:rsidP="00E64CCA">
      <w:pPr>
        <w:spacing w:before="80" w:after="80" w:line="360" w:lineRule="auto"/>
        <w:jc w:val="both"/>
        <w:rPr>
          <w:rFonts w:ascii="Arial" w:eastAsia="Arial" w:hAnsi="Arial" w:cs="Arial"/>
          <w:color w:val="1A1A1A"/>
        </w:rPr>
      </w:pPr>
    </w:p>
    <w:p w14:paraId="6E5CA4E6"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B: NPV at 3% = +£0.377m; NPV at 4% = −£1.030m</w:t>
      </w:r>
    </w:p>
    <w:p w14:paraId="21C5678A"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IRR = 3% + [0.377 ÷ 1.407] × 1% </w:t>
      </w:r>
    </w:p>
    <w:p w14:paraId="5C853338" w14:textId="3849B853"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3.27%</w:t>
      </w:r>
    </w:p>
    <w:p w14:paraId="0DE929D2"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Verification: Annuity Factor at 3.27% = 4.540; 11 × 4.540 = 49.940; NPV ≈ −£0.060m</w:t>
      </w:r>
    </w:p>
    <w:p w14:paraId="7859D784" w14:textId="573E5900"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Confirmed IRR ≈ 3.3%</w:t>
      </w:r>
    </w:p>
    <w:p w14:paraId="7F55F1C4" w14:textId="77777777" w:rsidR="000C300E" w:rsidRPr="00AF4867" w:rsidRDefault="000C300E" w:rsidP="00E64CCA">
      <w:pPr>
        <w:spacing w:before="80" w:after="80" w:line="360" w:lineRule="auto"/>
        <w:jc w:val="both"/>
        <w:rPr>
          <w:rFonts w:ascii="Arial" w:eastAsia="Arial" w:hAnsi="Arial" w:cs="Arial"/>
          <w:color w:val="1A1A1A"/>
        </w:rPr>
      </w:pPr>
    </w:p>
    <w:p w14:paraId="3E5B71D2"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Project C: NPV at 8% = +£0.858m; NPV at 9% = −£0.591m</w:t>
      </w:r>
    </w:p>
    <w:p w14:paraId="395E315E"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Verification</w:t>
      </w:r>
      <w:r w:rsidRPr="00AF4867">
        <w:rPr>
          <w:rFonts w:ascii="Arial" w:eastAsia="Arial" w:hAnsi="Arial" w:cs="Arial"/>
          <w:color w:val="1A1A1A"/>
        </w:rPr>
        <w:t xml:space="preserve"> </w:t>
      </w:r>
      <w:r w:rsidRPr="00AF4867">
        <w:rPr>
          <w:rFonts w:ascii="Arial" w:eastAsia="Arial" w:hAnsi="Arial" w:cs="Arial"/>
          <w:color w:val="1A1A1A"/>
        </w:rPr>
        <w:t>at 9%: Y1: 5×0.9174=4.587; Y2: 10×0.8417=8.417; Y3: 20×0.7722=15.444; Y4: 25×0.7084=17.711; Y5: 5×0.6499=3.250. Total = 49.409</w:t>
      </w:r>
    </w:p>
    <w:p w14:paraId="27FC87AC"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NPV = −£0.591m confirmed</w:t>
      </w:r>
    </w:p>
    <w:p w14:paraId="5667348E"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IRR = 8% + [0.858 ÷ 1.449] × 1%</w:t>
      </w:r>
      <w:r w:rsidRPr="00AF4867">
        <w:rPr>
          <w:rFonts w:ascii="Arial" w:eastAsia="Arial" w:hAnsi="Arial" w:cs="Arial"/>
          <w:color w:val="1A1A1A"/>
        </w:rPr>
        <w:t xml:space="preserve"> </w:t>
      </w:r>
    </w:p>
    <w:p w14:paraId="3452E458" w14:textId="77777777"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 xml:space="preserve">       </w:t>
      </w:r>
      <w:r w:rsidRPr="00AF4867">
        <w:rPr>
          <w:rFonts w:ascii="Arial" w:eastAsia="Arial" w:hAnsi="Arial" w:cs="Arial"/>
          <w:color w:val="1A1A1A"/>
        </w:rPr>
        <w:t xml:space="preserve">= 8.59% </w:t>
      </w:r>
    </w:p>
    <w:p w14:paraId="74FB28DA" w14:textId="6B0ED94F" w:rsidR="000C300E" w:rsidRPr="00AF4867" w:rsidRDefault="000C300E" w:rsidP="00E64CCA">
      <w:pPr>
        <w:spacing w:before="80" w:after="80" w:line="360" w:lineRule="auto"/>
        <w:jc w:val="both"/>
        <w:rPr>
          <w:rFonts w:ascii="Arial" w:eastAsia="Arial" w:hAnsi="Arial" w:cs="Arial"/>
          <w:color w:val="1A1A1A"/>
        </w:rPr>
      </w:pPr>
      <w:r w:rsidRPr="00AF4867">
        <w:rPr>
          <w:rFonts w:ascii="Arial" w:eastAsia="Arial" w:hAnsi="Arial" w:cs="Arial"/>
          <w:color w:val="1A1A1A"/>
        </w:rPr>
        <w:t>Confirmed IRR = 8.6%</w:t>
      </w:r>
    </w:p>
    <w:p w14:paraId="7D8F7FB8" w14:textId="77777777" w:rsidR="000C300E" w:rsidRPr="00AF4867" w:rsidRDefault="000C300E" w:rsidP="00E64CCA">
      <w:pPr>
        <w:spacing w:before="80" w:after="80" w:line="360" w:lineRule="auto"/>
        <w:jc w:val="both"/>
        <w:rPr>
          <w:rFonts w:ascii="Arial" w:hAnsi="Arial" w:cs="Arial"/>
        </w:rPr>
      </w:pPr>
    </w:p>
    <w:p w14:paraId="6766D2EE" w14:textId="77777777" w:rsidR="000C300E" w:rsidRPr="00AF4867" w:rsidRDefault="000C300E" w:rsidP="00E64CCA">
      <w:pPr>
        <w:spacing w:before="80" w:after="80" w:line="360" w:lineRule="auto"/>
        <w:jc w:val="both"/>
        <w:rPr>
          <w:rFonts w:ascii="Arial" w:hAnsi="Arial" w:cs="Arial"/>
        </w:rPr>
      </w:pPr>
    </w:p>
    <w:p w14:paraId="34F54F2D" w14:textId="77777777" w:rsidR="000C300E" w:rsidRPr="00AF4867" w:rsidRDefault="000C300E" w:rsidP="00E64CCA">
      <w:pPr>
        <w:spacing w:before="80" w:after="80" w:line="360" w:lineRule="auto"/>
        <w:jc w:val="both"/>
        <w:rPr>
          <w:rFonts w:ascii="Arial" w:hAnsi="Arial" w:cs="Arial"/>
        </w:rPr>
      </w:pPr>
    </w:p>
    <w:p w14:paraId="5F553600" w14:textId="77777777" w:rsidR="000C300E" w:rsidRPr="00AF4867" w:rsidRDefault="000C300E" w:rsidP="00E64CCA">
      <w:pPr>
        <w:spacing w:before="80" w:after="80" w:line="360" w:lineRule="auto"/>
        <w:jc w:val="both"/>
        <w:rPr>
          <w:rFonts w:ascii="Arial" w:eastAsia="Arial" w:hAnsi="Arial" w:cs="Arial"/>
          <w:color w:val="1A1A1A"/>
        </w:rPr>
      </w:pPr>
    </w:p>
    <w:p w14:paraId="129465FC" w14:textId="0947D128" w:rsidR="000C300E" w:rsidRPr="00AF4867" w:rsidRDefault="000C300E" w:rsidP="00E64CCA">
      <w:pPr>
        <w:spacing w:before="80" w:after="80" w:line="360" w:lineRule="auto"/>
        <w:jc w:val="both"/>
        <w:rPr>
          <w:rFonts w:ascii="Arial" w:hAnsi="Arial" w:cs="Arial"/>
        </w:rPr>
      </w:pPr>
      <w:r w:rsidRPr="00AF4867">
        <w:rPr>
          <w:rFonts w:ascii="Arial" w:eastAsia="Arial" w:hAnsi="Arial" w:cs="Arial"/>
          <w:color w:val="1A1A1A"/>
        </w:rPr>
        <w:t xml:space="preserve"> </w:t>
      </w:r>
      <w:r w:rsidRPr="00AF4867">
        <w:rPr>
          <w:rFonts w:ascii="Arial" w:eastAsia="Arial" w:hAnsi="Arial" w:cs="Arial"/>
          <w:color w:val="1A1A1A"/>
        </w:rPr>
        <w:t xml:space="preserve">      </w:t>
      </w:r>
    </w:p>
    <w:p w14:paraId="3ABF1A98" w14:textId="77777777" w:rsidR="0031148D" w:rsidRPr="00AF4867" w:rsidRDefault="0031148D" w:rsidP="00E64CCA">
      <w:pPr>
        <w:spacing w:before="80" w:after="80" w:line="360" w:lineRule="auto"/>
        <w:jc w:val="both"/>
        <w:rPr>
          <w:rFonts w:ascii="Arial" w:hAnsi="Arial" w:cs="Arial"/>
        </w:rPr>
      </w:pPr>
    </w:p>
    <w:p w14:paraId="565843C9" w14:textId="77777777" w:rsidR="0031148D" w:rsidRPr="00AF4867" w:rsidRDefault="0031148D" w:rsidP="00E64CCA">
      <w:pPr>
        <w:spacing w:before="80" w:after="80" w:line="360" w:lineRule="auto"/>
        <w:jc w:val="both"/>
        <w:rPr>
          <w:rFonts w:ascii="Arial" w:hAnsi="Arial" w:cs="Arial"/>
        </w:rPr>
      </w:pPr>
    </w:p>
    <w:p w14:paraId="3C61E91F" w14:textId="77777777" w:rsidR="0031148D" w:rsidRPr="00AF4867" w:rsidRDefault="0031148D" w:rsidP="00E64CCA">
      <w:pPr>
        <w:spacing w:before="80" w:after="80" w:line="360" w:lineRule="auto"/>
        <w:jc w:val="both"/>
        <w:rPr>
          <w:rFonts w:ascii="Arial" w:eastAsia="Arial" w:hAnsi="Arial" w:cs="Arial"/>
          <w:color w:val="1A1A1A"/>
        </w:rPr>
      </w:pPr>
    </w:p>
    <w:p w14:paraId="519BF585" w14:textId="77777777" w:rsidR="0031148D" w:rsidRPr="00AF4867" w:rsidRDefault="0031148D" w:rsidP="00E64CCA">
      <w:pPr>
        <w:spacing w:before="80" w:after="80" w:line="360" w:lineRule="auto"/>
        <w:jc w:val="both"/>
        <w:rPr>
          <w:rFonts w:ascii="Arial" w:eastAsia="Arial" w:hAnsi="Arial" w:cs="Arial"/>
          <w:color w:val="1A1A1A"/>
        </w:rPr>
      </w:pPr>
    </w:p>
    <w:p w14:paraId="5969ADE3" w14:textId="77777777" w:rsidR="0031148D" w:rsidRPr="00AF4867" w:rsidRDefault="0031148D" w:rsidP="00E64CCA">
      <w:pPr>
        <w:spacing w:before="80" w:after="80" w:line="360" w:lineRule="auto"/>
        <w:jc w:val="both"/>
        <w:rPr>
          <w:rFonts w:ascii="Arial" w:hAnsi="Arial" w:cs="Arial"/>
        </w:rPr>
      </w:pPr>
    </w:p>
    <w:p w14:paraId="0F3F6ADA" w14:textId="77777777" w:rsidR="0031148D" w:rsidRPr="00AF4867" w:rsidRDefault="0031148D" w:rsidP="00E64CCA">
      <w:pPr>
        <w:jc w:val="both"/>
        <w:rPr>
          <w:rFonts w:ascii="Arial" w:hAnsi="Arial" w:cs="Arial"/>
        </w:rPr>
      </w:pPr>
    </w:p>
    <w:sectPr w:rsidR="0031148D" w:rsidRPr="00AF4867" w:rsidSect="00B007C4">
      <w:pgSz w:w="11906" w:h="16838" w:code="9"/>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27564" w14:textId="77777777" w:rsidR="001D3F0E" w:rsidRDefault="001D3F0E" w:rsidP="00663E27">
      <w:pPr>
        <w:spacing w:after="0" w:line="240" w:lineRule="auto"/>
      </w:pPr>
      <w:r>
        <w:separator/>
      </w:r>
    </w:p>
  </w:endnote>
  <w:endnote w:type="continuationSeparator" w:id="0">
    <w:p w14:paraId="06968103" w14:textId="77777777" w:rsidR="001D3F0E" w:rsidRDefault="001D3F0E" w:rsidP="00663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978E3" w14:textId="77777777" w:rsidR="001D3F0E" w:rsidRDefault="001D3F0E" w:rsidP="00663E27">
      <w:pPr>
        <w:spacing w:after="0" w:line="240" w:lineRule="auto"/>
      </w:pPr>
      <w:r>
        <w:separator/>
      </w:r>
    </w:p>
  </w:footnote>
  <w:footnote w:type="continuationSeparator" w:id="0">
    <w:p w14:paraId="4E20A247" w14:textId="77777777" w:rsidR="001D3F0E" w:rsidRDefault="001D3F0E" w:rsidP="00663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03EF7"/>
    <w:multiLevelType w:val="hybridMultilevel"/>
    <w:tmpl w:val="DC869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225CBA"/>
    <w:multiLevelType w:val="hybridMultilevel"/>
    <w:tmpl w:val="A98A8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8581872">
    <w:abstractNumId w:val="0"/>
  </w:num>
  <w:num w:numId="2" w16cid:durableId="86483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3A"/>
    <w:rsid w:val="00032799"/>
    <w:rsid w:val="000C300E"/>
    <w:rsid w:val="001D3F0E"/>
    <w:rsid w:val="001F003A"/>
    <w:rsid w:val="00296E2A"/>
    <w:rsid w:val="002C0DA5"/>
    <w:rsid w:val="002E749D"/>
    <w:rsid w:val="003050E5"/>
    <w:rsid w:val="0031148D"/>
    <w:rsid w:val="00363343"/>
    <w:rsid w:val="003B435D"/>
    <w:rsid w:val="004E60BB"/>
    <w:rsid w:val="00585597"/>
    <w:rsid w:val="005F79DC"/>
    <w:rsid w:val="00663E27"/>
    <w:rsid w:val="006A53EF"/>
    <w:rsid w:val="007B7E1F"/>
    <w:rsid w:val="007C2C90"/>
    <w:rsid w:val="007C62A5"/>
    <w:rsid w:val="00816BF4"/>
    <w:rsid w:val="00845C47"/>
    <w:rsid w:val="009525D6"/>
    <w:rsid w:val="009C62BE"/>
    <w:rsid w:val="00A27E3A"/>
    <w:rsid w:val="00A6107F"/>
    <w:rsid w:val="00A66103"/>
    <w:rsid w:val="00AF4867"/>
    <w:rsid w:val="00B007C4"/>
    <w:rsid w:val="00BA5800"/>
    <w:rsid w:val="00E62510"/>
    <w:rsid w:val="00E64CCA"/>
    <w:rsid w:val="00F5065A"/>
    <w:rsid w:val="00F65DC2"/>
    <w:rsid w:val="00FA6B7F"/>
    <w:rsid w:val="00FD5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D2"/>
  <w15:chartTrackingRefBased/>
  <w15:docId w15:val="{A2A3C8C4-42A0-443A-9C9E-C212F4E0C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0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00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00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00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00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00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0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0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0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0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00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00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00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00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0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03A"/>
    <w:rPr>
      <w:rFonts w:eastAsiaTheme="majorEastAsia" w:cstheme="majorBidi"/>
      <w:color w:val="272727" w:themeColor="text1" w:themeTint="D8"/>
    </w:rPr>
  </w:style>
  <w:style w:type="paragraph" w:styleId="Title">
    <w:name w:val="Title"/>
    <w:basedOn w:val="Normal"/>
    <w:next w:val="Normal"/>
    <w:link w:val="TitleChar"/>
    <w:uiPriority w:val="10"/>
    <w:qFormat/>
    <w:rsid w:val="001F00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0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03A"/>
    <w:pPr>
      <w:spacing w:before="160"/>
      <w:jc w:val="center"/>
    </w:pPr>
    <w:rPr>
      <w:i/>
      <w:iCs/>
      <w:color w:val="404040" w:themeColor="text1" w:themeTint="BF"/>
    </w:rPr>
  </w:style>
  <w:style w:type="character" w:customStyle="1" w:styleId="QuoteChar">
    <w:name w:val="Quote Char"/>
    <w:basedOn w:val="DefaultParagraphFont"/>
    <w:link w:val="Quote"/>
    <w:uiPriority w:val="29"/>
    <w:rsid w:val="001F003A"/>
    <w:rPr>
      <w:i/>
      <w:iCs/>
      <w:color w:val="404040" w:themeColor="text1" w:themeTint="BF"/>
    </w:rPr>
  </w:style>
  <w:style w:type="paragraph" w:styleId="ListParagraph">
    <w:name w:val="List Paragraph"/>
    <w:basedOn w:val="Normal"/>
    <w:uiPriority w:val="34"/>
    <w:qFormat/>
    <w:rsid w:val="001F003A"/>
    <w:pPr>
      <w:ind w:left="720"/>
      <w:contextualSpacing/>
    </w:pPr>
  </w:style>
  <w:style w:type="character" w:styleId="IntenseEmphasis">
    <w:name w:val="Intense Emphasis"/>
    <w:basedOn w:val="DefaultParagraphFont"/>
    <w:uiPriority w:val="21"/>
    <w:qFormat/>
    <w:rsid w:val="001F003A"/>
    <w:rPr>
      <w:i/>
      <w:iCs/>
      <w:color w:val="2F5496" w:themeColor="accent1" w:themeShade="BF"/>
    </w:rPr>
  </w:style>
  <w:style w:type="paragraph" w:styleId="IntenseQuote">
    <w:name w:val="Intense Quote"/>
    <w:basedOn w:val="Normal"/>
    <w:next w:val="Normal"/>
    <w:link w:val="IntenseQuoteChar"/>
    <w:uiPriority w:val="30"/>
    <w:qFormat/>
    <w:rsid w:val="001F00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003A"/>
    <w:rPr>
      <w:i/>
      <w:iCs/>
      <w:color w:val="2F5496" w:themeColor="accent1" w:themeShade="BF"/>
    </w:rPr>
  </w:style>
  <w:style w:type="character" w:styleId="IntenseReference">
    <w:name w:val="Intense Reference"/>
    <w:basedOn w:val="DefaultParagraphFont"/>
    <w:uiPriority w:val="32"/>
    <w:qFormat/>
    <w:rsid w:val="001F003A"/>
    <w:rPr>
      <w:b/>
      <w:bCs/>
      <w:smallCaps/>
      <w:color w:val="2F5496" w:themeColor="accent1" w:themeShade="BF"/>
      <w:spacing w:val="5"/>
    </w:rPr>
  </w:style>
  <w:style w:type="paragraph" w:customStyle="1" w:styleId="Standard">
    <w:name w:val="Standard"/>
    <w:rsid w:val="001F003A"/>
    <w:pPr>
      <w:widowControl w:val="0"/>
      <w:suppressAutoHyphens/>
      <w:autoSpaceDN w:val="0"/>
      <w:spacing w:after="0" w:line="240" w:lineRule="auto"/>
      <w:textAlignment w:val="baseline"/>
    </w:pPr>
    <w:rPr>
      <w:rFonts w:ascii="Times New Roman" w:eastAsia="SimSun" w:hAnsi="Times New Roman" w:cs="Lucida Sans"/>
      <w:kern w:val="3"/>
      <w:lang w:eastAsia="zh-CN" w:bidi="hi-IN"/>
      <w14:ligatures w14:val="none"/>
    </w:rPr>
  </w:style>
  <w:style w:type="paragraph" w:customStyle="1" w:styleId="Textbody">
    <w:name w:val="Text body"/>
    <w:basedOn w:val="Standard"/>
    <w:rsid w:val="001F003A"/>
    <w:pPr>
      <w:spacing w:after="120"/>
    </w:pPr>
  </w:style>
  <w:style w:type="character" w:styleId="Hyperlink">
    <w:name w:val="Hyperlink"/>
    <w:uiPriority w:val="99"/>
    <w:unhideWhenUsed/>
    <w:rsid w:val="001F003A"/>
    <w:rPr>
      <w:color w:val="0563C1"/>
      <w:u w:val="single"/>
    </w:rPr>
  </w:style>
  <w:style w:type="paragraph" w:styleId="TOC1">
    <w:name w:val="toc 1"/>
    <w:basedOn w:val="Normal"/>
    <w:next w:val="Normal"/>
    <w:autoRedefine/>
    <w:uiPriority w:val="39"/>
    <w:unhideWhenUsed/>
    <w:rsid w:val="00032799"/>
    <w:pPr>
      <w:tabs>
        <w:tab w:val="right" w:leader="dot" w:pos="9016"/>
      </w:tabs>
      <w:spacing w:after="100" w:line="240" w:lineRule="auto"/>
      <w:jc w:val="both"/>
    </w:pPr>
    <w:rPr>
      <w:rFonts w:eastAsia="Arial" w:cstheme="minorHAnsi"/>
      <w:noProof/>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style>
  <w:style w:type="paragraph" w:styleId="TOC2">
    <w:name w:val="toc 2"/>
    <w:basedOn w:val="Normal"/>
    <w:next w:val="Normal"/>
    <w:autoRedefine/>
    <w:uiPriority w:val="39"/>
    <w:unhideWhenUsed/>
    <w:rsid w:val="001F003A"/>
    <w:pPr>
      <w:spacing w:after="100" w:line="240" w:lineRule="auto"/>
      <w:ind w:left="240"/>
    </w:pPr>
    <w:rPr>
      <w:rFonts w:ascii="Arial" w:eastAsia="Arial" w:hAnsi="Arial" w:cs="Arial"/>
      <w:color w:val="1A1A1A"/>
      <w:kern w:val="0"/>
      <w14:ligatures w14:val="none"/>
    </w:rPr>
  </w:style>
  <w:style w:type="paragraph" w:styleId="TOC3">
    <w:name w:val="toc 3"/>
    <w:basedOn w:val="Normal"/>
    <w:next w:val="Normal"/>
    <w:autoRedefine/>
    <w:uiPriority w:val="39"/>
    <w:unhideWhenUsed/>
    <w:rsid w:val="001F003A"/>
    <w:pPr>
      <w:spacing w:after="100" w:line="240" w:lineRule="auto"/>
      <w:ind w:left="480"/>
    </w:pPr>
    <w:rPr>
      <w:rFonts w:ascii="Arial" w:eastAsia="Arial" w:hAnsi="Arial" w:cs="Arial"/>
      <w:color w:val="1A1A1A"/>
      <w:kern w:val="0"/>
      <w14:ligatures w14:val="none"/>
    </w:rPr>
  </w:style>
  <w:style w:type="paragraph" w:styleId="Header">
    <w:name w:val="header"/>
    <w:basedOn w:val="Normal"/>
    <w:link w:val="HeaderChar"/>
    <w:uiPriority w:val="99"/>
    <w:unhideWhenUsed/>
    <w:rsid w:val="00663E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E27"/>
  </w:style>
  <w:style w:type="paragraph" w:styleId="Footer">
    <w:name w:val="footer"/>
    <w:basedOn w:val="Normal"/>
    <w:link w:val="FooterChar"/>
    <w:uiPriority w:val="99"/>
    <w:unhideWhenUsed/>
    <w:rsid w:val="00663E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E27"/>
  </w:style>
  <w:style w:type="paragraph" w:styleId="NoSpacing">
    <w:name w:val="No Spacing"/>
    <w:uiPriority w:val="1"/>
    <w:qFormat/>
    <w:rsid w:val="00A610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EAA27-65A6-4090-BC6D-ACAF3693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35</Pages>
  <Words>7243</Words>
  <Characters>41290</Characters>
  <Application>Microsoft Office Word</Application>
  <DocSecurity>0</DocSecurity>
  <Lines>344</Lines>
  <Paragraphs>96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5.3 Investment Appraisal Results Summary</vt:lpstr>
    </vt:vector>
  </TitlesOfParts>
  <Company/>
  <LinksUpToDate>false</LinksUpToDate>
  <CharactersWithSpaces>48437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Fenil Patel</dc:creator>
  <cp:keywords/>
  <dc:description/>
  <cp:lastModifiedBy>Dhrumil Makrubiya</cp:lastModifiedBy>
  <cp:revision>14</cp:revision>
  <dcterms:created xsi:type="dcterms:W3CDTF">2026-07-22T17:09:00Z</dcterms:created>
  <dcterms:modified xsi:type="dcterms:W3CDTF">2026-07-23T11:45:00Z</dcterms:modified>
</cp:coreProperties>
</file>