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72D8A" w14:textId="66BFCE16" w:rsidR="00AF555D" w:rsidRPr="00DA589A" w:rsidRDefault="00AF555D" w:rsidP="00CA5FB5">
      <w:pPr>
        <w:jc w:val="center"/>
        <w:rPr>
          <w:rFonts w:cstheme="minorHAnsi"/>
          <w:sz w:val="24"/>
          <w:szCs w:val="24"/>
        </w:rPr>
      </w:pPr>
      <w:r w:rsidRPr="00DA589A">
        <w:rPr>
          <w:rFonts w:cstheme="minorHAnsi"/>
          <w:sz w:val="24"/>
          <w:szCs w:val="24"/>
        </w:rPr>
        <w:t>Law of Tort assignment 1</w:t>
      </w:r>
    </w:p>
    <w:p w14:paraId="5F64D1E0" w14:textId="44BFDD5B" w:rsidR="008F69D9" w:rsidRPr="00DA589A" w:rsidRDefault="008F69D9" w:rsidP="008F69D9">
      <w:pPr>
        <w:rPr>
          <w:rFonts w:cstheme="minorHAnsi"/>
          <w:b/>
          <w:bCs/>
          <w:sz w:val="24"/>
          <w:szCs w:val="24"/>
        </w:rPr>
      </w:pPr>
      <w:r w:rsidRPr="00DA589A">
        <w:rPr>
          <w:rFonts w:cstheme="minorHAnsi"/>
          <w:b/>
          <w:bCs/>
          <w:sz w:val="24"/>
          <w:szCs w:val="24"/>
        </w:rPr>
        <w:t>Applying the rules of Causation, Examine the situation there may have been a break in the chain of causation between the Defendants negligence and the loss suffered by the Claimant and the effect this may have on the Defendants liability.</w:t>
      </w:r>
    </w:p>
    <w:p w14:paraId="22BC027B" w14:textId="77777777" w:rsidR="008F69D9" w:rsidRDefault="008F69D9" w:rsidP="00AF555D">
      <w:pPr>
        <w:jc w:val="center"/>
      </w:pPr>
    </w:p>
    <w:p w14:paraId="3C9B099A" w14:textId="27B77F9A" w:rsidR="006F0CBE" w:rsidRPr="00DA589A" w:rsidRDefault="002D1585" w:rsidP="00DA589A">
      <w:pPr>
        <w:spacing w:line="480" w:lineRule="auto"/>
        <w:jc w:val="both"/>
        <w:rPr>
          <w:sz w:val="24"/>
          <w:szCs w:val="24"/>
        </w:rPr>
      </w:pPr>
      <w:r w:rsidRPr="00DA589A">
        <w:rPr>
          <w:sz w:val="24"/>
          <w:szCs w:val="24"/>
        </w:rPr>
        <w:t xml:space="preserve">Within this essay I will be explaining how the courts view the conduct of a defendant and how their action contribute to their liability. I will be focusing on how unrelated event impact the view in which defendant are seen. The key aspect in understanding this is known as Novus Actus Interveniens which is Latin for the phrase New Act Intervening. There </w:t>
      </w:r>
      <w:r w:rsidR="00EB570C" w:rsidRPr="00DA589A">
        <w:rPr>
          <w:sz w:val="24"/>
          <w:szCs w:val="24"/>
        </w:rPr>
        <w:t>is</w:t>
      </w:r>
      <w:r w:rsidRPr="00DA589A">
        <w:rPr>
          <w:sz w:val="24"/>
          <w:szCs w:val="24"/>
        </w:rPr>
        <w:t xml:space="preserve"> a plethora of ways in which this can be incorporated into English Law </w:t>
      </w:r>
      <w:r w:rsidR="00EB570C" w:rsidRPr="00DA589A">
        <w:rPr>
          <w:sz w:val="24"/>
          <w:szCs w:val="24"/>
        </w:rPr>
        <w:t xml:space="preserve">whether it was a natural event, deliberate or non-deliberate acts from a third party or the actions of the claimant themselves. No matter how the claimant has suffered their loss the courts refer to underlaying principles to come to the correct conclusion. The courts also refer to existing legislation or policy issues that may determine the way in which the case is viewed. </w:t>
      </w:r>
    </w:p>
    <w:p w14:paraId="11CCF398" w14:textId="19713825" w:rsidR="00EA4003" w:rsidRPr="00DA589A" w:rsidRDefault="00A851C3" w:rsidP="00DA589A">
      <w:pPr>
        <w:spacing w:line="480" w:lineRule="auto"/>
        <w:jc w:val="both"/>
        <w:rPr>
          <w:sz w:val="24"/>
          <w:szCs w:val="24"/>
        </w:rPr>
      </w:pPr>
      <w:r w:rsidRPr="00DA589A">
        <w:rPr>
          <w:sz w:val="24"/>
          <w:szCs w:val="24"/>
        </w:rPr>
        <w:t xml:space="preserve">The first of the aspect of </w:t>
      </w:r>
      <w:r w:rsidR="00CA5FB5">
        <w:rPr>
          <w:sz w:val="24"/>
          <w:szCs w:val="24"/>
        </w:rPr>
        <w:t>N</w:t>
      </w:r>
      <w:r w:rsidRPr="00DA589A">
        <w:rPr>
          <w:sz w:val="24"/>
          <w:szCs w:val="24"/>
        </w:rPr>
        <w:t>ovus interveni</w:t>
      </w:r>
      <w:r w:rsidR="00CA5FB5">
        <w:rPr>
          <w:sz w:val="24"/>
          <w:szCs w:val="24"/>
        </w:rPr>
        <w:t>e</w:t>
      </w:r>
      <w:r w:rsidRPr="00DA589A">
        <w:rPr>
          <w:sz w:val="24"/>
          <w:szCs w:val="24"/>
        </w:rPr>
        <w:t>ns to consider is how natural events can</w:t>
      </w:r>
      <w:r w:rsidR="00027247" w:rsidRPr="00DA589A">
        <w:rPr>
          <w:sz w:val="24"/>
          <w:szCs w:val="24"/>
        </w:rPr>
        <w:t xml:space="preserve"> break the chain in causation</w:t>
      </w:r>
      <w:r w:rsidRPr="00DA589A">
        <w:rPr>
          <w:sz w:val="24"/>
          <w:szCs w:val="24"/>
        </w:rPr>
        <w:t xml:space="preserve"> result</w:t>
      </w:r>
      <w:r w:rsidR="00027247" w:rsidRPr="00DA589A">
        <w:rPr>
          <w:sz w:val="24"/>
          <w:szCs w:val="24"/>
        </w:rPr>
        <w:t>ing</w:t>
      </w:r>
      <w:r w:rsidRPr="00DA589A">
        <w:rPr>
          <w:sz w:val="24"/>
          <w:szCs w:val="24"/>
        </w:rPr>
        <w:t xml:space="preserve"> in whether or not the defendant can be considered as liable. Natural events occur after the claimant has suffered a previous loss</w:t>
      </w:r>
      <w:r w:rsidR="00027247" w:rsidRPr="00DA589A">
        <w:rPr>
          <w:sz w:val="24"/>
          <w:szCs w:val="24"/>
        </w:rPr>
        <w:t xml:space="preserve"> and a supervening event causes further loss to the claimant.</w:t>
      </w:r>
      <w:r w:rsidRPr="00DA589A">
        <w:rPr>
          <w:sz w:val="24"/>
          <w:szCs w:val="24"/>
        </w:rPr>
        <w:t xml:space="preserve"> </w:t>
      </w:r>
      <w:r w:rsidR="007E0D45" w:rsidRPr="00DA589A">
        <w:rPr>
          <w:sz w:val="24"/>
          <w:szCs w:val="24"/>
        </w:rPr>
        <w:t>H</w:t>
      </w:r>
      <w:r w:rsidRPr="00DA589A">
        <w:rPr>
          <w:sz w:val="24"/>
          <w:szCs w:val="24"/>
        </w:rPr>
        <w:t>owever</w:t>
      </w:r>
      <w:r w:rsidR="007E0D45" w:rsidRPr="00DA589A">
        <w:rPr>
          <w:sz w:val="24"/>
          <w:szCs w:val="24"/>
        </w:rPr>
        <w:t>,</w:t>
      </w:r>
      <w:r w:rsidRPr="00DA589A">
        <w:rPr>
          <w:sz w:val="24"/>
          <w:szCs w:val="24"/>
        </w:rPr>
        <w:t xml:space="preserve"> it is debated within the courts that these natural events would have occurred ‘but for’ the negligence of the defendant</w:t>
      </w:r>
      <w:r w:rsidR="007774BE" w:rsidRPr="00DA589A">
        <w:rPr>
          <w:sz w:val="24"/>
          <w:szCs w:val="24"/>
        </w:rPr>
        <w:t xml:space="preserve"> if so this would satisfy </w:t>
      </w:r>
      <w:bookmarkStart w:id="0" w:name="_Hlk55506786"/>
      <w:r w:rsidR="00BB1541" w:rsidRPr="00DA589A">
        <w:rPr>
          <w:i/>
          <w:iCs/>
          <w:sz w:val="24"/>
          <w:szCs w:val="24"/>
        </w:rPr>
        <w:t>Barnett v Chelsea and Kensington Hospital Management Committee Queens bench Division [1969] 1 QB 428</w:t>
      </w:r>
      <w:bookmarkEnd w:id="0"/>
      <w:r w:rsidRPr="00DA589A">
        <w:rPr>
          <w:sz w:val="24"/>
          <w:szCs w:val="24"/>
        </w:rPr>
        <w:t xml:space="preserve">. One of the key cases to consider is </w:t>
      </w:r>
      <w:bookmarkStart w:id="1" w:name="_Hlk55506827"/>
      <w:proofErr w:type="spellStart"/>
      <w:r w:rsidRPr="00DA589A">
        <w:rPr>
          <w:i/>
          <w:iCs/>
          <w:sz w:val="24"/>
          <w:szCs w:val="24"/>
        </w:rPr>
        <w:t>Joblin</w:t>
      </w:r>
      <w:proofErr w:type="spellEnd"/>
      <w:r w:rsidRPr="00DA589A">
        <w:rPr>
          <w:i/>
          <w:iCs/>
          <w:sz w:val="24"/>
          <w:szCs w:val="24"/>
        </w:rPr>
        <w:t xml:space="preserve"> v Associated dairies Ltd [1982]</w:t>
      </w:r>
      <w:r w:rsidR="00E20B7C" w:rsidRPr="00DA589A">
        <w:rPr>
          <w:i/>
          <w:iCs/>
          <w:sz w:val="24"/>
          <w:szCs w:val="24"/>
        </w:rPr>
        <w:t xml:space="preserve"> </w:t>
      </w:r>
      <w:r w:rsidR="00BD13A6" w:rsidRPr="00DA589A">
        <w:rPr>
          <w:i/>
          <w:iCs/>
          <w:sz w:val="24"/>
          <w:szCs w:val="24"/>
        </w:rPr>
        <w:t>AC 794</w:t>
      </w:r>
      <w:bookmarkEnd w:id="1"/>
      <w:r w:rsidRPr="00DA589A">
        <w:rPr>
          <w:sz w:val="24"/>
          <w:szCs w:val="24"/>
        </w:rPr>
        <w:t>.</w:t>
      </w:r>
      <w:r w:rsidR="00736C58" w:rsidRPr="00DA589A">
        <w:rPr>
          <w:sz w:val="24"/>
          <w:szCs w:val="24"/>
        </w:rPr>
        <w:t xml:space="preserve"> This was seen as a vicissitude of life by the courts which courts deemed that it would be unjust to ignore the fact that life often changes the fortunes of the individual.</w:t>
      </w:r>
      <w:r w:rsidRPr="00DA589A">
        <w:rPr>
          <w:sz w:val="24"/>
          <w:szCs w:val="24"/>
        </w:rPr>
        <w:t xml:space="preserve"> Within this case</w:t>
      </w:r>
      <w:r w:rsidR="007E0D45" w:rsidRPr="00DA589A">
        <w:rPr>
          <w:sz w:val="24"/>
          <w:szCs w:val="24"/>
        </w:rPr>
        <w:t>,</w:t>
      </w:r>
      <w:r w:rsidRPr="00DA589A">
        <w:rPr>
          <w:sz w:val="24"/>
          <w:szCs w:val="24"/>
        </w:rPr>
        <w:t xml:space="preserve"> the claimant suffered a loss whilst under the employment of the defend</w:t>
      </w:r>
      <w:r w:rsidR="007E0D45" w:rsidRPr="00DA589A">
        <w:rPr>
          <w:sz w:val="24"/>
          <w:szCs w:val="24"/>
        </w:rPr>
        <w:t>ant</w:t>
      </w:r>
      <w:r w:rsidRPr="00DA589A">
        <w:rPr>
          <w:sz w:val="24"/>
          <w:szCs w:val="24"/>
        </w:rPr>
        <w:t xml:space="preserve">. This act of negligence that resulted in the </w:t>
      </w:r>
      <w:r w:rsidR="007774BE" w:rsidRPr="00DA589A">
        <w:rPr>
          <w:sz w:val="24"/>
          <w:szCs w:val="24"/>
        </w:rPr>
        <w:t>claimant’s</w:t>
      </w:r>
      <w:r w:rsidRPr="00DA589A">
        <w:rPr>
          <w:sz w:val="24"/>
          <w:szCs w:val="24"/>
        </w:rPr>
        <w:t xml:space="preserve"> loss was accepted by the defendant. However</w:t>
      </w:r>
      <w:r w:rsidR="007774BE" w:rsidRPr="00DA589A">
        <w:rPr>
          <w:sz w:val="24"/>
          <w:szCs w:val="24"/>
        </w:rPr>
        <w:t xml:space="preserve">, the </w:t>
      </w:r>
      <w:r w:rsidR="007774BE" w:rsidRPr="00DA589A">
        <w:rPr>
          <w:sz w:val="24"/>
          <w:szCs w:val="24"/>
        </w:rPr>
        <w:lastRenderedPageBreak/>
        <w:t>unrelated event of a spinal disease suffered by the claimant was cause for the defendant to reduce the earnings of the claimant to fifty percent.</w:t>
      </w:r>
      <w:r w:rsidR="00065C7A" w:rsidRPr="00DA589A">
        <w:rPr>
          <w:sz w:val="24"/>
          <w:szCs w:val="24"/>
        </w:rPr>
        <w:t xml:space="preserve"> Much like </w:t>
      </w:r>
      <w:bookmarkStart w:id="2" w:name="_Hlk55506952"/>
      <w:proofErr w:type="spellStart"/>
      <w:r w:rsidR="00065C7A" w:rsidRPr="00DA589A">
        <w:rPr>
          <w:i/>
          <w:iCs/>
          <w:sz w:val="24"/>
          <w:szCs w:val="24"/>
        </w:rPr>
        <w:t>Hotson</w:t>
      </w:r>
      <w:proofErr w:type="spellEnd"/>
      <w:r w:rsidR="00065C7A" w:rsidRPr="00DA589A">
        <w:rPr>
          <w:i/>
          <w:iCs/>
          <w:sz w:val="24"/>
          <w:szCs w:val="24"/>
        </w:rPr>
        <w:t xml:space="preserve"> v East Berkshire health authority [1987</w:t>
      </w:r>
      <w:r w:rsidR="00BD13A6" w:rsidRPr="00DA589A">
        <w:rPr>
          <w:i/>
          <w:iCs/>
          <w:sz w:val="24"/>
          <w:szCs w:val="24"/>
        </w:rPr>
        <w:t>] AC 750</w:t>
      </w:r>
      <w:bookmarkEnd w:id="2"/>
      <w:r w:rsidR="00065C7A" w:rsidRPr="00DA589A">
        <w:rPr>
          <w:sz w:val="24"/>
          <w:szCs w:val="24"/>
        </w:rPr>
        <w:t xml:space="preserve"> the courts attempt to examine whether a loss of chance or earnings has occurred. For example, within </w:t>
      </w:r>
      <w:proofErr w:type="spellStart"/>
      <w:r w:rsidR="00065C7A" w:rsidRPr="00DA589A">
        <w:rPr>
          <w:sz w:val="24"/>
          <w:szCs w:val="24"/>
        </w:rPr>
        <w:t>Hotson</w:t>
      </w:r>
      <w:proofErr w:type="spellEnd"/>
      <w:r w:rsidR="00065C7A" w:rsidRPr="00DA589A">
        <w:rPr>
          <w:sz w:val="24"/>
          <w:szCs w:val="24"/>
        </w:rPr>
        <w:t xml:space="preserve"> the claimant would have had a seventy five percent chance of developing necrosis regardless of the doctor</w:t>
      </w:r>
      <w:r w:rsidR="00322225" w:rsidRPr="00DA589A">
        <w:rPr>
          <w:sz w:val="24"/>
          <w:szCs w:val="24"/>
        </w:rPr>
        <w:t>’</w:t>
      </w:r>
      <w:r w:rsidR="00065C7A" w:rsidRPr="00DA589A">
        <w:rPr>
          <w:sz w:val="24"/>
          <w:szCs w:val="24"/>
        </w:rPr>
        <w:t xml:space="preserve">s negligence. The reason the claimant did not get full compensation is because there was always a chance of developing necrosis. Furthermore, it is important to highlight the </w:t>
      </w:r>
      <w:bookmarkStart w:id="3" w:name="_Hlk55506900"/>
      <w:r w:rsidR="00065C7A" w:rsidRPr="00DA589A">
        <w:rPr>
          <w:i/>
          <w:iCs/>
          <w:sz w:val="24"/>
          <w:szCs w:val="24"/>
        </w:rPr>
        <w:t>Chester v Afshar [2004]</w:t>
      </w:r>
      <w:r w:rsidR="00BD13A6" w:rsidRPr="00DA589A">
        <w:rPr>
          <w:i/>
          <w:iCs/>
          <w:sz w:val="24"/>
          <w:szCs w:val="24"/>
        </w:rPr>
        <w:t xml:space="preserve"> 3 WLR 927</w:t>
      </w:r>
      <w:r w:rsidR="00065C7A" w:rsidRPr="00DA589A">
        <w:rPr>
          <w:sz w:val="24"/>
          <w:szCs w:val="24"/>
        </w:rPr>
        <w:t xml:space="preserve"> </w:t>
      </w:r>
      <w:bookmarkEnd w:id="3"/>
      <w:r w:rsidR="00065C7A" w:rsidRPr="00DA589A">
        <w:rPr>
          <w:sz w:val="24"/>
          <w:szCs w:val="24"/>
        </w:rPr>
        <w:t xml:space="preserve">which deals with the flip side of loss of chance. This case shows us that the courts are adamant that no matter whether the intentions of the defendant are good or bad then the claimant must consent to the actions that are being committed. </w:t>
      </w:r>
      <w:r w:rsidR="00BB1541" w:rsidRPr="00DA589A">
        <w:rPr>
          <w:sz w:val="24"/>
          <w:szCs w:val="24"/>
        </w:rPr>
        <w:t>The main aspect of this case is whether the occurrence of the supervening event had an impact on how the claimant should be compensated</w:t>
      </w:r>
      <w:r w:rsidR="00244F41" w:rsidRPr="00DA589A">
        <w:rPr>
          <w:sz w:val="24"/>
          <w:szCs w:val="24"/>
        </w:rPr>
        <w:t xml:space="preserve"> for the original negligence. Furthermore, there is no one else left to sue this means that the chain of causation has not been broken.</w:t>
      </w:r>
      <w:r w:rsidR="00736C58" w:rsidRPr="00DA589A">
        <w:rPr>
          <w:sz w:val="24"/>
          <w:szCs w:val="24"/>
        </w:rPr>
        <w:t xml:space="preserve"> What cannot be denied the viability of the “Egg shell skull” rule set out in </w:t>
      </w:r>
      <w:bookmarkStart w:id="4" w:name="_Hlk55506998"/>
      <w:r w:rsidR="00736C58" w:rsidRPr="00DA589A">
        <w:rPr>
          <w:i/>
          <w:iCs/>
          <w:sz w:val="24"/>
          <w:szCs w:val="24"/>
        </w:rPr>
        <w:t>Smith v Le</w:t>
      </w:r>
      <w:r w:rsidR="00244F41" w:rsidRPr="00DA589A">
        <w:rPr>
          <w:i/>
          <w:iCs/>
          <w:sz w:val="24"/>
          <w:szCs w:val="24"/>
        </w:rPr>
        <w:t>ech Brain [1962]</w:t>
      </w:r>
      <w:r w:rsidR="00BD13A6" w:rsidRPr="00DA589A">
        <w:rPr>
          <w:i/>
          <w:iCs/>
          <w:sz w:val="24"/>
          <w:szCs w:val="24"/>
        </w:rPr>
        <w:t xml:space="preserve"> 2 QB 405</w:t>
      </w:r>
      <w:r w:rsidR="00244F41" w:rsidRPr="00DA589A">
        <w:rPr>
          <w:sz w:val="24"/>
          <w:szCs w:val="24"/>
        </w:rPr>
        <w:t xml:space="preserve"> </w:t>
      </w:r>
      <w:bookmarkEnd w:id="4"/>
      <w:r w:rsidR="00244F41" w:rsidRPr="00DA589A">
        <w:rPr>
          <w:sz w:val="24"/>
          <w:szCs w:val="24"/>
        </w:rPr>
        <w:t>which states that it is important to take the victim as they found them.</w:t>
      </w:r>
      <w:r w:rsidR="00F43C2D" w:rsidRPr="00DA589A">
        <w:rPr>
          <w:sz w:val="24"/>
          <w:szCs w:val="24"/>
        </w:rPr>
        <w:t xml:space="preserve"> </w:t>
      </w:r>
      <w:bookmarkStart w:id="5" w:name="_Hlk55507041"/>
      <w:proofErr w:type="spellStart"/>
      <w:r w:rsidR="00F43C2D" w:rsidRPr="00DA589A">
        <w:rPr>
          <w:i/>
          <w:iCs/>
          <w:sz w:val="24"/>
          <w:szCs w:val="24"/>
        </w:rPr>
        <w:t>Lagden</w:t>
      </w:r>
      <w:proofErr w:type="spellEnd"/>
      <w:r w:rsidR="00F43C2D" w:rsidRPr="00DA589A">
        <w:rPr>
          <w:i/>
          <w:iCs/>
          <w:sz w:val="24"/>
          <w:szCs w:val="24"/>
        </w:rPr>
        <w:t xml:space="preserve"> v O’</w:t>
      </w:r>
      <w:r w:rsidR="00825134" w:rsidRPr="00DA589A">
        <w:rPr>
          <w:i/>
          <w:iCs/>
          <w:sz w:val="24"/>
          <w:szCs w:val="24"/>
        </w:rPr>
        <w:t>C</w:t>
      </w:r>
      <w:r w:rsidR="00F43C2D" w:rsidRPr="00DA589A">
        <w:rPr>
          <w:i/>
          <w:iCs/>
          <w:sz w:val="24"/>
          <w:szCs w:val="24"/>
        </w:rPr>
        <w:t>onner [2003] UKHL 64</w:t>
      </w:r>
      <w:r w:rsidR="00F43C2D" w:rsidRPr="00DA589A">
        <w:rPr>
          <w:sz w:val="24"/>
          <w:szCs w:val="24"/>
        </w:rPr>
        <w:t xml:space="preserve"> </w:t>
      </w:r>
      <w:bookmarkEnd w:id="5"/>
      <w:r w:rsidR="00F43C2D" w:rsidRPr="00DA589A">
        <w:rPr>
          <w:sz w:val="24"/>
          <w:szCs w:val="24"/>
        </w:rPr>
        <w:t xml:space="preserve">also </w:t>
      </w:r>
      <w:r w:rsidR="00DA589A" w:rsidRPr="00DA589A">
        <w:rPr>
          <w:sz w:val="24"/>
          <w:szCs w:val="24"/>
        </w:rPr>
        <w:t>serves</w:t>
      </w:r>
      <w:r w:rsidR="00F43C2D" w:rsidRPr="00DA589A">
        <w:rPr>
          <w:sz w:val="24"/>
          <w:szCs w:val="24"/>
        </w:rPr>
        <w:t xml:space="preserve"> as an indicator to the egg-shell skull rule as it highlights the principles made that allow the courts to maintain consistency.</w:t>
      </w:r>
      <w:r w:rsidR="00244F41" w:rsidRPr="00DA589A">
        <w:rPr>
          <w:sz w:val="24"/>
          <w:szCs w:val="24"/>
        </w:rPr>
        <w:t xml:space="preserve"> Since none of the parties at the time of the first incident </w:t>
      </w:r>
      <w:r w:rsidR="007E0D45" w:rsidRPr="00DA589A">
        <w:rPr>
          <w:sz w:val="24"/>
          <w:szCs w:val="24"/>
        </w:rPr>
        <w:t>were aware</w:t>
      </w:r>
      <w:r w:rsidR="00244F41" w:rsidRPr="00DA589A">
        <w:rPr>
          <w:sz w:val="24"/>
          <w:szCs w:val="24"/>
        </w:rPr>
        <w:t xml:space="preserve"> the potential spinal disease it is fair and just not to take it into consideration whilst formulating a decision.</w:t>
      </w:r>
      <w:r w:rsidR="007E0D45" w:rsidRPr="00DA589A">
        <w:rPr>
          <w:sz w:val="24"/>
          <w:szCs w:val="24"/>
        </w:rPr>
        <w:t xml:space="preserve"> Therefore, by way of the “egg</w:t>
      </w:r>
      <w:r w:rsidR="00825134" w:rsidRPr="00DA589A">
        <w:rPr>
          <w:sz w:val="24"/>
          <w:szCs w:val="24"/>
        </w:rPr>
        <w:t>-</w:t>
      </w:r>
      <w:r w:rsidR="007E0D45" w:rsidRPr="00DA589A">
        <w:rPr>
          <w:sz w:val="24"/>
          <w:szCs w:val="24"/>
        </w:rPr>
        <w:t>shell skull rule” it would be appropriate if the court approached the situation as if the spinal disease did not exist.</w:t>
      </w:r>
      <w:r w:rsidR="00244F41" w:rsidRPr="00DA589A">
        <w:rPr>
          <w:sz w:val="24"/>
          <w:szCs w:val="24"/>
        </w:rPr>
        <w:t xml:space="preserve"> In terms of naturally occurring events it is difficult for the courts to further compensate the claimant as these </w:t>
      </w:r>
      <w:r w:rsidR="00B5250A" w:rsidRPr="00DA589A">
        <w:rPr>
          <w:sz w:val="24"/>
          <w:szCs w:val="24"/>
        </w:rPr>
        <w:t xml:space="preserve">events are generally unforeseeable and therefore do not satisfy </w:t>
      </w:r>
      <w:bookmarkStart w:id="6" w:name="_Hlk55507089"/>
      <w:r w:rsidR="00B5250A" w:rsidRPr="00DA589A">
        <w:rPr>
          <w:i/>
          <w:iCs/>
          <w:sz w:val="24"/>
          <w:szCs w:val="24"/>
        </w:rPr>
        <w:t xml:space="preserve">Overseas Tankship (UK) Ltd v </w:t>
      </w:r>
      <w:proofErr w:type="spellStart"/>
      <w:r w:rsidR="00B5250A" w:rsidRPr="00DA589A">
        <w:rPr>
          <w:i/>
          <w:iCs/>
          <w:sz w:val="24"/>
          <w:szCs w:val="24"/>
        </w:rPr>
        <w:t>Morts</w:t>
      </w:r>
      <w:proofErr w:type="spellEnd"/>
      <w:r w:rsidR="00B5250A" w:rsidRPr="00DA589A">
        <w:rPr>
          <w:i/>
          <w:iCs/>
          <w:sz w:val="24"/>
          <w:szCs w:val="24"/>
        </w:rPr>
        <w:t xml:space="preserve"> Dock and Engineering Co (Wagon Mound)(No1) Privy Council [1961] AC 388</w:t>
      </w:r>
      <w:bookmarkEnd w:id="6"/>
      <w:r w:rsidR="00B5250A" w:rsidRPr="00DA589A">
        <w:rPr>
          <w:sz w:val="24"/>
          <w:szCs w:val="24"/>
        </w:rPr>
        <w:t>.</w:t>
      </w:r>
      <w:r w:rsidR="00BC55EF" w:rsidRPr="00DA589A">
        <w:rPr>
          <w:sz w:val="24"/>
          <w:szCs w:val="24"/>
        </w:rPr>
        <w:t xml:space="preserve"> </w:t>
      </w:r>
      <w:r w:rsidR="00B5250A" w:rsidRPr="00DA589A">
        <w:rPr>
          <w:sz w:val="24"/>
          <w:szCs w:val="24"/>
        </w:rPr>
        <w:t xml:space="preserve">However, the policy in which the court </w:t>
      </w:r>
      <w:r w:rsidR="00875ECD" w:rsidRPr="00DA589A">
        <w:rPr>
          <w:sz w:val="24"/>
          <w:szCs w:val="24"/>
        </w:rPr>
        <w:t>emphasises</w:t>
      </w:r>
      <w:r w:rsidR="00B5250A" w:rsidRPr="00DA589A">
        <w:rPr>
          <w:sz w:val="24"/>
          <w:szCs w:val="24"/>
        </w:rPr>
        <w:t xml:space="preserve"> is that the intervening act must be linked </w:t>
      </w:r>
      <w:r w:rsidR="00B5250A" w:rsidRPr="00DA589A">
        <w:rPr>
          <w:sz w:val="24"/>
          <w:szCs w:val="24"/>
        </w:rPr>
        <w:lastRenderedPageBreak/>
        <w:t>with the previous act of negligence</w:t>
      </w:r>
      <w:r w:rsidR="008B396B" w:rsidRPr="00DA589A">
        <w:rPr>
          <w:sz w:val="24"/>
          <w:szCs w:val="24"/>
        </w:rPr>
        <w:t xml:space="preserve">. </w:t>
      </w:r>
      <w:r w:rsidR="00480E83" w:rsidRPr="00DA589A">
        <w:rPr>
          <w:sz w:val="24"/>
          <w:szCs w:val="24"/>
        </w:rPr>
        <w:t xml:space="preserve">What cannot be denied is the reluctance from the courts to hold the occurrence of a natural event as the intervening factor because it restricts the claimant from receiving damages. The </w:t>
      </w:r>
      <w:bookmarkStart w:id="7" w:name="_Hlk55507135"/>
      <w:r w:rsidR="00480E83" w:rsidRPr="00DA589A">
        <w:rPr>
          <w:i/>
          <w:iCs/>
          <w:sz w:val="24"/>
          <w:szCs w:val="24"/>
        </w:rPr>
        <w:t>Compensation act 2006</w:t>
      </w:r>
      <w:bookmarkEnd w:id="7"/>
      <w:r w:rsidR="00480E83" w:rsidRPr="00DA589A">
        <w:rPr>
          <w:sz w:val="24"/>
          <w:szCs w:val="24"/>
        </w:rPr>
        <w:t xml:space="preserve"> ensures that the </w:t>
      </w:r>
      <w:r w:rsidR="00037411" w:rsidRPr="00DA589A">
        <w:rPr>
          <w:sz w:val="24"/>
          <w:szCs w:val="24"/>
        </w:rPr>
        <w:t>claimant receives compensation if there has been an act of negligence</w:t>
      </w:r>
      <w:r w:rsidR="00675F7D" w:rsidRPr="00DA589A">
        <w:rPr>
          <w:sz w:val="24"/>
          <w:szCs w:val="24"/>
        </w:rPr>
        <w:t xml:space="preserve">. Section 1 subsection 1 of the compensation act epitomises this as it states that the defendant must take precautions in order to deter any claims of negligence. </w:t>
      </w:r>
    </w:p>
    <w:p w14:paraId="6F4F1A18" w14:textId="28F0085B" w:rsidR="004F27AE" w:rsidRPr="00DA589A" w:rsidRDefault="004F27AE" w:rsidP="00DA589A">
      <w:pPr>
        <w:spacing w:line="480" w:lineRule="auto"/>
        <w:jc w:val="both"/>
        <w:rPr>
          <w:sz w:val="24"/>
          <w:szCs w:val="24"/>
        </w:rPr>
      </w:pPr>
      <w:r w:rsidRPr="00DA589A">
        <w:rPr>
          <w:sz w:val="24"/>
          <w:szCs w:val="24"/>
        </w:rPr>
        <w:t>The non-deliberate act of a third party</w:t>
      </w:r>
      <w:r w:rsidR="00027247" w:rsidRPr="00DA589A">
        <w:rPr>
          <w:sz w:val="24"/>
          <w:szCs w:val="24"/>
        </w:rPr>
        <w:t xml:space="preserve"> occurs when </w:t>
      </w:r>
      <w:r w:rsidR="000172CA" w:rsidRPr="00DA589A">
        <w:rPr>
          <w:sz w:val="24"/>
          <w:szCs w:val="24"/>
        </w:rPr>
        <w:t>the third party does not intend to commit a tort</w:t>
      </w:r>
      <w:r w:rsidR="007E0D45" w:rsidRPr="00DA589A">
        <w:rPr>
          <w:sz w:val="24"/>
          <w:szCs w:val="24"/>
        </w:rPr>
        <w:t>i</w:t>
      </w:r>
      <w:r w:rsidR="000172CA" w:rsidRPr="00DA589A">
        <w:rPr>
          <w:sz w:val="24"/>
          <w:szCs w:val="24"/>
        </w:rPr>
        <w:t>ous act</w:t>
      </w:r>
      <w:r w:rsidR="007E0D45" w:rsidRPr="00DA589A">
        <w:rPr>
          <w:sz w:val="24"/>
          <w:szCs w:val="24"/>
        </w:rPr>
        <w:t>.</w:t>
      </w:r>
      <w:r w:rsidR="000172CA" w:rsidRPr="00DA589A">
        <w:rPr>
          <w:sz w:val="24"/>
          <w:szCs w:val="24"/>
        </w:rPr>
        <w:t xml:space="preserve"> </w:t>
      </w:r>
      <w:r w:rsidR="007E0D45" w:rsidRPr="00DA589A">
        <w:rPr>
          <w:sz w:val="24"/>
          <w:szCs w:val="24"/>
        </w:rPr>
        <w:t>H</w:t>
      </w:r>
      <w:r w:rsidR="000172CA" w:rsidRPr="00DA589A">
        <w:rPr>
          <w:sz w:val="24"/>
          <w:szCs w:val="24"/>
        </w:rPr>
        <w:t xml:space="preserve">owever, they may be reckless or negligent in the manner that they have acted. If so and have satisfied </w:t>
      </w:r>
      <w:r w:rsidR="000172CA" w:rsidRPr="00DA589A">
        <w:rPr>
          <w:i/>
          <w:iCs/>
          <w:sz w:val="24"/>
          <w:szCs w:val="24"/>
        </w:rPr>
        <w:t>Barnett v</w:t>
      </w:r>
      <w:r w:rsidR="00BD13A6" w:rsidRPr="00DA589A">
        <w:rPr>
          <w:i/>
          <w:iCs/>
          <w:sz w:val="24"/>
          <w:szCs w:val="24"/>
        </w:rPr>
        <w:t xml:space="preserve"> Chelsea and</w:t>
      </w:r>
      <w:r w:rsidR="000172CA" w:rsidRPr="00DA589A">
        <w:rPr>
          <w:i/>
          <w:iCs/>
          <w:sz w:val="24"/>
          <w:szCs w:val="24"/>
        </w:rPr>
        <w:t xml:space="preserve"> Kensington Hospital management committee [19</w:t>
      </w:r>
      <w:r w:rsidR="00BD13A6" w:rsidRPr="00DA589A">
        <w:rPr>
          <w:i/>
          <w:iCs/>
          <w:sz w:val="24"/>
          <w:szCs w:val="24"/>
        </w:rPr>
        <w:t>68</w:t>
      </w:r>
      <w:r w:rsidR="000172CA" w:rsidRPr="00DA589A">
        <w:rPr>
          <w:i/>
          <w:iCs/>
          <w:sz w:val="24"/>
          <w:szCs w:val="24"/>
        </w:rPr>
        <w:t>]</w:t>
      </w:r>
      <w:r w:rsidR="00BD13A6" w:rsidRPr="00DA589A">
        <w:rPr>
          <w:i/>
          <w:iCs/>
          <w:sz w:val="24"/>
          <w:szCs w:val="24"/>
        </w:rPr>
        <w:t xml:space="preserve"> QB 428 </w:t>
      </w:r>
      <w:r w:rsidR="007E0D45" w:rsidRPr="00DA589A">
        <w:rPr>
          <w:sz w:val="24"/>
          <w:szCs w:val="24"/>
        </w:rPr>
        <w:t>the defendant would be</w:t>
      </w:r>
      <w:r w:rsidR="000172CA" w:rsidRPr="00DA589A">
        <w:rPr>
          <w:sz w:val="24"/>
          <w:szCs w:val="24"/>
        </w:rPr>
        <w:t xml:space="preserve"> held liable for </w:t>
      </w:r>
      <w:r w:rsidR="0007485F" w:rsidRPr="00DA589A">
        <w:rPr>
          <w:sz w:val="24"/>
          <w:szCs w:val="24"/>
        </w:rPr>
        <w:t>negligence</w:t>
      </w:r>
      <w:r w:rsidR="007348B0" w:rsidRPr="00DA589A">
        <w:rPr>
          <w:sz w:val="24"/>
          <w:szCs w:val="24"/>
        </w:rPr>
        <w:t xml:space="preserve"> under the ‘but for’ test</w:t>
      </w:r>
      <w:r w:rsidR="0007485F" w:rsidRPr="00DA589A">
        <w:rPr>
          <w:sz w:val="24"/>
          <w:szCs w:val="24"/>
        </w:rPr>
        <w:t>,</w:t>
      </w:r>
      <w:r w:rsidR="000172CA" w:rsidRPr="00DA589A">
        <w:rPr>
          <w:sz w:val="24"/>
          <w:szCs w:val="24"/>
        </w:rPr>
        <w:t xml:space="preserve"> then the chain of causation is broken.</w:t>
      </w:r>
      <w:r w:rsidR="00BE5BBD" w:rsidRPr="00DA589A">
        <w:rPr>
          <w:sz w:val="24"/>
          <w:szCs w:val="24"/>
        </w:rPr>
        <w:t xml:space="preserve"> Furthermore, it is important to consider whether the damage caused is too remote in law to be considered as rendering the defendant as liable</w:t>
      </w:r>
      <w:r w:rsidR="007E0D45" w:rsidRPr="00DA589A">
        <w:rPr>
          <w:sz w:val="24"/>
          <w:szCs w:val="24"/>
        </w:rPr>
        <w:t>,</w:t>
      </w:r>
      <w:r w:rsidR="00BE5BBD" w:rsidRPr="00DA589A">
        <w:rPr>
          <w:sz w:val="24"/>
          <w:szCs w:val="24"/>
        </w:rPr>
        <w:t xml:space="preserve"> an example of this can be seen in </w:t>
      </w:r>
      <w:bookmarkStart w:id="8" w:name="_Hlk55507231"/>
      <w:r w:rsidR="00BE5BBD" w:rsidRPr="00DA589A">
        <w:rPr>
          <w:i/>
          <w:iCs/>
          <w:sz w:val="24"/>
          <w:szCs w:val="24"/>
        </w:rPr>
        <w:t>Hughes v Lord Advocate [1963]</w:t>
      </w:r>
      <w:r w:rsidR="00BD13A6" w:rsidRPr="00DA589A">
        <w:rPr>
          <w:i/>
          <w:iCs/>
          <w:sz w:val="24"/>
          <w:szCs w:val="24"/>
        </w:rPr>
        <w:t xml:space="preserve"> AC 837</w:t>
      </w:r>
      <w:bookmarkEnd w:id="8"/>
      <w:r w:rsidR="00BE5BBD" w:rsidRPr="00DA589A">
        <w:rPr>
          <w:sz w:val="24"/>
          <w:szCs w:val="24"/>
        </w:rPr>
        <w:t>.</w:t>
      </w:r>
      <w:r w:rsidR="007C4B56" w:rsidRPr="00DA589A">
        <w:rPr>
          <w:sz w:val="24"/>
          <w:szCs w:val="24"/>
        </w:rPr>
        <w:t xml:space="preserve"> The case of </w:t>
      </w:r>
      <w:bookmarkStart w:id="9" w:name="_Hlk55507289"/>
      <w:r w:rsidR="007C4B56" w:rsidRPr="00DA589A">
        <w:rPr>
          <w:i/>
          <w:iCs/>
          <w:sz w:val="24"/>
          <w:szCs w:val="24"/>
        </w:rPr>
        <w:t>Knigh</w:t>
      </w:r>
      <w:r w:rsidR="00BD13A6" w:rsidRPr="00DA589A">
        <w:rPr>
          <w:i/>
          <w:iCs/>
          <w:sz w:val="24"/>
          <w:szCs w:val="24"/>
        </w:rPr>
        <w:t>t</w:t>
      </w:r>
      <w:r w:rsidR="007C4B56" w:rsidRPr="00DA589A">
        <w:rPr>
          <w:i/>
          <w:iCs/>
          <w:sz w:val="24"/>
          <w:szCs w:val="24"/>
        </w:rPr>
        <w:t>ly v Johns [1982] 1 WLR 349</w:t>
      </w:r>
      <w:r w:rsidR="007C4B56" w:rsidRPr="00DA589A">
        <w:rPr>
          <w:sz w:val="24"/>
          <w:szCs w:val="24"/>
        </w:rPr>
        <w:t xml:space="preserve"> </w:t>
      </w:r>
      <w:bookmarkEnd w:id="9"/>
      <w:r w:rsidR="007C4B56" w:rsidRPr="00DA589A">
        <w:rPr>
          <w:sz w:val="24"/>
          <w:szCs w:val="24"/>
        </w:rPr>
        <w:t>attempts to highlight how the supervening acts of a third party can affect the liability of the defendant.</w:t>
      </w:r>
      <w:r w:rsidR="00EA4003" w:rsidRPr="00DA589A">
        <w:rPr>
          <w:sz w:val="24"/>
          <w:szCs w:val="24"/>
        </w:rPr>
        <w:t xml:space="preserve"> The situation considers a road traffic accident where the original defendant had satisfied the act of negligence</w:t>
      </w:r>
      <w:r w:rsidR="00BE5BBD" w:rsidRPr="00DA589A">
        <w:rPr>
          <w:sz w:val="24"/>
          <w:szCs w:val="24"/>
        </w:rPr>
        <w:t xml:space="preserve"> and foreseeability</w:t>
      </w:r>
      <w:r w:rsidR="00EA4003" w:rsidRPr="00DA589A">
        <w:rPr>
          <w:sz w:val="24"/>
          <w:szCs w:val="24"/>
        </w:rPr>
        <w:t xml:space="preserve"> which was set out in in </w:t>
      </w:r>
      <w:r w:rsidR="00BE5BBD" w:rsidRPr="00DA589A">
        <w:rPr>
          <w:i/>
          <w:iCs/>
          <w:sz w:val="24"/>
          <w:szCs w:val="24"/>
        </w:rPr>
        <w:t>Wagon mound [1961]</w:t>
      </w:r>
      <w:r w:rsidR="007348B0" w:rsidRPr="00DA589A">
        <w:rPr>
          <w:sz w:val="24"/>
          <w:szCs w:val="24"/>
        </w:rPr>
        <w:t xml:space="preserve">. </w:t>
      </w:r>
      <w:r w:rsidR="007A162F" w:rsidRPr="00DA589A">
        <w:rPr>
          <w:sz w:val="24"/>
          <w:szCs w:val="24"/>
        </w:rPr>
        <w:t xml:space="preserve">The problem with this case is that the third party had caused the further damage upon one of his employees. Lord Justice Stevenson refers </w:t>
      </w:r>
      <w:bookmarkStart w:id="10" w:name="_Hlk55507345"/>
      <w:r w:rsidR="007A162F" w:rsidRPr="00DA589A">
        <w:rPr>
          <w:sz w:val="24"/>
          <w:szCs w:val="24"/>
        </w:rPr>
        <w:t xml:space="preserve">to </w:t>
      </w:r>
      <w:r w:rsidR="007A162F" w:rsidRPr="00DA589A">
        <w:rPr>
          <w:i/>
          <w:iCs/>
          <w:sz w:val="24"/>
          <w:szCs w:val="24"/>
        </w:rPr>
        <w:t>Haynes v Harwood</w:t>
      </w:r>
      <w:r w:rsidR="00F92574" w:rsidRPr="00DA589A">
        <w:rPr>
          <w:i/>
          <w:iCs/>
          <w:sz w:val="24"/>
          <w:szCs w:val="24"/>
        </w:rPr>
        <w:t xml:space="preserve"> [1935]</w:t>
      </w:r>
      <w:r w:rsidR="00723F33" w:rsidRPr="00DA589A">
        <w:rPr>
          <w:i/>
          <w:iCs/>
          <w:sz w:val="24"/>
          <w:szCs w:val="24"/>
        </w:rPr>
        <w:t xml:space="preserve"> 1 KB 146</w:t>
      </w:r>
      <w:r w:rsidR="00F92574" w:rsidRPr="00DA589A">
        <w:rPr>
          <w:sz w:val="24"/>
          <w:szCs w:val="24"/>
        </w:rPr>
        <w:t xml:space="preserve"> </w:t>
      </w:r>
      <w:bookmarkEnd w:id="10"/>
      <w:r w:rsidR="00F92574" w:rsidRPr="00DA589A">
        <w:rPr>
          <w:sz w:val="24"/>
          <w:szCs w:val="24"/>
        </w:rPr>
        <w:t xml:space="preserve">which takes the </w:t>
      </w:r>
      <w:bookmarkStart w:id="11" w:name="_Hlk55507409"/>
      <w:r w:rsidR="00F92574" w:rsidRPr="00DA589A">
        <w:rPr>
          <w:i/>
          <w:iCs/>
          <w:sz w:val="24"/>
          <w:szCs w:val="24"/>
        </w:rPr>
        <w:t xml:space="preserve">Re </w:t>
      </w:r>
      <w:proofErr w:type="spellStart"/>
      <w:r w:rsidR="00F92574" w:rsidRPr="00DA589A">
        <w:rPr>
          <w:i/>
          <w:iCs/>
          <w:sz w:val="24"/>
          <w:szCs w:val="24"/>
        </w:rPr>
        <w:t>Polemis</w:t>
      </w:r>
      <w:proofErr w:type="spellEnd"/>
      <w:r w:rsidR="00723F33" w:rsidRPr="00DA589A">
        <w:rPr>
          <w:i/>
          <w:iCs/>
          <w:sz w:val="24"/>
          <w:szCs w:val="24"/>
        </w:rPr>
        <w:t xml:space="preserve"> and Furness, Withy and Co [1921] 3 KB 560</w:t>
      </w:r>
      <w:bookmarkEnd w:id="11"/>
      <w:r w:rsidR="00F92574" w:rsidRPr="00DA589A">
        <w:rPr>
          <w:sz w:val="24"/>
          <w:szCs w:val="24"/>
        </w:rPr>
        <w:t xml:space="preserve"> view. This sugg</w:t>
      </w:r>
      <w:r w:rsidR="001C4ECA" w:rsidRPr="00DA589A">
        <w:rPr>
          <w:sz w:val="24"/>
          <w:szCs w:val="24"/>
        </w:rPr>
        <w:t>ests that the third-party</w:t>
      </w:r>
      <w:r w:rsidR="007E0D45" w:rsidRPr="00DA589A">
        <w:rPr>
          <w:sz w:val="24"/>
          <w:szCs w:val="24"/>
        </w:rPr>
        <w:t xml:space="preserve"> did not</w:t>
      </w:r>
      <w:r w:rsidR="001C4ECA" w:rsidRPr="00DA589A">
        <w:rPr>
          <w:sz w:val="24"/>
          <w:szCs w:val="24"/>
        </w:rPr>
        <w:t xml:space="preserve"> br</w:t>
      </w:r>
      <w:r w:rsidR="007E0D45" w:rsidRPr="00DA589A">
        <w:rPr>
          <w:sz w:val="24"/>
          <w:szCs w:val="24"/>
        </w:rPr>
        <w:t>eak</w:t>
      </w:r>
      <w:r w:rsidR="001C4ECA" w:rsidRPr="00DA589A">
        <w:rPr>
          <w:sz w:val="24"/>
          <w:szCs w:val="24"/>
        </w:rPr>
        <w:t xml:space="preserve"> the chain of causation when he gave the order to the claimant. Therefore, the defendant is liable for the proceeding events that led up to the los</w:t>
      </w:r>
      <w:r w:rsidR="007348B0" w:rsidRPr="00DA589A">
        <w:rPr>
          <w:sz w:val="24"/>
          <w:szCs w:val="24"/>
        </w:rPr>
        <w:t>s</w:t>
      </w:r>
      <w:r w:rsidR="001C4ECA" w:rsidRPr="00DA589A">
        <w:rPr>
          <w:sz w:val="24"/>
          <w:szCs w:val="24"/>
        </w:rPr>
        <w:t xml:space="preserve"> suffered by the claimant. </w:t>
      </w:r>
      <w:r w:rsidR="003C5150" w:rsidRPr="00DA589A">
        <w:rPr>
          <w:sz w:val="24"/>
          <w:szCs w:val="24"/>
        </w:rPr>
        <w:t xml:space="preserve">This decision to hold the defendant liable can be seen in </w:t>
      </w:r>
      <w:bookmarkStart w:id="12" w:name="_Hlk55507470"/>
      <w:r w:rsidR="003C5150" w:rsidRPr="00DA589A">
        <w:rPr>
          <w:i/>
          <w:iCs/>
          <w:sz w:val="24"/>
          <w:szCs w:val="24"/>
        </w:rPr>
        <w:t>Home office v Dorset Yacht Co Ltd [1970] AC 1004</w:t>
      </w:r>
      <w:bookmarkEnd w:id="12"/>
      <w:r w:rsidR="003C5150" w:rsidRPr="00DA589A">
        <w:rPr>
          <w:sz w:val="24"/>
          <w:szCs w:val="24"/>
        </w:rPr>
        <w:t xml:space="preserve"> the appellant in this case suggested that there was no duty of care owed to the claimant. However, the appeal was rejected and </w:t>
      </w:r>
      <w:r w:rsidR="003C5150" w:rsidRPr="00DA589A">
        <w:rPr>
          <w:sz w:val="24"/>
          <w:szCs w:val="24"/>
        </w:rPr>
        <w:lastRenderedPageBreak/>
        <w:t>held that the Home Office did indeed hold a duty of care to the third party in which they oversaw.</w:t>
      </w:r>
      <w:r w:rsidR="001C4ECA" w:rsidRPr="00DA589A">
        <w:rPr>
          <w:sz w:val="24"/>
          <w:szCs w:val="24"/>
        </w:rPr>
        <w:t xml:space="preserve"> </w:t>
      </w:r>
      <w:r w:rsidR="003C5150" w:rsidRPr="00DA589A">
        <w:rPr>
          <w:sz w:val="24"/>
          <w:szCs w:val="24"/>
        </w:rPr>
        <w:t>This case serves as a</w:t>
      </w:r>
      <w:r w:rsidR="007C4B56" w:rsidRPr="00DA589A">
        <w:rPr>
          <w:sz w:val="24"/>
          <w:szCs w:val="24"/>
        </w:rPr>
        <w:t>n</w:t>
      </w:r>
      <w:r w:rsidR="003C5150" w:rsidRPr="00DA589A">
        <w:rPr>
          <w:sz w:val="24"/>
          <w:szCs w:val="24"/>
        </w:rPr>
        <w:t xml:space="preserve"> indicator to how the courts deal with how a non-deliberate act from a third party may indirectly impact the defendant</w:t>
      </w:r>
      <w:r w:rsidR="007C4B56" w:rsidRPr="00DA589A">
        <w:rPr>
          <w:sz w:val="24"/>
          <w:szCs w:val="24"/>
        </w:rPr>
        <w:t>’</w:t>
      </w:r>
      <w:r w:rsidR="003C5150" w:rsidRPr="00DA589A">
        <w:rPr>
          <w:sz w:val="24"/>
          <w:szCs w:val="24"/>
        </w:rPr>
        <w:t>s liability</w:t>
      </w:r>
      <w:r w:rsidR="007C4B56" w:rsidRPr="00DA589A">
        <w:rPr>
          <w:sz w:val="24"/>
          <w:szCs w:val="24"/>
        </w:rPr>
        <w:t xml:space="preserve"> in determining how the chain of causation can be broken</w:t>
      </w:r>
      <w:r w:rsidRPr="00DA589A">
        <w:rPr>
          <w:sz w:val="24"/>
          <w:szCs w:val="24"/>
        </w:rPr>
        <w:t>.</w:t>
      </w:r>
      <w:r w:rsidR="007C4B56" w:rsidRPr="00DA589A">
        <w:rPr>
          <w:sz w:val="24"/>
          <w:szCs w:val="24"/>
        </w:rPr>
        <w:t xml:space="preserve"> A case in which provides a contrast to </w:t>
      </w:r>
      <w:r w:rsidR="007C4B56" w:rsidRPr="00DA589A">
        <w:rPr>
          <w:i/>
          <w:iCs/>
          <w:sz w:val="24"/>
          <w:szCs w:val="24"/>
        </w:rPr>
        <w:t>Knightly v Johns [1982]</w:t>
      </w:r>
      <w:r w:rsidR="00723F33" w:rsidRPr="00DA589A">
        <w:rPr>
          <w:i/>
          <w:iCs/>
          <w:sz w:val="24"/>
          <w:szCs w:val="24"/>
        </w:rPr>
        <w:t xml:space="preserve"> 1 WLR 349</w:t>
      </w:r>
      <w:r w:rsidR="007C4B56" w:rsidRPr="00DA589A">
        <w:rPr>
          <w:sz w:val="24"/>
          <w:szCs w:val="24"/>
        </w:rPr>
        <w:t xml:space="preserve"> is </w:t>
      </w:r>
      <w:bookmarkStart w:id="13" w:name="_Hlk55507532"/>
      <w:r w:rsidR="007C4B56" w:rsidRPr="00DA589A">
        <w:rPr>
          <w:i/>
          <w:iCs/>
          <w:sz w:val="24"/>
          <w:szCs w:val="24"/>
        </w:rPr>
        <w:t>Rouse v Squires [1973]</w:t>
      </w:r>
      <w:r w:rsidR="00723F33" w:rsidRPr="00DA589A">
        <w:rPr>
          <w:i/>
          <w:iCs/>
          <w:sz w:val="24"/>
          <w:szCs w:val="24"/>
        </w:rPr>
        <w:t xml:space="preserve"> </w:t>
      </w:r>
      <w:r w:rsidR="00FC4ED4" w:rsidRPr="00DA589A">
        <w:rPr>
          <w:i/>
          <w:iCs/>
          <w:sz w:val="24"/>
          <w:szCs w:val="24"/>
        </w:rPr>
        <w:t>QB 889</w:t>
      </w:r>
      <w:bookmarkEnd w:id="13"/>
      <w:r w:rsidR="00D56134" w:rsidRPr="00DA589A">
        <w:rPr>
          <w:sz w:val="24"/>
          <w:szCs w:val="24"/>
        </w:rPr>
        <w:t>.</w:t>
      </w:r>
      <w:r w:rsidR="007C4B56" w:rsidRPr="00DA589A">
        <w:rPr>
          <w:sz w:val="24"/>
          <w:szCs w:val="24"/>
        </w:rPr>
        <w:t xml:space="preserve"> </w:t>
      </w:r>
      <w:r w:rsidR="00D56134" w:rsidRPr="00DA589A">
        <w:rPr>
          <w:sz w:val="24"/>
          <w:szCs w:val="24"/>
        </w:rPr>
        <w:t>L</w:t>
      </w:r>
      <w:r w:rsidR="007C4B56" w:rsidRPr="00DA589A">
        <w:rPr>
          <w:sz w:val="24"/>
          <w:szCs w:val="24"/>
        </w:rPr>
        <w:t>ike Knigh</w:t>
      </w:r>
      <w:r w:rsidR="00BE5BBD" w:rsidRPr="00DA589A">
        <w:rPr>
          <w:sz w:val="24"/>
          <w:szCs w:val="24"/>
        </w:rPr>
        <w:t>t</w:t>
      </w:r>
      <w:r w:rsidR="007C4B56" w:rsidRPr="00DA589A">
        <w:rPr>
          <w:sz w:val="24"/>
          <w:szCs w:val="24"/>
        </w:rPr>
        <w:t xml:space="preserve">ly v Johns it considers a road traffic </w:t>
      </w:r>
      <w:r w:rsidR="0007485F" w:rsidRPr="00DA589A">
        <w:rPr>
          <w:sz w:val="24"/>
          <w:szCs w:val="24"/>
        </w:rPr>
        <w:t>accident</w:t>
      </w:r>
      <w:r w:rsidR="00D56134" w:rsidRPr="00DA589A">
        <w:rPr>
          <w:sz w:val="24"/>
          <w:szCs w:val="24"/>
        </w:rPr>
        <w:t>,</w:t>
      </w:r>
      <w:r w:rsidR="007C4B56" w:rsidRPr="00DA589A">
        <w:rPr>
          <w:sz w:val="24"/>
          <w:szCs w:val="24"/>
        </w:rPr>
        <w:t xml:space="preserve"> in which the thir</w:t>
      </w:r>
      <w:r w:rsidR="00027247" w:rsidRPr="00DA589A">
        <w:rPr>
          <w:sz w:val="24"/>
          <w:szCs w:val="24"/>
        </w:rPr>
        <w:t>d party attempting to aid a fellow road user non-deliberately obstructs a motorway lane and causes loss to the claimant. Lord Justice Cairns suggests that the road user who crashed is to be held as negligent as precautions to the obstruction were set out by the defendant.</w:t>
      </w:r>
      <w:r w:rsidR="00E41E9C" w:rsidRPr="00DA589A">
        <w:rPr>
          <w:sz w:val="24"/>
          <w:szCs w:val="24"/>
        </w:rPr>
        <w:t xml:space="preserve"> </w:t>
      </w:r>
      <w:r w:rsidR="00027247" w:rsidRPr="00DA589A">
        <w:rPr>
          <w:sz w:val="24"/>
          <w:szCs w:val="24"/>
        </w:rPr>
        <w:t xml:space="preserve"> Moreover, he suggests that driving recklessly into an obstruction is more of </w:t>
      </w:r>
      <w:r w:rsidR="007348B0" w:rsidRPr="00DA589A">
        <w:rPr>
          <w:sz w:val="24"/>
          <w:szCs w:val="24"/>
        </w:rPr>
        <w:t xml:space="preserve">a </w:t>
      </w:r>
      <w:r w:rsidR="00027247" w:rsidRPr="00DA589A">
        <w:rPr>
          <w:sz w:val="24"/>
          <w:szCs w:val="24"/>
        </w:rPr>
        <w:t>tort than a courageous attempt to aid a fellow road user. This case conveys to us a glaring contradiction to Knightly v Johns as the courts saw the incidents in two separate lights disregarding the similarities between the two cases.</w:t>
      </w:r>
      <w:r w:rsidR="0007485F" w:rsidRPr="00DA589A">
        <w:rPr>
          <w:sz w:val="24"/>
          <w:szCs w:val="24"/>
        </w:rPr>
        <w:t xml:space="preserve"> </w:t>
      </w:r>
      <w:bookmarkStart w:id="14" w:name="_Hlk55333168"/>
      <w:r w:rsidR="00D56134" w:rsidRPr="00DA589A">
        <w:rPr>
          <w:sz w:val="24"/>
          <w:szCs w:val="24"/>
        </w:rPr>
        <w:t xml:space="preserve">Moreover, it is important to consider </w:t>
      </w:r>
      <w:r w:rsidR="00D56134" w:rsidRPr="00DA589A">
        <w:rPr>
          <w:i/>
          <w:iCs/>
          <w:sz w:val="24"/>
          <w:szCs w:val="24"/>
        </w:rPr>
        <w:t xml:space="preserve">that </w:t>
      </w:r>
      <w:bookmarkStart w:id="15" w:name="_Hlk55507582"/>
      <w:r w:rsidR="00D56134" w:rsidRPr="00DA589A">
        <w:rPr>
          <w:i/>
          <w:iCs/>
          <w:sz w:val="24"/>
          <w:szCs w:val="24"/>
        </w:rPr>
        <w:t>Chadwick v British Railways Board (1967)</w:t>
      </w:r>
      <w:r w:rsidR="00FC4ED4" w:rsidRPr="00DA589A">
        <w:rPr>
          <w:i/>
          <w:iCs/>
          <w:sz w:val="24"/>
          <w:szCs w:val="24"/>
        </w:rPr>
        <w:t xml:space="preserve"> 1WLR 912</w:t>
      </w:r>
      <w:r w:rsidR="00D56134" w:rsidRPr="00DA589A">
        <w:rPr>
          <w:sz w:val="24"/>
          <w:szCs w:val="24"/>
        </w:rPr>
        <w:t xml:space="preserve"> </w:t>
      </w:r>
      <w:bookmarkEnd w:id="15"/>
      <w:r w:rsidR="00D56134" w:rsidRPr="00DA589A">
        <w:rPr>
          <w:sz w:val="24"/>
          <w:szCs w:val="24"/>
        </w:rPr>
        <w:t xml:space="preserve">can be used in such a situation as it deals with the existence of a rescuer. This case shows that the acts of bravery are usually favoured by the courts. </w:t>
      </w:r>
    </w:p>
    <w:p w14:paraId="7A6CD9B6" w14:textId="4831884C" w:rsidR="004F27AE" w:rsidRPr="00DA589A" w:rsidRDefault="004F27AE" w:rsidP="00DA589A">
      <w:pPr>
        <w:spacing w:line="480" w:lineRule="auto"/>
        <w:jc w:val="both"/>
        <w:rPr>
          <w:sz w:val="24"/>
          <w:szCs w:val="24"/>
        </w:rPr>
      </w:pPr>
      <w:r w:rsidRPr="00DA589A">
        <w:rPr>
          <w:sz w:val="24"/>
          <w:szCs w:val="24"/>
        </w:rPr>
        <w:t>The deliberate act of a third party is important in understanding whether t</w:t>
      </w:r>
      <w:r w:rsidR="0080007E" w:rsidRPr="00DA589A">
        <w:rPr>
          <w:sz w:val="24"/>
          <w:szCs w:val="24"/>
        </w:rPr>
        <w:t xml:space="preserve">he defendant holds liability under the principle of </w:t>
      </w:r>
      <w:r w:rsidR="00CA5FB5">
        <w:rPr>
          <w:sz w:val="24"/>
          <w:szCs w:val="24"/>
        </w:rPr>
        <w:t>N</w:t>
      </w:r>
      <w:r w:rsidR="0080007E" w:rsidRPr="00DA589A">
        <w:rPr>
          <w:sz w:val="24"/>
          <w:szCs w:val="24"/>
        </w:rPr>
        <w:t>ovus actus interveni</w:t>
      </w:r>
      <w:r w:rsidR="00CA5FB5">
        <w:rPr>
          <w:sz w:val="24"/>
          <w:szCs w:val="24"/>
        </w:rPr>
        <w:t>e</w:t>
      </w:r>
      <w:r w:rsidR="0080007E" w:rsidRPr="00DA589A">
        <w:rPr>
          <w:sz w:val="24"/>
          <w:szCs w:val="24"/>
        </w:rPr>
        <w:t xml:space="preserve">ns. One of the most important cases when dealing with this principle </w:t>
      </w:r>
      <w:bookmarkStart w:id="16" w:name="_Hlk55507657"/>
      <w:r w:rsidR="0080007E" w:rsidRPr="00DA589A">
        <w:rPr>
          <w:sz w:val="24"/>
          <w:szCs w:val="24"/>
        </w:rPr>
        <w:t xml:space="preserve">is </w:t>
      </w:r>
      <w:proofErr w:type="spellStart"/>
      <w:r w:rsidR="0080007E" w:rsidRPr="00DA589A">
        <w:rPr>
          <w:i/>
          <w:iCs/>
          <w:sz w:val="24"/>
          <w:szCs w:val="24"/>
        </w:rPr>
        <w:t>Stansbie</w:t>
      </w:r>
      <w:proofErr w:type="spellEnd"/>
      <w:r w:rsidR="0080007E" w:rsidRPr="00DA589A">
        <w:rPr>
          <w:i/>
          <w:iCs/>
          <w:sz w:val="24"/>
          <w:szCs w:val="24"/>
        </w:rPr>
        <w:t xml:space="preserve"> v </w:t>
      </w:r>
      <w:proofErr w:type="spellStart"/>
      <w:r w:rsidR="0080007E" w:rsidRPr="00DA589A">
        <w:rPr>
          <w:i/>
          <w:iCs/>
          <w:sz w:val="24"/>
          <w:szCs w:val="24"/>
        </w:rPr>
        <w:t>Troman</w:t>
      </w:r>
      <w:proofErr w:type="spellEnd"/>
      <w:r w:rsidR="0080007E" w:rsidRPr="00DA589A">
        <w:rPr>
          <w:i/>
          <w:iCs/>
          <w:sz w:val="24"/>
          <w:szCs w:val="24"/>
        </w:rPr>
        <w:t xml:space="preserve"> [1948]</w:t>
      </w:r>
      <w:r w:rsidR="00FC4ED4" w:rsidRPr="00DA589A">
        <w:rPr>
          <w:i/>
          <w:iCs/>
          <w:sz w:val="24"/>
          <w:szCs w:val="24"/>
        </w:rPr>
        <w:t xml:space="preserve"> 2KB 48</w:t>
      </w:r>
      <w:bookmarkEnd w:id="16"/>
      <w:r w:rsidR="0080007E" w:rsidRPr="00DA589A">
        <w:rPr>
          <w:sz w:val="24"/>
          <w:szCs w:val="24"/>
        </w:rPr>
        <w:t>. This case suggests that despite the damage caused to the claimant by the third party the defendant still owed the property of the claimant a duty of care.</w:t>
      </w:r>
      <w:r w:rsidR="00253F61" w:rsidRPr="00DA589A">
        <w:rPr>
          <w:sz w:val="24"/>
          <w:szCs w:val="24"/>
        </w:rPr>
        <w:t xml:space="preserve"> The actions of the third party did not break the chain of causation as the defendant was instructed by the claimant to lock the door. This is further elaborated</w:t>
      </w:r>
      <w:r w:rsidR="00D56134" w:rsidRPr="00DA589A">
        <w:rPr>
          <w:sz w:val="24"/>
          <w:szCs w:val="24"/>
        </w:rPr>
        <w:t xml:space="preserve"> in</w:t>
      </w:r>
      <w:r w:rsidR="00253F61" w:rsidRPr="00DA589A">
        <w:rPr>
          <w:sz w:val="24"/>
          <w:szCs w:val="24"/>
        </w:rPr>
        <w:t xml:space="preserve"> </w:t>
      </w:r>
      <w:bookmarkStart w:id="17" w:name="_Hlk55507716"/>
      <w:r w:rsidR="00253F61" w:rsidRPr="00DA589A">
        <w:rPr>
          <w:i/>
          <w:iCs/>
          <w:sz w:val="24"/>
          <w:szCs w:val="24"/>
        </w:rPr>
        <w:t>Smith v Littlewoods Organisation Ltd [1987]</w:t>
      </w:r>
      <w:r w:rsidR="00FC4ED4" w:rsidRPr="00DA589A">
        <w:rPr>
          <w:i/>
          <w:iCs/>
          <w:sz w:val="24"/>
          <w:szCs w:val="24"/>
        </w:rPr>
        <w:t xml:space="preserve"> UKHL 18</w:t>
      </w:r>
      <w:bookmarkEnd w:id="17"/>
      <w:r w:rsidR="00253F61" w:rsidRPr="00DA589A">
        <w:rPr>
          <w:i/>
          <w:iCs/>
          <w:sz w:val="24"/>
          <w:szCs w:val="24"/>
        </w:rPr>
        <w:t xml:space="preserve"> </w:t>
      </w:r>
      <w:r w:rsidR="00253F61" w:rsidRPr="00DA589A">
        <w:rPr>
          <w:sz w:val="24"/>
          <w:szCs w:val="24"/>
        </w:rPr>
        <w:t>this case set out three principles that define how the courts deal with the deliberate acts of the third party. The first is there must be an established relationship between the claimant and defendant</w:t>
      </w:r>
      <w:r w:rsidR="00EF585C" w:rsidRPr="00DA589A">
        <w:rPr>
          <w:sz w:val="24"/>
          <w:szCs w:val="24"/>
        </w:rPr>
        <w:t xml:space="preserve">. The second </w:t>
      </w:r>
      <w:r w:rsidR="00EF585C" w:rsidRPr="00DA589A">
        <w:rPr>
          <w:sz w:val="24"/>
          <w:szCs w:val="24"/>
        </w:rPr>
        <w:lastRenderedPageBreak/>
        <w:t xml:space="preserve">was the actions foreseeable using the case of </w:t>
      </w:r>
      <w:r w:rsidR="00FC4ED4" w:rsidRPr="00DA589A">
        <w:rPr>
          <w:i/>
          <w:iCs/>
          <w:sz w:val="24"/>
          <w:szCs w:val="24"/>
        </w:rPr>
        <w:t>Wagon Mound [1961]</w:t>
      </w:r>
      <w:r w:rsidR="00EF585C" w:rsidRPr="00DA589A">
        <w:rPr>
          <w:sz w:val="24"/>
          <w:szCs w:val="24"/>
        </w:rPr>
        <w:t xml:space="preserve">. Where the defendant knows or ought to know the possible risk of vandalism upon the property. One of the key issues when dealing with the deliberate act of a third party comes from </w:t>
      </w:r>
      <w:bookmarkStart w:id="18" w:name="_Hlk55507787"/>
      <w:r w:rsidR="00A547D0" w:rsidRPr="00DA589A">
        <w:rPr>
          <w:i/>
          <w:iCs/>
          <w:sz w:val="24"/>
          <w:szCs w:val="24"/>
        </w:rPr>
        <w:t>T</w:t>
      </w:r>
      <w:r w:rsidR="00EF585C" w:rsidRPr="00DA589A">
        <w:rPr>
          <w:i/>
          <w:iCs/>
          <w:sz w:val="24"/>
          <w:szCs w:val="24"/>
        </w:rPr>
        <w:t>he O</w:t>
      </w:r>
      <w:r w:rsidR="00A547D0" w:rsidRPr="00DA589A">
        <w:rPr>
          <w:i/>
          <w:iCs/>
          <w:sz w:val="24"/>
          <w:szCs w:val="24"/>
        </w:rPr>
        <w:t>ropesa [1943]</w:t>
      </w:r>
      <w:r w:rsidR="00FC4ED4" w:rsidRPr="00DA589A">
        <w:rPr>
          <w:i/>
          <w:iCs/>
          <w:sz w:val="24"/>
          <w:szCs w:val="24"/>
        </w:rPr>
        <w:t xml:space="preserve"> 1 All ER 211</w:t>
      </w:r>
      <w:bookmarkEnd w:id="18"/>
      <w:r w:rsidR="00FF53C0" w:rsidRPr="00DA589A">
        <w:rPr>
          <w:sz w:val="24"/>
          <w:szCs w:val="24"/>
        </w:rPr>
        <w:t xml:space="preserve">. This highlights the fact that the third </w:t>
      </w:r>
      <w:r w:rsidR="00294BE6" w:rsidRPr="00DA589A">
        <w:rPr>
          <w:sz w:val="24"/>
          <w:szCs w:val="24"/>
        </w:rPr>
        <w:t>party’s</w:t>
      </w:r>
      <w:r w:rsidR="00FF53C0" w:rsidRPr="00DA589A">
        <w:rPr>
          <w:sz w:val="24"/>
          <w:szCs w:val="24"/>
        </w:rPr>
        <w:t xml:space="preserve"> intervention must be independent from the original act. This leads on </w:t>
      </w:r>
      <w:r w:rsidR="00FF53C0" w:rsidRPr="00DA589A">
        <w:rPr>
          <w:i/>
          <w:iCs/>
          <w:sz w:val="24"/>
          <w:szCs w:val="24"/>
        </w:rPr>
        <w:t>to Haynes v Hardwood [1935]</w:t>
      </w:r>
      <w:r w:rsidR="00FC4ED4" w:rsidRPr="00DA589A">
        <w:rPr>
          <w:i/>
          <w:iCs/>
          <w:sz w:val="24"/>
          <w:szCs w:val="24"/>
        </w:rPr>
        <w:t xml:space="preserve"> 1 KB 146</w:t>
      </w:r>
      <w:r w:rsidR="00FF53C0" w:rsidRPr="00DA589A">
        <w:rPr>
          <w:sz w:val="24"/>
          <w:szCs w:val="24"/>
        </w:rPr>
        <w:t xml:space="preserve"> which suggests that the third party is required to be voluntary. This means that the third party must be aware that they are committing a tortious act. The example of </w:t>
      </w:r>
      <w:r w:rsidR="00FF53C0" w:rsidRPr="00DA589A">
        <w:rPr>
          <w:i/>
          <w:iCs/>
          <w:sz w:val="24"/>
          <w:szCs w:val="24"/>
        </w:rPr>
        <w:t>Haynes v Harwood</w:t>
      </w:r>
      <w:r w:rsidR="00F91DFB" w:rsidRPr="00DA589A">
        <w:rPr>
          <w:i/>
          <w:iCs/>
          <w:sz w:val="24"/>
          <w:szCs w:val="24"/>
        </w:rPr>
        <w:t xml:space="preserve"> [1935] 1 KB 146</w:t>
      </w:r>
      <w:r w:rsidR="00FF53C0" w:rsidRPr="00DA589A">
        <w:rPr>
          <w:sz w:val="24"/>
          <w:szCs w:val="24"/>
        </w:rPr>
        <w:t xml:space="preserve"> was that a third party threw a stone at the horse. Moreover, the act from the third party must not break the chain of causation if the defendant is to be considered as liable on the balance of probabilities.</w:t>
      </w:r>
      <w:r w:rsidR="008E6FA5" w:rsidRPr="00DA589A">
        <w:rPr>
          <w:sz w:val="24"/>
          <w:szCs w:val="24"/>
        </w:rPr>
        <w:t xml:space="preserve"> The reasonable case to apply when highlighting how the courts come to their decision when dealing with the deliberate </w:t>
      </w:r>
      <w:r w:rsidR="00E3137A" w:rsidRPr="00DA589A">
        <w:rPr>
          <w:sz w:val="24"/>
          <w:szCs w:val="24"/>
        </w:rPr>
        <w:t xml:space="preserve">act of a third party in terms of multiple sufficient causes and </w:t>
      </w:r>
      <w:r w:rsidR="00CA5FB5">
        <w:rPr>
          <w:sz w:val="24"/>
          <w:szCs w:val="24"/>
        </w:rPr>
        <w:t>N</w:t>
      </w:r>
      <w:r w:rsidR="00E3137A" w:rsidRPr="00DA589A">
        <w:rPr>
          <w:sz w:val="24"/>
          <w:szCs w:val="24"/>
        </w:rPr>
        <w:t>ovus actus interveni</w:t>
      </w:r>
      <w:r w:rsidR="00F91DFB" w:rsidRPr="00DA589A">
        <w:rPr>
          <w:sz w:val="24"/>
          <w:szCs w:val="24"/>
        </w:rPr>
        <w:t>e</w:t>
      </w:r>
      <w:r w:rsidR="00E3137A" w:rsidRPr="00DA589A">
        <w:rPr>
          <w:sz w:val="24"/>
          <w:szCs w:val="24"/>
        </w:rPr>
        <w:t>ns is Baker v Willoughby. The defendant within this case argued that the chain of causation was broken by the third party. However, the courts were adamant that even if the third party could be identified then the limb was neither more nor less disabled than before the supervening</w:t>
      </w:r>
      <w:r w:rsidR="00316BF8" w:rsidRPr="00DA589A">
        <w:rPr>
          <w:sz w:val="24"/>
          <w:szCs w:val="24"/>
        </w:rPr>
        <w:t xml:space="preserve"> </w:t>
      </w:r>
      <w:r w:rsidR="00E3137A" w:rsidRPr="00DA589A">
        <w:rPr>
          <w:sz w:val="24"/>
          <w:szCs w:val="24"/>
        </w:rPr>
        <w:t xml:space="preserve">event. </w:t>
      </w:r>
      <w:r w:rsidR="00316BF8" w:rsidRPr="00DA589A">
        <w:rPr>
          <w:i/>
          <w:iCs/>
          <w:sz w:val="24"/>
          <w:szCs w:val="24"/>
        </w:rPr>
        <w:t>Performance Cars Ltd</w:t>
      </w:r>
      <w:r w:rsidR="00F91DFB" w:rsidRPr="00DA589A">
        <w:rPr>
          <w:i/>
          <w:iCs/>
          <w:sz w:val="24"/>
          <w:szCs w:val="24"/>
        </w:rPr>
        <w:t xml:space="preserve"> v Abraham [1962] 1 QB 33</w:t>
      </w:r>
      <w:r w:rsidR="00316BF8" w:rsidRPr="00DA589A">
        <w:rPr>
          <w:sz w:val="24"/>
          <w:szCs w:val="24"/>
        </w:rPr>
        <w:t xml:space="preserve"> was used in </w:t>
      </w:r>
      <w:r w:rsidR="00316BF8" w:rsidRPr="00DA589A">
        <w:rPr>
          <w:i/>
          <w:iCs/>
          <w:sz w:val="24"/>
          <w:szCs w:val="24"/>
        </w:rPr>
        <w:t xml:space="preserve">the </w:t>
      </w:r>
      <w:bookmarkStart w:id="19" w:name="_Hlk55507836"/>
      <w:r w:rsidR="00F91DFB" w:rsidRPr="00DA589A">
        <w:rPr>
          <w:i/>
          <w:iCs/>
          <w:sz w:val="24"/>
          <w:szCs w:val="24"/>
        </w:rPr>
        <w:t>B</w:t>
      </w:r>
      <w:r w:rsidR="00316BF8" w:rsidRPr="00DA589A">
        <w:rPr>
          <w:i/>
          <w:iCs/>
          <w:sz w:val="24"/>
          <w:szCs w:val="24"/>
        </w:rPr>
        <w:t>aker v Willoughby</w:t>
      </w:r>
      <w:r w:rsidR="00F91DFB" w:rsidRPr="00DA589A">
        <w:rPr>
          <w:i/>
          <w:iCs/>
          <w:sz w:val="24"/>
          <w:szCs w:val="24"/>
        </w:rPr>
        <w:t xml:space="preserve"> [1969] UKHL 8</w:t>
      </w:r>
      <w:bookmarkEnd w:id="19"/>
      <w:r w:rsidR="00316BF8" w:rsidRPr="00DA589A">
        <w:rPr>
          <w:sz w:val="24"/>
          <w:szCs w:val="24"/>
        </w:rPr>
        <w:t xml:space="preserve"> this was to showcase that the original defendant is more than likely going to have to pay for the damages. Moreover, it also suggests that the claimant cannot claim damages for the same loss twice and thus </w:t>
      </w:r>
      <w:bookmarkStart w:id="20" w:name="_Hlk55507896"/>
      <w:r w:rsidR="00397891" w:rsidRPr="00DA589A">
        <w:rPr>
          <w:sz w:val="24"/>
          <w:szCs w:val="24"/>
        </w:rPr>
        <w:t xml:space="preserve">within </w:t>
      </w:r>
      <w:r w:rsidR="00397891" w:rsidRPr="00DA589A">
        <w:rPr>
          <w:i/>
          <w:iCs/>
          <w:sz w:val="24"/>
          <w:szCs w:val="24"/>
        </w:rPr>
        <w:t>Performance Cars Ltd v Abraham</w:t>
      </w:r>
      <w:r w:rsidR="00F91DFB" w:rsidRPr="00DA589A">
        <w:rPr>
          <w:i/>
          <w:iCs/>
          <w:sz w:val="24"/>
          <w:szCs w:val="24"/>
        </w:rPr>
        <w:t xml:space="preserve"> [1962] 1 QB 33</w:t>
      </w:r>
      <w:bookmarkEnd w:id="20"/>
      <w:r w:rsidR="00397891" w:rsidRPr="00DA589A">
        <w:rPr>
          <w:sz w:val="24"/>
          <w:szCs w:val="24"/>
        </w:rPr>
        <w:t xml:space="preserve"> the appellant won their appeal.  </w:t>
      </w:r>
    </w:p>
    <w:p w14:paraId="323C20F7" w14:textId="2042ABFF" w:rsidR="00922C33" w:rsidRPr="00DA589A" w:rsidRDefault="008E6FA5" w:rsidP="00DA589A">
      <w:pPr>
        <w:spacing w:line="480" w:lineRule="auto"/>
        <w:jc w:val="both"/>
        <w:rPr>
          <w:sz w:val="24"/>
          <w:szCs w:val="24"/>
        </w:rPr>
      </w:pPr>
      <w:r w:rsidRPr="00DA589A">
        <w:rPr>
          <w:sz w:val="24"/>
          <w:szCs w:val="24"/>
        </w:rPr>
        <w:t>The claimant may have a part to play in their own loss after the original damage caused by th</w:t>
      </w:r>
      <w:r w:rsidR="00397891" w:rsidRPr="00DA589A">
        <w:rPr>
          <w:sz w:val="24"/>
          <w:szCs w:val="24"/>
        </w:rPr>
        <w:t>e defendant.</w:t>
      </w:r>
      <w:r w:rsidR="0049145B" w:rsidRPr="00DA589A">
        <w:rPr>
          <w:sz w:val="24"/>
          <w:szCs w:val="24"/>
        </w:rPr>
        <w:t xml:space="preserve"> This also covers the remoteness of damage which calls into question whether or damage sustained can be directly linked to the defendant’s negligence.</w:t>
      </w:r>
      <w:r w:rsidR="00397891" w:rsidRPr="00DA589A">
        <w:rPr>
          <w:sz w:val="24"/>
          <w:szCs w:val="24"/>
        </w:rPr>
        <w:t xml:space="preserve"> An example of this can be seen in </w:t>
      </w:r>
      <w:bookmarkStart w:id="21" w:name="_Hlk55507968"/>
      <w:proofErr w:type="spellStart"/>
      <w:r w:rsidR="00397891" w:rsidRPr="00DA589A">
        <w:rPr>
          <w:i/>
          <w:iCs/>
          <w:sz w:val="24"/>
          <w:szCs w:val="24"/>
        </w:rPr>
        <w:t>Corr</w:t>
      </w:r>
      <w:proofErr w:type="spellEnd"/>
      <w:r w:rsidR="00397891" w:rsidRPr="00DA589A">
        <w:rPr>
          <w:i/>
          <w:iCs/>
          <w:sz w:val="24"/>
          <w:szCs w:val="24"/>
        </w:rPr>
        <w:t xml:space="preserve"> v IBC Vehicles [200</w:t>
      </w:r>
      <w:r w:rsidR="0029630D" w:rsidRPr="00DA589A">
        <w:rPr>
          <w:i/>
          <w:iCs/>
          <w:sz w:val="24"/>
          <w:szCs w:val="24"/>
        </w:rPr>
        <w:t>8</w:t>
      </w:r>
      <w:r w:rsidR="00397891" w:rsidRPr="00DA589A">
        <w:rPr>
          <w:i/>
          <w:iCs/>
          <w:sz w:val="24"/>
          <w:szCs w:val="24"/>
        </w:rPr>
        <w:t>]</w:t>
      </w:r>
      <w:r w:rsidR="0029630D" w:rsidRPr="00DA589A">
        <w:rPr>
          <w:i/>
          <w:iCs/>
          <w:sz w:val="24"/>
          <w:szCs w:val="24"/>
        </w:rPr>
        <w:t xml:space="preserve"> 1 AC 884</w:t>
      </w:r>
      <w:r w:rsidR="00397891" w:rsidRPr="00DA589A">
        <w:rPr>
          <w:sz w:val="24"/>
          <w:szCs w:val="24"/>
        </w:rPr>
        <w:t xml:space="preserve"> </w:t>
      </w:r>
      <w:bookmarkEnd w:id="21"/>
      <w:r w:rsidR="0029630D" w:rsidRPr="00DA589A">
        <w:rPr>
          <w:sz w:val="24"/>
          <w:szCs w:val="24"/>
        </w:rPr>
        <w:t>t</w:t>
      </w:r>
      <w:r w:rsidR="00397891" w:rsidRPr="00DA589A">
        <w:rPr>
          <w:sz w:val="24"/>
          <w:szCs w:val="24"/>
        </w:rPr>
        <w:t xml:space="preserve">he claimant suffered a loss at work which was accepted as negligence on the behalf of the defendant. </w:t>
      </w:r>
      <w:r w:rsidR="0054021B" w:rsidRPr="00DA589A">
        <w:rPr>
          <w:sz w:val="24"/>
          <w:szCs w:val="24"/>
        </w:rPr>
        <w:t xml:space="preserve">However, due to the residual </w:t>
      </w:r>
      <w:r w:rsidR="0054021B" w:rsidRPr="00DA589A">
        <w:rPr>
          <w:sz w:val="24"/>
          <w:szCs w:val="24"/>
        </w:rPr>
        <w:lastRenderedPageBreak/>
        <w:t>effects of his injuries he committed suicide. The question of whether the further loss to the claimant is too remote in law to constitute compensation.</w:t>
      </w:r>
      <w:r w:rsidR="004B386D" w:rsidRPr="00DA589A">
        <w:rPr>
          <w:sz w:val="24"/>
          <w:szCs w:val="24"/>
        </w:rPr>
        <w:t xml:space="preserve"> Furthermore</w:t>
      </w:r>
      <w:r w:rsidR="000F1EFE" w:rsidRPr="00DA589A">
        <w:rPr>
          <w:sz w:val="24"/>
          <w:szCs w:val="24"/>
        </w:rPr>
        <w:t>,</w:t>
      </w:r>
      <w:r w:rsidR="004B386D" w:rsidRPr="00DA589A">
        <w:rPr>
          <w:sz w:val="24"/>
          <w:szCs w:val="24"/>
        </w:rPr>
        <w:t xml:space="preserve"> Lord Neu</w:t>
      </w:r>
      <w:r w:rsidR="000F1EFE" w:rsidRPr="00DA589A">
        <w:rPr>
          <w:sz w:val="24"/>
          <w:szCs w:val="24"/>
        </w:rPr>
        <w:t>berger held that the defendant was liable as the likelihood of the claimant</w:t>
      </w:r>
      <w:r w:rsidR="00586D18" w:rsidRPr="00DA589A">
        <w:rPr>
          <w:sz w:val="24"/>
          <w:szCs w:val="24"/>
        </w:rPr>
        <w:t>’</w:t>
      </w:r>
      <w:r w:rsidR="000F1EFE" w:rsidRPr="00DA589A">
        <w:rPr>
          <w:sz w:val="24"/>
          <w:szCs w:val="24"/>
        </w:rPr>
        <w:t>s suicide came as the result of the defendant</w:t>
      </w:r>
      <w:r w:rsidR="009032DA" w:rsidRPr="00DA589A">
        <w:rPr>
          <w:sz w:val="24"/>
          <w:szCs w:val="24"/>
        </w:rPr>
        <w:t>’</w:t>
      </w:r>
      <w:r w:rsidR="000F1EFE" w:rsidRPr="00DA589A">
        <w:rPr>
          <w:sz w:val="24"/>
          <w:szCs w:val="24"/>
        </w:rPr>
        <w:t>s negligence. The foreseeability of the event of the claimant</w:t>
      </w:r>
      <w:r w:rsidR="00586D18" w:rsidRPr="00DA589A">
        <w:rPr>
          <w:sz w:val="24"/>
          <w:szCs w:val="24"/>
        </w:rPr>
        <w:t>’</w:t>
      </w:r>
      <w:r w:rsidR="000F1EFE" w:rsidRPr="00DA589A">
        <w:rPr>
          <w:sz w:val="24"/>
          <w:szCs w:val="24"/>
        </w:rPr>
        <w:t>s suicide was not too remote in law and thus did not break the chain of causation.</w:t>
      </w:r>
      <w:r w:rsidR="00065C7A" w:rsidRPr="00DA589A">
        <w:rPr>
          <w:sz w:val="24"/>
          <w:szCs w:val="24"/>
        </w:rPr>
        <w:t xml:space="preserve"> The responsibilities the </w:t>
      </w:r>
      <w:r w:rsidR="00EB570C" w:rsidRPr="00DA589A">
        <w:rPr>
          <w:sz w:val="24"/>
          <w:szCs w:val="24"/>
        </w:rPr>
        <w:t>employers</w:t>
      </w:r>
      <w:r w:rsidR="00065C7A" w:rsidRPr="00DA589A">
        <w:rPr>
          <w:sz w:val="24"/>
          <w:szCs w:val="24"/>
        </w:rPr>
        <w:t xml:space="preserve"> were set out </w:t>
      </w:r>
      <w:r w:rsidR="00065C7A" w:rsidRPr="00DA589A">
        <w:rPr>
          <w:i/>
          <w:iCs/>
          <w:sz w:val="24"/>
          <w:szCs w:val="24"/>
        </w:rPr>
        <w:t xml:space="preserve">in </w:t>
      </w:r>
      <w:bookmarkStart w:id="22" w:name="_Hlk55508012"/>
      <w:r w:rsidR="00065C7A" w:rsidRPr="00DA589A">
        <w:rPr>
          <w:i/>
          <w:iCs/>
          <w:sz w:val="24"/>
          <w:szCs w:val="24"/>
        </w:rPr>
        <w:t xml:space="preserve">Fairchild </w:t>
      </w:r>
      <w:r w:rsidR="00EB570C" w:rsidRPr="00DA589A">
        <w:rPr>
          <w:i/>
          <w:iCs/>
          <w:sz w:val="24"/>
          <w:szCs w:val="24"/>
        </w:rPr>
        <w:t xml:space="preserve">v </w:t>
      </w:r>
      <w:proofErr w:type="spellStart"/>
      <w:r w:rsidR="00EB570C" w:rsidRPr="00DA589A">
        <w:rPr>
          <w:i/>
          <w:iCs/>
          <w:sz w:val="24"/>
          <w:szCs w:val="24"/>
        </w:rPr>
        <w:t>Glenhaven</w:t>
      </w:r>
      <w:proofErr w:type="spellEnd"/>
      <w:r w:rsidR="00EB570C" w:rsidRPr="00DA589A">
        <w:rPr>
          <w:i/>
          <w:iCs/>
          <w:sz w:val="24"/>
          <w:szCs w:val="24"/>
        </w:rPr>
        <w:t xml:space="preserve"> Funeral Services </w:t>
      </w:r>
      <w:r w:rsidR="00065C7A" w:rsidRPr="00DA589A">
        <w:rPr>
          <w:i/>
          <w:iCs/>
          <w:sz w:val="24"/>
          <w:szCs w:val="24"/>
        </w:rPr>
        <w:t>[2002]</w:t>
      </w:r>
      <w:r w:rsidR="0029630D" w:rsidRPr="00DA589A">
        <w:rPr>
          <w:i/>
          <w:iCs/>
          <w:sz w:val="24"/>
          <w:szCs w:val="24"/>
        </w:rPr>
        <w:t xml:space="preserve"> UKHL 22</w:t>
      </w:r>
      <w:r w:rsidR="00065C7A" w:rsidRPr="00DA589A">
        <w:rPr>
          <w:sz w:val="24"/>
          <w:szCs w:val="24"/>
        </w:rPr>
        <w:t xml:space="preserve"> </w:t>
      </w:r>
      <w:bookmarkEnd w:id="22"/>
      <w:r w:rsidR="00EB570C" w:rsidRPr="00DA589A">
        <w:rPr>
          <w:sz w:val="24"/>
          <w:szCs w:val="24"/>
        </w:rPr>
        <w:t>which points the courts in the direction of the law reform act 1945.</w:t>
      </w:r>
      <w:r w:rsidR="000F1EFE" w:rsidRPr="00DA589A">
        <w:rPr>
          <w:sz w:val="24"/>
          <w:szCs w:val="24"/>
        </w:rPr>
        <w:t xml:space="preserve"> </w:t>
      </w:r>
      <w:r w:rsidR="0054021B" w:rsidRPr="00DA589A">
        <w:rPr>
          <w:sz w:val="24"/>
          <w:szCs w:val="24"/>
        </w:rPr>
        <w:t xml:space="preserve">The original test for this would have been Re </w:t>
      </w:r>
      <w:proofErr w:type="spellStart"/>
      <w:r w:rsidR="0054021B" w:rsidRPr="00DA589A">
        <w:rPr>
          <w:sz w:val="24"/>
          <w:szCs w:val="24"/>
        </w:rPr>
        <w:t>Polmis</w:t>
      </w:r>
      <w:proofErr w:type="spellEnd"/>
      <w:r w:rsidR="0054021B" w:rsidRPr="00DA589A">
        <w:rPr>
          <w:sz w:val="24"/>
          <w:szCs w:val="24"/>
        </w:rPr>
        <w:t xml:space="preserve"> which would have rendered the defendant liable as the act of suicide although not a result of the </w:t>
      </w:r>
      <w:r w:rsidR="004B386D" w:rsidRPr="00DA589A">
        <w:rPr>
          <w:sz w:val="24"/>
          <w:szCs w:val="24"/>
        </w:rPr>
        <w:t>defendant’s</w:t>
      </w:r>
      <w:r w:rsidR="0054021B" w:rsidRPr="00DA589A">
        <w:rPr>
          <w:sz w:val="24"/>
          <w:szCs w:val="24"/>
        </w:rPr>
        <w:t xml:space="preserve"> </w:t>
      </w:r>
      <w:r w:rsidR="00A57DCE" w:rsidRPr="00DA589A">
        <w:rPr>
          <w:sz w:val="24"/>
          <w:szCs w:val="24"/>
        </w:rPr>
        <w:t>negligence</w:t>
      </w:r>
      <w:r w:rsidR="003A2835" w:rsidRPr="00DA589A">
        <w:rPr>
          <w:sz w:val="24"/>
          <w:szCs w:val="24"/>
        </w:rPr>
        <w:t xml:space="preserve"> some foreseeability must be </w:t>
      </w:r>
      <w:r w:rsidR="004B386D" w:rsidRPr="00DA589A">
        <w:rPr>
          <w:sz w:val="24"/>
          <w:szCs w:val="24"/>
        </w:rPr>
        <w:t>present</w:t>
      </w:r>
      <w:r w:rsidR="00A57DCE" w:rsidRPr="00DA589A">
        <w:rPr>
          <w:sz w:val="24"/>
          <w:szCs w:val="24"/>
        </w:rPr>
        <w:t>.</w:t>
      </w:r>
      <w:r w:rsidR="009032DA" w:rsidRPr="00DA589A">
        <w:rPr>
          <w:sz w:val="24"/>
          <w:szCs w:val="24"/>
        </w:rPr>
        <w:t xml:space="preserve"> An example of this can be seen in </w:t>
      </w:r>
      <w:bookmarkStart w:id="23" w:name="_Hlk55508065"/>
      <w:proofErr w:type="spellStart"/>
      <w:r w:rsidR="009032DA" w:rsidRPr="00DA589A">
        <w:rPr>
          <w:i/>
          <w:iCs/>
          <w:sz w:val="24"/>
          <w:szCs w:val="24"/>
        </w:rPr>
        <w:t>Pigney</w:t>
      </w:r>
      <w:proofErr w:type="spellEnd"/>
      <w:r w:rsidR="009032DA" w:rsidRPr="00DA589A">
        <w:rPr>
          <w:i/>
          <w:iCs/>
          <w:sz w:val="24"/>
          <w:szCs w:val="24"/>
        </w:rPr>
        <w:t xml:space="preserve"> v Pointers Transport Services Ltd [1957]</w:t>
      </w:r>
      <w:r w:rsidR="0029630D" w:rsidRPr="00DA589A">
        <w:rPr>
          <w:i/>
          <w:iCs/>
          <w:sz w:val="24"/>
          <w:szCs w:val="24"/>
        </w:rPr>
        <w:t xml:space="preserve"> 1 WLR 1121</w:t>
      </w:r>
      <w:bookmarkEnd w:id="23"/>
      <w:r w:rsidR="009032DA" w:rsidRPr="00DA589A">
        <w:rPr>
          <w:i/>
          <w:iCs/>
          <w:sz w:val="24"/>
          <w:szCs w:val="24"/>
        </w:rPr>
        <w:t>.</w:t>
      </w:r>
      <w:r w:rsidR="00A57DCE" w:rsidRPr="00DA589A">
        <w:rPr>
          <w:sz w:val="24"/>
          <w:szCs w:val="24"/>
        </w:rPr>
        <w:t xml:space="preserve"> Despite this wagon mound would be a better option as it </w:t>
      </w:r>
      <w:r w:rsidR="003A2835" w:rsidRPr="00DA589A">
        <w:rPr>
          <w:sz w:val="24"/>
          <w:szCs w:val="24"/>
        </w:rPr>
        <w:t xml:space="preserve">factors in </w:t>
      </w:r>
      <w:r w:rsidR="00F559ED" w:rsidRPr="00DA589A">
        <w:rPr>
          <w:sz w:val="24"/>
          <w:szCs w:val="24"/>
        </w:rPr>
        <w:t xml:space="preserve">the concept of contributory negligence. The existence of contributory negligence acts as a safety net for the claimant. </w:t>
      </w:r>
      <w:r w:rsidR="004B386D" w:rsidRPr="00DA589A">
        <w:rPr>
          <w:sz w:val="24"/>
          <w:szCs w:val="24"/>
        </w:rPr>
        <w:t xml:space="preserve">Within section 5 of </w:t>
      </w:r>
      <w:bookmarkStart w:id="24" w:name="_Hlk55508118"/>
      <w:r w:rsidR="004B386D" w:rsidRPr="00DA589A">
        <w:rPr>
          <w:sz w:val="24"/>
          <w:szCs w:val="24"/>
        </w:rPr>
        <w:t xml:space="preserve">the </w:t>
      </w:r>
      <w:r w:rsidR="004B386D" w:rsidRPr="00DA589A">
        <w:rPr>
          <w:i/>
          <w:iCs/>
          <w:sz w:val="24"/>
          <w:szCs w:val="24"/>
        </w:rPr>
        <w:t>Fatal Accidents act 1976</w:t>
      </w:r>
      <w:r w:rsidR="004B386D" w:rsidRPr="00DA589A">
        <w:rPr>
          <w:sz w:val="24"/>
          <w:szCs w:val="24"/>
        </w:rPr>
        <w:t xml:space="preserve"> </w:t>
      </w:r>
      <w:bookmarkEnd w:id="24"/>
      <w:r w:rsidR="004B386D" w:rsidRPr="00DA589A">
        <w:rPr>
          <w:sz w:val="24"/>
          <w:szCs w:val="24"/>
        </w:rPr>
        <w:t xml:space="preserve">it states that if a claimant has a fatal accident where the individual is partially to blame then under the </w:t>
      </w:r>
      <w:bookmarkStart w:id="25" w:name="_Hlk55508173"/>
      <w:r w:rsidR="004B386D" w:rsidRPr="00DA589A">
        <w:rPr>
          <w:i/>
          <w:iCs/>
          <w:sz w:val="24"/>
          <w:szCs w:val="24"/>
        </w:rPr>
        <w:t>Law reform act 1934</w:t>
      </w:r>
      <w:r w:rsidR="004B386D" w:rsidRPr="00DA589A">
        <w:rPr>
          <w:sz w:val="24"/>
          <w:szCs w:val="24"/>
        </w:rPr>
        <w:t xml:space="preserve"> </w:t>
      </w:r>
      <w:bookmarkEnd w:id="25"/>
      <w:r w:rsidR="004B386D" w:rsidRPr="00DA589A">
        <w:rPr>
          <w:sz w:val="24"/>
          <w:szCs w:val="24"/>
        </w:rPr>
        <w:t xml:space="preserve">they should receive a reduction on compensation given to them by the defendant. Moreover, this act was brought in to ensure that the claimant will receive damages on behalf of the defendant despite it seemingly favouring the claimant. </w:t>
      </w:r>
      <w:r w:rsidR="000F1EFE" w:rsidRPr="00DA589A">
        <w:rPr>
          <w:sz w:val="24"/>
          <w:szCs w:val="24"/>
        </w:rPr>
        <w:t xml:space="preserve">The mere fact that a contributory negligence claim was not eligible raises the question of inconsistencies in </w:t>
      </w:r>
      <w:r w:rsidR="00586695" w:rsidRPr="00DA589A">
        <w:rPr>
          <w:sz w:val="24"/>
          <w:szCs w:val="24"/>
        </w:rPr>
        <w:t>other</w:t>
      </w:r>
      <w:r w:rsidR="000F1EFE" w:rsidRPr="00DA589A">
        <w:rPr>
          <w:sz w:val="24"/>
          <w:szCs w:val="24"/>
        </w:rPr>
        <w:t xml:space="preserve"> cases.</w:t>
      </w:r>
      <w:r w:rsidR="0054021B" w:rsidRPr="00DA589A">
        <w:rPr>
          <w:sz w:val="24"/>
          <w:szCs w:val="24"/>
        </w:rPr>
        <w:t xml:space="preserve"> </w:t>
      </w:r>
      <w:r w:rsidR="000F1EFE" w:rsidRPr="00DA589A">
        <w:rPr>
          <w:sz w:val="24"/>
          <w:szCs w:val="24"/>
        </w:rPr>
        <w:t>For example</w:t>
      </w:r>
      <w:bookmarkStart w:id="26" w:name="_Hlk55508229"/>
      <w:r w:rsidR="00586695" w:rsidRPr="00DA589A">
        <w:rPr>
          <w:sz w:val="24"/>
          <w:szCs w:val="24"/>
        </w:rPr>
        <w:t xml:space="preserve">, </w:t>
      </w:r>
      <w:r w:rsidR="00586695" w:rsidRPr="00DA589A">
        <w:rPr>
          <w:i/>
          <w:iCs/>
          <w:sz w:val="24"/>
          <w:szCs w:val="24"/>
        </w:rPr>
        <w:t>St George v Home Office [2008]</w:t>
      </w:r>
      <w:r w:rsidR="0029630D" w:rsidRPr="00DA589A">
        <w:rPr>
          <w:i/>
          <w:iCs/>
          <w:sz w:val="24"/>
          <w:szCs w:val="24"/>
        </w:rPr>
        <w:t xml:space="preserve"> </w:t>
      </w:r>
      <w:r w:rsidR="00A90D9B" w:rsidRPr="00DA589A">
        <w:rPr>
          <w:i/>
          <w:iCs/>
          <w:sz w:val="24"/>
          <w:szCs w:val="24"/>
        </w:rPr>
        <w:t xml:space="preserve">EWCA </w:t>
      </w:r>
      <w:proofErr w:type="spellStart"/>
      <w:r w:rsidR="00A90D9B" w:rsidRPr="00DA589A">
        <w:rPr>
          <w:i/>
          <w:iCs/>
          <w:sz w:val="24"/>
          <w:szCs w:val="24"/>
        </w:rPr>
        <w:t>Civ</w:t>
      </w:r>
      <w:proofErr w:type="spellEnd"/>
      <w:r w:rsidR="00A90D9B" w:rsidRPr="00DA589A">
        <w:rPr>
          <w:i/>
          <w:iCs/>
          <w:sz w:val="24"/>
          <w:szCs w:val="24"/>
        </w:rPr>
        <w:t xml:space="preserve"> 1068</w:t>
      </w:r>
      <w:r w:rsidR="00586695" w:rsidRPr="00DA589A">
        <w:rPr>
          <w:sz w:val="24"/>
          <w:szCs w:val="24"/>
        </w:rPr>
        <w:t xml:space="preserve"> </w:t>
      </w:r>
      <w:bookmarkEnd w:id="26"/>
      <w:r w:rsidR="00586695" w:rsidRPr="00DA589A">
        <w:rPr>
          <w:sz w:val="24"/>
          <w:szCs w:val="24"/>
        </w:rPr>
        <w:t>deals with a set of similar circumstances. The claimant was gr</w:t>
      </w:r>
      <w:r w:rsidR="00F925EC" w:rsidRPr="00DA589A">
        <w:rPr>
          <w:sz w:val="24"/>
          <w:szCs w:val="24"/>
        </w:rPr>
        <w:t>anted compensation at 15% of due to a history of drug abuse.</w:t>
      </w:r>
      <w:r w:rsidR="006D02D5" w:rsidRPr="00DA589A">
        <w:rPr>
          <w:sz w:val="24"/>
          <w:szCs w:val="24"/>
        </w:rPr>
        <w:t xml:space="preserve"> This can be seen as unfair as a claimant</w:t>
      </w:r>
      <w:r w:rsidR="00586D18" w:rsidRPr="00DA589A">
        <w:rPr>
          <w:sz w:val="24"/>
          <w:szCs w:val="24"/>
        </w:rPr>
        <w:t>’</w:t>
      </w:r>
      <w:r w:rsidR="006D02D5" w:rsidRPr="00DA589A">
        <w:rPr>
          <w:sz w:val="24"/>
          <w:szCs w:val="24"/>
        </w:rPr>
        <w:t>s history that does not</w:t>
      </w:r>
      <w:r w:rsidR="00586D18" w:rsidRPr="00DA589A">
        <w:rPr>
          <w:sz w:val="24"/>
          <w:szCs w:val="24"/>
        </w:rPr>
        <w:t xml:space="preserve"> relate to the intervening act</w:t>
      </w:r>
      <w:r w:rsidR="00D5223D" w:rsidRPr="00DA589A">
        <w:rPr>
          <w:sz w:val="24"/>
          <w:szCs w:val="24"/>
        </w:rPr>
        <w:t xml:space="preserve"> and</w:t>
      </w:r>
      <w:r w:rsidR="00586D18" w:rsidRPr="00DA589A">
        <w:rPr>
          <w:sz w:val="24"/>
          <w:szCs w:val="24"/>
        </w:rPr>
        <w:t xml:space="preserve"> should not break the chain of causation.</w:t>
      </w:r>
      <w:r w:rsidR="00E41E9C" w:rsidRPr="00DA589A">
        <w:rPr>
          <w:sz w:val="24"/>
          <w:szCs w:val="24"/>
        </w:rPr>
        <w:t xml:space="preserve"> Also it is important to highlight that the </w:t>
      </w:r>
      <w:bookmarkStart w:id="27" w:name="_Hlk55508296"/>
      <w:r w:rsidR="00E41E9C" w:rsidRPr="00DA589A">
        <w:rPr>
          <w:i/>
          <w:iCs/>
          <w:sz w:val="24"/>
          <w:szCs w:val="24"/>
        </w:rPr>
        <w:t>Bolitho v City and Hackney Health Authority</w:t>
      </w:r>
      <w:r w:rsidR="00A90D9B" w:rsidRPr="00DA589A">
        <w:rPr>
          <w:i/>
          <w:iCs/>
          <w:sz w:val="24"/>
          <w:szCs w:val="24"/>
        </w:rPr>
        <w:t xml:space="preserve"> [1998] AC 232</w:t>
      </w:r>
      <w:bookmarkEnd w:id="27"/>
      <w:r w:rsidR="00E41E9C" w:rsidRPr="00DA589A">
        <w:rPr>
          <w:sz w:val="24"/>
          <w:szCs w:val="24"/>
        </w:rPr>
        <w:t xml:space="preserve"> would not have been satisfied in this situation as the officer should have known that the defendant was prone to seizures and not allocated him the top bunk. </w:t>
      </w:r>
      <w:r w:rsidR="00A84315" w:rsidRPr="00DA589A">
        <w:rPr>
          <w:sz w:val="24"/>
          <w:szCs w:val="24"/>
        </w:rPr>
        <w:t xml:space="preserve"> </w:t>
      </w:r>
      <w:r w:rsidR="00A84315" w:rsidRPr="00DA589A">
        <w:rPr>
          <w:sz w:val="24"/>
          <w:szCs w:val="24"/>
        </w:rPr>
        <w:lastRenderedPageBreak/>
        <w:t xml:space="preserve">Furthermore, contributory negligence does work in favour of the claimant in most cases </w:t>
      </w:r>
      <w:bookmarkStart w:id="28" w:name="_Hlk55508372"/>
      <w:r w:rsidR="00A84315" w:rsidRPr="00DA589A">
        <w:rPr>
          <w:i/>
          <w:iCs/>
          <w:sz w:val="24"/>
          <w:szCs w:val="24"/>
        </w:rPr>
        <w:t>Reeves v Commissioner of Police of the Metropolis [2000]</w:t>
      </w:r>
      <w:r w:rsidR="00A90D9B" w:rsidRPr="00DA589A">
        <w:rPr>
          <w:i/>
          <w:iCs/>
          <w:sz w:val="24"/>
          <w:szCs w:val="24"/>
        </w:rPr>
        <w:t xml:space="preserve"> 1 AC 360</w:t>
      </w:r>
      <w:r w:rsidR="00A84315" w:rsidRPr="00DA589A">
        <w:rPr>
          <w:sz w:val="24"/>
          <w:szCs w:val="24"/>
        </w:rPr>
        <w:t xml:space="preserve"> </w:t>
      </w:r>
      <w:bookmarkEnd w:id="28"/>
      <w:r w:rsidR="00A84315" w:rsidRPr="00DA589A">
        <w:rPr>
          <w:sz w:val="24"/>
          <w:szCs w:val="24"/>
        </w:rPr>
        <w:t>heavily relies on the law reform act in order to award the claimant damages. As the courts found that</w:t>
      </w:r>
      <w:r w:rsidR="00D5223D" w:rsidRPr="00DA589A">
        <w:rPr>
          <w:sz w:val="24"/>
          <w:szCs w:val="24"/>
        </w:rPr>
        <w:t xml:space="preserve"> a</w:t>
      </w:r>
      <w:r w:rsidR="00A84315" w:rsidRPr="00DA589A">
        <w:rPr>
          <w:sz w:val="24"/>
          <w:szCs w:val="24"/>
        </w:rPr>
        <w:t xml:space="preserve"> contributory act of negligence did not break the chain of causation because the police had specific duty of care under wagon mound which suicide should have been reasonably foreseeable</w:t>
      </w:r>
      <w:r w:rsidR="00D5223D" w:rsidRPr="00DA589A">
        <w:rPr>
          <w:sz w:val="24"/>
          <w:szCs w:val="24"/>
        </w:rPr>
        <w:t>.</w:t>
      </w:r>
      <w:r w:rsidR="00586D18" w:rsidRPr="00DA589A">
        <w:rPr>
          <w:sz w:val="24"/>
          <w:szCs w:val="24"/>
        </w:rPr>
        <w:t xml:space="preserve"> Moreover, </w:t>
      </w:r>
      <w:r w:rsidR="009032DA" w:rsidRPr="00DA589A">
        <w:rPr>
          <w:sz w:val="24"/>
          <w:szCs w:val="24"/>
        </w:rPr>
        <w:t xml:space="preserve">the flip side of the argument can be seen in </w:t>
      </w:r>
      <w:bookmarkStart w:id="29" w:name="_Hlk55508422"/>
      <w:proofErr w:type="spellStart"/>
      <w:r w:rsidR="009032DA" w:rsidRPr="00DA589A">
        <w:rPr>
          <w:i/>
          <w:iCs/>
          <w:sz w:val="24"/>
          <w:szCs w:val="24"/>
        </w:rPr>
        <w:t>McKew</w:t>
      </w:r>
      <w:proofErr w:type="spellEnd"/>
      <w:r w:rsidR="009032DA" w:rsidRPr="00DA589A">
        <w:rPr>
          <w:i/>
          <w:iCs/>
          <w:sz w:val="24"/>
          <w:szCs w:val="24"/>
        </w:rPr>
        <w:t xml:space="preserve"> v Holland and </w:t>
      </w:r>
      <w:proofErr w:type="spellStart"/>
      <w:r w:rsidR="009032DA" w:rsidRPr="00DA589A">
        <w:rPr>
          <w:i/>
          <w:iCs/>
          <w:sz w:val="24"/>
          <w:szCs w:val="24"/>
        </w:rPr>
        <w:t>Hannen</w:t>
      </w:r>
      <w:proofErr w:type="spellEnd"/>
      <w:r w:rsidR="009032DA" w:rsidRPr="00DA589A">
        <w:rPr>
          <w:i/>
          <w:iCs/>
          <w:sz w:val="24"/>
          <w:szCs w:val="24"/>
        </w:rPr>
        <w:t xml:space="preserve"> and </w:t>
      </w:r>
      <w:proofErr w:type="spellStart"/>
      <w:r w:rsidR="009032DA" w:rsidRPr="00DA589A">
        <w:rPr>
          <w:i/>
          <w:iCs/>
          <w:sz w:val="24"/>
          <w:szCs w:val="24"/>
        </w:rPr>
        <w:t>Cubitts</w:t>
      </w:r>
      <w:proofErr w:type="spellEnd"/>
      <w:r w:rsidR="009032DA" w:rsidRPr="00DA589A">
        <w:rPr>
          <w:i/>
          <w:iCs/>
          <w:sz w:val="24"/>
          <w:szCs w:val="24"/>
        </w:rPr>
        <w:t xml:space="preserve"> (Scotland) [196</w:t>
      </w:r>
      <w:r w:rsidR="00A90D9B" w:rsidRPr="00DA589A">
        <w:rPr>
          <w:i/>
          <w:iCs/>
          <w:sz w:val="24"/>
          <w:szCs w:val="24"/>
        </w:rPr>
        <w:t>9] 3 All ER 1621</w:t>
      </w:r>
      <w:bookmarkEnd w:id="29"/>
      <w:r w:rsidR="009032DA" w:rsidRPr="00DA589A">
        <w:rPr>
          <w:sz w:val="24"/>
          <w:szCs w:val="24"/>
        </w:rPr>
        <w:t>. This case concerns the intervening act of a claimant whilst he was recovering from the original loss caused to him. The claimant fell down a flight of stairs whilst holding his daughter. The claimant losing control of his leg was a foreseeable event. The courts took this into consideration and found that the chain of causation had been broken therefore leaving the defendant not liable for further damages.</w:t>
      </w:r>
      <w:r w:rsidR="00A84315" w:rsidRPr="00DA589A">
        <w:rPr>
          <w:sz w:val="24"/>
          <w:szCs w:val="24"/>
        </w:rPr>
        <w:t xml:space="preserve">  </w:t>
      </w:r>
      <w:r w:rsidR="009032DA" w:rsidRPr="00DA589A">
        <w:rPr>
          <w:sz w:val="24"/>
          <w:szCs w:val="24"/>
        </w:rPr>
        <w:t xml:space="preserve">  </w:t>
      </w:r>
    </w:p>
    <w:p w14:paraId="133160BB" w14:textId="0F757AAD" w:rsidR="008E6FA5" w:rsidRDefault="00922C33" w:rsidP="00DA589A">
      <w:pPr>
        <w:spacing w:line="480" w:lineRule="auto"/>
        <w:jc w:val="both"/>
      </w:pPr>
      <w:r w:rsidRPr="00DA589A">
        <w:rPr>
          <w:sz w:val="24"/>
          <w:szCs w:val="24"/>
        </w:rPr>
        <w:t>To conclude,</w:t>
      </w:r>
      <w:r w:rsidR="00F95ACB" w:rsidRPr="00DA589A">
        <w:rPr>
          <w:sz w:val="24"/>
          <w:szCs w:val="24"/>
        </w:rPr>
        <w:t xml:space="preserve"> the break in the chain of causation is </w:t>
      </w:r>
      <w:r w:rsidR="00DA589A" w:rsidRPr="00DA589A">
        <w:rPr>
          <w:sz w:val="24"/>
          <w:szCs w:val="24"/>
        </w:rPr>
        <w:t>dependent</w:t>
      </w:r>
      <w:r w:rsidR="00F95ACB" w:rsidRPr="00DA589A">
        <w:rPr>
          <w:sz w:val="24"/>
          <w:szCs w:val="24"/>
        </w:rPr>
        <w:t xml:space="preserve"> on a multitude of factors the one common denominator is whether the </w:t>
      </w:r>
      <w:r w:rsidR="00B42412" w:rsidRPr="00DA589A">
        <w:rPr>
          <w:sz w:val="24"/>
          <w:szCs w:val="24"/>
        </w:rPr>
        <w:t xml:space="preserve">defendant’s negligence was the main factor in the loss </w:t>
      </w:r>
      <w:r w:rsidR="007E0D45" w:rsidRPr="00DA589A">
        <w:rPr>
          <w:sz w:val="24"/>
          <w:szCs w:val="24"/>
        </w:rPr>
        <w:t>suffered</w:t>
      </w:r>
      <w:r w:rsidR="00B42412" w:rsidRPr="00DA589A">
        <w:rPr>
          <w:sz w:val="24"/>
          <w:szCs w:val="24"/>
        </w:rPr>
        <w:t xml:space="preserve"> by the </w:t>
      </w:r>
      <w:r w:rsidR="007E0D45" w:rsidRPr="00DA589A">
        <w:rPr>
          <w:sz w:val="24"/>
          <w:szCs w:val="24"/>
        </w:rPr>
        <w:t>claimant</w:t>
      </w:r>
      <w:r w:rsidR="00B42412" w:rsidRPr="00DA589A">
        <w:rPr>
          <w:sz w:val="24"/>
          <w:szCs w:val="24"/>
        </w:rPr>
        <w:t xml:space="preserve">. This comes down to </w:t>
      </w:r>
      <w:r w:rsidRPr="00DA589A">
        <w:rPr>
          <w:sz w:val="24"/>
          <w:szCs w:val="24"/>
        </w:rPr>
        <w:t>the principl</w:t>
      </w:r>
      <w:r w:rsidR="009A0E76" w:rsidRPr="00DA589A">
        <w:rPr>
          <w:sz w:val="24"/>
          <w:szCs w:val="24"/>
        </w:rPr>
        <w:t>e</w:t>
      </w:r>
      <w:r w:rsidRPr="00DA589A">
        <w:rPr>
          <w:sz w:val="24"/>
          <w:szCs w:val="24"/>
        </w:rPr>
        <w:t xml:space="preserve">s that </w:t>
      </w:r>
      <w:r w:rsidR="009A0E76" w:rsidRPr="00DA589A">
        <w:rPr>
          <w:sz w:val="24"/>
          <w:szCs w:val="24"/>
        </w:rPr>
        <w:t>guild the courts</w:t>
      </w:r>
      <w:r w:rsidRPr="00DA589A">
        <w:rPr>
          <w:sz w:val="24"/>
          <w:szCs w:val="24"/>
        </w:rPr>
        <w:t xml:space="preserve"> to such as wagon mound, Hughes v Lord </w:t>
      </w:r>
      <w:proofErr w:type="spellStart"/>
      <w:r w:rsidRPr="00DA589A">
        <w:rPr>
          <w:sz w:val="24"/>
          <w:szCs w:val="24"/>
        </w:rPr>
        <w:t>Avocate</w:t>
      </w:r>
      <w:proofErr w:type="spellEnd"/>
      <w:r w:rsidRPr="00DA589A">
        <w:rPr>
          <w:sz w:val="24"/>
          <w:szCs w:val="24"/>
        </w:rPr>
        <w:t xml:space="preserve"> and </w:t>
      </w:r>
      <w:proofErr w:type="spellStart"/>
      <w:r w:rsidRPr="00DA589A">
        <w:rPr>
          <w:sz w:val="24"/>
          <w:szCs w:val="24"/>
        </w:rPr>
        <w:t>Lagden</w:t>
      </w:r>
      <w:proofErr w:type="spellEnd"/>
      <w:r w:rsidRPr="00DA589A">
        <w:rPr>
          <w:sz w:val="24"/>
          <w:szCs w:val="24"/>
        </w:rPr>
        <w:t xml:space="preserve"> v O’Connor convey that the defendant’s liability will always be in question once they have committed an act of negligence. This is because the courts will more often than not look for a way in which the claimant can be compensated for their loss. This is prevalent especially in the case </w:t>
      </w:r>
      <w:proofErr w:type="spellStart"/>
      <w:r w:rsidR="00E20B7C" w:rsidRPr="00DA589A">
        <w:rPr>
          <w:sz w:val="24"/>
          <w:szCs w:val="24"/>
        </w:rPr>
        <w:t>C</w:t>
      </w:r>
      <w:r w:rsidRPr="00DA589A">
        <w:rPr>
          <w:sz w:val="24"/>
          <w:szCs w:val="24"/>
        </w:rPr>
        <w:t>orr</w:t>
      </w:r>
      <w:proofErr w:type="spellEnd"/>
      <w:r w:rsidRPr="00DA589A">
        <w:rPr>
          <w:sz w:val="24"/>
          <w:szCs w:val="24"/>
        </w:rPr>
        <w:t xml:space="preserve"> v IBC vehicles in which the courts emphasised that the defendant must have foresaw the suicide of the claimant and that the damage </w:t>
      </w:r>
      <w:r w:rsidR="00F64FED" w:rsidRPr="00DA589A">
        <w:rPr>
          <w:sz w:val="24"/>
          <w:szCs w:val="24"/>
        </w:rPr>
        <w:t xml:space="preserve">suffered was not to remote in law to be considered as </w:t>
      </w:r>
      <w:r w:rsidR="009A0E76" w:rsidRPr="00DA589A">
        <w:rPr>
          <w:sz w:val="24"/>
          <w:szCs w:val="24"/>
        </w:rPr>
        <w:t>the responsibility of the defendant</w:t>
      </w:r>
      <w:r w:rsidRPr="00DA589A">
        <w:rPr>
          <w:sz w:val="24"/>
          <w:szCs w:val="24"/>
        </w:rPr>
        <w:t>.</w:t>
      </w:r>
      <w:r w:rsidR="009A0E76" w:rsidRPr="00DA589A">
        <w:rPr>
          <w:sz w:val="24"/>
          <w:szCs w:val="24"/>
        </w:rPr>
        <w:t xml:space="preserve"> Moreover, the legislation set out in law often provides a safety net for the claimant. This can be seen in the </w:t>
      </w:r>
      <w:r w:rsidR="009A0E76" w:rsidRPr="00DA589A">
        <w:rPr>
          <w:i/>
          <w:iCs/>
          <w:sz w:val="24"/>
          <w:szCs w:val="24"/>
        </w:rPr>
        <w:t>compensation act 2006</w:t>
      </w:r>
      <w:r w:rsidR="009A0E76" w:rsidRPr="00DA589A">
        <w:rPr>
          <w:sz w:val="24"/>
          <w:szCs w:val="24"/>
        </w:rPr>
        <w:t xml:space="preserve"> which came as result of numerous amounts of mesothelioma cases the most prolific was Fairchild v </w:t>
      </w:r>
      <w:proofErr w:type="spellStart"/>
      <w:r w:rsidR="009A0E76" w:rsidRPr="00DA589A">
        <w:rPr>
          <w:sz w:val="24"/>
          <w:szCs w:val="24"/>
        </w:rPr>
        <w:t>Glenhaven</w:t>
      </w:r>
      <w:proofErr w:type="spellEnd"/>
      <w:r w:rsidR="009A0E76" w:rsidRPr="00DA589A">
        <w:rPr>
          <w:sz w:val="24"/>
          <w:szCs w:val="24"/>
        </w:rPr>
        <w:t xml:space="preserve"> Funeral services [2002]. Both the case and legislation are important in setting guidelines for the courts to </w:t>
      </w:r>
      <w:r w:rsidR="009A0E76" w:rsidRPr="00DA589A">
        <w:rPr>
          <w:sz w:val="24"/>
          <w:szCs w:val="24"/>
        </w:rPr>
        <w:lastRenderedPageBreak/>
        <w:t>follow that allow them to maintain consistency within the courts. However, what can be seen within the legislation is there are small margins for error on behalf of the defendant.</w:t>
      </w:r>
      <w:r w:rsidR="009A0E76">
        <w:t xml:space="preserve"> </w:t>
      </w:r>
    </w:p>
    <w:bookmarkEnd w:id="14"/>
    <w:p w14:paraId="032E8C84" w14:textId="73683EBD" w:rsidR="00BE5BBD" w:rsidRDefault="00BE5BBD" w:rsidP="00AF555D">
      <w:pPr>
        <w:jc w:val="both"/>
      </w:pPr>
    </w:p>
    <w:p w14:paraId="013BC769" w14:textId="6D5DB1A0" w:rsidR="00FD0149" w:rsidRDefault="00FD0149" w:rsidP="00AF555D">
      <w:pPr>
        <w:jc w:val="both"/>
      </w:pPr>
    </w:p>
    <w:p w14:paraId="3E7446F4" w14:textId="0DD2DF60" w:rsidR="00FD0149" w:rsidRDefault="00FD0149" w:rsidP="00AF555D">
      <w:pPr>
        <w:jc w:val="both"/>
      </w:pPr>
    </w:p>
    <w:p w14:paraId="6DD02C74" w14:textId="66466263" w:rsidR="00FD0149" w:rsidRDefault="00FD0149" w:rsidP="00AF555D">
      <w:pPr>
        <w:jc w:val="both"/>
      </w:pPr>
    </w:p>
    <w:p w14:paraId="353960BC" w14:textId="7540CDEE" w:rsidR="00FD0149" w:rsidRDefault="00FD0149" w:rsidP="00AF555D">
      <w:pPr>
        <w:jc w:val="both"/>
      </w:pPr>
    </w:p>
    <w:p w14:paraId="52292828" w14:textId="0FF67AC0" w:rsidR="00FD0149" w:rsidRDefault="00FD0149" w:rsidP="00AF555D">
      <w:pPr>
        <w:jc w:val="both"/>
      </w:pPr>
    </w:p>
    <w:p w14:paraId="7DCFC0A8" w14:textId="261EF3FB" w:rsidR="00FD0149" w:rsidRDefault="00FD0149" w:rsidP="00AF555D">
      <w:pPr>
        <w:jc w:val="both"/>
      </w:pPr>
    </w:p>
    <w:p w14:paraId="0C829CE8" w14:textId="09CA3704" w:rsidR="00FD0149" w:rsidRDefault="00FD0149" w:rsidP="00AF555D">
      <w:pPr>
        <w:jc w:val="both"/>
      </w:pPr>
    </w:p>
    <w:p w14:paraId="2DAD59EA" w14:textId="6E5F2818" w:rsidR="00FD0149" w:rsidRDefault="00FD0149" w:rsidP="00AF555D">
      <w:pPr>
        <w:jc w:val="both"/>
      </w:pPr>
    </w:p>
    <w:p w14:paraId="53920280" w14:textId="2376C3FD" w:rsidR="00FD0149" w:rsidRDefault="00FD0149" w:rsidP="00AF555D">
      <w:pPr>
        <w:jc w:val="both"/>
      </w:pPr>
    </w:p>
    <w:p w14:paraId="1E49926F" w14:textId="078377C8" w:rsidR="00FD0149" w:rsidRDefault="00FD0149" w:rsidP="00AF555D">
      <w:pPr>
        <w:jc w:val="both"/>
      </w:pPr>
    </w:p>
    <w:p w14:paraId="5996E3C2" w14:textId="0CAC7AD9" w:rsidR="00FD0149" w:rsidRDefault="00FD0149" w:rsidP="00AF555D">
      <w:pPr>
        <w:jc w:val="both"/>
      </w:pPr>
    </w:p>
    <w:p w14:paraId="4FF1837D" w14:textId="7F4E3623" w:rsidR="00FD0149" w:rsidRDefault="00FD0149" w:rsidP="00AF555D">
      <w:pPr>
        <w:jc w:val="both"/>
      </w:pPr>
    </w:p>
    <w:p w14:paraId="767FD3D9" w14:textId="20EF24D8" w:rsidR="00FD0149" w:rsidRDefault="00FD0149" w:rsidP="00AF555D">
      <w:pPr>
        <w:jc w:val="both"/>
      </w:pPr>
    </w:p>
    <w:p w14:paraId="1165336F" w14:textId="7272EF4E" w:rsidR="00FD0149" w:rsidRDefault="00FD0149" w:rsidP="00AF555D">
      <w:pPr>
        <w:jc w:val="both"/>
      </w:pPr>
    </w:p>
    <w:p w14:paraId="3E537634" w14:textId="22EA6DE7" w:rsidR="00FD0149" w:rsidRDefault="00FD0149" w:rsidP="00AF555D">
      <w:pPr>
        <w:jc w:val="both"/>
      </w:pPr>
    </w:p>
    <w:p w14:paraId="1686F590" w14:textId="52874318" w:rsidR="00FD0149" w:rsidRDefault="00FD0149" w:rsidP="00AF555D">
      <w:pPr>
        <w:jc w:val="both"/>
      </w:pPr>
    </w:p>
    <w:p w14:paraId="2A25C8E3" w14:textId="069865CA" w:rsidR="00FD0149" w:rsidRDefault="00FD0149" w:rsidP="00AF555D">
      <w:pPr>
        <w:jc w:val="both"/>
      </w:pPr>
    </w:p>
    <w:p w14:paraId="1F85A823" w14:textId="65901191" w:rsidR="00FD0149" w:rsidRDefault="00FD0149" w:rsidP="00AF555D">
      <w:pPr>
        <w:jc w:val="both"/>
      </w:pPr>
    </w:p>
    <w:p w14:paraId="62FED31F" w14:textId="64F6383B" w:rsidR="00FD0149" w:rsidRDefault="00FD0149" w:rsidP="00AF555D">
      <w:pPr>
        <w:jc w:val="both"/>
      </w:pPr>
    </w:p>
    <w:p w14:paraId="54D825D2" w14:textId="032FC2D5" w:rsidR="00FD0149" w:rsidRDefault="00FD0149" w:rsidP="00AF555D">
      <w:pPr>
        <w:jc w:val="both"/>
      </w:pPr>
    </w:p>
    <w:p w14:paraId="5A521B2D" w14:textId="1AE9773A" w:rsidR="00FD0149" w:rsidRDefault="00FD0149" w:rsidP="00AF555D">
      <w:pPr>
        <w:jc w:val="both"/>
      </w:pPr>
    </w:p>
    <w:p w14:paraId="23A9A484" w14:textId="77777777" w:rsidR="00DA589A" w:rsidRDefault="00DA589A" w:rsidP="00FD0149">
      <w:pPr>
        <w:jc w:val="center"/>
      </w:pPr>
    </w:p>
    <w:p w14:paraId="66F26CC5" w14:textId="77777777" w:rsidR="00DA589A" w:rsidRDefault="00DA589A" w:rsidP="00FD0149">
      <w:pPr>
        <w:jc w:val="center"/>
      </w:pPr>
    </w:p>
    <w:p w14:paraId="2AEC1A0F" w14:textId="77777777" w:rsidR="00DA589A" w:rsidRDefault="00DA589A" w:rsidP="00FD0149">
      <w:pPr>
        <w:jc w:val="center"/>
      </w:pPr>
    </w:p>
    <w:p w14:paraId="14D9B332" w14:textId="77777777" w:rsidR="00DA589A" w:rsidRDefault="00DA589A" w:rsidP="00FD0149">
      <w:pPr>
        <w:jc w:val="center"/>
      </w:pPr>
    </w:p>
    <w:p w14:paraId="199B91CD" w14:textId="77777777" w:rsidR="00DA589A" w:rsidRDefault="00DA589A" w:rsidP="00FD0149">
      <w:pPr>
        <w:jc w:val="center"/>
      </w:pPr>
    </w:p>
    <w:p w14:paraId="5D6A694B" w14:textId="77777777" w:rsidR="00CA5FB5" w:rsidRDefault="00CA5FB5" w:rsidP="00FD0149">
      <w:pPr>
        <w:jc w:val="center"/>
      </w:pPr>
    </w:p>
    <w:p w14:paraId="098FA971" w14:textId="6275D49D" w:rsidR="00FD0149" w:rsidRDefault="00FD0149" w:rsidP="00FD0149">
      <w:pPr>
        <w:jc w:val="center"/>
      </w:pPr>
      <w:r>
        <w:lastRenderedPageBreak/>
        <w:t xml:space="preserve">Bibliography </w:t>
      </w:r>
    </w:p>
    <w:p w14:paraId="27CBC911" w14:textId="4FED5C54" w:rsidR="00FD0149" w:rsidRDefault="00FD0149" w:rsidP="0092092B">
      <w:pPr>
        <w:jc w:val="both"/>
      </w:pPr>
    </w:p>
    <w:p w14:paraId="23AC6989" w14:textId="293C5579" w:rsidR="0092092B" w:rsidRDefault="00796A3C" w:rsidP="00FD0149">
      <w:r w:rsidRPr="00796A3C">
        <w:t>Baker v Willoughby [1969] UKHL 8</w:t>
      </w:r>
      <w:r>
        <w:t xml:space="preserve"> </w:t>
      </w:r>
    </w:p>
    <w:p w14:paraId="5FFBE379" w14:textId="3EC9D28D" w:rsidR="00FD0149" w:rsidRDefault="0092092B" w:rsidP="00FD0149">
      <w:r w:rsidRPr="0092092B">
        <w:t>Barnett v Chelsea and Kensington Hospital Management Committee Queens bench Division [1969] 1 QB 428</w:t>
      </w:r>
      <w:r>
        <w:t xml:space="preserve"> </w:t>
      </w:r>
    </w:p>
    <w:p w14:paraId="5F9F41EA" w14:textId="534CFAE4" w:rsidR="00500F39" w:rsidRDefault="00500F39" w:rsidP="00FD0149">
      <w:r w:rsidRPr="00500F39">
        <w:t>Bolitho v City and Hackney Health Authority [1998] AC 232</w:t>
      </w:r>
      <w:r>
        <w:t xml:space="preserve"> </w:t>
      </w:r>
    </w:p>
    <w:p w14:paraId="18210968" w14:textId="26A0F497" w:rsidR="00796A3C" w:rsidRDefault="00796A3C" w:rsidP="00FD0149">
      <w:r w:rsidRPr="00796A3C">
        <w:t>Chadwick v British Railways Board (1967) 1WLR 912</w:t>
      </w:r>
      <w:r>
        <w:t xml:space="preserve"> </w:t>
      </w:r>
    </w:p>
    <w:p w14:paraId="0E7C6686" w14:textId="279DCCAD" w:rsidR="00796A3C" w:rsidRDefault="0092092B" w:rsidP="00FD0149">
      <w:r w:rsidRPr="0092092B">
        <w:t>Chester v Afshar [2004] 3 WLR 927</w:t>
      </w:r>
      <w:r>
        <w:t xml:space="preserve"> </w:t>
      </w:r>
    </w:p>
    <w:p w14:paraId="6B575447" w14:textId="6BC1C5D6" w:rsidR="0092092B" w:rsidRDefault="0092092B" w:rsidP="00FD0149">
      <w:r w:rsidRPr="0092092B">
        <w:t>Compensation act 2006</w:t>
      </w:r>
      <w:r>
        <w:t xml:space="preserve"> </w:t>
      </w:r>
    </w:p>
    <w:p w14:paraId="03CF9D67" w14:textId="7B6A5932" w:rsidR="00500F39" w:rsidRDefault="00500F39" w:rsidP="00FD0149">
      <w:proofErr w:type="spellStart"/>
      <w:r w:rsidRPr="00500F39">
        <w:t>Corr</w:t>
      </w:r>
      <w:proofErr w:type="spellEnd"/>
      <w:r w:rsidRPr="00500F39">
        <w:t xml:space="preserve"> v IBC Vehicles [2008] 1 AC 884</w:t>
      </w:r>
      <w:r>
        <w:t xml:space="preserve"> </w:t>
      </w:r>
    </w:p>
    <w:p w14:paraId="1B3889DC" w14:textId="77777777" w:rsidR="00500F39" w:rsidRDefault="00500F39" w:rsidP="00FD0149">
      <w:r w:rsidRPr="00500F39">
        <w:t xml:space="preserve">Fairchild v </w:t>
      </w:r>
      <w:proofErr w:type="spellStart"/>
      <w:r w:rsidRPr="00500F39">
        <w:t>Glenhaven</w:t>
      </w:r>
      <w:proofErr w:type="spellEnd"/>
      <w:r w:rsidRPr="00500F39">
        <w:t xml:space="preserve"> Funeral Services [2002] UKHL 22</w:t>
      </w:r>
    </w:p>
    <w:p w14:paraId="39ECC4AE" w14:textId="45DA766C" w:rsidR="00500F39" w:rsidRDefault="00500F39" w:rsidP="00FD0149">
      <w:r w:rsidRPr="00500F39">
        <w:t>Fatal Accidents act 1976</w:t>
      </w:r>
    </w:p>
    <w:p w14:paraId="3F3BB5F9" w14:textId="67584015" w:rsidR="0092092B" w:rsidRDefault="00796A3C" w:rsidP="00FD0149">
      <w:r w:rsidRPr="00796A3C">
        <w:t>Haynes v Harwood [1935] 1 KB 146</w:t>
      </w:r>
    </w:p>
    <w:p w14:paraId="74BC0D27" w14:textId="1276302A" w:rsidR="00796A3C" w:rsidRDefault="00796A3C" w:rsidP="00FD0149">
      <w:r w:rsidRPr="00796A3C">
        <w:t>Home office v Dorset Yacht Co Ltd [1970] AC 1004</w:t>
      </w:r>
      <w:r>
        <w:t xml:space="preserve"> </w:t>
      </w:r>
    </w:p>
    <w:p w14:paraId="57B21DB6" w14:textId="1E45BEF9" w:rsidR="0092092B" w:rsidRDefault="0092092B" w:rsidP="00FD0149">
      <w:proofErr w:type="spellStart"/>
      <w:r w:rsidRPr="0092092B">
        <w:t>Hotson</w:t>
      </w:r>
      <w:proofErr w:type="spellEnd"/>
      <w:r w:rsidRPr="0092092B">
        <w:t xml:space="preserve"> v East Berkshire health authority [1987] AC 750</w:t>
      </w:r>
      <w:r>
        <w:t xml:space="preserve"> </w:t>
      </w:r>
    </w:p>
    <w:p w14:paraId="56AAFC2E" w14:textId="36D1CD72" w:rsidR="0092092B" w:rsidRDefault="0092092B" w:rsidP="00FD0149">
      <w:r w:rsidRPr="0092092B">
        <w:t>Hughes v Lord Advocate [1963] AC 837</w:t>
      </w:r>
      <w:r>
        <w:t xml:space="preserve"> </w:t>
      </w:r>
    </w:p>
    <w:p w14:paraId="0F9F2019" w14:textId="6A5012C9" w:rsidR="0092092B" w:rsidRDefault="0092092B" w:rsidP="00FD0149">
      <w:proofErr w:type="spellStart"/>
      <w:r w:rsidRPr="0092092B">
        <w:t>Joblin</w:t>
      </w:r>
      <w:proofErr w:type="spellEnd"/>
      <w:r w:rsidRPr="0092092B">
        <w:t xml:space="preserve"> v Associated dairies Ltd [1982] AC 794</w:t>
      </w:r>
      <w:r>
        <w:t xml:space="preserve"> </w:t>
      </w:r>
    </w:p>
    <w:p w14:paraId="1CED875B" w14:textId="6FA700AF" w:rsidR="00AE7620" w:rsidRPr="00493366" w:rsidRDefault="00AE7620" w:rsidP="00FD0149">
      <w:r>
        <w:t xml:space="preserve">Horsey K. </w:t>
      </w:r>
      <w:r w:rsidR="00493366">
        <w:t xml:space="preserve">(2019)., </w:t>
      </w:r>
      <w:proofErr w:type="spellStart"/>
      <w:r w:rsidR="00493366">
        <w:t>Kidner’s</w:t>
      </w:r>
      <w:proofErr w:type="spellEnd"/>
      <w:r w:rsidR="00493366">
        <w:t xml:space="preserve"> Case Book on Torts, </w:t>
      </w:r>
      <w:r w:rsidR="00493366">
        <w:rPr>
          <w:i/>
          <w:iCs/>
        </w:rPr>
        <w:t xml:space="preserve">Oxford University Press, </w:t>
      </w:r>
      <w:r w:rsidR="00493366">
        <w:t xml:space="preserve">fifteenth Edition, pp.197-218 </w:t>
      </w:r>
    </w:p>
    <w:p w14:paraId="68F34E82" w14:textId="052CA8DE" w:rsidR="0092092B" w:rsidRDefault="0092092B" w:rsidP="00FD0149">
      <w:r w:rsidRPr="0092092B">
        <w:t>Knightly v Johns [1982] 1 WLR 349</w:t>
      </w:r>
      <w:r>
        <w:t xml:space="preserve"> </w:t>
      </w:r>
    </w:p>
    <w:p w14:paraId="306701D8" w14:textId="6EC4F86C" w:rsidR="0092092B" w:rsidRDefault="0092092B" w:rsidP="00FD0149">
      <w:proofErr w:type="spellStart"/>
      <w:r w:rsidRPr="0092092B">
        <w:t>Lagden</w:t>
      </w:r>
      <w:proofErr w:type="spellEnd"/>
      <w:r w:rsidRPr="0092092B">
        <w:t xml:space="preserve"> v O’Conner [2003] UKHL 64</w:t>
      </w:r>
      <w:r>
        <w:t xml:space="preserve"> </w:t>
      </w:r>
    </w:p>
    <w:p w14:paraId="0ECE3C1B" w14:textId="77777777" w:rsidR="00AE7620" w:rsidRDefault="00500F39" w:rsidP="00FD0149">
      <w:r w:rsidRPr="00500F39">
        <w:t>Law reform act 1934</w:t>
      </w:r>
    </w:p>
    <w:p w14:paraId="157B4617" w14:textId="79B6866E" w:rsidR="00500F39" w:rsidRDefault="00AE7620" w:rsidP="00FD0149">
      <w:proofErr w:type="spellStart"/>
      <w:r>
        <w:t>Lunney</w:t>
      </w:r>
      <w:proofErr w:type="spellEnd"/>
      <w:r>
        <w:t xml:space="preserve"> M. (2017)., Tort Law: Text and Materials, </w:t>
      </w:r>
      <w:r>
        <w:rPr>
          <w:i/>
          <w:iCs/>
        </w:rPr>
        <w:t xml:space="preserve">Oxford University Press, </w:t>
      </w:r>
      <w:r>
        <w:t>Sixth Edition, pp. 213-281</w:t>
      </w:r>
      <w:r w:rsidR="00500F39">
        <w:t xml:space="preserve"> </w:t>
      </w:r>
    </w:p>
    <w:p w14:paraId="7C374F26" w14:textId="1A2979F0" w:rsidR="00500F39" w:rsidRDefault="00500F39" w:rsidP="00FD0149">
      <w:proofErr w:type="spellStart"/>
      <w:r w:rsidRPr="00500F39">
        <w:t>McKew</w:t>
      </w:r>
      <w:proofErr w:type="spellEnd"/>
      <w:r w:rsidRPr="00500F39">
        <w:t xml:space="preserve"> v Holland and </w:t>
      </w:r>
      <w:proofErr w:type="spellStart"/>
      <w:r w:rsidRPr="00500F39">
        <w:t>Hannen</w:t>
      </w:r>
      <w:proofErr w:type="spellEnd"/>
      <w:r w:rsidRPr="00500F39">
        <w:t xml:space="preserve"> and </w:t>
      </w:r>
      <w:proofErr w:type="spellStart"/>
      <w:r w:rsidRPr="00500F39">
        <w:t>Cubitts</w:t>
      </w:r>
      <w:proofErr w:type="spellEnd"/>
      <w:r w:rsidRPr="00500F39">
        <w:t xml:space="preserve"> (Scotland) [1969] 3 All ER 1621</w:t>
      </w:r>
      <w:r>
        <w:t xml:space="preserve"> </w:t>
      </w:r>
    </w:p>
    <w:p w14:paraId="2CA04AB8" w14:textId="46D29C68" w:rsidR="0092092B" w:rsidRDefault="0092092B" w:rsidP="00FD0149">
      <w:r w:rsidRPr="0092092B">
        <w:t xml:space="preserve">Overseas Tankship (UK) Ltd v </w:t>
      </w:r>
      <w:proofErr w:type="spellStart"/>
      <w:r w:rsidRPr="0092092B">
        <w:t>Morts</w:t>
      </w:r>
      <w:proofErr w:type="spellEnd"/>
      <w:r w:rsidRPr="0092092B">
        <w:t xml:space="preserve"> Dock and Engineering Co (Wagon Mound)</w:t>
      </w:r>
      <w:r w:rsidR="00796A3C">
        <w:t xml:space="preserve"> </w:t>
      </w:r>
      <w:r w:rsidRPr="0092092B">
        <w:t>(No1) Privy Council [1961] AC 388</w:t>
      </w:r>
      <w:r>
        <w:t xml:space="preserve"> </w:t>
      </w:r>
    </w:p>
    <w:p w14:paraId="18C72297" w14:textId="601B5C2A" w:rsidR="00796A3C" w:rsidRDefault="00796A3C" w:rsidP="00FD0149">
      <w:r w:rsidRPr="00796A3C">
        <w:t>Performance Cars Ltd v Abraham [1962] 1 QB 33</w:t>
      </w:r>
    </w:p>
    <w:p w14:paraId="14AB9E5D" w14:textId="07EE5009" w:rsidR="00500F39" w:rsidRDefault="00500F39" w:rsidP="00FD0149">
      <w:proofErr w:type="spellStart"/>
      <w:r w:rsidRPr="00500F39">
        <w:t>Pigney</w:t>
      </w:r>
      <w:proofErr w:type="spellEnd"/>
      <w:r w:rsidRPr="00500F39">
        <w:t xml:space="preserve"> v Pointers Transport Services Ltd [1957] 1 WLR 1121</w:t>
      </w:r>
      <w:r>
        <w:t xml:space="preserve"> </w:t>
      </w:r>
    </w:p>
    <w:p w14:paraId="4BA69555" w14:textId="09B7B35D" w:rsidR="00796A3C" w:rsidRDefault="00796A3C" w:rsidP="00FD0149">
      <w:r w:rsidRPr="00796A3C">
        <w:t xml:space="preserve">Re </w:t>
      </w:r>
      <w:proofErr w:type="spellStart"/>
      <w:r w:rsidRPr="00796A3C">
        <w:t>Polemis</w:t>
      </w:r>
      <w:proofErr w:type="spellEnd"/>
      <w:r w:rsidRPr="00796A3C">
        <w:t xml:space="preserve"> and Furness, Withy and Co [1921] 3 KB 560</w:t>
      </w:r>
      <w:r w:rsidR="00500F39">
        <w:t xml:space="preserve"> </w:t>
      </w:r>
    </w:p>
    <w:p w14:paraId="6768A35E" w14:textId="1602FBF6" w:rsidR="00500F39" w:rsidRDefault="00500F39" w:rsidP="00FD0149">
      <w:r w:rsidRPr="00500F39">
        <w:t>Reeves v Commissioner of Police of the Metropolis [2000] 1 AC 360</w:t>
      </w:r>
      <w:r>
        <w:t xml:space="preserve"> </w:t>
      </w:r>
    </w:p>
    <w:p w14:paraId="05CD8930" w14:textId="2F7F61D8" w:rsidR="00796A3C" w:rsidRDefault="00796A3C" w:rsidP="00FD0149">
      <w:r w:rsidRPr="00796A3C">
        <w:t>Rouse v Squires [1973] QB 889</w:t>
      </w:r>
      <w:r>
        <w:t xml:space="preserve"> </w:t>
      </w:r>
    </w:p>
    <w:p w14:paraId="1E64D7CF" w14:textId="77777777" w:rsidR="00796A3C" w:rsidRDefault="0092092B" w:rsidP="00FD0149">
      <w:r w:rsidRPr="0092092B">
        <w:t>Smith v Leech Brain [1962] 2 QB 405</w:t>
      </w:r>
    </w:p>
    <w:p w14:paraId="6200C3EA" w14:textId="03582A3F" w:rsidR="0092092B" w:rsidRDefault="00796A3C" w:rsidP="00FD0149">
      <w:r w:rsidRPr="00796A3C">
        <w:t>Smith v Littlewoods Organisation Ltd [1987] UKHL 18</w:t>
      </w:r>
      <w:r>
        <w:t xml:space="preserve"> </w:t>
      </w:r>
      <w:r w:rsidR="0092092B">
        <w:t xml:space="preserve"> </w:t>
      </w:r>
    </w:p>
    <w:p w14:paraId="68597772" w14:textId="7F4EBCC5" w:rsidR="00500F39" w:rsidRDefault="00500F39" w:rsidP="00FD0149">
      <w:r w:rsidRPr="00500F39">
        <w:lastRenderedPageBreak/>
        <w:t xml:space="preserve">St George v Home Office [2008] EWCA </w:t>
      </w:r>
      <w:proofErr w:type="spellStart"/>
      <w:r w:rsidRPr="00500F39">
        <w:t>Civ</w:t>
      </w:r>
      <w:proofErr w:type="spellEnd"/>
      <w:r w:rsidRPr="00500F39">
        <w:t xml:space="preserve"> 1068</w:t>
      </w:r>
    </w:p>
    <w:p w14:paraId="57380668" w14:textId="0CCAE164" w:rsidR="00796A3C" w:rsidRDefault="00796A3C" w:rsidP="00FD0149">
      <w:proofErr w:type="spellStart"/>
      <w:r w:rsidRPr="00796A3C">
        <w:t>Stansbie</w:t>
      </w:r>
      <w:proofErr w:type="spellEnd"/>
      <w:r w:rsidRPr="00796A3C">
        <w:t xml:space="preserve"> v </w:t>
      </w:r>
      <w:proofErr w:type="spellStart"/>
      <w:r w:rsidRPr="00796A3C">
        <w:t>Troman</w:t>
      </w:r>
      <w:proofErr w:type="spellEnd"/>
      <w:r w:rsidRPr="00796A3C">
        <w:t xml:space="preserve"> [1948] 2KB 48</w:t>
      </w:r>
      <w:r>
        <w:t xml:space="preserve"> </w:t>
      </w:r>
    </w:p>
    <w:p w14:paraId="5E3572F2" w14:textId="57C068CF" w:rsidR="00796A3C" w:rsidRDefault="00796A3C" w:rsidP="00FD0149">
      <w:r w:rsidRPr="00796A3C">
        <w:t>The Oropesa [1943] 1 All ER 211</w:t>
      </w:r>
      <w:r>
        <w:t xml:space="preserve"> </w:t>
      </w:r>
    </w:p>
    <w:sectPr w:rsidR="00796A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5D"/>
    <w:rsid w:val="000172CA"/>
    <w:rsid w:val="00027247"/>
    <w:rsid w:val="00037411"/>
    <w:rsid w:val="00065C7A"/>
    <w:rsid w:val="0007485F"/>
    <w:rsid w:val="000B158E"/>
    <w:rsid w:val="000F0E49"/>
    <w:rsid w:val="000F1EFE"/>
    <w:rsid w:val="001C4ECA"/>
    <w:rsid w:val="00226411"/>
    <w:rsid w:val="00244F41"/>
    <w:rsid w:val="00253F61"/>
    <w:rsid w:val="002935F3"/>
    <w:rsid w:val="00294BE6"/>
    <w:rsid w:val="0029630D"/>
    <w:rsid w:val="002D1585"/>
    <w:rsid w:val="002E040B"/>
    <w:rsid w:val="00316BF8"/>
    <w:rsid w:val="00322225"/>
    <w:rsid w:val="00397891"/>
    <w:rsid w:val="003A2835"/>
    <w:rsid w:val="003C5150"/>
    <w:rsid w:val="00411BB6"/>
    <w:rsid w:val="0046059D"/>
    <w:rsid w:val="00466B25"/>
    <w:rsid w:val="00480E83"/>
    <w:rsid w:val="0049145B"/>
    <w:rsid w:val="00493366"/>
    <w:rsid w:val="004A21E0"/>
    <w:rsid w:val="004B386D"/>
    <w:rsid w:val="004D795C"/>
    <w:rsid w:val="004F27AE"/>
    <w:rsid w:val="00500F39"/>
    <w:rsid w:val="005044E9"/>
    <w:rsid w:val="00536899"/>
    <w:rsid w:val="0054021B"/>
    <w:rsid w:val="005857FE"/>
    <w:rsid w:val="00586695"/>
    <w:rsid w:val="00586D18"/>
    <w:rsid w:val="00675F7D"/>
    <w:rsid w:val="00697AD8"/>
    <w:rsid w:val="006D02D5"/>
    <w:rsid w:val="006F0CBE"/>
    <w:rsid w:val="00723F33"/>
    <w:rsid w:val="007348B0"/>
    <w:rsid w:val="00736C58"/>
    <w:rsid w:val="007466B2"/>
    <w:rsid w:val="007774BE"/>
    <w:rsid w:val="00780F48"/>
    <w:rsid w:val="00796A3C"/>
    <w:rsid w:val="007A162F"/>
    <w:rsid w:val="007C4B56"/>
    <w:rsid w:val="007E0D45"/>
    <w:rsid w:val="0080007E"/>
    <w:rsid w:val="00825134"/>
    <w:rsid w:val="00864FC2"/>
    <w:rsid w:val="00875ECD"/>
    <w:rsid w:val="008B396B"/>
    <w:rsid w:val="008E6FA5"/>
    <w:rsid w:val="008F69D9"/>
    <w:rsid w:val="009032DA"/>
    <w:rsid w:val="0091522E"/>
    <w:rsid w:val="0092092B"/>
    <w:rsid w:val="00922C33"/>
    <w:rsid w:val="00934F24"/>
    <w:rsid w:val="00942176"/>
    <w:rsid w:val="009A0E76"/>
    <w:rsid w:val="009B2646"/>
    <w:rsid w:val="009D3EA4"/>
    <w:rsid w:val="00A547D0"/>
    <w:rsid w:val="00A57DCE"/>
    <w:rsid w:val="00A84315"/>
    <w:rsid w:val="00A851C3"/>
    <w:rsid w:val="00A90D9B"/>
    <w:rsid w:val="00AE7620"/>
    <w:rsid w:val="00AF555D"/>
    <w:rsid w:val="00B42412"/>
    <w:rsid w:val="00B5250A"/>
    <w:rsid w:val="00B807BA"/>
    <w:rsid w:val="00BB1541"/>
    <w:rsid w:val="00BC55EF"/>
    <w:rsid w:val="00BD13A6"/>
    <w:rsid w:val="00BE5BBD"/>
    <w:rsid w:val="00C34E43"/>
    <w:rsid w:val="00C521D0"/>
    <w:rsid w:val="00CA5FB5"/>
    <w:rsid w:val="00D5223D"/>
    <w:rsid w:val="00D56134"/>
    <w:rsid w:val="00D83F22"/>
    <w:rsid w:val="00DA589A"/>
    <w:rsid w:val="00DE067F"/>
    <w:rsid w:val="00E20B7C"/>
    <w:rsid w:val="00E3137A"/>
    <w:rsid w:val="00E41E9C"/>
    <w:rsid w:val="00E56082"/>
    <w:rsid w:val="00EA4003"/>
    <w:rsid w:val="00EB570C"/>
    <w:rsid w:val="00EF27A9"/>
    <w:rsid w:val="00EF585C"/>
    <w:rsid w:val="00F4160C"/>
    <w:rsid w:val="00F43C2D"/>
    <w:rsid w:val="00F559ED"/>
    <w:rsid w:val="00F64FED"/>
    <w:rsid w:val="00F91DFB"/>
    <w:rsid w:val="00F92574"/>
    <w:rsid w:val="00F925EC"/>
    <w:rsid w:val="00F95ACB"/>
    <w:rsid w:val="00FB70B3"/>
    <w:rsid w:val="00FC4ED4"/>
    <w:rsid w:val="00FD0149"/>
    <w:rsid w:val="00FF5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4612E"/>
  <w15:chartTrackingRefBased/>
  <w15:docId w15:val="{DD1493EF-48B0-4651-B531-EEDA65A02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Josh</cp:lastModifiedBy>
  <cp:revision>6</cp:revision>
  <dcterms:created xsi:type="dcterms:W3CDTF">2020-11-06T11:19:00Z</dcterms:created>
  <dcterms:modified xsi:type="dcterms:W3CDTF">2020-11-06T11:30:00Z</dcterms:modified>
</cp:coreProperties>
</file>