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3F0CB8" w14:textId="77777777" w:rsidR="00E90171" w:rsidRPr="0098015B" w:rsidRDefault="00E90171" w:rsidP="00E90171">
      <w:pPr>
        <w:jc w:val="center"/>
        <w:rPr>
          <w:rFonts w:ascii="Arial" w:hAnsi="Arial" w:cs="Arial"/>
        </w:rPr>
      </w:pPr>
      <w:r w:rsidRPr="0098015B">
        <w:rPr>
          <w:rFonts w:ascii="Arial" w:hAnsi="Arial" w:cs="Arial"/>
          <w:noProof/>
        </w:rPr>
        <w:drawing>
          <wp:inline distT="0" distB="0" distL="0" distR="0" wp14:anchorId="0EC96A71" wp14:editId="600537A2">
            <wp:extent cx="2636520" cy="1181460"/>
            <wp:effectExtent l="0" t="0" r="0" b="0"/>
            <wp:docPr id="1" name="Picture 1" descr="A gro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group of black text&#10;&#10;Description automatically generated"/>
                    <pic:cNvPicPr/>
                  </pic:nvPicPr>
                  <pic:blipFill>
                    <a:blip r:embed="rId7"/>
                    <a:stretch>
                      <a:fillRect/>
                    </a:stretch>
                  </pic:blipFill>
                  <pic:spPr>
                    <a:xfrm>
                      <a:off x="0" y="0"/>
                      <a:ext cx="2653874" cy="1189236"/>
                    </a:xfrm>
                    <a:prstGeom prst="rect">
                      <a:avLst/>
                    </a:prstGeom>
                  </pic:spPr>
                </pic:pic>
              </a:graphicData>
            </a:graphic>
          </wp:inline>
        </w:drawing>
      </w:r>
    </w:p>
    <w:p w14:paraId="5CD7BB45" w14:textId="77777777" w:rsidR="00E90171" w:rsidRDefault="00E90171" w:rsidP="00E90171">
      <w:pPr>
        <w:pStyle w:val="Title"/>
        <w:rPr>
          <w:rFonts w:ascii="Arial" w:hAnsi="Arial" w:cs="Arial"/>
          <w:sz w:val="44"/>
          <w:szCs w:val="40"/>
        </w:rPr>
      </w:pPr>
    </w:p>
    <w:p w14:paraId="5B382A65" w14:textId="77777777" w:rsidR="00E90171" w:rsidRDefault="00E90171" w:rsidP="00E90171">
      <w:pPr>
        <w:pStyle w:val="Title"/>
        <w:rPr>
          <w:rFonts w:ascii="Arial" w:hAnsi="Arial" w:cs="Arial"/>
          <w:sz w:val="44"/>
          <w:szCs w:val="40"/>
        </w:rPr>
      </w:pPr>
    </w:p>
    <w:p w14:paraId="14BF46DA" w14:textId="77777777" w:rsidR="00E90171" w:rsidRPr="00164A38" w:rsidRDefault="00E90171" w:rsidP="00E90171">
      <w:pPr>
        <w:pStyle w:val="Title"/>
        <w:jc w:val="center"/>
        <w:rPr>
          <w:rFonts w:ascii="Arial" w:hAnsi="Arial" w:cs="Arial"/>
          <w:b/>
          <w:bCs/>
          <w:sz w:val="44"/>
          <w:szCs w:val="40"/>
        </w:rPr>
      </w:pPr>
      <w:r w:rsidRPr="00164A38">
        <w:rPr>
          <w:rFonts w:ascii="Arial" w:hAnsi="Arial" w:cs="Arial"/>
          <w:b/>
          <w:bCs/>
          <w:sz w:val="44"/>
          <w:szCs w:val="40"/>
        </w:rPr>
        <w:t>School of International Hotel Management</w:t>
      </w:r>
    </w:p>
    <w:p w14:paraId="090DCABA" w14:textId="77777777" w:rsidR="00E90171" w:rsidRPr="00164A38" w:rsidRDefault="00E90171" w:rsidP="00E90171">
      <w:pPr>
        <w:jc w:val="center"/>
        <w:rPr>
          <w:b/>
          <w:bCs/>
          <w:sz w:val="44"/>
          <w:szCs w:val="44"/>
          <w:lang w:bidi="hi-IN"/>
        </w:rPr>
      </w:pPr>
      <w:r w:rsidRPr="00164A38">
        <w:rPr>
          <w:rFonts w:ascii="Arial" w:hAnsi="Arial" w:cs="Arial"/>
          <w:b/>
          <w:bCs/>
          <w:sz w:val="44"/>
          <w:szCs w:val="44"/>
        </w:rPr>
        <w:t>BA International Hotel Management</w:t>
      </w:r>
    </w:p>
    <w:p w14:paraId="0CF5067F" w14:textId="77777777" w:rsidR="007709B8" w:rsidRDefault="007709B8" w:rsidP="00E90171">
      <w:pPr>
        <w:jc w:val="center"/>
        <w:rPr>
          <w:bCs/>
          <w:sz w:val="44"/>
          <w:szCs w:val="44"/>
          <w:lang w:bidi="hi-IN"/>
        </w:rPr>
      </w:pPr>
    </w:p>
    <w:p w14:paraId="7126F784" w14:textId="54DAB7B2" w:rsidR="00E90171" w:rsidRPr="00B744F7" w:rsidRDefault="00C3186B" w:rsidP="000E0921">
      <w:pPr>
        <w:rPr>
          <w:b/>
          <w:sz w:val="44"/>
          <w:szCs w:val="44"/>
          <w:lang w:bidi="hi-IN"/>
        </w:rPr>
      </w:pPr>
      <w:r w:rsidRPr="00B744F7">
        <w:rPr>
          <w:b/>
          <w:sz w:val="44"/>
          <w:szCs w:val="44"/>
          <w:lang w:bidi="hi-IN"/>
        </w:rPr>
        <w:t>Planning and Deliver</w:t>
      </w:r>
      <w:r w:rsidR="00392152">
        <w:rPr>
          <w:b/>
          <w:sz w:val="44"/>
          <w:szCs w:val="44"/>
          <w:lang w:bidi="hi-IN"/>
        </w:rPr>
        <w:t>ing</w:t>
      </w:r>
      <w:r w:rsidRPr="00B744F7">
        <w:rPr>
          <w:b/>
          <w:sz w:val="44"/>
          <w:szCs w:val="44"/>
          <w:lang w:bidi="hi-IN"/>
        </w:rPr>
        <w:t xml:space="preserve"> an International </w:t>
      </w:r>
      <w:r w:rsidR="00187CEC">
        <w:rPr>
          <w:b/>
          <w:sz w:val="44"/>
          <w:szCs w:val="44"/>
          <w:lang w:bidi="hi-IN"/>
        </w:rPr>
        <w:t xml:space="preserve">         </w:t>
      </w:r>
      <w:r w:rsidR="000307B4">
        <w:rPr>
          <w:b/>
          <w:sz w:val="44"/>
          <w:szCs w:val="44"/>
          <w:lang w:bidi="hi-IN"/>
        </w:rPr>
        <w:t xml:space="preserve">  </w:t>
      </w:r>
      <w:r w:rsidRPr="00B744F7">
        <w:rPr>
          <w:b/>
          <w:sz w:val="44"/>
          <w:szCs w:val="44"/>
          <w:lang w:bidi="hi-IN"/>
        </w:rPr>
        <w:t>Meeting</w:t>
      </w:r>
      <w:r w:rsidR="00187CEC">
        <w:rPr>
          <w:b/>
          <w:sz w:val="44"/>
          <w:szCs w:val="44"/>
          <w:lang w:bidi="hi-IN"/>
        </w:rPr>
        <w:t>/Event</w:t>
      </w:r>
    </w:p>
    <w:p w14:paraId="3562B30C" w14:textId="77777777" w:rsidR="007709B8" w:rsidRDefault="007709B8" w:rsidP="00E90171">
      <w:pPr>
        <w:pStyle w:val="Title"/>
        <w:jc w:val="center"/>
        <w:rPr>
          <w:rFonts w:ascii="Arial" w:hAnsi="Arial" w:cs="Arial"/>
          <w:b/>
          <w:bCs/>
          <w:sz w:val="40"/>
          <w:szCs w:val="40"/>
        </w:rPr>
      </w:pPr>
    </w:p>
    <w:p w14:paraId="7009C235" w14:textId="77777777" w:rsidR="007709B8" w:rsidRDefault="007709B8" w:rsidP="00E90171">
      <w:pPr>
        <w:pStyle w:val="Title"/>
        <w:jc w:val="center"/>
        <w:rPr>
          <w:rFonts w:ascii="Arial" w:hAnsi="Arial" w:cs="Arial"/>
          <w:b/>
          <w:bCs/>
          <w:sz w:val="40"/>
          <w:szCs w:val="40"/>
        </w:rPr>
      </w:pPr>
    </w:p>
    <w:p w14:paraId="5C68F851" w14:textId="77777777" w:rsidR="006C710F" w:rsidRPr="006C710F" w:rsidRDefault="00F81F2C" w:rsidP="00E90171">
      <w:pPr>
        <w:pStyle w:val="Title"/>
        <w:jc w:val="center"/>
        <w:rPr>
          <w:rFonts w:ascii="Arial" w:hAnsi="Arial" w:cs="Arial"/>
          <w:b/>
          <w:bCs/>
          <w:i/>
          <w:iCs/>
          <w:sz w:val="40"/>
          <w:szCs w:val="40"/>
        </w:rPr>
      </w:pPr>
      <w:r w:rsidRPr="006C710F">
        <w:rPr>
          <w:rFonts w:ascii="Arial" w:hAnsi="Arial" w:cs="Arial"/>
          <w:b/>
          <w:bCs/>
          <w:i/>
          <w:iCs/>
          <w:sz w:val="40"/>
          <w:szCs w:val="40"/>
        </w:rPr>
        <w:t xml:space="preserve">PRIDE IN </w:t>
      </w:r>
      <w:r w:rsidR="0043232D" w:rsidRPr="006C710F">
        <w:rPr>
          <w:rFonts w:ascii="Arial" w:hAnsi="Arial" w:cs="Arial"/>
          <w:b/>
          <w:bCs/>
          <w:i/>
          <w:iCs/>
          <w:sz w:val="40"/>
          <w:szCs w:val="40"/>
        </w:rPr>
        <w:t>HOSPITALITY</w:t>
      </w:r>
    </w:p>
    <w:p w14:paraId="7EF27AC3" w14:textId="11BEB66C" w:rsidR="00E90171" w:rsidRPr="006C710F" w:rsidRDefault="0043232D" w:rsidP="00E90171">
      <w:pPr>
        <w:pStyle w:val="Title"/>
        <w:jc w:val="center"/>
        <w:rPr>
          <w:rFonts w:ascii="Arial" w:hAnsi="Arial" w:cs="Arial"/>
          <w:b/>
          <w:bCs/>
          <w:i/>
          <w:iCs/>
          <w:sz w:val="40"/>
          <w:szCs w:val="40"/>
        </w:rPr>
      </w:pPr>
      <w:r w:rsidRPr="006C710F">
        <w:rPr>
          <w:rFonts w:ascii="Arial" w:hAnsi="Arial" w:cs="Arial"/>
          <w:b/>
          <w:bCs/>
          <w:i/>
          <w:iCs/>
          <w:sz w:val="40"/>
          <w:szCs w:val="40"/>
        </w:rPr>
        <w:t xml:space="preserve"> LEADERSHIP SUMMIT</w:t>
      </w:r>
    </w:p>
    <w:p w14:paraId="375C75C3" w14:textId="77777777" w:rsidR="00E90171" w:rsidRPr="00763149" w:rsidRDefault="00E90171" w:rsidP="00E90171">
      <w:pPr>
        <w:pStyle w:val="Title"/>
        <w:jc w:val="both"/>
        <w:rPr>
          <w:rFonts w:ascii="Arial" w:hAnsi="Arial" w:cs="Arial"/>
          <w:sz w:val="28"/>
          <w:szCs w:val="28"/>
        </w:rPr>
      </w:pPr>
    </w:p>
    <w:p w14:paraId="711E9B78" w14:textId="77777777" w:rsidR="00E90171" w:rsidRDefault="00E90171" w:rsidP="00E90171">
      <w:pPr>
        <w:rPr>
          <w:rFonts w:ascii="Arial" w:hAnsi="Arial" w:cs="Arial"/>
          <w:sz w:val="28"/>
          <w:szCs w:val="28"/>
        </w:rPr>
      </w:pPr>
    </w:p>
    <w:p w14:paraId="3E3F3E6F" w14:textId="77777777" w:rsidR="00E90171" w:rsidRDefault="00E90171" w:rsidP="00E90171">
      <w:pPr>
        <w:rPr>
          <w:rFonts w:ascii="Arial" w:hAnsi="Arial" w:cs="Arial"/>
          <w:sz w:val="28"/>
          <w:szCs w:val="28"/>
        </w:rPr>
      </w:pPr>
    </w:p>
    <w:p w14:paraId="1B4AFB46" w14:textId="77777777" w:rsidR="00E90171" w:rsidRDefault="00E90171" w:rsidP="00E90171">
      <w:pPr>
        <w:rPr>
          <w:rFonts w:ascii="Arial" w:hAnsi="Arial" w:cs="Arial"/>
          <w:sz w:val="28"/>
          <w:szCs w:val="28"/>
        </w:rPr>
      </w:pPr>
    </w:p>
    <w:p w14:paraId="15842EDD" w14:textId="77777777" w:rsidR="007709B8" w:rsidRDefault="007709B8" w:rsidP="00E90171">
      <w:pPr>
        <w:rPr>
          <w:rFonts w:ascii="Arial" w:hAnsi="Arial" w:cs="Arial"/>
          <w:sz w:val="28"/>
          <w:szCs w:val="28"/>
        </w:rPr>
      </w:pPr>
    </w:p>
    <w:p w14:paraId="552FC27E" w14:textId="0B067FF9" w:rsidR="00E90171" w:rsidRPr="00763149" w:rsidRDefault="00E90171" w:rsidP="00E90171">
      <w:pPr>
        <w:rPr>
          <w:rFonts w:ascii="Arial" w:hAnsi="Arial" w:cs="Arial"/>
          <w:sz w:val="28"/>
          <w:szCs w:val="28"/>
        </w:rPr>
      </w:pPr>
      <w:r w:rsidRPr="00763149">
        <w:rPr>
          <w:rFonts w:ascii="Arial" w:hAnsi="Arial" w:cs="Arial"/>
          <w:sz w:val="28"/>
          <w:szCs w:val="28"/>
        </w:rPr>
        <w:t>Student Name: Oleg Goncear</w:t>
      </w:r>
    </w:p>
    <w:p w14:paraId="2445504A" w14:textId="77777777" w:rsidR="00E90171" w:rsidRPr="00763149" w:rsidRDefault="00E90171" w:rsidP="00E90171">
      <w:pPr>
        <w:rPr>
          <w:rFonts w:ascii="Arial" w:hAnsi="Arial" w:cs="Arial"/>
          <w:sz w:val="28"/>
          <w:szCs w:val="28"/>
          <w:lang w:bidi="hi-IN"/>
        </w:rPr>
      </w:pPr>
      <w:r w:rsidRPr="00763149">
        <w:rPr>
          <w:rFonts w:ascii="Arial" w:hAnsi="Arial" w:cs="Arial"/>
          <w:sz w:val="28"/>
          <w:szCs w:val="28"/>
          <w:lang w:bidi="hi-IN"/>
        </w:rPr>
        <w:t>Student ID: 2231041</w:t>
      </w:r>
    </w:p>
    <w:p w14:paraId="1225EBAC" w14:textId="4701B040" w:rsidR="00E90171" w:rsidRPr="00763149" w:rsidRDefault="00E90171" w:rsidP="00E90171">
      <w:pPr>
        <w:pStyle w:val="Title"/>
        <w:spacing w:line="360" w:lineRule="auto"/>
        <w:jc w:val="both"/>
        <w:rPr>
          <w:rFonts w:ascii="Arial" w:hAnsi="Arial" w:cs="Arial"/>
          <w:sz w:val="28"/>
          <w:szCs w:val="28"/>
        </w:rPr>
      </w:pPr>
      <w:r w:rsidRPr="00763149">
        <w:rPr>
          <w:rFonts w:ascii="Arial" w:hAnsi="Arial" w:cs="Arial"/>
          <w:sz w:val="28"/>
          <w:szCs w:val="28"/>
        </w:rPr>
        <w:t xml:space="preserve">Module: </w:t>
      </w:r>
      <w:r w:rsidR="008B4A94">
        <w:rPr>
          <w:rFonts w:ascii="Arial" w:hAnsi="Arial" w:cs="Arial"/>
          <w:sz w:val="28"/>
          <w:szCs w:val="28"/>
        </w:rPr>
        <w:t xml:space="preserve">International </w:t>
      </w:r>
      <w:r w:rsidR="00045C45">
        <w:rPr>
          <w:rFonts w:ascii="Arial" w:hAnsi="Arial" w:cs="Arial"/>
          <w:sz w:val="28"/>
          <w:szCs w:val="28"/>
        </w:rPr>
        <w:t>Meeting Management for the Hotel Industry</w:t>
      </w:r>
    </w:p>
    <w:p w14:paraId="3FF077DA" w14:textId="2F4F45EC" w:rsidR="00E90171" w:rsidRPr="003D5B70" w:rsidRDefault="00E90171" w:rsidP="00E90171">
      <w:pPr>
        <w:pStyle w:val="Title"/>
        <w:spacing w:line="360" w:lineRule="auto"/>
        <w:jc w:val="both"/>
        <w:rPr>
          <w:rFonts w:ascii="Arial" w:hAnsi="Arial" w:cs="Arial"/>
          <w:sz w:val="28"/>
          <w:szCs w:val="28"/>
        </w:rPr>
      </w:pPr>
      <w:r w:rsidRPr="00763149">
        <w:rPr>
          <w:rFonts w:ascii="Arial" w:hAnsi="Arial" w:cs="Arial"/>
          <w:sz w:val="28"/>
          <w:szCs w:val="28"/>
        </w:rPr>
        <w:t xml:space="preserve">Module code: BMIH </w:t>
      </w:r>
      <w:r w:rsidR="00B16495">
        <w:rPr>
          <w:rFonts w:ascii="Arial" w:hAnsi="Arial" w:cs="Arial"/>
          <w:sz w:val="28"/>
          <w:szCs w:val="28"/>
        </w:rPr>
        <w:t>6007</w:t>
      </w:r>
    </w:p>
    <w:p w14:paraId="0732BE3D" w14:textId="7A955640" w:rsidR="00E90171" w:rsidRPr="003D5B70" w:rsidRDefault="00E90171" w:rsidP="00E90171">
      <w:pPr>
        <w:rPr>
          <w:sz w:val="32"/>
          <w:szCs w:val="32"/>
        </w:rPr>
      </w:pPr>
      <w:r w:rsidRPr="003D5B70">
        <w:rPr>
          <w:sz w:val="32"/>
          <w:szCs w:val="32"/>
        </w:rPr>
        <w:t xml:space="preserve">Lecturer: </w:t>
      </w:r>
      <w:r w:rsidR="000653FC">
        <w:rPr>
          <w:sz w:val="32"/>
          <w:szCs w:val="32"/>
        </w:rPr>
        <w:t>Kathryn Flynn</w:t>
      </w:r>
    </w:p>
    <w:p w14:paraId="555E3B89" w14:textId="77777777" w:rsidR="00EC22DD" w:rsidRDefault="00EC22DD" w:rsidP="004C1A06">
      <w:pPr>
        <w:jc w:val="both"/>
      </w:pPr>
    </w:p>
    <w:p w14:paraId="36ACAC45" w14:textId="77777777" w:rsidR="002033B2" w:rsidRPr="002033B2" w:rsidRDefault="002033B2" w:rsidP="002033B2">
      <w:pPr>
        <w:spacing w:line="259" w:lineRule="auto"/>
        <w:rPr>
          <w:rFonts w:ascii="Arial" w:eastAsia="Aptos" w:hAnsi="Arial" w:cs="Arial"/>
          <w:b/>
          <w:bCs/>
          <w:color w:val="000000"/>
          <w:kern w:val="0"/>
        </w:rPr>
      </w:pPr>
    </w:p>
    <w:p w14:paraId="19599395" w14:textId="77777777" w:rsidR="002033B2" w:rsidRPr="002033B2" w:rsidRDefault="002033B2" w:rsidP="002033B2">
      <w:pPr>
        <w:autoSpaceDE w:val="0"/>
        <w:autoSpaceDN w:val="0"/>
        <w:adjustRightInd w:val="0"/>
        <w:spacing w:after="0" w:line="240" w:lineRule="auto"/>
        <w:rPr>
          <w:rFonts w:ascii="Arial" w:eastAsia="Aptos" w:hAnsi="Arial" w:cs="Arial"/>
          <w:b/>
          <w:bCs/>
          <w:color w:val="000000"/>
          <w:kern w:val="0"/>
        </w:rPr>
      </w:pPr>
      <w:r w:rsidRPr="002033B2">
        <w:rPr>
          <w:rFonts w:ascii="Arial" w:eastAsia="Aptos" w:hAnsi="Arial" w:cs="Arial"/>
          <w:b/>
          <w:bCs/>
          <w:color w:val="000000"/>
          <w:kern w:val="0"/>
        </w:rPr>
        <w:t>I acknowledge using the Grammarly App on 21.02.2025 to check my document for grammatical and syntactical mistakes.</w:t>
      </w:r>
    </w:p>
    <w:p w14:paraId="1C7F7DAB" w14:textId="77777777" w:rsidR="002033B2" w:rsidRPr="002033B2" w:rsidRDefault="002033B2" w:rsidP="002033B2">
      <w:pPr>
        <w:autoSpaceDE w:val="0"/>
        <w:autoSpaceDN w:val="0"/>
        <w:adjustRightInd w:val="0"/>
        <w:spacing w:after="0" w:line="240" w:lineRule="auto"/>
        <w:rPr>
          <w:rFonts w:ascii="Arial" w:eastAsia="Aptos" w:hAnsi="Arial" w:cs="Arial"/>
          <w:b/>
          <w:bCs/>
          <w:color w:val="000000"/>
          <w:kern w:val="0"/>
        </w:rPr>
      </w:pPr>
    </w:p>
    <w:p w14:paraId="6204C7FC" w14:textId="77777777" w:rsidR="002033B2" w:rsidRPr="002033B2" w:rsidRDefault="002033B2" w:rsidP="002033B2">
      <w:pPr>
        <w:spacing w:line="259" w:lineRule="auto"/>
        <w:rPr>
          <w:rFonts w:ascii="Arial" w:eastAsia="Aptos" w:hAnsi="Arial" w:cs="Arial"/>
          <w:b/>
          <w:bCs/>
          <w:kern w:val="0"/>
          <w:sz w:val="22"/>
          <w:szCs w:val="22"/>
          <w:u w:val="single"/>
        </w:rPr>
      </w:pPr>
    </w:p>
    <w:p w14:paraId="6C78F798" w14:textId="77777777" w:rsidR="002033B2" w:rsidRPr="002033B2" w:rsidRDefault="002033B2" w:rsidP="002033B2">
      <w:pPr>
        <w:spacing w:line="259" w:lineRule="auto"/>
        <w:rPr>
          <w:rFonts w:ascii="Arial" w:eastAsia="Aptos" w:hAnsi="Arial" w:cs="Arial"/>
          <w:b/>
          <w:bCs/>
          <w:kern w:val="0"/>
          <w:sz w:val="22"/>
          <w:szCs w:val="22"/>
          <w:u w:val="single"/>
        </w:rPr>
      </w:pPr>
    </w:p>
    <w:p w14:paraId="77BF7561" w14:textId="77777777" w:rsidR="002033B2" w:rsidRPr="002033B2" w:rsidRDefault="002033B2" w:rsidP="002033B2">
      <w:pPr>
        <w:spacing w:line="259" w:lineRule="auto"/>
        <w:rPr>
          <w:rFonts w:ascii="Arial" w:eastAsia="Aptos" w:hAnsi="Arial" w:cs="Arial"/>
          <w:b/>
          <w:bCs/>
          <w:kern w:val="0"/>
          <w:sz w:val="22"/>
          <w:szCs w:val="22"/>
          <w:u w:val="single"/>
        </w:rPr>
      </w:pPr>
    </w:p>
    <w:p w14:paraId="0707117D" w14:textId="77777777" w:rsidR="002033B2" w:rsidRPr="002033B2" w:rsidRDefault="002033B2" w:rsidP="002033B2">
      <w:pPr>
        <w:spacing w:line="259" w:lineRule="auto"/>
        <w:rPr>
          <w:rFonts w:ascii="Arial" w:eastAsia="Aptos" w:hAnsi="Arial" w:cs="Arial"/>
          <w:b/>
          <w:bCs/>
          <w:kern w:val="0"/>
          <w:sz w:val="22"/>
          <w:szCs w:val="22"/>
          <w:u w:val="single"/>
        </w:rPr>
      </w:pPr>
    </w:p>
    <w:p w14:paraId="353696A4" w14:textId="77777777" w:rsidR="002033B2" w:rsidRPr="002033B2" w:rsidRDefault="002033B2" w:rsidP="002033B2">
      <w:pPr>
        <w:spacing w:line="259" w:lineRule="auto"/>
        <w:rPr>
          <w:rFonts w:ascii="Arial" w:eastAsia="Aptos" w:hAnsi="Arial" w:cs="Arial"/>
          <w:b/>
          <w:bCs/>
          <w:kern w:val="0"/>
          <w:sz w:val="22"/>
          <w:szCs w:val="22"/>
          <w:u w:val="single"/>
        </w:rPr>
      </w:pPr>
    </w:p>
    <w:p w14:paraId="0A3DEE31" w14:textId="77777777" w:rsidR="002033B2" w:rsidRPr="002033B2" w:rsidRDefault="002033B2" w:rsidP="002033B2">
      <w:pPr>
        <w:spacing w:line="259" w:lineRule="auto"/>
        <w:rPr>
          <w:rFonts w:ascii="Arial" w:eastAsia="Aptos" w:hAnsi="Arial" w:cs="Arial"/>
          <w:b/>
          <w:bCs/>
          <w:kern w:val="0"/>
          <w:sz w:val="22"/>
          <w:szCs w:val="22"/>
          <w:u w:val="single"/>
        </w:rPr>
      </w:pPr>
    </w:p>
    <w:p w14:paraId="04E794C3" w14:textId="77777777" w:rsidR="002033B2" w:rsidRPr="002033B2" w:rsidRDefault="002033B2" w:rsidP="002033B2">
      <w:pPr>
        <w:spacing w:line="259" w:lineRule="auto"/>
        <w:rPr>
          <w:rFonts w:ascii="Arial" w:eastAsia="Aptos" w:hAnsi="Arial" w:cs="Arial"/>
          <w:b/>
          <w:bCs/>
          <w:kern w:val="0"/>
          <w:sz w:val="22"/>
          <w:szCs w:val="22"/>
          <w:u w:val="single"/>
        </w:rPr>
      </w:pPr>
    </w:p>
    <w:p w14:paraId="4342B0D7" w14:textId="77777777" w:rsidR="002033B2" w:rsidRPr="002033B2" w:rsidRDefault="002033B2" w:rsidP="002033B2">
      <w:pPr>
        <w:spacing w:line="259" w:lineRule="auto"/>
        <w:rPr>
          <w:rFonts w:ascii="Arial" w:eastAsia="Aptos" w:hAnsi="Arial" w:cs="Arial"/>
          <w:b/>
          <w:bCs/>
          <w:kern w:val="0"/>
          <w:sz w:val="22"/>
          <w:szCs w:val="22"/>
          <w:u w:val="single"/>
        </w:rPr>
      </w:pPr>
    </w:p>
    <w:p w14:paraId="70870431" w14:textId="77777777" w:rsidR="002033B2" w:rsidRPr="002033B2" w:rsidRDefault="002033B2" w:rsidP="002033B2">
      <w:pPr>
        <w:spacing w:line="259" w:lineRule="auto"/>
        <w:rPr>
          <w:rFonts w:ascii="Arial" w:eastAsia="Aptos" w:hAnsi="Arial" w:cs="Arial"/>
          <w:b/>
          <w:bCs/>
          <w:kern w:val="0"/>
          <w:sz w:val="22"/>
          <w:szCs w:val="22"/>
          <w:u w:val="single"/>
        </w:rPr>
      </w:pPr>
    </w:p>
    <w:p w14:paraId="06B8AEB6" w14:textId="77777777" w:rsidR="002033B2" w:rsidRPr="002033B2" w:rsidRDefault="002033B2" w:rsidP="002033B2">
      <w:pPr>
        <w:spacing w:line="259" w:lineRule="auto"/>
        <w:rPr>
          <w:rFonts w:ascii="Arial" w:eastAsia="Aptos" w:hAnsi="Arial" w:cs="Arial"/>
          <w:b/>
          <w:bCs/>
          <w:kern w:val="0"/>
          <w:sz w:val="22"/>
          <w:szCs w:val="22"/>
          <w:u w:val="single"/>
        </w:rPr>
      </w:pPr>
    </w:p>
    <w:p w14:paraId="76132699" w14:textId="77777777" w:rsidR="002033B2" w:rsidRPr="002033B2" w:rsidRDefault="002033B2" w:rsidP="002033B2">
      <w:pPr>
        <w:spacing w:line="259" w:lineRule="auto"/>
        <w:rPr>
          <w:rFonts w:ascii="Arial" w:eastAsia="Aptos" w:hAnsi="Arial" w:cs="Arial"/>
          <w:b/>
          <w:bCs/>
          <w:kern w:val="0"/>
          <w:sz w:val="22"/>
          <w:szCs w:val="22"/>
          <w:u w:val="single"/>
        </w:rPr>
      </w:pPr>
    </w:p>
    <w:p w14:paraId="57BCBB69" w14:textId="77777777" w:rsidR="002033B2" w:rsidRPr="002033B2" w:rsidRDefault="002033B2" w:rsidP="002033B2">
      <w:pPr>
        <w:spacing w:line="259" w:lineRule="auto"/>
        <w:rPr>
          <w:rFonts w:ascii="Arial" w:eastAsia="Aptos" w:hAnsi="Arial" w:cs="Arial"/>
          <w:b/>
          <w:bCs/>
          <w:kern w:val="0"/>
          <w:sz w:val="22"/>
          <w:szCs w:val="22"/>
          <w:u w:val="single"/>
        </w:rPr>
      </w:pPr>
    </w:p>
    <w:p w14:paraId="7E6E807C" w14:textId="77777777" w:rsidR="002033B2" w:rsidRPr="002033B2" w:rsidRDefault="002033B2" w:rsidP="002033B2">
      <w:pPr>
        <w:spacing w:line="259" w:lineRule="auto"/>
        <w:rPr>
          <w:rFonts w:ascii="Arial" w:eastAsia="Aptos" w:hAnsi="Arial" w:cs="Arial"/>
          <w:b/>
          <w:bCs/>
          <w:kern w:val="0"/>
          <w:sz w:val="22"/>
          <w:szCs w:val="22"/>
          <w:u w:val="single"/>
        </w:rPr>
      </w:pPr>
    </w:p>
    <w:p w14:paraId="704410FA" w14:textId="77777777" w:rsidR="002033B2" w:rsidRPr="002033B2" w:rsidRDefault="002033B2" w:rsidP="002033B2">
      <w:pPr>
        <w:spacing w:line="259" w:lineRule="auto"/>
        <w:rPr>
          <w:rFonts w:ascii="Arial" w:eastAsia="Aptos" w:hAnsi="Arial" w:cs="Arial"/>
          <w:b/>
          <w:bCs/>
          <w:kern w:val="0"/>
          <w:sz w:val="22"/>
          <w:szCs w:val="22"/>
          <w:u w:val="single"/>
        </w:rPr>
      </w:pPr>
    </w:p>
    <w:p w14:paraId="7E4C3171" w14:textId="77777777" w:rsidR="002033B2" w:rsidRPr="002033B2" w:rsidRDefault="002033B2" w:rsidP="002033B2">
      <w:pPr>
        <w:spacing w:line="259" w:lineRule="auto"/>
        <w:rPr>
          <w:rFonts w:ascii="Arial" w:eastAsia="Aptos" w:hAnsi="Arial" w:cs="Arial"/>
          <w:b/>
          <w:bCs/>
          <w:kern w:val="0"/>
          <w:sz w:val="22"/>
          <w:szCs w:val="22"/>
          <w:u w:val="single"/>
        </w:rPr>
      </w:pPr>
    </w:p>
    <w:p w14:paraId="4C11A82C" w14:textId="77777777" w:rsidR="002033B2" w:rsidRPr="002033B2" w:rsidRDefault="002033B2" w:rsidP="002033B2">
      <w:pPr>
        <w:spacing w:line="259" w:lineRule="auto"/>
        <w:rPr>
          <w:rFonts w:ascii="Arial" w:eastAsia="Aptos" w:hAnsi="Arial" w:cs="Arial"/>
          <w:b/>
          <w:bCs/>
          <w:kern w:val="0"/>
          <w:sz w:val="22"/>
          <w:szCs w:val="22"/>
          <w:u w:val="single"/>
        </w:rPr>
      </w:pPr>
    </w:p>
    <w:p w14:paraId="5C6D7E05" w14:textId="77777777" w:rsidR="002033B2" w:rsidRPr="002033B2" w:rsidRDefault="002033B2" w:rsidP="002033B2">
      <w:pPr>
        <w:spacing w:line="259" w:lineRule="auto"/>
        <w:rPr>
          <w:rFonts w:ascii="Arial" w:eastAsia="Aptos" w:hAnsi="Arial" w:cs="Arial"/>
          <w:b/>
          <w:bCs/>
          <w:kern w:val="0"/>
          <w:sz w:val="22"/>
          <w:szCs w:val="22"/>
          <w:u w:val="single"/>
        </w:rPr>
      </w:pPr>
    </w:p>
    <w:p w14:paraId="6F885E14" w14:textId="77777777" w:rsidR="002033B2" w:rsidRPr="002033B2" w:rsidRDefault="002033B2" w:rsidP="002033B2">
      <w:pPr>
        <w:spacing w:line="259" w:lineRule="auto"/>
        <w:rPr>
          <w:rFonts w:ascii="Arial" w:eastAsia="Aptos" w:hAnsi="Arial" w:cs="Arial"/>
          <w:b/>
          <w:bCs/>
          <w:kern w:val="0"/>
          <w:sz w:val="22"/>
          <w:szCs w:val="22"/>
          <w:u w:val="single"/>
        </w:rPr>
      </w:pPr>
    </w:p>
    <w:p w14:paraId="5D8E246B" w14:textId="77777777" w:rsidR="002033B2" w:rsidRPr="002033B2" w:rsidRDefault="002033B2" w:rsidP="002033B2">
      <w:pPr>
        <w:spacing w:line="259" w:lineRule="auto"/>
        <w:rPr>
          <w:rFonts w:ascii="Arial" w:eastAsia="Aptos" w:hAnsi="Arial" w:cs="Arial"/>
          <w:b/>
          <w:bCs/>
          <w:kern w:val="0"/>
          <w:sz w:val="22"/>
          <w:szCs w:val="22"/>
          <w:u w:val="single"/>
        </w:rPr>
      </w:pPr>
    </w:p>
    <w:p w14:paraId="31180027" w14:textId="77777777" w:rsidR="002033B2" w:rsidRPr="002033B2" w:rsidRDefault="002033B2" w:rsidP="002033B2">
      <w:pPr>
        <w:spacing w:line="259" w:lineRule="auto"/>
        <w:rPr>
          <w:rFonts w:ascii="Arial" w:eastAsia="Aptos" w:hAnsi="Arial" w:cs="Arial"/>
          <w:b/>
          <w:bCs/>
          <w:kern w:val="0"/>
          <w:sz w:val="22"/>
          <w:szCs w:val="22"/>
          <w:u w:val="single"/>
        </w:rPr>
      </w:pPr>
    </w:p>
    <w:p w14:paraId="00CAA580" w14:textId="77777777" w:rsidR="002033B2" w:rsidRPr="002033B2" w:rsidRDefault="002033B2" w:rsidP="002033B2">
      <w:pPr>
        <w:spacing w:line="259" w:lineRule="auto"/>
        <w:rPr>
          <w:rFonts w:ascii="Arial" w:eastAsia="Aptos" w:hAnsi="Arial" w:cs="Arial"/>
          <w:b/>
          <w:bCs/>
          <w:kern w:val="0"/>
          <w:sz w:val="22"/>
          <w:szCs w:val="22"/>
          <w:u w:val="single"/>
        </w:rPr>
      </w:pPr>
    </w:p>
    <w:p w14:paraId="793BBDFE" w14:textId="77777777" w:rsidR="002033B2" w:rsidRPr="002033B2" w:rsidRDefault="002033B2" w:rsidP="002033B2">
      <w:pPr>
        <w:spacing w:line="259" w:lineRule="auto"/>
        <w:rPr>
          <w:rFonts w:ascii="Arial" w:eastAsia="Aptos" w:hAnsi="Arial" w:cs="Arial"/>
          <w:b/>
          <w:bCs/>
          <w:kern w:val="0"/>
          <w:sz w:val="22"/>
          <w:szCs w:val="22"/>
          <w:u w:val="single"/>
        </w:rPr>
      </w:pPr>
    </w:p>
    <w:p w14:paraId="03F4B6B5" w14:textId="77777777" w:rsidR="002033B2" w:rsidRPr="002033B2" w:rsidRDefault="002033B2" w:rsidP="002033B2">
      <w:pPr>
        <w:spacing w:line="259" w:lineRule="auto"/>
        <w:rPr>
          <w:rFonts w:ascii="Arial" w:eastAsia="Aptos" w:hAnsi="Arial" w:cs="Arial"/>
          <w:b/>
          <w:bCs/>
          <w:kern w:val="0"/>
          <w:sz w:val="22"/>
          <w:szCs w:val="22"/>
          <w:u w:val="single"/>
        </w:rPr>
      </w:pPr>
    </w:p>
    <w:p w14:paraId="5E11FF51" w14:textId="77777777" w:rsidR="002033B2" w:rsidRPr="002033B2" w:rsidRDefault="002033B2" w:rsidP="002033B2">
      <w:pPr>
        <w:spacing w:line="259" w:lineRule="auto"/>
        <w:rPr>
          <w:rFonts w:ascii="Arial" w:eastAsia="Aptos" w:hAnsi="Arial" w:cs="Arial"/>
          <w:b/>
          <w:bCs/>
          <w:kern w:val="0"/>
          <w:sz w:val="22"/>
          <w:szCs w:val="22"/>
          <w:u w:val="single"/>
        </w:rPr>
      </w:pPr>
    </w:p>
    <w:p w14:paraId="737C9DCA" w14:textId="77777777" w:rsidR="002033B2" w:rsidRPr="002033B2" w:rsidRDefault="002033B2" w:rsidP="002033B2">
      <w:pPr>
        <w:spacing w:line="259" w:lineRule="auto"/>
        <w:rPr>
          <w:rFonts w:ascii="Arial" w:eastAsia="Aptos" w:hAnsi="Arial" w:cs="Arial"/>
          <w:b/>
          <w:bCs/>
          <w:kern w:val="0"/>
          <w:sz w:val="22"/>
          <w:szCs w:val="22"/>
          <w:u w:val="single"/>
        </w:rPr>
      </w:pPr>
    </w:p>
    <w:p w14:paraId="0EBE46A5" w14:textId="77777777" w:rsidR="002033B2" w:rsidRPr="002033B2" w:rsidRDefault="002033B2" w:rsidP="002033B2">
      <w:pPr>
        <w:spacing w:line="259" w:lineRule="auto"/>
        <w:rPr>
          <w:rFonts w:ascii="Arial" w:eastAsia="Aptos" w:hAnsi="Arial" w:cs="Arial"/>
          <w:b/>
          <w:bCs/>
          <w:kern w:val="0"/>
          <w:sz w:val="22"/>
          <w:szCs w:val="22"/>
          <w:u w:val="single"/>
        </w:rPr>
      </w:pPr>
    </w:p>
    <w:p w14:paraId="34A8EFF3" w14:textId="77777777" w:rsidR="002033B2" w:rsidRPr="002033B2" w:rsidRDefault="002033B2" w:rsidP="002033B2">
      <w:pPr>
        <w:spacing w:line="259" w:lineRule="auto"/>
        <w:rPr>
          <w:rFonts w:ascii="Arial" w:eastAsia="Aptos" w:hAnsi="Arial" w:cs="Arial"/>
          <w:b/>
          <w:bCs/>
          <w:kern w:val="0"/>
          <w:sz w:val="22"/>
          <w:szCs w:val="22"/>
          <w:u w:val="single"/>
        </w:rPr>
      </w:pPr>
    </w:p>
    <w:p w14:paraId="3D80B5A6" w14:textId="77777777" w:rsidR="00AB375F" w:rsidRDefault="00AB375F" w:rsidP="002033B2">
      <w:pPr>
        <w:spacing w:line="360" w:lineRule="auto"/>
        <w:jc w:val="both"/>
        <w:rPr>
          <w:rFonts w:ascii="Arial" w:eastAsia="Aptos" w:hAnsi="Arial" w:cs="Arial"/>
          <w:b/>
          <w:bCs/>
          <w:kern w:val="0"/>
          <w:sz w:val="22"/>
          <w:szCs w:val="22"/>
          <w:u w:val="single"/>
        </w:rPr>
      </w:pPr>
    </w:p>
    <w:p w14:paraId="6BD88EB3" w14:textId="77777777" w:rsidR="00AB375F" w:rsidRDefault="00AB375F" w:rsidP="002033B2">
      <w:pPr>
        <w:spacing w:line="360" w:lineRule="auto"/>
        <w:jc w:val="both"/>
        <w:rPr>
          <w:rFonts w:ascii="Arial" w:eastAsia="Aptos" w:hAnsi="Arial" w:cs="Arial"/>
          <w:b/>
          <w:bCs/>
          <w:kern w:val="0"/>
          <w:sz w:val="22"/>
          <w:szCs w:val="22"/>
          <w:u w:val="single"/>
        </w:rPr>
      </w:pPr>
    </w:p>
    <w:p w14:paraId="500A061B" w14:textId="6DE7481C" w:rsidR="002033B2" w:rsidRPr="002033B2" w:rsidRDefault="002033B2" w:rsidP="002033B2">
      <w:pPr>
        <w:spacing w:line="360" w:lineRule="auto"/>
        <w:jc w:val="both"/>
        <w:rPr>
          <w:rFonts w:ascii="Arial" w:eastAsia="Aptos" w:hAnsi="Arial" w:cs="Arial"/>
          <w:b/>
          <w:bCs/>
          <w:kern w:val="0"/>
          <w:sz w:val="22"/>
          <w:szCs w:val="22"/>
          <w:u w:val="single"/>
        </w:rPr>
      </w:pPr>
      <w:r w:rsidRPr="002033B2">
        <w:rPr>
          <w:rFonts w:ascii="Arial" w:eastAsia="Aptos" w:hAnsi="Arial" w:cs="Arial"/>
          <w:b/>
          <w:bCs/>
          <w:kern w:val="0"/>
          <w:sz w:val="22"/>
          <w:szCs w:val="22"/>
          <w:u w:val="single"/>
        </w:rPr>
        <w:t>Introduction</w:t>
      </w:r>
    </w:p>
    <w:p w14:paraId="2B9928EE" w14:textId="77777777" w:rsidR="002033B2" w:rsidRPr="002033B2" w:rsidRDefault="002033B2" w:rsidP="002033B2">
      <w:pPr>
        <w:spacing w:line="360" w:lineRule="auto"/>
        <w:jc w:val="both"/>
        <w:rPr>
          <w:rFonts w:ascii="Arial" w:eastAsia="Aptos" w:hAnsi="Arial" w:cs="Arial"/>
          <w:kern w:val="0"/>
          <w:sz w:val="22"/>
          <w:szCs w:val="22"/>
        </w:rPr>
      </w:pPr>
      <w:r w:rsidRPr="002033B2">
        <w:rPr>
          <w:rFonts w:ascii="Arial" w:eastAsia="Aptos" w:hAnsi="Arial" w:cs="Arial"/>
          <w:kern w:val="0"/>
          <w:sz w:val="22"/>
          <w:szCs w:val="22"/>
        </w:rPr>
        <w:t xml:space="preserve">The Pride in Hospitality Leadership Summit allows industry leaders, HR professionals, and advocacy organisations to network professionally and debate best practices to foster LGBTQ+ inclusivity within the hospitality industry. The event, which is held at Andaz Amsterdam Prinsengracht, a renowned venue for its dedication to diversity and inclusion, addresses workplace challenges and LGBTQ+ representation (Vongvisitsin and Wong, 2021). </w:t>
      </w:r>
    </w:p>
    <w:p w14:paraId="2DC3F440" w14:textId="77777777" w:rsidR="002033B2" w:rsidRPr="002033B2" w:rsidRDefault="002033B2" w:rsidP="002033B2">
      <w:pPr>
        <w:spacing w:line="360" w:lineRule="auto"/>
        <w:jc w:val="both"/>
        <w:rPr>
          <w:rFonts w:ascii="Arial" w:eastAsia="Aptos" w:hAnsi="Arial" w:cs="Arial"/>
          <w:kern w:val="0"/>
          <w:sz w:val="22"/>
          <w:szCs w:val="22"/>
        </w:rPr>
      </w:pPr>
      <w:r w:rsidRPr="002033B2">
        <w:rPr>
          <w:rFonts w:ascii="Arial" w:eastAsia="Aptos" w:hAnsi="Arial" w:cs="Arial"/>
          <w:kern w:val="0"/>
          <w:sz w:val="22"/>
          <w:szCs w:val="22"/>
        </w:rPr>
        <w:t xml:space="preserve">This report employs the Event Planning Cycle and the Event Management Body of Knowledge (EMBOK) model to organise event administration, design, marketing, operations, and risk management (Bowdin et al., 2011). It also analyses industry trends, including sustainability, digital engagement, and hybrid participation (Ray, 2019). </w:t>
      </w:r>
    </w:p>
    <w:p w14:paraId="517E0128" w14:textId="77777777" w:rsidR="002033B2" w:rsidRPr="002033B2" w:rsidRDefault="002033B2" w:rsidP="002033B2">
      <w:pPr>
        <w:spacing w:line="360" w:lineRule="auto"/>
        <w:jc w:val="both"/>
        <w:rPr>
          <w:rFonts w:ascii="Arial" w:eastAsia="Aptos" w:hAnsi="Arial" w:cs="Arial"/>
          <w:kern w:val="0"/>
          <w:sz w:val="22"/>
          <w:szCs w:val="22"/>
        </w:rPr>
      </w:pPr>
      <w:r w:rsidRPr="002033B2">
        <w:rPr>
          <w:rFonts w:ascii="Arial" w:eastAsia="Aptos" w:hAnsi="Arial" w:cs="Arial"/>
          <w:kern w:val="0"/>
          <w:sz w:val="22"/>
          <w:szCs w:val="22"/>
        </w:rPr>
        <w:t>This report ensures that all attendees have a professional, inclusive, and impactful experience by adhering to structured methodologies and addressing industry challenges, consequently presenting an extensive event strategy that aligns with global DEI objectives and hospitality trends.</w:t>
      </w:r>
    </w:p>
    <w:p w14:paraId="69FF476D" w14:textId="77777777" w:rsidR="002033B2" w:rsidRPr="002033B2" w:rsidRDefault="002033B2" w:rsidP="002033B2">
      <w:pPr>
        <w:spacing w:line="360" w:lineRule="auto"/>
        <w:jc w:val="both"/>
        <w:rPr>
          <w:rFonts w:ascii="Arial" w:eastAsia="Aptos" w:hAnsi="Arial" w:cs="Arial"/>
          <w:kern w:val="0"/>
          <w:sz w:val="22"/>
          <w:szCs w:val="22"/>
        </w:rPr>
      </w:pPr>
    </w:p>
    <w:p w14:paraId="01641005" w14:textId="77777777" w:rsidR="002033B2" w:rsidRPr="002033B2" w:rsidRDefault="002033B2" w:rsidP="002033B2">
      <w:pPr>
        <w:spacing w:line="360" w:lineRule="auto"/>
        <w:jc w:val="both"/>
        <w:rPr>
          <w:rFonts w:ascii="Arial" w:eastAsia="Aptos" w:hAnsi="Arial" w:cs="Arial"/>
          <w:kern w:val="0"/>
          <w:sz w:val="22"/>
          <w:szCs w:val="22"/>
        </w:rPr>
      </w:pPr>
    </w:p>
    <w:p w14:paraId="76C7471C" w14:textId="77777777" w:rsidR="002033B2" w:rsidRPr="002033B2" w:rsidRDefault="002033B2" w:rsidP="002033B2">
      <w:pPr>
        <w:spacing w:line="360" w:lineRule="auto"/>
        <w:jc w:val="both"/>
        <w:rPr>
          <w:rFonts w:ascii="Arial" w:eastAsia="Aptos" w:hAnsi="Arial" w:cs="Arial"/>
          <w:kern w:val="0"/>
          <w:sz w:val="22"/>
          <w:szCs w:val="22"/>
        </w:rPr>
      </w:pPr>
      <w:r w:rsidRPr="002033B2">
        <w:rPr>
          <w:rFonts w:ascii="Arial" w:eastAsia="Aptos" w:hAnsi="Arial" w:cs="Arial"/>
          <w:noProof/>
          <w:kern w:val="0"/>
          <w:sz w:val="22"/>
          <w:szCs w:val="22"/>
        </w:rPr>
        <w:drawing>
          <wp:anchor distT="0" distB="0" distL="114300" distR="114300" simplePos="0" relativeHeight="251659264" behindDoc="0" locked="0" layoutInCell="1" allowOverlap="1" wp14:anchorId="41B62603" wp14:editId="03DD2952">
            <wp:simplePos x="0" y="0"/>
            <wp:positionH relativeFrom="margin">
              <wp:align>right</wp:align>
            </wp:positionH>
            <wp:positionV relativeFrom="paragraph">
              <wp:posOffset>523240</wp:posOffset>
            </wp:positionV>
            <wp:extent cx="5962650" cy="2981325"/>
            <wp:effectExtent l="0" t="0" r="0" b="9525"/>
            <wp:wrapSquare wrapText="bothSides"/>
            <wp:docPr id="252758496" name="Picture 1" descr="Andaz Amsterdam Prinsengracht Events and Tickets | Eventbr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Andaz Amsterdam Prinsengracht Events and Tickets | Eventbrit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62650" cy="29813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5FFFF53" w14:textId="77777777" w:rsidR="002033B2" w:rsidRPr="002033B2" w:rsidRDefault="002033B2" w:rsidP="002033B2">
      <w:pPr>
        <w:spacing w:line="360" w:lineRule="auto"/>
        <w:jc w:val="both"/>
        <w:rPr>
          <w:rFonts w:ascii="Arial" w:eastAsia="Aptos" w:hAnsi="Arial" w:cs="Arial"/>
          <w:kern w:val="0"/>
          <w:sz w:val="22"/>
          <w:szCs w:val="22"/>
        </w:rPr>
      </w:pPr>
    </w:p>
    <w:p w14:paraId="58F2E5CC" w14:textId="77777777" w:rsidR="002033B2" w:rsidRDefault="002033B2" w:rsidP="002033B2">
      <w:pPr>
        <w:spacing w:line="360" w:lineRule="auto"/>
        <w:jc w:val="both"/>
        <w:rPr>
          <w:rFonts w:ascii="Arial" w:eastAsia="Aptos" w:hAnsi="Arial" w:cs="Arial"/>
          <w:kern w:val="0"/>
          <w:sz w:val="22"/>
          <w:szCs w:val="22"/>
        </w:rPr>
      </w:pPr>
    </w:p>
    <w:p w14:paraId="6A497541" w14:textId="77777777" w:rsidR="00AB375F" w:rsidRDefault="00AB375F" w:rsidP="002033B2">
      <w:pPr>
        <w:spacing w:line="360" w:lineRule="auto"/>
        <w:jc w:val="both"/>
        <w:rPr>
          <w:rFonts w:ascii="Arial" w:eastAsia="Aptos" w:hAnsi="Arial" w:cs="Arial"/>
          <w:kern w:val="0"/>
          <w:sz w:val="22"/>
          <w:szCs w:val="22"/>
        </w:rPr>
      </w:pPr>
    </w:p>
    <w:p w14:paraId="4BF81031" w14:textId="77777777" w:rsidR="00AB375F" w:rsidRPr="002033B2" w:rsidRDefault="00AB375F" w:rsidP="002033B2">
      <w:pPr>
        <w:spacing w:line="360" w:lineRule="auto"/>
        <w:jc w:val="both"/>
        <w:rPr>
          <w:rFonts w:ascii="Arial" w:eastAsia="Aptos" w:hAnsi="Arial" w:cs="Arial"/>
          <w:kern w:val="0"/>
          <w:sz w:val="22"/>
          <w:szCs w:val="22"/>
        </w:rPr>
      </w:pPr>
    </w:p>
    <w:p w14:paraId="7966AA5B" w14:textId="05C1EF99" w:rsidR="002033B2" w:rsidRPr="002033B2" w:rsidRDefault="002033B2" w:rsidP="00AB375F">
      <w:pPr>
        <w:numPr>
          <w:ilvl w:val="0"/>
          <w:numId w:val="8"/>
        </w:numPr>
        <w:spacing w:line="360" w:lineRule="auto"/>
        <w:contextualSpacing/>
        <w:jc w:val="both"/>
        <w:rPr>
          <w:rFonts w:ascii="Arial" w:eastAsia="Aptos" w:hAnsi="Arial" w:cs="Arial"/>
          <w:b/>
          <w:bCs/>
          <w:kern w:val="0"/>
          <w:sz w:val="22"/>
          <w:szCs w:val="22"/>
          <w:u w:val="single"/>
        </w:rPr>
      </w:pPr>
      <w:r w:rsidRPr="002033B2">
        <w:rPr>
          <w:rFonts w:ascii="Arial" w:eastAsia="Aptos" w:hAnsi="Arial" w:cs="Arial"/>
          <w:b/>
          <w:bCs/>
          <w:kern w:val="0"/>
          <w:sz w:val="22"/>
          <w:szCs w:val="22"/>
          <w:u w:val="single"/>
        </w:rPr>
        <w:t>The Event Cycle</w:t>
      </w:r>
    </w:p>
    <w:p w14:paraId="72A270CC" w14:textId="77777777" w:rsidR="002033B2" w:rsidRPr="002033B2" w:rsidRDefault="002033B2" w:rsidP="002033B2">
      <w:pPr>
        <w:spacing w:line="360" w:lineRule="auto"/>
        <w:jc w:val="both"/>
        <w:rPr>
          <w:rFonts w:ascii="Arial" w:eastAsia="Aptos" w:hAnsi="Arial" w:cs="Arial"/>
          <w:b/>
          <w:bCs/>
          <w:kern w:val="0"/>
          <w:sz w:val="22"/>
          <w:szCs w:val="22"/>
          <w:u w:val="single"/>
        </w:rPr>
      </w:pPr>
      <w:r w:rsidRPr="002033B2">
        <w:rPr>
          <w:rFonts w:ascii="Arial" w:eastAsia="Aptos" w:hAnsi="Arial" w:cs="Arial"/>
          <w:noProof/>
          <w:kern w:val="0"/>
          <w:sz w:val="22"/>
          <w:szCs w:val="22"/>
        </w:rPr>
        <w:drawing>
          <wp:inline distT="0" distB="0" distL="0" distR="0" wp14:anchorId="5686D54D" wp14:editId="0DB1D2C0">
            <wp:extent cx="5943600" cy="3343275"/>
            <wp:effectExtent l="0" t="0" r="0" b="9525"/>
            <wp:docPr id="163129510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6771094" name=""/>
                    <pic:cNvPicPr/>
                  </pic:nvPicPr>
                  <pic:blipFill>
                    <a:blip r:embed="rId9">
                      <a:extLst>
                        <a:ext uri="{96DAC541-7B7A-43D3-8B79-37D633B846F1}">
                          <asvg:svgBlip xmlns:asvg="http://schemas.microsoft.com/office/drawing/2016/SVG/main" r:embed="rId10"/>
                        </a:ext>
                      </a:extLst>
                    </a:blip>
                    <a:stretch>
                      <a:fillRect/>
                    </a:stretch>
                  </pic:blipFill>
                  <pic:spPr>
                    <a:xfrm>
                      <a:off x="0" y="0"/>
                      <a:ext cx="5943600" cy="3343275"/>
                    </a:xfrm>
                    <a:prstGeom prst="rect">
                      <a:avLst/>
                    </a:prstGeom>
                  </pic:spPr>
                </pic:pic>
              </a:graphicData>
            </a:graphic>
          </wp:inline>
        </w:drawing>
      </w:r>
    </w:p>
    <w:p w14:paraId="5CCE392B" w14:textId="77777777" w:rsidR="002033B2" w:rsidRPr="002033B2" w:rsidRDefault="002033B2" w:rsidP="002033B2">
      <w:pPr>
        <w:spacing w:line="360" w:lineRule="auto"/>
        <w:jc w:val="both"/>
        <w:rPr>
          <w:rFonts w:ascii="Arial" w:eastAsia="Aptos" w:hAnsi="Arial" w:cs="Arial"/>
          <w:kern w:val="0"/>
          <w:sz w:val="22"/>
          <w:szCs w:val="22"/>
        </w:rPr>
      </w:pPr>
      <w:r w:rsidRPr="002033B2">
        <w:rPr>
          <w:rFonts w:ascii="Arial" w:eastAsia="Aptos" w:hAnsi="Arial" w:cs="Arial"/>
          <w:kern w:val="0"/>
          <w:sz w:val="22"/>
          <w:szCs w:val="22"/>
        </w:rPr>
        <w:t>The Event Cycle is a fundamental framework that directs an event's planning, delivery, and post-event evaluation. To ensure structured and efficient event management for the Pride in Hospitality Leadership Summit, adherence to Bowdin et al.'s (2011) Event Cycle is essential.</w:t>
      </w:r>
    </w:p>
    <w:p w14:paraId="6E741896" w14:textId="77777777" w:rsidR="002033B2" w:rsidRPr="002033B2" w:rsidRDefault="002033B2" w:rsidP="002033B2">
      <w:pPr>
        <w:spacing w:line="360" w:lineRule="auto"/>
        <w:jc w:val="both"/>
        <w:rPr>
          <w:rFonts w:ascii="Arial" w:eastAsia="Aptos" w:hAnsi="Arial" w:cs="Arial"/>
          <w:b/>
          <w:bCs/>
          <w:kern w:val="0"/>
          <w:sz w:val="22"/>
          <w:szCs w:val="22"/>
        </w:rPr>
      </w:pPr>
      <w:r w:rsidRPr="002033B2">
        <w:rPr>
          <w:rFonts w:ascii="Segoe UI Emoji" w:eastAsia="Aptos" w:hAnsi="Segoe UI Emoji" w:cs="Segoe UI Emoji"/>
          <w:b/>
          <w:bCs/>
          <w:kern w:val="0"/>
          <w:sz w:val="22"/>
          <w:szCs w:val="22"/>
        </w:rPr>
        <w:t>📌</w:t>
      </w:r>
      <w:r w:rsidRPr="002033B2">
        <w:rPr>
          <w:rFonts w:ascii="Arial" w:eastAsia="Aptos" w:hAnsi="Arial" w:cs="Arial"/>
          <w:b/>
          <w:bCs/>
          <w:kern w:val="0"/>
          <w:sz w:val="22"/>
          <w:szCs w:val="22"/>
        </w:rPr>
        <w:t xml:space="preserve"> Planning Phase (March - October 2024)</w:t>
      </w:r>
    </w:p>
    <w:p w14:paraId="76E016E5" w14:textId="77777777" w:rsidR="002033B2" w:rsidRPr="002033B2" w:rsidRDefault="002033B2" w:rsidP="002033B2">
      <w:pPr>
        <w:spacing w:line="360" w:lineRule="auto"/>
        <w:jc w:val="both"/>
        <w:rPr>
          <w:rFonts w:ascii="Arial" w:eastAsia="Aptos" w:hAnsi="Arial" w:cs="Arial"/>
          <w:kern w:val="0"/>
          <w:sz w:val="22"/>
          <w:szCs w:val="22"/>
        </w:rPr>
      </w:pPr>
      <w:r w:rsidRPr="002033B2">
        <w:rPr>
          <w:rFonts w:ascii="Arial" w:eastAsia="Aptos" w:hAnsi="Arial" w:cs="Arial"/>
          <w:kern w:val="0"/>
          <w:sz w:val="22"/>
          <w:szCs w:val="22"/>
        </w:rPr>
        <w:t>In this phase, the event concept is defined, the feasibility is evaluated, and initial sponsorship interest is secured. During this period, critical logistical components are implemented, including the confirmation of speakers, the selection of venues, and the commencement of marketing campaigns. Research shows the significance of pre-event marketing and strategic sponsorship acquisition, reinforcing the dependence of hospitality events on effective sponsorship engagement (Bowdin et al., 2011).</w:t>
      </w:r>
    </w:p>
    <w:p w14:paraId="0DDB3852" w14:textId="77777777" w:rsidR="002033B2" w:rsidRPr="002033B2" w:rsidRDefault="002033B2" w:rsidP="002033B2">
      <w:pPr>
        <w:spacing w:line="360" w:lineRule="auto"/>
        <w:jc w:val="both"/>
        <w:rPr>
          <w:rFonts w:ascii="Arial" w:eastAsia="Aptos" w:hAnsi="Arial" w:cs="Arial"/>
          <w:b/>
          <w:bCs/>
          <w:kern w:val="0"/>
          <w:sz w:val="22"/>
          <w:szCs w:val="22"/>
        </w:rPr>
      </w:pPr>
      <w:r w:rsidRPr="002033B2">
        <w:rPr>
          <w:rFonts w:ascii="Segoe UI Emoji" w:eastAsia="Aptos" w:hAnsi="Segoe UI Emoji" w:cs="Segoe UI Emoji"/>
          <w:b/>
          <w:bCs/>
          <w:kern w:val="0"/>
          <w:sz w:val="22"/>
          <w:szCs w:val="22"/>
        </w:rPr>
        <w:t>📌</w:t>
      </w:r>
      <w:r w:rsidRPr="002033B2">
        <w:rPr>
          <w:rFonts w:ascii="Arial" w:eastAsia="Aptos" w:hAnsi="Arial" w:cs="Arial"/>
          <w:b/>
          <w:bCs/>
          <w:kern w:val="0"/>
          <w:sz w:val="22"/>
          <w:szCs w:val="22"/>
        </w:rPr>
        <w:t xml:space="preserve"> Delivery Phase (November 2024)</w:t>
      </w:r>
    </w:p>
    <w:p w14:paraId="2E0C4F46" w14:textId="77777777" w:rsidR="002033B2" w:rsidRPr="002033B2" w:rsidRDefault="002033B2" w:rsidP="002033B2">
      <w:pPr>
        <w:spacing w:line="360" w:lineRule="auto"/>
        <w:jc w:val="both"/>
        <w:rPr>
          <w:rFonts w:ascii="Arial" w:eastAsia="Aptos" w:hAnsi="Arial" w:cs="Arial"/>
          <w:kern w:val="0"/>
          <w:sz w:val="22"/>
          <w:szCs w:val="22"/>
        </w:rPr>
      </w:pPr>
      <w:r w:rsidRPr="002033B2">
        <w:rPr>
          <w:rFonts w:ascii="Arial" w:eastAsia="Aptos" w:hAnsi="Arial" w:cs="Arial"/>
          <w:kern w:val="0"/>
          <w:sz w:val="22"/>
          <w:szCs w:val="22"/>
        </w:rPr>
        <w:t>This phase covers the event, including keynote speeches, networking sessions, and panel discussions. November was selected to coincide with International LGBTQ+ Awareness Days, maximising media and industry attention. Furthermore, industry leaders were able to attend without any scheduling complications by ensuring that there were no conflicts with key hospitality conferences. If successful, future events may expand beyond Amsterdam to other global hospitality centres or adopt a year-round engagement model (Friedman, 2019).</w:t>
      </w:r>
    </w:p>
    <w:p w14:paraId="2949EDB9" w14:textId="77777777" w:rsidR="002033B2" w:rsidRPr="002033B2" w:rsidRDefault="002033B2" w:rsidP="002033B2">
      <w:pPr>
        <w:spacing w:line="360" w:lineRule="auto"/>
        <w:jc w:val="both"/>
        <w:rPr>
          <w:rFonts w:ascii="Arial" w:eastAsia="Aptos" w:hAnsi="Arial" w:cs="Arial"/>
          <w:b/>
          <w:bCs/>
          <w:kern w:val="0"/>
          <w:sz w:val="22"/>
          <w:szCs w:val="22"/>
        </w:rPr>
      </w:pPr>
      <w:r w:rsidRPr="002033B2">
        <w:rPr>
          <w:rFonts w:ascii="Segoe UI Emoji" w:eastAsia="Aptos" w:hAnsi="Segoe UI Emoji" w:cs="Segoe UI Emoji"/>
          <w:b/>
          <w:bCs/>
          <w:kern w:val="0"/>
          <w:sz w:val="22"/>
          <w:szCs w:val="22"/>
        </w:rPr>
        <w:lastRenderedPageBreak/>
        <w:t>📌</w:t>
      </w:r>
      <w:r w:rsidRPr="002033B2">
        <w:rPr>
          <w:rFonts w:ascii="Arial" w:eastAsia="Aptos" w:hAnsi="Arial" w:cs="Arial"/>
          <w:b/>
          <w:bCs/>
          <w:kern w:val="0"/>
          <w:sz w:val="22"/>
          <w:szCs w:val="22"/>
        </w:rPr>
        <w:t xml:space="preserve"> Post-Event Evaluation (November 15 - December 15, 2024)</w:t>
      </w:r>
    </w:p>
    <w:p w14:paraId="14319C04" w14:textId="77777777" w:rsidR="002033B2" w:rsidRPr="002033B2" w:rsidRDefault="002033B2" w:rsidP="002033B2">
      <w:pPr>
        <w:spacing w:line="360" w:lineRule="auto"/>
        <w:jc w:val="both"/>
        <w:rPr>
          <w:rFonts w:ascii="Arial" w:eastAsia="Aptos" w:hAnsi="Arial" w:cs="Arial"/>
          <w:kern w:val="0"/>
          <w:sz w:val="22"/>
          <w:szCs w:val="22"/>
        </w:rPr>
      </w:pPr>
      <w:r w:rsidRPr="002033B2">
        <w:rPr>
          <w:rFonts w:ascii="Arial" w:eastAsia="Aptos" w:hAnsi="Arial" w:cs="Arial"/>
          <w:kern w:val="0"/>
          <w:sz w:val="22"/>
          <w:szCs w:val="22"/>
        </w:rPr>
        <w:t>This phase is dedicated to the collection of feedback, the evaluation of financial results, and the setting of standards for future events. More likely, events that effectively evaluate and adapt based on post-event data will maintain long-term relevance (Friedman, 2019).</w:t>
      </w:r>
    </w:p>
    <w:p w14:paraId="4E3AF5B5" w14:textId="77777777" w:rsidR="002033B2" w:rsidRPr="002033B2" w:rsidRDefault="002033B2" w:rsidP="002033B2">
      <w:pPr>
        <w:spacing w:line="360" w:lineRule="auto"/>
        <w:jc w:val="both"/>
        <w:rPr>
          <w:rFonts w:ascii="Arial" w:eastAsia="Aptos" w:hAnsi="Arial" w:cs="Arial"/>
          <w:kern w:val="0"/>
          <w:sz w:val="22"/>
          <w:szCs w:val="22"/>
        </w:rPr>
      </w:pPr>
      <w:r w:rsidRPr="002033B2">
        <w:rPr>
          <w:rFonts w:ascii="Arial" w:eastAsia="Aptos" w:hAnsi="Arial" w:cs="Arial"/>
          <w:kern w:val="0"/>
          <w:sz w:val="22"/>
          <w:szCs w:val="22"/>
        </w:rPr>
        <w:t>The Pride in Hospitality Leadership Summit strives to achieve lasting impact, ensure financial sustainability, and increase engagement by adhering to these structured phases.</w:t>
      </w:r>
    </w:p>
    <w:p w14:paraId="46F0F9B2" w14:textId="77777777" w:rsidR="002033B2" w:rsidRPr="002033B2" w:rsidRDefault="002033B2" w:rsidP="002033B2">
      <w:pPr>
        <w:spacing w:line="360" w:lineRule="auto"/>
        <w:jc w:val="both"/>
        <w:rPr>
          <w:rFonts w:ascii="Arial" w:eastAsia="Aptos" w:hAnsi="Arial" w:cs="Arial"/>
          <w:kern w:val="0"/>
          <w:sz w:val="22"/>
          <w:szCs w:val="22"/>
        </w:rPr>
      </w:pPr>
    </w:p>
    <w:p w14:paraId="25A7EC72" w14:textId="77777777" w:rsidR="002033B2" w:rsidRPr="002033B2" w:rsidRDefault="002033B2" w:rsidP="002033B2">
      <w:pPr>
        <w:spacing w:line="360" w:lineRule="auto"/>
        <w:jc w:val="both"/>
        <w:rPr>
          <w:rFonts w:ascii="Arial" w:eastAsia="Aptos" w:hAnsi="Arial" w:cs="Arial"/>
          <w:kern w:val="0"/>
          <w:sz w:val="22"/>
          <w:szCs w:val="22"/>
        </w:rPr>
      </w:pPr>
      <w:r w:rsidRPr="002033B2">
        <w:rPr>
          <w:rFonts w:ascii="Arial" w:eastAsia="Aptos" w:hAnsi="Arial" w:cs="Arial"/>
          <w:b/>
          <w:bCs/>
          <w:noProof/>
          <w:kern w:val="0"/>
          <w:sz w:val="22"/>
          <w:szCs w:val="22"/>
        </w:rPr>
        <w:drawing>
          <wp:inline distT="0" distB="0" distL="0" distR="0" wp14:anchorId="79EED92D" wp14:editId="5B0E93D9">
            <wp:extent cx="5862289" cy="704850"/>
            <wp:effectExtent l="0" t="0" r="5715" b="0"/>
            <wp:docPr id="9924043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2404390" name=""/>
                    <pic:cNvPicPr/>
                  </pic:nvPicPr>
                  <pic:blipFill>
                    <a:blip r:embed="rId11"/>
                    <a:stretch>
                      <a:fillRect/>
                    </a:stretch>
                  </pic:blipFill>
                  <pic:spPr>
                    <a:xfrm>
                      <a:off x="0" y="0"/>
                      <a:ext cx="5869671" cy="705738"/>
                    </a:xfrm>
                    <a:prstGeom prst="rect">
                      <a:avLst/>
                    </a:prstGeom>
                  </pic:spPr>
                </pic:pic>
              </a:graphicData>
            </a:graphic>
          </wp:inline>
        </w:drawing>
      </w:r>
    </w:p>
    <w:p w14:paraId="36268F88" w14:textId="77777777" w:rsidR="002033B2" w:rsidRPr="002033B2" w:rsidRDefault="002033B2" w:rsidP="002033B2">
      <w:pPr>
        <w:numPr>
          <w:ilvl w:val="0"/>
          <w:numId w:val="8"/>
        </w:numPr>
        <w:spacing w:line="360" w:lineRule="auto"/>
        <w:contextualSpacing/>
        <w:jc w:val="both"/>
        <w:rPr>
          <w:rFonts w:ascii="Arial" w:eastAsia="Aptos" w:hAnsi="Arial" w:cs="Arial"/>
          <w:b/>
          <w:bCs/>
          <w:kern w:val="0"/>
          <w:sz w:val="22"/>
          <w:szCs w:val="22"/>
          <w:u w:val="single"/>
        </w:rPr>
      </w:pPr>
      <w:r w:rsidRPr="002033B2">
        <w:rPr>
          <w:rFonts w:ascii="Arial" w:eastAsia="Aptos" w:hAnsi="Arial" w:cs="Arial"/>
          <w:b/>
          <w:bCs/>
          <w:kern w:val="0"/>
          <w:sz w:val="22"/>
          <w:szCs w:val="22"/>
          <w:u w:val="single"/>
        </w:rPr>
        <w:t>Event Concept: The Delegate Experience</w:t>
      </w:r>
    </w:p>
    <w:p w14:paraId="005D1E24" w14:textId="77777777" w:rsidR="002033B2" w:rsidRPr="002033B2" w:rsidRDefault="002033B2" w:rsidP="002033B2">
      <w:pPr>
        <w:spacing w:line="360" w:lineRule="auto"/>
        <w:jc w:val="both"/>
        <w:rPr>
          <w:rFonts w:ascii="Arial" w:eastAsia="Aptos" w:hAnsi="Arial" w:cs="Arial"/>
          <w:kern w:val="0"/>
          <w:sz w:val="22"/>
          <w:szCs w:val="22"/>
        </w:rPr>
      </w:pPr>
      <w:r w:rsidRPr="002033B2">
        <w:rPr>
          <w:rFonts w:ascii="Arial" w:eastAsia="Aptos" w:hAnsi="Arial" w:cs="Arial"/>
          <w:kern w:val="0"/>
          <w:sz w:val="22"/>
          <w:szCs w:val="22"/>
        </w:rPr>
        <w:t>The Pride in Hospitality Leadership Summit is intended to offer attendees an interactive, informative, and engaging experience. Delegates will engage in educational sessions, contribute to discussions on LGBTQ+ inclusivity within the hospitality sector, and build connections with industry executives. The event promotes a collaborative environment for dialogue and actionable change by combining professional development and networking (Bowdin et al., 2011).</w:t>
      </w:r>
    </w:p>
    <w:p w14:paraId="0F59F45E" w14:textId="77777777" w:rsidR="002033B2" w:rsidRPr="002033B2" w:rsidRDefault="002033B2" w:rsidP="002033B2">
      <w:pPr>
        <w:spacing w:line="360" w:lineRule="auto"/>
        <w:jc w:val="both"/>
        <w:rPr>
          <w:rFonts w:ascii="Arial" w:eastAsia="Aptos" w:hAnsi="Arial" w:cs="Arial"/>
          <w:kern w:val="0"/>
          <w:sz w:val="22"/>
          <w:szCs w:val="22"/>
        </w:rPr>
      </w:pPr>
      <w:r w:rsidRPr="002033B2">
        <w:rPr>
          <w:rFonts w:ascii="Arial" w:eastAsia="Aptos" w:hAnsi="Arial" w:cs="Arial"/>
          <w:b/>
          <w:bCs/>
          <w:kern w:val="0"/>
          <w:sz w:val="22"/>
          <w:szCs w:val="22"/>
        </w:rPr>
        <w:t>Itinerary for the Day</w:t>
      </w:r>
    </w:p>
    <w:tbl>
      <w:tblPr>
        <w:tblW w:w="9374" w:type="dxa"/>
        <w:tblCellSpacing w:w="15" w:type="dxa"/>
        <w:tblCellMar>
          <w:top w:w="15" w:type="dxa"/>
          <w:left w:w="15" w:type="dxa"/>
          <w:bottom w:w="15" w:type="dxa"/>
          <w:right w:w="15" w:type="dxa"/>
        </w:tblCellMar>
        <w:tblLook w:val="04A0" w:firstRow="1" w:lastRow="0" w:firstColumn="1" w:lastColumn="0" w:noHBand="0" w:noVBand="1"/>
      </w:tblPr>
      <w:tblGrid>
        <w:gridCol w:w="9677"/>
        <w:gridCol w:w="66"/>
        <w:gridCol w:w="81"/>
      </w:tblGrid>
      <w:tr w:rsidR="002033B2" w:rsidRPr="002033B2" w14:paraId="025149B0" w14:textId="77777777" w:rsidTr="00FC2C43">
        <w:trPr>
          <w:tblCellSpacing w:w="15" w:type="dxa"/>
        </w:trPr>
        <w:tc>
          <w:tcPr>
            <w:tcW w:w="0" w:type="auto"/>
            <w:vAlign w:val="center"/>
          </w:tcPr>
          <w:tbl>
            <w:tblPr>
              <w:tblW w:w="9572" w:type="dxa"/>
              <w:tblCellMar>
                <w:left w:w="0" w:type="dxa"/>
                <w:right w:w="0" w:type="dxa"/>
              </w:tblCellMar>
              <w:tblLook w:val="0600" w:firstRow="0" w:lastRow="0" w:firstColumn="0" w:lastColumn="0" w:noHBand="1" w:noVBand="1"/>
            </w:tblPr>
            <w:tblGrid>
              <w:gridCol w:w="1470"/>
              <w:gridCol w:w="3690"/>
              <w:gridCol w:w="4412"/>
            </w:tblGrid>
            <w:tr w:rsidR="002033B2" w:rsidRPr="002033B2" w14:paraId="5AC3A8FF" w14:textId="77777777" w:rsidTr="00FC2C43">
              <w:trPr>
                <w:trHeight w:val="527"/>
              </w:trPr>
              <w:tc>
                <w:tcPr>
                  <w:tcW w:w="1470" w:type="dxa"/>
                  <w:tcBorders>
                    <w:top w:val="single" w:sz="12" w:space="0" w:color="9884FF"/>
                    <w:left w:val="single" w:sz="12" w:space="0" w:color="9884FF"/>
                    <w:bottom w:val="single" w:sz="12" w:space="0" w:color="9884FF"/>
                    <w:right w:val="single" w:sz="12" w:space="0" w:color="9884FF"/>
                  </w:tcBorders>
                  <w:shd w:val="clear" w:color="auto" w:fill="FFFCF4"/>
                  <w:tcMar>
                    <w:top w:w="72" w:type="dxa"/>
                    <w:left w:w="144" w:type="dxa"/>
                    <w:bottom w:w="72" w:type="dxa"/>
                    <w:right w:w="144" w:type="dxa"/>
                  </w:tcMar>
                  <w:vAlign w:val="center"/>
                  <w:hideMark/>
                </w:tcPr>
                <w:p w14:paraId="090070DA" w14:textId="77777777" w:rsidR="002033B2" w:rsidRPr="002033B2" w:rsidRDefault="002033B2" w:rsidP="002033B2">
                  <w:pPr>
                    <w:spacing w:line="360" w:lineRule="auto"/>
                    <w:jc w:val="both"/>
                    <w:rPr>
                      <w:rFonts w:ascii="Arial" w:eastAsia="Aptos" w:hAnsi="Arial" w:cs="Arial"/>
                      <w:b/>
                      <w:bCs/>
                      <w:kern w:val="0"/>
                      <w:sz w:val="22"/>
                      <w:szCs w:val="22"/>
                    </w:rPr>
                  </w:pPr>
                  <w:r w:rsidRPr="002033B2">
                    <w:rPr>
                      <w:rFonts w:ascii="Segoe UI Emoji" w:eastAsia="Aptos" w:hAnsi="Segoe UI Emoji" w:cs="Segoe UI Emoji"/>
                      <w:b/>
                      <w:bCs/>
                      <w:kern w:val="0"/>
                      <w:sz w:val="22"/>
                      <w:szCs w:val="22"/>
                    </w:rPr>
                    <w:t>⏰</w:t>
                  </w:r>
                  <w:r w:rsidRPr="002033B2">
                    <w:rPr>
                      <w:rFonts w:ascii="Arial" w:eastAsia="Aptos" w:hAnsi="Arial" w:cs="Arial"/>
                      <w:b/>
                      <w:bCs/>
                      <w:kern w:val="0"/>
                      <w:sz w:val="22"/>
                      <w:szCs w:val="22"/>
                    </w:rPr>
                    <w:t xml:space="preserve"> Time</w:t>
                  </w:r>
                </w:p>
              </w:tc>
              <w:tc>
                <w:tcPr>
                  <w:tcW w:w="3690" w:type="dxa"/>
                  <w:tcBorders>
                    <w:top w:val="single" w:sz="12" w:space="0" w:color="9884FF"/>
                    <w:left w:val="single" w:sz="12" w:space="0" w:color="9884FF"/>
                    <w:bottom w:val="single" w:sz="12" w:space="0" w:color="9884FF"/>
                    <w:right w:val="single" w:sz="12" w:space="0" w:color="9884FF"/>
                  </w:tcBorders>
                  <w:shd w:val="clear" w:color="auto" w:fill="FFFCF4"/>
                  <w:tcMar>
                    <w:top w:w="72" w:type="dxa"/>
                    <w:left w:w="144" w:type="dxa"/>
                    <w:bottom w:w="72" w:type="dxa"/>
                    <w:right w:w="144" w:type="dxa"/>
                  </w:tcMar>
                  <w:vAlign w:val="center"/>
                  <w:hideMark/>
                </w:tcPr>
                <w:p w14:paraId="70F60D9A" w14:textId="77777777" w:rsidR="002033B2" w:rsidRPr="002033B2" w:rsidRDefault="002033B2" w:rsidP="002033B2">
                  <w:pPr>
                    <w:spacing w:line="360" w:lineRule="auto"/>
                    <w:jc w:val="both"/>
                    <w:rPr>
                      <w:rFonts w:ascii="Arial" w:eastAsia="Aptos" w:hAnsi="Arial" w:cs="Arial"/>
                      <w:b/>
                      <w:bCs/>
                      <w:kern w:val="0"/>
                      <w:sz w:val="22"/>
                      <w:szCs w:val="22"/>
                    </w:rPr>
                  </w:pPr>
                  <w:r w:rsidRPr="002033B2">
                    <w:rPr>
                      <w:rFonts w:ascii="Segoe UI Emoji" w:eastAsia="Aptos" w:hAnsi="Segoe UI Emoji" w:cs="Segoe UI Emoji"/>
                      <w:b/>
                      <w:bCs/>
                      <w:kern w:val="0"/>
                      <w:sz w:val="22"/>
                      <w:szCs w:val="22"/>
                    </w:rPr>
                    <w:t>📌</w:t>
                  </w:r>
                  <w:r w:rsidRPr="002033B2">
                    <w:rPr>
                      <w:rFonts w:ascii="Arial" w:eastAsia="Aptos" w:hAnsi="Arial" w:cs="Arial"/>
                      <w:b/>
                      <w:bCs/>
                      <w:kern w:val="0"/>
                      <w:sz w:val="22"/>
                      <w:szCs w:val="22"/>
                    </w:rPr>
                    <w:t xml:space="preserve"> Activity</w:t>
                  </w:r>
                </w:p>
              </w:tc>
              <w:tc>
                <w:tcPr>
                  <w:tcW w:w="4412" w:type="dxa"/>
                  <w:tcBorders>
                    <w:top w:val="single" w:sz="12" w:space="0" w:color="9884FF"/>
                    <w:left w:val="single" w:sz="12" w:space="0" w:color="9884FF"/>
                    <w:bottom w:val="single" w:sz="12" w:space="0" w:color="9884FF"/>
                    <w:right w:val="single" w:sz="12" w:space="0" w:color="9884FF"/>
                  </w:tcBorders>
                  <w:shd w:val="clear" w:color="auto" w:fill="FFFCF4"/>
                  <w:tcMar>
                    <w:top w:w="72" w:type="dxa"/>
                    <w:left w:w="144" w:type="dxa"/>
                    <w:bottom w:w="72" w:type="dxa"/>
                    <w:right w:w="144" w:type="dxa"/>
                  </w:tcMar>
                  <w:vAlign w:val="center"/>
                  <w:hideMark/>
                </w:tcPr>
                <w:p w14:paraId="2A74B800" w14:textId="77777777" w:rsidR="002033B2" w:rsidRPr="002033B2" w:rsidRDefault="002033B2" w:rsidP="002033B2">
                  <w:pPr>
                    <w:spacing w:line="360" w:lineRule="auto"/>
                    <w:jc w:val="both"/>
                    <w:rPr>
                      <w:rFonts w:ascii="Arial" w:eastAsia="Aptos" w:hAnsi="Arial" w:cs="Arial"/>
                      <w:b/>
                      <w:bCs/>
                      <w:kern w:val="0"/>
                      <w:sz w:val="22"/>
                      <w:szCs w:val="22"/>
                    </w:rPr>
                  </w:pPr>
                  <w:r w:rsidRPr="002033B2">
                    <w:rPr>
                      <w:rFonts w:ascii="Segoe UI Emoji" w:eastAsia="Aptos" w:hAnsi="Segoe UI Emoji" w:cs="Segoe UI Emoji"/>
                      <w:b/>
                      <w:bCs/>
                      <w:kern w:val="0"/>
                      <w:sz w:val="22"/>
                      <w:szCs w:val="22"/>
                    </w:rPr>
                    <w:t>📝</w:t>
                  </w:r>
                  <w:r w:rsidRPr="002033B2">
                    <w:rPr>
                      <w:rFonts w:ascii="Arial" w:eastAsia="Aptos" w:hAnsi="Arial" w:cs="Arial"/>
                      <w:b/>
                      <w:bCs/>
                      <w:kern w:val="0"/>
                      <w:sz w:val="22"/>
                      <w:szCs w:val="22"/>
                    </w:rPr>
                    <w:t xml:space="preserve"> Description</w:t>
                  </w:r>
                </w:p>
              </w:tc>
            </w:tr>
            <w:tr w:rsidR="002033B2" w:rsidRPr="002033B2" w14:paraId="36E2BAAF" w14:textId="77777777" w:rsidTr="00FC2C43">
              <w:trPr>
                <w:trHeight w:val="510"/>
              </w:trPr>
              <w:tc>
                <w:tcPr>
                  <w:tcW w:w="1470" w:type="dxa"/>
                  <w:tcBorders>
                    <w:top w:val="single" w:sz="12" w:space="0" w:color="9884FF"/>
                    <w:left w:val="single" w:sz="12" w:space="0" w:color="9884FF"/>
                    <w:bottom w:val="single" w:sz="12" w:space="0" w:color="9884FF"/>
                    <w:right w:val="single" w:sz="12" w:space="0" w:color="9884FF"/>
                  </w:tcBorders>
                  <w:shd w:val="clear" w:color="auto" w:fill="FFFCF4"/>
                  <w:tcMar>
                    <w:top w:w="72" w:type="dxa"/>
                    <w:left w:w="144" w:type="dxa"/>
                    <w:bottom w:w="72" w:type="dxa"/>
                    <w:right w:w="144" w:type="dxa"/>
                  </w:tcMar>
                  <w:vAlign w:val="center"/>
                  <w:hideMark/>
                </w:tcPr>
                <w:p w14:paraId="1F37260A" w14:textId="77777777" w:rsidR="002033B2" w:rsidRPr="002033B2" w:rsidRDefault="002033B2" w:rsidP="002033B2">
                  <w:pPr>
                    <w:spacing w:line="360" w:lineRule="auto"/>
                    <w:jc w:val="both"/>
                    <w:rPr>
                      <w:rFonts w:ascii="Arial" w:eastAsia="Aptos" w:hAnsi="Arial" w:cs="Arial"/>
                      <w:b/>
                      <w:bCs/>
                      <w:kern w:val="0"/>
                      <w:sz w:val="18"/>
                      <w:szCs w:val="18"/>
                    </w:rPr>
                  </w:pPr>
                  <w:r w:rsidRPr="002033B2">
                    <w:rPr>
                      <w:rFonts w:ascii="Arial" w:eastAsia="Aptos" w:hAnsi="Arial" w:cs="Arial"/>
                      <w:b/>
                      <w:bCs/>
                      <w:kern w:val="0"/>
                      <w:sz w:val="18"/>
                      <w:szCs w:val="18"/>
                    </w:rPr>
                    <w:t>08:30 - 09:30</w:t>
                  </w:r>
                </w:p>
              </w:tc>
              <w:tc>
                <w:tcPr>
                  <w:tcW w:w="3690" w:type="dxa"/>
                  <w:tcBorders>
                    <w:top w:val="single" w:sz="12" w:space="0" w:color="9884FF"/>
                    <w:left w:val="single" w:sz="12" w:space="0" w:color="9884FF"/>
                    <w:bottom w:val="single" w:sz="12" w:space="0" w:color="9884FF"/>
                    <w:right w:val="single" w:sz="12" w:space="0" w:color="9884FF"/>
                  </w:tcBorders>
                  <w:shd w:val="clear" w:color="auto" w:fill="FFFCF4"/>
                  <w:tcMar>
                    <w:top w:w="72" w:type="dxa"/>
                    <w:left w:w="144" w:type="dxa"/>
                    <w:bottom w:w="72" w:type="dxa"/>
                    <w:right w:w="144" w:type="dxa"/>
                  </w:tcMar>
                  <w:vAlign w:val="center"/>
                  <w:hideMark/>
                </w:tcPr>
                <w:p w14:paraId="21BB1A96" w14:textId="77777777" w:rsidR="002033B2" w:rsidRPr="002033B2" w:rsidRDefault="002033B2" w:rsidP="002033B2">
                  <w:pPr>
                    <w:spacing w:line="360" w:lineRule="auto"/>
                    <w:jc w:val="both"/>
                    <w:rPr>
                      <w:rFonts w:ascii="Arial" w:eastAsia="Aptos" w:hAnsi="Arial" w:cs="Arial"/>
                      <w:b/>
                      <w:bCs/>
                      <w:kern w:val="0"/>
                      <w:sz w:val="18"/>
                      <w:szCs w:val="18"/>
                    </w:rPr>
                  </w:pPr>
                  <w:r w:rsidRPr="002033B2">
                    <w:rPr>
                      <w:rFonts w:ascii="Segoe UI Emoji" w:eastAsia="Aptos" w:hAnsi="Segoe UI Emoji" w:cs="Segoe UI Emoji"/>
                      <w:b/>
                      <w:bCs/>
                      <w:kern w:val="0"/>
                      <w:sz w:val="18"/>
                      <w:szCs w:val="18"/>
                    </w:rPr>
                    <w:t>☕</w:t>
                  </w:r>
                  <w:r w:rsidRPr="002033B2">
                    <w:rPr>
                      <w:rFonts w:ascii="Arial" w:eastAsia="Aptos" w:hAnsi="Arial" w:cs="Arial"/>
                      <w:b/>
                      <w:bCs/>
                      <w:kern w:val="0"/>
                      <w:sz w:val="18"/>
                      <w:szCs w:val="18"/>
                    </w:rPr>
                    <w:t xml:space="preserve"> Registration and Welcome Breakfast</w:t>
                  </w:r>
                </w:p>
              </w:tc>
              <w:tc>
                <w:tcPr>
                  <w:tcW w:w="4412" w:type="dxa"/>
                  <w:tcBorders>
                    <w:top w:val="single" w:sz="12" w:space="0" w:color="9884FF"/>
                    <w:left w:val="single" w:sz="12" w:space="0" w:color="9884FF"/>
                    <w:bottom w:val="single" w:sz="12" w:space="0" w:color="9884FF"/>
                    <w:right w:val="single" w:sz="12" w:space="0" w:color="9884FF"/>
                  </w:tcBorders>
                  <w:shd w:val="clear" w:color="auto" w:fill="FFFCF4"/>
                  <w:tcMar>
                    <w:top w:w="72" w:type="dxa"/>
                    <w:left w:w="144" w:type="dxa"/>
                    <w:bottom w:w="72" w:type="dxa"/>
                    <w:right w:w="144" w:type="dxa"/>
                  </w:tcMar>
                  <w:vAlign w:val="center"/>
                  <w:hideMark/>
                </w:tcPr>
                <w:p w14:paraId="21F7B4E0" w14:textId="77777777" w:rsidR="002033B2" w:rsidRPr="002033B2" w:rsidRDefault="002033B2" w:rsidP="002033B2">
                  <w:pPr>
                    <w:spacing w:line="360" w:lineRule="auto"/>
                    <w:jc w:val="both"/>
                    <w:rPr>
                      <w:rFonts w:ascii="Arial" w:eastAsia="Aptos" w:hAnsi="Arial" w:cs="Arial"/>
                      <w:b/>
                      <w:bCs/>
                      <w:kern w:val="0"/>
                      <w:sz w:val="18"/>
                      <w:szCs w:val="18"/>
                    </w:rPr>
                  </w:pPr>
                  <w:r w:rsidRPr="002033B2">
                    <w:rPr>
                      <w:rFonts w:ascii="Arial" w:eastAsia="Aptos" w:hAnsi="Arial" w:cs="Arial"/>
                      <w:b/>
                      <w:bCs/>
                      <w:kern w:val="0"/>
                      <w:sz w:val="18"/>
                      <w:szCs w:val="18"/>
                    </w:rPr>
                    <w:t>Attendees check in, network over coffee, and receive event materials.</w:t>
                  </w:r>
                </w:p>
              </w:tc>
            </w:tr>
            <w:tr w:rsidR="002033B2" w:rsidRPr="002033B2" w14:paraId="4318187F" w14:textId="77777777" w:rsidTr="00FC2C43">
              <w:trPr>
                <w:trHeight w:val="483"/>
              </w:trPr>
              <w:tc>
                <w:tcPr>
                  <w:tcW w:w="1470" w:type="dxa"/>
                  <w:tcBorders>
                    <w:top w:val="single" w:sz="12" w:space="0" w:color="9884FF"/>
                    <w:left w:val="single" w:sz="12" w:space="0" w:color="9884FF"/>
                    <w:bottom w:val="single" w:sz="12" w:space="0" w:color="9884FF"/>
                    <w:right w:val="single" w:sz="12" w:space="0" w:color="9884FF"/>
                  </w:tcBorders>
                  <w:shd w:val="clear" w:color="auto" w:fill="FFFCF4"/>
                  <w:tcMar>
                    <w:top w:w="72" w:type="dxa"/>
                    <w:left w:w="144" w:type="dxa"/>
                    <w:bottom w:w="72" w:type="dxa"/>
                    <w:right w:w="144" w:type="dxa"/>
                  </w:tcMar>
                  <w:vAlign w:val="center"/>
                  <w:hideMark/>
                </w:tcPr>
                <w:p w14:paraId="3320A617" w14:textId="77777777" w:rsidR="002033B2" w:rsidRPr="002033B2" w:rsidRDefault="002033B2" w:rsidP="002033B2">
                  <w:pPr>
                    <w:spacing w:line="360" w:lineRule="auto"/>
                    <w:jc w:val="both"/>
                    <w:rPr>
                      <w:rFonts w:ascii="Arial" w:eastAsia="Aptos" w:hAnsi="Arial" w:cs="Arial"/>
                      <w:b/>
                      <w:bCs/>
                      <w:kern w:val="0"/>
                      <w:sz w:val="18"/>
                      <w:szCs w:val="18"/>
                    </w:rPr>
                  </w:pPr>
                  <w:r w:rsidRPr="002033B2">
                    <w:rPr>
                      <w:rFonts w:ascii="Arial" w:eastAsia="Aptos" w:hAnsi="Arial" w:cs="Arial"/>
                      <w:b/>
                      <w:bCs/>
                      <w:kern w:val="0"/>
                      <w:sz w:val="18"/>
                      <w:szCs w:val="18"/>
                    </w:rPr>
                    <w:t>09:30 - 10:00</w:t>
                  </w:r>
                </w:p>
              </w:tc>
              <w:tc>
                <w:tcPr>
                  <w:tcW w:w="3690" w:type="dxa"/>
                  <w:tcBorders>
                    <w:top w:val="single" w:sz="12" w:space="0" w:color="9884FF"/>
                    <w:left w:val="single" w:sz="12" w:space="0" w:color="9884FF"/>
                    <w:bottom w:val="single" w:sz="12" w:space="0" w:color="9884FF"/>
                    <w:right w:val="single" w:sz="12" w:space="0" w:color="9884FF"/>
                  </w:tcBorders>
                  <w:shd w:val="clear" w:color="auto" w:fill="FFFCF4"/>
                  <w:tcMar>
                    <w:top w:w="72" w:type="dxa"/>
                    <w:left w:w="144" w:type="dxa"/>
                    <w:bottom w:w="72" w:type="dxa"/>
                    <w:right w:w="144" w:type="dxa"/>
                  </w:tcMar>
                  <w:vAlign w:val="center"/>
                  <w:hideMark/>
                </w:tcPr>
                <w:p w14:paraId="06908405" w14:textId="77777777" w:rsidR="002033B2" w:rsidRPr="002033B2" w:rsidRDefault="002033B2" w:rsidP="002033B2">
                  <w:pPr>
                    <w:spacing w:line="360" w:lineRule="auto"/>
                    <w:jc w:val="both"/>
                    <w:rPr>
                      <w:rFonts w:ascii="Arial" w:eastAsia="Aptos" w:hAnsi="Arial" w:cs="Arial"/>
                      <w:b/>
                      <w:bCs/>
                      <w:kern w:val="0"/>
                      <w:sz w:val="18"/>
                      <w:szCs w:val="18"/>
                    </w:rPr>
                  </w:pPr>
                  <w:r w:rsidRPr="002033B2">
                    <w:rPr>
                      <w:rFonts w:ascii="Segoe UI Emoji" w:eastAsia="Aptos" w:hAnsi="Segoe UI Emoji" w:cs="Segoe UI Emoji"/>
                      <w:b/>
                      <w:bCs/>
                      <w:kern w:val="0"/>
                      <w:sz w:val="18"/>
                      <w:szCs w:val="18"/>
                    </w:rPr>
                    <w:t>🎤</w:t>
                  </w:r>
                  <w:r w:rsidRPr="002033B2">
                    <w:rPr>
                      <w:rFonts w:ascii="Arial" w:eastAsia="Aptos" w:hAnsi="Arial" w:cs="Arial"/>
                      <w:b/>
                      <w:bCs/>
                      <w:kern w:val="0"/>
                      <w:sz w:val="18"/>
                      <w:szCs w:val="18"/>
                    </w:rPr>
                    <w:t xml:space="preserve"> Opening Address</w:t>
                  </w:r>
                </w:p>
              </w:tc>
              <w:tc>
                <w:tcPr>
                  <w:tcW w:w="4412" w:type="dxa"/>
                  <w:tcBorders>
                    <w:top w:val="single" w:sz="12" w:space="0" w:color="9884FF"/>
                    <w:left w:val="single" w:sz="12" w:space="0" w:color="9884FF"/>
                    <w:bottom w:val="single" w:sz="12" w:space="0" w:color="9884FF"/>
                    <w:right w:val="single" w:sz="12" w:space="0" w:color="9884FF"/>
                  </w:tcBorders>
                  <w:shd w:val="clear" w:color="auto" w:fill="FFFCF4"/>
                  <w:tcMar>
                    <w:top w:w="72" w:type="dxa"/>
                    <w:left w:w="144" w:type="dxa"/>
                    <w:bottom w:w="72" w:type="dxa"/>
                    <w:right w:w="144" w:type="dxa"/>
                  </w:tcMar>
                  <w:vAlign w:val="center"/>
                  <w:hideMark/>
                </w:tcPr>
                <w:p w14:paraId="7125681D" w14:textId="77777777" w:rsidR="002033B2" w:rsidRPr="002033B2" w:rsidRDefault="002033B2" w:rsidP="002033B2">
                  <w:pPr>
                    <w:spacing w:line="360" w:lineRule="auto"/>
                    <w:jc w:val="both"/>
                    <w:rPr>
                      <w:rFonts w:ascii="Arial" w:eastAsia="Aptos" w:hAnsi="Arial" w:cs="Arial"/>
                      <w:b/>
                      <w:bCs/>
                      <w:kern w:val="0"/>
                      <w:sz w:val="18"/>
                      <w:szCs w:val="18"/>
                    </w:rPr>
                  </w:pPr>
                  <w:r w:rsidRPr="002033B2">
                    <w:rPr>
                      <w:rFonts w:ascii="Arial" w:eastAsia="Aptos" w:hAnsi="Arial" w:cs="Arial"/>
                      <w:b/>
                      <w:bCs/>
                      <w:kern w:val="0"/>
                      <w:sz w:val="18"/>
                      <w:szCs w:val="18"/>
                    </w:rPr>
                    <w:t>Keynote speech on inclusivity trends in hospitality.</w:t>
                  </w:r>
                </w:p>
              </w:tc>
            </w:tr>
            <w:tr w:rsidR="002033B2" w:rsidRPr="002033B2" w14:paraId="7482D99C" w14:textId="77777777" w:rsidTr="00FC2C43">
              <w:trPr>
                <w:trHeight w:val="483"/>
              </w:trPr>
              <w:tc>
                <w:tcPr>
                  <w:tcW w:w="1470" w:type="dxa"/>
                  <w:tcBorders>
                    <w:top w:val="single" w:sz="12" w:space="0" w:color="9884FF"/>
                    <w:left w:val="single" w:sz="12" w:space="0" w:color="9884FF"/>
                    <w:bottom w:val="single" w:sz="12" w:space="0" w:color="9884FF"/>
                    <w:right w:val="single" w:sz="12" w:space="0" w:color="9884FF"/>
                  </w:tcBorders>
                  <w:shd w:val="clear" w:color="auto" w:fill="FFFCF4"/>
                  <w:tcMar>
                    <w:top w:w="72" w:type="dxa"/>
                    <w:left w:w="144" w:type="dxa"/>
                    <w:bottom w:w="72" w:type="dxa"/>
                    <w:right w:w="144" w:type="dxa"/>
                  </w:tcMar>
                  <w:vAlign w:val="center"/>
                  <w:hideMark/>
                </w:tcPr>
                <w:p w14:paraId="0E7092A3" w14:textId="77777777" w:rsidR="002033B2" w:rsidRPr="002033B2" w:rsidRDefault="002033B2" w:rsidP="002033B2">
                  <w:pPr>
                    <w:spacing w:line="360" w:lineRule="auto"/>
                    <w:jc w:val="both"/>
                    <w:rPr>
                      <w:rFonts w:ascii="Arial" w:eastAsia="Aptos" w:hAnsi="Arial" w:cs="Arial"/>
                      <w:b/>
                      <w:bCs/>
                      <w:kern w:val="0"/>
                      <w:sz w:val="18"/>
                      <w:szCs w:val="18"/>
                    </w:rPr>
                  </w:pPr>
                  <w:r w:rsidRPr="002033B2">
                    <w:rPr>
                      <w:rFonts w:ascii="Arial" w:eastAsia="Aptos" w:hAnsi="Arial" w:cs="Arial"/>
                      <w:b/>
                      <w:bCs/>
                      <w:kern w:val="0"/>
                      <w:sz w:val="18"/>
                      <w:szCs w:val="18"/>
                    </w:rPr>
                    <w:t>10:15 - 11:45</w:t>
                  </w:r>
                </w:p>
              </w:tc>
              <w:tc>
                <w:tcPr>
                  <w:tcW w:w="3690" w:type="dxa"/>
                  <w:tcBorders>
                    <w:top w:val="single" w:sz="12" w:space="0" w:color="9884FF"/>
                    <w:left w:val="single" w:sz="12" w:space="0" w:color="9884FF"/>
                    <w:bottom w:val="single" w:sz="12" w:space="0" w:color="9884FF"/>
                    <w:right w:val="single" w:sz="12" w:space="0" w:color="9884FF"/>
                  </w:tcBorders>
                  <w:shd w:val="clear" w:color="auto" w:fill="FFFCF4"/>
                  <w:tcMar>
                    <w:top w:w="72" w:type="dxa"/>
                    <w:left w:w="144" w:type="dxa"/>
                    <w:bottom w:w="72" w:type="dxa"/>
                    <w:right w:w="144" w:type="dxa"/>
                  </w:tcMar>
                  <w:vAlign w:val="center"/>
                  <w:hideMark/>
                </w:tcPr>
                <w:p w14:paraId="0FB62A2B" w14:textId="77777777" w:rsidR="002033B2" w:rsidRPr="002033B2" w:rsidRDefault="002033B2" w:rsidP="002033B2">
                  <w:pPr>
                    <w:spacing w:line="360" w:lineRule="auto"/>
                    <w:jc w:val="both"/>
                    <w:rPr>
                      <w:rFonts w:ascii="Arial" w:eastAsia="Aptos" w:hAnsi="Arial" w:cs="Arial"/>
                      <w:b/>
                      <w:bCs/>
                      <w:kern w:val="0"/>
                      <w:sz w:val="18"/>
                      <w:szCs w:val="18"/>
                    </w:rPr>
                  </w:pPr>
                  <w:r w:rsidRPr="002033B2">
                    <w:rPr>
                      <w:rFonts w:ascii="Segoe UI Emoji" w:eastAsia="Aptos" w:hAnsi="Segoe UI Emoji" w:cs="Segoe UI Emoji"/>
                      <w:b/>
                      <w:bCs/>
                      <w:kern w:val="0"/>
                      <w:sz w:val="18"/>
                      <w:szCs w:val="18"/>
                    </w:rPr>
                    <w:t>🏳️</w:t>
                  </w:r>
                  <w:r w:rsidRPr="002033B2">
                    <w:rPr>
                      <w:rFonts w:ascii="Arial" w:eastAsia="Aptos" w:hAnsi="Arial" w:cs="Arial"/>
                      <w:b/>
                      <w:bCs/>
                      <w:kern w:val="0"/>
                      <w:sz w:val="18"/>
                      <w:szCs w:val="18"/>
                    </w:rPr>
                    <w:t>‍</w:t>
                  </w:r>
                  <w:r w:rsidRPr="002033B2">
                    <w:rPr>
                      <w:rFonts w:ascii="Segoe UI Emoji" w:eastAsia="Aptos" w:hAnsi="Segoe UI Emoji" w:cs="Segoe UI Emoji"/>
                      <w:b/>
                      <w:bCs/>
                      <w:kern w:val="0"/>
                      <w:sz w:val="18"/>
                      <w:szCs w:val="18"/>
                    </w:rPr>
                    <w:t>🌈</w:t>
                  </w:r>
                  <w:r w:rsidRPr="002033B2">
                    <w:rPr>
                      <w:rFonts w:ascii="Arial" w:eastAsia="Aptos" w:hAnsi="Arial" w:cs="Arial"/>
                      <w:b/>
                      <w:bCs/>
                      <w:kern w:val="0"/>
                      <w:sz w:val="18"/>
                      <w:szCs w:val="18"/>
                    </w:rPr>
                    <w:t xml:space="preserve"> Panel Discussion: "LGBTQ+ Leadership in Hospitality"</w:t>
                  </w:r>
                </w:p>
              </w:tc>
              <w:tc>
                <w:tcPr>
                  <w:tcW w:w="4412" w:type="dxa"/>
                  <w:tcBorders>
                    <w:top w:val="single" w:sz="12" w:space="0" w:color="9884FF"/>
                    <w:left w:val="single" w:sz="12" w:space="0" w:color="9884FF"/>
                    <w:bottom w:val="single" w:sz="12" w:space="0" w:color="9884FF"/>
                    <w:right w:val="single" w:sz="12" w:space="0" w:color="9884FF"/>
                  </w:tcBorders>
                  <w:shd w:val="clear" w:color="auto" w:fill="FFFCF4"/>
                  <w:tcMar>
                    <w:top w:w="72" w:type="dxa"/>
                    <w:left w:w="144" w:type="dxa"/>
                    <w:bottom w:w="72" w:type="dxa"/>
                    <w:right w:w="144" w:type="dxa"/>
                  </w:tcMar>
                  <w:vAlign w:val="center"/>
                  <w:hideMark/>
                </w:tcPr>
                <w:p w14:paraId="5A7C7AE0" w14:textId="77777777" w:rsidR="002033B2" w:rsidRPr="002033B2" w:rsidRDefault="002033B2" w:rsidP="002033B2">
                  <w:pPr>
                    <w:spacing w:line="360" w:lineRule="auto"/>
                    <w:jc w:val="both"/>
                    <w:rPr>
                      <w:rFonts w:ascii="Arial" w:eastAsia="Aptos" w:hAnsi="Arial" w:cs="Arial"/>
                      <w:b/>
                      <w:bCs/>
                      <w:kern w:val="0"/>
                      <w:sz w:val="18"/>
                      <w:szCs w:val="18"/>
                    </w:rPr>
                  </w:pPr>
                  <w:r w:rsidRPr="002033B2">
                    <w:rPr>
                      <w:rFonts w:ascii="Arial" w:eastAsia="Aptos" w:hAnsi="Arial" w:cs="Arial"/>
                      <w:b/>
                      <w:bCs/>
                      <w:kern w:val="0"/>
                      <w:sz w:val="18"/>
                      <w:szCs w:val="18"/>
                    </w:rPr>
                    <w:t>Industry leaders share insights on career advancement for LGBTQ+ professionals.</w:t>
                  </w:r>
                </w:p>
              </w:tc>
            </w:tr>
            <w:tr w:rsidR="002033B2" w:rsidRPr="002033B2" w14:paraId="01F72C58" w14:textId="77777777" w:rsidTr="00FC2C43">
              <w:trPr>
                <w:trHeight w:val="483"/>
              </w:trPr>
              <w:tc>
                <w:tcPr>
                  <w:tcW w:w="1470" w:type="dxa"/>
                  <w:tcBorders>
                    <w:top w:val="single" w:sz="12" w:space="0" w:color="9884FF"/>
                    <w:left w:val="single" w:sz="12" w:space="0" w:color="9884FF"/>
                    <w:bottom w:val="single" w:sz="12" w:space="0" w:color="9884FF"/>
                    <w:right w:val="single" w:sz="12" w:space="0" w:color="9884FF"/>
                  </w:tcBorders>
                  <w:shd w:val="clear" w:color="auto" w:fill="FFFCF4"/>
                  <w:tcMar>
                    <w:top w:w="72" w:type="dxa"/>
                    <w:left w:w="144" w:type="dxa"/>
                    <w:bottom w:w="72" w:type="dxa"/>
                    <w:right w:w="144" w:type="dxa"/>
                  </w:tcMar>
                  <w:vAlign w:val="center"/>
                  <w:hideMark/>
                </w:tcPr>
                <w:p w14:paraId="5AE327A3" w14:textId="77777777" w:rsidR="002033B2" w:rsidRPr="002033B2" w:rsidRDefault="002033B2" w:rsidP="002033B2">
                  <w:pPr>
                    <w:spacing w:line="360" w:lineRule="auto"/>
                    <w:jc w:val="both"/>
                    <w:rPr>
                      <w:rFonts w:ascii="Arial" w:eastAsia="Aptos" w:hAnsi="Arial" w:cs="Arial"/>
                      <w:b/>
                      <w:bCs/>
                      <w:kern w:val="0"/>
                      <w:sz w:val="18"/>
                      <w:szCs w:val="18"/>
                    </w:rPr>
                  </w:pPr>
                  <w:r w:rsidRPr="002033B2">
                    <w:rPr>
                      <w:rFonts w:ascii="Arial" w:eastAsia="Aptos" w:hAnsi="Arial" w:cs="Arial"/>
                      <w:b/>
                      <w:bCs/>
                      <w:kern w:val="0"/>
                      <w:sz w:val="18"/>
                      <w:szCs w:val="18"/>
                    </w:rPr>
                    <w:t>12:00 - 13:00</w:t>
                  </w:r>
                </w:p>
              </w:tc>
              <w:tc>
                <w:tcPr>
                  <w:tcW w:w="3690" w:type="dxa"/>
                  <w:tcBorders>
                    <w:top w:val="single" w:sz="12" w:space="0" w:color="9884FF"/>
                    <w:left w:val="single" w:sz="12" w:space="0" w:color="9884FF"/>
                    <w:bottom w:val="single" w:sz="12" w:space="0" w:color="9884FF"/>
                    <w:right w:val="single" w:sz="12" w:space="0" w:color="9884FF"/>
                  </w:tcBorders>
                  <w:shd w:val="clear" w:color="auto" w:fill="FFFCF4"/>
                  <w:tcMar>
                    <w:top w:w="72" w:type="dxa"/>
                    <w:left w:w="144" w:type="dxa"/>
                    <w:bottom w:w="72" w:type="dxa"/>
                    <w:right w:w="144" w:type="dxa"/>
                  </w:tcMar>
                  <w:vAlign w:val="center"/>
                  <w:hideMark/>
                </w:tcPr>
                <w:p w14:paraId="57747CB1" w14:textId="77777777" w:rsidR="002033B2" w:rsidRPr="002033B2" w:rsidRDefault="002033B2" w:rsidP="002033B2">
                  <w:pPr>
                    <w:spacing w:line="360" w:lineRule="auto"/>
                    <w:jc w:val="both"/>
                    <w:rPr>
                      <w:rFonts w:ascii="Arial" w:eastAsia="Aptos" w:hAnsi="Arial" w:cs="Arial"/>
                      <w:b/>
                      <w:bCs/>
                      <w:kern w:val="0"/>
                      <w:sz w:val="18"/>
                      <w:szCs w:val="18"/>
                    </w:rPr>
                  </w:pPr>
                  <w:r w:rsidRPr="002033B2">
                    <w:rPr>
                      <w:rFonts w:ascii="Segoe UI Emoji" w:eastAsia="Aptos" w:hAnsi="Segoe UI Emoji" w:cs="Segoe UI Emoji"/>
                      <w:b/>
                      <w:bCs/>
                      <w:kern w:val="0"/>
                      <w:sz w:val="18"/>
                      <w:szCs w:val="18"/>
                    </w:rPr>
                    <w:t>🍽️</w:t>
                  </w:r>
                  <w:r w:rsidRPr="002033B2">
                    <w:rPr>
                      <w:rFonts w:ascii="Arial" w:eastAsia="Aptos" w:hAnsi="Arial" w:cs="Arial"/>
                      <w:b/>
                      <w:bCs/>
                      <w:kern w:val="0"/>
                      <w:sz w:val="18"/>
                      <w:szCs w:val="18"/>
                    </w:rPr>
                    <w:t xml:space="preserve"> Networking Lunch</w:t>
                  </w:r>
                </w:p>
              </w:tc>
              <w:tc>
                <w:tcPr>
                  <w:tcW w:w="4412" w:type="dxa"/>
                  <w:tcBorders>
                    <w:top w:val="single" w:sz="12" w:space="0" w:color="9884FF"/>
                    <w:left w:val="single" w:sz="12" w:space="0" w:color="9884FF"/>
                    <w:bottom w:val="single" w:sz="12" w:space="0" w:color="9884FF"/>
                    <w:right w:val="single" w:sz="12" w:space="0" w:color="9884FF"/>
                  </w:tcBorders>
                  <w:shd w:val="clear" w:color="auto" w:fill="FFFCF4"/>
                  <w:tcMar>
                    <w:top w:w="72" w:type="dxa"/>
                    <w:left w:w="144" w:type="dxa"/>
                    <w:bottom w:w="72" w:type="dxa"/>
                    <w:right w:w="144" w:type="dxa"/>
                  </w:tcMar>
                  <w:vAlign w:val="center"/>
                  <w:hideMark/>
                </w:tcPr>
                <w:p w14:paraId="2AE08265" w14:textId="77777777" w:rsidR="002033B2" w:rsidRPr="002033B2" w:rsidRDefault="002033B2" w:rsidP="002033B2">
                  <w:pPr>
                    <w:spacing w:line="360" w:lineRule="auto"/>
                    <w:jc w:val="both"/>
                    <w:rPr>
                      <w:rFonts w:ascii="Arial" w:eastAsia="Aptos" w:hAnsi="Arial" w:cs="Arial"/>
                      <w:b/>
                      <w:bCs/>
                      <w:kern w:val="0"/>
                      <w:sz w:val="18"/>
                      <w:szCs w:val="18"/>
                    </w:rPr>
                  </w:pPr>
                  <w:r w:rsidRPr="002033B2">
                    <w:rPr>
                      <w:rFonts w:ascii="Arial" w:eastAsia="Aptos" w:hAnsi="Arial" w:cs="Arial"/>
                      <w:b/>
                      <w:bCs/>
                      <w:kern w:val="0"/>
                      <w:sz w:val="18"/>
                      <w:szCs w:val="18"/>
                    </w:rPr>
                    <w:t>Delegates connect with peers, sponsors, and advocacy groups.</w:t>
                  </w:r>
                </w:p>
              </w:tc>
            </w:tr>
            <w:tr w:rsidR="002033B2" w:rsidRPr="002033B2" w14:paraId="05186BD7" w14:textId="77777777" w:rsidTr="00FC2C43">
              <w:trPr>
                <w:trHeight w:val="483"/>
              </w:trPr>
              <w:tc>
                <w:tcPr>
                  <w:tcW w:w="1470" w:type="dxa"/>
                  <w:tcBorders>
                    <w:top w:val="single" w:sz="12" w:space="0" w:color="9884FF"/>
                    <w:left w:val="single" w:sz="12" w:space="0" w:color="9884FF"/>
                    <w:bottom w:val="single" w:sz="12" w:space="0" w:color="9884FF"/>
                    <w:right w:val="single" w:sz="12" w:space="0" w:color="9884FF"/>
                  </w:tcBorders>
                  <w:shd w:val="clear" w:color="auto" w:fill="FFFCF4"/>
                  <w:tcMar>
                    <w:top w:w="72" w:type="dxa"/>
                    <w:left w:w="144" w:type="dxa"/>
                    <w:bottom w:w="72" w:type="dxa"/>
                    <w:right w:w="144" w:type="dxa"/>
                  </w:tcMar>
                  <w:vAlign w:val="center"/>
                  <w:hideMark/>
                </w:tcPr>
                <w:p w14:paraId="026CE2AC" w14:textId="77777777" w:rsidR="002033B2" w:rsidRPr="002033B2" w:rsidRDefault="002033B2" w:rsidP="002033B2">
                  <w:pPr>
                    <w:spacing w:line="360" w:lineRule="auto"/>
                    <w:jc w:val="both"/>
                    <w:rPr>
                      <w:rFonts w:ascii="Arial" w:eastAsia="Aptos" w:hAnsi="Arial" w:cs="Arial"/>
                      <w:b/>
                      <w:bCs/>
                      <w:kern w:val="0"/>
                      <w:sz w:val="18"/>
                      <w:szCs w:val="18"/>
                    </w:rPr>
                  </w:pPr>
                  <w:r w:rsidRPr="002033B2">
                    <w:rPr>
                      <w:rFonts w:ascii="Arial" w:eastAsia="Aptos" w:hAnsi="Arial" w:cs="Arial"/>
                      <w:b/>
                      <w:bCs/>
                      <w:kern w:val="0"/>
                      <w:sz w:val="18"/>
                      <w:szCs w:val="18"/>
                    </w:rPr>
                    <w:t>13:15 - 14:15</w:t>
                  </w:r>
                </w:p>
              </w:tc>
              <w:tc>
                <w:tcPr>
                  <w:tcW w:w="3690" w:type="dxa"/>
                  <w:tcBorders>
                    <w:top w:val="single" w:sz="12" w:space="0" w:color="9884FF"/>
                    <w:left w:val="single" w:sz="12" w:space="0" w:color="9884FF"/>
                    <w:bottom w:val="single" w:sz="12" w:space="0" w:color="9884FF"/>
                    <w:right w:val="single" w:sz="12" w:space="0" w:color="9884FF"/>
                  </w:tcBorders>
                  <w:shd w:val="clear" w:color="auto" w:fill="FFFCF4"/>
                  <w:tcMar>
                    <w:top w:w="72" w:type="dxa"/>
                    <w:left w:w="144" w:type="dxa"/>
                    <w:bottom w:w="72" w:type="dxa"/>
                    <w:right w:w="144" w:type="dxa"/>
                  </w:tcMar>
                  <w:vAlign w:val="center"/>
                  <w:hideMark/>
                </w:tcPr>
                <w:p w14:paraId="26408487" w14:textId="77777777" w:rsidR="002033B2" w:rsidRPr="002033B2" w:rsidRDefault="002033B2" w:rsidP="002033B2">
                  <w:pPr>
                    <w:spacing w:line="360" w:lineRule="auto"/>
                    <w:jc w:val="both"/>
                    <w:rPr>
                      <w:rFonts w:ascii="Arial" w:eastAsia="Aptos" w:hAnsi="Arial" w:cs="Arial"/>
                      <w:b/>
                      <w:bCs/>
                      <w:kern w:val="0"/>
                      <w:sz w:val="18"/>
                      <w:szCs w:val="18"/>
                    </w:rPr>
                  </w:pPr>
                  <w:r w:rsidRPr="002033B2">
                    <w:rPr>
                      <w:rFonts w:ascii="Segoe UI Emoji" w:eastAsia="Aptos" w:hAnsi="Segoe UI Emoji" w:cs="Segoe UI Emoji"/>
                      <w:b/>
                      <w:bCs/>
                      <w:kern w:val="0"/>
                      <w:sz w:val="18"/>
                      <w:szCs w:val="18"/>
                    </w:rPr>
                    <w:t>🏢</w:t>
                  </w:r>
                  <w:r w:rsidRPr="002033B2">
                    <w:rPr>
                      <w:rFonts w:ascii="Arial" w:eastAsia="Aptos" w:hAnsi="Arial" w:cs="Arial"/>
                      <w:b/>
                      <w:bCs/>
                      <w:kern w:val="0"/>
                      <w:sz w:val="18"/>
                      <w:szCs w:val="18"/>
                    </w:rPr>
                    <w:t xml:space="preserve"> Workshop: "Creating an Inclusive Workplace"</w:t>
                  </w:r>
                </w:p>
              </w:tc>
              <w:tc>
                <w:tcPr>
                  <w:tcW w:w="4412" w:type="dxa"/>
                  <w:tcBorders>
                    <w:top w:val="single" w:sz="12" w:space="0" w:color="9884FF"/>
                    <w:left w:val="single" w:sz="12" w:space="0" w:color="9884FF"/>
                    <w:bottom w:val="single" w:sz="12" w:space="0" w:color="9884FF"/>
                    <w:right w:val="single" w:sz="12" w:space="0" w:color="9884FF"/>
                  </w:tcBorders>
                  <w:shd w:val="clear" w:color="auto" w:fill="FFFCF4"/>
                  <w:tcMar>
                    <w:top w:w="72" w:type="dxa"/>
                    <w:left w:w="144" w:type="dxa"/>
                    <w:bottom w:w="72" w:type="dxa"/>
                    <w:right w:w="144" w:type="dxa"/>
                  </w:tcMar>
                  <w:vAlign w:val="center"/>
                  <w:hideMark/>
                </w:tcPr>
                <w:p w14:paraId="142907AE" w14:textId="77777777" w:rsidR="002033B2" w:rsidRPr="002033B2" w:rsidRDefault="002033B2" w:rsidP="002033B2">
                  <w:pPr>
                    <w:spacing w:line="360" w:lineRule="auto"/>
                    <w:jc w:val="both"/>
                    <w:rPr>
                      <w:rFonts w:ascii="Arial" w:eastAsia="Aptos" w:hAnsi="Arial" w:cs="Arial"/>
                      <w:b/>
                      <w:bCs/>
                      <w:kern w:val="0"/>
                      <w:sz w:val="18"/>
                      <w:szCs w:val="18"/>
                    </w:rPr>
                  </w:pPr>
                  <w:r w:rsidRPr="002033B2">
                    <w:rPr>
                      <w:rFonts w:ascii="Arial" w:eastAsia="Aptos" w:hAnsi="Arial" w:cs="Arial"/>
                      <w:b/>
                      <w:bCs/>
                      <w:kern w:val="0"/>
                      <w:sz w:val="18"/>
                      <w:szCs w:val="18"/>
                    </w:rPr>
                    <w:t>Hands-on session on implementing LGBTQ+-friendly HR policies.</w:t>
                  </w:r>
                </w:p>
              </w:tc>
            </w:tr>
            <w:tr w:rsidR="002033B2" w:rsidRPr="002033B2" w14:paraId="29526B2B" w14:textId="77777777" w:rsidTr="00FC2C43">
              <w:trPr>
                <w:trHeight w:val="483"/>
              </w:trPr>
              <w:tc>
                <w:tcPr>
                  <w:tcW w:w="1470" w:type="dxa"/>
                  <w:tcBorders>
                    <w:top w:val="single" w:sz="12" w:space="0" w:color="9884FF"/>
                    <w:left w:val="single" w:sz="12" w:space="0" w:color="9884FF"/>
                    <w:bottom w:val="single" w:sz="12" w:space="0" w:color="9884FF"/>
                    <w:right w:val="single" w:sz="12" w:space="0" w:color="9884FF"/>
                  </w:tcBorders>
                  <w:shd w:val="clear" w:color="auto" w:fill="FFFCF4"/>
                  <w:tcMar>
                    <w:top w:w="72" w:type="dxa"/>
                    <w:left w:w="144" w:type="dxa"/>
                    <w:bottom w:w="72" w:type="dxa"/>
                    <w:right w:w="144" w:type="dxa"/>
                  </w:tcMar>
                  <w:vAlign w:val="center"/>
                  <w:hideMark/>
                </w:tcPr>
                <w:p w14:paraId="14EDD17A" w14:textId="77777777" w:rsidR="002033B2" w:rsidRPr="002033B2" w:rsidRDefault="002033B2" w:rsidP="002033B2">
                  <w:pPr>
                    <w:spacing w:line="360" w:lineRule="auto"/>
                    <w:jc w:val="both"/>
                    <w:rPr>
                      <w:rFonts w:ascii="Arial" w:eastAsia="Aptos" w:hAnsi="Arial" w:cs="Arial"/>
                      <w:b/>
                      <w:bCs/>
                      <w:kern w:val="0"/>
                      <w:sz w:val="18"/>
                      <w:szCs w:val="18"/>
                    </w:rPr>
                  </w:pPr>
                  <w:r w:rsidRPr="002033B2">
                    <w:rPr>
                      <w:rFonts w:ascii="Arial" w:eastAsia="Aptos" w:hAnsi="Arial" w:cs="Arial"/>
                      <w:b/>
                      <w:bCs/>
                      <w:kern w:val="0"/>
                      <w:sz w:val="18"/>
                      <w:szCs w:val="18"/>
                    </w:rPr>
                    <w:lastRenderedPageBreak/>
                    <w:t>14:30 - 15:30</w:t>
                  </w:r>
                </w:p>
              </w:tc>
              <w:tc>
                <w:tcPr>
                  <w:tcW w:w="3690" w:type="dxa"/>
                  <w:tcBorders>
                    <w:top w:val="single" w:sz="12" w:space="0" w:color="9884FF"/>
                    <w:left w:val="single" w:sz="12" w:space="0" w:color="9884FF"/>
                    <w:bottom w:val="single" w:sz="12" w:space="0" w:color="9884FF"/>
                    <w:right w:val="single" w:sz="12" w:space="0" w:color="9884FF"/>
                  </w:tcBorders>
                  <w:shd w:val="clear" w:color="auto" w:fill="FFFCF4"/>
                  <w:tcMar>
                    <w:top w:w="72" w:type="dxa"/>
                    <w:left w:w="144" w:type="dxa"/>
                    <w:bottom w:w="72" w:type="dxa"/>
                    <w:right w:w="144" w:type="dxa"/>
                  </w:tcMar>
                  <w:vAlign w:val="center"/>
                  <w:hideMark/>
                </w:tcPr>
                <w:p w14:paraId="0289FBE8" w14:textId="77777777" w:rsidR="002033B2" w:rsidRPr="002033B2" w:rsidRDefault="002033B2" w:rsidP="002033B2">
                  <w:pPr>
                    <w:spacing w:line="360" w:lineRule="auto"/>
                    <w:jc w:val="both"/>
                    <w:rPr>
                      <w:rFonts w:ascii="Arial" w:eastAsia="Aptos" w:hAnsi="Arial" w:cs="Arial"/>
                      <w:b/>
                      <w:bCs/>
                      <w:kern w:val="0"/>
                      <w:sz w:val="18"/>
                      <w:szCs w:val="18"/>
                    </w:rPr>
                  </w:pPr>
                  <w:r w:rsidRPr="002033B2">
                    <w:rPr>
                      <w:rFonts w:ascii="Segoe UI Emoji" w:eastAsia="Aptos" w:hAnsi="Segoe UI Emoji" w:cs="Segoe UI Emoji"/>
                      <w:b/>
                      <w:bCs/>
                      <w:kern w:val="0"/>
                      <w:sz w:val="18"/>
                      <w:szCs w:val="18"/>
                    </w:rPr>
                    <w:t>📊</w:t>
                  </w:r>
                  <w:r w:rsidRPr="002033B2">
                    <w:rPr>
                      <w:rFonts w:ascii="Arial" w:eastAsia="Aptos" w:hAnsi="Arial" w:cs="Arial"/>
                      <w:b/>
                      <w:bCs/>
                      <w:kern w:val="0"/>
                      <w:sz w:val="18"/>
                      <w:szCs w:val="18"/>
                    </w:rPr>
                    <w:t xml:space="preserve"> Case Study Session: Best Practices in DEI</w:t>
                  </w:r>
                </w:p>
              </w:tc>
              <w:tc>
                <w:tcPr>
                  <w:tcW w:w="4412" w:type="dxa"/>
                  <w:tcBorders>
                    <w:top w:val="single" w:sz="12" w:space="0" w:color="9884FF"/>
                    <w:left w:val="single" w:sz="12" w:space="0" w:color="9884FF"/>
                    <w:bottom w:val="single" w:sz="12" w:space="0" w:color="9884FF"/>
                    <w:right w:val="single" w:sz="12" w:space="0" w:color="9884FF"/>
                  </w:tcBorders>
                  <w:shd w:val="clear" w:color="auto" w:fill="FFFCF4"/>
                  <w:tcMar>
                    <w:top w:w="72" w:type="dxa"/>
                    <w:left w:w="144" w:type="dxa"/>
                    <w:bottom w:w="72" w:type="dxa"/>
                    <w:right w:w="144" w:type="dxa"/>
                  </w:tcMar>
                  <w:vAlign w:val="center"/>
                  <w:hideMark/>
                </w:tcPr>
                <w:p w14:paraId="0291AACF" w14:textId="77777777" w:rsidR="002033B2" w:rsidRPr="002033B2" w:rsidRDefault="002033B2" w:rsidP="002033B2">
                  <w:pPr>
                    <w:spacing w:line="360" w:lineRule="auto"/>
                    <w:jc w:val="both"/>
                    <w:rPr>
                      <w:rFonts w:ascii="Arial" w:eastAsia="Aptos" w:hAnsi="Arial" w:cs="Arial"/>
                      <w:b/>
                      <w:bCs/>
                      <w:kern w:val="0"/>
                      <w:sz w:val="18"/>
                      <w:szCs w:val="18"/>
                    </w:rPr>
                  </w:pPr>
                  <w:r w:rsidRPr="002033B2">
                    <w:rPr>
                      <w:rFonts w:ascii="Arial" w:eastAsia="Aptos" w:hAnsi="Arial" w:cs="Arial"/>
                      <w:b/>
                      <w:bCs/>
                      <w:kern w:val="0"/>
                      <w:sz w:val="18"/>
                      <w:szCs w:val="18"/>
                    </w:rPr>
                    <w:t>Hotels and companies present successful LGBTQ+ inclusion strategies.</w:t>
                  </w:r>
                </w:p>
              </w:tc>
            </w:tr>
            <w:tr w:rsidR="002033B2" w:rsidRPr="002033B2" w14:paraId="0BBA2117" w14:textId="77777777" w:rsidTr="00FC2C43">
              <w:trPr>
                <w:trHeight w:val="483"/>
              </w:trPr>
              <w:tc>
                <w:tcPr>
                  <w:tcW w:w="1470" w:type="dxa"/>
                  <w:tcBorders>
                    <w:top w:val="single" w:sz="12" w:space="0" w:color="9884FF"/>
                    <w:left w:val="single" w:sz="12" w:space="0" w:color="9884FF"/>
                    <w:bottom w:val="single" w:sz="12" w:space="0" w:color="9884FF"/>
                    <w:right w:val="single" w:sz="12" w:space="0" w:color="9884FF"/>
                  </w:tcBorders>
                  <w:shd w:val="clear" w:color="auto" w:fill="FFFCF4"/>
                  <w:tcMar>
                    <w:top w:w="72" w:type="dxa"/>
                    <w:left w:w="144" w:type="dxa"/>
                    <w:bottom w:w="72" w:type="dxa"/>
                    <w:right w:w="144" w:type="dxa"/>
                  </w:tcMar>
                  <w:vAlign w:val="center"/>
                  <w:hideMark/>
                </w:tcPr>
                <w:p w14:paraId="59E62249" w14:textId="77777777" w:rsidR="002033B2" w:rsidRPr="002033B2" w:rsidRDefault="002033B2" w:rsidP="002033B2">
                  <w:pPr>
                    <w:spacing w:line="360" w:lineRule="auto"/>
                    <w:jc w:val="both"/>
                    <w:rPr>
                      <w:rFonts w:ascii="Arial" w:eastAsia="Aptos" w:hAnsi="Arial" w:cs="Arial"/>
                      <w:b/>
                      <w:bCs/>
                      <w:kern w:val="0"/>
                      <w:sz w:val="18"/>
                      <w:szCs w:val="18"/>
                    </w:rPr>
                  </w:pPr>
                  <w:r w:rsidRPr="002033B2">
                    <w:rPr>
                      <w:rFonts w:ascii="Arial" w:eastAsia="Aptos" w:hAnsi="Arial" w:cs="Arial"/>
                      <w:b/>
                      <w:bCs/>
                      <w:kern w:val="0"/>
                      <w:sz w:val="18"/>
                      <w:szCs w:val="18"/>
                    </w:rPr>
                    <w:t>15:45 - 16:45</w:t>
                  </w:r>
                </w:p>
              </w:tc>
              <w:tc>
                <w:tcPr>
                  <w:tcW w:w="3690" w:type="dxa"/>
                  <w:tcBorders>
                    <w:top w:val="single" w:sz="12" w:space="0" w:color="9884FF"/>
                    <w:left w:val="single" w:sz="12" w:space="0" w:color="9884FF"/>
                    <w:bottom w:val="single" w:sz="12" w:space="0" w:color="9884FF"/>
                    <w:right w:val="single" w:sz="12" w:space="0" w:color="9884FF"/>
                  </w:tcBorders>
                  <w:shd w:val="clear" w:color="auto" w:fill="FFFCF4"/>
                  <w:tcMar>
                    <w:top w:w="72" w:type="dxa"/>
                    <w:left w:w="144" w:type="dxa"/>
                    <w:bottom w:w="72" w:type="dxa"/>
                    <w:right w:w="144" w:type="dxa"/>
                  </w:tcMar>
                  <w:vAlign w:val="center"/>
                  <w:hideMark/>
                </w:tcPr>
                <w:p w14:paraId="6CBE42A1" w14:textId="77777777" w:rsidR="002033B2" w:rsidRPr="002033B2" w:rsidRDefault="002033B2" w:rsidP="002033B2">
                  <w:pPr>
                    <w:spacing w:line="360" w:lineRule="auto"/>
                    <w:jc w:val="both"/>
                    <w:rPr>
                      <w:rFonts w:ascii="Arial" w:eastAsia="Aptos" w:hAnsi="Arial" w:cs="Arial"/>
                      <w:b/>
                      <w:bCs/>
                      <w:kern w:val="0"/>
                      <w:sz w:val="18"/>
                      <w:szCs w:val="18"/>
                    </w:rPr>
                  </w:pPr>
                  <w:r w:rsidRPr="002033B2">
                    <w:rPr>
                      <w:rFonts w:ascii="Segoe UI Emoji" w:eastAsia="Aptos" w:hAnsi="Segoe UI Emoji" w:cs="Segoe UI Emoji"/>
                      <w:b/>
                      <w:bCs/>
                      <w:kern w:val="0"/>
                      <w:sz w:val="18"/>
                      <w:szCs w:val="18"/>
                    </w:rPr>
                    <w:t>🤖</w:t>
                  </w:r>
                  <w:r w:rsidRPr="002033B2">
                    <w:rPr>
                      <w:rFonts w:ascii="Arial" w:eastAsia="Aptos" w:hAnsi="Arial" w:cs="Arial"/>
                      <w:b/>
                      <w:bCs/>
                      <w:kern w:val="0"/>
                      <w:sz w:val="18"/>
                      <w:szCs w:val="18"/>
                    </w:rPr>
                    <w:t xml:space="preserve"> Future Outlook: Technology and Diversity</w:t>
                  </w:r>
                </w:p>
              </w:tc>
              <w:tc>
                <w:tcPr>
                  <w:tcW w:w="4412" w:type="dxa"/>
                  <w:tcBorders>
                    <w:top w:val="single" w:sz="12" w:space="0" w:color="9884FF"/>
                    <w:left w:val="single" w:sz="12" w:space="0" w:color="9884FF"/>
                    <w:bottom w:val="single" w:sz="12" w:space="0" w:color="9884FF"/>
                    <w:right w:val="single" w:sz="12" w:space="0" w:color="9884FF"/>
                  </w:tcBorders>
                  <w:shd w:val="clear" w:color="auto" w:fill="FFFCF4"/>
                  <w:tcMar>
                    <w:top w:w="72" w:type="dxa"/>
                    <w:left w:w="144" w:type="dxa"/>
                    <w:bottom w:w="72" w:type="dxa"/>
                    <w:right w:w="144" w:type="dxa"/>
                  </w:tcMar>
                  <w:vAlign w:val="center"/>
                  <w:hideMark/>
                </w:tcPr>
                <w:p w14:paraId="5A0EFAD8" w14:textId="77777777" w:rsidR="002033B2" w:rsidRPr="002033B2" w:rsidRDefault="002033B2" w:rsidP="002033B2">
                  <w:pPr>
                    <w:spacing w:line="360" w:lineRule="auto"/>
                    <w:jc w:val="both"/>
                    <w:rPr>
                      <w:rFonts w:ascii="Arial" w:eastAsia="Aptos" w:hAnsi="Arial" w:cs="Arial"/>
                      <w:b/>
                      <w:bCs/>
                      <w:kern w:val="0"/>
                      <w:sz w:val="18"/>
                      <w:szCs w:val="18"/>
                    </w:rPr>
                  </w:pPr>
                  <w:r w:rsidRPr="002033B2">
                    <w:rPr>
                      <w:rFonts w:ascii="Arial" w:eastAsia="Aptos" w:hAnsi="Arial" w:cs="Arial"/>
                      <w:b/>
                      <w:bCs/>
                      <w:kern w:val="0"/>
                      <w:sz w:val="18"/>
                      <w:szCs w:val="18"/>
                    </w:rPr>
                    <w:t>Experts discuss hybrid event technology and AI for DEI.</w:t>
                  </w:r>
                </w:p>
              </w:tc>
            </w:tr>
            <w:tr w:rsidR="002033B2" w:rsidRPr="002033B2" w14:paraId="45BF223D" w14:textId="77777777" w:rsidTr="00FC2C43">
              <w:trPr>
                <w:trHeight w:val="22"/>
              </w:trPr>
              <w:tc>
                <w:tcPr>
                  <w:tcW w:w="1470" w:type="dxa"/>
                  <w:tcBorders>
                    <w:top w:val="single" w:sz="12" w:space="0" w:color="9884FF"/>
                    <w:left w:val="single" w:sz="12" w:space="0" w:color="9884FF"/>
                    <w:bottom w:val="single" w:sz="12" w:space="0" w:color="9884FF"/>
                    <w:right w:val="single" w:sz="12" w:space="0" w:color="9884FF"/>
                  </w:tcBorders>
                  <w:shd w:val="clear" w:color="auto" w:fill="FFFCF4"/>
                  <w:tcMar>
                    <w:top w:w="72" w:type="dxa"/>
                    <w:left w:w="144" w:type="dxa"/>
                    <w:bottom w:w="72" w:type="dxa"/>
                    <w:right w:w="144" w:type="dxa"/>
                  </w:tcMar>
                  <w:vAlign w:val="center"/>
                  <w:hideMark/>
                </w:tcPr>
                <w:p w14:paraId="7E94230D" w14:textId="77777777" w:rsidR="002033B2" w:rsidRPr="002033B2" w:rsidRDefault="002033B2" w:rsidP="002033B2">
                  <w:pPr>
                    <w:spacing w:line="360" w:lineRule="auto"/>
                    <w:jc w:val="both"/>
                    <w:rPr>
                      <w:rFonts w:ascii="Arial" w:eastAsia="Aptos" w:hAnsi="Arial" w:cs="Arial"/>
                      <w:b/>
                      <w:bCs/>
                      <w:kern w:val="0"/>
                      <w:sz w:val="18"/>
                      <w:szCs w:val="18"/>
                    </w:rPr>
                  </w:pPr>
                  <w:r w:rsidRPr="002033B2">
                    <w:rPr>
                      <w:rFonts w:ascii="Arial" w:eastAsia="Aptos" w:hAnsi="Arial" w:cs="Arial"/>
                      <w:b/>
                      <w:bCs/>
                      <w:kern w:val="0"/>
                      <w:sz w:val="18"/>
                      <w:szCs w:val="18"/>
                    </w:rPr>
                    <w:t>17:00 - 18:00</w:t>
                  </w:r>
                </w:p>
              </w:tc>
              <w:tc>
                <w:tcPr>
                  <w:tcW w:w="3690" w:type="dxa"/>
                  <w:tcBorders>
                    <w:top w:val="single" w:sz="12" w:space="0" w:color="9884FF"/>
                    <w:left w:val="single" w:sz="12" w:space="0" w:color="9884FF"/>
                    <w:bottom w:val="single" w:sz="12" w:space="0" w:color="9884FF"/>
                    <w:right w:val="single" w:sz="12" w:space="0" w:color="9884FF"/>
                  </w:tcBorders>
                  <w:shd w:val="clear" w:color="auto" w:fill="FFFCF4"/>
                  <w:tcMar>
                    <w:top w:w="72" w:type="dxa"/>
                    <w:left w:w="144" w:type="dxa"/>
                    <w:bottom w:w="72" w:type="dxa"/>
                    <w:right w:w="144" w:type="dxa"/>
                  </w:tcMar>
                  <w:vAlign w:val="center"/>
                  <w:hideMark/>
                </w:tcPr>
                <w:p w14:paraId="1411B6AA" w14:textId="77777777" w:rsidR="002033B2" w:rsidRPr="002033B2" w:rsidRDefault="002033B2" w:rsidP="002033B2">
                  <w:pPr>
                    <w:spacing w:line="360" w:lineRule="auto"/>
                    <w:jc w:val="both"/>
                    <w:rPr>
                      <w:rFonts w:ascii="Arial" w:eastAsia="Aptos" w:hAnsi="Arial" w:cs="Arial"/>
                      <w:b/>
                      <w:bCs/>
                      <w:kern w:val="0"/>
                      <w:sz w:val="18"/>
                      <w:szCs w:val="18"/>
                    </w:rPr>
                  </w:pPr>
                  <w:r w:rsidRPr="002033B2">
                    <w:rPr>
                      <w:rFonts w:ascii="Segoe UI Emoji" w:eastAsia="Aptos" w:hAnsi="Segoe UI Emoji" w:cs="Segoe UI Emoji"/>
                      <w:b/>
                      <w:bCs/>
                      <w:kern w:val="0"/>
                      <w:sz w:val="18"/>
                      <w:szCs w:val="18"/>
                    </w:rPr>
                    <w:t>🎉</w:t>
                  </w:r>
                  <w:r w:rsidRPr="002033B2">
                    <w:rPr>
                      <w:rFonts w:ascii="Arial" w:eastAsia="Aptos" w:hAnsi="Arial" w:cs="Arial"/>
                      <w:b/>
                      <w:bCs/>
                      <w:kern w:val="0"/>
                      <w:sz w:val="18"/>
                      <w:szCs w:val="18"/>
                    </w:rPr>
                    <w:t xml:space="preserve"> Closing Keynote and Networking Reception</w:t>
                  </w:r>
                </w:p>
              </w:tc>
              <w:tc>
                <w:tcPr>
                  <w:tcW w:w="4412" w:type="dxa"/>
                  <w:tcBorders>
                    <w:top w:val="single" w:sz="12" w:space="0" w:color="9884FF"/>
                    <w:left w:val="single" w:sz="12" w:space="0" w:color="9884FF"/>
                    <w:bottom w:val="single" w:sz="12" w:space="0" w:color="9884FF"/>
                    <w:right w:val="single" w:sz="12" w:space="0" w:color="9884FF"/>
                  </w:tcBorders>
                  <w:shd w:val="clear" w:color="auto" w:fill="FFFCF4"/>
                  <w:tcMar>
                    <w:top w:w="72" w:type="dxa"/>
                    <w:left w:w="144" w:type="dxa"/>
                    <w:bottom w:w="72" w:type="dxa"/>
                    <w:right w:w="144" w:type="dxa"/>
                  </w:tcMar>
                  <w:vAlign w:val="center"/>
                  <w:hideMark/>
                </w:tcPr>
                <w:p w14:paraId="069964DD" w14:textId="77777777" w:rsidR="002033B2" w:rsidRPr="002033B2" w:rsidRDefault="002033B2" w:rsidP="002033B2">
                  <w:pPr>
                    <w:spacing w:line="360" w:lineRule="auto"/>
                    <w:jc w:val="both"/>
                    <w:rPr>
                      <w:rFonts w:ascii="Arial" w:eastAsia="Aptos" w:hAnsi="Arial" w:cs="Arial"/>
                      <w:b/>
                      <w:bCs/>
                      <w:kern w:val="0"/>
                      <w:sz w:val="18"/>
                      <w:szCs w:val="18"/>
                    </w:rPr>
                  </w:pPr>
                  <w:r w:rsidRPr="002033B2">
                    <w:rPr>
                      <w:rFonts w:ascii="Arial" w:eastAsia="Aptos" w:hAnsi="Arial" w:cs="Arial"/>
                      <w:b/>
                      <w:bCs/>
                      <w:kern w:val="0"/>
                      <w:sz w:val="18"/>
                      <w:szCs w:val="18"/>
                    </w:rPr>
                    <w:t>The final address will have a vision for future inclusivity in hospitality.</w:t>
                  </w:r>
                </w:p>
              </w:tc>
            </w:tr>
          </w:tbl>
          <w:p w14:paraId="50916197" w14:textId="77777777" w:rsidR="002033B2" w:rsidRPr="002033B2" w:rsidRDefault="002033B2" w:rsidP="002033B2">
            <w:pPr>
              <w:spacing w:line="360" w:lineRule="auto"/>
              <w:jc w:val="both"/>
              <w:rPr>
                <w:rFonts w:ascii="Arial" w:eastAsia="Aptos" w:hAnsi="Arial" w:cs="Arial"/>
                <w:b/>
                <w:bCs/>
                <w:vanish/>
                <w:kern w:val="0"/>
                <w:sz w:val="22"/>
                <w:szCs w:val="22"/>
              </w:rPr>
            </w:pPr>
          </w:p>
          <w:p w14:paraId="7459B91E" w14:textId="77777777" w:rsidR="002033B2" w:rsidRPr="002033B2" w:rsidRDefault="002033B2" w:rsidP="002033B2">
            <w:pPr>
              <w:spacing w:line="360" w:lineRule="auto"/>
              <w:jc w:val="both"/>
              <w:rPr>
                <w:rFonts w:ascii="Arial" w:eastAsia="Aptos" w:hAnsi="Arial" w:cs="Arial"/>
                <w:b/>
                <w:bCs/>
                <w:vanish/>
                <w:kern w:val="0"/>
                <w:sz w:val="22"/>
                <w:szCs w:val="22"/>
              </w:rPr>
            </w:pPr>
          </w:p>
          <w:p w14:paraId="311F96E1" w14:textId="77777777" w:rsidR="002033B2" w:rsidRPr="002033B2" w:rsidRDefault="002033B2" w:rsidP="002033B2">
            <w:pPr>
              <w:spacing w:line="360" w:lineRule="auto"/>
              <w:jc w:val="both"/>
              <w:rPr>
                <w:rFonts w:ascii="Arial" w:eastAsia="Aptos" w:hAnsi="Arial" w:cs="Arial"/>
                <w:b/>
                <w:bCs/>
                <w:vanish/>
                <w:kern w:val="0"/>
                <w:sz w:val="22"/>
                <w:szCs w:val="22"/>
              </w:rPr>
            </w:pPr>
          </w:p>
          <w:p w14:paraId="23EC0DA2" w14:textId="77777777" w:rsidR="002033B2" w:rsidRPr="002033B2" w:rsidRDefault="002033B2" w:rsidP="002033B2">
            <w:pPr>
              <w:spacing w:line="360" w:lineRule="auto"/>
              <w:jc w:val="both"/>
              <w:rPr>
                <w:rFonts w:ascii="Arial" w:eastAsia="Aptos" w:hAnsi="Arial" w:cs="Arial"/>
                <w:b/>
                <w:bCs/>
                <w:vanish/>
                <w:kern w:val="0"/>
                <w:sz w:val="22"/>
                <w:szCs w:val="22"/>
              </w:rPr>
            </w:pPr>
          </w:p>
          <w:p w14:paraId="31D3B5CD" w14:textId="77777777" w:rsidR="002033B2" w:rsidRPr="002033B2" w:rsidRDefault="002033B2" w:rsidP="002033B2">
            <w:pPr>
              <w:spacing w:line="360" w:lineRule="auto"/>
              <w:jc w:val="both"/>
              <w:rPr>
                <w:rFonts w:ascii="Arial" w:eastAsia="Aptos" w:hAnsi="Arial" w:cs="Arial"/>
                <w:b/>
                <w:bCs/>
                <w:vanish/>
                <w:kern w:val="0"/>
                <w:sz w:val="22"/>
                <w:szCs w:val="22"/>
              </w:rPr>
            </w:pPr>
          </w:p>
          <w:p w14:paraId="21F24AEC" w14:textId="77777777" w:rsidR="002033B2" w:rsidRPr="002033B2" w:rsidRDefault="002033B2" w:rsidP="002033B2">
            <w:pPr>
              <w:spacing w:line="360" w:lineRule="auto"/>
              <w:jc w:val="both"/>
              <w:rPr>
                <w:rFonts w:ascii="Arial" w:eastAsia="Aptos" w:hAnsi="Arial" w:cs="Arial"/>
                <w:b/>
                <w:bCs/>
                <w:vanish/>
                <w:kern w:val="0"/>
                <w:sz w:val="22"/>
                <w:szCs w:val="22"/>
              </w:rPr>
            </w:pPr>
          </w:p>
          <w:p w14:paraId="67310437" w14:textId="77777777" w:rsidR="002033B2" w:rsidRPr="002033B2" w:rsidRDefault="002033B2" w:rsidP="002033B2">
            <w:pPr>
              <w:spacing w:line="360" w:lineRule="auto"/>
              <w:jc w:val="both"/>
              <w:rPr>
                <w:rFonts w:ascii="Arial" w:eastAsia="Aptos" w:hAnsi="Arial" w:cs="Arial"/>
                <w:b/>
                <w:bCs/>
                <w:kern w:val="0"/>
                <w:sz w:val="22"/>
                <w:szCs w:val="22"/>
              </w:rPr>
            </w:pPr>
          </w:p>
        </w:tc>
        <w:tc>
          <w:tcPr>
            <w:tcW w:w="0" w:type="auto"/>
            <w:vAlign w:val="center"/>
          </w:tcPr>
          <w:p w14:paraId="5E7BB2EE" w14:textId="77777777" w:rsidR="002033B2" w:rsidRPr="002033B2" w:rsidRDefault="002033B2" w:rsidP="002033B2">
            <w:pPr>
              <w:spacing w:line="360" w:lineRule="auto"/>
              <w:jc w:val="both"/>
              <w:rPr>
                <w:rFonts w:ascii="Arial" w:eastAsia="Aptos" w:hAnsi="Arial" w:cs="Arial"/>
                <w:kern w:val="0"/>
                <w:sz w:val="22"/>
                <w:szCs w:val="22"/>
              </w:rPr>
            </w:pPr>
          </w:p>
        </w:tc>
        <w:tc>
          <w:tcPr>
            <w:tcW w:w="50" w:type="dxa"/>
            <w:vAlign w:val="center"/>
          </w:tcPr>
          <w:p w14:paraId="4A8C4574" w14:textId="77777777" w:rsidR="002033B2" w:rsidRPr="002033B2" w:rsidRDefault="002033B2" w:rsidP="002033B2">
            <w:pPr>
              <w:spacing w:line="360" w:lineRule="auto"/>
              <w:jc w:val="both"/>
              <w:rPr>
                <w:rFonts w:ascii="Arial" w:eastAsia="Aptos" w:hAnsi="Arial" w:cs="Arial"/>
                <w:kern w:val="0"/>
                <w:sz w:val="22"/>
                <w:szCs w:val="22"/>
              </w:rPr>
            </w:pPr>
          </w:p>
        </w:tc>
      </w:tr>
    </w:tbl>
    <w:p w14:paraId="0384908D" w14:textId="77777777" w:rsidR="002033B2" w:rsidRPr="002033B2" w:rsidRDefault="002033B2" w:rsidP="002033B2">
      <w:pPr>
        <w:spacing w:line="360" w:lineRule="auto"/>
        <w:jc w:val="both"/>
        <w:rPr>
          <w:rFonts w:ascii="Arial" w:eastAsia="Aptos" w:hAnsi="Arial" w:cs="Arial"/>
          <w:kern w:val="0"/>
          <w:sz w:val="22"/>
          <w:szCs w:val="22"/>
        </w:rPr>
      </w:pPr>
      <w:r w:rsidRPr="002033B2">
        <w:rPr>
          <w:rFonts w:ascii="Arial" w:eastAsia="Aptos" w:hAnsi="Arial" w:cs="Arial"/>
          <w:kern w:val="0"/>
          <w:sz w:val="22"/>
          <w:szCs w:val="22"/>
        </w:rPr>
        <w:t xml:space="preserve">The event's design will be a reflection of the LGBTQ+ inclusivity theme. A colour-coordinated stage design that reflects the Pride flag, panel arrangements that promote open dialogue, and LGBTQ+-themed visual displays will be displayed at the Andaz Amsterdam Prinsengracht. Entertainment will prioritise LGBTQ+ speakers and performers, therefore perpetuating representation. Furthermore, catering vendors will be LGBTQ+-owned businesses that provide a menu influenced by various global cultures, celebrating LGBTQ+ culture in a manner that goes beyond Western perspectives (Bowdin et al., 2011). </w:t>
      </w:r>
    </w:p>
    <w:p w14:paraId="0FAA19C4" w14:textId="77777777" w:rsidR="002033B2" w:rsidRPr="002033B2" w:rsidRDefault="002033B2" w:rsidP="002033B2">
      <w:pPr>
        <w:spacing w:line="360" w:lineRule="auto"/>
        <w:jc w:val="both"/>
        <w:rPr>
          <w:rFonts w:ascii="Arial" w:eastAsia="Aptos" w:hAnsi="Arial" w:cs="Arial"/>
          <w:kern w:val="0"/>
          <w:sz w:val="22"/>
          <w:szCs w:val="22"/>
        </w:rPr>
      </w:pPr>
      <w:r w:rsidRPr="002033B2">
        <w:rPr>
          <w:rFonts w:ascii="Arial" w:eastAsia="Aptos" w:hAnsi="Arial" w:cs="Arial"/>
          <w:kern w:val="0"/>
          <w:sz w:val="22"/>
          <w:szCs w:val="22"/>
        </w:rPr>
        <w:t xml:space="preserve">The summit is designed to encourage interactive engagement rather than inert participation. Participants will engage in collaborative workshops, live polls, and Q&amp;A sessions to facilitate meaningful discussions. Prom hospitality brands, including Marriott and Hilton, will conduct mentorship sessions to offer attendees a glimpse into inclusive workplaces (Ray, 2019). </w:t>
      </w:r>
      <w:r w:rsidRPr="002033B2">
        <w:rPr>
          <w:rFonts w:ascii="Arial" w:eastAsia="Aptos" w:hAnsi="Arial" w:cs="Arial"/>
          <w:kern w:val="0"/>
          <w:sz w:val="22"/>
          <w:szCs w:val="22"/>
        </w:rPr>
        <w:br/>
        <w:t xml:space="preserve">The Andaz Amsterdam Prinsengracht was selected due to its central location, modern infrastructure, accessibility features, and LGBTQ+-friendly policies. It provides a professional environment and interactive sessions, with a capacity of 500 attendees. A backup venue, the Hotel Pulitzer Amsterdam, has been secured as a contingency measure to guarantee the uninterrupted running of the event in the case of an emergency (Nolan, 2020). </w:t>
      </w:r>
      <w:r w:rsidRPr="002033B2">
        <w:rPr>
          <w:rFonts w:ascii="Arial" w:eastAsia="Aptos" w:hAnsi="Arial" w:cs="Arial"/>
          <w:kern w:val="0"/>
          <w:sz w:val="22"/>
          <w:szCs w:val="22"/>
        </w:rPr>
        <w:br/>
        <w:t>The Pride in Hospitality Leadership Summit guarantees attendants will depart with practical strategies to promote LGBTQ+ inclusion in their workplaces by integrating education, networking, and cultural representation (Ray, 2019).</w:t>
      </w:r>
    </w:p>
    <w:p w14:paraId="0BAB2294" w14:textId="77777777" w:rsidR="002033B2" w:rsidRPr="002033B2" w:rsidRDefault="002033B2" w:rsidP="002033B2">
      <w:pPr>
        <w:numPr>
          <w:ilvl w:val="0"/>
          <w:numId w:val="8"/>
        </w:numPr>
        <w:spacing w:line="360" w:lineRule="auto"/>
        <w:contextualSpacing/>
        <w:jc w:val="both"/>
        <w:rPr>
          <w:rFonts w:ascii="Arial" w:eastAsia="Aptos" w:hAnsi="Arial" w:cs="Arial"/>
          <w:kern w:val="0"/>
          <w:sz w:val="22"/>
          <w:szCs w:val="22"/>
          <w:u w:val="single"/>
        </w:rPr>
      </w:pPr>
      <w:r w:rsidRPr="002033B2">
        <w:rPr>
          <w:rFonts w:ascii="Arial" w:eastAsia="Aptos" w:hAnsi="Arial" w:cs="Arial"/>
          <w:b/>
          <w:bCs/>
          <w:kern w:val="0"/>
          <w:sz w:val="22"/>
          <w:szCs w:val="22"/>
          <w:u w:val="single"/>
        </w:rPr>
        <w:t>Aim and Objectives of the Event</w:t>
      </w:r>
    </w:p>
    <w:p w14:paraId="3F5A3CB4" w14:textId="77777777" w:rsidR="002033B2" w:rsidRPr="002033B2" w:rsidRDefault="002033B2" w:rsidP="002033B2">
      <w:pPr>
        <w:spacing w:line="360" w:lineRule="auto"/>
        <w:jc w:val="both"/>
        <w:rPr>
          <w:rFonts w:ascii="Arial" w:eastAsia="Aptos" w:hAnsi="Arial" w:cs="Arial"/>
          <w:b/>
          <w:bCs/>
          <w:kern w:val="0"/>
          <w:sz w:val="22"/>
          <w:szCs w:val="22"/>
        </w:rPr>
      </w:pPr>
      <w:r w:rsidRPr="002033B2">
        <w:rPr>
          <w:rFonts w:ascii="Arial" w:eastAsia="Aptos" w:hAnsi="Arial" w:cs="Arial"/>
          <w:b/>
          <w:bCs/>
          <w:kern w:val="0"/>
          <w:sz w:val="22"/>
          <w:szCs w:val="22"/>
        </w:rPr>
        <w:t>Overarching Aim</w:t>
      </w:r>
    </w:p>
    <w:p w14:paraId="03D798AD" w14:textId="77777777" w:rsidR="002033B2" w:rsidRPr="002033B2" w:rsidRDefault="002033B2" w:rsidP="002033B2">
      <w:pPr>
        <w:spacing w:line="360" w:lineRule="auto"/>
        <w:jc w:val="both"/>
        <w:rPr>
          <w:rFonts w:ascii="Arial" w:eastAsia="Aptos" w:hAnsi="Arial" w:cs="Arial"/>
          <w:kern w:val="0"/>
          <w:sz w:val="22"/>
          <w:szCs w:val="22"/>
        </w:rPr>
      </w:pPr>
      <w:r w:rsidRPr="002033B2">
        <w:rPr>
          <w:rFonts w:ascii="Arial" w:eastAsia="Aptos" w:hAnsi="Arial" w:cs="Arial"/>
          <w:kern w:val="0"/>
          <w:sz w:val="22"/>
          <w:szCs w:val="22"/>
        </w:rPr>
        <w:t>The Pride in Hospitality Leadership Summit is intended to facilitate networking, education, and policy discussions to promote LGBTQ+ inclusivity within the hospitality sector. Bowdin et al. (2011) state that building an industry-wide dialogue regarding diversity, equity, and inclusion (DEI) contributes to developing a more inclusive environment for LGBTQ+ professionals.</w:t>
      </w:r>
    </w:p>
    <w:p w14:paraId="0108E763" w14:textId="77777777" w:rsidR="002033B2" w:rsidRPr="002033B2" w:rsidRDefault="002033B2" w:rsidP="002033B2">
      <w:pPr>
        <w:spacing w:line="360" w:lineRule="auto"/>
        <w:jc w:val="both"/>
        <w:rPr>
          <w:rFonts w:ascii="Arial" w:eastAsia="Aptos" w:hAnsi="Arial" w:cs="Arial"/>
          <w:kern w:val="0"/>
          <w:sz w:val="22"/>
          <w:szCs w:val="22"/>
        </w:rPr>
      </w:pPr>
      <w:r w:rsidRPr="002033B2">
        <w:rPr>
          <w:rFonts w:ascii="Arial" w:eastAsia="Aptos" w:hAnsi="Arial" w:cs="Arial"/>
          <w:noProof/>
          <w:kern w:val="0"/>
          <w:sz w:val="22"/>
          <w:szCs w:val="22"/>
        </w:rPr>
        <w:lastRenderedPageBreak/>
        <w:drawing>
          <wp:inline distT="0" distB="0" distL="0" distR="0" wp14:anchorId="594AD973" wp14:editId="27850704">
            <wp:extent cx="5922010" cy="819147"/>
            <wp:effectExtent l="0" t="0" r="2540" b="635"/>
            <wp:docPr id="2041820582" name="Picture 1" descr="A blue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1820582" name="Picture 1" descr="A blue text on a white background&#10;&#10;AI-generated content may be incorrect."/>
                    <pic:cNvPicPr/>
                  </pic:nvPicPr>
                  <pic:blipFill rotWithShape="1">
                    <a:blip r:embed="rId12"/>
                    <a:srcRect l="480"/>
                    <a:stretch/>
                  </pic:blipFill>
                  <pic:spPr bwMode="auto">
                    <a:xfrm>
                      <a:off x="0" y="0"/>
                      <a:ext cx="5925656" cy="819651"/>
                    </a:xfrm>
                    <a:prstGeom prst="rect">
                      <a:avLst/>
                    </a:prstGeom>
                    <a:ln>
                      <a:noFill/>
                    </a:ln>
                    <a:extLst>
                      <a:ext uri="{53640926-AAD7-44D8-BBD7-CCE9431645EC}">
                        <a14:shadowObscured xmlns:a14="http://schemas.microsoft.com/office/drawing/2010/main"/>
                      </a:ext>
                    </a:extLst>
                  </pic:spPr>
                </pic:pic>
              </a:graphicData>
            </a:graphic>
          </wp:inline>
        </w:drawing>
      </w:r>
    </w:p>
    <w:p w14:paraId="4DA17FD4" w14:textId="77777777" w:rsidR="002033B2" w:rsidRPr="002033B2" w:rsidRDefault="002033B2" w:rsidP="002033B2">
      <w:pPr>
        <w:spacing w:line="360" w:lineRule="auto"/>
        <w:jc w:val="both"/>
        <w:rPr>
          <w:rFonts w:ascii="Arial" w:eastAsia="Aptos" w:hAnsi="Arial" w:cs="Arial"/>
          <w:kern w:val="0"/>
          <w:sz w:val="22"/>
          <w:szCs w:val="22"/>
        </w:rPr>
      </w:pPr>
      <w:r w:rsidRPr="002033B2">
        <w:rPr>
          <w:rFonts w:ascii="Arial" w:eastAsia="Aptos" w:hAnsi="Arial" w:cs="Arial"/>
          <w:kern w:val="0"/>
          <w:sz w:val="22"/>
          <w:szCs w:val="22"/>
        </w:rPr>
        <w:t>To ensure meaningful impact, the event's objectives follow the SMART Goals Framework (Doran, 1981):</w:t>
      </w:r>
    </w:p>
    <w:p w14:paraId="47B1D111" w14:textId="77777777" w:rsidR="002033B2" w:rsidRPr="002033B2" w:rsidRDefault="002033B2" w:rsidP="002033B2">
      <w:pPr>
        <w:spacing w:line="360" w:lineRule="auto"/>
        <w:jc w:val="both"/>
        <w:rPr>
          <w:rFonts w:ascii="Arial" w:eastAsia="Aptos" w:hAnsi="Arial" w:cs="Arial"/>
          <w:kern w:val="0"/>
          <w:sz w:val="22"/>
          <w:szCs w:val="22"/>
        </w:rPr>
      </w:pPr>
      <w:r w:rsidRPr="002033B2">
        <w:rPr>
          <w:rFonts w:ascii="Segoe UI Emoji" w:eastAsia="Aptos" w:hAnsi="Segoe UI Emoji" w:cs="Segoe UI Emoji"/>
          <w:b/>
          <w:bCs/>
          <w:kern w:val="0"/>
          <w:sz w:val="22"/>
          <w:szCs w:val="22"/>
        </w:rPr>
        <w:t>📌</w:t>
      </w:r>
      <w:r w:rsidRPr="002033B2">
        <w:rPr>
          <w:rFonts w:ascii="Arial" w:eastAsia="Aptos" w:hAnsi="Arial" w:cs="Arial"/>
          <w:b/>
          <w:bCs/>
          <w:kern w:val="0"/>
          <w:sz w:val="22"/>
          <w:szCs w:val="22"/>
        </w:rPr>
        <w:t>Specific</w:t>
      </w:r>
      <w:r w:rsidRPr="002033B2">
        <w:rPr>
          <w:rFonts w:ascii="Arial" w:eastAsia="Aptos" w:hAnsi="Arial" w:cs="Arial"/>
          <w:kern w:val="0"/>
          <w:sz w:val="22"/>
          <w:szCs w:val="22"/>
        </w:rPr>
        <w:t>: The objectives concentrate on the diversity of the audience, corporate sponsorships, and LGBTQ+ representation. For example, visibility is guaranteed by promising that 60% of speakers and panellists are members of the LGBTQ+ community (Bangura and Choi, 2024).</w:t>
      </w:r>
    </w:p>
    <w:p w14:paraId="0BAE5172" w14:textId="77777777" w:rsidR="002033B2" w:rsidRPr="002033B2" w:rsidRDefault="002033B2" w:rsidP="002033B2">
      <w:pPr>
        <w:spacing w:line="360" w:lineRule="auto"/>
        <w:jc w:val="both"/>
        <w:rPr>
          <w:rFonts w:ascii="Arial" w:eastAsia="Aptos" w:hAnsi="Arial" w:cs="Arial"/>
          <w:kern w:val="0"/>
          <w:sz w:val="22"/>
          <w:szCs w:val="22"/>
        </w:rPr>
      </w:pPr>
      <w:r w:rsidRPr="002033B2">
        <w:rPr>
          <w:rFonts w:ascii="Segoe UI Emoji" w:eastAsia="Aptos" w:hAnsi="Segoe UI Emoji" w:cs="Segoe UI Emoji"/>
          <w:b/>
          <w:bCs/>
          <w:kern w:val="0"/>
          <w:sz w:val="22"/>
          <w:szCs w:val="22"/>
        </w:rPr>
        <w:t>📌</w:t>
      </w:r>
      <w:r w:rsidRPr="002033B2">
        <w:rPr>
          <w:rFonts w:ascii="Arial" w:eastAsia="Aptos" w:hAnsi="Arial" w:cs="Arial"/>
          <w:b/>
          <w:bCs/>
          <w:kern w:val="0"/>
          <w:sz w:val="22"/>
          <w:szCs w:val="22"/>
        </w:rPr>
        <w:t>Measurable</w:t>
      </w:r>
      <w:r w:rsidRPr="002033B2">
        <w:rPr>
          <w:rFonts w:ascii="Arial" w:eastAsia="Aptos" w:hAnsi="Arial" w:cs="Arial"/>
          <w:kern w:val="0"/>
          <w:sz w:val="22"/>
          <w:szCs w:val="22"/>
        </w:rPr>
        <w:t>: The event's objective is to create a standard for corporate engagement by collaborating with at least ten key hospitality brands, including Marriott and Hilton.</w:t>
      </w:r>
    </w:p>
    <w:p w14:paraId="397734D7" w14:textId="77777777" w:rsidR="002033B2" w:rsidRPr="002033B2" w:rsidRDefault="002033B2" w:rsidP="002033B2">
      <w:pPr>
        <w:spacing w:line="360" w:lineRule="auto"/>
        <w:jc w:val="both"/>
        <w:rPr>
          <w:rFonts w:ascii="Arial" w:eastAsia="Aptos" w:hAnsi="Arial" w:cs="Arial"/>
          <w:kern w:val="0"/>
          <w:sz w:val="22"/>
          <w:szCs w:val="22"/>
        </w:rPr>
      </w:pPr>
      <w:r w:rsidRPr="002033B2">
        <w:rPr>
          <w:rFonts w:ascii="Segoe UI Emoji" w:eastAsia="Aptos" w:hAnsi="Segoe UI Emoji" w:cs="Segoe UI Emoji"/>
          <w:b/>
          <w:bCs/>
          <w:kern w:val="0"/>
          <w:sz w:val="22"/>
          <w:szCs w:val="22"/>
        </w:rPr>
        <w:t>📌</w:t>
      </w:r>
      <w:r w:rsidRPr="002033B2">
        <w:rPr>
          <w:rFonts w:ascii="Arial" w:eastAsia="Aptos" w:hAnsi="Arial" w:cs="Arial"/>
          <w:b/>
          <w:bCs/>
          <w:kern w:val="0"/>
          <w:sz w:val="22"/>
          <w:szCs w:val="22"/>
        </w:rPr>
        <w:t>Achievable</w:t>
      </w:r>
      <w:r w:rsidRPr="002033B2">
        <w:rPr>
          <w:rFonts w:ascii="Arial" w:eastAsia="Aptos" w:hAnsi="Arial" w:cs="Arial"/>
          <w:kern w:val="0"/>
          <w:sz w:val="22"/>
          <w:szCs w:val="22"/>
        </w:rPr>
        <w:t>: Given the rising demand for DEI-focused events, securing 500+ attendees is realistic (Ray, 2019).</w:t>
      </w:r>
    </w:p>
    <w:p w14:paraId="2D32FF50" w14:textId="77777777" w:rsidR="002033B2" w:rsidRPr="002033B2" w:rsidRDefault="002033B2" w:rsidP="002033B2">
      <w:pPr>
        <w:spacing w:line="360" w:lineRule="auto"/>
        <w:jc w:val="both"/>
        <w:rPr>
          <w:rFonts w:ascii="Arial" w:eastAsia="Aptos" w:hAnsi="Arial" w:cs="Arial"/>
          <w:kern w:val="0"/>
          <w:sz w:val="22"/>
          <w:szCs w:val="22"/>
        </w:rPr>
      </w:pPr>
      <w:r w:rsidRPr="002033B2">
        <w:rPr>
          <w:rFonts w:ascii="Segoe UI Emoji" w:eastAsia="Aptos" w:hAnsi="Segoe UI Emoji" w:cs="Segoe UI Emoji"/>
          <w:b/>
          <w:bCs/>
          <w:kern w:val="0"/>
          <w:sz w:val="22"/>
          <w:szCs w:val="22"/>
        </w:rPr>
        <w:t>📌</w:t>
      </w:r>
      <w:r w:rsidRPr="002033B2">
        <w:rPr>
          <w:rFonts w:ascii="Arial" w:eastAsia="Aptos" w:hAnsi="Arial" w:cs="Arial"/>
          <w:b/>
          <w:bCs/>
          <w:kern w:val="0"/>
          <w:sz w:val="22"/>
          <w:szCs w:val="22"/>
        </w:rPr>
        <w:t>Relevant</w:t>
      </w:r>
      <w:r w:rsidRPr="002033B2">
        <w:rPr>
          <w:rFonts w:ascii="Arial" w:eastAsia="Aptos" w:hAnsi="Arial" w:cs="Arial"/>
          <w:kern w:val="0"/>
          <w:sz w:val="22"/>
          <w:szCs w:val="22"/>
        </w:rPr>
        <w:t>: The objectives are consistent with industry trends, guaranteeing that 40% of attendees are HR managers and DEI officers, who are critical decision-makers (Madera et al., 2023).</w:t>
      </w:r>
    </w:p>
    <w:p w14:paraId="1879666C" w14:textId="77777777" w:rsidR="002033B2" w:rsidRPr="002033B2" w:rsidRDefault="002033B2" w:rsidP="002033B2">
      <w:pPr>
        <w:spacing w:line="360" w:lineRule="auto"/>
        <w:jc w:val="both"/>
        <w:rPr>
          <w:rFonts w:ascii="Arial" w:eastAsia="Aptos" w:hAnsi="Arial" w:cs="Arial"/>
          <w:kern w:val="0"/>
          <w:sz w:val="22"/>
          <w:szCs w:val="22"/>
        </w:rPr>
      </w:pPr>
      <w:r w:rsidRPr="002033B2">
        <w:rPr>
          <w:rFonts w:ascii="Segoe UI Emoji" w:eastAsia="Aptos" w:hAnsi="Segoe UI Emoji" w:cs="Segoe UI Emoji"/>
          <w:b/>
          <w:bCs/>
          <w:kern w:val="0"/>
          <w:sz w:val="22"/>
          <w:szCs w:val="22"/>
        </w:rPr>
        <w:t>📌</w:t>
      </w:r>
      <w:r w:rsidRPr="002033B2">
        <w:rPr>
          <w:rFonts w:ascii="Arial" w:eastAsia="Aptos" w:hAnsi="Arial" w:cs="Arial"/>
          <w:b/>
          <w:bCs/>
          <w:kern w:val="0"/>
          <w:sz w:val="22"/>
          <w:szCs w:val="22"/>
        </w:rPr>
        <w:t>Time-bound</w:t>
      </w:r>
      <w:r w:rsidRPr="002033B2">
        <w:rPr>
          <w:rFonts w:ascii="Arial" w:eastAsia="Aptos" w:hAnsi="Arial" w:cs="Arial"/>
          <w:kern w:val="0"/>
          <w:sz w:val="22"/>
          <w:szCs w:val="22"/>
        </w:rPr>
        <w:t xml:space="preserve">: These goals are set to be achieved within </w:t>
      </w:r>
      <w:r w:rsidRPr="002033B2">
        <w:rPr>
          <w:rFonts w:ascii="Arial" w:eastAsia="Aptos" w:hAnsi="Arial" w:cs="Arial"/>
          <w:b/>
          <w:bCs/>
          <w:kern w:val="0"/>
          <w:sz w:val="22"/>
          <w:szCs w:val="22"/>
        </w:rPr>
        <w:t>the planning and execution phases of the event</w:t>
      </w:r>
      <w:r w:rsidRPr="002033B2">
        <w:rPr>
          <w:rFonts w:ascii="Arial" w:eastAsia="Aptos" w:hAnsi="Arial" w:cs="Arial"/>
          <w:kern w:val="0"/>
          <w:sz w:val="22"/>
          <w:szCs w:val="22"/>
        </w:rPr>
        <w:t xml:space="preserve"> to ensure accountability (Bowdin et al., 2011).</w:t>
      </w:r>
    </w:p>
    <w:p w14:paraId="045B0638" w14:textId="77777777" w:rsidR="002033B2" w:rsidRPr="002033B2" w:rsidRDefault="002033B2" w:rsidP="002033B2">
      <w:pPr>
        <w:spacing w:line="360" w:lineRule="auto"/>
        <w:jc w:val="both"/>
        <w:rPr>
          <w:rFonts w:ascii="Arial" w:eastAsia="Aptos" w:hAnsi="Arial" w:cs="Arial"/>
          <w:kern w:val="0"/>
          <w:sz w:val="22"/>
          <w:szCs w:val="22"/>
        </w:rPr>
      </w:pPr>
      <w:r w:rsidRPr="002033B2">
        <w:rPr>
          <w:rFonts w:ascii="Arial" w:eastAsia="Aptos" w:hAnsi="Arial" w:cs="Arial"/>
          <w:kern w:val="0"/>
          <w:sz w:val="22"/>
          <w:szCs w:val="22"/>
        </w:rPr>
        <w:t>The event can drive real, measurable progress in the hospitality industry by structuring objectives with clear benchmarks and deadlines.</w:t>
      </w:r>
    </w:p>
    <w:p w14:paraId="330A42AC" w14:textId="77777777" w:rsidR="002033B2" w:rsidRPr="002033B2" w:rsidRDefault="002033B2" w:rsidP="002033B2">
      <w:pPr>
        <w:spacing w:line="360" w:lineRule="auto"/>
        <w:jc w:val="both"/>
        <w:rPr>
          <w:rFonts w:ascii="Arial" w:eastAsia="Aptos" w:hAnsi="Arial" w:cs="Arial"/>
          <w:kern w:val="0"/>
          <w:sz w:val="22"/>
          <w:szCs w:val="22"/>
        </w:rPr>
      </w:pPr>
    </w:p>
    <w:p w14:paraId="2BACA065" w14:textId="77777777" w:rsidR="002033B2" w:rsidRPr="002033B2" w:rsidRDefault="002033B2" w:rsidP="002033B2">
      <w:pPr>
        <w:spacing w:line="360" w:lineRule="auto"/>
        <w:jc w:val="both"/>
        <w:rPr>
          <w:rFonts w:ascii="Arial" w:eastAsia="Aptos" w:hAnsi="Arial" w:cs="Arial"/>
          <w:b/>
          <w:bCs/>
          <w:kern w:val="0"/>
          <w:sz w:val="22"/>
          <w:szCs w:val="22"/>
        </w:rPr>
      </w:pPr>
      <w:r w:rsidRPr="002033B2">
        <w:rPr>
          <w:rFonts w:ascii="Arial" w:eastAsia="Aptos" w:hAnsi="Arial" w:cs="Arial"/>
          <w:b/>
          <w:bCs/>
          <w:noProof/>
          <w:kern w:val="0"/>
          <w:sz w:val="22"/>
          <w:szCs w:val="22"/>
        </w:rPr>
        <w:drawing>
          <wp:anchor distT="0" distB="0" distL="114300" distR="114300" simplePos="0" relativeHeight="251660288" behindDoc="0" locked="0" layoutInCell="1" allowOverlap="1" wp14:anchorId="356AF00F" wp14:editId="62882D7D">
            <wp:simplePos x="0" y="0"/>
            <wp:positionH relativeFrom="column">
              <wp:posOffset>-92710</wp:posOffset>
            </wp:positionH>
            <wp:positionV relativeFrom="paragraph">
              <wp:posOffset>0</wp:posOffset>
            </wp:positionV>
            <wp:extent cx="6168390" cy="1009650"/>
            <wp:effectExtent l="0" t="0" r="3810" b="0"/>
            <wp:wrapSquare wrapText="bothSides"/>
            <wp:docPr id="792444015" name="Picture 1" descr="A close 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2444015" name="Picture 1" descr="A close up of a logo&#10;&#10;AI-generated content may be incorrect."/>
                    <pic:cNvPicPr/>
                  </pic:nvPicPr>
                  <pic:blipFill>
                    <a:blip r:embed="rId13">
                      <a:extLst>
                        <a:ext uri="{28A0092B-C50C-407E-A947-70E740481C1C}">
                          <a14:useLocalDpi xmlns:a14="http://schemas.microsoft.com/office/drawing/2010/main" val="0"/>
                        </a:ext>
                      </a:extLst>
                    </a:blip>
                    <a:stretch>
                      <a:fillRect/>
                    </a:stretch>
                  </pic:blipFill>
                  <pic:spPr>
                    <a:xfrm>
                      <a:off x="0" y="0"/>
                      <a:ext cx="6168390" cy="1009650"/>
                    </a:xfrm>
                    <a:prstGeom prst="rect">
                      <a:avLst/>
                    </a:prstGeom>
                  </pic:spPr>
                </pic:pic>
              </a:graphicData>
            </a:graphic>
            <wp14:sizeRelH relativeFrom="margin">
              <wp14:pctWidth>0</wp14:pctWidth>
            </wp14:sizeRelH>
            <wp14:sizeRelV relativeFrom="margin">
              <wp14:pctHeight>0</wp14:pctHeight>
            </wp14:sizeRelV>
          </wp:anchor>
        </w:drawing>
      </w:r>
    </w:p>
    <w:p w14:paraId="1892095A" w14:textId="77777777" w:rsidR="002033B2" w:rsidRPr="002033B2" w:rsidRDefault="002033B2" w:rsidP="002033B2">
      <w:pPr>
        <w:spacing w:line="360" w:lineRule="auto"/>
        <w:jc w:val="both"/>
        <w:rPr>
          <w:rFonts w:ascii="Arial" w:eastAsia="Aptos" w:hAnsi="Arial" w:cs="Arial"/>
          <w:b/>
          <w:bCs/>
          <w:kern w:val="0"/>
          <w:sz w:val="22"/>
          <w:szCs w:val="22"/>
        </w:rPr>
      </w:pPr>
    </w:p>
    <w:p w14:paraId="357D8030" w14:textId="77777777" w:rsidR="002033B2" w:rsidRPr="002033B2" w:rsidRDefault="002033B2" w:rsidP="002033B2">
      <w:pPr>
        <w:numPr>
          <w:ilvl w:val="0"/>
          <w:numId w:val="8"/>
        </w:numPr>
        <w:spacing w:line="360" w:lineRule="auto"/>
        <w:contextualSpacing/>
        <w:jc w:val="both"/>
        <w:rPr>
          <w:rFonts w:ascii="Arial" w:eastAsia="Aptos" w:hAnsi="Arial" w:cs="Arial"/>
          <w:b/>
          <w:bCs/>
          <w:kern w:val="0"/>
          <w:sz w:val="22"/>
          <w:szCs w:val="22"/>
          <w:u w:val="single"/>
        </w:rPr>
      </w:pPr>
      <w:r w:rsidRPr="002033B2">
        <w:rPr>
          <w:rFonts w:ascii="Arial" w:eastAsia="Aptos" w:hAnsi="Arial" w:cs="Arial"/>
          <w:b/>
          <w:bCs/>
          <w:kern w:val="0"/>
          <w:sz w:val="22"/>
          <w:szCs w:val="22"/>
          <w:u w:val="single"/>
        </w:rPr>
        <w:t xml:space="preserve">Event Management: Skills and Resources Required </w:t>
      </w:r>
    </w:p>
    <w:p w14:paraId="2AAB77A6" w14:textId="77777777" w:rsidR="002033B2" w:rsidRPr="002033B2" w:rsidRDefault="002033B2" w:rsidP="002033B2">
      <w:pPr>
        <w:spacing w:line="360" w:lineRule="auto"/>
        <w:jc w:val="both"/>
        <w:rPr>
          <w:rFonts w:ascii="Arial" w:eastAsia="Aptos" w:hAnsi="Arial" w:cs="Arial"/>
          <w:kern w:val="0"/>
          <w:sz w:val="22"/>
          <w:szCs w:val="22"/>
        </w:rPr>
      </w:pPr>
      <w:r w:rsidRPr="002033B2">
        <w:rPr>
          <w:rFonts w:ascii="Arial" w:eastAsia="Aptos" w:hAnsi="Arial" w:cs="Arial"/>
          <w:kern w:val="0"/>
          <w:sz w:val="22"/>
          <w:szCs w:val="22"/>
        </w:rPr>
        <w:t xml:space="preserve">Strategic planning, operational expertise, and a well-coordinated staff are essential for successfully organising a large-scale hospitality event. Multiple teams are involved in the Pride </w:t>
      </w:r>
      <w:r w:rsidRPr="002033B2">
        <w:rPr>
          <w:rFonts w:ascii="Arial" w:eastAsia="Aptos" w:hAnsi="Arial" w:cs="Arial"/>
          <w:kern w:val="0"/>
          <w:sz w:val="22"/>
          <w:szCs w:val="22"/>
        </w:rPr>
        <w:lastRenderedPageBreak/>
        <w:t>in Hospitality Leadership Summit, each accountable for a distinct aspect of event execution (Friedman, 2019).</w:t>
      </w:r>
    </w:p>
    <w:p w14:paraId="0F19D65A" w14:textId="77777777" w:rsidR="002033B2" w:rsidRPr="002033B2" w:rsidRDefault="002033B2" w:rsidP="002033B2">
      <w:pPr>
        <w:spacing w:line="360" w:lineRule="auto"/>
        <w:jc w:val="both"/>
        <w:rPr>
          <w:rFonts w:ascii="Arial" w:eastAsia="Aptos" w:hAnsi="Arial" w:cs="Arial"/>
          <w:b/>
          <w:bCs/>
          <w:kern w:val="0"/>
          <w:sz w:val="22"/>
          <w:szCs w:val="22"/>
        </w:rPr>
      </w:pPr>
      <w:r w:rsidRPr="002033B2">
        <w:rPr>
          <w:rFonts w:ascii="Segoe UI Emoji" w:eastAsia="Aptos" w:hAnsi="Segoe UI Emoji" w:cs="Segoe UI Emoji"/>
          <w:b/>
          <w:bCs/>
          <w:kern w:val="0"/>
          <w:sz w:val="22"/>
          <w:szCs w:val="22"/>
        </w:rPr>
        <w:t>📌</w:t>
      </w:r>
      <w:r w:rsidRPr="002033B2">
        <w:rPr>
          <w:rFonts w:ascii="Arial" w:eastAsia="Aptos" w:hAnsi="Arial" w:cs="Arial"/>
          <w:b/>
          <w:bCs/>
          <w:kern w:val="0"/>
          <w:sz w:val="22"/>
          <w:szCs w:val="22"/>
        </w:rPr>
        <w:t>Operational Planning</w:t>
      </w:r>
    </w:p>
    <w:p w14:paraId="6D40F344" w14:textId="77777777" w:rsidR="002033B2" w:rsidRPr="002033B2" w:rsidRDefault="002033B2" w:rsidP="002033B2">
      <w:pPr>
        <w:spacing w:line="360" w:lineRule="auto"/>
        <w:jc w:val="both"/>
        <w:rPr>
          <w:rFonts w:ascii="Arial" w:eastAsia="Aptos" w:hAnsi="Arial" w:cs="Arial"/>
          <w:kern w:val="0"/>
          <w:sz w:val="22"/>
          <w:szCs w:val="22"/>
        </w:rPr>
      </w:pPr>
      <w:r w:rsidRPr="002033B2">
        <w:rPr>
          <w:rFonts w:ascii="Arial" w:eastAsia="Aptos" w:hAnsi="Arial" w:cs="Arial"/>
          <w:kern w:val="0"/>
          <w:sz w:val="22"/>
          <w:szCs w:val="22"/>
        </w:rPr>
        <w:t>Smooth logistics are a critical component of event management. Accessibility considerations, seating configurations, and compliance with safety regulations are all part of venue coordination (Bowdin et al., 2011). Logistics management comprises transportation arrangements, signage, crowd control measures, and on-site equipment setup. Catering is another critical component that necessitates collaborations with LGBTQ+-owned food vendors to align with the event's principles.</w:t>
      </w:r>
    </w:p>
    <w:p w14:paraId="6FC156DC" w14:textId="77777777" w:rsidR="002033B2" w:rsidRPr="002033B2" w:rsidRDefault="002033B2" w:rsidP="002033B2">
      <w:pPr>
        <w:spacing w:line="360" w:lineRule="auto"/>
        <w:jc w:val="both"/>
        <w:rPr>
          <w:rFonts w:ascii="Arial" w:eastAsia="Aptos" w:hAnsi="Arial" w:cs="Arial"/>
          <w:b/>
          <w:bCs/>
          <w:kern w:val="0"/>
          <w:sz w:val="22"/>
          <w:szCs w:val="22"/>
        </w:rPr>
      </w:pPr>
      <w:r w:rsidRPr="002033B2">
        <w:rPr>
          <w:rFonts w:ascii="Segoe UI Emoji" w:eastAsia="Aptos" w:hAnsi="Segoe UI Emoji" w:cs="Segoe UI Emoji"/>
          <w:b/>
          <w:bCs/>
          <w:kern w:val="0"/>
          <w:sz w:val="22"/>
          <w:szCs w:val="22"/>
        </w:rPr>
        <w:t>📌</w:t>
      </w:r>
      <w:r w:rsidRPr="002033B2">
        <w:rPr>
          <w:rFonts w:ascii="Arial" w:eastAsia="Aptos" w:hAnsi="Arial" w:cs="Arial"/>
          <w:b/>
          <w:bCs/>
          <w:kern w:val="0"/>
          <w:sz w:val="22"/>
          <w:szCs w:val="22"/>
        </w:rPr>
        <w:t>Human Resources and Staffing</w:t>
      </w:r>
    </w:p>
    <w:p w14:paraId="672E2A22" w14:textId="77777777" w:rsidR="002033B2" w:rsidRPr="002033B2" w:rsidRDefault="002033B2" w:rsidP="002033B2">
      <w:pPr>
        <w:spacing w:line="360" w:lineRule="auto"/>
        <w:jc w:val="both"/>
        <w:rPr>
          <w:rFonts w:ascii="Arial" w:eastAsia="Aptos" w:hAnsi="Arial" w:cs="Arial"/>
          <w:kern w:val="0"/>
          <w:sz w:val="22"/>
          <w:szCs w:val="22"/>
        </w:rPr>
      </w:pPr>
      <w:r w:rsidRPr="002033B2">
        <w:rPr>
          <w:rFonts w:ascii="Arial" w:eastAsia="Aptos" w:hAnsi="Arial" w:cs="Arial"/>
          <w:kern w:val="0"/>
          <w:sz w:val="22"/>
          <w:szCs w:val="22"/>
        </w:rPr>
        <w:t>A team of event coordinators is responsible for the event's scheduling, venue setup, and efficient administration (Bowdin et al., 2011). Tech support teams are essential for managing live streaming, audiovisual installations, and virtual engagement tools, as the event is hybrid (Doran et al., 2024). Furthermore, security staff will guarantee attendees' safety by conducting emergency preparedness training and implementing population control measures (Nadda et al., 2020).</w:t>
      </w:r>
    </w:p>
    <w:p w14:paraId="71135010" w14:textId="77777777" w:rsidR="002033B2" w:rsidRPr="002033B2" w:rsidRDefault="002033B2" w:rsidP="002033B2">
      <w:pPr>
        <w:spacing w:line="360" w:lineRule="auto"/>
        <w:jc w:val="both"/>
        <w:rPr>
          <w:rFonts w:ascii="Arial" w:eastAsia="Aptos" w:hAnsi="Arial" w:cs="Arial"/>
          <w:kern w:val="0"/>
          <w:sz w:val="22"/>
          <w:szCs w:val="22"/>
        </w:rPr>
      </w:pPr>
      <w:r w:rsidRPr="002033B2">
        <w:rPr>
          <w:rFonts w:ascii="Arial" w:eastAsia="Aptos" w:hAnsi="Arial" w:cs="Arial"/>
          <w:kern w:val="0"/>
          <w:sz w:val="22"/>
          <w:szCs w:val="22"/>
        </w:rPr>
        <w:t>To provide a professional and seamless experience, a well-organised event necessitates the meticulous planning and effective coordination of these teams.</w:t>
      </w:r>
    </w:p>
    <w:p w14:paraId="0CF35D5E" w14:textId="77777777" w:rsidR="002033B2" w:rsidRPr="002033B2" w:rsidRDefault="002033B2" w:rsidP="002033B2">
      <w:pPr>
        <w:spacing w:line="360" w:lineRule="auto"/>
        <w:jc w:val="both"/>
        <w:rPr>
          <w:rFonts w:ascii="Arial" w:eastAsia="Aptos" w:hAnsi="Arial" w:cs="Arial"/>
          <w:kern w:val="0"/>
          <w:sz w:val="22"/>
          <w:szCs w:val="22"/>
        </w:rPr>
      </w:pPr>
    </w:p>
    <w:p w14:paraId="6F5193D2" w14:textId="77777777" w:rsidR="002033B2" w:rsidRPr="002033B2" w:rsidRDefault="002033B2" w:rsidP="002033B2">
      <w:pPr>
        <w:numPr>
          <w:ilvl w:val="0"/>
          <w:numId w:val="8"/>
        </w:numPr>
        <w:spacing w:line="360" w:lineRule="auto"/>
        <w:contextualSpacing/>
        <w:jc w:val="both"/>
        <w:rPr>
          <w:rFonts w:ascii="Arial" w:eastAsia="Aptos" w:hAnsi="Arial" w:cs="Arial"/>
          <w:b/>
          <w:bCs/>
          <w:kern w:val="0"/>
          <w:sz w:val="22"/>
          <w:szCs w:val="22"/>
          <w:u w:val="single"/>
        </w:rPr>
      </w:pPr>
      <w:r w:rsidRPr="002033B2">
        <w:rPr>
          <w:rFonts w:ascii="Arial" w:eastAsia="Aptos" w:hAnsi="Arial" w:cs="Arial"/>
          <w:noProof/>
          <w:kern w:val="0"/>
          <w:sz w:val="22"/>
          <w:szCs w:val="22"/>
        </w:rPr>
        <w:drawing>
          <wp:anchor distT="0" distB="0" distL="114300" distR="114300" simplePos="0" relativeHeight="251661312" behindDoc="0" locked="0" layoutInCell="1" allowOverlap="1" wp14:anchorId="1D45FD89" wp14:editId="211C448B">
            <wp:simplePos x="0" y="0"/>
            <wp:positionH relativeFrom="margin">
              <wp:posOffset>-838200</wp:posOffset>
            </wp:positionH>
            <wp:positionV relativeFrom="paragraph">
              <wp:posOffset>290830</wp:posOffset>
            </wp:positionV>
            <wp:extent cx="4074160" cy="2314575"/>
            <wp:effectExtent l="0" t="0" r="2540" b="9525"/>
            <wp:wrapSquare wrapText="bothSides"/>
            <wp:docPr id="985426164" name="Picture 1" descr="A screen shot of a table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5426164" name="Picture 1" descr="A screen shot of a tablet&#10;&#10;AI-generated content may be incorrect."/>
                    <pic:cNvPicPr/>
                  </pic:nvPicPr>
                  <pic:blipFill rotWithShape="1">
                    <a:blip r:embed="rId14" cstate="print">
                      <a:extLst>
                        <a:ext uri="{28A0092B-C50C-407E-A947-70E740481C1C}">
                          <a14:useLocalDpi xmlns:a14="http://schemas.microsoft.com/office/drawing/2010/main" val="0"/>
                        </a:ext>
                      </a:extLst>
                    </a:blip>
                    <a:srcRect l="7090" t="5917" r="5187" b="3106"/>
                    <a:stretch/>
                  </pic:blipFill>
                  <pic:spPr bwMode="auto">
                    <a:xfrm>
                      <a:off x="0" y="0"/>
                      <a:ext cx="4074160" cy="23145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2033B2">
        <w:rPr>
          <w:rFonts w:ascii="Arial" w:eastAsia="Aptos" w:hAnsi="Arial" w:cs="Arial"/>
          <w:b/>
          <w:bCs/>
          <w:kern w:val="0"/>
          <w:sz w:val="22"/>
          <w:szCs w:val="22"/>
          <w:u w:val="single"/>
        </w:rPr>
        <w:t xml:space="preserve">Marketing Strategy for the Event </w:t>
      </w:r>
    </w:p>
    <w:p w14:paraId="27A0D3BB" w14:textId="77777777" w:rsidR="002033B2" w:rsidRPr="002033B2" w:rsidRDefault="002033B2" w:rsidP="002033B2">
      <w:pPr>
        <w:spacing w:after="0" w:line="360" w:lineRule="auto"/>
        <w:ind w:left="360"/>
        <w:jc w:val="both"/>
        <w:rPr>
          <w:rFonts w:ascii="Arial" w:eastAsia="Aptos" w:hAnsi="Arial" w:cs="Arial"/>
          <w:kern w:val="0"/>
          <w:sz w:val="22"/>
          <w:szCs w:val="22"/>
        </w:rPr>
      </w:pPr>
      <w:r w:rsidRPr="002033B2">
        <w:rPr>
          <w:rFonts w:ascii="Arial" w:eastAsia="Aptos" w:hAnsi="Arial" w:cs="Arial"/>
          <w:kern w:val="0"/>
          <w:sz w:val="22"/>
          <w:szCs w:val="22"/>
        </w:rPr>
        <w:t>It is essential to have a clearly defined marketing strategy to attract attendees, secure sponsorships, and optimise the visibility of the Pride in Hospitality Leadership Summit. The event guarantees a targeted approach that reaches key industry professionals and stakeholders through traditional and digital outreach methods.</w:t>
      </w:r>
    </w:p>
    <w:p w14:paraId="5FE76AE6" w14:textId="77777777" w:rsidR="002033B2" w:rsidRPr="002033B2" w:rsidRDefault="002033B2" w:rsidP="002033B2">
      <w:pPr>
        <w:spacing w:line="360" w:lineRule="auto"/>
        <w:jc w:val="both"/>
        <w:rPr>
          <w:rFonts w:ascii="Arial" w:eastAsia="Aptos" w:hAnsi="Arial" w:cs="Arial"/>
          <w:b/>
          <w:bCs/>
          <w:kern w:val="0"/>
          <w:sz w:val="22"/>
          <w:szCs w:val="22"/>
        </w:rPr>
      </w:pPr>
    </w:p>
    <w:p w14:paraId="4BFCDBB6" w14:textId="77777777" w:rsidR="002033B2" w:rsidRPr="002033B2" w:rsidRDefault="002033B2" w:rsidP="002033B2">
      <w:pPr>
        <w:spacing w:line="360" w:lineRule="auto"/>
        <w:jc w:val="both"/>
        <w:rPr>
          <w:rFonts w:ascii="Arial" w:eastAsia="Aptos" w:hAnsi="Arial" w:cs="Arial"/>
          <w:b/>
          <w:bCs/>
          <w:kern w:val="0"/>
          <w:sz w:val="22"/>
          <w:szCs w:val="22"/>
        </w:rPr>
      </w:pPr>
      <w:r w:rsidRPr="002033B2">
        <w:rPr>
          <w:rFonts w:ascii="Arial" w:eastAsia="Aptos" w:hAnsi="Arial" w:cs="Arial"/>
          <w:b/>
          <w:bCs/>
          <w:kern w:val="0"/>
          <w:sz w:val="22"/>
          <w:szCs w:val="22"/>
        </w:rPr>
        <w:t>Promotional Strategies</w:t>
      </w:r>
    </w:p>
    <w:p w14:paraId="3E85AD02" w14:textId="77777777" w:rsidR="002033B2" w:rsidRPr="002033B2" w:rsidRDefault="002033B2" w:rsidP="002033B2">
      <w:pPr>
        <w:spacing w:line="360" w:lineRule="auto"/>
        <w:jc w:val="both"/>
        <w:rPr>
          <w:rFonts w:ascii="Arial" w:eastAsia="Aptos" w:hAnsi="Arial" w:cs="Arial"/>
          <w:kern w:val="0"/>
          <w:sz w:val="22"/>
          <w:szCs w:val="22"/>
        </w:rPr>
      </w:pPr>
      <w:r w:rsidRPr="002033B2">
        <w:rPr>
          <w:rFonts w:ascii="Segoe UI Emoji" w:eastAsia="Aptos" w:hAnsi="Segoe UI Emoji" w:cs="Segoe UI Emoji"/>
          <w:b/>
          <w:bCs/>
          <w:kern w:val="0"/>
          <w:sz w:val="22"/>
          <w:szCs w:val="22"/>
        </w:rPr>
        <w:lastRenderedPageBreak/>
        <w:t>📌</w:t>
      </w:r>
      <w:r w:rsidRPr="002033B2">
        <w:rPr>
          <w:rFonts w:ascii="Arial" w:eastAsia="Aptos" w:hAnsi="Arial" w:cs="Arial"/>
          <w:b/>
          <w:bCs/>
          <w:kern w:val="0"/>
          <w:sz w:val="22"/>
          <w:szCs w:val="22"/>
        </w:rPr>
        <w:t>Social Media Campaigns</w:t>
      </w:r>
      <w:r w:rsidRPr="002033B2">
        <w:rPr>
          <w:rFonts w:ascii="Arial" w:eastAsia="Aptos" w:hAnsi="Arial" w:cs="Arial"/>
          <w:kern w:val="0"/>
          <w:sz w:val="22"/>
          <w:szCs w:val="22"/>
        </w:rPr>
        <w:t>: The event will use targeted sponsored advertisements on LinkedIn, PinkNews, and Instagram, focusing on hospitality professionals, DEI advocates, and LGBTQ+ workplace allies (Yavuz and Enes, 2021). Before and during the event, engagement will be fostered through interactive Instagram stories, LinkedIn posts, and a personalised event hashtag.</w:t>
      </w:r>
    </w:p>
    <w:p w14:paraId="294B020A" w14:textId="77777777" w:rsidR="002033B2" w:rsidRPr="002033B2" w:rsidRDefault="002033B2" w:rsidP="002033B2">
      <w:pPr>
        <w:spacing w:line="360" w:lineRule="auto"/>
        <w:jc w:val="both"/>
        <w:rPr>
          <w:rFonts w:ascii="Arial" w:eastAsia="Aptos" w:hAnsi="Arial" w:cs="Arial"/>
          <w:kern w:val="0"/>
          <w:sz w:val="22"/>
          <w:szCs w:val="22"/>
        </w:rPr>
      </w:pPr>
      <w:r w:rsidRPr="002033B2">
        <w:rPr>
          <w:rFonts w:ascii="Segoe UI Emoji" w:eastAsia="Aptos" w:hAnsi="Segoe UI Emoji" w:cs="Segoe UI Emoji"/>
          <w:b/>
          <w:bCs/>
          <w:kern w:val="0"/>
          <w:sz w:val="22"/>
          <w:szCs w:val="22"/>
        </w:rPr>
        <w:t>📌</w:t>
      </w:r>
      <w:r w:rsidRPr="002033B2">
        <w:rPr>
          <w:rFonts w:ascii="Arial" w:eastAsia="Aptos" w:hAnsi="Arial" w:cs="Arial"/>
          <w:b/>
          <w:bCs/>
          <w:kern w:val="0"/>
          <w:sz w:val="22"/>
          <w:szCs w:val="22"/>
        </w:rPr>
        <w:t>Email Outreach</w:t>
      </w:r>
      <w:r w:rsidRPr="002033B2">
        <w:rPr>
          <w:rFonts w:ascii="Arial" w:eastAsia="Aptos" w:hAnsi="Arial" w:cs="Arial"/>
          <w:kern w:val="0"/>
          <w:sz w:val="22"/>
          <w:szCs w:val="22"/>
        </w:rPr>
        <w:t>: HR managers, DEI officers, and hospitality administrators will receive direct invitations to the event, guaranteeing that industry decision-makers are fully informed. Early bird registration discounts and exclusive speaker previews will form a segmented email campaign.</w:t>
      </w:r>
    </w:p>
    <w:p w14:paraId="3D9A0B15" w14:textId="77777777" w:rsidR="002033B2" w:rsidRPr="002033B2" w:rsidRDefault="002033B2" w:rsidP="002033B2">
      <w:pPr>
        <w:spacing w:line="360" w:lineRule="auto"/>
        <w:jc w:val="both"/>
        <w:rPr>
          <w:rFonts w:ascii="Arial" w:eastAsia="Aptos" w:hAnsi="Arial" w:cs="Arial"/>
          <w:kern w:val="0"/>
          <w:sz w:val="22"/>
          <w:szCs w:val="22"/>
        </w:rPr>
      </w:pPr>
      <w:r w:rsidRPr="002033B2">
        <w:rPr>
          <w:rFonts w:ascii="Segoe UI Emoji" w:eastAsia="Aptos" w:hAnsi="Segoe UI Emoji" w:cs="Segoe UI Emoji"/>
          <w:b/>
          <w:bCs/>
          <w:kern w:val="0"/>
          <w:sz w:val="22"/>
          <w:szCs w:val="22"/>
        </w:rPr>
        <w:t>📌</w:t>
      </w:r>
      <w:r w:rsidRPr="002033B2">
        <w:rPr>
          <w:rFonts w:ascii="Arial" w:eastAsia="Aptos" w:hAnsi="Arial" w:cs="Arial"/>
          <w:b/>
          <w:bCs/>
          <w:kern w:val="0"/>
          <w:sz w:val="22"/>
          <w:szCs w:val="22"/>
        </w:rPr>
        <w:t>Website and Ticketing</w:t>
      </w:r>
      <w:r w:rsidRPr="002033B2">
        <w:rPr>
          <w:rFonts w:ascii="Arial" w:eastAsia="Aptos" w:hAnsi="Arial" w:cs="Arial"/>
          <w:kern w:val="0"/>
          <w:sz w:val="22"/>
          <w:szCs w:val="22"/>
        </w:rPr>
        <w:t>: A centralised hub for hybrid attendees will be a dedicated event portal that provides access to live-streaming, event information, and registration systems.</w:t>
      </w:r>
    </w:p>
    <w:p w14:paraId="59A7E91D" w14:textId="77777777" w:rsidR="002033B2" w:rsidRPr="002033B2" w:rsidRDefault="002033B2" w:rsidP="002033B2">
      <w:pPr>
        <w:spacing w:line="360" w:lineRule="auto"/>
        <w:jc w:val="both"/>
        <w:rPr>
          <w:rFonts w:ascii="Arial" w:eastAsia="Aptos" w:hAnsi="Arial" w:cs="Arial"/>
          <w:b/>
          <w:bCs/>
          <w:kern w:val="0"/>
          <w:sz w:val="22"/>
          <w:szCs w:val="22"/>
        </w:rPr>
      </w:pPr>
      <w:r w:rsidRPr="002033B2">
        <w:rPr>
          <w:rFonts w:ascii="Arial" w:eastAsia="Aptos" w:hAnsi="Arial" w:cs="Arial"/>
          <w:b/>
          <w:bCs/>
          <w:kern w:val="0"/>
          <w:sz w:val="22"/>
          <w:szCs w:val="22"/>
        </w:rPr>
        <w:t>Sponsorship and Public Relations</w:t>
      </w:r>
    </w:p>
    <w:p w14:paraId="19A6D820" w14:textId="77777777" w:rsidR="002033B2" w:rsidRPr="002033B2" w:rsidRDefault="002033B2" w:rsidP="002033B2">
      <w:pPr>
        <w:spacing w:line="360" w:lineRule="auto"/>
        <w:jc w:val="both"/>
        <w:rPr>
          <w:rFonts w:ascii="Arial" w:eastAsia="Aptos" w:hAnsi="Arial" w:cs="Arial"/>
          <w:kern w:val="0"/>
          <w:sz w:val="22"/>
          <w:szCs w:val="22"/>
        </w:rPr>
      </w:pPr>
      <w:r w:rsidRPr="002033B2">
        <w:rPr>
          <w:rFonts w:ascii="Segoe UI Emoji" w:eastAsia="Aptos" w:hAnsi="Segoe UI Emoji" w:cs="Segoe UI Emoji"/>
          <w:b/>
          <w:bCs/>
          <w:kern w:val="0"/>
          <w:sz w:val="22"/>
          <w:szCs w:val="22"/>
        </w:rPr>
        <w:t>📌</w:t>
      </w:r>
      <w:r w:rsidRPr="002033B2">
        <w:rPr>
          <w:rFonts w:ascii="Arial" w:eastAsia="Aptos" w:hAnsi="Arial" w:cs="Arial"/>
          <w:b/>
          <w:bCs/>
          <w:kern w:val="0"/>
          <w:sz w:val="22"/>
          <w:szCs w:val="22"/>
        </w:rPr>
        <w:t>Corporate Partnerships</w:t>
      </w:r>
      <w:r w:rsidRPr="002033B2">
        <w:rPr>
          <w:rFonts w:ascii="Arial" w:eastAsia="Aptos" w:hAnsi="Arial" w:cs="Arial"/>
          <w:kern w:val="0"/>
          <w:sz w:val="22"/>
          <w:szCs w:val="22"/>
        </w:rPr>
        <w:t>: Marriott, Hilton, and AccorHotels will be significant sponsors. Their participation improves the event's credibility, funding, and industry recognition.</w:t>
      </w:r>
    </w:p>
    <w:p w14:paraId="30BE0E41" w14:textId="77777777" w:rsidR="002033B2" w:rsidRPr="002033B2" w:rsidRDefault="002033B2" w:rsidP="002033B2">
      <w:pPr>
        <w:spacing w:line="360" w:lineRule="auto"/>
        <w:jc w:val="both"/>
        <w:rPr>
          <w:rFonts w:ascii="Arial" w:eastAsia="Aptos" w:hAnsi="Arial" w:cs="Arial"/>
          <w:kern w:val="0"/>
          <w:sz w:val="22"/>
          <w:szCs w:val="22"/>
        </w:rPr>
      </w:pPr>
      <w:r w:rsidRPr="002033B2">
        <w:rPr>
          <w:rFonts w:ascii="Segoe UI Emoji" w:eastAsia="Aptos" w:hAnsi="Segoe UI Emoji" w:cs="Segoe UI Emoji"/>
          <w:b/>
          <w:bCs/>
          <w:kern w:val="0"/>
          <w:sz w:val="22"/>
          <w:szCs w:val="22"/>
        </w:rPr>
        <w:t>📌</w:t>
      </w:r>
      <w:r w:rsidRPr="002033B2">
        <w:rPr>
          <w:rFonts w:ascii="Arial" w:eastAsia="Aptos" w:hAnsi="Arial" w:cs="Arial"/>
          <w:b/>
          <w:bCs/>
          <w:kern w:val="0"/>
          <w:sz w:val="22"/>
          <w:szCs w:val="22"/>
        </w:rPr>
        <w:t>LGBTQ+ Media Collaborations</w:t>
      </w:r>
      <w:r w:rsidRPr="002033B2">
        <w:rPr>
          <w:rFonts w:ascii="Arial" w:eastAsia="Aptos" w:hAnsi="Arial" w:cs="Arial"/>
          <w:kern w:val="0"/>
          <w:sz w:val="22"/>
          <w:szCs w:val="22"/>
        </w:rPr>
        <w:t>: The event will be covered in hospitality-focused LGBTQ+ publications, such as Out and Equal Workplace Summit, broadening its community reach.</w:t>
      </w:r>
    </w:p>
    <w:p w14:paraId="0635AA29" w14:textId="77777777" w:rsidR="002033B2" w:rsidRPr="002033B2" w:rsidRDefault="002033B2" w:rsidP="002033B2">
      <w:pPr>
        <w:spacing w:line="360" w:lineRule="auto"/>
        <w:jc w:val="both"/>
        <w:rPr>
          <w:rFonts w:ascii="Arial" w:eastAsia="Aptos" w:hAnsi="Arial" w:cs="Arial"/>
          <w:b/>
          <w:bCs/>
          <w:kern w:val="0"/>
          <w:sz w:val="22"/>
          <w:szCs w:val="22"/>
        </w:rPr>
      </w:pPr>
    </w:p>
    <w:p w14:paraId="53CD9280" w14:textId="77777777" w:rsidR="002033B2" w:rsidRPr="002033B2" w:rsidRDefault="002033B2" w:rsidP="002033B2">
      <w:pPr>
        <w:spacing w:line="360" w:lineRule="auto"/>
        <w:jc w:val="both"/>
        <w:rPr>
          <w:rFonts w:ascii="Arial" w:eastAsia="Aptos" w:hAnsi="Arial" w:cs="Arial"/>
          <w:b/>
          <w:bCs/>
          <w:kern w:val="0"/>
          <w:sz w:val="22"/>
          <w:szCs w:val="22"/>
        </w:rPr>
      </w:pPr>
    </w:p>
    <w:p w14:paraId="107A2DC4" w14:textId="77777777" w:rsidR="002033B2" w:rsidRPr="002033B2" w:rsidRDefault="002033B2" w:rsidP="002033B2">
      <w:pPr>
        <w:spacing w:line="360" w:lineRule="auto"/>
        <w:jc w:val="both"/>
        <w:rPr>
          <w:rFonts w:ascii="Arial" w:eastAsia="Aptos" w:hAnsi="Arial" w:cs="Arial"/>
          <w:b/>
          <w:bCs/>
          <w:kern w:val="0"/>
          <w:sz w:val="22"/>
          <w:szCs w:val="22"/>
        </w:rPr>
      </w:pPr>
      <w:r w:rsidRPr="002033B2">
        <w:rPr>
          <w:rFonts w:ascii="Arial" w:eastAsia="Aptos" w:hAnsi="Arial" w:cs="Arial"/>
          <w:b/>
          <w:bCs/>
          <w:kern w:val="0"/>
          <w:sz w:val="22"/>
          <w:szCs w:val="22"/>
        </w:rPr>
        <w:t>Merchandising and Engagement</w:t>
      </w:r>
    </w:p>
    <w:p w14:paraId="3A3A75F2" w14:textId="77777777" w:rsidR="002033B2" w:rsidRPr="002033B2" w:rsidRDefault="002033B2" w:rsidP="002033B2">
      <w:pPr>
        <w:spacing w:line="360" w:lineRule="auto"/>
        <w:jc w:val="both"/>
        <w:rPr>
          <w:rFonts w:ascii="Arial" w:eastAsia="Aptos" w:hAnsi="Arial" w:cs="Arial"/>
          <w:kern w:val="0"/>
          <w:sz w:val="22"/>
          <w:szCs w:val="22"/>
        </w:rPr>
      </w:pPr>
      <w:r w:rsidRPr="002033B2">
        <w:rPr>
          <w:rFonts w:ascii="Segoe UI Emoji" w:eastAsia="Aptos" w:hAnsi="Segoe UI Emoji" w:cs="Segoe UI Emoji"/>
          <w:b/>
          <w:bCs/>
          <w:kern w:val="0"/>
          <w:sz w:val="22"/>
          <w:szCs w:val="22"/>
        </w:rPr>
        <w:t>📌</w:t>
      </w:r>
      <w:r w:rsidRPr="002033B2">
        <w:rPr>
          <w:rFonts w:ascii="Arial" w:eastAsia="Aptos" w:hAnsi="Arial" w:cs="Arial"/>
          <w:b/>
          <w:bCs/>
          <w:kern w:val="0"/>
          <w:sz w:val="22"/>
          <w:szCs w:val="22"/>
        </w:rPr>
        <w:t>Branded Merchandise</w:t>
      </w:r>
      <w:r w:rsidRPr="002033B2">
        <w:rPr>
          <w:rFonts w:ascii="Arial" w:eastAsia="Aptos" w:hAnsi="Arial" w:cs="Arial"/>
          <w:kern w:val="0"/>
          <w:sz w:val="22"/>
          <w:szCs w:val="22"/>
        </w:rPr>
        <w:t>: The sale of event-branded notebooks, paper bags, and T-shirts will increase post-event visibility and generate additional revenue.</w:t>
      </w:r>
    </w:p>
    <w:p w14:paraId="6FCB922A" w14:textId="77777777" w:rsidR="002033B2" w:rsidRPr="002033B2" w:rsidRDefault="002033B2" w:rsidP="002033B2">
      <w:pPr>
        <w:spacing w:line="360" w:lineRule="auto"/>
        <w:jc w:val="both"/>
        <w:rPr>
          <w:rFonts w:ascii="Arial" w:eastAsia="Aptos" w:hAnsi="Arial" w:cs="Arial"/>
          <w:kern w:val="0"/>
          <w:sz w:val="22"/>
          <w:szCs w:val="22"/>
        </w:rPr>
      </w:pPr>
      <w:r w:rsidRPr="002033B2">
        <w:rPr>
          <w:rFonts w:ascii="Segoe UI Emoji" w:eastAsia="Aptos" w:hAnsi="Segoe UI Emoji" w:cs="Segoe UI Emoji"/>
          <w:b/>
          <w:bCs/>
          <w:kern w:val="0"/>
          <w:sz w:val="22"/>
          <w:szCs w:val="22"/>
        </w:rPr>
        <w:t>📌</w:t>
      </w:r>
      <w:r w:rsidRPr="002033B2">
        <w:rPr>
          <w:rFonts w:ascii="Arial" w:eastAsia="Aptos" w:hAnsi="Arial" w:cs="Arial"/>
          <w:b/>
          <w:bCs/>
          <w:kern w:val="0"/>
          <w:sz w:val="22"/>
          <w:szCs w:val="22"/>
        </w:rPr>
        <w:t>Interactive Engagement</w:t>
      </w:r>
      <w:r w:rsidRPr="002033B2">
        <w:rPr>
          <w:rFonts w:ascii="Arial" w:eastAsia="Aptos" w:hAnsi="Arial" w:cs="Arial"/>
          <w:kern w:val="0"/>
          <w:sz w:val="22"/>
          <w:szCs w:val="22"/>
        </w:rPr>
        <w:t>: Attendees will be encouraged to participate in LinkedIn discussion forums and share their event experiences on social media using a custom event hashtag.</w:t>
      </w:r>
    </w:p>
    <w:p w14:paraId="6FB33982" w14:textId="77777777" w:rsidR="002033B2" w:rsidRPr="002033B2" w:rsidRDefault="002033B2" w:rsidP="002033B2">
      <w:pPr>
        <w:spacing w:line="360" w:lineRule="auto"/>
        <w:jc w:val="both"/>
        <w:rPr>
          <w:rFonts w:ascii="Arial" w:eastAsia="Aptos" w:hAnsi="Arial" w:cs="Arial"/>
          <w:b/>
          <w:bCs/>
          <w:kern w:val="0"/>
          <w:sz w:val="22"/>
          <w:szCs w:val="22"/>
        </w:rPr>
      </w:pPr>
      <w:r w:rsidRPr="002033B2">
        <w:rPr>
          <w:rFonts w:ascii="Arial" w:eastAsia="Aptos" w:hAnsi="Arial" w:cs="Arial"/>
          <w:b/>
          <w:bCs/>
          <w:kern w:val="0"/>
          <w:sz w:val="22"/>
          <w:szCs w:val="22"/>
        </w:rPr>
        <w:t>Expected Impact and Sustainability Efforts</w:t>
      </w:r>
    </w:p>
    <w:p w14:paraId="49B231ED" w14:textId="77777777" w:rsidR="002033B2" w:rsidRPr="002033B2" w:rsidRDefault="002033B2" w:rsidP="002033B2">
      <w:pPr>
        <w:spacing w:line="360" w:lineRule="auto"/>
        <w:jc w:val="both"/>
        <w:rPr>
          <w:rFonts w:ascii="Arial" w:eastAsia="Aptos" w:hAnsi="Arial" w:cs="Arial"/>
          <w:kern w:val="0"/>
          <w:sz w:val="22"/>
          <w:szCs w:val="22"/>
        </w:rPr>
      </w:pPr>
      <w:r w:rsidRPr="002033B2">
        <w:rPr>
          <w:rFonts w:ascii="Arial" w:eastAsia="Aptos" w:hAnsi="Arial" w:cs="Arial"/>
          <w:kern w:val="0"/>
          <w:sz w:val="22"/>
          <w:szCs w:val="22"/>
        </w:rPr>
        <w:t>Live-streaming technology, real-time Q&amp;As, and digital networking features will be employed to promote global participation by implementing a hybrid model. QR-based programs, paperless ticketing, and a completely digital registration process are among the sustainability initiatives implemented to reduce the environmental impact and promote eco-friendly event management (Doran et al., 2024).</w:t>
      </w:r>
    </w:p>
    <w:p w14:paraId="54323B1F" w14:textId="77777777" w:rsidR="002033B2" w:rsidRPr="002033B2" w:rsidRDefault="002033B2" w:rsidP="002033B2">
      <w:pPr>
        <w:spacing w:line="360" w:lineRule="auto"/>
        <w:jc w:val="both"/>
        <w:rPr>
          <w:rFonts w:ascii="Arial" w:eastAsia="Aptos" w:hAnsi="Arial" w:cs="Arial"/>
          <w:kern w:val="0"/>
          <w:sz w:val="22"/>
          <w:szCs w:val="22"/>
        </w:rPr>
      </w:pPr>
    </w:p>
    <w:p w14:paraId="2612EEED" w14:textId="77777777" w:rsidR="002033B2" w:rsidRPr="002033B2" w:rsidRDefault="002033B2" w:rsidP="002033B2">
      <w:pPr>
        <w:numPr>
          <w:ilvl w:val="0"/>
          <w:numId w:val="8"/>
        </w:numPr>
        <w:spacing w:line="360" w:lineRule="auto"/>
        <w:contextualSpacing/>
        <w:jc w:val="both"/>
        <w:rPr>
          <w:rFonts w:ascii="Arial" w:eastAsia="Aptos" w:hAnsi="Arial" w:cs="Arial"/>
          <w:b/>
          <w:bCs/>
          <w:kern w:val="0"/>
          <w:sz w:val="22"/>
          <w:szCs w:val="22"/>
          <w:u w:val="single"/>
        </w:rPr>
      </w:pPr>
      <w:r w:rsidRPr="002033B2">
        <w:rPr>
          <w:rFonts w:ascii="Arial" w:eastAsia="Aptos" w:hAnsi="Arial" w:cs="Arial"/>
          <w:b/>
          <w:bCs/>
          <w:kern w:val="0"/>
          <w:sz w:val="22"/>
          <w:szCs w:val="22"/>
          <w:u w:val="single"/>
        </w:rPr>
        <w:t>Contingency Plan and Risk Management</w:t>
      </w:r>
    </w:p>
    <w:p w14:paraId="3F64CBB2" w14:textId="77777777" w:rsidR="002033B2" w:rsidRPr="002033B2" w:rsidRDefault="002033B2" w:rsidP="002033B2">
      <w:pPr>
        <w:spacing w:line="360" w:lineRule="auto"/>
        <w:jc w:val="both"/>
        <w:rPr>
          <w:rFonts w:ascii="Arial" w:eastAsia="Aptos" w:hAnsi="Arial" w:cs="Arial"/>
          <w:kern w:val="0"/>
          <w:sz w:val="22"/>
          <w:szCs w:val="22"/>
        </w:rPr>
      </w:pPr>
      <w:r w:rsidRPr="002033B2">
        <w:rPr>
          <w:rFonts w:ascii="Arial" w:eastAsia="Aptos" w:hAnsi="Arial" w:cs="Arial"/>
          <w:kern w:val="0"/>
          <w:sz w:val="22"/>
          <w:szCs w:val="22"/>
        </w:rPr>
        <w:t>Risk management is indispensable for the Pride in Hospitality Leadership Summit to be conducted efficiently. A comprehensive contingency plan has been implemented to mitigate security risks, venue disruptions, shortages of staff, technical failures, and health concerns (Salama, 2021).</w:t>
      </w:r>
    </w:p>
    <w:p w14:paraId="18E73E17" w14:textId="77777777" w:rsidR="002033B2" w:rsidRPr="002033B2" w:rsidRDefault="002033B2" w:rsidP="002033B2">
      <w:pPr>
        <w:spacing w:line="360" w:lineRule="auto"/>
        <w:jc w:val="both"/>
        <w:rPr>
          <w:rFonts w:ascii="Arial" w:eastAsia="Aptos" w:hAnsi="Arial" w:cs="Arial"/>
          <w:b/>
          <w:bCs/>
          <w:kern w:val="0"/>
          <w:sz w:val="22"/>
          <w:szCs w:val="22"/>
        </w:rPr>
      </w:pPr>
      <w:r w:rsidRPr="002033B2">
        <w:rPr>
          <w:rFonts w:ascii="Arial" w:eastAsia="Aptos" w:hAnsi="Arial" w:cs="Arial"/>
          <w:b/>
          <w:bCs/>
          <w:kern w:val="0"/>
          <w:sz w:val="22"/>
          <w:szCs w:val="22"/>
        </w:rPr>
        <w:t>Key Risk Factors and Mitigation Strategies</w:t>
      </w:r>
    </w:p>
    <w:p w14:paraId="7A45A456" w14:textId="77777777" w:rsidR="002033B2" w:rsidRPr="002033B2" w:rsidRDefault="002033B2" w:rsidP="002033B2">
      <w:pPr>
        <w:spacing w:line="360" w:lineRule="auto"/>
        <w:jc w:val="both"/>
        <w:rPr>
          <w:rFonts w:ascii="Arial" w:eastAsia="Aptos" w:hAnsi="Arial" w:cs="Arial"/>
          <w:kern w:val="0"/>
          <w:sz w:val="22"/>
          <w:szCs w:val="22"/>
        </w:rPr>
      </w:pPr>
      <w:r w:rsidRPr="002033B2">
        <w:rPr>
          <w:rFonts w:ascii="Segoe UI Emoji" w:eastAsia="Aptos" w:hAnsi="Segoe UI Emoji" w:cs="Segoe UI Emoji"/>
          <w:b/>
          <w:bCs/>
          <w:kern w:val="0"/>
          <w:sz w:val="22"/>
          <w:szCs w:val="22"/>
        </w:rPr>
        <w:t>📌</w:t>
      </w:r>
      <w:r w:rsidRPr="002033B2">
        <w:rPr>
          <w:rFonts w:ascii="Arial" w:eastAsia="Aptos" w:hAnsi="Arial" w:cs="Arial"/>
          <w:b/>
          <w:bCs/>
          <w:kern w:val="0"/>
          <w:sz w:val="22"/>
          <w:szCs w:val="22"/>
        </w:rPr>
        <w:t>Staffing Shortages</w:t>
      </w:r>
    </w:p>
    <w:p w14:paraId="5CBE68FB" w14:textId="77777777" w:rsidR="002033B2" w:rsidRPr="002033B2" w:rsidRDefault="002033B2" w:rsidP="002033B2">
      <w:pPr>
        <w:spacing w:line="360" w:lineRule="auto"/>
        <w:jc w:val="both"/>
        <w:rPr>
          <w:rFonts w:ascii="Arial" w:eastAsia="Aptos" w:hAnsi="Arial" w:cs="Arial"/>
          <w:kern w:val="0"/>
          <w:sz w:val="22"/>
          <w:szCs w:val="22"/>
        </w:rPr>
      </w:pPr>
      <w:r w:rsidRPr="002033B2">
        <w:rPr>
          <w:rFonts w:ascii="Arial" w:eastAsia="Aptos" w:hAnsi="Arial" w:cs="Arial"/>
          <w:kern w:val="0"/>
          <w:sz w:val="22"/>
          <w:szCs w:val="22"/>
        </w:rPr>
        <w:t>Unexpected staff absences may disrupt operations. Last-minute replacements will be guaranteed through agreements with on-call staffing agencies and a pool of trained volunteers (Lockstone-Binney et al., 2020).</w:t>
      </w:r>
    </w:p>
    <w:p w14:paraId="0FCE5B33" w14:textId="77777777" w:rsidR="002033B2" w:rsidRPr="002033B2" w:rsidRDefault="002033B2" w:rsidP="002033B2">
      <w:pPr>
        <w:spacing w:line="360" w:lineRule="auto"/>
        <w:jc w:val="both"/>
        <w:rPr>
          <w:rFonts w:ascii="Arial" w:eastAsia="Aptos" w:hAnsi="Arial" w:cs="Arial"/>
          <w:kern w:val="0"/>
          <w:sz w:val="22"/>
          <w:szCs w:val="22"/>
        </w:rPr>
      </w:pPr>
      <w:r w:rsidRPr="002033B2">
        <w:rPr>
          <w:rFonts w:ascii="Segoe UI Emoji" w:eastAsia="Aptos" w:hAnsi="Segoe UI Emoji" w:cs="Segoe UI Emoji"/>
          <w:b/>
          <w:bCs/>
          <w:kern w:val="0"/>
          <w:sz w:val="22"/>
          <w:szCs w:val="22"/>
        </w:rPr>
        <w:t>📌</w:t>
      </w:r>
      <w:r w:rsidRPr="002033B2">
        <w:rPr>
          <w:rFonts w:ascii="Arial" w:eastAsia="Aptos" w:hAnsi="Arial" w:cs="Arial"/>
          <w:b/>
          <w:bCs/>
          <w:kern w:val="0"/>
          <w:sz w:val="22"/>
          <w:szCs w:val="22"/>
        </w:rPr>
        <w:t>Technical Failures</w:t>
      </w:r>
    </w:p>
    <w:p w14:paraId="7A8D6A39" w14:textId="77777777" w:rsidR="002033B2" w:rsidRPr="002033B2" w:rsidRDefault="002033B2" w:rsidP="002033B2">
      <w:pPr>
        <w:spacing w:line="360" w:lineRule="auto"/>
        <w:jc w:val="both"/>
        <w:rPr>
          <w:rFonts w:ascii="Arial" w:eastAsia="Aptos" w:hAnsi="Arial" w:cs="Arial"/>
          <w:kern w:val="0"/>
          <w:sz w:val="22"/>
          <w:szCs w:val="22"/>
        </w:rPr>
      </w:pPr>
      <w:r w:rsidRPr="002033B2">
        <w:rPr>
          <w:rFonts w:ascii="Arial" w:eastAsia="Aptos" w:hAnsi="Arial" w:cs="Arial"/>
          <w:kern w:val="0"/>
          <w:sz w:val="22"/>
          <w:szCs w:val="22"/>
        </w:rPr>
        <w:t>Stable audiovisual performance and live broadcasting are essential for a hybrid event. Backup internet providers, alternative power sources, and pre-event equipment testing will mitigate disruptions (Doran et al., 2024).</w:t>
      </w:r>
    </w:p>
    <w:p w14:paraId="1E30FD7A" w14:textId="77777777" w:rsidR="002033B2" w:rsidRPr="002033B2" w:rsidRDefault="002033B2" w:rsidP="002033B2">
      <w:pPr>
        <w:spacing w:line="360" w:lineRule="auto"/>
        <w:jc w:val="both"/>
        <w:rPr>
          <w:rFonts w:ascii="Arial" w:eastAsia="Aptos" w:hAnsi="Arial" w:cs="Arial"/>
          <w:kern w:val="0"/>
          <w:sz w:val="22"/>
          <w:szCs w:val="22"/>
        </w:rPr>
      </w:pPr>
    </w:p>
    <w:p w14:paraId="5878F308" w14:textId="77777777" w:rsidR="002033B2" w:rsidRPr="002033B2" w:rsidRDefault="002033B2" w:rsidP="002033B2">
      <w:pPr>
        <w:spacing w:line="360" w:lineRule="auto"/>
        <w:jc w:val="both"/>
        <w:rPr>
          <w:rFonts w:ascii="Arial" w:eastAsia="Aptos" w:hAnsi="Arial" w:cs="Arial"/>
          <w:kern w:val="0"/>
          <w:sz w:val="22"/>
          <w:szCs w:val="22"/>
        </w:rPr>
      </w:pPr>
    </w:p>
    <w:p w14:paraId="33105F36" w14:textId="77777777" w:rsidR="002033B2" w:rsidRPr="002033B2" w:rsidRDefault="002033B2" w:rsidP="002033B2">
      <w:pPr>
        <w:spacing w:line="360" w:lineRule="auto"/>
        <w:jc w:val="both"/>
        <w:rPr>
          <w:rFonts w:ascii="Arial" w:eastAsia="Aptos" w:hAnsi="Arial" w:cs="Arial"/>
          <w:kern w:val="0"/>
          <w:sz w:val="22"/>
          <w:szCs w:val="22"/>
        </w:rPr>
      </w:pPr>
      <w:r w:rsidRPr="002033B2">
        <w:rPr>
          <w:rFonts w:ascii="Segoe UI Emoji" w:eastAsia="Aptos" w:hAnsi="Segoe UI Emoji" w:cs="Segoe UI Emoji"/>
          <w:b/>
          <w:bCs/>
          <w:kern w:val="0"/>
          <w:sz w:val="22"/>
          <w:szCs w:val="22"/>
        </w:rPr>
        <w:t>📌</w:t>
      </w:r>
      <w:r w:rsidRPr="002033B2">
        <w:rPr>
          <w:rFonts w:ascii="Arial" w:eastAsia="Aptos" w:hAnsi="Arial" w:cs="Arial"/>
          <w:b/>
          <w:bCs/>
          <w:kern w:val="0"/>
          <w:sz w:val="22"/>
          <w:szCs w:val="22"/>
        </w:rPr>
        <w:t>Venue Disruptions</w:t>
      </w:r>
    </w:p>
    <w:p w14:paraId="16216446" w14:textId="77777777" w:rsidR="002033B2" w:rsidRPr="002033B2" w:rsidRDefault="002033B2" w:rsidP="002033B2">
      <w:pPr>
        <w:spacing w:line="360" w:lineRule="auto"/>
        <w:jc w:val="both"/>
        <w:rPr>
          <w:rFonts w:ascii="Arial" w:eastAsia="Aptos" w:hAnsi="Arial" w:cs="Arial"/>
          <w:kern w:val="0"/>
          <w:sz w:val="22"/>
          <w:szCs w:val="22"/>
        </w:rPr>
      </w:pPr>
      <w:r w:rsidRPr="002033B2">
        <w:rPr>
          <w:rFonts w:ascii="Arial" w:eastAsia="Aptos" w:hAnsi="Arial" w:cs="Arial"/>
          <w:kern w:val="0"/>
          <w:sz w:val="22"/>
          <w:szCs w:val="22"/>
        </w:rPr>
        <w:t>Hotel Pulitzer Amsterdam has been designated as a secondary venue in the event of venue unavailability, in order to prevent cancellations and guarantee continuity.</w:t>
      </w:r>
    </w:p>
    <w:p w14:paraId="1A109A1D" w14:textId="77777777" w:rsidR="002033B2" w:rsidRPr="002033B2" w:rsidRDefault="002033B2" w:rsidP="002033B2">
      <w:pPr>
        <w:spacing w:line="360" w:lineRule="auto"/>
        <w:jc w:val="both"/>
        <w:rPr>
          <w:rFonts w:ascii="Arial" w:eastAsia="Aptos" w:hAnsi="Arial" w:cs="Arial"/>
          <w:kern w:val="0"/>
          <w:sz w:val="22"/>
          <w:szCs w:val="22"/>
        </w:rPr>
      </w:pPr>
      <w:r w:rsidRPr="002033B2">
        <w:rPr>
          <w:rFonts w:ascii="Segoe UI Emoji" w:eastAsia="Aptos" w:hAnsi="Segoe UI Emoji" w:cs="Segoe UI Emoji"/>
          <w:b/>
          <w:bCs/>
          <w:kern w:val="0"/>
          <w:sz w:val="22"/>
          <w:szCs w:val="22"/>
        </w:rPr>
        <w:t>📌</w:t>
      </w:r>
      <w:r w:rsidRPr="002033B2">
        <w:rPr>
          <w:rFonts w:ascii="Arial" w:eastAsia="Aptos" w:hAnsi="Arial" w:cs="Arial"/>
          <w:b/>
          <w:bCs/>
          <w:kern w:val="0"/>
          <w:sz w:val="22"/>
          <w:szCs w:val="22"/>
        </w:rPr>
        <w:t>Security Threats</w:t>
      </w:r>
    </w:p>
    <w:p w14:paraId="09F5055C" w14:textId="77777777" w:rsidR="002033B2" w:rsidRPr="002033B2" w:rsidRDefault="002033B2" w:rsidP="002033B2">
      <w:pPr>
        <w:spacing w:line="360" w:lineRule="auto"/>
        <w:jc w:val="both"/>
        <w:rPr>
          <w:rFonts w:ascii="Arial" w:eastAsia="Aptos" w:hAnsi="Arial" w:cs="Arial"/>
          <w:kern w:val="0"/>
          <w:sz w:val="22"/>
          <w:szCs w:val="22"/>
        </w:rPr>
      </w:pPr>
      <w:r w:rsidRPr="002033B2">
        <w:rPr>
          <w:rFonts w:ascii="Arial" w:eastAsia="Aptos" w:hAnsi="Arial" w:cs="Arial"/>
          <w:kern w:val="0"/>
          <w:sz w:val="22"/>
          <w:szCs w:val="22"/>
        </w:rPr>
        <w:t>Large-scale events may result in security violations or protests. Crowd control, emergency response, and risk assessment will be overseen by security personnel who have been trained and will work in conjunction with local law enforcement (Moyle et al., 2014).</w:t>
      </w:r>
    </w:p>
    <w:p w14:paraId="17DB3E17" w14:textId="77777777" w:rsidR="002033B2" w:rsidRPr="002033B2" w:rsidRDefault="002033B2" w:rsidP="002033B2">
      <w:pPr>
        <w:spacing w:line="360" w:lineRule="auto"/>
        <w:jc w:val="both"/>
        <w:rPr>
          <w:rFonts w:ascii="Arial" w:eastAsia="Aptos" w:hAnsi="Arial" w:cs="Arial"/>
          <w:kern w:val="0"/>
          <w:sz w:val="22"/>
          <w:szCs w:val="22"/>
        </w:rPr>
      </w:pPr>
      <w:r w:rsidRPr="002033B2">
        <w:rPr>
          <w:rFonts w:ascii="Segoe UI Emoji" w:eastAsia="Aptos" w:hAnsi="Segoe UI Emoji" w:cs="Segoe UI Emoji"/>
          <w:b/>
          <w:bCs/>
          <w:kern w:val="0"/>
          <w:sz w:val="22"/>
          <w:szCs w:val="22"/>
        </w:rPr>
        <w:t>📌</w:t>
      </w:r>
      <w:r w:rsidRPr="002033B2">
        <w:rPr>
          <w:rFonts w:ascii="Arial" w:eastAsia="Aptos" w:hAnsi="Arial" w:cs="Arial"/>
          <w:b/>
          <w:bCs/>
          <w:kern w:val="0"/>
          <w:sz w:val="22"/>
          <w:szCs w:val="22"/>
        </w:rPr>
        <w:t>Health and Safety Risks</w:t>
      </w:r>
    </w:p>
    <w:p w14:paraId="50E9BD83" w14:textId="77777777" w:rsidR="002033B2" w:rsidRPr="002033B2" w:rsidRDefault="002033B2" w:rsidP="002033B2">
      <w:pPr>
        <w:spacing w:line="360" w:lineRule="auto"/>
        <w:jc w:val="both"/>
        <w:rPr>
          <w:rFonts w:ascii="Arial" w:eastAsia="Aptos" w:hAnsi="Arial" w:cs="Arial"/>
          <w:kern w:val="0"/>
          <w:sz w:val="22"/>
          <w:szCs w:val="22"/>
        </w:rPr>
      </w:pPr>
      <w:r w:rsidRPr="002033B2">
        <w:rPr>
          <w:rFonts w:ascii="Arial" w:eastAsia="Aptos" w:hAnsi="Arial" w:cs="Arial"/>
          <w:kern w:val="0"/>
          <w:sz w:val="22"/>
          <w:szCs w:val="22"/>
        </w:rPr>
        <w:t>According to Filippo et al. (2021), protocols for COVID-19 will encompass a medical response team, contactless check-ins, and sanitisation stations.</w:t>
      </w:r>
    </w:p>
    <w:p w14:paraId="32183D88" w14:textId="77777777" w:rsidR="002033B2" w:rsidRPr="002033B2" w:rsidRDefault="002033B2" w:rsidP="002033B2">
      <w:pPr>
        <w:spacing w:line="360" w:lineRule="auto"/>
        <w:jc w:val="both"/>
        <w:rPr>
          <w:rFonts w:ascii="Arial" w:eastAsia="Aptos" w:hAnsi="Arial" w:cs="Arial"/>
          <w:kern w:val="0"/>
          <w:sz w:val="22"/>
          <w:szCs w:val="22"/>
        </w:rPr>
      </w:pPr>
      <w:r w:rsidRPr="002033B2">
        <w:rPr>
          <w:rFonts w:ascii="Arial" w:eastAsia="Aptos" w:hAnsi="Arial" w:cs="Arial"/>
          <w:kern w:val="0"/>
          <w:sz w:val="22"/>
          <w:szCs w:val="22"/>
        </w:rPr>
        <w:t>In addition to conforming to the Equal Treatment Act 1994, the event adheres to GDPR regulations, fire safety standards, and disability access laws. A crisis communication plan will offer real-time updates through on-site staff, digital notifications, and SMS alerts.</w:t>
      </w:r>
    </w:p>
    <w:p w14:paraId="66FD564E" w14:textId="77777777" w:rsidR="002033B2" w:rsidRPr="002033B2" w:rsidRDefault="002033B2" w:rsidP="002033B2">
      <w:pPr>
        <w:spacing w:line="360" w:lineRule="auto"/>
        <w:jc w:val="both"/>
        <w:rPr>
          <w:rFonts w:ascii="Arial" w:eastAsia="Aptos" w:hAnsi="Arial" w:cs="Arial"/>
          <w:kern w:val="0"/>
          <w:sz w:val="22"/>
          <w:szCs w:val="22"/>
        </w:rPr>
      </w:pPr>
      <w:r w:rsidRPr="002033B2">
        <w:rPr>
          <w:rFonts w:ascii="Arial" w:eastAsia="Aptos" w:hAnsi="Arial" w:cs="Arial"/>
          <w:kern w:val="0"/>
          <w:sz w:val="22"/>
          <w:szCs w:val="22"/>
        </w:rPr>
        <w:lastRenderedPageBreak/>
        <w:t>The summit guarantees a secure, inclusive, and well-organised experience for all participants by proactively mitigating risks.</w:t>
      </w:r>
    </w:p>
    <w:p w14:paraId="1FE4EE9E" w14:textId="77777777" w:rsidR="002033B2" w:rsidRPr="002033B2" w:rsidRDefault="002033B2" w:rsidP="002033B2">
      <w:pPr>
        <w:spacing w:line="360" w:lineRule="auto"/>
        <w:jc w:val="both"/>
        <w:rPr>
          <w:rFonts w:ascii="Arial" w:eastAsia="Aptos" w:hAnsi="Arial" w:cs="Arial"/>
          <w:kern w:val="0"/>
          <w:sz w:val="22"/>
          <w:szCs w:val="22"/>
        </w:rPr>
      </w:pPr>
    </w:p>
    <w:p w14:paraId="2CA2D5AD" w14:textId="77777777" w:rsidR="002033B2" w:rsidRPr="002033B2" w:rsidRDefault="002033B2" w:rsidP="002033B2">
      <w:pPr>
        <w:spacing w:line="360" w:lineRule="auto"/>
        <w:jc w:val="both"/>
        <w:rPr>
          <w:rFonts w:ascii="Arial" w:eastAsia="Aptos" w:hAnsi="Arial" w:cs="Arial"/>
          <w:b/>
          <w:bCs/>
          <w:kern w:val="0"/>
          <w:sz w:val="22"/>
          <w:szCs w:val="22"/>
        </w:rPr>
      </w:pPr>
      <w:r w:rsidRPr="002033B2">
        <w:rPr>
          <w:rFonts w:ascii="Arial" w:eastAsia="Aptos" w:hAnsi="Arial" w:cs="Arial"/>
          <w:b/>
          <w:bCs/>
          <w:noProof/>
          <w:kern w:val="0"/>
          <w:sz w:val="22"/>
          <w:szCs w:val="22"/>
        </w:rPr>
        <w:drawing>
          <wp:inline distT="0" distB="0" distL="0" distR="0" wp14:anchorId="547E3ED1" wp14:editId="0A3CCC38">
            <wp:extent cx="5921909" cy="981075"/>
            <wp:effectExtent l="0" t="0" r="3175" b="0"/>
            <wp:docPr id="772014817" name="Picture 1" descr="A blue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2014817" name="Picture 1" descr="A blue text on a white background&#10;&#10;AI-generated content may be incorrect."/>
                    <pic:cNvPicPr/>
                  </pic:nvPicPr>
                  <pic:blipFill>
                    <a:blip r:embed="rId15"/>
                    <a:stretch>
                      <a:fillRect/>
                    </a:stretch>
                  </pic:blipFill>
                  <pic:spPr>
                    <a:xfrm>
                      <a:off x="0" y="0"/>
                      <a:ext cx="5942676" cy="984515"/>
                    </a:xfrm>
                    <a:prstGeom prst="rect">
                      <a:avLst/>
                    </a:prstGeom>
                  </pic:spPr>
                </pic:pic>
              </a:graphicData>
            </a:graphic>
          </wp:inline>
        </w:drawing>
      </w:r>
    </w:p>
    <w:p w14:paraId="7DEC231D" w14:textId="77777777" w:rsidR="002033B2" w:rsidRPr="002033B2" w:rsidRDefault="002033B2" w:rsidP="002033B2">
      <w:pPr>
        <w:numPr>
          <w:ilvl w:val="0"/>
          <w:numId w:val="8"/>
        </w:numPr>
        <w:spacing w:line="360" w:lineRule="auto"/>
        <w:contextualSpacing/>
        <w:jc w:val="both"/>
        <w:rPr>
          <w:rFonts w:ascii="Arial" w:eastAsia="Aptos" w:hAnsi="Arial" w:cs="Arial"/>
          <w:b/>
          <w:bCs/>
          <w:kern w:val="0"/>
          <w:sz w:val="22"/>
          <w:szCs w:val="22"/>
          <w:u w:val="single"/>
        </w:rPr>
      </w:pPr>
      <w:r w:rsidRPr="002033B2">
        <w:rPr>
          <w:rFonts w:ascii="Arial" w:eastAsia="Aptos" w:hAnsi="Arial" w:cs="Arial"/>
          <w:b/>
          <w:bCs/>
          <w:kern w:val="0"/>
          <w:sz w:val="22"/>
          <w:szCs w:val="22"/>
          <w:u w:val="single"/>
        </w:rPr>
        <w:t xml:space="preserve">Event Budget </w:t>
      </w:r>
    </w:p>
    <w:p w14:paraId="670C047F" w14:textId="77777777" w:rsidR="002033B2" w:rsidRPr="002033B2" w:rsidRDefault="002033B2" w:rsidP="002033B2">
      <w:pPr>
        <w:spacing w:line="360" w:lineRule="auto"/>
        <w:jc w:val="both"/>
        <w:rPr>
          <w:rFonts w:ascii="Arial" w:eastAsia="Aptos" w:hAnsi="Arial" w:cs="Arial"/>
          <w:kern w:val="0"/>
          <w:sz w:val="22"/>
          <w:szCs w:val="22"/>
        </w:rPr>
      </w:pPr>
      <w:r w:rsidRPr="002033B2">
        <w:rPr>
          <w:rFonts w:ascii="Arial" w:eastAsia="Aptos" w:hAnsi="Arial" w:cs="Arial"/>
          <w:kern w:val="0"/>
          <w:sz w:val="22"/>
          <w:szCs w:val="22"/>
        </w:rPr>
        <w:t>It is imperative that the Pride in Hospitality Leadership Summit is conducted efficiently and its objectives are met through thorough financial planning. A budget that is well-organised ensures that the event is financially viable by maintaining a balance between revenue and expenses (Janjusevic and Mathur, 2021).</w:t>
      </w:r>
    </w:p>
    <w:p w14:paraId="53156ACE" w14:textId="77777777" w:rsidR="002033B2" w:rsidRPr="002033B2" w:rsidRDefault="002033B2" w:rsidP="002033B2">
      <w:pPr>
        <w:spacing w:line="360" w:lineRule="auto"/>
        <w:jc w:val="both"/>
        <w:rPr>
          <w:rFonts w:ascii="Arial" w:eastAsia="Aptos" w:hAnsi="Arial" w:cs="Arial"/>
          <w:b/>
          <w:bCs/>
          <w:kern w:val="0"/>
          <w:sz w:val="22"/>
          <w:szCs w:val="22"/>
        </w:rPr>
      </w:pPr>
      <w:r w:rsidRPr="002033B2">
        <w:rPr>
          <w:rFonts w:ascii="Arial" w:eastAsia="Aptos" w:hAnsi="Arial" w:cs="Arial"/>
          <w:b/>
          <w:bCs/>
          <w:kern w:val="0"/>
          <w:sz w:val="22"/>
          <w:szCs w:val="22"/>
        </w:rPr>
        <w:t>Income and Expenditure Breakdown</w:t>
      </w:r>
    </w:p>
    <w:p w14:paraId="77AF4589" w14:textId="77777777" w:rsidR="002033B2" w:rsidRPr="002033B2" w:rsidRDefault="002033B2" w:rsidP="002033B2">
      <w:pPr>
        <w:spacing w:line="360" w:lineRule="auto"/>
        <w:jc w:val="both"/>
        <w:rPr>
          <w:rFonts w:ascii="Arial" w:eastAsia="Aptos" w:hAnsi="Arial" w:cs="Arial"/>
          <w:kern w:val="0"/>
          <w:sz w:val="22"/>
          <w:szCs w:val="22"/>
        </w:rPr>
      </w:pPr>
      <w:r w:rsidRPr="002033B2">
        <w:rPr>
          <w:rFonts w:ascii="Arial" w:eastAsia="Aptos" w:hAnsi="Arial" w:cs="Arial"/>
          <w:kern w:val="0"/>
          <w:sz w:val="22"/>
          <w:szCs w:val="22"/>
        </w:rPr>
        <w:t>The event's total cost is £150,000, which includes the expense of the venue, catering, speaker fees, marketing, and technology.</w:t>
      </w:r>
    </w:p>
    <w:p w14:paraId="1A0B9DC5" w14:textId="77777777" w:rsidR="002033B2" w:rsidRPr="002033B2" w:rsidRDefault="002033B2" w:rsidP="002033B2">
      <w:pPr>
        <w:spacing w:line="360" w:lineRule="auto"/>
        <w:jc w:val="both"/>
        <w:rPr>
          <w:rFonts w:ascii="Arial" w:eastAsia="Aptos" w:hAnsi="Arial" w:cs="Arial"/>
          <w:kern w:val="0"/>
          <w:sz w:val="22"/>
          <w:szCs w:val="22"/>
        </w:rPr>
      </w:pPr>
    </w:p>
    <w:tbl>
      <w:tblPr>
        <w:tblW w:w="8985" w:type="dxa"/>
        <w:tblCellMar>
          <w:left w:w="0" w:type="dxa"/>
          <w:right w:w="0" w:type="dxa"/>
        </w:tblCellMar>
        <w:tblLook w:val="0600" w:firstRow="0" w:lastRow="0" w:firstColumn="0" w:lastColumn="0" w:noHBand="1" w:noVBand="1"/>
      </w:tblPr>
      <w:tblGrid>
        <w:gridCol w:w="4395"/>
        <w:gridCol w:w="4590"/>
      </w:tblGrid>
      <w:tr w:rsidR="002033B2" w:rsidRPr="002033B2" w14:paraId="6A7F3754" w14:textId="77777777" w:rsidTr="00FC2C43">
        <w:trPr>
          <w:trHeight w:val="527"/>
        </w:trPr>
        <w:tc>
          <w:tcPr>
            <w:tcW w:w="4395" w:type="dxa"/>
            <w:tcBorders>
              <w:top w:val="single" w:sz="12" w:space="0" w:color="9884FF"/>
              <w:left w:val="single" w:sz="12" w:space="0" w:color="9884FF"/>
              <w:bottom w:val="single" w:sz="12" w:space="0" w:color="9884FF"/>
              <w:right w:val="single" w:sz="12" w:space="0" w:color="9884FF"/>
            </w:tcBorders>
            <w:shd w:val="clear" w:color="auto" w:fill="FFFCF4"/>
            <w:tcMar>
              <w:top w:w="72" w:type="dxa"/>
              <w:left w:w="144" w:type="dxa"/>
              <w:bottom w:w="72" w:type="dxa"/>
              <w:right w:w="144" w:type="dxa"/>
            </w:tcMar>
            <w:vAlign w:val="center"/>
            <w:hideMark/>
          </w:tcPr>
          <w:p w14:paraId="4AB051ED" w14:textId="77777777" w:rsidR="002033B2" w:rsidRPr="002033B2" w:rsidRDefault="002033B2" w:rsidP="002033B2">
            <w:pPr>
              <w:spacing w:line="360" w:lineRule="auto"/>
              <w:jc w:val="both"/>
              <w:rPr>
                <w:rFonts w:ascii="Arial" w:eastAsia="Aptos" w:hAnsi="Arial" w:cs="Arial"/>
                <w:b/>
                <w:bCs/>
                <w:kern w:val="0"/>
                <w:sz w:val="22"/>
                <w:szCs w:val="22"/>
              </w:rPr>
            </w:pPr>
            <w:r w:rsidRPr="002033B2">
              <w:rPr>
                <w:rFonts w:ascii="Arial" w:eastAsia="Aptos" w:hAnsi="Arial" w:cs="Arial"/>
                <w:b/>
                <w:bCs/>
                <w:kern w:val="0"/>
                <w:sz w:val="22"/>
                <w:szCs w:val="22"/>
              </w:rPr>
              <w:t>Expense Category</w:t>
            </w:r>
          </w:p>
        </w:tc>
        <w:tc>
          <w:tcPr>
            <w:tcW w:w="4590" w:type="dxa"/>
            <w:tcBorders>
              <w:top w:val="single" w:sz="12" w:space="0" w:color="9884FF"/>
              <w:left w:val="single" w:sz="12" w:space="0" w:color="9884FF"/>
              <w:bottom w:val="single" w:sz="12" w:space="0" w:color="9884FF"/>
              <w:right w:val="single" w:sz="12" w:space="0" w:color="9884FF"/>
            </w:tcBorders>
            <w:shd w:val="clear" w:color="auto" w:fill="FFFCF4"/>
            <w:tcMar>
              <w:top w:w="72" w:type="dxa"/>
              <w:left w:w="144" w:type="dxa"/>
              <w:bottom w:w="72" w:type="dxa"/>
              <w:right w:w="144" w:type="dxa"/>
            </w:tcMar>
            <w:vAlign w:val="center"/>
            <w:hideMark/>
          </w:tcPr>
          <w:p w14:paraId="6943D640" w14:textId="77777777" w:rsidR="002033B2" w:rsidRPr="002033B2" w:rsidRDefault="002033B2" w:rsidP="002033B2">
            <w:pPr>
              <w:spacing w:line="360" w:lineRule="auto"/>
              <w:jc w:val="both"/>
              <w:rPr>
                <w:rFonts w:ascii="Arial" w:eastAsia="Aptos" w:hAnsi="Arial" w:cs="Arial"/>
                <w:b/>
                <w:bCs/>
                <w:kern w:val="0"/>
                <w:sz w:val="22"/>
                <w:szCs w:val="22"/>
              </w:rPr>
            </w:pPr>
            <w:r w:rsidRPr="002033B2">
              <w:rPr>
                <w:rFonts w:ascii="Arial" w:eastAsia="Aptos" w:hAnsi="Arial" w:cs="Arial"/>
                <w:b/>
                <w:bCs/>
                <w:kern w:val="0"/>
                <w:sz w:val="22"/>
                <w:szCs w:val="22"/>
              </w:rPr>
              <w:t>£</w:t>
            </w:r>
            <w:r w:rsidRPr="002033B2">
              <w:rPr>
                <w:rFonts w:ascii="Segoe UI Emoji" w:eastAsia="Aptos" w:hAnsi="Segoe UI Emoji" w:cs="Segoe UI Emoji"/>
                <w:b/>
                <w:bCs/>
                <w:kern w:val="0"/>
                <w:sz w:val="22"/>
                <w:szCs w:val="22"/>
              </w:rPr>
              <w:t>💰</w:t>
            </w:r>
          </w:p>
        </w:tc>
      </w:tr>
      <w:tr w:rsidR="002033B2" w:rsidRPr="002033B2" w14:paraId="1632955B" w14:textId="77777777" w:rsidTr="00FC2C43">
        <w:trPr>
          <w:trHeight w:val="393"/>
        </w:trPr>
        <w:tc>
          <w:tcPr>
            <w:tcW w:w="4395" w:type="dxa"/>
            <w:tcBorders>
              <w:top w:val="single" w:sz="12" w:space="0" w:color="9884FF"/>
              <w:left w:val="single" w:sz="12" w:space="0" w:color="9884FF"/>
              <w:bottom w:val="single" w:sz="12" w:space="0" w:color="9884FF"/>
              <w:right w:val="single" w:sz="12" w:space="0" w:color="9884FF"/>
            </w:tcBorders>
            <w:shd w:val="clear" w:color="auto" w:fill="FFFCF4"/>
            <w:tcMar>
              <w:top w:w="72" w:type="dxa"/>
              <w:left w:w="144" w:type="dxa"/>
              <w:bottom w:w="72" w:type="dxa"/>
              <w:right w:w="144" w:type="dxa"/>
            </w:tcMar>
            <w:vAlign w:val="center"/>
            <w:hideMark/>
          </w:tcPr>
          <w:p w14:paraId="2D7A88CE" w14:textId="77777777" w:rsidR="002033B2" w:rsidRPr="002033B2" w:rsidRDefault="002033B2" w:rsidP="002033B2">
            <w:pPr>
              <w:spacing w:line="360" w:lineRule="auto"/>
              <w:jc w:val="both"/>
              <w:rPr>
                <w:rFonts w:ascii="Arial" w:eastAsia="Aptos" w:hAnsi="Arial" w:cs="Arial"/>
                <w:b/>
                <w:bCs/>
                <w:kern w:val="0"/>
                <w:sz w:val="22"/>
                <w:szCs w:val="22"/>
              </w:rPr>
            </w:pPr>
            <w:r w:rsidRPr="002033B2">
              <w:rPr>
                <w:rFonts w:ascii="Arial" w:eastAsia="Aptos" w:hAnsi="Arial" w:cs="Arial"/>
                <w:b/>
                <w:bCs/>
                <w:kern w:val="0"/>
                <w:sz w:val="22"/>
                <w:szCs w:val="22"/>
              </w:rPr>
              <w:t>Venue Rental</w:t>
            </w:r>
          </w:p>
        </w:tc>
        <w:tc>
          <w:tcPr>
            <w:tcW w:w="4590" w:type="dxa"/>
            <w:tcBorders>
              <w:top w:val="single" w:sz="12" w:space="0" w:color="9884FF"/>
              <w:left w:val="single" w:sz="12" w:space="0" w:color="9884FF"/>
              <w:bottom w:val="single" w:sz="12" w:space="0" w:color="9884FF"/>
              <w:right w:val="single" w:sz="12" w:space="0" w:color="9884FF"/>
            </w:tcBorders>
            <w:shd w:val="clear" w:color="auto" w:fill="FFFCF4"/>
            <w:tcMar>
              <w:top w:w="72" w:type="dxa"/>
              <w:left w:w="144" w:type="dxa"/>
              <w:bottom w:w="72" w:type="dxa"/>
              <w:right w:w="144" w:type="dxa"/>
            </w:tcMar>
            <w:vAlign w:val="center"/>
            <w:hideMark/>
          </w:tcPr>
          <w:p w14:paraId="50DF00E8" w14:textId="77777777" w:rsidR="002033B2" w:rsidRPr="002033B2" w:rsidRDefault="002033B2" w:rsidP="002033B2">
            <w:pPr>
              <w:spacing w:line="360" w:lineRule="auto"/>
              <w:jc w:val="both"/>
              <w:rPr>
                <w:rFonts w:ascii="Arial" w:eastAsia="Aptos" w:hAnsi="Arial" w:cs="Arial"/>
                <w:b/>
                <w:bCs/>
                <w:kern w:val="0"/>
                <w:sz w:val="22"/>
                <w:szCs w:val="22"/>
              </w:rPr>
            </w:pPr>
            <w:r w:rsidRPr="002033B2">
              <w:rPr>
                <w:rFonts w:ascii="Arial" w:eastAsia="Aptos" w:hAnsi="Arial" w:cs="Arial"/>
                <w:b/>
                <w:bCs/>
                <w:kern w:val="0"/>
                <w:sz w:val="22"/>
                <w:szCs w:val="22"/>
              </w:rPr>
              <w:t>50,000</w:t>
            </w:r>
          </w:p>
        </w:tc>
      </w:tr>
      <w:tr w:rsidR="002033B2" w:rsidRPr="002033B2" w14:paraId="165EE27C" w14:textId="77777777" w:rsidTr="00FC2C43">
        <w:trPr>
          <w:trHeight w:val="186"/>
        </w:trPr>
        <w:tc>
          <w:tcPr>
            <w:tcW w:w="4395" w:type="dxa"/>
            <w:tcBorders>
              <w:top w:val="single" w:sz="12" w:space="0" w:color="9884FF"/>
              <w:left w:val="single" w:sz="12" w:space="0" w:color="9884FF"/>
              <w:bottom w:val="single" w:sz="12" w:space="0" w:color="9884FF"/>
              <w:right w:val="single" w:sz="12" w:space="0" w:color="9884FF"/>
            </w:tcBorders>
            <w:shd w:val="clear" w:color="auto" w:fill="FFFCF4"/>
            <w:tcMar>
              <w:top w:w="72" w:type="dxa"/>
              <w:left w:w="144" w:type="dxa"/>
              <w:bottom w:w="72" w:type="dxa"/>
              <w:right w:w="144" w:type="dxa"/>
            </w:tcMar>
            <w:vAlign w:val="center"/>
            <w:hideMark/>
          </w:tcPr>
          <w:p w14:paraId="2D988C11" w14:textId="77777777" w:rsidR="002033B2" w:rsidRPr="002033B2" w:rsidRDefault="002033B2" w:rsidP="002033B2">
            <w:pPr>
              <w:spacing w:line="360" w:lineRule="auto"/>
              <w:jc w:val="both"/>
              <w:rPr>
                <w:rFonts w:ascii="Arial" w:eastAsia="Aptos" w:hAnsi="Arial" w:cs="Arial"/>
                <w:b/>
                <w:bCs/>
                <w:kern w:val="0"/>
                <w:sz w:val="22"/>
                <w:szCs w:val="22"/>
              </w:rPr>
            </w:pPr>
            <w:r w:rsidRPr="002033B2">
              <w:rPr>
                <w:rFonts w:ascii="Arial" w:eastAsia="Aptos" w:hAnsi="Arial" w:cs="Arial"/>
                <w:b/>
                <w:bCs/>
                <w:kern w:val="0"/>
                <w:sz w:val="22"/>
                <w:szCs w:val="22"/>
              </w:rPr>
              <w:t>Catering</w:t>
            </w:r>
          </w:p>
        </w:tc>
        <w:tc>
          <w:tcPr>
            <w:tcW w:w="4590" w:type="dxa"/>
            <w:tcBorders>
              <w:top w:val="single" w:sz="12" w:space="0" w:color="9884FF"/>
              <w:left w:val="single" w:sz="12" w:space="0" w:color="9884FF"/>
              <w:bottom w:val="single" w:sz="12" w:space="0" w:color="9884FF"/>
              <w:right w:val="single" w:sz="12" w:space="0" w:color="9884FF"/>
            </w:tcBorders>
            <w:shd w:val="clear" w:color="auto" w:fill="FFFCF4"/>
            <w:tcMar>
              <w:top w:w="72" w:type="dxa"/>
              <w:left w:w="144" w:type="dxa"/>
              <w:bottom w:w="72" w:type="dxa"/>
              <w:right w:w="144" w:type="dxa"/>
            </w:tcMar>
            <w:vAlign w:val="center"/>
            <w:hideMark/>
          </w:tcPr>
          <w:p w14:paraId="50423101" w14:textId="77777777" w:rsidR="002033B2" w:rsidRPr="002033B2" w:rsidRDefault="002033B2" w:rsidP="002033B2">
            <w:pPr>
              <w:spacing w:line="360" w:lineRule="auto"/>
              <w:jc w:val="both"/>
              <w:rPr>
                <w:rFonts w:ascii="Arial" w:eastAsia="Aptos" w:hAnsi="Arial" w:cs="Arial"/>
                <w:b/>
                <w:bCs/>
                <w:kern w:val="0"/>
                <w:sz w:val="22"/>
                <w:szCs w:val="22"/>
              </w:rPr>
            </w:pPr>
            <w:r w:rsidRPr="002033B2">
              <w:rPr>
                <w:rFonts w:ascii="Arial" w:eastAsia="Aptos" w:hAnsi="Arial" w:cs="Arial"/>
                <w:b/>
                <w:bCs/>
                <w:kern w:val="0"/>
                <w:sz w:val="22"/>
                <w:szCs w:val="22"/>
              </w:rPr>
              <w:t>20,000</w:t>
            </w:r>
          </w:p>
        </w:tc>
      </w:tr>
      <w:tr w:rsidR="002033B2" w:rsidRPr="002033B2" w14:paraId="10DCD734" w14:textId="77777777" w:rsidTr="00FC2C43">
        <w:trPr>
          <w:trHeight w:val="150"/>
        </w:trPr>
        <w:tc>
          <w:tcPr>
            <w:tcW w:w="4395" w:type="dxa"/>
            <w:tcBorders>
              <w:top w:val="single" w:sz="12" w:space="0" w:color="9884FF"/>
              <w:left w:val="single" w:sz="12" w:space="0" w:color="9884FF"/>
              <w:bottom w:val="single" w:sz="12" w:space="0" w:color="9884FF"/>
              <w:right w:val="single" w:sz="12" w:space="0" w:color="9884FF"/>
            </w:tcBorders>
            <w:shd w:val="clear" w:color="auto" w:fill="FFFCF4"/>
            <w:tcMar>
              <w:top w:w="72" w:type="dxa"/>
              <w:left w:w="144" w:type="dxa"/>
              <w:bottom w:w="72" w:type="dxa"/>
              <w:right w:w="144" w:type="dxa"/>
            </w:tcMar>
            <w:vAlign w:val="center"/>
          </w:tcPr>
          <w:p w14:paraId="512370D5" w14:textId="77777777" w:rsidR="002033B2" w:rsidRPr="002033B2" w:rsidRDefault="002033B2" w:rsidP="002033B2">
            <w:pPr>
              <w:spacing w:line="360" w:lineRule="auto"/>
              <w:jc w:val="both"/>
              <w:rPr>
                <w:rFonts w:ascii="Arial" w:eastAsia="Aptos" w:hAnsi="Arial" w:cs="Arial"/>
                <w:b/>
                <w:bCs/>
                <w:kern w:val="0"/>
                <w:sz w:val="22"/>
                <w:szCs w:val="22"/>
              </w:rPr>
            </w:pPr>
            <w:r w:rsidRPr="002033B2">
              <w:rPr>
                <w:rFonts w:ascii="Arial" w:eastAsia="Aptos" w:hAnsi="Arial" w:cs="Arial"/>
                <w:b/>
                <w:bCs/>
                <w:kern w:val="0"/>
                <w:sz w:val="22"/>
                <w:szCs w:val="22"/>
              </w:rPr>
              <w:t>Speaker Fees</w:t>
            </w:r>
          </w:p>
        </w:tc>
        <w:tc>
          <w:tcPr>
            <w:tcW w:w="4590" w:type="dxa"/>
            <w:tcBorders>
              <w:top w:val="single" w:sz="12" w:space="0" w:color="9884FF"/>
              <w:left w:val="single" w:sz="12" w:space="0" w:color="9884FF"/>
              <w:bottom w:val="single" w:sz="12" w:space="0" w:color="9884FF"/>
              <w:right w:val="single" w:sz="12" w:space="0" w:color="9884FF"/>
            </w:tcBorders>
            <w:shd w:val="clear" w:color="auto" w:fill="FFFCF4"/>
            <w:tcMar>
              <w:top w:w="72" w:type="dxa"/>
              <w:left w:w="144" w:type="dxa"/>
              <w:bottom w:w="72" w:type="dxa"/>
              <w:right w:w="144" w:type="dxa"/>
            </w:tcMar>
            <w:vAlign w:val="center"/>
          </w:tcPr>
          <w:p w14:paraId="57AC87A6" w14:textId="77777777" w:rsidR="002033B2" w:rsidRPr="002033B2" w:rsidRDefault="002033B2" w:rsidP="002033B2">
            <w:pPr>
              <w:spacing w:line="360" w:lineRule="auto"/>
              <w:jc w:val="both"/>
              <w:rPr>
                <w:rFonts w:ascii="Arial" w:eastAsia="Aptos" w:hAnsi="Arial" w:cs="Arial"/>
                <w:b/>
                <w:bCs/>
                <w:kern w:val="0"/>
                <w:sz w:val="22"/>
                <w:szCs w:val="22"/>
              </w:rPr>
            </w:pPr>
            <w:r w:rsidRPr="002033B2">
              <w:rPr>
                <w:rFonts w:ascii="Arial" w:eastAsia="Aptos" w:hAnsi="Arial" w:cs="Arial"/>
                <w:b/>
                <w:bCs/>
                <w:kern w:val="0"/>
                <w:sz w:val="22"/>
                <w:szCs w:val="22"/>
              </w:rPr>
              <w:t>30,000</w:t>
            </w:r>
          </w:p>
        </w:tc>
      </w:tr>
      <w:tr w:rsidR="002033B2" w:rsidRPr="002033B2" w14:paraId="78D87E30" w14:textId="77777777" w:rsidTr="00FC2C43">
        <w:trPr>
          <w:trHeight w:val="33"/>
        </w:trPr>
        <w:tc>
          <w:tcPr>
            <w:tcW w:w="4395" w:type="dxa"/>
            <w:tcBorders>
              <w:top w:val="single" w:sz="12" w:space="0" w:color="9884FF"/>
              <w:left w:val="single" w:sz="12" w:space="0" w:color="9884FF"/>
              <w:bottom w:val="single" w:sz="12" w:space="0" w:color="9884FF"/>
              <w:right w:val="single" w:sz="12" w:space="0" w:color="9884FF"/>
            </w:tcBorders>
            <w:shd w:val="clear" w:color="auto" w:fill="FFFCF4"/>
            <w:tcMar>
              <w:top w:w="72" w:type="dxa"/>
              <w:left w:w="144" w:type="dxa"/>
              <w:bottom w:w="72" w:type="dxa"/>
              <w:right w:w="144" w:type="dxa"/>
            </w:tcMar>
            <w:vAlign w:val="center"/>
          </w:tcPr>
          <w:p w14:paraId="0338AEF3" w14:textId="77777777" w:rsidR="002033B2" w:rsidRPr="002033B2" w:rsidRDefault="002033B2" w:rsidP="002033B2">
            <w:pPr>
              <w:spacing w:line="360" w:lineRule="auto"/>
              <w:jc w:val="both"/>
              <w:rPr>
                <w:rFonts w:ascii="Arial" w:eastAsia="Aptos" w:hAnsi="Arial" w:cs="Arial"/>
                <w:b/>
                <w:bCs/>
                <w:kern w:val="0"/>
                <w:sz w:val="22"/>
                <w:szCs w:val="22"/>
              </w:rPr>
            </w:pPr>
            <w:r w:rsidRPr="002033B2">
              <w:rPr>
                <w:rFonts w:ascii="Arial" w:eastAsia="Aptos" w:hAnsi="Arial" w:cs="Arial"/>
                <w:b/>
                <w:bCs/>
                <w:kern w:val="0"/>
                <w:sz w:val="22"/>
                <w:szCs w:val="22"/>
              </w:rPr>
              <w:t>Marketing</w:t>
            </w:r>
          </w:p>
        </w:tc>
        <w:tc>
          <w:tcPr>
            <w:tcW w:w="4590" w:type="dxa"/>
            <w:tcBorders>
              <w:top w:val="single" w:sz="12" w:space="0" w:color="9884FF"/>
              <w:left w:val="single" w:sz="12" w:space="0" w:color="9884FF"/>
              <w:bottom w:val="single" w:sz="12" w:space="0" w:color="9884FF"/>
              <w:right w:val="single" w:sz="12" w:space="0" w:color="9884FF"/>
            </w:tcBorders>
            <w:shd w:val="clear" w:color="auto" w:fill="FFFCF4"/>
            <w:tcMar>
              <w:top w:w="72" w:type="dxa"/>
              <w:left w:w="144" w:type="dxa"/>
              <w:bottom w:w="72" w:type="dxa"/>
              <w:right w:w="144" w:type="dxa"/>
            </w:tcMar>
            <w:vAlign w:val="center"/>
          </w:tcPr>
          <w:p w14:paraId="309C5793" w14:textId="77777777" w:rsidR="002033B2" w:rsidRPr="002033B2" w:rsidRDefault="002033B2" w:rsidP="002033B2">
            <w:pPr>
              <w:spacing w:line="360" w:lineRule="auto"/>
              <w:jc w:val="both"/>
              <w:rPr>
                <w:rFonts w:ascii="Arial" w:eastAsia="Aptos" w:hAnsi="Arial" w:cs="Arial"/>
                <w:b/>
                <w:bCs/>
                <w:kern w:val="0"/>
                <w:sz w:val="22"/>
                <w:szCs w:val="22"/>
              </w:rPr>
            </w:pPr>
            <w:r w:rsidRPr="002033B2">
              <w:rPr>
                <w:rFonts w:ascii="Arial" w:eastAsia="Aptos" w:hAnsi="Arial" w:cs="Arial"/>
                <w:b/>
                <w:bCs/>
                <w:kern w:val="0"/>
                <w:sz w:val="22"/>
                <w:szCs w:val="22"/>
              </w:rPr>
              <w:t>15,000</w:t>
            </w:r>
          </w:p>
        </w:tc>
      </w:tr>
      <w:tr w:rsidR="002033B2" w:rsidRPr="002033B2" w14:paraId="36C61A63" w14:textId="77777777" w:rsidTr="00FC2C43">
        <w:trPr>
          <w:trHeight w:val="276"/>
        </w:trPr>
        <w:tc>
          <w:tcPr>
            <w:tcW w:w="4395" w:type="dxa"/>
            <w:tcBorders>
              <w:top w:val="single" w:sz="12" w:space="0" w:color="9884FF"/>
              <w:left w:val="single" w:sz="12" w:space="0" w:color="9884FF"/>
              <w:bottom w:val="single" w:sz="12" w:space="0" w:color="9884FF"/>
              <w:right w:val="single" w:sz="12" w:space="0" w:color="9884FF"/>
            </w:tcBorders>
            <w:shd w:val="clear" w:color="auto" w:fill="FFFCF4"/>
            <w:tcMar>
              <w:top w:w="72" w:type="dxa"/>
              <w:left w:w="144" w:type="dxa"/>
              <w:bottom w:w="72" w:type="dxa"/>
              <w:right w:w="144" w:type="dxa"/>
            </w:tcMar>
            <w:vAlign w:val="center"/>
          </w:tcPr>
          <w:p w14:paraId="246DFBD6" w14:textId="77777777" w:rsidR="002033B2" w:rsidRPr="002033B2" w:rsidRDefault="002033B2" w:rsidP="002033B2">
            <w:pPr>
              <w:spacing w:line="360" w:lineRule="auto"/>
              <w:jc w:val="both"/>
              <w:rPr>
                <w:rFonts w:ascii="Arial" w:eastAsia="Aptos" w:hAnsi="Arial" w:cs="Arial"/>
                <w:b/>
                <w:bCs/>
                <w:kern w:val="0"/>
                <w:sz w:val="22"/>
                <w:szCs w:val="22"/>
              </w:rPr>
            </w:pPr>
            <w:r w:rsidRPr="002033B2">
              <w:rPr>
                <w:rFonts w:ascii="Arial" w:eastAsia="Aptos" w:hAnsi="Arial" w:cs="Arial"/>
                <w:b/>
                <w:bCs/>
                <w:kern w:val="0"/>
                <w:sz w:val="22"/>
                <w:szCs w:val="22"/>
              </w:rPr>
              <w:t>Tech and Streaming</w:t>
            </w:r>
          </w:p>
        </w:tc>
        <w:tc>
          <w:tcPr>
            <w:tcW w:w="4590" w:type="dxa"/>
            <w:tcBorders>
              <w:top w:val="single" w:sz="12" w:space="0" w:color="9884FF"/>
              <w:left w:val="single" w:sz="12" w:space="0" w:color="9884FF"/>
              <w:bottom w:val="single" w:sz="12" w:space="0" w:color="9884FF"/>
              <w:right w:val="single" w:sz="12" w:space="0" w:color="9884FF"/>
            </w:tcBorders>
            <w:shd w:val="clear" w:color="auto" w:fill="FFFCF4"/>
            <w:tcMar>
              <w:top w:w="72" w:type="dxa"/>
              <w:left w:w="144" w:type="dxa"/>
              <w:bottom w:w="72" w:type="dxa"/>
              <w:right w:w="144" w:type="dxa"/>
            </w:tcMar>
            <w:vAlign w:val="center"/>
          </w:tcPr>
          <w:p w14:paraId="2A631916" w14:textId="77777777" w:rsidR="002033B2" w:rsidRPr="002033B2" w:rsidRDefault="002033B2" w:rsidP="002033B2">
            <w:pPr>
              <w:spacing w:line="360" w:lineRule="auto"/>
              <w:jc w:val="both"/>
              <w:rPr>
                <w:rFonts w:ascii="Arial" w:eastAsia="Aptos" w:hAnsi="Arial" w:cs="Arial"/>
                <w:b/>
                <w:bCs/>
                <w:kern w:val="0"/>
                <w:sz w:val="22"/>
                <w:szCs w:val="22"/>
              </w:rPr>
            </w:pPr>
            <w:r w:rsidRPr="002033B2">
              <w:rPr>
                <w:rFonts w:ascii="Arial" w:eastAsia="Aptos" w:hAnsi="Arial" w:cs="Arial"/>
                <w:b/>
                <w:bCs/>
                <w:kern w:val="0"/>
                <w:sz w:val="22"/>
                <w:szCs w:val="22"/>
              </w:rPr>
              <w:t>25,000</w:t>
            </w:r>
          </w:p>
        </w:tc>
      </w:tr>
      <w:tr w:rsidR="002033B2" w:rsidRPr="002033B2" w14:paraId="2B7E21F7" w14:textId="77777777" w:rsidTr="00FC2C43">
        <w:trPr>
          <w:trHeight w:val="23"/>
        </w:trPr>
        <w:tc>
          <w:tcPr>
            <w:tcW w:w="4395" w:type="dxa"/>
            <w:tcBorders>
              <w:top w:val="single" w:sz="12" w:space="0" w:color="9884FF"/>
              <w:left w:val="single" w:sz="12" w:space="0" w:color="9884FF"/>
              <w:bottom w:val="single" w:sz="12" w:space="0" w:color="9884FF"/>
              <w:right w:val="single" w:sz="12" w:space="0" w:color="9884FF"/>
            </w:tcBorders>
            <w:shd w:val="clear" w:color="auto" w:fill="FFFCF4"/>
            <w:tcMar>
              <w:top w:w="72" w:type="dxa"/>
              <w:left w:w="144" w:type="dxa"/>
              <w:bottom w:w="72" w:type="dxa"/>
              <w:right w:w="144" w:type="dxa"/>
            </w:tcMar>
            <w:vAlign w:val="center"/>
          </w:tcPr>
          <w:p w14:paraId="68EF270C" w14:textId="77777777" w:rsidR="002033B2" w:rsidRPr="002033B2" w:rsidRDefault="002033B2" w:rsidP="002033B2">
            <w:pPr>
              <w:spacing w:line="360" w:lineRule="auto"/>
              <w:jc w:val="both"/>
              <w:rPr>
                <w:rFonts w:ascii="Arial" w:eastAsia="Aptos" w:hAnsi="Arial" w:cs="Arial"/>
                <w:b/>
                <w:bCs/>
                <w:kern w:val="0"/>
                <w:sz w:val="22"/>
                <w:szCs w:val="22"/>
              </w:rPr>
            </w:pPr>
            <w:r w:rsidRPr="002033B2">
              <w:rPr>
                <w:rFonts w:ascii="Arial" w:eastAsia="Aptos" w:hAnsi="Arial" w:cs="Arial"/>
                <w:b/>
                <w:bCs/>
                <w:kern w:val="0"/>
                <w:sz w:val="22"/>
                <w:szCs w:val="22"/>
              </w:rPr>
              <w:t>Miscellaneous</w:t>
            </w:r>
          </w:p>
        </w:tc>
        <w:tc>
          <w:tcPr>
            <w:tcW w:w="4590" w:type="dxa"/>
            <w:tcBorders>
              <w:top w:val="single" w:sz="12" w:space="0" w:color="9884FF"/>
              <w:left w:val="single" w:sz="12" w:space="0" w:color="9884FF"/>
              <w:bottom w:val="single" w:sz="12" w:space="0" w:color="9884FF"/>
              <w:right w:val="single" w:sz="12" w:space="0" w:color="9884FF"/>
            </w:tcBorders>
            <w:shd w:val="clear" w:color="auto" w:fill="FFFCF4"/>
            <w:tcMar>
              <w:top w:w="72" w:type="dxa"/>
              <w:left w:w="144" w:type="dxa"/>
              <w:bottom w:w="72" w:type="dxa"/>
              <w:right w:w="144" w:type="dxa"/>
            </w:tcMar>
            <w:vAlign w:val="center"/>
          </w:tcPr>
          <w:p w14:paraId="39B9E475" w14:textId="77777777" w:rsidR="002033B2" w:rsidRPr="002033B2" w:rsidRDefault="002033B2" w:rsidP="002033B2">
            <w:pPr>
              <w:spacing w:line="360" w:lineRule="auto"/>
              <w:jc w:val="both"/>
              <w:rPr>
                <w:rFonts w:ascii="Arial" w:eastAsia="Aptos" w:hAnsi="Arial" w:cs="Arial"/>
                <w:b/>
                <w:bCs/>
                <w:kern w:val="0"/>
                <w:sz w:val="22"/>
                <w:szCs w:val="22"/>
              </w:rPr>
            </w:pPr>
            <w:r w:rsidRPr="002033B2">
              <w:rPr>
                <w:rFonts w:ascii="Arial" w:eastAsia="Aptos" w:hAnsi="Arial" w:cs="Arial"/>
                <w:b/>
                <w:bCs/>
                <w:kern w:val="0"/>
                <w:sz w:val="22"/>
                <w:szCs w:val="22"/>
              </w:rPr>
              <w:t>10,000</w:t>
            </w:r>
          </w:p>
        </w:tc>
      </w:tr>
      <w:tr w:rsidR="002033B2" w:rsidRPr="002033B2" w14:paraId="338BD42B" w14:textId="77777777" w:rsidTr="00FC2C43">
        <w:trPr>
          <w:trHeight w:val="123"/>
        </w:trPr>
        <w:tc>
          <w:tcPr>
            <w:tcW w:w="4395" w:type="dxa"/>
            <w:tcBorders>
              <w:top w:val="single" w:sz="12" w:space="0" w:color="9884FF"/>
              <w:left w:val="single" w:sz="12" w:space="0" w:color="9884FF"/>
              <w:bottom w:val="single" w:sz="12" w:space="0" w:color="9884FF"/>
              <w:right w:val="single" w:sz="12" w:space="0" w:color="9884FF"/>
            </w:tcBorders>
            <w:shd w:val="clear" w:color="auto" w:fill="FFFCF4"/>
            <w:tcMar>
              <w:top w:w="72" w:type="dxa"/>
              <w:left w:w="144" w:type="dxa"/>
              <w:bottom w:w="72" w:type="dxa"/>
              <w:right w:w="144" w:type="dxa"/>
            </w:tcMar>
            <w:vAlign w:val="center"/>
          </w:tcPr>
          <w:p w14:paraId="20E9C2D2" w14:textId="77777777" w:rsidR="002033B2" w:rsidRPr="002033B2" w:rsidRDefault="002033B2" w:rsidP="002033B2">
            <w:pPr>
              <w:spacing w:line="360" w:lineRule="auto"/>
              <w:jc w:val="both"/>
              <w:rPr>
                <w:rFonts w:ascii="Arial" w:eastAsia="Aptos" w:hAnsi="Arial" w:cs="Arial"/>
                <w:b/>
                <w:bCs/>
                <w:kern w:val="0"/>
                <w:sz w:val="22"/>
                <w:szCs w:val="22"/>
              </w:rPr>
            </w:pPr>
            <w:r w:rsidRPr="002033B2">
              <w:rPr>
                <w:rFonts w:ascii="Arial" w:eastAsia="Aptos" w:hAnsi="Arial" w:cs="Arial"/>
                <w:b/>
                <w:bCs/>
                <w:kern w:val="0"/>
                <w:sz w:val="22"/>
                <w:szCs w:val="22"/>
              </w:rPr>
              <w:t>Total Costs</w:t>
            </w:r>
          </w:p>
        </w:tc>
        <w:tc>
          <w:tcPr>
            <w:tcW w:w="4590" w:type="dxa"/>
            <w:tcBorders>
              <w:top w:val="single" w:sz="12" w:space="0" w:color="9884FF"/>
              <w:left w:val="single" w:sz="12" w:space="0" w:color="9884FF"/>
              <w:bottom w:val="single" w:sz="12" w:space="0" w:color="9884FF"/>
              <w:right w:val="single" w:sz="12" w:space="0" w:color="9884FF"/>
            </w:tcBorders>
            <w:shd w:val="clear" w:color="auto" w:fill="FFFCF4"/>
            <w:tcMar>
              <w:top w:w="72" w:type="dxa"/>
              <w:left w:w="144" w:type="dxa"/>
              <w:bottom w:w="72" w:type="dxa"/>
              <w:right w:w="144" w:type="dxa"/>
            </w:tcMar>
            <w:vAlign w:val="center"/>
          </w:tcPr>
          <w:p w14:paraId="42E3ADB5" w14:textId="77777777" w:rsidR="002033B2" w:rsidRPr="002033B2" w:rsidRDefault="002033B2" w:rsidP="002033B2">
            <w:pPr>
              <w:spacing w:line="360" w:lineRule="auto"/>
              <w:jc w:val="both"/>
              <w:rPr>
                <w:rFonts w:ascii="Arial" w:eastAsia="Aptos" w:hAnsi="Arial" w:cs="Arial"/>
                <w:b/>
                <w:bCs/>
                <w:kern w:val="0"/>
                <w:sz w:val="22"/>
                <w:szCs w:val="22"/>
              </w:rPr>
            </w:pPr>
            <w:r w:rsidRPr="002033B2">
              <w:rPr>
                <w:rFonts w:ascii="Arial" w:eastAsia="Aptos" w:hAnsi="Arial" w:cs="Arial"/>
                <w:b/>
                <w:bCs/>
                <w:kern w:val="0"/>
                <w:sz w:val="22"/>
                <w:szCs w:val="22"/>
              </w:rPr>
              <w:t>150,000</w:t>
            </w:r>
          </w:p>
        </w:tc>
      </w:tr>
    </w:tbl>
    <w:p w14:paraId="1657402D" w14:textId="77777777" w:rsidR="002033B2" w:rsidRPr="002033B2" w:rsidRDefault="002033B2" w:rsidP="002033B2">
      <w:pPr>
        <w:spacing w:line="360" w:lineRule="auto"/>
        <w:jc w:val="both"/>
        <w:rPr>
          <w:rFonts w:ascii="Arial" w:eastAsia="Aptos" w:hAnsi="Arial" w:cs="Arial"/>
          <w:kern w:val="0"/>
          <w:sz w:val="22"/>
          <w:szCs w:val="22"/>
        </w:rPr>
      </w:pPr>
    </w:p>
    <w:p w14:paraId="2C45CDEC" w14:textId="77777777" w:rsidR="002033B2" w:rsidRPr="002033B2" w:rsidRDefault="002033B2" w:rsidP="002033B2">
      <w:pPr>
        <w:spacing w:line="360" w:lineRule="auto"/>
        <w:jc w:val="both"/>
        <w:rPr>
          <w:rFonts w:ascii="Arial" w:eastAsia="Aptos" w:hAnsi="Arial" w:cs="Arial"/>
          <w:kern w:val="0"/>
          <w:sz w:val="22"/>
          <w:szCs w:val="22"/>
        </w:rPr>
      </w:pPr>
      <w:r w:rsidRPr="002033B2">
        <w:rPr>
          <w:rFonts w:ascii="Arial" w:eastAsia="Aptos" w:hAnsi="Arial" w:cs="Arial"/>
          <w:kern w:val="0"/>
          <w:sz w:val="22"/>
          <w:szCs w:val="22"/>
        </w:rPr>
        <w:lastRenderedPageBreak/>
        <w:t>The venue rental is the most significant expense, comprising one-third of the total budget. In order to attract attendees and preserve a professional environment, it is imperative to have a venue of high standard (I Amsterdam, 2024).</w:t>
      </w:r>
    </w:p>
    <w:p w14:paraId="0CF9ACD5" w14:textId="77777777" w:rsidR="002033B2" w:rsidRPr="002033B2" w:rsidRDefault="002033B2" w:rsidP="002033B2">
      <w:pPr>
        <w:spacing w:line="360" w:lineRule="auto"/>
        <w:jc w:val="both"/>
        <w:rPr>
          <w:rFonts w:ascii="Arial" w:eastAsia="Aptos" w:hAnsi="Arial" w:cs="Arial"/>
          <w:kern w:val="0"/>
          <w:sz w:val="22"/>
          <w:szCs w:val="22"/>
        </w:rPr>
      </w:pPr>
      <w:r w:rsidRPr="002033B2">
        <w:rPr>
          <w:rFonts w:ascii="Arial" w:eastAsia="Aptos" w:hAnsi="Arial" w:cs="Arial"/>
          <w:kern w:val="0"/>
          <w:sz w:val="22"/>
          <w:szCs w:val="22"/>
        </w:rPr>
        <w:t>The inclusivity motif is further reinforced by the  £20,000 catering costs, which guarantee high-quality food services from LGBTQ+-owned vendors.</w:t>
      </w:r>
    </w:p>
    <w:p w14:paraId="61680F8A" w14:textId="77777777" w:rsidR="002033B2" w:rsidRPr="002033B2" w:rsidRDefault="002033B2" w:rsidP="002033B2">
      <w:pPr>
        <w:spacing w:line="360" w:lineRule="auto"/>
        <w:jc w:val="both"/>
        <w:rPr>
          <w:rFonts w:ascii="Arial" w:eastAsia="Aptos" w:hAnsi="Arial" w:cs="Arial"/>
          <w:kern w:val="0"/>
          <w:sz w:val="22"/>
          <w:szCs w:val="22"/>
        </w:rPr>
      </w:pPr>
      <w:r w:rsidRPr="002033B2">
        <w:rPr>
          <w:rFonts w:ascii="Arial" w:eastAsia="Aptos" w:hAnsi="Arial" w:cs="Arial"/>
          <w:kern w:val="0"/>
          <w:sz w:val="22"/>
          <w:szCs w:val="22"/>
        </w:rPr>
        <w:t>The fees for high-profile speakers, which include travel, accommodations, and compensation, total  £30,000. The credibility of the event and the attraction of industry professionals are contingent upon the presence of well-respected speakers (Getz and Page, 2024).</w:t>
      </w:r>
    </w:p>
    <w:p w14:paraId="702908C2" w14:textId="77777777" w:rsidR="002033B2" w:rsidRPr="002033B2" w:rsidRDefault="002033B2" w:rsidP="002033B2">
      <w:pPr>
        <w:spacing w:line="360" w:lineRule="auto"/>
        <w:jc w:val="both"/>
        <w:rPr>
          <w:rFonts w:ascii="Arial" w:eastAsia="Aptos" w:hAnsi="Arial" w:cs="Arial"/>
          <w:kern w:val="0"/>
          <w:sz w:val="22"/>
          <w:szCs w:val="22"/>
        </w:rPr>
      </w:pPr>
      <w:r w:rsidRPr="002033B2">
        <w:rPr>
          <w:rFonts w:ascii="Arial" w:eastAsia="Aptos" w:hAnsi="Arial" w:cs="Arial"/>
          <w:kern w:val="0"/>
          <w:sz w:val="22"/>
          <w:szCs w:val="22"/>
        </w:rPr>
        <w:t> £15,000 is allocated to marketing initiatives to guarantee effective communication through LGBTQ+ media partnerships and social media campaigns (Yavuz and Enes, 2021).</w:t>
      </w:r>
    </w:p>
    <w:p w14:paraId="7141DC55" w14:textId="77777777" w:rsidR="002033B2" w:rsidRPr="002033B2" w:rsidRDefault="002033B2" w:rsidP="002033B2">
      <w:pPr>
        <w:spacing w:line="360" w:lineRule="auto"/>
        <w:jc w:val="both"/>
        <w:rPr>
          <w:rFonts w:ascii="Arial" w:eastAsia="Aptos" w:hAnsi="Arial" w:cs="Arial"/>
          <w:kern w:val="0"/>
          <w:sz w:val="22"/>
          <w:szCs w:val="22"/>
        </w:rPr>
      </w:pPr>
      <w:r w:rsidRPr="002033B2">
        <w:rPr>
          <w:rFonts w:ascii="Arial" w:eastAsia="Aptos" w:hAnsi="Arial" w:cs="Arial"/>
          <w:kern w:val="0"/>
          <w:sz w:val="22"/>
          <w:szCs w:val="22"/>
        </w:rPr>
        <w:t>The increasing demand for hybrid event participation is reflected in the allocation of  £25,000 for technology and streaming services (Hottle et al., 2015).</w:t>
      </w:r>
    </w:p>
    <w:p w14:paraId="06AE8B6A" w14:textId="77777777" w:rsidR="002033B2" w:rsidRPr="002033B2" w:rsidRDefault="002033B2" w:rsidP="002033B2">
      <w:pPr>
        <w:spacing w:line="360" w:lineRule="auto"/>
        <w:jc w:val="both"/>
        <w:rPr>
          <w:rFonts w:ascii="Arial" w:eastAsia="Aptos" w:hAnsi="Arial" w:cs="Arial"/>
          <w:kern w:val="0"/>
          <w:sz w:val="22"/>
          <w:szCs w:val="22"/>
        </w:rPr>
      </w:pPr>
      <w:r w:rsidRPr="002033B2">
        <w:rPr>
          <w:rFonts w:ascii="Arial" w:eastAsia="Aptos" w:hAnsi="Arial" w:cs="Arial"/>
          <w:kern w:val="0"/>
          <w:sz w:val="22"/>
          <w:szCs w:val="22"/>
        </w:rPr>
        <w:t>Miscellaneous expenses, which encompass logistics, unexpected costs, and supplementary services, total  £10,000.</w:t>
      </w:r>
    </w:p>
    <w:p w14:paraId="71270F96" w14:textId="77777777" w:rsidR="002033B2" w:rsidRPr="002033B2" w:rsidRDefault="002033B2" w:rsidP="002033B2">
      <w:pPr>
        <w:spacing w:line="360" w:lineRule="auto"/>
        <w:jc w:val="both"/>
        <w:rPr>
          <w:rFonts w:ascii="Arial" w:eastAsia="Aptos" w:hAnsi="Arial" w:cs="Arial"/>
          <w:b/>
          <w:bCs/>
          <w:kern w:val="0"/>
          <w:sz w:val="22"/>
          <w:szCs w:val="22"/>
        </w:rPr>
      </w:pPr>
    </w:p>
    <w:p w14:paraId="028DE289" w14:textId="77777777" w:rsidR="002033B2" w:rsidRPr="002033B2" w:rsidRDefault="002033B2" w:rsidP="002033B2">
      <w:pPr>
        <w:spacing w:line="360" w:lineRule="auto"/>
        <w:jc w:val="both"/>
        <w:rPr>
          <w:rFonts w:ascii="Arial" w:eastAsia="Aptos" w:hAnsi="Arial" w:cs="Arial"/>
          <w:b/>
          <w:bCs/>
          <w:kern w:val="0"/>
          <w:sz w:val="22"/>
          <w:szCs w:val="22"/>
        </w:rPr>
      </w:pPr>
      <w:r w:rsidRPr="002033B2">
        <w:rPr>
          <w:rFonts w:ascii="Arial" w:eastAsia="Aptos" w:hAnsi="Arial" w:cs="Arial"/>
          <w:b/>
          <w:bCs/>
          <w:kern w:val="0"/>
          <w:sz w:val="22"/>
          <w:szCs w:val="22"/>
        </w:rPr>
        <w:t>Revenue Streams</w:t>
      </w:r>
    </w:p>
    <w:tbl>
      <w:tblPr>
        <w:tblW w:w="9255" w:type="dxa"/>
        <w:tblCellMar>
          <w:left w:w="0" w:type="dxa"/>
          <w:right w:w="0" w:type="dxa"/>
        </w:tblCellMar>
        <w:tblLook w:val="0600" w:firstRow="0" w:lastRow="0" w:firstColumn="0" w:lastColumn="0" w:noHBand="1" w:noVBand="1"/>
      </w:tblPr>
      <w:tblGrid>
        <w:gridCol w:w="5173"/>
        <w:gridCol w:w="4082"/>
      </w:tblGrid>
      <w:tr w:rsidR="002033B2" w:rsidRPr="002033B2" w14:paraId="777E2CA5" w14:textId="77777777" w:rsidTr="00FC2C43">
        <w:trPr>
          <w:trHeight w:val="438"/>
        </w:trPr>
        <w:tc>
          <w:tcPr>
            <w:tcW w:w="5173" w:type="dxa"/>
            <w:tcBorders>
              <w:top w:val="single" w:sz="12" w:space="0" w:color="9884FF"/>
              <w:left w:val="single" w:sz="12" w:space="0" w:color="9884FF"/>
              <w:bottom w:val="single" w:sz="12" w:space="0" w:color="9884FF"/>
              <w:right w:val="single" w:sz="12" w:space="0" w:color="9884FF"/>
            </w:tcBorders>
            <w:shd w:val="clear" w:color="auto" w:fill="FFFCF4"/>
            <w:tcMar>
              <w:top w:w="72" w:type="dxa"/>
              <w:left w:w="144" w:type="dxa"/>
              <w:bottom w:w="72" w:type="dxa"/>
              <w:right w:w="144" w:type="dxa"/>
            </w:tcMar>
            <w:vAlign w:val="center"/>
            <w:hideMark/>
          </w:tcPr>
          <w:p w14:paraId="18384AC2" w14:textId="77777777" w:rsidR="002033B2" w:rsidRPr="002033B2" w:rsidRDefault="002033B2" w:rsidP="002033B2">
            <w:pPr>
              <w:spacing w:line="360" w:lineRule="auto"/>
              <w:jc w:val="center"/>
              <w:rPr>
                <w:rFonts w:ascii="Arial" w:eastAsia="Aptos" w:hAnsi="Arial" w:cs="Arial"/>
                <w:b/>
                <w:bCs/>
                <w:kern w:val="0"/>
                <w:sz w:val="22"/>
                <w:szCs w:val="22"/>
              </w:rPr>
            </w:pPr>
            <w:r w:rsidRPr="002033B2">
              <w:rPr>
                <w:rFonts w:ascii="Arial" w:eastAsia="Aptos" w:hAnsi="Arial" w:cs="Arial"/>
                <w:b/>
                <w:bCs/>
                <w:kern w:val="0"/>
                <w:sz w:val="22"/>
                <w:szCs w:val="22"/>
              </w:rPr>
              <w:t>Income Source</w:t>
            </w:r>
          </w:p>
        </w:tc>
        <w:tc>
          <w:tcPr>
            <w:tcW w:w="4082" w:type="dxa"/>
            <w:tcBorders>
              <w:top w:val="single" w:sz="12" w:space="0" w:color="9884FF"/>
              <w:left w:val="single" w:sz="12" w:space="0" w:color="9884FF"/>
              <w:bottom w:val="single" w:sz="12" w:space="0" w:color="9884FF"/>
              <w:right w:val="single" w:sz="12" w:space="0" w:color="9884FF"/>
            </w:tcBorders>
            <w:shd w:val="clear" w:color="auto" w:fill="FFFCF4"/>
            <w:tcMar>
              <w:top w:w="72" w:type="dxa"/>
              <w:left w:w="144" w:type="dxa"/>
              <w:bottom w:w="72" w:type="dxa"/>
              <w:right w:w="144" w:type="dxa"/>
            </w:tcMar>
            <w:vAlign w:val="center"/>
            <w:hideMark/>
          </w:tcPr>
          <w:p w14:paraId="4298B5AB" w14:textId="77777777" w:rsidR="002033B2" w:rsidRPr="002033B2" w:rsidRDefault="002033B2" w:rsidP="002033B2">
            <w:pPr>
              <w:spacing w:line="360" w:lineRule="auto"/>
              <w:jc w:val="center"/>
              <w:rPr>
                <w:rFonts w:ascii="Arial" w:eastAsia="Aptos" w:hAnsi="Arial" w:cs="Arial"/>
                <w:b/>
                <w:bCs/>
                <w:kern w:val="0"/>
                <w:sz w:val="22"/>
                <w:szCs w:val="22"/>
              </w:rPr>
            </w:pPr>
            <w:r w:rsidRPr="002033B2">
              <w:rPr>
                <w:rFonts w:ascii="Arial" w:eastAsia="Aptos" w:hAnsi="Arial" w:cs="Arial"/>
                <w:b/>
                <w:bCs/>
                <w:kern w:val="0"/>
                <w:sz w:val="22"/>
                <w:szCs w:val="22"/>
              </w:rPr>
              <w:t>£</w:t>
            </w:r>
            <w:r w:rsidRPr="002033B2">
              <w:rPr>
                <w:rFonts w:ascii="Segoe UI Emoji" w:eastAsia="Aptos" w:hAnsi="Segoe UI Emoji" w:cs="Segoe UI Emoji"/>
                <w:b/>
                <w:bCs/>
                <w:kern w:val="0"/>
                <w:sz w:val="32"/>
                <w:szCs w:val="32"/>
              </w:rPr>
              <w:t>💰</w:t>
            </w:r>
          </w:p>
        </w:tc>
      </w:tr>
      <w:tr w:rsidR="002033B2" w:rsidRPr="002033B2" w14:paraId="74899B8B" w14:textId="77777777" w:rsidTr="00FC2C43">
        <w:trPr>
          <w:trHeight w:val="236"/>
        </w:trPr>
        <w:tc>
          <w:tcPr>
            <w:tcW w:w="5173" w:type="dxa"/>
            <w:tcBorders>
              <w:top w:val="single" w:sz="12" w:space="0" w:color="9884FF"/>
              <w:left w:val="single" w:sz="12" w:space="0" w:color="9884FF"/>
              <w:bottom w:val="single" w:sz="12" w:space="0" w:color="9884FF"/>
              <w:right w:val="single" w:sz="12" w:space="0" w:color="9884FF"/>
            </w:tcBorders>
            <w:shd w:val="clear" w:color="auto" w:fill="FFFCF4"/>
            <w:tcMar>
              <w:top w:w="72" w:type="dxa"/>
              <w:left w:w="144" w:type="dxa"/>
              <w:bottom w:w="72" w:type="dxa"/>
              <w:right w:w="144" w:type="dxa"/>
            </w:tcMar>
            <w:vAlign w:val="center"/>
            <w:hideMark/>
          </w:tcPr>
          <w:p w14:paraId="3E83B9BE" w14:textId="77777777" w:rsidR="002033B2" w:rsidRPr="002033B2" w:rsidRDefault="002033B2" w:rsidP="002033B2">
            <w:pPr>
              <w:spacing w:line="360" w:lineRule="auto"/>
              <w:jc w:val="center"/>
              <w:rPr>
                <w:rFonts w:ascii="Arial" w:eastAsia="Aptos" w:hAnsi="Arial" w:cs="Arial"/>
                <w:b/>
                <w:bCs/>
                <w:kern w:val="0"/>
                <w:sz w:val="18"/>
                <w:szCs w:val="18"/>
              </w:rPr>
            </w:pPr>
            <w:r w:rsidRPr="002033B2">
              <w:rPr>
                <w:rFonts w:ascii="Arial" w:eastAsia="Aptos" w:hAnsi="Arial" w:cs="Arial"/>
                <w:b/>
                <w:bCs/>
                <w:kern w:val="0"/>
                <w:sz w:val="18"/>
                <w:szCs w:val="18"/>
              </w:rPr>
              <w:t>Sponsorships (Marriott, AccorHotels, Hilton)</w:t>
            </w:r>
          </w:p>
        </w:tc>
        <w:tc>
          <w:tcPr>
            <w:tcW w:w="4082" w:type="dxa"/>
            <w:tcBorders>
              <w:top w:val="single" w:sz="12" w:space="0" w:color="9884FF"/>
              <w:left w:val="single" w:sz="12" w:space="0" w:color="9884FF"/>
              <w:bottom w:val="single" w:sz="12" w:space="0" w:color="9884FF"/>
              <w:right w:val="single" w:sz="12" w:space="0" w:color="9884FF"/>
            </w:tcBorders>
            <w:shd w:val="clear" w:color="auto" w:fill="FFFCF4"/>
            <w:tcMar>
              <w:top w:w="72" w:type="dxa"/>
              <w:left w:w="144" w:type="dxa"/>
              <w:bottom w:w="72" w:type="dxa"/>
              <w:right w:w="144" w:type="dxa"/>
            </w:tcMar>
            <w:vAlign w:val="center"/>
            <w:hideMark/>
          </w:tcPr>
          <w:p w14:paraId="5E7974FB" w14:textId="77777777" w:rsidR="002033B2" w:rsidRPr="002033B2" w:rsidRDefault="002033B2" w:rsidP="002033B2">
            <w:pPr>
              <w:spacing w:line="360" w:lineRule="auto"/>
              <w:jc w:val="center"/>
              <w:rPr>
                <w:rFonts w:ascii="Arial" w:eastAsia="Aptos" w:hAnsi="Arial" w:cs="Arial"/>
                <w:b/>
                <w:bCs/>
                <w:kern w:val="0"/>
                <w:sz w:val="18"/>
                <w:szCs w:val="18"/>
              </w:rPr>
            </w:pPr>
            <w:r w:rsidRPr="002033B2">
              <w:rPr>
                <w:rFonts w:ascii="Arial" w:eastAsia="Aptos" w:hAnsi="Arial" w:cs="Arial"/>
                <w:b/>
                <w:bCs/>
                <w:kern w:val="0"/>
                <w:sz w:val="18"/>
                <w:szCs w:val="18"/>
              </w:rPr>
              <w:t>80,000</w:t>
            </w:r>
          </w:p>
        </w:tc>
      </w:tr>
      <w:tr w:rsidR="002033B2" w:rsidRPr="002033B2" w14:paraId="43050402" w14:textId="77777777" w:rsidTr="00FC2C43">
        <w:trPr>
          <w:trHeight w:val="298"/>
        </w:trPr>
        <w:tc>
          <w:tcPr>
            <w:tcW w:w="5173" w:type="dxa"/>
            <w:tcBorders>
              <w:top w:val="single" w:sz="12" w:space="0" w:color="9884FF"/>
              <w:left w:val="single" w:sz="12" w:space="0" w:color="9884FF"/>
              <w:bottom w:val="single" w:sz="12" w:space="0" w:color="9884FF"/>
              <w:right w:val="single" w:sz="12" w:space="0" w:color="9884FF"/>
            </w:tcBorders>
            <w:shd w:val="clear" w:color="auto" w:fill="FFFCF4"/>
            <w:tcMar>
              <w:top w:w="72" w:type="dxa"/>
              <w:left w:w="144" w:type="dxa"/>
              <w:bottom w:w="72" w:type="dxa"/>
              <w:right w:w="144" w:type="dxa"/>
            </w:tcMar>
            <w:vAlign w:val="center"/>
            <w:hideMark/>
          </w:tcPr>
          <w:p w14:paraId="5E2125F2" w14:textId="77777777" w:rsidR="002033B2" w:rsidRPr="002033B2" w:rsidRDefault="002033B2" w:rsidP="002033B2">
            <w:pPr>
              <w:spacing w:line="360" w:lineRule="auto"/>
              <w:jc w:val="center"/>
              <w:rPr>
                <w:rFonts w:ascii="Arial" w:eastAsia="Aptos" w:hAnsi="Arial" w:cs="Arial"/>
                <w:b/>
                <w:bCs/>
                <w:kern w:val="0"/>
                <w:sz w:val="18"/>
                <w:szCs w:val="18"/>
              </w:rPr>
            </w:pPr>
            <w:r w:rsidRPr="002033B2">
              <w:rPr>
                <w:rFonts w:ascii="Arial" w:eastAsia="Aptos" w:hAnsi="Arial" w:cs="Arial"/>
                <w:b/>
                <w:bCs/>
                <w:kern w:val="0"/>
                <w:sz w:val="18"/>
                <w:szCs w:val="18"/>
              </w:rPr>
              <w:t>Ticket Sales (500 attendees @ €100)</w:t>
            </w:r>
          </w:p>
        </w:tc>
        <w:tc>
          <w:tcPr>
            <w:tcW w:w="4082" w:type="dxa"/>
            <w:tcBorders>
              <w:top w:val="single" w:sz="12" w:space="0" w:color="9884FF"/>
              <w:left w:val="single" w:sz="12" w:space="0" w:color="9884FF"/>
              <w:bottom w:val="single" w:sz="12" w:space="0" w:color="9884FF"/>
              <w:right w:val="single" w:sz="12" w:space="0" w:color="9884FF"/>
            </w:tcBorders>
            <w:shd w:val="clear" w:color="auto" w:fill="FFFCF4"/>
            <w:tcMar>
              <w:top w:w="72" w:type="dxa"/>
              <w:left w:w="144" w:type="dxa"/>
              <w:bottom w:w="72" w:type="dxa"/>
              <w:right w:w="144" w:type="dxa"/>
            </w:tcMar>
            <w:vAlign w:val="center"/>
            <w:hideMark/>
          </w:tcPr>
          <w:p w14:paraId="38B997E5" w14:textId="77777777" w:rsidR="002033B2" w:rsidRPr="002033B2" w:rsidRDefault="002033B2" w:rsidP="002033B2">
            <w:pPr>
              <w:spacing w:line="360" w:lineRule="auto"/>
              <w:jc w:val="center"/>
              <w:rPr>
                <w:rFonts w:ascii="Arial" w:eastAsia="Aptos" w:hAnsi="Arial" w:cs="Arial"/>
                <w:b/>
                <w:bCs/>
                <w:kern w:val="0"/>
                <w:sz w:val="18"/>
                <w:szCs w:val="18"/>
              </w:rPr>
            </w:pPr>
            <w:r w:rsidRPr="002033B2">
              <w:rPr>
                <w:rFonts w:ascii="Arial" w:eastAsia="Aptos" w:hAnsi="Arial" w:cs="Arial"/>
                <w:b/>
                <w:bCs/>
                <w:kern w:val="0"/>
                <w:sz w:val="18"/>
                <w:szCs w:val="18"/>
              </w:rPr>
              <w:t>50,000</w:t>
            </w:r>
          </w:p>
        </w:tc>
      </w:tr>
      <w:tr w:rsidR="002033B2" w:rsidRPr="002033B2" w14:paraId="11882449" w14:textId="77777777" w:rsidTr="00FC2C43">
        <w:trPr>
          <w:trHeight w:val="272"/>
        </w:trPr>
        <w:tc>
          <w:tcPr>
            <w:tcW w:w="5173" w:type="dxa"/>
            <w:tcBorders>
              <w:top w:val="single" w:sz="12" w:space="0" w:color="9884FF"/>
              <w:left w:val="single" w:sz="12" w:space="0" w:color="9884FF"/>
              <w:bottom w:val="single" w:sz="12" w:space="0" w:color="9884FF"/>
              <w:right w:val="single" w:sz="12" w:space="0" w:color="9884FF"/>
            </w:tcBorders>
            <w:shd w:val="clear" w:color="auto" w:fill="FFFCF4"/>
            <w:tcMar>
              <w:top w:w="72" w:type="dxa"/>
              <w:left w:w="144" w:type="dxa"/>
              <w:bottom w:w="72" w:type="dxa"/>
              <w:right w:w="144" w:type="dxa"/>
            </w:tcMar>
            <w:vAlign w:val="center"/>
            <w:hideMark/>
          </w:tcPr>
          <w:p w14:paraId="32779612" w14:textId="77777777" w:rsidR="002033B2" w:rsidRPr="002033B2" w:rsidRDefault="002033B2" w:rsidP="002033B2">
            <w:pPr>
              <w:spacing w:line="360" w:lineRule="auto"/>
              <w:jc w:val="center"/>
              <w:rPr>
                <w:rFonts w:ascii="Arial" w:eastAsia="Aptos" w:hAnsi="Arial" w:cs="Arial"/>
                <w:b/>
                <w:bCs/>
                <w:kern w:val="0"/>
                <w:sz w:val="18"/>
                <w:szCs w:val="18"/>
              </w:rPr>
            </w:pPr>
            <w:r w:rsidRPr="002033B2">
              <w:rPr>
                <w:rFonts w:ascii="Arial" w:eastAsia="Aptos" w:hAnsi="Arial" w:cs="Arial"/>
                <w:b/>
                <w:bCs/>
                <w:kern w:val="0"/>
                <w:sz w:val="18"/>
                <w:szCs w:val="18"/>
              </w:rPr>
              <w:t>Merchandise Sales</w:t>
            </w:r>
          </w:p>
        </w:tc>
        <w:tc>
          <w:tcPr>
            <w:tcW w:w="4082" w:type="dxa"/>
            <w:tcBorders>
              <w:top w:val="single" w:sz="12" w:space="0" w:color="9884FF"/>
              <w:left w:val="single" w:sz="12" w:space="0" w:color="9884FF"/>
              <w:bottom w:val="single" w:sz="12" w:space="0" w:color="9884FF"/>
              <w:right w:val="single" w:sz="12" w:space="0" w:color="9884FF"/>
            </w:tcBorders>
            <w:shd w:val="clear" w:color="auto" w:fill="FFFCF4"/>
            <w:tcMar>
              <w:top w:w="72" w:type="dxa"/>
              <w:left w:w="144" w:type="dxa"/>
              <w:bottom w:w="72" w:type="dxa"/>
              <w:right w:w="144" w:type="dxa"/>
            </w:tcMar>
            <w:vAlign w:val="center"/>
            <w:hideMark/>
          </w:tcPr>
          <w:p w14:paraId="30C5061C" w14:textId="77777777" w:rsidR="002033B2" w:rsidRPr="002033B2" w:rsidRDefault="002033B2" w:rsidP="002033B2">
            <w:pPr>
              <w:spacing w:line="360" w:lineRule="auto"/>
              <w:jc w:val="center"/>
              <w:rPr>
                <w:rFonts w:ascii="Arial" w:eastAsia="Aptos" w:hAnsi="Arial" w:cs="Arial"/>
                <w:b/>
                <w:bCs/>
                <w:kern w:val="0"/>
                <w:sz w:val="18"/>
                <w:szCs w:val="18"/>
              </w:rPr>
            </w:pPr>
            <w:r w:rsidRPr="002033B2">
              <w:rPr>
                <w:rFonts w:ascii="Arial" w:eastAsia="Aptos" w:hAnsi="Arial" w:cs="Arial"/>
                <w:b/>
                <w:bCs/>
                <w:kern w:val="0"/>
                <w:sz w:val="18"/>
                <w:szCs w:val="18"/>
              </w:rPr>
              <w:t>20,000</w:t>
            </w:r>
          </w:p>
        </w:tc>
      </w:tr>
      <w:tr w:rsidR="002033B2" w:rsidRPr="002033B2" w14:paraId="532EDADB" w14:textId="77777777" w:rsidTr="00FC2C43">
        <w:trPr>
          <w:trHeight w:val="681"/>
        </w:trPr>
        <w:tc>
          <w:tcPr>
            <w:tcW w:w="5173" w:type="dxa"/>
            <w:tcBorders>
              <w:top w:val="single" w:sz="12" w:space="0" w:color="9884FF"/>
              <w:left w:val="single" w:sz="12" w:space="0" w:color="9884FF"/>
              <w:bottom w:val="single" w:sz="12" w:space="0" w:color="9884FF"/>
              <w:right w:val="single" w:sz="12" w:space="0" w:color="9884FF"/>
            </w:tcBorders>
            <w:shd w:val="clear" w:color="auto" w:fill="FFFCF4"/>
            <w:tcMar>
              <w:top w:w="72" w:type="dxa"/>
              <w:left w:w="144" w:type="dxa"/>
              <w:bottom w:w="72" w:type="dxa"/>
              <w:right w:w="144" w:type="dxa"/>
            </w:tcMar>
            <w:vAlign w:val="center"/>
            <w:hideMark/>
          </w:tcPr>
          <w:p w14:paraId="2EE4BC44" w14:textId="77777777" w:rsidR="002033B2" w:rsidRPr="002033B2" w:rsidRDefault="002033B2" w:rsidP="002033B2">
            <w:pPr>
              <w:spacing w:line="360" w:lineRule="auto"/>
              <w:jc w:val="center"/>
              <w:rPr>
                <w:rFonts w:ascii="Arial" w:eastAsia="Aptos" w:hAnsi="Arial" w:cs="Arial"/>
                <w:b/>
                <w:bCs/>
                <w:kern w:val="0"/>
                <w:sz w:val="22"/>
                <w:szCs w:val="22"/>
              </w:rPr>
            </w:pPr>
            <w:r w:rsidRPr="002033B2">
              <w:rPr>
                <w:rFonts w:ascii="Arial" w:eastAsia="Aptos" w:hAnsi="Arial" w:cs="Arial"/>
                <w:b/>
                <w:bCs/>
                <w:kern w:val="0"/>
                <w:sz w:val="22"/>
                <w:szCs w:val="22"/>
              </w:rPr>
              <w:t>Total Revenue</w:t>
            </w:r>
          </w:p>
        </w:tc>
        <w:tc>
          <w:tcPr>
            <w:tcW w:w="4082" w:type="dxa"/>
            <w:tcBorders>
              <w:top w:val="single" w:sz="12" w:space="0" w:color="9884FF"/>
              <w:left w:val="single" w:sz="12" w:space="0" w:color="9884FF"/>
              <w:bottom w:val="single" w:sz="12" w:space="0" w:color="9884FF"/>
              <w:right w:val="single" w:sz="12" w:space="0" w:color="9884FF"/>
            </w:tcBorders>
            <w:shd w:val="clear" w:color="auto" w:fill="FFFCF4"/>
            <w:tcMar>
              <w:top w:w="72" w:type="dxa"/>
              <w:left w:w="144" w:type="dxa"/>
              <w:bottom w:w="72" w:type="dxa"/>
              <w:right w:w="144" w:type="dxa"/>
            </w:tcMar>
            <w:vAlign w:val="center"/>
            <w:hideMark/>
          </w:tcPr>
          <w:p w14:paraId="18175BF1" w14:textId="77777777" w:rsidR="002033B2" w:rsidRPr="002033B2" w:rsidRDefault="002033B2" w:rsidP="002033B2">
            <w:pPr>
              <w:spacing w:line="360" w:lineRule="auto"/>
              <w:jc w:val="center"/>
              <w:rPr>
                <w:rFonts w:ascii="Arial" w:eastAsia="Aptos" w:hAnsi="Arial" w:cs="Arial"/>
                <w:b/>
                <w:bCs/>
                <w:kern w:val="0"/>
                <w:sz w:val="22"/>
                <w:szCs w:val="22"/>
              </w:rPr>
            </w:pPr>
            <w:r w:rsidRPr="002033B2">
              <w:rPr>
                <w:rFonts w:ascii="Arial" w:eastAsia="Aptos" w:hAnsi="Arial" w:cs="Arial"/>
                <w:b/>
                <w:bCs/>
                <w:kern w:val="0"/>
                <w:sz w:val="22"/>
                <w:szCs w:val="22"/>
              </w:rPr>
              <w:t>150,000</w:t>
            </w:r>
          </w:p>
        </w:tc>
      </w:tr>
    </w:tbl>
    <w:p w14:paraId="478EE723" w14:textId="77777777" w:rsidR="002033B2" w:rsidRPr="002033B2" w:rsidRDefault="002033B2" w:rsidP="002033B2">
      <w:pPr>
        <w:spacing w:line="360" w:lineRule="auto"/>
        <w:jc w:val="both"/>
        <w:rPr>
          <w:rFonts w:ascii="Arial" w:eastAsia="Aptos" w:hAnsi="Arial" w:cs="Arial"/>
          <w:kern w:val="0"/>
          <w:sz w:val="22"/>
          <w:szCs w:val="22"/>
        </w:rPr>
      </w:pPr>
    </w:p>
    <w:p w14:paraId="504612EA" w14:textId="77777777" w:rsidR="002033B2" w:rsidRPr="002033B2" w:rsidRDefault="002033B2" w:rsidP="002033B2">
      <w:pPr>
        <w:spacing w:line="360" w:lineRule="auto"/>
        <w:jc w:val="both"/>
        <w:rPr>
          <w:rFonts w:ascii="Arial" w:eastAsia="Aptos" w:hAnsi="Arial" w:cs="Arial"/>
          <w:kern w:val="0"/>
          <w:sz w:val="22"/>
          <w:szCs w:val="22"/>
        </w:rPr>
      </w:pPr>
      <w:r w:rsidRPr="002033B2">
        <w:rPr>
          <w:rFonts w:ascii="Arial" w:eastAsia="Aptos" w:hAnsi="Arial" w:cs="Arial"/>
          <w:kern w:val="0"/>
          <w:sz w:val="22"/>
          <w:szCs w:val="22"/>
        </w:rPr>
        <w:t>The event's revenue is predominantly derived from corporate sponsorships, which account for £80,000 or 53% of the total. Hospitality brands are enthusiastic about supporting events that are consistent with their corporate social responsibility objectives, as they acknowledge the importance of LGBTQ+ inclusivity (Toal and Brown, 2022).</w:t>
      </w:r>
    </w:p>
    <w:p w14:paraId="2B5075BF" w14:textId="77777777" w:rsidR="002033B2" w:rsidRPr="002033B2" w:rsidRDefault="002033B2" w:rsidP="002033B2">
      <w:pPr>
        <w:spacing w:line="360" w:lineRule="auto"/>
        <w:jc w:val="both"/>
        <w:rPr>
          <w:rFonts w:ascii="Arial" w:eastAsia="Aptos" w:hAnsi="Arial" w:cs="Arial"/>
          <w:kern w:val="0"/>
          <w:sz w:val="22"/>
          <w:szCs w:val="22"/>
        </w:rPr>
      </w:pPr>
      <w:r w:rsidRPr="002033B2">
        <w:rPr>
          <w:rFonts w:ascii="Arial" w:eastAsia="Aptos" w:hAnsi="Arial" w:cs="Arial"/>
          <w:kern w:val="0"/>
          <w:sz w:val="22"/>
          <w:szCs w:val="22"/>
        </w:rPr>
        <w:lastRenderedPageBreak/>
        <w:t>Assuming that 500 attendees purchase tickets at £100 each, ticket sales generate £50,000. To promote participation, ticket prices are maintained at a reasonable level, with particular focus on independent hospitality professionals and small businesses (Mehmood, 2020).</w:t>
      </w:r>
    </w:p>
    <w:p w14:paraId="48C1F8F4" w14:textId="77777777" w:rsidR="002033B2" w:rsidRPr="002033B2" w:rsidRDefault="002033B2" w:rsidP="002033B2">
      <w:pPr>
        <w:spacing w:line="360" w:lineRule="auto"/>
        <w:jc w:val="both"/>
        <w:rPr>
          <w:rFonts w:ascii="Arial" w:eastAsia="Aptos" w:hAnsi="Arial" w:cs="Arial"/>
          <w:kern w:val="0"/>
          <w:sz w:val="22"/>
          <w:szCs w:val="22"/>
        </w:rPr>
      </w:pPr>
      <w:r w:rsidRPr="002033B2">
        <w:rPr>
          <w:rFonts w:ascii="Arial" w:eastAsia="Aptos" w:hAnsi="Arial" w:cs="Arial"/>
          <w:kern w:val="0"/>
          <w:sz w:val="22"/>
          <w:szCs w:val="22"/>
        </w:rPr>
        <w:t>Merchandise sales contribute an additional £20,000, which is used to cover the cost of branded event materials, including journals, T-shirts, and tote bags. According to research, event merchandise not only increases brand recall but also generates revenue (Getz and Page, 2024).</w:t>
      </w:r>
    </w:p>
    <w:p w14:paraId="547876F1" w14:textId="77777777" w:rsidR="002033B2" w:rsidRPr="002033B2" w:rsidRDefault="002033B2" w:rsidP="002033B2">
      <w:pPr>
        <w:spacing w:line="360" w:lineRule="auto"/>
        <w:jc w:val="both"/>
        <w:rPr>
          <w:rFonts w:ascii="Arial" w:eastAsia="Aptos" w:hAnsi="Arial" w:cs="Arial"/>
          <w:b/>
          <w:bCs/>
          <w:kern w:val="0"/>
          <w:sz w:val="22"/>
          <w:szCs w:val="22"/>
        </w:rPr>
      </w:pPr>
      <w:r w:rsidRPr="002033B2">
        <w:rPr>
          <w:rFonts w:ascii="Arial" w:eastAsia="Aptos" w:hAnsi="Arial" w:cs="Arial"/>
          <w:b/>
          <w:bCs/>
          <w:kern w:val="0"/>
          <w:sz w:val="22"/>
          <w:szCs w:val="22"/>
        </w:rPr>
        <w:t>Financial Feasibility</w:t>
      </w:r>
    </w:p>
    <w:p w14:paraId="2C77CE46" w14:textId="77777777" w:rsidR="002033B2" w:rsidRPr="002033B2" w:rsidRDefault="002033B2" w:rsidP="002033B2">
      <w:pPr>
        <w:spacing w:line="360" w:lineRule="auto"/>
        <w:jc w:val="both"/>
        <w:rPr>
          <w:rFonts w:ascii="Arial" w:eastAsia="Aptos" w:hAnsi="Arial" w:cs="Arial"/>
          <w:kern w:val="0"/>
          <w:sz w:val="22"/>
          <w:szCs w:val="22"/>
        </w:rPr>
      </w:pPr>
      <w:r w:rsidRPr="002033B2">
        <w:rPr>
          <w:rFonts w:ascii="Arial" w:eastAsia="Aptos" w:hAnsi="Arial" w:cs="Arial"/>
          <w:kern w:val="0"/>
          <w:sz w:val="22"/>
          <w:szCs w:val="22"/>
        </w:rPr>
        <w:t>The event reaches its break-even point, guaranteeing that all expenses are recouped. Structured budgeting and financial planning facilitate stability and mitigate unexpected losses (Janjusevic and Mathur, 2021).</w:t>
      </w:r>
    </w:p>
    <w:p w14:paraId="0B311B4A" w14:textId="77777777" w:rsidR="002033B2" w:rsidRPr="002033B2" w:rsidRDefault="002033B2" w:rsidP="002033B2">
      <w:pPr>
        <w:spacing w:line="360" w:lineRule="auto"/>
        <w:jc w:val="both"/>
        <w:rPr>
          <w:rFonts w:ascii="Arial" w:eastAsia="Aptos" w:hAnsi="Arial" w:cs="Arial"/>
          <w:kern w:val="0"/>
          <w:sz w:val="22"/>
          <w:szCs w:val="22"/>
        </w:rPr>
      </w:pPr>
      <w:r w:rsidRPr="002033B2">
        <w:rPr>
          <w:rFonts w:ascii="Arial" w:eastAsia="Aptos" w:hAnsi="Arial" w:cs="Arial"/>
          <w:kern w:val="0"/>
          <w:sz w:val="22"/>
          <w:szCs w:val="22"/>
        </w:rPr>
        <w:t>By procuring sponsorships and diversifying revenue sources, the Pride in Hospitality Leadership Summit provides a sustainable financial model for future editions.</w:t>
      </w:r>
    </w:p>
    <w:p w14:paraId="75F0A0C6" w14:textId="77777777" w:rsidR="002033B2" w:rsidRPr="002033B2" w:rsidRDefault="002033B2" w:rsidP="002033B2">
      <w:pPr>
        <w:spacing w:line="360" w:lineRule="auto"/>
        <w:jc w:val="both"/>
        <w:rPr>
          <w:rFonts w:ascii="Arial" w:eastAsia="Aptos" w:hAnsi="Arial" w:cs="Arial"/>
          <w:kern w:val="0"/>
          <w:sz w:val="22"/>
          <w:szCs w:val="22"/>
        </w:rPr>
      </w:pPr>
    </w:p>
    <w:p w14:paraId="2B54C34B" w14:textId="77777777" w:rsidR="002033B2" w:rsidRPr="002033B2" w:rsidRDefault="002033B2" w:rsidP="002033B2">
      <w:pPr>
        <w:numPr>
          <w:ilvl w:val="0"/>
          <w:numId w:val="8"/>
        </w:numPr>
        <w:spacing w:line="360" w:lineRule="auto"/>
        <w:contextualSpacing/>
        <w:jc w:val="both"/>
        <w:rPr>
          <w:rFonts w:ascii="Arial" w:eastAsia="Aptos" w:hAnsi="Arial" w:cs="Arial"/>
          <w:b/>
          <w:bCs/>
          <w:kern w:val="0"/>
          <w:sz w:val="22"/>
          <w:szCs w:val="22"/>
          <w:u w:val="single"/>
        </w:rPr>
      </w:pPr>
      <w:r w:rsidRPr="002033B2">
        <w:rPr>
          <w:rFonts w:ascii="Arial" w:eastAsia="Aptos" w:hAnsi="Arial" w:cs="Arial"/>
          <w:b/>
          <w:bCs/>
          <w:kern w:val="0"/>
          <w:sz w:val="22"/>
          <w:szCs w:val="22"/>
          <w:u w:val="single"/>
        </w:rPr>
        <w:t>Situational and Cultural Considerations</w:t>
      </w:r>
    </w:p>
    <w:p w14:paraId="6DD4D55B" w14:textId="77777777" w:rsidR="002033B2" w:rsidRPr="002033B2" w:rsidRDefault="002033B2" w:rsidP="002033B2">
      <w:pPr>
        <w:spacing w:line="360" w:lineRule="auto"/>
        <w:jc w:val="both"/>
        <w:rPr>
          <w:rFonts w:ascii="Arial" w:eastAsia="Aptos" w:hAnsi="Arial" w:cs="Arial"/>
          <w:kern w:val="0"/>
          <w:sz w:val="22"/>
          <w:szCs w:val="22"/>
        </w:rPr>
      </w:pPr>
      <w:r w:rsidRPr="002033B2">
        <w:rPr>
          <w:rFonts w:ascii="Arial" w:eastAsia="Aptos" w:hAnsi="Arial" w:cs="Arial"/>
          <w:noProof/>
          <w:kern w:val="0"/>
          <w:sz w:val="22"/>
          <w:szCs w:val="22"/>
        </w:rPr>
        <w:drawing>
          <wp:anchor distT="0" distB="0" distL="114300" distR="114300" simplePos="0" relativeHeight="251662336" behindDoc="0" locked="0" layoutInCell="1" allowOverlap="1" wp14:anchorId="59733039" wp14:editId="330DD72B">
            <wp:simplePos x="0" y="0"/>
            <wp:positionH relativeFrom="margin">
              <wp:align>left</wp:align>
            </wp:positionH>
            <wp:positionV relativeFrom="paragraph">
              <wp:posOffset>21590</wp:posOffset>
            </wp:positionV>
            <wp:extent cx="2929255" cy="2552700"/>
            <wp:effectExtent l="0" t="0" r="4445" b="0"/>
            <wp:wrapSquare wrapText="bothSides"/>
            <wp:docPr id="1793099790" name="Picture 1" descr="A colorful circles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3099790" name="Picture 1" descr="A colorful circles with text&#10;&#10;AI-generated content may be incorrect."/>
                    <pic:cNvPicPr/>
                  </pic:nvPicPr>
                  <pic:blipFill>
                    <a:blip r:embed="rId16">
                      <a:extLst>
                        <a:ext uri="{28A0092B-C50C-407E-A947-70E740481C1C}">
                          <a14:useLocalDpi xmlns:a14="http://schemas.microsoft.com/office/drawing/2010/main" val="0"/>
                        </a:ext>
                      </a:extLst>
                    </a:blip>
                    <a:stretch>
                      <a:fillRect/>
                    </a:stretch>
                  </pic:blipFill>
                  <pic:spPr>
                    <a:xfrm>
                      <a:off x="0" y="0"/>
                      <a:ext cx="2931769" cy="2554717"/>
                    </a:xfrm>
                    <a:prstGeom prst="rect">
                      <a:avLst/>
                    </a:prstGeom>
                  </pic:spPr>
                </pic:pic>
              </a:graphicData>
            </a:graphic>
            <wp14:sizeRelH relativeFrom="margin">
              <wp14:pctWidth>0</wp14:pctWidth>
            </wp14:sizeRelH>
            <wp14:sizeRelV relativeFrom="margin">
              <wp14:pctHeight>0</wp14:pctHeight>
            </wp14:sizeRelV>
          </wp:anchor>
        </w:drawing>
      </w:r>
      <w:r w:rsidRPr="002033B2">
        <w:rPr>
          <w:rFonts w:ascii="Arial" w:eastAsia="Aptos" w:hAnsi="Arial" w:cs="Arial"/>
          <w:kern w:val="0"/>
          <w:sz w:val="22"/>
          <w:szCs w:val="22"/>
        </w:rPr>
        <w:t>It is imperative to understand the event's broader context in order to ensure its success. A PESTEL analysis is employed to identify the primary external factors that affect the Pride in Hospitality Leadership Summit (Ramely et al., 2023).</w:t>
      </w:r>
    </w:p>
    <w:p w14:paraId="1909FE58" w14:textId="77777777" w:rsidR="002033B2" w:rsidRPr="002033B2" w:rsidRDefault="002033B2" w:rsidP="002033B2">
      <w:pPr>
        <w:spacing w:line="360" w:lineRule="auto"/>
        <w:jc w:val="both"/>
        <w:rPr>
          <w:rFonts w:ascii="Arial" w:eastAsia="Aptos" w:hAnsi="Arial" w:cs="Arial"/>
          <w:b/>
          <w:bCs/>
          <w:kern w:val="0"/>
          <w:sz w:val="22"/>
          <w:szCs w:val="22"/>
        </w:rPr>
      </w:pPr>
      <w:r w:rsidRPr="002033B2">
        <w:rPr>
          <w:rFonts w:ascii="Segoe UI Emoji" w:eastAsia="Aptos" w:hAnsi="Segoe UI Emoji" w:cs="Segoe UI Emoji"/>
          <w:b/>
          <w:bCs/>
          <w:kern w:val="0"/>
          <w:sz w:val="22"/>
          <w:szCs w:val="22"/>
        </w:rPr>
        <w:t>📌</w:t>
      </w:r>
      <w:r w:rsidRPr="002033B2">
        <w:rPr>
          <w:rFonts w:ascii="Arial" w:eastAsia="Aptos" w:hAnsi="Arial" w:cs="Arial"/>
          <w:b/>
          <w:bCs/>
          <w:kern w:val="0"/>
          <w:sz w:val="22"/>
          <w:szCs w:val="22"/>
        </w:rPr>
        <w:t>Political/Legal Considerations</w:t>
      </w:r>
    </w:p>
    <w:p w14:paraId="2F6F3A3B" w14:textId="77777777" w:rsidR="002033B2" w:rsidRPr="002033B2" w:rsidRDefault="002033B2" w:rsidP="002033B2">
      <w:pPr>
        <w:spacing w:line="360" w:lineRule="auto"/>
        <w:jc w:val="both"/>
        <w:rPr>
          <w:rFonts w:ascii="Arial" w:eastAsia="Aptos" w:hAnsi="Arial" w:cs="Arial"/>
          <w:kern w:val="0"/>
          <w:sz w:val="22"/>
          <w:szCs w:val="22"/>
        </w:rPr>
      </w:pPr>
      <w:r w:rsidRPr="002033B2">
        <w:rPr>
          <w:rFonts w:ascii="Arial" w:eastAsia="Aptos" w:hAnsi="Arial" w:cs="Arial"/>
          <w:kern w:val="0"/>
          <w:sz w:val="22"/>
          <w:szCs w:val="22"/>
        </w:rPr>
        <w:t>According to the Government of the Netherlands (2024), the Equal Treatment Act 1994 guarantees the protection of LGBTQ+ individuals under Dutch law. The event's mission of workplace inclusivity is strengthened by this robust legal framework, allowing organisations to engage with it with confidence.</w:t>
      </w:r>
    </w:p>
    <w:p w14:paraId="5919AF1E" w14:textId="77777777" w:rsidR="002033B2" w:rsidRPr="002033B2" w:rsidRDefault="002033B2" w:rsidP="002033B2">
      <w:pPr>
        <w:spacing w:line="360" w:lineRule="auto"/>
        <w:jc w:val="both"/>
        <w:rPr>
          <w:rFonts w:ascii="Arial" w:eastAsia="Aptos" w:hAnsi="Arial" w:cs="Arial"/>
          <w:b/>
          <w:bCs/>
          <w:kern w:val="0"/>
          <w:sz w:val="22"/>
          <w:szCs w:val="22"/>
        </w:rPr>
      </w:pPr>
      <w:r w:rsidRPr="002033B2">
        <w:rPr>
          <w:rFonts w:ascii="Segoe UI Emoji" w:eastAsia="Aptos" w:hAnsi="Segoe UI Emoji" w:cs="Segoe UI Emoji"/>
          <w:b/>
          <w:bCs/>
          <w:kern w:val="0"/>
          <w:sz w:val="22"/>
          <w:szCs w:val="22"/>
        </w:rPr>
        <w:t>📌</w:t>
      </w:r>
      <w:r w:rsidRPr="002033B2">
        <w:rPr>
          <w:rFonts w:ascii="Arial" w:eastAsia="Aptos" w:hAnsi="Arial" w:cs="Arial"/>
          <w:b/>
          <w:bCs/>
          <w:kern w:val="0"/>
          <w:sz w:val="22"/>
          <w:szCs w:val="22"/>
        </w:rPr>
        <w:t>Economic Factors</w:t>
      </w:r>
    </w:p>
    <w:p w14:paraId="495FE8E4" w14:textId="77777777" w:rsidR="002033B2" w:rsidRPr="002033B2" w:rsidRDefault="002033B2" w:rsidP="002033B2">
      <w:pPr>
        <w:spacing w:line="360" w:lineRule="auto"/>
        <w:jc w:val="both"/>
        <w:rPr>
          <w:rFonts w:ascii="Arial" w:eastAsia="Aptos" w:hAnsi="Arial" w:cs="Arial"/>
          <w:kern w:val="0"/>
          <w:sz w:val="22"/>
          <w:szCs w:val="22"/>
        </w:rPr>
      </w:pPr>
      <w:r w:rsidRPr="002033B2">
        <w:rPr>
          <w:rFonts w:ascii="Arial" w:eastAsia="Aptos" w:hAnsi="Arial" w:cs="Arial"/>
          <w:kern w:val="0"/>
          <w:sz w:val="22"/>
          <w:szCs w:val="22"/>
        </w:rPr>
        <w:t>Corporate sponsorships and investments in diversity initiatives are on the rise as the hospitality sector recovers from the pandemic (Getz and Page, 2024). The financial climate is favourable for this event, as global brands prioritise inclusive leadership.</w:t>
      </w:r>
    </w:p>
    <w:p w14:paraId="7F76483E" w14:textId="77777777" w:rsidR="002033B2" w:rsidRPr="002033B2" w:rsidRDefault="002033B2" w:rsidP="002033B2">
      <w:pPr>
        <w:spacing w:line="360" w:lineRule="auto"/>
        <w:jc w:val="both"/>
        <w:rPr>
          <w:rFonts w:ascii="Arial" w:eastAsia="Aptos" w:hAnsi="Arial" w:cs="Arial"/>
          <w:b/>
          <w:bCs/>
          <w:kern w:val="0"/>
          <w:sz w:val="22"/>
          <w:szCs w:val="22"/>
        </w:rPr>
      </w:pPr>
      <w:r w:rsidRPr="002033B2">
        <w:rPr>
          <w:rFonts w:ascii="Segoe UI Emoji" w:eastAsia="Aptos" w:hAnsi="Segoe UI Emoji" w:cs="Segoe UI Emoji"/>
          <w:b/>
          <w:bCs/>
          <w:kern w:val="0"/>
          <w:sz w:val="22"/>
          <w:szCs w:val="22"/>
        </w:rPr>
        <w:lastRenderedPageBreak/>
        <w:t>📌</w:t>
      </w:r>
      <w:r w:rsidRPr="002033B2">
        <w:rPr>
          <w:rFonts w:ascii="Arial" w:eastAsia="Aptos" w:hAnsi="Arial" w:cs="Arial"/>
          <w:b/>
          <w:bCs/>
          <w:kern w:val="0"/>
          <w:sz w:val="22"/>
          <w:szCs w:val="22"/>
        </w:rPr>
        <w:t>Social Considerations</w:t>
      </w:r>
    </w:p>
    <w:p w14:paraId="77BE756C" w14:textId="77777777" w:rsidR="002033B2" w:rsidRPr="002033B2" w:rsidRDefault="002033B2" w:rsidP="002033B2">
      <w:pPr>
        <w:spacing w:line="360" w:lineRule="auto"/>
        <w:jc w:val="both"/>
        <w:rPr>
          <w:rFonts w:ascii="Arial" w:eastAsia="Aptos" w:hAnsi="Arial" w:cs="Arial"/>
          <w:kern w:val="0"/>
          <w:sz w:val="22"/>
          <w:szCs w:val="22"/>
        </w:rPr>
      </w:pPr>
      <w:r w:rsidRPr="002033B2">
        <w:rPr>
          <w:rFonts w:ascii="Arial" w:eastAsia="Aptos" w:hAnsi="Arial" w:cs="Arial"/>
          <w:kern w:val="0"/>
          <w:sz w:val="22"/>
          <w:szCs w:val="22"/>
        </w:rPr>
        <w:t>Public demand for inclusive corporate environments is on the rise (Ray, 2019). LGBTQ+ professionals are searching for secure work environments, and companies are responding by participating in industry-specific DEI (Diversity, Equity, and Inclusion) events.</w:t>
      </w:r>
    </w:p>
    <w:p w14:paraId="60AB96A9" w14:textId="77777777" w:rsidR="002033B2" w:rsidRPr="002033B2" w:rsidRDefault="002033B2" w:rsidP="002033B2">
      <w:pPr>
        <w:spacing w:line="360" w:lineRule="auto"/>
        <w:jc w:val="both"/>
        <w:rPr>
          <w:rFonts w:ascii="Arial" w:eastAsia="Aptos" w:hAnsi="Arial" w:cs="Arial"/>
          <w:b/>
          <w:bCs/>
          <w:kern w:val="0"/>
          <w:sz w:val="22"/>
          <w:szCs w:val="22"/>
        </w:rPr>
      </w:pPr>
      <w:r w:rsidRPr="002033B2">
        <w:rPr>
          <w:rFonts w:ascii="Segoe UI Emoji" w:eastAsia="Aptos" w:hAnsi="Segoe UI Emoji" w:cs="Segoe UI Emoji"/>
          <w:b/>
          <w:bCs/>
          <w:kern w:val="0"/>
          <w:sz w:val="22"/>
          <w:szCs w:val="22"/>
        </w:rPr>
        <w:t>📌</w:t>
      </w:r>
      <w:r w:rsidRPr="002033B2">
        <w:rPr>
          <w:rFonts w:ascii="Arial" w:eastAsia="Aptos" w:hAnsi="Arial" w:cs="Arial"/>
          <w:b/>
          <w:bCs/>
          <w:kern w:val="0"/>
          <w:sz w:val="22"/>
          <w:szCs w:val="22"/>
        </w:rPr>
        <w:t>Technological Influences</w:t>
      </w:r>
    </w:p>
    <w:p w14:paraId="31BFB6EC" w14:textId="77777777" w:rsidR="002033B2" w:rsidRPr="002033B2" w:rsidRDefault="002033B2" w:rsidP="002033B2">
      <w:pPr>
        <w:spacing w:line="360" w:lineRule="auto"/>
        <w:jc w:val="both"/>
        <w:rPr>
          <w:rFonts w:ascii="Arial" w:eastAsia="Aptos" w:hAnsi="Arial" w:cs="Arial"/>
          <w:kern w:val="0"/>
          <w:sz w:val="22"/>
          <w:szCs w:val="22"/>
        </w:rPr>
      </w:pPr>
      <w:r w:rsidRPr="002033B2">
        <w:rPr>
          <w:rFonts w:ascii="Arial" w:eastAsia="Aptos" w:hAnsi="Arial" w:cs="Arial"/>
          <w:kern w:val="0"/>
          <w:sz w:val="22"/>
          <w:szCs w:val="22"/>
        </w:rPr>
        <w:t>The hybrid event model facilitates increased accessibility and participation (Doran et al., 2024). Attendees from around the globe can participate in the summit through digital networking tools and live streaming.</w:t>
      </w:r>
    </w:p>
    <w:p w14:paraId="22D95A4C" w14:textId="77777777" w:rsidR="002033B2" w:rsidRPr="002033B2" w:rsidRDefault="002033B2" w:rsidP="002033B2">
      <w:pPr>
        <w:spacing w:line="360" w:lineRule="auto"/>
        <w:jc w:val="both"/>
        <w:rPr>
          <w:rFonts w:ascii="Arial" w:eastAsia="Aptos" w:hAnsi="Arial" w:cs="Arial"/>
          <w:b/>
          <w:bCs/>
          <w:kern w:val="0"/>
          <w:sz w:val="22"/>
          <w:szCs w:val="22"/>
        </w:rPr>
      </w:pPr>
      <w:r w:rsidRPr="002033B2">
        <w:rPr>
          <w:rFonts w:ascii="Segoe UI Emoji" w:eastAsia="Aptos" w:hAnsi="Segoe UI Emoji" w:cs="Segoe UI Emoji"/>
          <w:b/>
          <w:bCs/>
          <w:kern w:val="0"/>
          <w:sz w:val="22"/>
          <w:szCs w:val="22"/>
        </w:rPr>
        <w:t>📌</w:t>
      </w:r>
      <w:r w:rsidRPr="002033B2">
        <w:rPr>
          <w:rFonts w:ascii="Arial" w:eastAsia="Aptos" w:hAnsi="Arial" w:cs="Arial"/>
          <w:b/>
          <w:bCs/>
          <w:kern w:val="0"/>
          <w:sz w:val="22"/>
          <w:szCs w:val="22"/>
        </w:rPr>
        <w:t>Environmental Considerations</w:t>
      </w:r>
    </w:p>
    <w:p w14:paraId="0769D1EE" w14:textId="77777777" w:rsidR="002033B2" w:rsidRPr="002033B2" w:rsidRDefault="002033B2" w:rsidP="002033B2">
      <w:pPr>
        <w:spacing w:line="360" w:lineRule="auto"/>
        <w:jc w:val="both"/>
        <w:rPr>
          <w:rFonts w:ascii="Arial" w:eastAsia="Aptos" w:hAnsi="Arial" w:cs="Arial"/>
          <w:kern w:val="0"/>
          <w:sz w:val="22"/>
          <w:szCs w:val="22"/>
        </w:rPr>
      </w:pPr>
      <w:r w:rsidRPr="002033B2">
        <w:rPr>
          <w:rFonts w:ascii="Arial" w:eastAsia="Aptos" w:hAnsi="Arial" w:cs="Arial"/>
          <w:kern w:val="0"/>
          <w:sz w:val="22"/>
          <w:szCs w:val="22"/>
        </w:rPr>
        <w:t>Sustainability is a top priority. The event collaborates with catering businesses that are LGBTQ+-owned and specialise in eco-friendly culinary services (Hottle et al., 2015).</w:t>
      </w:r>
    </w:p>
    <w:p w14:paraId="01A75368" w14:textId="77777777" w:rsidR="002033B2" w:rsidRPr="002033B2" w:rsidRDefault="002033B2" w:rsidP="002033B2">
      <w:pPr>
        <w:spacing w:line="360" w:lineRule="auto"/>
        <w:jc w:val="both"/>
        <w:rPr>
          <w:rFonts w:ascii="Arial" w:eastAsia="Aptos" w:hAnsi="Arial" w:cs="Arial"/>
          <w:b/>
          <w:bCs/>
          <w:kern w:val="0"/>
          <w:sz w:val="22"/>
          <w:szCs w:val="22"/>
        </w:rPr>
      </w:pPr>
      <w:r w:rsidRPr="002033B2">
        <w:rPr>
          <w:rFonts w:ascii="Segoe UI Emoji" w:eastAsia="Aptos" w:hAnsi="Segoe UI Emoji" w:cs="Segoe UI Emoji"/>
          <w:b/>
          <w:bCs/>
          <w:kern w:val="0"/>
          <w:sz w:val="22"/>
          <w:szCs w:val="22"/>
        </w:rPr>
        <w:t>📌</w:t>
      </w:r>
      <w:r w:rsidRPr="002033B2">
        <w:rPr>
          <w:rFonts w:ascii="Arial" w:eastAsia="Aptos" w:hAnsi="Arial" w:cs="Arial"/>
          <w:b/>
          <w:bCs/>
          <w:kern w:val="0"/>
          <w:sz w:val="22"/>
          <w:szCs w:val="22"/>
        </w:rPr>
        <w:t>Competitive Landscape</w:t>
      </w:r>
    </w:p>
    <w:p w14:paraId="0B377C40" w14:textId="77777777" w:rsidR="002033B2" w:rsidRPr="002033B2" w:rsidRDefault="002033B2" w:rsidP="002033B2">
      <w:pPr>
        <w:spacing w:line="360" w:lineRule="auto"/>
        <w:jc w:val="both"/>
        <w:rPr>
          <w:rFonts w:ascii="Arial" w:eastAsia="Aptos" w:hAnsi="Arial" w:cs="Arial"/>
          <w:kern w:val="0"/>
          <w:sz w:val="22"/>
          <w:szCs w:val="22"/>
        </w:rPr>
      </w:pPr>
      <w:r w:rsidRPr="002033B2">
        <w:rPr>
          <w:rFonts w:ascii="Arial" w:eastAsia="Aptos" w:hAnsi="Arial" w:cs="Arial"/>
          <w:kern w:val="0"/>
          <w:sz w:val="22"/>
          <w:szCs w:val="22"/>
        </w:rPr>
        <w:t>This summit has the potential to lead the conversation, as there are few LGBTQ+-focused hospitality events (Nadda et al., 2020).</w:t>
      </w:r>
    </w:p>
    <w:p w14:paraId="6AA650F5" w14:textId="77777777" w:rsidR="002033B2" w:rsidRPr="002033B2" w:rsidRDefault="002033B2" w:rsidP="002033B2">
      <w:pPr>
        <w:spacing w:line="360" w:lineRule="auto"/>
        <w:jc w:val="both"/>
        <w:rPr>
          <w:rFonts w:ascii="Arial" w:eastAsia="Aptos" w:hAnsi="Arial" w:cs="Arial"/>
          <w:kern w:val="0"/>
          <w:sz w:val="22"/>
          <w:szCs w:val="22"/>
        </w:rPr>
      </w:pPr>
      <w:r w:rsidRPr="002033B2">
        <w:rPr>
          <w:rFonts w:ascii="Arial" w:eastAsia="Aptos" w:hAnsi="Arial" w:cs="Arial"/>
          <w:kern w:val="0"/>
          <w:sz w:val="22"/>
          <w:szCs w:val="22"/>
        </w:rPr>
        <w:t>By conducting an analysis of these factors, the event is in accordance with global inclusion initiatives, stakeholder expectations, and industry trends (Ramely et al., 2023).</w:t>
      </w:r>
    </w:p>
    <w:p w14:paraId="097CA4B5" w14:textId="77777777" w:rsidR="002033B2" w:rsidRPr="002033B2" w:rsidRDefault="002033B2" w:rsidP="002033B2">
      <w:pPr>
        <w:spacing w:line="360" w:lineRule="auto"/>
        <w:jc w:val="both"/>
        <w:rPr>
          <w:rFonts w:ascii="Arial" w:eastAsia="Aptos" w:hAnsi="Arial" w:cs="Arial"/>
          <w:kern w:val="0"/>
          <w:sz w:val="22"/>
          <w:szCs w:val="22"/>
        </w:rPr>
      </w:pPr>
    </w:p>
    <w:p w14:paraId="0DC75985" w14:textId="77777777" w:rsidR="002033B2" w:rsidRPr="002033B2" w:rsidRDefault="002033B2" w:rsidP="002033B2">
      <w:pPr>
        <w:numPr>
          <w:ilvl w:val="0"/>
          <w:numId w:val="8"/>
        </w:numPr>
        <w:spacing w:line="360" w:lineRule="auto"/>
        <w:contextualSpacing/>
        <w:jc w:val="both"/>
        <w:rPr>
          <w:rFonts w:ascii="Arial" w:eastAsia="Aptos" w:hAnsi="Arial" w:cs="Arial"/>
          <w:b/>
          <w:bCs/>
          <w:kern w:val="0"/>
          <w:sz w:val="22"/>
          <w:szCs w:val="22"/>
          <w:u w:val="single"/>
        </w:rPr>
      </w:pPr>
      <w:r w:rsidRPr="002033B2">
        <w:rPr>
          <w:rFonts w:ascii="Arial" w:eastAsia="Aptos" w:hAnsi="Arial" w:cs="Arial"/>
          <w:b/>
          <w:bCs/>
          <w:kern w:val="0"/>
          <w:sz w:val="22"/>
          <w:szCs w:val="22"/>
          <w:u w:val="single"/>
        </w:rPr>
        <w:t>Conclusion and Recommendations</w:t>
      </w:r>
    </w:p>
    <w:p w14:paraId="33C20BC6" w14:textId="77777777" w:rsidR="002033B2" w:rsidRPr="002033B2" w:rsidRDefault="002033B2" w:rsidP="002033B2">
      <w:pPr>
        <w:spacing w:line="360" w:lineRule="auto"/>
        <w:jc w:val="both"/>
        <w:rPr>
          <w:rFonts w:ascii="Arial" w:eastAsia="Aptos" w:hAnsi="Arial" w:cs="Arial"/>
          <w:kern w:val="0"/>
          <w:sz w:val="22"/>
          <w:szCs w:val="22"/>
        </w:rPr>
      </w:pPr>
      <w:r w:rsidRPr="002033B2">
        <w:rPr>
          <w:rFonts w:ascii="Arial" w:eastAsia="Aptos" w:hAnsi="Arial" w:cs="Arial"/>
          <w:noProof/>
          <w:kern w:val="0"/>
          <w:sz w:val="22"/>
          <w:szCs w:val="22"/>
        </w:rPr>
        <w:drawing>
          <wp:anchor distT="0" distB="0" distL="114300" distR="114300" simplePos="0" relativeHeight="251663360" behindDoc="0" locked="0" layoutInCell="1" allowOverlap="1" wp14:anchorId="35046C01" wp14:editId="05B044F9">
            <wp:simplePos x="0" y="0"/>
            <wp:positionH relativeFrom="column">
              <wp:posOffset>0</wp:posOffset>
            </wp:positionH>
            <wp:positionV relativeFrom="paragraph">
              <wp:posOffset>40640</wp:posOffset>
            </wp:positionV>
            <wp:extent cx="2705334" cy="1607959"/>
            <wp:effectExtent l="0" t="0" r="0" b="0"/>
            <wp:wrapSquare wrapText="bothSides"/>
            <wp:docPr id="1354952436" name="Picture 1" descr="A rainbow colored circle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4952436" name="Picture 1" descr="A rainbow colored circle with text&#10;&#10;AI-generated content may be incorrect."/>
                    <pic:cNvPicPr/>
                  </pic:nvPicPr>
                  <pic:blipFill>
                    <a:blip r:embed="rId17">
                      <a:extLst>
                        <a:ext uri="{28A0092B-C50C-407E-A947-70E740481C1C}">
                          <a14:useLocalDpi xmlns:a14="http://schemas.microsoft.com/office/drawing/2010/main" val="0"/>
                        </a:ext>
                      </a:extLst>
                    </a:blip>
                    <a:stretch>
                      <a:fillRect/>
                    </a:stretch>
                  </pic:blipFill>
                  <pic:spPr>
                    <a:xfrm>
                      <a:off x="0" y="0"/>
                      <a:ext cx="2705334" cy="1607959"/>
                    </a:xfrm>
                    <a:prstGeom prst="rect">
                      <a:avLst/>
                    </a:prstGeom>
                  </pic:spPr>
                </pic:pic>
              </a:graphicData>
            </a:graphic>
          </wp:anchor>
        </w:drawing>
      </w:r>
      <w:r w:rsidRPr="002033B2">
        <w:rPr>
          <w:rFonts w:ascii="Arial" w:eastAsia="Aptos" w:hAnsi="Arial" w:cs="Arial"/>
          <w:kern w:val="0"/>
          <w:sz w:val="22"/>
          <w:szCs w:val="22"/>
        </w:rPr>
        <w:t xml:space="preserve">The Pride in Hospitality Leadership Summit is a response to the increasing demand for diversity, equity, and inclusion (DEI) in the hospitality industry. The event guarantees a structured, impactful approach that extends beyond networking by promoting corporate mentorship, industry policy discussions, and year-round engagement through the use of the EMBOK model and Event Planning Cycle (Bowdin et al., 2011). </w:t>
      </w:r>
      <w:r w:rsidRPr="002033B2">
        <w:rPr>
          <w:rFonts w:ascii="Arial" w:eastAsia="Aptos" w:hAnsi="Arial" w:cs="Arial"/>
          <w:kern w:val="0"/>
          <w:sz w:val="22"/>
          <w:szCs w:val="22"/>
        </w:rPr>
        <w:br/>
        <w:t xml:space="preserve">The event's design is influenced by significant industry trends. Corporations are increasingly investing in DEI initiatives, acknowledging the correlation between employee satisfaction and inclusive workplaces (Madera et al., 2023). The emergence of hybrid event models enables global participation while simultaneously mitigating environmental impact (Doran et al., 2024). Industry expectations are met by sustainability initiatives, including the procurement of </w:t>
      </w:r>
      <w:r w:rsidRPr="002033B2">
        <w:rPr>
          <w:rFonts w:ascii="Arial" w:eastAsia="Aptos" w:hAnsi="Arial" w:cs="Arial"/>
          <w:kern w:val="0"/>
          <w:sz w:val="22"/>
          <w:szCs w:val="22"/>
        </w:rPr>
        <w:lastRenderedPageBreak/>
        <w:t xml:space="preserve">sustainable vendors owned by LGBTQ+ individuals (Hottle et al., 2015). Furthermore, attendee interaction is improved by technology-driven engagement, which is achieved through virtual Q&amp;A sessions, digital networking, and social media (In Event, 2023). </w:t>
      </w:r>
    </w:p>
    <w:p w14:paraId="364A7735" w14:textId="77777777" w:rsidR="002033B2" w:rsidRPr="002033B2" w:rsidRDefault="002033B2" w:rsidP="002033B2">
      <w:pPr>
        <w:spacing w:line="360" w:lineRule="auto"/>
        <w:jc w:val="both"/>
        <w:rPr>
          <w:rFonts w:ascii="Arial" w:eastAsia="Aptos" w:hAnsi="Arial" w:cs="Arial"/>
          <w:kern w:val="0"/>
          <w:sz w:val="22"/>
          <w:szCs w:val="22"/>
        </w:rPr>
      </w:pPr>
      <w:r w:rsidRPr="002033B2">
        <w:rPr>
          <w:rFonts w:ascii="Arial" w:eastAsia="Aptos" w:hAnsi="Arial" w:cs="Arial"/>
          <w:kern w:val="0"/>
          <w:sz w:val="22"/>
          <w:szCs w:val="22"/>
        </w:rPr>
        <w:t>Through the integration of these trends, the summit promotes industry-wide inclusivity and long-term impact in the hospitality sector.</w:t>
      </w:r>
    </w:p>
    <w:p w14:paraId="61CC02A5" w14:textId="77777777" w:rsidR="002033B2" w:rsidRPr="002033B2" w:rsidRDefault="002033B2" w:rsidP="002033B2">
      <w:pPr>
        <w:spacing w:line="360" w:lineRule="auto"/>
        <w:jc w:val="both"/>
        <w:rPr>
          <w:rFonts w:ascii="Arial" w:eastAsia="Aptos" w:hAnsi="Arial" w:cs="Arial"/>
          <w:b/>
          <w:bCs/>
          <w:kern w:val="0"/>
          <w:sz w:val="22"/>
          <w:szCs w:val="22"/>
        </w:rPr>
      </w:pPr>
      <w:r w:rsidRPr="002033B2">
        <w:rPr>
          <w:rFonts w:ascii="Segoe UI Emoji" w:eastAsia="Aptos" w:hAnsi="Segoe UI Emoji" w:cs="Segoe UI Emoji"/>
          <w:b/>
          <w:bCs/>
          <w:kern w:val="0"/>
          <w:sz w:val="22"/>
          <w:szCs w:val="22"/>
        </w:rPr>
        <w:t>📊</w:t>
      </w:r>
      <w:r w:rsidRPr="002033B2">
        <w:rPr>
          <w:rFonts w:ascii="Arial" w:eastAsia="Aptos" w:hAnsi="Arial" w:cs="Arial"/>
          <w:b/>
          <w:bCs/>
          <w:kern w:val="0"/>
          <w:sz w:val="22"/>
          <w:szCs w:val="22"/>
        </w:rPr>
        <w:t>Recommendations for Future Growth</w:t>
      </w:r>
    </w:p>
    <w:p w14:paraId="6A8E5E56" w14:textId="77777777" w:rsidR="002033B2" w:rsidRPr="002033B2" w:rsidRDefault="002033B2" w:rsidP="002033B2">
      <w:pPr>
        <w:spacing w:line="360" w:lineRule="auto"/>
        <w:jc w:val="both"/>
        <w:rPr>
          <w:rFonts w:ascii="Arial" w:eastAsia="Aptos" w:hAnsi="Arial" w:cs="Arial"/>
          <w:kern w:val="0"/>
          <w:sz w:val="22"/>
          <w:szCs w:val="22"/>
        </w:rPr>
      </w:pPr>
      <w:r w:rsidRPr="002033B2">
        <w:rPr>
          <w:rFonts w:ascii="Segoe UI Emoji" w:eastAsia="Aptos" w:hAnsi="Segoe UI Emoji" w:cs="Segoe UI Emoji"/>
          <w:b/>
          <w:bCs/>
          <w:kern w:val="0"/>
          <w:sz w:val="22"/>
          <w:szCs w:val="22"/>
        </w:rPr>
        <w:t>📌</w:t>
      </w:r>
      <w:r w:rsidRPr="002033B2">
        <w:rPr>
          <w:rFonts w:ascii="Arial" w:eastAsia="Aptos" w:hAnsi="Arial" w:cs="Arial"/>
          <w:b/>
          <w:bCs/>
          <w:kern w:val="0"/>
          <w:sz w:val="22"/>
          <w:szCs w:val="22"/>
        </w:rPr>
        <w:t>Boosting Hybrid Participation</w:t>
      </w:r>
    </w:p>
    <w:p w14:paraId="72C606BF" w14:textId="77777777" w:rsidR="002033B2" w:rsidRPr="002033B2" w:rsidRDefault="002033B2" w:rsidP="002033B2">
      <w:pPr>
        <w:spacing w:line="360" w:lineRule="auto"/>
        <w:jc w:val="both"/>
        <w:rPr>
          <w:rFonts w:ascii="Arial" w:eastAsia="Aptos" w:hAnsi="Arial" w:cs="Arial"/>
          <w:kern w:val="0"/>
          <w:sz w:val="22"/>
          <w:szCs w:val="22"/>
        </w:rPr>
      </w:pPr>
      <w:r w:rsidRPr="002033B2">
        <w:rPr>
          <w:rFonts w:ascii="Arial" w:eastAsia="Aptos" w:hAnsi="Arial" w:cs="Arial"/>
          <w:kern w:val="0"/>
          <w:sz w:val="22"/>
          <w:szCs w:val="22"/>
        </w:rPr>
        <w:t>Expanding virtual access with interactive features, making it easier for global attendees to connect and participate.</w:t>
      </w:r>
    </w:p>
    <w:p w14:paraId="31FDB0BE" w14:textId="77777777" w:rsidR="002033B2" w:rsidRPr="002033B2" w:rsidRDefault="002033B2" w:rsidP="002033B2">
      <w:pPr>
        <w:spacing w:line="360" w:lineRule="auto"/>
        <w:jc w:val="both"/>
        <w:rPr>
          <w:rFonts w:ascii="Segoe UI Emoji" w:eastAsia="Aptos" w:hAnsi="Segoe UI Emoji" w:cs="Segoe UI Emoji"/>
          <w:b/>
          <w:bCs/>
          <w:kern w:val="0"/>
          <w:sz w:val="22"/>
          <w:szCs w:val="22"/>
        </w:rPr>
      </w:pPr>
    </w:p>
    <w:p w14:paraId="6C723D77" w14:textId="77777777" w:rsidR="002033B2" w:rsidRPr="002033B2" w:rsidRDefault="002033B2" w:rsidP="002033B2">
      <w:pPr>
        <w:spacing w:line="360" w:lineRule="auto"/>
        <w:jc w:val="both"/>
        <w:rPr>
          <w:rFonts w:ascii="Arial" w:eastAsia="Aptos" w:hAnsi="Arial" w:cs="Arial"/>
          <w:kern w:val="0"/>
          <w:sz w:val="22"/>
          <w:szCs w:val="22"/>
        </w:rPr>
      </w:pPr>
      <w:r w:rsidRPr="002033B2">
        <w:rPr>
          <w:rFonts w:ascii="Segoe UI Emoji" w:eastAsia="Aptos" w:hAnsi="Segoe UI Emoji" w:cs="Segoe UI Emoji"/>
          <w:b/>
          <w:bCs/>
          <w:kern w:val="0"/>
          <w:sz w:val="22"/>
          <w:szCs w:val="22"/>
        </w:rPr>
        <w:t>📌</w:t>
      </w:r>
      <w:r w:rsidRPr="002033B2">
        <w:rPr>
          <w:rFonts w:ascii="Arial" w:eastAsia="Aptos" w:hAnsi="Arial" w:cs="Arial"/>
          <w:b/>
          <w:bCs/>
          <w:kern w:val="0"/>
          <w:sz w:val="22"/>
          <w:szCs w:val="22"/>
        </w:rPr>
        <w:t>Long-Term Partnership Building</w:t>
      </w:r>
      <w:r w:rsidRPr="002033B2">
        <w:rPr>
          <w:rFonts w:ascii="Arial" w:eastAsia="Aptos" w:hAnsi="Arial" w:cs="Arial"/>
          <w:kern w:val="0"/>
          <w:sz w:val="22"/>
          <w:szCs w:val="22"/>
        </w:rPr>
        <w:t xml:space="preserve"> </w:t>
      </w:r>
    </w:p>
    <w:p w14:paraId="75ACF344" w14:textId="77777777" w:rsidR="002033B2" w:rsidRPr="002033B2" w:rsidRDefault="002033B2" w:rsidP="002033B2">
      <w:pPr>
        <w:spacing w:line="360" w:lineRule="auto"/>
        <w:jc w:val="both"/>
        <w:rPr>
          <w:rFonts w:ascii="Arial" w:eastAsia="Aptos" w:hAnsi="Arial" w:cs="Arial"/>
          <w:kern w:val="0"/>
          <w:sz w:val="22"/>
          <w:szCs w:val="22"/>
        </w:rPr>
      </w:pPr>
      <w:r w:rsidRPr="002033B2">
        <w:rPr>
          <w:rFonts w:ascii="Arial" w:eastAsia="Aptos" w:hAnsi="Arial" w:cs="Arial"/>
          <w:kern w:val="0"/>
          <w:sz w:val="22"/>
          <w:szCs w:val="22"/>
        </w:rPr>
        <w:t>Strengthening corporate sponsorships by creating year-round engagement opportunities with major hospitality brands.</w:t>
      </w:r>
    </w:p>
    <w:p w14:paraId="06FD6D6B" w14:textId="77777777" w:rsidR="002033B2" w:rsidRPr="002033B2" w:rsidRDefault="002033B2" w:rsidP="002033B2">
      <w:pPr>
        <w:spacing w:line="360" w:lineRule="auto"/>
        <w:jc w:val="both"/>
        <w:rPr>
          <w:rFonts w:ascii="Arial" w:eastAsia="Aptos" w:hAnsi="Arial" w:cs="Arial"/>
          <w:kern w:val="0"/>
          <w:sz w:val="22"/>
          <w:szCs w:val="22"/>
        </w:rPr>
      </w:pPr>
      <w:r w:rsidRPr="002033B2">
        <w:rPr>
          <w:rFonts w:ascii="Segoe UI Emoji" w:eastAsia="Aptos" w:hAnsi="Segoe UI Emoji" w:cs="Segoe UI Emoji"/>
          <w:b/>
          <w:bCs/>
          <w:kern w:val="0"/>
          <w:sz w:val="22"/>
          <w:szCs w:val="22"/>
        </w:rPr>
        <w:t>📌</w:t>
      </w:r>
      <w:r w:rsidRPr="002033B2">
        <w:rPr>
          <w:rFonts w:ascii="Arial" w:eastAsia="Aptos" w:hAnsi="Arial" w:cs="Arial"/>
          <w:b/>
          <w:bCs/>
          <w:kern w:val="0"/>
          <w:sz w:val="22"/>
          <w:szCs w:val="22"/>
        </w:rPr>
        <w:t>Sustainability Focus</w:t>
      </w:r>
      <w:r w:rsidRPr="002033B2">
        <w:rPr>
          <w:rFonts w:ascii="Arial" w:eastAsia="Aptos" w:hAnsi="Arial" w:cs="Arial"/>
          <w:kern w:val="0"/>
          <w:sz w:val="22"/>
          <w:szCs w:val="22"/>
        </w:rPr>
        <w:t xml:space="preserve"> </w:t>
      </w:r>
    </w:p>
    <w:p w14:paraId="435B6322" w14:textId="77777777" w:rsidR="002033B2" w:rsidRPr="002033B2" w:rsidRDefault="002033B2" w:rsidP="002033B2">
      <w:pPr>
        <w:spacing w:line="360" w:lineRule="auto"/>
        <w:jc w:val="both"/>
        <w:rPr>
          <w:rFonts w:ascii="Arial" w:eastAsia="Aptos" w:hAnsi="Arial" w:cs="Arial"/>
          <w:kern w:val="0"/>
          <w:sz w:val="22"/>
          <w:szCs w:val="22"/>
        </w:rPr>
      </w:pPr>
      <w:r w:rsidRPr="002033B2">
        <w:rPr>
          <w:rFonts w:ascii="Arial" w:eastAsia="Aptos" w:hAnsi="Arial" w:cs="Arial"/>
          <w:kern w:val="0"/>
          <w:sz w:val="22"/>
          <w:szCs w:val="22"/>
        </w:rPr>
        <w:t>Further integrating sustainable practices, such as carbon offset initiatives and partnerships with environmentally conscious vendors.</w:t>
      </w:r>
    </w:p>
    <w:p w14:paraId="23F6F136" w14:textId="77777777" w:rsidR="002033B2" w:rsidRPr="002033B2" w:rsidRDefault="002033B2" w:rsidP="002033B2">
      <w:pPr>
        <w:spacing w:line="360" w:lineRule="auto"/>
        <w:jc w:val="both"/>
        <w:rPr>
          <w:rFonts w:ascii="Arial" w:eastAsia="Aptos" w:hAnsi="Arial" w:cs="Arial"/>
          <w:kern w:val="0"/>
          <w:sz w:val="22"/>
          <w:szCs w:val="22"/>
        </w:rPr>
      </w:pPr>
      <w:r w:rsidRPr="002033B2">
        <w:rPr>
          <w:rFonts w:ascii="Arial" w:eastAsia="Aptos" w:hAnsi="Arial" w:cs="Arial"/>
          <w:kern w:val="0"/>
          <w:sz w:val="22"/>
          <w:szCs w:val="22"/>
        </w:rPr>
        <w:t>The Pride in Hospitality Leadership Summit can establish itself as a premier LGBTQ+ inclusion event in the hospitality industry by implementing these recommendations, which will guarantee ongoing industry support and long-term impact.</w:t>
      </w:r>
    </w:p>
    <w:p w14:paraId="539060A2" w14:textId="77777777" w:rsidR="002033B2" w:rsidRPr="002033B2" w:rsidRDefault="002033B2" w:rsidP="002033B2">
      <w:pPr>
        <w:spacing w:line="360" w:lineRule="auto"/>
        <w:jc w:val="both"/>
        <w:rPr>
          <w:rFonts w:ascii="Arial" w:eastAsia="Aptos" w:hAnsi="Arial" w:cs="Arial"/>
          <w:kern w:val="0"/>
          <w:sz w:val="22"/>
          <w:szCs w:val="22"/>
        </w:rPr>
      </w:pPr>
    </w:p>
    <w:p w14:paraId="64D813A5" w14:textId="77777777" w:rsidR="002033B2" w:rsidRPr="002033B2" w:rsidRDefault="002033B2" w:rsidP="002033B2">
      <w:pPr>
        <w:spacing w:line="360" w:lineRule="auto"/>
        <w:jc w:val="both"/>
        <w:rPr>
          <w:rFonts w:ascii="Arial" w:eastAsia="Aptos" w:hAnsi="Arial" w:cs="Arial"/>
          <w:kern w:val="0"/>
          <w:sz w:val="22"/>
          <w:szCs w:val="22"/>
        </w:rPr>
      </w:pPr>
    </w:p>
    <w:p w14:paraId="50769741" w14:textId="77777777" w:rsidR="002033B2" w:rsidRPr="002033B2" w:rsidRDefault="002033B2" w:rsidP="002033B2">
      <w:pPr>
        <w:spacing w:line="360" w:lineRule="auto"/>
        <w:jc w:val="both"/>
        <w:rPr>
          <w:rFonts w:ascii="Arial" w:eastAsia="Aptos" w:hAnsi="Arial" w:cs="Arial"/>
          <w:kern w:val="0"/>
          <w:sz w:val="22"/>
          <w:szCs w:val="22"/>
        </w:rPr>
      </w:pPr>
    </w:p>
    <w:p w14:paraId="70956B2E" w14:textId="77777777" w:rsidR="002033B2" w:rsidRPr="002033B2" w:rsidRDefault="002033B2" w:rsidP="002033B2">
      <w:pPr>
        <w:spacing w:line="360" w:lineRule="auto"/>
        <w:jc w:val="both"/>
        <w:rPr>
          <w:rFonts w:ascii="Arial" w:eastAsia="Aptos" w:hAnsi="Arial" w:cs="Arial"/>
          <w:kern w:val="0"/>
          <w:sz w:val="22"/>
          <w:szCs w:val="22"/>
        </w:rPr>
      </w:pPr>
    </w:p>
    <w:p w14:paraId="2F3DCA5C" w14:textId="77777777" w:rsidR="002033B2" w:rsidRPr="002033B2" w:rsidRDefault="002033B2" w:rsidP="002033B2">
      <w:pPr>
        <w:spacing w:line="360" w:lineRule="auto"/>
        <w:jc w:val="both"/>
        <w:rPr>
          <w:rFonts w:ascii="Arial" w:eastAsia="Aptos" w:hAnsi="Arial" w:cs="Arial"/>
          <w:kern w:val="0"/>
          <w:sz w:val="22"/>
          <w:szCs w:val="22"/>
        </w:rPr>
      </w:pPr>
    </w:p>
    <w:p w14:paraId="7088EEA1" w14:textId="77777777" w:rsidR="002033B2" w:rsidRPr="002033B2" w:rsidRDefault="002033B2" w:rsidP="002033B2">
      <w:pPr>
        <w:spacing w:line="360" w:lineRule="auto"/>
        <w:jc w:val="both"/>
        <w:rPr>
          <w:rFonts w:ascii="Arial" w:eastAsia="Aptos" w:hAnsi="Arial" w:cs="Arial"/>
          <w:kern w:val="0"/>
          <w:sz w:val="22"/>
          <w:szCs w:val="22"/>
        </w:rPr>
      </w:pPr>
    </w:p>
    <w:p w14:paraId="50379411" w14:textId="77777777" w:rsidR="002033B2" w:rsidRPr="002033B2" w:rsidRDefault="002033B2" w:rsidP="002033B2">
      <w:pPr>
        <w:spacing w:line="360" w:lineRule="auto"/>
        <w:jc w:val="both"/>
        <w:rPr>
          <w:rFonts w:ascii="Arial" w:eastAsia="Aptos" w:hAnsi="Arial" w:cs="Arial"/>
          <w:kern w:val="0"/>
          <w:sz w:val="22"/>
          <w:szCs w:val="22"/>
        </w:rPr>
      </w:pPr>
    </w:p>
    <w:p w14:paraId="7F383A7F" w14:textId="77777777" w:rsidR="002033B2" w:rsidRPr="002033B2" w:rsidRDefault="002033B2" w:rsidP="002033B2">
      <w:pPr>
        <w:spacing w:line="360" w:lineRule="auto"/>
        <w:jc w:val="both"/>
        <w:rPr>
          <w:rFonts w:ascii="Arial" w:eastAsia="Aptos" w:hAnsi="Arial" w:cs="Arial"/>
          <w:kern w:val="0"/>
          <w:sz w:val="22"/>
          <w:szCs w:val="22"/>
        </w:rPr>
      </w:pPr>
    </w:p>
    <w:p w14:paraId="56C7FCA1" w14:textId="77777777" w:rsidR="002033B2" w:rsidRPr="002033B2" w:rsidRDefault="002033B2" w:rsidP="002033B2">
      <w:pPr>
        <w:spacing w:line="360" w:lineRule="auto"/>
        <w:jc w:val="both"/>
        <w:rPr>
          <w:rFonts w:ascii="Arial" w:eastAsia="Aptos" w:hAnsi="Arial" w:cs="Arial"/>
          <w:kern w:val="0"/>
          <w:sz w:val="22"/>
          <w:szCs w:val="22"/>
        </w:rPr>
      </w:pPr>
    </w:p>
    <w:p w14:paraId="51338CC5" w14:textId="5E803C1F" w:rsidR="002033B2" w:rsidRPr="002033B2" w:rsidRDefault="002033B2" w:rsidP="002033B2">
      <w:pPr>
        <w:spacing w:line="360" w:lineRule="auto"/>
        <w:jc w:val="both"/>
        <w:rPr>
          <w:rFonts w:ascii="Arial" w:eastAsia="Aptos" w:hAnsi="Arial" w:cs="Arial"/>
          <w:b/>
          <w:bCs/>
          <w:kern w:val="0"/>
          <w:sz w:val="22"/>
          <w:szCs w:val="22"/>
        </w:rPr>
      </w:pPr>
      <w:r w:rsidRPr="002033B2">
        <w:rPr>
          <w:rFonts w:ascii="Arial" w:eastAsia="Aptos" w:hAnsi="Arial" w:cs="Arial"/>
          <w:b/>
          <w:bCs/>
          <w:kern w:val="0"/>
          <w:sz w:val="22"/>
          <w:szCs w:val="22"/>
        </w:rPr>
        <w:lastRenderedPageBreak/>
        <w:t>Reference</w:t>
      </w:r>
      <w:r w:rsidR="00FC72AC">
        <w:rPr>
          <w:rFonts w:ascii="Arial" w:eastAsia="Aptos" w:hAnsi="Arial" w:cs="Arial"/>
          <w:b/>
          <w:bCs/>
          <w:kern w:val="0"/>
          <w:sz w:val="22"/>
          <w:szCs w:val="22"/>
        </w:rPr>
        <w:t>s</w:t>
      </w:r>
      <w:r w:rsidRPr="002033B2">
        <w:rPr>
          <w:rFonts w:ascii="Arial" w:eastAsia="Aptos" w:hAnsi="Arial" w:cs="Arial"/>
          <w:b/>
          <w:bCs/>
          <w:kern w:val="0"/>
          <w:sz w:val="22"/>
          <w:szCs w:val="22"/>
        </w:rPr>
        <w:t xml:space="preserve"> </w:t>
      </w:r>
    </w:p>
    <w:p w14:paraId="41AC4B11" w14:textId="77777777" w:rsidR="002033B2" w:rsidRPr="002033B2" w:rsidRDefault="002033B2" w:rsidP="002033B2">
      <w:pPr>
        <w:numPr>
          <w:ilvl w:val="0"/>
          <w:numId w:val="7"/>
        </w:numPr>
        <w:spacing w:line="360" w:lineRule="auto"/>
        <w:contextualSpacing/>
        <w:jc w:val="both"/>
        <w:rPr>
          <w:rFonts w:ascii="Arial" w:eastAsia="Aptos" w:hAnsi="Arial" w:cs="Arial"/>
          <w:kern w:val="0"/>
          <w:sz w:val="22"/>
          <w:szCs w:val="22"/>
        </w:rPr>
      </w:pPr>
      <w:r w:rsidRPr="002033B2">
        <w:rPr>
          <w:rFonts w:ascii="Arial" w:eastAsia="Aptos" w:hAnsi="Arial" w:cs="Arial"/>
          <w:kern w:val="0"/>
          <w:sz w:val="22"/>
          <w:szCs w:val="22"/>
        </w:rPr>
        <w:t xml:space="preserve">Bangura, E. and Choi, M., 2024. Creative Event Design and Management: An Exploratory Study of Event Professionals Perspective. International Journal of Hospitality and Tourism Systems, 17(4), pp. 29-37. </w:t>
      </w:r>
      <w:hyperlink r:id="rId18" w:tgtFrame="_new" w:history="1">
        <w:r w:rsidRPr="002033B2">
          <w:rPr>
            <w:rFonts w:ascii="Arial" w:eastAsia="Aptos" w:hAnsi="Arial" w:cs="Arial"/>
            <w:color w:val="467886"/>
            <w:kern w:val="0"/>
            <w:sz w:val="22"/>
            <w:szCs w:val="22"/>
            <w:u w:val="single"/>
          </w:rPr>
          <w:t>https://www.proquest.com/scholarly-journals/creative-event-design-management-exploratory/docview/3149525076/se-2?accountid=130472</w:t>
        </w:r>
      </w:hyperlink>
      <w:r w:rsidRPr="002033B2">
        <w:rPr>
          <w:rFonts w:ascii="Arial" w:eastAsia="Aptos" w:hAnsi="Arial" w:cs="Arial"/>
          <w:kern w:val="0"/>
          <w:sz w:val="22"/>
          <w:szCs w:val="22"/>
        </w:rPr>
        <w:t>.</w:t>
      </w:r>
    </w:p>
    <w:p w14:paraId="09C89B6D" w14:textId="77777777" w:rsidR="002033B2" w:rsidRPr="002033B2" w:rsidRDefault="002033B2" w:rsidP="002033B2">
      <w:pPr>
        <w:numPr>
          <w:ilvl w:val="0"/>
          <w:numId w:val="7"/>
        </w:numPr>
        <w:spacing w:line="360" w:lineRule="auto"/>
        <w:contextualSpacing/>
        <w:jc w:val="both"/>
        <w:rPr>
          <w:rFonts w:ascii="Arial" w:eastAsia="Aptos" w:hAnsi="Arial" w:cs="Arial"/>
          <w:kern w:val="0"/>
          <w:sz w:val="22"/>
          <w:szCs w:val="22"/>
        </w:rPr>
      </w:pPr>
      <w:r w:rsidRPr="002033B2">
        <w:rPr>
          <w:rFonts w:ascii="Arial" w:eastAsia="Aptos" w:hAnsi="Arial" w:cs="Arial"/>
          <w:kern w:val="0"/>
          <w:sz w:val="22"/>
          <w:szCs w:val="22"/>
        </w:rPr>
        <w:t xml:space="preserve">Bowdin, G., Allen, J., and Harris, R., 2011. Events Management. </w:t>
      </w:r>
      <w:hyperlink r:id="rId19" w:tgtFrame="_new" w:history="1">
        <w:r w:rsidRPr="002033B2">
          <w:rPr>
            <w:rFonts w:ascii="Arial" w:eastAsia="Aptos" w:hAnsi="Arial" w:cs="Arial"/>
            <w:color w:val="467886"/>
            <w:kern w:val="0"/>
            <w:sz w:val="22"/>
            <w:szCs w:val="22"/>
            <w:u w:val="single"/>
          </w:rPr>
          <w:t>https://research-ebsco-com.ezproxy.uwtsd.ac.uk/linkprocessor/plink?id=0713b2d6-c559-3133-a063-9c460741a170</w:t>
        </w:r>
      </w:hyperlink>
      <w:r w:rsidRPr="002033B2">
        <w:rPr>
          <w:rFonts w:ascii="Arial" w:eastAsia="Aptos" w:hAnsi="Arial" w:cs="Arial"/>
          <w:kern w:val="0"/>
          <w:sz w:val="22"/>
          <w:szCs w:val="22"/>
        </w:rPr>
        <w:t>.</w:t>
      </w:r>
    </w:p>
    <w:p w14:paraId="6FFF6CAD" w14:textId="77777777" w:rsidR="002033B2" w:rsidRPr="002033B2" w:rsidRDefault="002033B2" w:rsidP="002033B2">
      <w:pPr>
        <w:numPr>
          <w:ilvl w:val="0"/>
          <w:numId w:val="7"/>
        </w:numPr>
        <w:spacing w:line="360" w:lineRule="auto"/>
        <w:contextualSpacing/>
        <w:jc w:val="both"/>
        <w:rPr>
          <w:rFonts w:ascii="Arial" w:eastAsia="Aptos" w:hAnsi="Arial" w:cs="Arial"/>
          <w:kern w:val="0"/>
          <w:sz w:val="22"/>
          <w:szCs w:val="22"/>
        </w:rPr>
      </w:pPr>
      <w:r w:rsidRPr="002033B2">
        <w:rPr>
          <w:rFonts w:ascii="Arial" w:eastAsia="Aptos" w:hAnsi="Arial" w:cs="Arial"/>
          <w:kern w:val="0"/>
          <w:sz w:val="22"/>
          <w:szCs w:val="22"/>
        </w:rPr>
        <w:t xml:space="preserve">Bowdin, G., Allen, J., Harris, R., McDonnell, I. and O’Toole, W., 2011. Events Management. 3rd edn. London: Routledge. </w:t>
      </w:r>
      <w:hyperlink r:id="rId20" w:history="1">
        <w:r w:rsidRPr="002033B2">
          <w:rPr>
            <w:rFonts w:ascii="Arial" w:eastAsia="Aptos" w:hAnsi="Arial" w:cs="Arial"/>
            <w:color w:val="467886"/>
            <w:kern w:val="0"/>
            <w:sz w:val="22"/>
            <w:szCs w:val="22"/>
            <w:u w:val="single"/>
          </w:rPr>
          <w:t>https://research-ebsco-com.ezproxy.uwtsd.ac.uk/linkprocessor/plink?id=0713b2d6-c559-3133-a063-9c460741a170</w:t>
        </w:r>
      </w:hyperlink>
      <w:r w:rsidRPr="002033B2">
        <w:rPr>
          <w:rFonts w:ascii="Arial" w:eastAsia="Aptos" w:hAnsi="Arial" w:cs="Arial"/>
          <w:kern w:val="0"/>
          <w:sz w:val="22"/>
          <w:szCs w:val="22"/>
        </w:rPr>
        <w:t xml:space="preserve"> </w:t>
      </w:r>
    </w:p>
    <w:p w14:paraId="34F91F03" w14:textId="77777777" w:rsidR="002033B2" w:rsidRPr="002033B2" w:rsidRDefault="002033B2" w:rsidP="002033B2">
      <w:pPr>
        <w:numPr>
          <w:ilvl w:val="0"/>
          <w:numId w:val="7"/>
        </w:numPr>
        <w:spacing w:line="360" w:lineRule="auto"/>
        <w:contextualSpacing/>
        <w:jc w:val="both"/>
        <w:rPr>
          <w:rFonts w:ascii="Arial" w:eastAsia="Aptos" w:hAnsi="Arial" w:cs="Arial"/>
          <w:kern w:val="0"/>
          <w:sz w:val="22"/>
          <w:szCs w:val="22"/>
        </w:rPr>
      </w:pPr>
      <w:r w:rsidRPr="002033B2">
        <w:rPr>
          <w:rFonts w:ascii="Arial" w:eastAsia="Aptos" w:hAnsi="Arial" w:cs="Arial"/>
          <w:kern w:val="0"/>
          <w:sz w:val="22"/>
          <w:szCs w:val="22"/>
          <w:lang w:val="de-DE"/>
        </w:rPr>
        <w:t xml:space="preserve">Cheruon, M. and Korir, J., 2023. </w:t>
      </w:r>
      <w:r w:rsidRPr="002033B2">
        <w:rPr>
          <w:rFonts w:ascii="Arial" w:eastAsia="Aptos" w:hAnsi="Arial" w:cs="Arial"/>
          <w:kern w:val="0"/>
          <w:sz w:val="22"/>
          <w:szCs w:val="22"/>
        </w:rPr>
        <w:t xml:space="preserve">Dynamic capability and competitive advantage of event management in hospitality industry. </w:t>
      </w:r>
      <w:hyperlink r:id="rId21" w:history="1">
        <w:r w:rsidRPr="002033B2">
          <w:rPr>
            <w:rFonts w:ascii="Arial" w:eastAsia="Aptos" w:hAnsi="Arial" w:cs="Arial"/>
            <w:color w:val="467886"/>
            <w:kern w:val="0"/>
            <w:sz w:val="22"/>
            <w:szCs w:val="22"/>
            <w:u w:val="single"/>
          </w:rPr>
          <w:t>https://doi.org/10.1080/22243534.2024.2318100</w:t>
        </w:r>
      </w:hyperlink>
      <w:r w:rsidRPr="002033B2">
        <w:rPr>
          <w:rFonts w:ascii="Arial" w:eastAsia="Aptos" w:hAnsi="Arial" w:cs="Arial"/>
          <w:kern w:val="0"/>
          <w:sz w:val="22"/>
          <w:szCs w:val="22"/>
        </w:rPr>
        <w:t xml:space="preserve"> </w:t>
      </w:r>
    </w:p>
    <w:p w14:paraId="54277ACC" w14:textId="77777777" w:rsidR="002033B2" w:rsidRPr="002033B2" w:rsidRDefault="002033B2" w:rsidP="002033B2">
      <w:pPr>
        <w:numPr>
          <w:ilvl w:val="0"/>
          <w:numId w:val="7"/>
        </w:numPr>
        <w:spacing w:before="100" w:beforeAutospacing="1" w:after="100" w:afterAutospacing="1" w:line="360" w:lineRule="auto"/>
        <w:contextualSpacing/>
        <w:jc w:val="both"/>
        <w:rPr>
          <w:rFonts w:ascii="Arial" w:eastAsia="Times New Roman" w:hAnsi="Arial" w:cs="Arial"/>
          <w:kern w:val="0"/>
          <w:sz w:val="22"/>
          <w:szCs w:val="22"/>
          <w:lang w:eastAsia="en-GB"/>
          <w14:ligatures w14:val="none"/>
        </w:rPr>
      </w:pPr>
      <w:r w:rsidRPr="002033B2">
        <w:rPr>
          <w:rFonts w:ascii="Arial" w:eastAsia="Times New Roman" w:hAnsi="Arial" w:cs="Arial"/>
          <w:kern w:val="0"/>
          <w:sz w:val="22"/>
          <w:szCs w:val="22"/>
          <w:lang w:eastAsia="en-GB"/>
          <w14:ligatures w14:val="none"/>
        </w:rPr>
        <w:t>Doran, G.T. (1981) ‘There’s a S.M.A.R.T. way to write management’s goals and objectives’, Management Review.</w:t>
      </w:r>
    </w:p>
    <w:p w14:paraId="099ED39B" w14:textId="77777777" w:rsidR="002033B2" w:rsidRPr="002033B2" w:rsidRDefault="002033B2" w:rsidP="002033B2">
      <w:pPr>
        <w:numPr>
          <w:ilvl w:val="0"/>
          <w:numId w:val="7"/>
        </w:numPr>
        <w:spacing w:line="360" w:lineRule="auto"/>
        <w:contextualSpacing/>
        <w:jc w:val="both"/>
        <w:rPr>
          <w:rFonts w:ascii="Arial" w:eastAsia="Aptos" w:hAnsi="Arial" w:cs="Arial"/>
          <w:kern w:val="0"/>
          <w:sz w:val="22"/>
          <w:szCs w:val="22"/>
        </w:rPr>
      </w:pPr>
      <w:r w:rsidRPr="002033B2">
        <w:rPr>
          <w:rFonts w:ascii="Arial" w:eastAsia="Aptos" w:hAnsi="Arial" w:cs="Arial"/>
          <w:kern w:val="0"/>
          <w:sz w:val="22"/>
          <w:szCs w:val="22"/>
        </w:rPr>
        <w:t>Doran, A.L., Dutch, V., Warren, B., Watson, R.A., Murphy, K., Aldis, A., Cooper, I., Cockram, C., Harp, D., Desmau, M. and Keppler, L., 2024. Planning virtual and hybrid events: steps to improve inclusion and accessibility. Geoscience Communication, </w:t>
      </w:r>
      <w:r w:rsidRPr="002033B2">
        <w:rPr>
          <w:rFonts w:ascii="Arial" w:eastAsia="Aptos" w:hAnsi="Arial" w:cs="Arial"/>
          <w:b/>
          <w:bCs/>
          <w:kern w:val="0"/>
          <w:sz w:val="22"/>
          <w:szCs w:val="22"/>
        </w:rPr>
        <w:t>7</w:t>
      </w:r>
      <w:r w:rsidRPr="002033B2">
        <w:rPr>
          <w:rFonts w:ascii="Arial" w:eastAsia="Aptos" w:hAnsi="Arial" w:cs="Arial"/>
          <w:kern w:val="0"/>
          <w:sz w:val="22"/>
          <w:szCs w:val="22"/>
        </w:rPr>
        <w:t xml:space="preserve">(4), pp. 227-244. </w:t>
      </w:r>
      <w:hyperlink r:id="rId22" w:history="1">
        <w:r w:rsidRPr="002033B2">
          <w:rPr>
            <w:rFonts w:ascii="Arial" w:eastAsia="Aptos" w:hAnsi="Arial" w:cs="Arial"/>
            <w:color w:val="467886"/>
            <w:kern w:val="0"/>
            <w:sz w:val="22"/>
            <w:szCs w:val="22"/>
            <w:u w:val="single"/>
          </w:rPr>
          <w:t>https://www.proquest.com/scholarly-journals/planning-virtual-hybrid-events-steps-improve/docview/3111750941/se-2?accountid=130472</w:t>
        </w:r>
      </w:hyperlink>
      <w:r w:rsidRPr="002033B2">
        <w:rPr>
          <w:rFonts w:ascii="Arial" w:eastAsia="Aptos" w:hAnsi="Arial" w:cs="Arial"/>
          <w:kern w:val="0"/>
          <w:sz w:val="22"/>
          <w:szCs w:val="22"/>
        </w:rPr>
        <w:t xml:space="preserve"> </w:t>
      </w:r>
    </w:p>
    <w:p w14:paraId="2D289F93" w14:textId="77777777" w:rsidR="002033B2" w:rsidRPr="002033B2" w:rsidRDefault="002033B2" w:rsidP="002033B2">
      <w:pPr>
        <w:numPr>
          <w:ilvl w:val="0"/>
          <w:numId w:val="7"/>
        </w:numPr>
        <w:spacing w:line="360" w:lineRule="auto"/>
        <w:contextualSpacing/>
        <w:jc w:val="both"/>
        <w:rPr>
          <w:rFonts w:ascii="Arial" w:eastAsia="Aptos" w:hAnsi="Arial" w:cs="Arial"/>
          <w:kern w:val="0"/>
          <w:sz w:val="22"/>
          <w:szCs w:val="22"/>
        </w:rPr>
      </w:pPr>
      <w:r w:rsidRPr="002033B2">
        <w:rPr>
          <w:rFonts w:ascii="Arial" w:eastAsia="Aptos" w:hAnsi="Arial" w:cs="Arial"/>
          <w:kern w:val="0"/>
          <w:sz w:val="22"/>
          <w:szCs w:val="22"/>
        </w:rPr>
        <w:t xml:space="preserve">Friedman, B., 2019. Hospitality, Tourism, and Events Industry Competency Model: Human Resource Management Implications. , 43, pp. 101-116. </w:t>
      </w:r>
      <w:hyperlink r:id="rId23" w:history="1">
        <w:r w:rsidRPr="002033B2">
          <w:rPr>
            <w:rFonts w:ascii="Arial" w:eastAsia="Aptos" w:hAnsi="Arial" w:cs="Arial"/>
            <w:color w:val="467886"/>
            <w:kern w:val="0"/>
            <w:sz w:val="22"/>
            <w:szCs w:val="22"/>
            <w:u w:val="single"/>
          </w:rPr>
          <w:t>https://doi.org/10.25944/ZNMWSE.2019.03.101116</w:t>
        </w:r>
      </w:hyperlink>
      <w:r w:rsidRPr="002033B2">
        <w:rPr>
          <w:rFonts w:ascii="Arial" w:eastAsia="Aptos" w:hAnsi="Arial" w:cs="Arial"/>
          <w:kern w:val="0"/>
          <w:sz w:val="22"/>
          <w:szCs w:val="22"/>
        </w:rPr>
        <w:t xml:space="preserve">. </w:t>
      </w:r>
    </w:p>
    <w:p w14:paraId="0A7EA212" w14:textId="77777777" w:rsidR="002033B2" w:rsidRPr="002033B2" w:rsidRDefault="002033B2" w:rsidP="002033B2">
      <w:pPr>
        <w:numPr>
          <w:ilvl w:val="0"/>
          <w:numId w:val="7"/>
        </w:numPr>
        <w:spacing w:line="360" w:lineRule="auto"/>
        <w:contextualSpacing/>
        <w:jc w:val="both"/>
        <w:rPr>
          <w:rFonts w:ascii="Arial" w:eastAsia="Aptos" w:hAnsi="Arial" w:cs="Arial"/>
          <w:kern w:val="0"/>
          <w:sz w:val="22"/>
          <w:szCs w:val="22"/>
        </w:rPr>
      </w:pPr>
      <w:r w:rsidRPr="002033B2">
        <w:rPr>
          <w:rFonts w:ascii="Arial" w:eastAsia="Aptos" w:hAnsi="Arial" w:cs="Arial"/>
          <w:kern w:val="0"/>
          <w:sz w:val="22"/>
          <w:szCs w:val="22"/>
        </w:rPr>
        <w:t xml:space="preserve">Getz, D. and Page, S., 2024. Event Studies: Theory, Research and Policy for Planned Events. </w:t>
      </w:r>
      <w:hyperlink r:id="rId24" w:tgtFrame="_new" w:history="1">
        <w:r w:rsidRPr="002033B2">
          <w:rPr>
            <w:rFonts w:ascii="Arial" w:eastAsia="Aptos" w:hAnsi="Arial" w:cs="Arial"/>
            <w:color w:val="467886"/>
            <w:kern w:val="0"/>
            <w:sz w:val="22"/>
            <w:szCs w:val="22"/>
            <w:u w:val="single"/>
          </w:rPr>
          <w:t>https://doi.org/10.32890/jeth2023.3.4</w:t>
        </w:r>
      </w:hyperlink>
    </w:p>
    <w:p w14:paraId="371C53F2" w14:textId="77777777" w:rsidR="002033B2" w:rsidRPr="002033B2" w:rsidRDefault="002033B2" w:rsidP="002033B2">
      <w:pPr>
        <w:numPr>
          <w:ilvl w:val="0"/>
          <w:numId w:val="7"/>
        </w:numPr>
        <w:spacing w:line="360" w:lineRule="auto"/>
        <w:contextualSpacing/>
        <w:jc w:val="both"/>
        <w:rPr>
          <w:rFonts w:ascii="Arial" w:eastAsia="Aptos" w:hAnsi="Arial" w:cs="Arial"/>
          <w:kern w:val="0"/>
          <w:sz w:val="22"/>
          <w:szCs w:val="22"/>
        </w:rPr>
      </w:pPr>
      <w:r w:rsidRPr="002033B2">
        <w:rPr>
          <w:rFonts w:ascii="Arial" w:eastAsia="Aptos" w:hAnsi="Arial" w:cs="Arial"/>
          <w:kern w:val="0"/>
          <w:sz w:val="22"/>
          <w:szCs w:val="22"/>
        </w:rPr>
        <w:t xml:space="preserve">Government of the Netherlands, 2024. Prohibition of Discrimination Under the Equal Treatment Act 1994. </w:t>
      </w:r>
      <w:hyperlink r:id="rId25" w:tgtFrame="_new" w:history="1">
        <w:r w:rsidRPr="002033B2">
          <w:rPr>
            <w:rFonts w:ascii="Arial" w:eastAsia="Aptos" w:hAnsi="Arial" w:cs="Arial"/>
            <w:color w:val="467886"/>
            <w:kern w:val="0"/>
            <w:sz w:val="22"/>
            <w:szCs w:val="22"/>
            <w:u w:val="single"/>
          </w:rPr>
          <w:t>https://www.government.nl/topics/discrimination/prohibition-of-discrimination</w:t>
        </w:r>
      </w:hyperlink>
      <w:r w:rsidRPr="002033B2">
        <w:rPr>
          <w:rFonts w:ascii="Arial" w:eastAsia="Aptos" w:hAnsi="Arial" w:cs="Arial"/>
          <w:kern w:val="0"/>
          <w:sz w:val="22"/>
          <w:szCs w:val="22"/>
        </w:rPr>
        <w:t>.</w:t>
      </w:r>
    </w:p>
    <w:p w14:paraId="54CD48B9" w14:textId="77777777" w:rsidR="002033B2" w:rsidRPr="002033B2" w:rsidRDefault="002033B2" w:rsidP="002033B2">
      <w:pPr>
        <w:numPr>
          <w:ilvl w:val="0"/>
          <w:numId w:val="7"/>
        </w:numPr>
        <w:spacing w:line="360" w:lineRule="auto"/>
        <w:contextualSpacing/>
        <w:jc w:val="both"/>
        <w:rPr>
          <w:rFonts w:ascii="Arial" w:eastAsia="Aptos" w:hAnsi="Arial" w:cs="Arial"/>
          <w:kern w:val="0"/>
          <w:sz w:val="22"/>
          <w:szCs w:val="22"/>
        </w:rPr>
      </w:pPr>
      <w:r w:rsidRPr="002033B2">
        <w:rPr>
          <w:rFonts w:ascii="Arial" w:eastAsia="Aptos" w:hAnsi="Arial" w:cs="Arial"/>
          <w:kern w:val="0"/>
          <w:sz w:val="22"/>
          <w:szCs w:val="22"/>
        </w:rPr>
        <w:t xml:space="preserve">Homer, D., 2023. Sustainable Event Planning: Beyond the Basics. The Event Planner EXPO 2024. </w:t>
      </w:r>
      <w:hyperlink r:id="rId26" w:history="1">
        <w:r w:rsidRPr="002033B2">
          <w:rPr>
            <w:rFonts w:ascii="Arial" w:eastAsia="Aptos" w:hAnsi="Arial" w:cs="Arial"/>
            <w:color w:val="467886"/>
            <w:kern w:val="0"/>
            <w:sz w:val="22"/>
            <w:szCs w:val="22"/>
            <w:u w:val="single"/>
          </w:rPr>
          <w:t>https://www.theeventplannerexpo.com/sustainable-event-planning-beyond-the-basics/</w:t>
        </w:r>
      </w:hyperlink>
      <w:r w:rsidRPr="002033B2">
        <w:rPr>
          <w:rFonts w:ascii="Arial" w:eastAsia="Aptos" w:hAnsi="Arial" w:cs="Arial"/>
          <w:kern w:val="0"/>
          <w:sz w:val="22"/>
          <w:szCs w:val="22"/>
        </w:rPr>
        <w:t xml:space="preserve"> </w:t>
      </w:r>
    </w:p>
    <w:p w14:paraId="626BCAEE" w14:textId="77777777" w:rsidR="002033B2" w:rsidRPr="002033B2" w:rsidRDefault="002033B2" w:rsidP="002033B2">
      <w:pPr>
        <w:numPr>
          <w:ilvl w:val="0"/>
          <w:numId w:val="7"/>
        </w:numPr>
        <w:spacing w:line="360" w:lineRule="auto"/>
        <w:contextualSpacing/>
        <w:jc w:val="both"/>
        <w:rPr>
          <w:rFonts w:ascii="Arial" w:eastAsia="Aptos" w:hAnsi="Arial" w:cs="Arial"/>
          <w:kern w:val="0"/>
          <w:sz w:val="22"/>
          <w:szCs w:val="22"/>
        </w:rPr>
      </w:pPr>
      <w:r w:rsidRPr="002033B2">
        <w:rPr>
          <w:rFonts w:ascii="Arial" w:eastAsia="Aptos" w:hAnsi="Arial" w:cs="Arial"/>
          <w:kern w:val="0"/>
          <w:sz w:val="22"/>
          <w:szCs w:val="22"/>
        </w:rPr>
        <w:lastRenderedPageBreak/>
        <w:t xml:space="preserve">Hottle, T.A., Bilec, M.M., Brown, N.R. and Landis, A.E., 2015. Toward zero waste: Composting and recycling for sustainable venue based events. Waste Management, 38, pp.86-94. </w:t>
      </w:r>
      <w:hyperlink r:id="rId27" w:history="1">
        <w:r w:rsidRPr="002033B2">
          <w:rPr>
            <w:rFonts w:ascii="Arial" w:eastAsia="Aptos" w:hAnsi="Arial" w:cs="Arial"/>
            <w:color w:val="467886"/>
            <w:kern w:val="0"/>
            <w:sz w:val="22"/>
            <w:szCs w:val="22"/>
            <w:u w:val="single"/>
          </w:rPr>
          <w:t>https://doi.org/10.1016/j.wasman.2015.01.019</w:t>
        </w:r>
      </w:hyperlink>
      <w:r w:rsidRPr="002033B2">
        <w:rPr>
          <w:rFonts w:ascii="Arial" w:eastAsia="Aptos" w:hAnsi="Arial" w:cs="Arial"/>
          <w:kern w:val="0"/>
          <w:sz w:val="22"/>
          <w:szCs w:val="22"/>
        </w:rPr>
        <w:t xml:space="preserve"> </w:t>
      </w:r>
    </w:p>
    <w:p w14:paraId="5C54F19D" w14:textId="77777777" w:rsidR="002033B2" w:rsidRPr="002033B2" w:rsidRDefault="002033B2" w:rsidP="002033B2">
      <w:pPr>
        <w:numPr>
          <w:ilvl w:val="0"/>
          <w:numId w:val="7"/>
        </w:numPr>
        <w:spacing w:line="360" w:lineRule="auto"/>
        <w:contextualSpacing/>
        <w:jc w:val="both"/>
        <w:rPr>
          <w:rFonts w:ascii="Arial" w:eastAsia="Aptos" w:hAnsi="Arial" w:cs="Arial"/>
          <w:kern w:val="0"/>
          <w:sz w:val="22"/>
          <w:szCs w:val="22"/>
        </w:rPr>
      </w:pPr>
      <w:r w:rsidRPr="002033B2">
        <w:rPr>
          <w:rFonts w:ascii="Arial" w:eastAsia="Aptos" w:hAnsi="Arial" w:cs="Arial"/>
          <w:kern w:val="0"/>
          <w:sz w:val="22"/>
          <w:szCs w:val="22"/>
        </w:rPr>
        <w:t xml:space="preserve">Hutson, B., 2022. Strategic event planning in hospitality: The need to adapt to digital transformation. </w:t>
      </w:r>
      <w:hyperlink r:id="rId28" w:history="1">
        <w:r w:rsidRPr="002033B2">
          <w:rPr>
            <w:rFonts w:ascii="Arial" w:eastAsia="Aptos" w:hAnsi="Arial" w:cs="Arial"/>
            <w:color w:val="467886"/>
            <w:kern w:val="0"/>
            <w:sz w:val="22"/>
            <w:szCs w:val="22"/>
            <w:u w:val="single"/>
          </w:rPr>
          <w:t>https://digitalcommons.usf.edu/cgi/viewcontent.cgi?article=1006&amp;context=jght</w:t>
        </w:r>
      </w:hyperlink>
      <w:r w:rsidRPr="002033B2">
        <w:rPr>
          <w:rFonts w:ascii="Arial" w:eastAsia="Aptos" w:hAnsi="Arial" w:cs="Arial"/>
          <w:kern w:val="0"/>
          <w:sz w:val="22"/>
          <w:szCs w:val="22"/>
        </w:rPr>
        <w:t xml:space="preserve"> </w:t>
      </w:r>
    </w:p>
    <w:p w14:paraId="41C5F61E" w14:textId="77777777" w:rsidR="002033B2" w:rsidRPr="002033B2" w:rsidRDefault="002033B2" w:rsidP="002033B2">
      <w:pPr>
        <w:numPr>
          <w:ilvl w:val="0"/>
          <w:numId w:val="7"/>
        </w:numPr>
        <w:spacing w:line="360" w:lineRule="auto"/>
        <w:contextualSpacing/>
        <w:jc w:val="both"/>
        <w:rPr>
          <w:rFonts w:ascii="Arial" w:eastAsia="Aptos" w:hAnsi="Arial" w:cs="Arial"/>
          <w:kern w:val="0"/>
          <w:sz w:val="22"/>
          <w:szCs w:val="22"/>
        </w:rPr>
      </w:pPr>
      <w:r w:rsidRPr="002033B2">
        <w:rPr>
          <w:rFonts w:ascii="Arial" w:eastAsia="Aptos" w:hAnsi="Arial" w:cs="Arial"/>
          <w:kern w:val="0"/>
          <w:sz w:val="22"/>
          <w:szCs w:val="22"/>
        </w:rPr>
        <w:t xml:space="preserve">I Amsterdam, 2024. LGBTQ+ history and milestones in Amsterdam. </w:t>
      </w:r>
      <w:hyperlink r:id="rId29" w:tgtFrame="_new" w:history="1">
        <w:r w:rsidRPr="002033B2">
          <w:rPr>
            <w:rFonts w:ascii="Arial" w:eastAsia="Aptos" w:hAnsi="Arial" w:cs="Arial"/>
            <w:color w:val="467886"/>
            <w:kern w:val="0"/>
            <w:sz w:val="22"/>
            <w:szCs w:val="22"/>
            <w:u w:val="single"/>
          </w:rPr>
          <w:t>https://www.iamsterdam.com/en/whats-on/lgbtqi-history-and-milestones-in-amsterdam</w:t>
        </w:r>
      </w:hyperlink>
    </w:p>
    <w:p w14:paraId="627FADD2" w14:textId="77777777" w:rsidR="002033B2" w:rsidRPr="002033B2" w:rsidRDefault="002033B2" w:rsidP="002033B2">
      <w:pPr>
        <w:numPr>
          <w:ilvl w:val="0"/>
          <w:numId w:val="7"/>
        </w:numPr>
        <w:spacing w:line="360" w:lineRule="auto"/>
        <w:contextualSpacing/>
        <w:jc w:val="both"/>
        <w:rPr>
          <w:rFonts w:ascii="Arial" w:eastAsia="Aptos" w:hAnsi="Arial" w:cs="Arial"/>
          <w:kern w:val="0"/>
          <w:sz w:val="22"/>
          <w:szCs w:val="22"/>
        </w:rPr>
      </w:pPr>
      <w:r w:rsidRPr="002033B2">
        <w:rPr>
          <w:rFonts w:ascii="Arial" w:eastAsia="Aptos" w:hAnsi="Arial" w:cs="Arial"/>
          <w:kern w:val="0"/>
          <w:sz w:val="22"/>
          <w:szCs w:val="22"/>
        </w:rPr>
        <w:t xml:space="preserve">In Event, 2023. Enhancing Event Attendee Engagement In the Digital Era. </w:t>
      </w:r>
      <w:hyperlink r:id="rId30" w:history="1">
        <w:r w:rsidRPr="002033B2">
          <w:rPr>
            <w:rFonts w:ascii="Arial" w:eastAsia="Aptos" w:hAnsi="Arial" w:cs="Arial"/>
            <w:color w:val="467886"/>
            <w:kern w:val="0"/>
            <w:sz w:val="22"/>
            <w:szCs w:val="22"/>
            <w:u w:val="single"/>
          </w:rPr>
          <w:t>https://inevent.com/blog/others/enhancing-event-attendee-engagement-in-the-digital-era.html</w:t>
        </w:r>
      </w:hyperlink>
      <w:r w:rsidRPr="002033B2">
        <w:rPr>
          <w:rFonts w:ascii="Arial" w:eastAsia="Aptos" w:hAnsi="Arial" w:cs="Arial"/>
          <w:kern w:val="0"/>
          <w:sz w:val="22"/>
          <w:szCs w:val="22"/>
        </w:rPr>
        <w:t xml:space="preserve"> </w:t>
      </w:r>
    </w:p>
    <w:p w14:paraId="573C31B8" w14:textId="77777777" w:rsidR="002033B2" w:rsidRPr="002033B2" w:rsidRDefault="002033B2" w:rsidP="002033B2">
      <w:pPr>
        <w:numPr>
          <w:ilvl w:val="0"/>
          <w:numId w:val="7"/>
        </w:numPr>
        <w:spacing w:line="360" w:lineRule="auto"/>
        <w:contextualSpacing/>
        <w:jc w:val="both"/>
        <w:rPr>
          <w:rFonts w:ascii="Arial" w:eastAsia="Aptos" w:hAnsi="Arial" w:cs="Arial"/>
          <w:kern w:val="0"/>
          <w:sz w:val="22"/>
          <w:szCs w:val="22"/>
        </w:rPr>
      </w:pPr>
      <w:r w:rsidRPr="002033B2">
        <w:rPr>
          <w:rFonts w:ascii="Arial" w:eastAsia="Aptos" w:hAnsi="Arial" w:cs="Arial"/>
          <w:kern w:val="0"/>
          <w:sz w:val="22"/>
          <w:szCs w:val="22"/>
        </w:rPr>
        <w:t xml:space="preserve">Janjusevic, J. and Mathur, S., 2021. Financial Planning and Budgeting of Events. </w:t>
      </w:r>
      <w:hyperlink r:id="rId31" w:history="1">
        <w:r w:rsidRPr="002033B2">
          <w:rPr>
            <w:rFonts w:ascii="Arial" w:eastAsia="Aptos" w:hAnsi="Arial" w:cs="Arial"/>
            <w:color w:val="467886"/>
            <w:kern w:val="0"/>
            <w:sz w:val="22"/>
            <w:szCs w:val="22"/>
            <w:u w:val="single"/>
          </w:rPr>
          <w:t>https://goodfellowpublishers.com/free_files/Chapter%206-2f618ec8191eced8552eaffeb274a351.pdf</w:t>
        </w:r>
      </w:hyperlink>
      <w:r w:rsidRPr="002033B2">
        <w:rPr>
          <w:rFonts w:ascii="Arial" w:eastAsia="Aptos" w:hAnsi="Arial" w:cs="Arial"/>
          <w:kern w:val="0"/>
          <w:sz w:val="22"/>
          <w:szCs w:val="22"/>
        </w:rPr>
        <w:t xml:space="preserve"> </w:t>
      </w:r>
    </w:p>
    <w:p w14:paraId="3B4C5748" w14:textId="77777777" w:rsidR="002033B2" w:rsidRPr="002033B2" w:rsidRDefault="002033B2" w:rsidP="002033B2">
      <w:pPr>
        <w:numPr>
          <w:ilvl w:val="0"/>
          <w:numId w:val="7"/>
        </w:numPr>
        <w:spacing w:line="360" w:lineRule="auto"/>
        <w:contextualSpacing/>
        <w:jc w:val="both"/>
        <w:rPr>
          <w:rFonts w:ascii="Arial" w:eastAsia="Aptos" w:hAnsi="Arial" w:cs="Arial"/>
          <w:kern w:val="0"/>
          <w:sz w:val="22"/>
          <w:szCs w:val="22"/>
        </w:rPr>
      </w:pPr>
      <w:r w:rsidRPr="002033B2">
        <w:rPr>
          <w:rFonts w:ascii="Arial" w:eastAsia="Aptos" w:hAnsi="Arial" w:cs="Arial"/>
          <w:kern w:val="0"/>
          <w:sz w:val="22"/>
          <w:szCs w:val="22"/>
        </w:rPr>
        <w:t xml:space="preserve">Lockstone-Binney, L., Hanlon, C. and Jago, L.K., 2020. Staffing for successful events: having the right skills in the right place at the right time. </w:t>
      </w:r>
      <w:hyperlink r:id="rId32" w:tgtFrame="_new" w:history="1">
        <w:r w:rsidRPr="002033B2">
          <w:rPr>
            <w:rFonts w:ascii="Arial" w:eastAsia="Aptos" w:hAnsi="Arial" w:cs="Arial"/>
            <w:color w:val="467886"/>
            <w:kern w:val="0"/>
            <w:sz w:val="22"/>
            <w:szCs w:val="22"/>
            <w:u w:val="single"/>
          </w:rPr>
          <w:t>https://vuir.vu.edu.au/42047/2/Lockstone-Binney_Hanlon_JagoJune2019.pdf</w:t>
        </w:r>
      </w:hyperlink>
    </w:p>
    <w:p w14:paraId="7ABD2D29" w14:textId="77777777" w:rsidR="002033B2" w:rsidRPr="002033B2" w:rsidRDefault="002033B2" w:rsidP="002033B2">
      <w:pPr>
        <w:numPr>
          <w:ilvl w:val="0"/>
          <w:numId w:val="7"/>
        </w:numPr>
        <w:spacing w:line="360" w:lineRule="auto"/>
        <w:contextualSpacing/>
        <w:jc w:val="both"/>
        <w:rPr>
          <w:rFonts w:ascii="Arial" w:eastAsia="Aptos" w:hAnsi="Arial" w:cs="Arial"/>
          <w:kern w:val="0"/>
          <w:sz w:val="22"/>
          <w:szCs w:val="22"/>
        </w:rPr>
      </w:pPr>
      <w:r w:rsidRPr="002033B2">
        <w:rPr>
          <w:rFonts w:ascii="Arial" w:eastAsia="Aptos" w:hAnsi="Arial" w:cs="Arial"/>
          <w:kern w:val="0"/>
          <w:sz w:val="22"/>
          <w:szCs w:val="22"/>
        </w:rPr>
        <w:t xml:space="preserve">Madera, J.M., Yang, W., Wu, L., Ma, E. and Xu, S., 2023. Diversity and Inclusion in Hospitality and Tourism: Bridging the Gap Between Employee and Customer Perspectives. International Journal of Contemporary Hospitality Management. </w:t>
      </w:r>
      <w:hyperlink r:id="rId33" w:history="1">
        <w:r w:rsidRPr="002033B2">
          <w:rPr>
            <w:rFonts w:ascii="Arial" w:eastAsia="Aptos" w:hAnsi="Arial" w:cs="Arial"/>
            <w:color w:val="467886"/>
            <w:kern w:val="0"/>
            <w:sz w:val="22"/>
            <w:szCs w:val="22"/>
            <w:u w:val="single"/>
          </w:rPr>
          <w:t>https://www.proquest.com/scholarly-journals/diversity-inclusion-hospitality-tourism-bridging/docview/2885477196/se-2?accountid=130472</w:t>
        </w:r>
      </w:hyperlink>
      <w:r w:rsidRPr="002033B2">
        <w:rPr>
          <w:rFonts w:ascii="Arial" w:eastAsia="Aptos" w:hAnsi="Arial" w:cs="Arial"/>
          <w:kern w:val="0"/>
          <w:sz w:val="22"/>
          <w:szCs w:val="22"/>
        </w:rPr>
        <w:t xml:space="preserve"> </w:t>
      </w:r>
    </w:p>
    <w:p w14:paraId="467A6D17" w14:textId="77777777" w:rsidR="002033B2" w:rsidRPr="002033B2" w:rsidRDefault="002033B2" w:rsidP="002033B2">
      <w:pPr>
        <w:numPr>
          <w:ilvl w:val="0"/>
          <w:numId w:val="7"/>
        </w:numPr>
        <w:spacing w:line="360" w:lineRule="auto"/>
        <w:contextualSpacing/>
        <w:jc w:val="both"/>
        <w:rPr>
          <w:rFonts w:ascii="Arial" w:eastAsia="Aptos" w:hAnsi="Arial" w:cs="Arial"/>
          <w:kern w:val="0"/>
          <w:sz w:val="22"/>
          <w:szCs w:val="22"/>
        </w:rPr>
      </w:pPr>
      <w:r w:rsidRPr="002033B2">
        <w:rPr>
          <w:rFonts w:ascii="Arial" w:eastAsia="Aptos" w:hAnsi="Arial" w:cs="Arial"/>
          <w:kern w:val="0"/>
          <w:sz w:val="22"/>
          <w:szCs w:val="22"/>
        </w:rPr>
        <w:t xml:space="preserve">Mehmood, M., 2020. Finance in the Hospitality Industry. </w:t>
      </w:r>
      <w:hyperlink r:id="rId34" w:history="1">
        <w:r w:rsidRPr="002033B2">
          <w:rPr>
            <w:rFonts w:ascii="Arial" w:eastAsia="Aptos" w:hAnsi="Arial" w:cs="Arial"/>
            <w:color w:val="467886"/>
            <w:kern w:val="0"/>
            <w:sz w:val="22"/>
            <w:szCs w:val="22"/>
            <w:u w:val="single"/>
          </w:rPr>
          <w:t>https://doi.org/10.4018/978-1-7998-2204-2.ch011</w:t>
        </w:r>
      </w:hyperlink>
      <w:r w:rsidRPr="002033B2">
        <w:rPr>
          <w:rFonts w:ascii="Arial" w:eastAsia="Aptos" w:hAnsi="Arial" w:cs="Arial"/>
          <w:kern w:val="0"/>
          <w:sz w:val="22"/>
          <w:szCs w:val="22"/>
        </w:rPr>
        <w:t xml:space="preserve"> </w:t>
      </w:r>
    </w:p>
    <w:p w14:paraId="61B7D41C" w14:textId="77777777" w:rsidR="002033B2" w:rsidRPr="002033B2" w:rsidRDefault="002033B2" w:rsidP="002033B2">
      <w:pPr>
        <w:numPr>
          <w:ilvl w:val="0"/>
          <w:numId w:val="7"/>
        </w:numPr>
        <w:spacing w:line="360" w:lineRule="auto"/>
        <w:contextualSpacing/>
        <w:jc w:val="both"/>
        <w:rPr>
          <w:rFonts w:ascii="Arial" w:eastAsia="Aptos" w:hAnsi="Arial" w:cs="Arial"/>
          <w:kern w:val="0"/>
          <w:sz w:val="22"/>
          <w:szCs w:val="22"/>
        </w:rPr>
      </w:pPr>
      <w:r w:rsidRPr="002033B2">
        <w:rPr>
          <w:rFonts w:ascii="Arial" w:eastAsia="Aptos" w:hAnsi="Arial" w:cs="Arial"/>
          <w:kern w:val="0"/>
          <w:sz w:val="22"/>
          <w:szCs w:val="22"/>
        </w:rPr>
        <w:t xml:space="preserve">Moyle, B., Kennelly, M. and Lamont, M., 2014. Risk management and contingency planning in events: Participants’ reactions to the cancellation of Ironman New Zealand 2012. International Journal of Event Management Research, 8(1), pp.94-106. </w:t>
      </w:r>
      <w:hyperlink r:id="rId35" w:tgtFrame="_new" w:history="1">
        <w:r w:rsidRPr="002033B2">
          <w:rPr>
            <w:rFonts w:ascii="Arial" w:eastAsia="Aptos" w:hAnsi="Arial" w:cs="Arial"/>
            <w:color w:val="467886"/>
            <w:kern w:val="0"/>
            <w:sz w:val="22"/>
            <w:szCs w:val="22"/>
            <w:u w:val="single"/>
          </w:rPr>
          <w:t>https://citeseerx.ist.psu.edu/document?repid=rep1&amp;type=pdf&amp;doi=2817eb1b745aaebc3e07b563cc2e7a72e90029b0</w:t>
        </w:r>
      </w:hyperlink>
    </w:p>
    <w:p w14:paraId="64511E52" w14:textId="77777777" w:rsidR="002033B2" w:rsidRPr="002033B2" w:rsidRDefault="002033B2" w:rsidP="002033B2">
      <w:pPr>
        <w:numPr>
          <w:ilvl w:val="0"/>
          <w:numId w:val="7"/>
        </w:numPr>
        <w:spacing w:line="360" w:lineRule="auto"/>
        <w:contextualSpacing/>
        <w:jc w:val="both"/>
        <w:rPr>
          <w:rFonts w:ascii="Arial" w:eastAsia="Aptos" w:hAnsi="Arial" w:cs="Arial"/>
          <w:kern w:val="0"/>
          <w:sz w:val="22"/>
          <w:szCs w:val="22"/>
          <w:lang w:val="en-US"/>
        </w:rPr>
      </w:pPr>
      <w:r w:rsidRPr="002033B2">
        <w:rPr>
          <w:rFonts w:ascii="Arial" w:eastAsia="Aptos" w:hAnsi="Arial" w:cs="Arial"/>
          <w:kern w:val="0"/>
          <w:sz w:val="22"/>
          <w:szCs w:val="22"/>
        </w:rPr>
        <w:t xml:space="preserve">Nadda, V., Arnott, I. and Sealy, W., 2020. </w:t>
      </w:r>
      <w:r w:rsidRPr="002033B2">
        <w:rPr>
          <w:rFonts w:ascii="Arial" w:eastAsia="Aptos" w:hAnsi="Arial" w:cs="Arial"/>
          <w:kern w:val="0"/>
          <w:sz w:val="22"/>
          <w:szCs w:val="22"/>
          <w:lang w:val="en-US"/>
        </w:rPr>
        <w:t xml:space="preserve">Legal, Safety, and Environmental Challenges for Event Management: Emerging Research and Opportunities. </w:t>
      </w:r>
      <w:hyperlink r:id="rId36" w:history="1">
        <w:r w:rsidRPr="002033B2">
          <w:rPr>
            <w:rFonts w:ascii="Arial" w:eastAsia="Aptos" w:hAnsi="Arial" w:cs="Arial"/>
            <w:color w:val="467886"/>
            <w:kern w:val="0"/>
            <w:sz w:val="22"/>
            <w:szCs w:val="22"/>
            <w:u w:val="single"/>
            <w:lang w:val="en-US"/>
          </w:rPr>
          <w:t>https://doi.org/</w:t>
        </w:r>
        <w:r w:rsidRPr="002033B2">
          <w:rPr>
            <w:rFonts w:ascii="Arial" w:eastAsia="Aptos" w:hAnsi="Arial" w:cs="Arial"/>
            <w:color w:val="467886"/>
            <w:kern w:val="0"/>
            <w:sz w:val="22"/>
            <w:szCs w:val="22"/>
            <w:u w:val="single"/>
          </w:rPr>
          <w:t>10.4018/978-1-7998-3230-0</w:t>
        </w:r>
      </w:hyperlink>
      <w:r w:rsidRPr="002033B2">
        <w:rPr>
          <w:rFonts w:ascii="Arial" w:eastAsia="Aptos" w:hAnsi="Arial" w:cs="Arial"/>
          <w:kern w:val="0"/>
          <w:sz w:val="22"/>
          <w:szCs w:val="22"/>
        </w:rPr>
        <w:t xml:space="preserve"> </w:t>
      </w:r>
    </w:p>
    <w:p w14:paraId="17051C10" w14:textId="77777777" w:rsidR="002033B2" w:rsidRPr="002033B2" w:rsidRDefault="002033B2" w:rsidP="002033B2">
      <w:pPr>
        <w:numPr>
          <w:ilvl w:val="0"/>
          <w:numId w:val="7"/>
        </w:numPr>
        <w:spacing w:line="360" w:lineRule="auto"/>
        <w:contextualSpacing/>
        <w:jc w:val="both"/>
        <w:rPr>
          <w:rFonts w:ascii="Arial" w:eastAsia="Aptos" w:hAnsi="Arial" w:cs="Arial"/>
          <w:kern w:val="0"/>
          <w:sz w:val="22"/>
          <w:szCs w:val="22"/>
        </w:rPr>
      </w:pPr>
      <w:r w:rsidRPr="002033B2">
        <w:rPr>
          <w:rFonts w:ascii="Arial" w:eastAsia="Aptos" w:hAnsi="Arial" w:cs="Arial"/>
          <w:kern w:val="0"/>
          <w:sz w:val="22"/>
          <w:szCs w:val="22"/>
        </w:rPr>
        <w:t xml:space="preserve">Nolan, J., 2020. The supply and design of different types of venues for hospitality events. </w:t>
      </w:r>
      <w:hyperlink r:id="rId37" w:history="1">
        <w:r w:rsidRPr="002033B2">
          <w:rPr>
            <w:rFonts w:ascii="Arial" w:eastAsia="Aptos" w:hAnsi="Arial" w:cs="Arial"/>
            <w:color w:val="467886"/>
            <w:kern w:val="0"/>
            <w:sz w:val="22"/>
            <w:szCs w:val="22"/>
            <w:u w:val="single"/>
          </w:rPr>
          <w:t>https://www.proquest.com/scholarly-journals/supply-design-different-types-venues-business/docview/2499019479/se-2?accountid=130472</w:t>
        </w:r>
      </w:hyperlink>
      <w:r w:rsidRPr="002033B2">
        <w:rPr>
          <w:rFonts w:ascii="Arial" w:eastAsia="Aptos" w:hAnsi="Arial" w:cs="Arial"/>
          <w:kern w:val="0"/>
          <w:sz w:val="22"/>
          <w:szCs w:val="22"/>
        </w:rPr>
        <w:t xml:space="preserve"> </w:t>
      </w:r>
    </w:p>
    <w:p w14:paraId="3A125759" w14:textId="77777777" w:rsidR="002033B2" w:rsidRPr="002033B2" w:rsidRDefault="002033B2" w:rsidP="002033B2">
      <w:pPr>
        <w:numPr>
          <w:ilvl w:val="0"/>
          <w:numId w:val="7"/>
        </w:numPr>
        <w:spacing w:line="360" w:lineRule="auto"/>
        <w:contextualSpacing/>
        <w:jc w:val="both"/>
        <w:rPr>
          <w:rFonts w:ascii="Arial" w:eastAsia="Aptos" w:hAnsi="Arial" w:cs="Arial"/>
          <w:kern w:val="0"/>
          <w:sz w:val="22"/>
          <w:szCs w:val="22"/>
        </w:rPr>
      </w:pPr>
      <w:r w:rsidRPr="002033B2">
        <w:rPr>
          <w:rFonts w:ascii="Arial" w:eastAsia="Aptos" w:hAnsi="Arial" w:cs="Arial"/>
          <w:kern w:val="0"/>
          <w:sz w:val="22"/>
          <w:szCs w:val="22"/>
        </w:rPr>
        <w:lastRenderedPageBreak/>
        <w:t xml:space="preserve">O’Toole, W., 2022. Events Feasibility and Development: From Strategy to Operations. </w:t>
      </w:r>
      <w:hyperlink r:id="rId38" w:tgtFrame="_new" w:history="1">
        <w:r w:rsidRPr="002033B2">
          <w:rPr>
            <w:rFonts w:ascii="Arial" w:eastAsia="Aptos" w:hAnsi="Arial" w:cs="Arial"/>
            <w:color w:val="467886"/>
            <w:kern w:val="0"/>
            <w:sz w:val="22"/>
            <w:szCs w:val="22"/>
            <w:u w:val="single"/>
          </w:rPr>
          <w:t>https://doi.org/10.4324/9781003172703</w:t>
        </w:r>
      </w:hyperlink>
    </w:p>
    <w:p w14:paraId="6CADBA62" w14:textId="77777777" w:rsidR="002033B2" w:rsidRPr="002033B2" w:rsidRDefault="002033B2" w:rsidP="002033B2">
      <w:pPr>
        <w:numPr>
          <w:ilvl w:val="0"/>
          <w:numId w:val="7"/>
        </w:numPr>
        <w:spacing w:line="360" w:lineRule="auto"/>
        <w:contextualSpacing/>
        <w:jc w:val="both"/>
        <w:rPr>
          <w:rFonts w:ascii="Arial" w:eastAsia="Aptos" w:hAnsi="Arial" w:cs="Arial"/>
          <w:kern w:val="0"/>
          <w:sz w:val="22"/>
          <w:szCs w:val="22"/>
        </w:rPr>
      </w:pPr>
      <w:r w:rsidRPr="002033B2">
        <w:rPr>
          <w:rFonts w:ascii="Arial" w:eastAsia="Aptos" w:hAnsi="Arial" w:cs="Arial"/>
          <w:kern w:val="0"/>
          <w:sz w:val="22"/>
          <w:szCs w:val="22"/>
        </w:rPr>
        <w:t xml:space="preserve">Owusu-Mintah, S.B. and Dacosta, F.D., 2017. A study of events organised by hospitality industries in Accra, Ghana. </w:t>
      </w:r>
      <w:hyperlink r:id="rId39" w:history="1">
        <w:r w:rsidRPr="002033B2">
          <w:rPr>
            <w:rFonts w:ascii="Arial" w:eastAsia="Aptos" w:hAnsi="Arial" w:cs="Arial"/>
            <w:color w:val="467886"/>
            <w:kern w:val="0"/>
            <w:sz w:val="22"/>
            <w:szCs w:val="22"/>
            <w:u w:val="single"/>
          </w:rPr>
          <w:t>https://www.ajhtl.com/uploads/7/1/6/3/7163688/article_45_vol_6__2__2017.pdf</w:t>
        </w:r>
      </w:hyperlink>
      <w:r w:rsidRPr="002033B2">
        <w:rPr>
          <w:rFonts w:ascii="Arial" w:eastAsia="Aptos" w:hAnsi="Arial" w:cs="Arial"/>
          <w:kern w:val="0"/>
          <w:sz w:val="22"/>
          <w:szCs w:val="22"/>
        </w:rPr>
        <w:t xml:space="preserve"> </w:t>
      </w:r>
    </w:p>
    <w:p w14:paraId="5FD445A0" w14:textId="77777777" w:rsidR="002033B2" w:rsidRPr="002033B2" w:rsidRDefault="002033B2" w:rsidP="002033B2">
      <w:pPr>
        <w:numPr>
          <w:ilvl w:val="0"/>
          <w:numId w:val="7"/>
        </w:numPr>
        <w:spacing w:line="360" w:lineRule="auto"/>
        <w:contextualSpacing/>
        <w:jc w:val="both"/>
        <w:rPr>
          <w:rFonts w:ascii="Arial" w:eastAsia="Aptos" w:hAnsi="Arial" w:cs="Arial"/>
          <w:kern w:val="0"/>
          <w:sz w:val="22"/>
          <w:szCs w:val="22"/>
        </w:rPr>
      </w:pPr>
      <w:r w:rsidRPr="002033B2">
        <w:rPr>
          <w:rFonts w:ascii="Arial" w:eastAsia="Aptos" w:hAnsi="Arial" w:cs="Arial"/>
          <w:kern w:val="0"/>
          <w:sz w:val="22"/>
          <w:szCs w:val="22"/>
        </w:rPr>
        <w:t xml:space="preserve">Ramely, A., Talib, M.F.A., Ahmad, R. and Yusof, N., 2023. Examining PESTEL Analysis of Event Businesses in Malaysia. Journal of Event, Tourism and Hospitality Studies. </w:t>
      </w:r>
      <w:hyperlink r:id="rId40" w:tgtFrame="_blank" w:history="1">
        <w:r w:rsidRPr="002033B2">
          <w:rPr>
            <w:rFonts w:ascii="Arial" w:eastAsia="Aptos" w:hAnsi="Arial" w:cs="Arial"/>
            <w:color w:val="467886"/>
            <w:kern w:val="0"/>
            <w:sz w:val="22"/>
            <w:szCs w:val="22"/>
            <w:u w:val="single"/>
          </w:rPr>
          <w:t>https://doi.org/10.32890/jeth2023.3.4</w:t>
        </w:r>
      </w:hyperlink>
      <w:r w:rsidRPr="002033B2">
        <w:rPr>
          <w:rFonts w:ascii="Arial" w:eastAsia="Aptos" w:hAnsi="Arial" w:cs="Arial"/>
          <w:kern w:val="0"/>
          <w:sz w:val="22"/>
          <w:szCs w:val="22"/>
        </w:rPr>
        <w:t>.</w:t>
      </w:r>
    </w:p>
    <w:p w14:paraId="6D7FE70F" w14:textId="77777777" w:rsidR="002033B2" w:rsidRPr="002033B2" w:rsidRDefault="002033B2" w:rsidP="002033B2">
      <w:pPr>
        <w:numPr>
          <w:ilvl w:val="0"/>
          <w:numId w:val="7"/>
        </w:numPr>
        <w:spacing w:line="360" w:lineRule="auto"/>
        <w:contextualSpacing/>
        <w:jc w:val="both"/>
        <w:rPr>
          <w:rFonts w:ascii="Arial" w:eastAsia="Aptos" w:hAnsi="Arial" w:cs="Arial"/>
          <w:kern w:val="0"/>
          <w:sz w:val="22"/>
          <w:szCs w:val="22"/>
        </w:rPr>
      </w:pPr>
      <w:r w:rsidRPr="002033B2">
        <w:rPr>
          <w:rFonts w:ascii="Arial" w:eastAsia="Aptos" w:hAnsi="Arial" w:cs="Arial"/>
          <w:kern w:val="0"/>
          <w:sz w:val="22"/>
          <w:szCs w:val="22"/>
        </w:rPr>
        <w:t xml:space="preserve">Ray, P., 2019. Diversity and Inclusion: Corporate Communications Advances the Practice. </w:t>
      </w:r>
      <w:hyperlink r:id="rId41" w:history="1">
        <w:r w:rsidRPr="002033B2">
          <w:rPr>
            <w:rFonts w:ascii="Arial" w:eastAsia="Aptos" w:hAnsi="Arial" w:cs="Arial"/>
            <w:color w:val="467886"/>
            <w:kern w:val="0"/>
            <w:sz w:val="22"/>
            <w:szCs w:val="22"/>
            <w:u w:val="single"/>
          </w:rPr>
          <w:t>https://www.proquest.com/scholarly-journals/diversity-inclusion-corporate-communications/docview/2310249640/se-2?accountid=130472</w:t>
        </w:r>
      </w:hyperlink>
      <w:r w:rsidRPr="002033B2">
        <w:rPr>
          <w:rFonts w:ascii="Arial" w:eastAsia="Aptos" w:hAnsi="Arial" w:cs="Arial"/>
          <w:kern w:val="0"/>
          <w:sz w:val="22"/>
          <w:szCs w:val="22"/>
        </w:rPr>
        <w:t xml:space="preserve"> </w:t>
      </w:r>
    </w:p>
    <w:p w14:paraId="5ED025C8" w14:textId="77777777" w:rsidR="002033B2" w:rsidRPr="002033B2" w:rsidRDefault="002033B2" w:rsidP="002033B2">
      <w:pPr>
        <w:numPr>
          <w:ilvl w:val="0"/>
          <w:numId w:val="7"/>
        </w:numPr>
        <w:spacing w:line="360" w:lineRule="auto"/>
        <w:contextualSpacing/>
        <w:jc w:val="both"/>
        <w:rPr>
          <w:rFonts w:ascii="Arial" w:eastAsia="Aptos" w:hAnsi="Arial" w:cs="Arial"/>
          <w:kern w:val="0"/>
          <w:sz w:val="22"/>
          <w:szCs w:val="22"/>
        </w:rPr>
      </w:pPr>
      <w:r w:rsidRPr="002033B2">
        <w:rPr>
          <w:rFonts w:ascii="Arial" w:eastAsia="Aptos" w:hAnsi="Arial" w:cs="Arial"/>
          <w:kern w:val="0"/>
          <w:sz w:val="22"/>
          <w:szCs w:val="22"/>
        </w:rPr>
        <w:t>Revilla, R.G., Olga, M.M. and Einsle, C.S., 2023. Advances in event management using new technologies and mobile applications. International Journal of Event and Festival Management, </w:t>
      </w:r>
      <w:r w:rsidRPr="002033B2">
        <w:rPr>
          <w:rFonts w:ascii="Arial" w:eastAsia="Aptos" w:hAnsi="Arial" w:cs="Arial"/>
          <w:b/>
          <w:bCs/>
          <w:kern w:val="0"/>
          <w:sz w:val="22"/>
          <w:szCs w:val="22"/>
        </w:rPr>
        <w:t>14</w:t>
      </w:r>
      <w:r w:rsidRPr="002033B2">
        <w:rPr>
          <w:rFonts w:ascii="Arial" w:eastAsia="Aptos" w:hAnsi="Arial" w:cs="Arial"/>
          <w:kern w:val="0"/>
          <w:sz w:val="22"/>
          <w:szCs w:val="22"/>
        </w:rPr>
        <w:t xml:space="preserve">(1), pp. 56-72. </w:t>
      </w:r>
      <w:hyperlink r:id="rId42" w:history="1">
        <w:r w:rsidRPr="002033B2">
          <w:rPr>
            <w:rFonts w:ascii="Arial" w:eastAsia="Aptos" w:hAnsi="Arial" w:cs="Arial"/>
            <w:color w:val="467886"/>
            <w:kern w:val="0"/>
            <w:sz w:val="22"/>
            <w:szCs w:val="22"/>
            <w:u w:val="single"/>
          </w:rPr>
          <w:t>https://www.proquest.com/scholarly-journals/advances-event-management-using-new-technologies/docview/2772230099/se-2?accountid=130472</w:t>
        </w:r>
      </w:hyperlink>
      <w:r w:rsidRPr="002033B2">
        <w:rPr>
          <w:rFonts w:ascii="Arial" w:eastAsia="Aptos" w:hAnsi="Arial" w:cs="Arial"/>
          <w:kern w:val="0"/>
          <w:sz w:val="22"/>
          <w:szCs w:val="22"/>
        </w:rPr>
        <w:t xml:space="preserve"> </w:t>
      </w:r>
    </w:p>
    <w:p w14:paraId="724642E5" w14:textId="77777777" w:rsidR="002033B2" w:rsidRPr="002033B2" w:rsidRDefault="002033B2" w:rsidP="002033B2">
      <w:pPr>
        <w:numPr>
          <w:ilvl w:val="0"/>
          <w:numId w:val="7"/>
        </w:numPr>
        <w:spacing w:line="360" w:lineRule="auto"/>
        <w:contextualSpacing/>
        <w:jc w:val="both"/>
        <w:rPr>
          <w:rFonts w:ascii="Arial" w:eastAsia="Aptos" w:hAnsi="Arial" w:cs="Arial"/>
          <w:kern w:val="0"/>
          <w:sz w:val="22"/>
          <w:szCs w:val="22"/>
        </w:rPr>
      </w:pPr>
      <w:r w:rsidRPr="002033B2">
        <w:rPr>
          <w:rFonts w:ascii="Arial" w:eastAsia="Aptos" w:hAnsi="Arial" w:cs="Arial"/>
          <w:kern w:val="0"/>
          <w:sz w:val="22"/>
          <w:szCs w:val="22"/>
        </w:rPr>
        <w:t xml:space="preserve">Salama, M., 2021. Event Project Management: Principles, Technology, and Innovation. </w:t>
      </w:r>
      <w:hyperlink r:id="rId43" w:history="1">
        <w:r w:rsidRPr="002033B2">
          <w:rPr>
            <w:rFonts w:ascii="Arial" w:eastAsia="Aptos" w:hAnsi="Arial" w:cs="Arial"/>
            <w:color w:val="467886"/>
            <w:kern w:val="0"/>
            <w:sz w:val="22"/>
            <w:szCs w:val="22"/>
            <w:u w:val="single"/>
          </w:rPr>
          <w:t>https://www-vlebooks-com.ezproxy.uwtsd.ac.uk/Product/Index/2829158?page=0&amp;startBookmarkId=-1</w:t>
        </w:r>
      </w:hyperlink>
      <w:r w:rsidRPr="002033B2">
        <w:rPr>
          <w:rFonts w:ascii="Arial" w:eastAsia="Aptos" w:hAnsi="Arial" w:cs="Arial"/>
          <w:kern w:val="0"/>
          <w:sz w:val="22"/>
          <w:szCs w:val="22"/>
        </w:rPr>
        <w:t xml:space="preserve"> </w:t>
      </w:r>
    </w:p>
    <w:p w14:paraId="0C8131D9" w14:textId="77777777" w:rsidR="002033B2" w:rsidRPr="002033B2" w:rsidRDefault="002033B2" w:rsidP="002033B2">
      <w:pPr>
        <w:numPr>
          <w:ilvl w:val="0"/>
          <w:numId w:val="7"/>
        </w:numPr>
        <w:spacing w:line="360" w:lineRule="auto"/>
        <w:contextualSpacing/>
        <w:jc w:val="both"/>
        <w:rPr>
          <w:rFonts w:ascii="Arial" w:eastAsia="Aptos" w:hAnsi="Arial" w:cs="Arial"/>
          <w:kern w:val="0"/>
          <w:sz w:val="22"/>
          <w:szCs w:val="22"/>
        </w:rPr>
      </w:pPr>
      <w:r w:rsidRPr="002033B2">
        <w:rPr>
          <w:rFonts w:ascii="Arial" w:eastAsia="Aptos" w:hAnsi="Arial" w:cs="Arial"/>
          <w:kern w:val="0"/>
          <w:sz w:val="22"/>
          <w:szCs w:val="22"/>
        </w:rPr>
        <w:t xml:space="preserve">Stewart, M., 2023. The Role of Event Technology In Enhancing Attendee Engagement and Experience. The Event Plannerexpo website 2024. </w:t>
      </w:r>
      <w:hyperlink r:id="rId44" w:history="1">
        <w:r w:rsidRPr="002033B2">
          <w:rPr>
            <w:rFonts w:ascii="Arial" w:eastAsia="Aptos" w:hAnsi="Arial" w:cs="Arial"/>
            <w:color w:val="467886"/>
            <w:kern w:val="0"/>
            <w:sz w:val="22"/>
            <w:szCs w:val="22"/>
            <w:u w:val="single"/>
          </w:rPr>
          <w:t>https://hub.theeventplannerexpo.com/attendee-engagement/the-role-of-event-technology-in-enhancing-attendee-engagement-and-experience</w:t>
        </w:r>
      </w:hyperlink>
      <w:r w:rsidRPr="002033B2">
        <w:rPr>
          <w:rFonts w:ascii="Arial" w:eastAsia="Aptos" w:hAnsi="Arial" w:cs="Arial"/>
          <w:kern w:val="0"/>
          <w:sz w:val="22"/>
          <w:szCs w:val="22"/>
        </w:rPr>
        <w:t xml:space="preserve"> </w:t>
      </w:r>
    </w:p>
    <w:p w14:paraId="5361FF9D" w14:textId="77777777" w:rsidR="002033B2" w:rsidRPr="002033B2" w:rsidRDefault="002033B2" w:rsidP="002033B2">
      <w:pPr>
        <w:numPr>
          <w:ilvl w:val="0"/>
          <w:numId w:val="7"/>
        </w:numPr>
        <w:spacing w:line="360" w:lineRule="auto"/>
        <w:contextualSpacing/>
        <w:jc w:val="both"/>
        <w:rPr>
          <w:rFonts w:ascii="Arial" w:eastAsia="Aptos" w:hAnsi="Arial" w:cs="Arial"/>
          <w:kern w:val="0"/>
          <w:sz w:val="22"/>
          <w:szCs w:val="22"/>
        </w:rPr>
      </w:pPr>
      <w:r w:rsidRPr="002033B2">
        <w:rPr>
          <w:rFonts w:ascii="Arial" w:eastAsia="Aptos" w:hAnsi="Arial" w:cs="Arial"/>
          <w:kern w:val="0"/>
          <w:sz w:val="22"/>
          <w:szCs w:val="22"/>
        </w:rPr>
        <w:t xml:space="preserve">Toal, B. and Brown, T., 2022. LGBTQ+ Inclusion In Sustainability. Diverse Sustainability Initiative. Crowberry Consulting. </w:t>
      </w:r>
      <w:hyperlink r:id="rId45" w:history="1">
        <w:r w:rsidRPr="002033B2">
          <w:rPr>
            <w:rFonts w:ascii="Arial" w:eastAsia="Aptos" w:hAnsi="Arial" w:cs="Arial"/>
            <w:color w:val="467886"/>
            <w:kern w:val="0"/>
            <w:sz w:val="22"/>
            <w:szCs w:val="22"/>
            <w:u w:val="single"/>
          </w:rPr>
          <w:t>https://www.diversesustainability.net/resources/blog/lgbtq-inclusion-in-sustainability/</w:t>
        </w:r>
      </w:hyperlink>
      <w:r w:rsidRPr="002033B2">
        <w:rPr>
          <w:rFonts w:ascii="Arial" w:eastAsia="Aptos" w:hAnsi="Arial" w:cs="Arial"/>
          <w:kern w:val="0"/>
          <w:sz w:val="22"/>
          <w:szCs w:val="22"/>
        </w:rPr>
        <w:t xml:space="preserve"> </w:t>
      </w:r>
    </w:p>
    <w:p w14:paraId="71980332" w14:textId="77777777" w:rsidR="002033B2" w:rsidRPr="002033B2" w:rsidRDefault="002033B2" w:rsidP="002033B2">
      <w:pPr>
        <w:numPr>
          <w:ilvl w:val="0"/>
          <w:numId w:val="7"/>
        </w:numPr>
        <w:spacing w:line="360" w:lineRule="auto"/>
        <w:contextualSpacing/>
        <w:jc w:val="both"/>
        <w:rPr>
          <w:rFonts w:ascii="Arial" w:eastAsia="Aptos" w:hAnsi="Arial" w:cs="Arial"/>
          <w:kern w:val="0"/>
          <w:sz w:val="22"/>
          <w:szCs w:val="22"/>
        </w:rPr>
      </w:pPr>
      <w:r w:rsidRPr="002033B2">
        <w:rPr>
          <w:rFonts w:ascii="Arial" w:eastAsia="Aptos" w:hAnsi="Arial" w:cs="Arial"/>
          <w:kern w:val="0"/>
          <w:sz w:val="22"/>
          <w:szCs w:val="22"/>
        </w:rPr>
        <w:t xml:space="preserve">Vongvisitsin, T.B. and Wong, A.K.F., 2021. Organisational change towards LGBTQ+ inclusion in hospitality and tourism: Managerial perspectives. Tourism Management, 86, p.104331.  </w:t>
      </w:r>
      <w:hyperlink r:id="rId46" w:tgtFrame="_new" w:history="1">
        <w:r w:rsidRPr="002033B2">
          <w:rPr>
            <w:rFonts w:ascii="Arial" w:eastAsia="Aptos" w:hAnsi="Arial" w:cs="Arial"/>
            <w:color w:val="467886"/>
            <w:kern w:val="0"/>
            <w:sz w:val="22"/>
            <w:szCs w:val="22"/>
            <w:u w:val="single"/>
          </w:rPr>
          <w:t>https://doi.org/10.1016/j.tourman.2021.104331</w:t>
        </w:r>
      </w:hyperlink>
    </w:p>
    <w:p w14:paraId="6FBF9B35" w14:textId="77777777" w:rsidR="002033B2" w:rsidRPr="002033B2" w:rsidRDefault="002033B2" w:rsidP="002033B2">
      <w:pPr>
        <w:numPr>
          <w:ilvl w:val="0"/>
          <w:numId w:val="7"/>
        </w:numPr>
        <w:spacing w:line="360" w:lineRule="auto"/>
        <w:contextualSpacing/>
        <w:jc w:val="both"/>
        <w:rPr>
          <w:rFonts w:ascii="Arial" w:eastAsia="Aptos" w:hAnsi="Arial" w:cs="Arial"/>
          <w:kern w:val="0"/>
          <w:sz w:val="22"/>
          <w:szCs w:val="22"/>
        </w:rPr>
      </w:pPr>
      <w:r w:rsidRPr="002033B2">
        <w:rPr>
          <w:rFonts w:ascii="Arial" w:eastAsia="Aptos" w:hAnsi="Arial" w:cs="Arial"/>
          <w:kern w:val="0"/>
          <w:sz w:val="22"/>
          <w:szCs w:val="22"/>
        </w:rPr>
        <w:t xml:space="preserve">Wmah, B., and Amnm, G., 2021. An Empirical Study on the Venue Attributes on Customer Satisfaction of Wedding Banquets in Sri Lanka. International Journal of Engineering and Management Research. </w:t>
      </w:r>
      <w:hyperlink r:id="rId47" w:history="1">
        <w:r w:rsidRPr="002033B2">
          <w:rPr>
            <w:rFonts w:ascii="Arial" w:eastAsia="Aptos" w:hAnsi="Arial" w:cs="Arial"/>
            <w:color w:val="467886"/>
            <w:kern w:val="0"/>
            <w:sz w:val="22"/>
            <w:szCs w:val="22"/>
            <w:u w:val="single"/>
          </w:rPr>
          <w:t>https://doi.org/10.31033/IJEMR.11.1.21</w:t>
        </w:r>
      </w:hyperlink>
      <w:r w:rsidRPr="002033B2">
        <w:rPr>
          <w:rFonts w:ascii="Arial" w:eastAsia="Aptos" w:hAnsi="Arial" w:cs="Arial"/>
          <w:kern w:val="0"/>
          <w:sz w:val="22"/>
          <w:szCs w:val="22"/>
        </w:rPr>
        <w:t xml:space="preserve">. </w:t>
      </w:r>
    </w:p>
    <w:p w14:paraId="24B23ECF" w14:textId="77777777" w:rsidR="002033B2" w:rsidRPr="002033B2" w:rsidRDefault="002033B2" w:rsidP="002033B2">
      <w:pPr>
        <w:numPr>
          <w:ilvl w:val="0"/>
          <w:numId w:val="7"/>
        </w:numPr>
        <w:spacing w:line="360" w:lineRule="auto"/>
        <w:contextualSpacing/>
        <w:jc w:val="both"/>
        <w:rPr>
          <w:rFonts w:ascii="Arial" w:eastAsia="Aptos" w:hAnsi="Arial" w:cs="Arial"/>
          <w:kern w:val="0"/>
          <w:sz w:val="22"/>
          <w:szCs w:val="22"/>
          <w:lang w:val="en-US"/>
        </w:rPr>
      </w:pPr>
      <w:r w:rsidRPr="002033B2">
        <w:rPr>
          <w:rFonts w:ascii="Arial" w:eastAsia="Aptos" w:hAnsi="Arial" w:cs="Arial"/>
          <w:kern w:val="0"/>
          <w:sz w:val="22"/>
          <w:szCs w:val="22"/>
        </w:rPr>
        <w:t xml:space="preserve">Yavuz, G. and Enes, K., 2021. </w:t>
      </w:r>
      <w:r w:rsidRPr="002033B2">
        <w:rPr>
          <w:rFonts w:ascii="Arial" w:eastAsia="Aptos" w:hAnsi="Arial" w:cs="Arial"/>
          <w:kern w:val="0"/>
          <w:sz w:val="22"/>
          <w:szCs w:val="22"/>
          <w:lang w:val="en-US"/>
        </w:rPr>
        <w:t xml:space="preserve">Social Media and Events: Before, During, and After. </w:t>
      </w:r>
      <w:hyperlink r:id="rId48" w:history="1">
        <w:r w:rsidRPr="002033B2">
          <w:rPr>
            <w:rFonts w:ascii="Arial" w:eastAsia="Aptos" w:hAnsi="Arial" w:cs="Arial"/>
            <w:color w:val="467886"/>
            <w:kern w:val="0"/>
            <w:sz w:val="22"/>
            <w:szCs w:val="22"/>
            <w:u w:val="single"/>
            <w:lang w:val="en-US"/>
          </w:rPr>
          <w:t>https://doi.org/</w:t>
        </w:r>
        <w:r w:rsidRPr="002033B2">
          <w:rPr>
            <w:rFonts w:ascii="Arial" w:eastAsia="Aptos" w:hAnsi="Arial" w:cs="Arial"/>
            <w:color w:val="467886"/>
            <w:kern w:val="0"/>
            <w:sz w:val="22"/>
            <w:szCs w:val="22"/>
            <w:u w:val="single"/>
          </w:rPr>
          <w:t>10.4018/978-1-7998-4954-4.ch009</w:t>
        </w:r>
      </w:hyperlink>
      <w:r w:rsidRPr="002033B2">
        <w:rPr>
          <w:rFonts w:ascii="Arial" w:eastAsia="Aptos" w:hAnsi="Arial" w:cs="Arial"/>
          <w:kern w:val="0"/>
          <w:sz w:val="22"/>
          <w:szCs w:val="22"/>
        </w:rPr>
        <w:t xml:space="preserve"> </w:t>
      </w:r>
    </w:p>
    <w:p w14:paraId="65205D18" w14:textId="77777777" w:rsidR="002033B2" w:rsidRPr="002033B2" w:rsidRDefault="002033B2" w:rsidP="002033B2">
      <w:pPr>
        <w:spacing w:line="360" w:lineRule="auto"/>
        <w:jc w:val="both"/>
        <w:rPr>
          <w:rFonts w:ascii="Arial" w:eastAsia="Aptos" w:hAnsi="Arial" w:cs="Arial"/>
          <w:b/>
          <w:bCs/>
          <w:kern w:val="0"/>
          <w:sz w:val="22"/>
          <w:szCs w:val="22"/>
        </w:rPr>
      </w:pPr>
    </w:p>
    <w:p w14:paraId="3AE5A29F" w14:textId="77777777" w:rsidR="002033B2" w:rsidRPr="002033B2" w:rsidRDefault="002033B2" w:rsidP="002033B2">
      <w:pPr>
        <w:spacing w:line="360" w:lineRule="auto"/>
        <w:jc w:val="both"/>
        <w:rPr>
          <w:rFonts w:ascii="Arial" w:eastAsia="Aptos" w:hAnsi="Arial" w:cs="Arial"/>
          <w:b/>
          <w:bCs/>
          <w:kern w:val="0"/>
          <w:sz w:val="22"/>
          <w:szCs w:val="22"/>
        </w:rPr>
      </w:pPr>
    </w:p>
    <w:p w14:paraId="169C9218" w14:textId="323C50EF" w:rsidR="002033B2" w:rsidRPr="002033B2" w:rsidRDefault="002033B2" w:rsidP="002033B2">
      <w:pPr>
        <w:spacing w:line="360" w:lineRule="auto"/>
        <w:jc w:val="both"/>
        <w:rPr>
          <w:rFonts w:ascii="Arial" w:eastAsia="Aptos" w:hAnsi="Arial" w:cs="Arial"/>
          <w:b/>
          <w:bCs/>
          <w:kern w:val="0"/>
          <w:sz w:val="22"/>
          <w:szCs w:val="22"/>
        </w:rPr>
      </w:pPr>
      <w:r w:rsidRPr="002033B2">
        <w:rPr>
          <w:rFonts w:ascii="Arial" w:eastAsia="Aptos" w:hAnsi="Arial" w:cs="Arial"/>
          <w:b/>
          <w:bCs/>
          <w:kern w:val="0"/>
          <w:sz w:val="22"/>
          <w:szCs w:val="22"/>
        </w:rPr>
        <w:lastRenderedPageBreak/>
        <w:t>Appendix</w:t>
      </w:r>
      <w:r w:rsidR="00CB5DB1">
        <w:rPr>
          <w:rFonts w:ascii="Arial" w:eastAsia="Aptos" w:hAnsi="Arial" w:cs="Arial"/>
          <w:b/>
          <w:bCs/>
          <w:kern w:val="0"/>
          <w:sz w:val="22"/>
          <w:szCs w:val="22"/>
        </w:rPr>
        <w:t>es</w:t>
      </w:r>
    </w:p>
    <w:p w14:paraId="0F9D5E84" w14:textId="77777777" w:rsidR="002033B2" w:rsidRPr="002033B2" w:rsidRDefault="002033B2" w:rsidP="002033B2">
      <w:pPr>
        <w:spacing w:line="360" w:lineRule="auto"/>
        <w:jc w:val="both"/>
        <w:rPr>
          <w:rFonts w:ascii="Arial" w:eastAsia="Aptos" w:hAnsi="Arial" w:cs="Arial"/>
          <w:b/>
          <w:bCs/>
          <w:kern w:val="0"/>
          <w:sz w:val="22"/>
          <w:szCs w:val="22"/>
        </w:rPr>
      </w:pPr>
      <w:r w:rsidRPr="002033B2">
        <w:rPr>
          <w:rFonts w:ascii="Arial" w:eastAsia="Aptos" w:hAnsi="Arial" w:cs="Arial"/>
          <w:noProof/>
          <w:kern w:val="0"/>
          <w:sz w:val="22"/>
          <w:szCs w:val="22"/>
        </w:rPr>
        <w:drawing>
          <wp:anchor distT="0" distB="0" distL="114300" distR="114300" simplePos="0" relativeHeight="251664384" behindDoc="0" locked="0" layoutInCell="1" allowOverlap="1" wp14:anchorId="5652B96E" wp14:editId="3EA09AE9">
            <wp:simplePos x="0" y="0"/>
            <wp:positionH relativeFrom="column">
              <wp:posOffset>609600</wp:posOffset>
            </wp:positionH>
            <wp:positionV relativeFrom="paragraph">
              <wp:posOffset>285750</wp:posOffset>
            </wp:positionV>
            <wp:extent cx="4772025" cy="3578860"/>
            <wp:effectExtent l="0" t="0" r="9525" b="2540"/>
            <wp:wrapTopAndBottom/>
            <wp:docPr id="1447101034" name="Picture 2" descr="EMBOK - Event Management Body of Knowledge - Afterburner2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EMBOK - Event Management Body of Knowledge - Afterburner2 ..."/>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4772025" cy="3578860"/>
                    </a:xfrm>
                    <a:prstGeom prst="rect">
                      <a:avLst/>
                    </a:prstGeom>
                    <a:noFill/>
                    <a:ln>
                      <a:noFill/>
                    </a:ln>
                  </pic:spPr>
                </pic:pic>
              </a:graphicData>
            </a:graphic>
          </wp:anchor>
        </w:drawing>
      </w:r>
      <w:r w:rsidRPr="002033B2">
        <w:rPr>
          <w:rFonts w:ascii="Arial" w:eastAsia="Aptos" w:hAnsi="Arial" w:cs="Arial"/>
          <w:b/>
          <w:bCs/>
          <w:kern w:val="0"/>
          <w:sz w:val="22"/>
          <w:szCs w:val="22"/>
        </w:rPr>
        <w:t>Appendix A</w:t>
      </w:r>
    </w:p>
    <w:p w14:paraId="233F9F7C" w14:textId="77777777" w:rsidR="002033B2" w:rsidRPr="002033B2" w:rsidRDefault="002033B2" w:rsidP="002033B2">
      <w:pPr>
        <w:spacing w:line="360" w:lineRule="auto"/>
        <w:jc w:val="both"/>
        <w:rPr>
          <w:rFonts w:ascii="Arial" w:eastAsia="Aptos" w:hAnsi="Arial" w:cs="Arial"/>
          <w:b/>
          <w:bCs/>
          <w:kern w:val="0"/>
          <w:sz w:val="22"/>
          <w:szCs w:val="22"/>
        </w:rPr>
      </w:pPr>
      <w:r w:rsidRPr="002033B2">
        <w:rPr>
          <w:rFonts w:ascii="Arial" w:eastAsia="Aptos" w:hAnsi="Arial" w:cs="Arial"/>
          <w:b/>
          <w:bCs/>
          <w:kern w:val="0"/>
          <w:sz w:val="22"/>
          <w:szCs w:val="22"/>
        </w:rPr>
        <w:br/>
      </w:r>
    </w:p>
    <w:p w14:paraId="5AD60DFE" w14:textId="77777777" w:rsidR="002033B2" w:rsidRPr="002033B2" w:rsidRDefault="002033B2" w:rsidP="002033B2">
      <w:pPr>
        <w:spacing w:line="360" w:lineRule="auto"/>
        <w:jc w:val="both"/>
        <w:rPr>
          <w:rFonts w:ascii="Arial" w:eastAsia="Aptos" w:hAnsi="Arial" w:cs="Arial"/>
          <w:b/>
          <w:bCs/>
          <w:kern w:val="0"/>
          <w:sz w:val="22"/>
          <w:szCs w:val="22"/>
          <w:u w:val="single"/>
        </w:rPr>
      </w:pPr>
      <w:r w:rsidRPr="002033B2">
        <w:rPr>
          <w:rFonts w:ascii="Arial" w:eastAsia="Aptos" w:hAnsi="Arial" w:cs="Arial"/>
          <w:b/>
          <w:bCs/>
          <w:kern w:val="0"/>
          <w:sz w:val="22"/>
          <w:szCs w:val="22"/>
          <w:u w:val="single"/>
        </w:rPr>
        <w:t>Key Event Design Considerations (EMBOK Model)</w:t>
      </w:r>
    </w:p>
    <w:p w14:paraId="60E3C115" w14:textId="77777777" w:rsidR="002033B2" w:rsidRPr="002033B2" w:rsidRDefault="002033B2" w:rsidP="002033B2">
      <w:pPr>
        <w:spacing w:line="360" w:lineRule="auto"/>
        <w:jc w:val="both"/>
        <w:rPr>
          <w:rFonts w:ascii="Arial" w:eastAsia="Aptos" w:hAnsi="Arial" w:cs="Arial"/>
          <w:kern w:val="0"/>
          <w:sz w:val="22"/>
          <w:szCs w:val="22"/>
        </w:rPr>
      </w:pPr>
      <w:r w:rsidRPr="002033B2">
        <w:rPr>
          <w:rFonts w:ascii="Arial" w:eastAsia="Aptos" w:hAnsi="Arial" w:cs="Arial"/>
          <w:kern w:val="0"/>
          <w:sz w:val="22"/>
          <w:szCs w:val="22"/>
        </w:rPr>
        <w:t>Strategic organisation, financial planning, logistics, and creative design comprise event planning. The Pride in Hospitality Leadership Summit is organised around five critical domains: administration, design, marketing, operations, and risk management, all of which are based on the EMBOK (Event Management Body of Knowledge) Framework (Bowdin et al., 2011).</w:t>
      </w:r>
    </w:p>
    <w:p w14:paraId="1C732D7B" w14:textId="77777777" w:rsidR="002033B2" w:rsidRPr="002033B2" w:rsidRDefault="002033B2" w:rsidP="002033B2">
      <w:pPr>
        <w:spacing w:line="360" w:lineRule="auto"/>
        <w:jc w:val="both"/>
        <w:rPr>
          <w:rFonts w:ascii="Arial" w:eastAsia="Aptos" w:hAnsi="Arial" w:cs="Arial"/>
          <w:b/>
          <w:bCs/>
          <w:kern w:val="0"/>
          <w:sz w:val="22"/>
          <w:szCs w:val="22"/>
        </w:rPr>
      </w:pPr>
      <w:r w:rsidRPr="002033B2">
        <w:rPr>
          <w:rFonts w:ascii="Segoe UI Emoji" w:eastAsia="Aptos" w:hAnsi="Segoe UI Emoji" w:cs="Segoe UI Emoji"/>
          <w:b/>
          <w:bCs/>
          <w:kern w:val="0"/>
          <w:sz w:val="22"/>
          <w:szCs w:val="22"/>
        </w:rPr>
        <w:t>📌</w:t>
      </w:r>
      <w:r w:rsidRPr="002033B2">
        <w:rPr>
          <w:rFonts w:ascii="Arial" w:eastAsia="Aptos" w:hAnsi="Arial" w:cs="Arial"/>
          <w:b/>
          <w:bCs/>
          <w:kern w:val="0"/>
          <w:sz w:val="22"/>
          <w:szCs w:val="22"/>
        </w:rPr>
        <w:t>Administration</w:t>
      </w:r>
    </w:p>
    <w:p w14:paraId="09A47BEA" w14:textId="77777777" w:rsidR="002033B2" w:rsidRPr="002033B2" w:rsidRDefault="002033B2" w:rsidP="002033B2">
      <w:pPr>
        <w:spacing w:line="360" w:lineRule="auto"/>
        <w:jc w:val="both"/>
        <w:rPr>
          <w:rFonts w:ascii="Arial" w:eastAsia="Aptos" w:hAnsi="Arial" w:cs="Arial"/>
          <w:kern w:val="0"/>
          <w:sz w:val="22"/>
          <w:szCs w:val="22"/>
        </w:rPr>
      </w:pPr>
      <w:r w:rsidRPr="002033B2">
        <w:rPr>
          <w:rFonts w:ascii="Arial" w:eastAsia="Aptos" w:hAnsi="Arial" w:cs="Arial"/>
          <w:kern w:val="0"/>
          <w:sz w:val="22"/>
          <w:szCs w:val="22"/>
        </w:rPr>
        <w:t>Financial management is essential for the success of any event. The summit's budget is evenly distributed among venue rental, catering, marketing, technology, and speaker fees (O'Toole, in 2022). Additionally, ticket sales generate additional revenue, while sponsors such as Marriott, Hilton, and AccorHotels significantly contribute to funding. The research indicates that hospitality events that effectively manage finances are more likely to maintain long-term viability (Bowdin et al., 2011).</w:t>
      </w:r>
    </w:p>
    <w:p w14:paraId="06326447" w14:textId="77777777" w:rsidR="002033B2" w:rsidRPr="002033B2" w:rsidRDefault="002033B2" w:rsidP="002033B2">
      <w:pPr>
        <w:spacing w:line="360" w:lineRule="auto"/>
        <w:jc w:val="both"/>
        <w:rPr>
          <w:rFonts w:ascii="Arial" w:eastAsia="Aptos" w:hAnsi="Arial" w:cs="Arial"/>
          <w:kern w:val="0"/>
          <w:sz w:val="22"/>
          <w:szCs w:val="22"/>
        </w:rPr>
      </w:pPr>
      <w:r w:rsidRPr="002033B2">
        <w:rPr>
          <w:rFonts w:ascii="Arial" w:eastAsia="Aptos" w:hAnsi="Arial" w:cs="Arial"/>
          <w:kern w:val="0"/>
          <w:sz w:val="22"/>
          <w:szCs w:val="22"/>
        </w:rPr>
        <w:t xml:space="preserve">Effective teams necessitate proper training. Marketing professionals, security staff, event coordinators, and technical support staff guarantee efficient operations (Lockstone-Binney et </w:t>
      </w:r>
      <w:r w:rsidRPr="002033B2">
        <w:rPr>
          <w:rFonts w:ascii="Arial" w:eastAsia="Aptos" w:hAnsi="Arial" w:cs="Arial"/>
          <w:kern w:val="0"/>
          <w:sz w:val="22"/>
          <w:szCs w:val="22"/>
        </w:rPr>
        <w:lastRenderedPageBreak/>
        <w:t>al., 2020). The hospitality industry's events are significantly reliant on competent staff to ensure guest satisfaction (Owusu-Mintah and Dacosta, 2017).</w:t>
      </w:r>
    </w:p>
    <w:p w14:paraId="563DA7F9" w14:textId="77777777" w:rsidR="002033B2" w:rsidRPr="002033B2" w:rsidRDefault="002033B2" w:rsidP="002033B2">
      <w:pPr>
        <w:spacing w:line="360" w:lineRule="auto"/>
        <w:jc w:val="both"/>
        <w:rPr>
          <w:rFonts w:ascii="Arial" w:eastAsia="Aptos" w:hAnsi="Arial" w:cs="Arial"/>
          <w:kern w:val="0"/>
          <w:sz w:val="22"/>
          <w:szCs w:val="22"/>
        </w:rPr>
      </w:pPr>
      <w:r w:rsidRPr="002033B2">
        <w:rPr>
          <w:rFonts w:ascii="Arial" w:eastAsia="Aptos" w:hAnsi="Arial" w:cs="Arial"/>
          <w:kern w:val="0"/>
          <w:sz w:val="22"/>
          <w:szCs w:val="22"/>
        </w:rPr>
        <w:t>Data security is also essential, particularly for hybrid events. Post-event surveys facilitate performance evaluation, while encrypted ticketing and registration systems safeguard attendee data (Bowdin et al., 2011).</w:t>
      </w:r>
    </w:p>
    <w:p w14:paraId="1661CD6E" w14:textId="77777777" w:rsidR="002033B2" w:rsidRPr="002033B2" w:rsidRDefault="002033B2" w:rsidP="002033B2">
      <w:pPr>
        <w:spacing w:line="360" w:lineRule="auto"/>
        <w:jc w:val="both"/>
        <w:rPr>
          <w:rFonts w:ascii="Arial" w:eastAsia="Aptos" w:hAnsi="Arial" w:cs="Arial"/>
          <w:kern w:val="0"/>
          <w:sz w:val="22"/>
          <w:szCs w:val="22"/>
        </w:rPr>
      </w:pPr>
      <w:r w:rsidRPr="002033B2">
        <w:rPr>
          <w:rFonts w:ascii="Arial" w:eastAsia="Aptos" w:hAnsi="Arial" w:cs="Arial"/>
          <w:kern w:val="0"/>
          <w:sz w:val="22"/>
          <w:szCs w:val="22"/>
        </w:rPr>
        <w:t>In order to gain credibility, it is essential to engage stakeholders. According to Getz and Page (2024), the event's relevance is maintained through partnerships with corporate sponsors, LGBTQ+ advocacy organisations, and local businesses.</w:t>
      </w:r>
    </w:p>
    <w:p w14:paraId="4112C3DC" w14:textId="77777777" w:rsidR="002033B2" w:rsidRPr="002033B2" w:rsidRDefault="002033B2" w:rsidP="002033B2">
      <w:pPr>
        <w:spacing w:line="360" w:lineRule="auto"/>
        <w:jc w:val="both"/>
        <w:rPr>
          <w:rFonts w:ascii="Arial" w:eastAsia="Aptos" w:hAnsi="Arial" w:cs="Arial"/>
          <w:kern w:val="0"/>
          <w:sz w:val="22"/>
          <w:szCs w:val="22"/>
        </w:rPr>
      </w:pPr>
      <w:r w:rsidRPr="002033B2">
        <w:rPr>
          <w:rFonts w:ascii="Arial" w:eastAsia="Aptos" w:hAnsi="Arial" w:cs="Arial"/>
          <w:kern w:val="0"/>
          <w:sz w:val="22"/>
          <w:szCs w:val="22"/>
        </w:rPr>
        <w:t>In order to execute, it is essential to create a structured timeline. The scheduling of tasks, including venue registration, marketing campaigns, and logistics, is meticulously organised (Bowdin et al., 2011).</w:t>
      </w:r>
    </w:p>
    <w:p w14:paraId="07F0B308" w14:textId="77777777" w:rsidR="002033B2" w:rsidRPr="002033B2" w:rsidRDefault="002033B2" w:rsidP="002033B2">
      <w:pPr>
        <w:spacing w:line="360" w:lineRule="auto"/>
        <w:jc w:val="both"/>
        <w:rPr>
          <w:rFonts w:ascii="Arial" w:eastAsia="Aptos" w:hAnsi="Arial" w:cs="Arial"/>
          <w:b/>
          <w:bCs/>
          <w:kern w:val="0"/>
          <w:sz w:val="22"/>
          <w:szCs w:val="22"/>
        </w:rPr>
      </w:pPr>
      <w:r w:rsidRPr="002033B2">
        <w:rPr>
          <w:rFonts w:ascii="Segoe UI Emoji" w:eastAsia="Aptos" w:hAnsi="Segoe UI Emoji" w:cs="Segoe UI Emoji"/>
          <w:b/>
          <w:bCs/>
          <w:kern w:val="0"/>
          <w:sz w:val="22"/>
          <w:szCs w:val="22"/>
        </w:rPr>
        <w:t>📌</w:t>
      </w:r>
      <w:r w:rsidRPr="002033B2">
        <w:rPr>
          <w:rFonts w:ascii="Arial" w:eastAsia="Aptos" w:hAnsi="Arial" w:cs="Arial"/>
          <w:b/>
          <w:bCs/>
          <w:kern w:val="0"/>
          <w:sz w:val="22"/>
          <w:szCs w:val="22"/>
        </w:rPr>
        <w:t>Design</w:t>
      </w:r>
    </w:p>
    <w:p w14:paraId="3810E0CB" w14:textId="77777777" w:rsidR="002033B2" w:rsidRPr="002033B2" w:rsidRDefault="002033B2" w:rsidP="002033B2">
      <w:pPr>
        <w:spacing w:line="360" w:lineRule="auto"/>
        <w:jc w:val="both"/>
        <w:rPr>
          <w:rFonts w:ascii="Arial" w:eastAsia="Aptos" w:hAnsi="Arial" w:cs="Arial"/>
          <w:kern w:val="0"/>
          <w:sz w:val="22"/>
          <w:szCs w:val="22"/>
        </w:rPr>
      </w:pPr>
      <w:r w:rsidRPr="002033B2">
        <w:rPr>
          <w:rFonts w:ascii="Arial" w:eastAsia="Aptos" w:hAnsi="Arial" w:cs="Arial"/>
          <w:kern w:val="0"/>
          <w:sz w:val="22"/>
          <w:szCs w:val="22"/>
        </w:rPr>
        <w:t>Every aspect of this event is infused with the theme of LGBTQ+ inclusivity in hospitality. The objective is to offer LGBTQ+ professionals secure environments, networking opportunities, and discussions that are specifically designed for them (Vongvisitsin and Wong, 2021).</w:t>
      </w:r>
    </w:p>
    <w:p w14:paraId="7A8CAFFF" w14:textId="77777777" w:rsidR="002033B2" w:rsidRPr="002033B2" w:rsidRDefault="002033B2" w:rsidP="002033B2">
      <w:pPr>
        <w:spacing w:line="360" w:lineRule="auto"/>
        <w:jc w:val="both"/>
        <w:rPr>
          <w:rFonts w:ascii="Arial" w:eastAsia="Aptos" w:hAnsi="Arial" w:cs="Arial"/>
          <w:kern w:val="0"/>
          <w:sz w:val="22"/>
          <w:szCs w:val="22"/>
        </w:rPr>
      </w:pPr>
      <w:r w:rsidRPr="002033B2">
        <w:rPr>
          <w:rFonts w:ascii="Arial" w:eastAsia="Aptos" w:hAnsi="Arial" w:cs="Arial"/>
          <w:kern w:val="0"/>
          <w:sz w:val="22"/>
          <w:szCs w:val="22"/>
        </w:rPr>
        <w:t>In order to maintain the attention of attendants, it is imperative to implement a structured program layout. The event will include interactive workshops, panel discussions, and keynote speeches, which are recognised for their ability to improve professional development at hospitality conferences (Friedman, 2019).</w:t>
      </w:r>
    </w:p>
    <w:p w14:paraId="0248CB31" w14:textId="77777777" w:rsidR="002033B2" w:rsidRPr="002033B2" w:rsidRDefault="002033B2" w:rsidP="002033B2">
      <w:pPr>
        <w:spacing w:line="360" w:lineRule="auto"/>
        <w:jc w:val="both"/>
        <w:rPr>
          <w:rFonts w:ascii="Arial" w:eastAsia="Aptos" w:hAnsi="Arial" w:cs="Arial"/>
          <w:kern w:val="0"/>
          <w:sz w:val="22"/>
          <w:szCs w:val="22"/>
        </w:rPr>
      </w:pPr>
      <w:r w:rsidRPr="002033B2">
        <w:rPr>
          <w:rFonts w:ascii="Arial" w:eastAsia="Aptos" w:hAnsi="Arial" w:cs="Arial"/>
          <w:kern w:val="0"/>
          <w:sz w:val="22"/>
          <w:szCs w:val="22"/>
        </w:rPr>
        <w:t>Due to its accessibility and LGBTQ+-friendly policies, the Andaz Amsterdam Prinsengracht was selected as the venue (I Amsterdam, 2024). The secondary venue, Hotel Pulitzer Amsterdam, guarantees continuity in the event that it is necessary.</w:t>
      </w:r>
    </w:p>
    <w:p w14:paraId="3DA7CC86" w14:textId="77777777" w:rsidR="002033B2" w:rsidRPr="002033B2" w:rsidRDefault="002033B2" w:rsidP="002033B2">
      <w:pPr>
        <w:spacing w:line="360" w:lineRule="auto"/>
        <w:jc w:val="both"/>
        <w:rPr>
          <w:rFonts w:ascii="Arial" w:eastAsia="Aptos" w:hAnsi="Arial" w:cs="Arial"/>
          <w:kern w:val="0"/>
          <w:sz w:val="22"/>
          <w:szCs w:val="22"/>
        </w:rPr>
      </w:pPr>
      <w:r w:rsidRPr="002033B2">
        <w:rPr>
          <w:rFonts w:ascii="Arial" w:eastAsia="Aptos" w:hAnsi="Arial" w:cs="Arial"/>
          <w:kern w:val="0"/>
          <w:sz w:val="22"/>
          <w:szCs w:val="22"/>
        </w:rPr>
        <w:t>A format that has gained popularity in hospitality-based events is live-streaming, that allows participation beyond the venue (Cheruon and Korir, 2023).</w:t>
      </w:r>
    </w:p>
    <w:p w14:paraId="695E1396" w14:textId="77777777" w:rsidR="002033B2" w:rsidRPr="002033B2" w:rsidRDefault="002033B2" w:rsidP="002033B2">
      <w:pPr>
        <w:spacing w:line="360" w:lineRule="auto"/>
        <w:jc w:val="both"/>
        <w:rPr>
          <w:rFonts w:ascii="Arial" w:eastAsia="Aptos" w:hAnsi="Arial" w:cs="Arial"/>
          <w:kern w:val="0"/>
          <w:sz w:val="22"/>
          <w:szCs w:val="22"/>
        </w:rPr>
      </w:pPr>
      <w:r w:rsidRPr="002033B2">
        <w:rPr>
          <w:rFonts w:ascii="Arial" w:eastAsia="Aptos" w:hAnsi="Arial" w:cs="Arial"/>
          <w:kern w:val="0"/>
          <w:sz w:val="22"/>
          <w:szCs w:val="22"/>
        </w:rPr>
        <w:t>The event's primary message will be reinforced by LGBTQ+-owned caterers who will provide food and beverage services. Research indicates that catering selections should be in accordance with event themes to ensure a enjoyable experience (Wmah and Amnm, 2021).</w:t>
      </w:r>
    </w:p>
    <w:p w14:paraId="59224957" w14:textId="77777777" w:rsidR="002033B2" w:rsidRPr="002033B2" w:rsidRDefault="002033B2" w:rsidP="002033B2">
      <w:pPr>
        <w:spacing w:line="360" w:lineRule="auto"/>
        <w:jc w:val="both"/>
        <w:rPr>
          <w:rFonts w:ascii="Arial" w:eastAsia="Aptos" w:hAnsi="Arial" w:cs="Arial"/>
          <w:kern w:val="0"/>
          <w:sz w:val="22"/>
          <w:szCs w:val="22"/>
        </w:rPr>
      </w:pPr>
    </w:p>
    <w:p w14:paraId="6E458EE7" w14:textId="539B83B0" w:rsidR="004961B9" w:rsidRPr="004961B9" w:rsidRDefault="002033B2" w:rsidP="004961B9">
      <w:pPr>
        <w:spacing w:line="360" w:lineRule="auto"/>
        <w:jc w:val="both"/>
        <w:rPr>
          <w:rFonts w:ascii="Arial" w:eastAsia="Aptos" w:hAnsi="Arial" w:cs="Arial"/>
          <w:b/>
          <w:bCs/>
          <w:kern w:val="0"/>
          <w:sz w:val="22"/>
          <w:szCs w:val="22"/>
        </w:rPr>
      </w:pPr>
      <w:r w:rsidRPr="002033B2">
        <w:rPr>
          <w:rFonts w:ascii="Segoe UI Emoji" w:eastAsia="Aptos" w:hAnsi="Segoe UI Emoji" w:cs="Segoe UI Emoji"/>
          <w:b/>
          <w:bCs/>
          <w:kern w:val="0"/>
          <w:sz w:val="22"/>
          <w:szCs w:val="22"/>
        </w:rPr>
        <w:t>📌</w:t>
      </w:r>
      <w:r w:rsidRPr="002033B2">
        <w:rPr>
          <w:rFonts w:ascii="Arial" w:eastAsia="Aptos" w:hAnsi="Arial" w:cs="Arial"/>
          <w:b/>
          <w:bCs/>
          <w:kern w:val="0"/>
          <w:sz w:val="22"/>
          <w:szCs w:val="22"/>
        </w:rPr>
        <w:t>Marketing</w:t>
      </w:r>
    </w:p>
    <w:p w14:paraId="125D3D2B" w14:textId="4CDC638D" w:rsidR="002033B2" w:rsidRPr="002033B2" w:rsidRDefault="002033B2" w:rsidP="002033B2">
      <w:pPr>
        <w:spacing w:line="360" w:lineRule="auto"/>
        <w:jc w:val="both"/>
        <w:rPr>
          <w:rFonts w:ascii="Arial" w:eastAsia="Aptos" w:hAnsi="Arial" w:cs="Arial"/>
          <w:b/>
          <w:bCs/>
          <w:kern w:val="0"/>
          <w:sz w:val="22"/>
          <w:szCs w:val="22"/>
        </w:rPr>
      </w:pPr>
      <w:r w:rsidRPr="002033B2">
        <w:rPr>
          <w:rFonts w:ascii="Arial" w:eastAsia="Aptos" w:hAnsi="Arial" w:cs="Arial"/>
          <w:kern w:val="0"/>
          <w:sz w:val="22"/>
          <w:szCs w:val="22"/>
        </w:rPr>
        <w:lastRenderedPageBreak/>
        <w:t>Maximum event visibility is guaranteed by an effective marketing strategy. A combination of email marketing, social media, and LGBTQ+-specific platforms, such as PinkNews, will be implemented (Bowdin et al., 2011).</w:t>
      </w:r>
    </w:p>
    <w:p w14:paraId="1E00622E" w14:textId="77777777" w:rsidR="002033B2" w:rsidRPr="002033B2" w:rsidRDefault="002033B2" w:rsidP="002033B2">
      <w:pPr>
        <w:spacing w:line="360" w:lineRule="auto"/>
        <w:jc w:val="both"/>
        <w:rPr>
          <w:rFonts w:ascii="Arial" w:eastAsia="Aptos" w:hAnsi="Arial" w:cs="Arial"/>
          <w:kern w:val="0"/>
          <w:sz w:val="22"/>
          <w:szCs w:val="22"/>
        </w:rPr>
      </w:pPr>
      <w:r w:rsidRPr="002033B2">
        <w:rPr>
          <w:rFonts w:ascii="Arial" w:eastAsia="Aptos" w:hAnsi="Arial" w:cs="Arial"/>
          <w:kern w:val="0"/>
          <w:sz w:val="22"/>
          <w:szCs w:val="22"/>
        </w:rPr>
        <w:t>Sponsorships not only provide financial support for events but also expand their audience. Hilton, Marriott, and AccorHotels, among other hospitality brands, will experience increased exposure while simultaneously advocating for inclusivity. Sponsorship-driven hospitality events are more likely to achieve financial success (Getz and Page, 2024).</w:t>
      </w:r>
    </w:p>
    <w:p w14:paraId="0FC34419" w14:textId="77777777" w:rsidR="002033B2" w:rsidRPr="002033B2" w:rsidRDefault="002033B2" w:rsidP="002033B2">
      <w:pPr>
        <w:spacing w:line="360" w:lineRule="auto"/>
        <w:jc w:val="both"/>
        <w:rPr>
          <w:rFonts w:ascii="Arial" w:eastAsia="Aptos" w:hAnsi="Arial" w:cs="Arial"/>
          <w:b/>
          <w:bCs/>
          <w:kern w:val="0"/>
          <w:sz w:val="22"/>
          <w:szCs w:val="22"/>
        </w:rPr>
      </w:pPr>
      <w:r w:rsidRPr="002033B2">
        <w:rPr>
          <w:rFonts w:ascii="Segoe UI Emoji" w:eastAsia="Aptos" w:hAnsi="Segoe UI Emoji" w:cs="Segoe UI Emoji"/>
          <w:b/>
          <w:bCs/>
          <w:kern w:val="0"/>
          <w:sz w:val="22"/>
          <w:szCs w:val="22"/>
        </w:rPr>
        <w:t>📌</w:t>
      </w:r>
      <w:r w:rsidRPr="002033B2">
        <w:rPr>
          <w:rFonts w:ascii="Arial" w:eastAsia="Aptos" w:hAnsi="Arial" w:cs="Arial"/>
          <w:b/>
          <w:bCs/>
          <w:kern w:val="0"/>
          <w:sz w:val="22"/>
          <w:szCs w:val="22"/>
        </w:rPr>
        <w:t>Operations</w:t>
      </w:r>
    </w:p>
    <w:p w14:paraId="51182E33" w14:textId="77777777" w:rsidR="002033B2" w:rsidRPr="002033B2" w:rsidRDefault="002033B2" w:rsidP="002033B2">
      <w:pPr>
        <w:spacing w:line="360" w:lineRule="auto"/>
        <w:jc w:val="both"/>
        <w:rPr>
          <w:rFonts w:ascii="Arial" w:eastAsia="Aptos" w:hAnsi="Arial" w:cs="Arial"/>
          <w:kern w:val="0"/>
          <w:sz w:val="22"/>
          <w:szCs w:val="22"/>
        </w:rPr>
      </w:pPr>
      <w:r w:rsidRPr="002033B2">
        <w:rPr>
          <w:rFonts w:ascii="Arial" w:eastAsia="Aptos" w:hAnsi="Arial" w:cs="Arial"/>
          <w:kern w:val="0"/>
          <w:sz w:val="22"/>
          <w:szCs w:val="22"/>
        </w:rPr>
        <w:t>The selection of the appropriate venue is contingent upon the policies regarding inclusivity, accessibility, and capacity (Nolan, 2020).</w:t>
      </w:r>
    </w:p>
    <w:p w14:paraId="27B1406E" w14:textId="77777777" w:rsidR="002033B2" w:rsidRPr="002033B2" w:rsidRDefault="002033B2" w:rsidP="002033B2">
      <w:pPr>
        <w:spacing w:line="360" w:lineRule="auto"/>
        <w:jc w:val="both"/>
        <w:rPr>
          <w:rFonts w:ascii="Arial" w:eastAsia="Aptos" w:hAnsi="Arial" w:cs="Arial"/>
          <w:kern w:val="0"/>
          <w:sz w:val="22"/>
          <w:szCs w:val="22"/>
        </w:rPr>
      </w:pPr>
      <w:r w:rsidRPr="002033B2">
        <w:rPr>
          <w:rFonts w:ascii="Arial" w:eastAsia="Aptos" w:hAnsi="Arial" w:cs="Arial"/>
          <w:kern w:val="0"/>
          <w:sz w:val="22"/>
          <w:szCs w:val="22"/>
        </w:rPr>
        <w:t>Trained security personnel, emergency exits, and first aid stations comprise an effective health and safety plan (Salama, 2021).</w:t>
      </w:r>
    </w:p>
    <w:p w14:paraId="560196FF" w14:textId="77777777" w:rsidR="002033B2" w:rsidRPr="002033B2" w:rsidRDefault="002033B2" w:rsidP="002033B2">
      <w:pPr>
        <w:spacing w:line="360" w:lineRule="auto"/>
        <w:jc w:val="both"/>
        <w:rPr>
          <w:rFonts w:ascii="Arial" w:eastAsia="Aptos" w:hAnsi="Arial" w:cs="Arial"/>
          <w:kern w:val="0"/>
          <w:sz w:val="22"/>
          <w:szCs w:val="22"/>
        </w:rPr>
      </w:pPr>
      <w:r w:rsidRPr="002033B2">
        <w:rPr>
          <w:rFonts w:ascii="Arial" w:eastAsia="Aptos" w:hAnsi="Arial" w:cs="Arial"/>
          <w:kern w:val="0"/>
          <w:sz w:val="22"/>
          <w:szCs w:val="22"/>
        </w:rPr>
        <w:t>Digital networking features, live Q&amp;As, and hybrid attendance are all supported by audiovisual technology (Revilla et al., 2023).</w:t>
      </w:r>
    </w:p>
    <w:p w14:paraId="160AA914" w14:textId="77777777" w:rsidR="002033B2" w:rsidRPr="002033B2" w:rsidRDefault="002033B2" w:rsidP="002033B2">
      <w:pPr>
        <w:spacing w:line="360" w:lineRule="auto"/>
        <w:jc w:val="both"/>
        <w:rPr>
          <w:rFonts w:ascii="Arial" w:eastAsia="Aptos" w:hAnsi="Arial" w:cs="Arial"/>
          <w:kern w:val="0"/>
          <w:sz w:val="22"/>
          <w:szCs w:val="22"/>
        </w:rPr>
      </w:pPr>
      <w:r w:rsidRPr="002033B2">
        <w:rPr>
          <w:rFonts w:ascii="Arial" w:eastAsia="Aptos" w:hAnsi="Arial" w:cs="Arial"/>
          <w:kern w:val="0"/>
          <w:sz w:val="22"/>
          <w:szCs w:val="22"/>
        </w:rPr>
        <w:t>Eco-friendly catering and recycling facilities are among the waste management strategies that are consistent with sustainability objectives (Salama, 2021).</w:t>
      </w:r>
    </w:p>
    <w:p w14:paraId="32052215" w14:textId="77777777" w:rsidR="002033B2" w:rsidRPr="002033B2" w:rsidRDefault="002033B2" w:rsidP="002033B2">
      <w:pPr>
        <w:spacing w:line="360" w:lineRule="auto"/>
        <w:jc w:val="both"/>
        <w:rPr>
          <w:rFonts w:ascii="Arial" w:eastAsia="Aptos" w:hAnsi="Arial" w:cs="Arial"/>
          <w:b/>
          <w:bCs/>
          <w:kern w:val="0"/>
          <w:sz w:val="22"/>
          <w:szCs w:val="22"/>
        </w:rPr>
      </w:pPr>
      <w:r w:rsidRPr="002033B2">
        <w:rPr>
          <w:rFonts w:ascii="Segoe UI Emoji" w:eastAsia="Aptos" w:hAnsi="Segoe UI Emoji" w:cs="Segoe UI Emoji"/>
          <w:b/>
          <w:bCs/>
          <w:kern w:val="0"/>
          <w:sz w:val="22"/>
          <w:szCs w:val="22"/>
        </w:rPr>
        <w:t>📌</w:t>
      </w:r>
      <w:r w:rsidRPr="002033B2">
        <w:rPr>
          <w:rFonts w:ascii="Arial" w:eastAsia="Aptos" w:hAnsi="Arial" w:cs="Arial"/>
          <w:b/>
          <w:bCs/>
          <w:kern w:val="0"/>
          <w:sz w:val="22"/>
          <w:szCs w:val="22"/>
        </w:rPr>
        <w:t>Risk Management</w:t>
      </w:r>
    </w:p>
    <w:p w14:paraId="09F953DA" w14:textId="77777777" w:rsidR="002033B2" w:rsidRPr="002033B2" w:rsidRDefault="002033B2" w:rsidP="002033B2">
      <w:pPr>
        <w:spacing w:line="360" w:lineRule="auto"/>
        <w:jc w:val="both"/>
        <w:rPr>
          <w:rFonts w:ascii="Arial" w:eastAsia="Aptos" w:hAnsi="Arial" w:cs="Arial"/>
          <w:kern w:val="0"/>
          <w:sz w:val="22"/>
          <w:szCs w:val="22"/>
        </w:rPr>
      </w:pPr>
      <w:r w:rsidRPr="002033B2">
        <w:rPr>
          <w:rFonts w:ascii="Arial" w:eastAsia="Aptos" w:hAnsi="Arial" w:cs="Arial"/>
          <w:kern w:val="0"/>
          <w:sz w:val="22"/>
          <w:szCs w:val="22"/>
        </w:rPr>
        <w:t>All policies are guaranteed that they conform to inclusivity standards through adherence to the Equal Treatment Act 1994 (Government of the Netherlands, 2024).</w:t>
      </w:r>
    </w:p>
    <w:p w14:paraId="3D128BF7" w14:textId="77777777" w:rsidR="002033B2" w:rsidRPr="002033B2" w:rsidRDefault="002033B2" w:rsidP="002033B2">
      <w:pPr>
        <w:spacing w:line="360" w:lineRule="auto"/>
        <w:jc w:val="both"/>
        <w:rPr>
          <w:rFonts w:ascii="Arial" w:eastAsia="Aptos" w:hAnsi="Arial" w:cs="Arial"/>
          <w:kern w:val="0"/>
          <w:sz w:val="22"/>
          <w:szCs w:val="22"/>
        </w:rPr>
      </w:pPr>
      <w:r w:rsidRPr="002033B2">
        <w:rPr>
          <w:rFonts w:ascii="Arial" w:eastAsia="Aptos" w:hAnsi="Arial" w:cs="Arial"/>
          <w:kern w:val="0"/>
          <w:sz w:val="22"/>
          <w:szCs w:val="22"/>
        </w:rPr>
        <w:t>In order to mitigate disruptions, security planning necessitates cooperation with local law enforcement (Salama, 2021).</w:t>
      </w:r>
    </w:p>
    <w:p w14:paraId="0B905E4C" w14:textId="77777777" w:rsidR="002033B2" w:rsidRPr="002033B2" w:rsidRDefault="002033B2" w:rsidP="002033B2">
      <w:pPr>
        <w:spacing w:line="360" w:lineRule="auto"/>
        <w:jc w:val="both"/>
        <w:rPr>
          <w:rFonts w:ascii="Arial" w:eastAsia="Aptos" w:hAnsi="Arial" w:cs="Arial"/>
          <w:kern w:val="0"/>
          <w:sz w:val="22"/>
          <w:szCs w:val="22"/>
        </w:rPr>
      </w:pPr>
      <w:r w:rsidRPr="002033B2">
        <w:rPr>
          <w:rFonts w:ascii="Arial" w:eastAsia="Aptos" w:hAnsi="Arial" w:cs="Arial"/>
          <w:kern w:val="0"/>
          <w:sz w:val="22"/>
          <w:szCs w:val="22"/>
        </w:rPr>
        <w:t>Financial protection is guaranteed by insurance coverage for venue liability, cancellations, and participant safety (Moyle et al., 2014).</w:t>
      </w:r>
    </w:p>
    <w:p w14:paraId="3C7E3BBD" w14:textId="77777777" w:rsidR="002033B2" w:rsidRPr="002033B2" w:rsidRDefault="002033B2" w:rsidP="002033B2">
      <w:pPr>
        <w:spacing w:line="360" w:lineRule="auto"/>
        <w:jc w:val="both"/>
        <w:rPr>
          <w:rFonts w:ascii="Arial" w:eastAsia="Aptos" w:hAnsi="Arial" w:cs="Arial"/>
          <w:kern w:val="0"/>
          <w:sz w:val="22"/>
          <w:szCs w:val="22"/>
        </w:rPr>
      </w:pPr>
      <w:r w:rsidRPr="002033B2">
        <w:rPr>
          <w:rFonts w:ascii="Arial" w:eastAsia="Aptos" w:hAnsi="Arial" w:cs="Arial"/>
          <w:kern w:val="0"/>
          <w:sz w:val="22"/>
          <w:szCs w:val="22"/>
        </w:rPr>
        <w:t>The Pride in Hospitality Leadership Summit will be inclusive, financially sustainable, and well-organised by addressing these five domains.</w:t>
      </w:r>
    </w:p>
    <w:p w14:paraId="51C688FE" w14:textId="77777777" w:rsidR="002033B2" w:rsidRPr="002033B2" w:rsidRDefault="002033B2" w:rsidP="002033B2">
      <w:pPr>
        <w:spacing w:line="360" w:lineRule="auto"/>
        <w:jc w:val="both"/>
        <w:rPr>
          <w:rFonts w:ascii="Arial" w:eastAsia="Aptos" w:hAnsi="Arial" w:cs="Arial"/>
          <w:kern w:val="0"/>
          <w:sz w:val="22"/>
          <w:szCs w:val="22"/>
        </w:rPr>
      </w:pPr>
    </w:p>
    <w:p w14:paraId="48824F1D" w14:textId="77777777" w:rsidR="002033B2" w:rsidRPr="002033B2" w:rsidRDefault="002033B2" w:rsidP="002033B2">
      <w:pPr>
        <w:spacing w:line="360" w:lineRule="auto"/>
        <w:jc w:val="both"/>
        <w:rPr>
          <w:rFonts w:ascii="Arial" w:eastAsia="Aptos" w:hAnsi="Arial" w:cs="Arial"/>
          <w:kern w:val="0"/>
          <w:sz w:val="22"/>
          <w:szCs w:val="22"/>
        </w:rPr>
      </w:pPr>
    </w:p>
    <w:p w14:paraId="7C5DD7B6" w14:textId="77777777" w:rsidR="004961B9" w:rsidRDefault="004961B9" w:rsidP="002033B2">
      <w:pPr>
        <w:spacing w:line="360" w:lineRule="auto"/>
        <w:jc w:val="both"/>
        <w:rPr>
          <w:rFonts w:ascii="Arial" w:eastAsia="Aptos" w:hAnsi="Arial" w:cs="Arial"/>
          <w:b/>
          <w:bCs/>
          <w:kern w:val="0"/>
          <w:sz w:val="22"/>
          <w:szCs w:val="22"/>
        </w:rPr>
      </w:pPr>
    </w:p>
    <w:p w14:paraId="4A1FB19B" w14:textId="77777777" w:rsidR="004961B9" w:rsidRDefault="004961B9" w:rsidP="002033B2">
      <w:pPr>
        <w:spacing w:line="360" w:lineRule="auto"/>
        <w:jc w:val="both"/>
        <w:rPr>
          <w:rFonts w:ascii="Arial" w:eastAsia="Aptos" w:hAnsi="Arial" w:cs="Arial"/>
          <w:b/>
          <w:bCs/>
          <w:kern w:val="0"/>
          <w:sz w:val="22"/>
          <w:szCs w:val="22"/>
        </w:rPr>
      </w:pPr>
    </w:p>
    <w:p w14:paraId="7B66CCF2" w14:textId="77777777" w:rsidR="004961B9" w:rsidRDefault="004961B9" w:rsidP="002033B2">
      <w:pPr>
        <w:spacing w:line="360" w:lineRule="auto"/>
        <w:jc w:val="both"/>
        <w:rPr>
          <w:rFonts w:ascii="Arial" w:eastAsia="Aptos" w:hAnsi="Arial" w:cs="Arial"/>
          <w:b/>
          <w:bCs/>
          <w:kern w:val="0"/>
          <w:sz w:val="22"/>
          <w:szCs w:val="22"/>
        </w:rPr>
      </w:pPr>
    </w:p>
    <w:p w14:paraId="4A21F961" w14:textId="3CED6C76" w:rsidR="002033B2" w:rsidRPr="002033B2" w:rsidRDefault="002033B2" w:rsidP="002033B2">
      <w:pPr>
        <w:spacing w:line="360" w:lineRule="auto"/>
        <w:jc w:val="both"/>
        <w:rPr>
          <w:rFonts w:ascii="Arial" w:eastAsia="Aptos" w:hAnsi="Arial" w:cs="Arial"/>
          <w:b/>
          <w:bCs/>
          <w:kern w:val="0"/>
          <w:sz w:val="22"/>
          <w:szCs w:val="22"/>
        </w:rPr>
      </w:pPr>
      <w:r w:rsidRPr="002033B2">
        <w:rPr>
          <w:rFonts w:ascii="Arial" w:eastAsia="Aptos" w:hAnsi="Arial" w:cs="Arial"/>
          <w:b/>
          <w:bCs/>
          <w:kern w:val="0"/>
          <w:sz w:val="22"/>
          <w:szCs w:val="22"/>
        </w:rPr>
        <w:lastRenderedPageBreak/>
        <w:t>Appendix B</w:t>
      </w:r>
    </w:p>
    <w:p w14:paraId="1468E305" w14:textId="77777777" w:rsidR="002033B2" w:rsidRPr="002033B2" w:rsidRDefault="002033B2" w:rsidP="002033B2">
      <w:pPr>
        <w:spacing w:line="360" w:lineRule="auto"/>
        <w:jc w:val="both"/>
        <w:rPr>
          <w:rFonts w:ascii="Arial" w:eastAsia="Aptos" w:hAnsi="Arial" w:cs="Arial"/>
          <w:b/>
          <w:bCs/>
          <w:kern w:val="0"/>
          <w:sz w:val="22"/>
          <w:szCs w:val="22"/>
        </w:rPr>
      </w:pPr>
    </w:p>
    <w:p w14:paraId="16D9F60F" w14:textId="77777777" w:rsidR="002033B2" w:rsidRPr="002033B2" w:rsidRDefault="002033B2" w:rsidP="002033B2">
      <w:pPr>
        <w:spacing w:line="360" w:lineRule="auto"/>
        <w:jc w:val="both"/>
        <w:rPr>
          <w:rFonts w:ascii="Arial" w:eastAsia="Aptos" w:hAnsi="Arial" w:cs="Arial"/>
          <w:b/>
          <w:bCs/>
          <w:kern w:val="0"/>
          <w:sz w:val="22"/>
          <w:szCs w:val="22"/>
        </w:rPr>
      </w:pPr>
      <w:r w:rsidRPr="002033B2">
        <w:rPr>
          <w:rFonts w:ascii="Arial" w:eastAsia="Aptos" w:hAnsi="Arial" w:cs="Arial"/>
          <w:noProof/>
          <w:kern w:val="0"/>
          <w:sz w:val="22"/>
          <w:szCs w:val="22"/>
        </w:rPr>
        <w:drawing>
          <wp:anchor distT="0" distB="0" distL="114300" distR="114300" simplePos="0" relativeHeight="251665408" behindDoc="0" locked="0" layoutInCell="1" allowOverlap="1" wp14:anchorId="3263B057" wp14:editId="3570CF53">
            <wp:simplePos x="0" y="0"/>
            <wp:positionH relativeFrom="margin">
              <wp:align>right</wp:align>
            </wp:positionH>
            <wp:positionV relativeFrom="paragraph">
              <wp:posOffset>351667</wp:posOffset>
            </wp:positionV>
            <wp:extent cx="5943600" cy="1352550"/>
            <wp:effectExtent l="0" t="0" r="0" b="0"/>
            <wp:wrapTopAndBottom/>
            <wp:docPr id="1435712396" name="Picture 3" descr="A person standing next to a let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5712396" name="Picture 3" descr="A person standing next to a letter&#10;&#10;AI-generated content may be incorrect."/>
                    <pic:cNvPicPr>
                      <a:picLocks noChangeAspect="1" noChangeArrowheads="1"/>
                    </pic:cNvPicPr>
                  </pic:nvPicPr>
                  <pic:blipFill rotWithShape="1">
                    <a:blip r:embed="rId50" cstate="print">
                      <a:extLst>
                        <a:ext uri="{28A0092B-C50C-407E-A947-70E740481C1C}">
                          <a14:useLocalDpi xmlns:a14="http://schemas.microsoft.com/office/drawing/2010/main" val="0"/>
                        </a:ext>
                      </a:extLst>
                    </a:blip>
                    <a:srcRect t="3685" b="21578"/>
                    <a:stretch/>
                  </pic:blipFill>
                  <pic:spPr bwMode="auto">
                    <a:xfrm>
                      <a:off x="0" y="0"/>
                      <a:ext cx="5943600" cy="1352550"/>
                    </a:xfrm>
                    <a:prstGeom prst="rect">
                      <a:avLst/>
                    </a:prstGeom>
                    <a:noFill/>
                    <a:ln>
                      <a:noFill/>
                    </a:ln>
                    <a:extLst>
                      <a:ext uri="{53640926-AAD7-44D8-BBD7-CCE9431645EC}">
                        <a14:shadowObscured xmlns:a14="http://schemas.microsoft.com/office/drawing/2010/main"/>
                      </a:ext>
                    </a:extLst>
                  </pic:spPr>
                </pic:pic>
              </a:graphicData>
            </a:graphic>
          </wp:anchor>
        </w:drawing>
      </w:r>
    </w:p>
    <w:p w14:paraId="42C15C9D" w14:textId="77777777" w:rsidR="002033B2" w:rsidRPr="002033B2" w:rsidRDefault="002033B2" w:rsidP="002033B2">
      <w:pPr>
        <w:spacing w:line="360" w:lineRule="auto"/>
        <w:jc w:val="both"/>
        <w:rPr>
          <w:rFonts w:ascii="Arial" w:eastAsia="Aptos" w:hAnsi="Arial" w:cs="Arial"/>
          <w:b/>
          <w:bCs/>
          <w:kern w:val="0"/>
          <w:sz w:val="22"/>
          <w:szCs w:val="22"/>
          <w:u w:val="single"/>
        </w:rPr>
      </w:pPr>
    </w:p>
    <w:p w14:paraId="0F0AD199" w14:textId="77777777" w:rsidR="002033B2" w:rsidRPr="002033B2" w:rsidRDefault="002033B2" w:rsidP="002033B2">
      <w:pPr>
        <w:spacing w:line="360" w:lineRule="auto"/>
        <w:jc w:val="both"/>
        <w:rPr>
          <w:rFonts w:ascii="Arial" w:eastAsia="Aptos" w:hAnsi="Arial" w:cs="Arial"/>
          <w:b/>
          <w:bCs/>
          <w:kern w:val="0"/>
          <w:sz w:val="22"/>
          <w:szCs w:val="22"/>
          <w:u w:val="single"/>
        </w:rPr>
      </w:pPr>
      <w:r w:rsidRPr="002033B2">
        <w:rPr>
          <w:rFonts w:ascii="Arial" w:eastAsia="Aptos" w:hAnsi="Arial" w:cs="Arial"/>
          <w:b/>
          <w:bCs/>
          <w:kern w:val="0"/>
          <w:sz w:val="22"/>
          <w:szCs w:val="22"/>
          <w:u w:val="single"/>
        </w:rPr>
        <w:t xml:space="preserve">SWOT Analysis </w:t>
      </w:r>
    </w:p>
    <w:p w14:paraId="2D1796E7" w14:textId="77777777" w:rsidR="002033B2" w:rsidRPr="002033B2" w:rsidRDefault="002033B2" w:rsidP="002033B2">
      <w:pPr>
        <w:spacing w:line="360" w:lineRule="auto"/>
        <w:jc w:val="both"/>
        <w:rPr>
          <w:rFonts w:ascii="Arial" w:eastAsia="Aptos" w:hAnsi="Arial" w:cs="Arial"/>
          <w:kern w:val="0"/>
          <w:sz w:val="22"/>
          <w:szCs w:val="22"/>
        </w:rPr>
      </w:pPr>
      <w:r w:rsidRPr="002033B2">
        <w:rPr>
          <w:rFonts w:ascii="Arial" w:eastAsia="Aptos" w:hAnsi="Arial" w:cs="Arial"/>
          <w:kern w:val="0"/>
          <w:sz w:val="22"/>
          <w:szCs w:val="22"/>
        </w:rPr>
        <w:t>The summit's strong alignment with industry trends, corporate sponsorship, and hybrid accessibility is underscored by the SWOT analysis. Nevertheless, meticulous planning is necessary due to the financial dependence on sponsorships and the competition from other events. The event's foundation can be fortified by opportunities for technology integration and long-term partnerships. The event's success and long-term sustainability will be contingent upon the effective management of risks, particularly those related to funding and security.</w:t>
      </w:r>
    </w:p>
    <w:p w14:paraId="7D04D7DB" w14:textId="77777777" w:rsidR="002033B2" w:rsidRPr="002033B2" w:rsidRDefault="002033B2" w:rsidP="002033B2">
      <w:pPr>
        <w:spacing w:line="360" w:lineRule="auto"/>
        <w:jc w:val="both"/>
        <w:rPr>
          <w:rFonts w:ascii="Arial" w:eastAsia="Aptos" w:hAnsi="Arial" w:cs="Arial"/>
          <w:b/>
          <w:bCs/>
          <w:kern w:val="0"/>
          <w:sz w:val="22"/>
          <w:szCs w:val="22"/>
        </w:rPr>
      </w:pPr>
      <w:r w:rsidRPr="002033B2">
        <w:rPr>
          <w:rFonts w:ascii="Segoe UI Emoji" w:eastAsia="Aptos" w:hAnsi="Segoe UI Emoji" w:cs="Segoe UI Emoji"/>
          <w:b/>
          <w:bCs/>
          <w:kern w:val="0"/>
          <w:sz w:val="22"/>
          <w:szCs w:val="22"/>
        </w:rPr>
        <w:t>📌</w:t>
      </w:r>
      <w:r w:rsidRPr="002033B2">
        <w:rPr>
          <w:rFonts w:ascii="Arial" w:eastAsia="Aptos" w:hAnsi="Arial" w:cs="Arial"/>
          <w:b/>
          <w:bCs/>
          <w:kern w:val="0"/>
          <w:sz w:val="22"/>
          <w:szCs w:val="22"/>
        </w:rPr>
        <w:t>Strengths</w:t>
      </w:r>
    </w:p>
    <w:p w14:paraId="3DD9F8C0" w14:textId="77777777" w:rsidR="002033B2" w:rsidRPr="002033B2" w:rsidRDefault="002033B2" w:rsidP="002033B2">
      <w:pPr>
        <w:spacing w:line="360" w:lineRule="auto"/>
        <w:jc w:val="both"/>
        <w:rPr>
          <w:rFonts w:ascii="Arial" w:eastAsia="Aptos" w:hAnsi="Arial" w:cs="Arial"/>
          <w:kern w:val="0"/>
          <w:sz w:val="22"/>
          <w:szCs w:val="22"/>
        </w:rPr>
      </w:pPr>
      <w:r w:rsidRPr="002033B2">
        <w:rPr>
          <w:rFonts w:ascii="Arial" w:eastAsia="Aptos" w:hAnsi="Arial" w:cs="Arial"/>
          <w:kern w:val="0"/>
          <w:sz w:val="22"/>
          <w:szCs w:val="22"/>
        </w:rPr>
        <w:t>The event's undeniable alignment with industry trends is one of its most significant advantages. The event's relevance is clearly demonstrated by the growing demand for diversity, equity, and inclusion (DEI) initiatives in the hospitality sector (Madera et al., 2023). The summit distinguishes itself from general hospitality conferences by promoting itself as a premier LGBTQ+ hospitality event.</w:t>
      </w:r>
    </w:p>
    <w:p w14:paraId="6E28B1E4" w14:textId="77777777" w:rsidR="002033B2" w:rsidRPr="002033B2" w:rsidRDefault="002033B2" w:rsidP="002033B2">
      <w:pPr>
        <w:spacing w:line="360" w:lineRule="auto"/>
        <w:jc w:val="both"/>
        <w:rPr>
          <w:rFonts w:ascii="Arial" w:eastAsia="Aptos" w:hAnsi="Arial" w:cs="Arial"/>
          <w:kern w:val="0"/>
          <w:sz w:val="22"/>
          <w:szCs w:val="22"/>
        </w:rPr>
      </w:pPr>
      <w:r w:rsidRPr="002033B2">
        <w:rPr>
          <w:rFonts w:ascii="Arial" w:eastAsia="Aptos" w:hAnsi="Arial" w:cs="Arial"/>
          <w:kern w:val="0"/>
          <w:sz w:val="22"/>
          <w:szCs w:val="22"/>
        </w:rPr>
        <w:t>The robust corporate sponsorship base is another significant advantage. In addition to their financial contributions, Hilton, Marriott, and AccorHotels offer networking opportunities and keynote speakers. Their participation assures broader industry participation and increases credibility (Bangura and Choi, 2024).</w:t>
      </w:r>
    </w:p>
    <w:p w14:paraId="2A3D775C" w14:textId="77777777" w:rsidR="002033B2" w:rsidRPr="002033B2" w:rsidRDefault="002033B2" w:rsidP="002033B2">
      <w:pPr>
        <w:spacing w:line="360" w:lineRule="auto"/>
        <w:jc w:val="both"/>
        <w:rPr>
          <w:rFonts w:ascii="Arial" w:eastAsia="Aptos" w:hAnsi="Arial" w:cs="Arial"/>
          <w:kern w:val="0"/>
          <w:sz w:val="22"/>
          <w:szCs w:val="22"/>
        </w:rPr>
      </w:pPr>
      <w:r w:rsidRPr="002033B2">
        <w:rPr>
          <w:rFonts w:ascii="Arial" w:eastAsia="Aptos" w:hAnsi="Arial" w:cs="Arial"/>
          <w:kern w:val="0"/>
          <w:sz w:val="22"/>
          <w:szCs w:val="22"/>
        </w:rPr>
        <w:t>Another benefit is the hybrid event model. By integrating in-person and virtual participation, the summit accommodates international attendants who may be unable to travel, increasing accessibility and the potential for attendance (Doran et al., 2024).</w:t>
      </w:r>
    </w:p>
    <w:p w14:paraId="1318BDE5" w14:textId="77777777" w:rsidR="002033B2" w:rsidRPr="002033B2" w:rsidRDefault="002033B2" w:rsidP="002033B2">
      <w:pPr>
        <w:spacing w:line="360" w:lineRule="auto"/>
        <w:jc w:val="both"/>
        <w:rPr>
          <w:rFonts w:ascii="Arial" w:eastAsia="Aptos" w:hAnsi="Arial" w:cs="Arial"/>
          <w:b/>
          <w:bCs/>
          <w:kern w:val="0"/>
          <w:sz w:val="22"/>
          <w:szCs w:val="22"/>
        </w:rPr>
      </w:pPr>
      <w:r w:rsidRPr="002033B2">
        <w:rPr>
          <w:rFonts w:ascii="Segoe UI Emoji" w:eastAsia="Aptos" w:hAnsi="Segoe UI Emoji" w:cs="Segoe UI Emoji"/>
          <w:b/>
          <w:bCs/>
          <w:kern w:val="0"/>
          <w:sz w:val="22"/>
          <w:szCs w:val="22"/>
        </w:rPr>
        <w:t>📌</w:t>
      </w:r>
      <w:r w:rsidRPr="002033B2">
        <w:rPr>
          <w:rFonts w:ascii="Arial" w:eastAsia="Aptos" w:hAnsi="Arial" w:cs="Arial"/>
          <w:b/>
          <w:bCs/>
          <w:kern w:val="0"/>
          <w:sz w:val="22"/>
          <w:szCs w:val="22"/>
        </w:rPr>
        <w:t>Weaknesses</w:t>
      </w:r>
    </w:p>
    <w:p w14:paraId="3739B9E2" w14:textId="77777777" w:rsidR="002033B2" w:rsidRPr="002033B2" w:rsidRDefault="002033B2" w:rsidP="002033B2">
      <w:pPr>
        <w:spacing w:line="360" w:lineRule="auto"/>
        <w:jc w:val="both"/>
        <w:rPr>
          <w:rFonts w:ascii="Arial" w:eastAsia="Aptos" w:hAnsi="Arial" w:cs="Arial"/>
          <w:kern w:val="0"/>
          <w:sz w:val="22"/>
          <w:szCs w:val="22"/>
        </w:rPr>
      </w:pPr>
      <w:r w:rsidRPr="002033B2">
        <w:rPr>
          <w:rFonts w:ascii="Arial" w:eastAsia="Aptos" w:hAnsi="Arial" w:cs="Arial"/>
          <w:kern w:val="0"/>
          <w:sz w:val="22"/>
          <w:szCs w:val="22"/>
        </w:rPr>
        <w:lastRenderedPageBreak/>
        <w:t xml:space="preserve">The event is confronted with internal challenges, despite its assets. Its dependence on sponsorship funding is a significant vulnerability. Although securing corporate support is advantageous, it also implies that the event's financial stability is contingent upon external contributions. The budget may experience deficits in the event that significant sponsors withdraw (Janjusevic and Mathur, 2021). </w:t>
      </w:r>
    </w:p>
    <w:p w14:paraId="3C9CD5B7" w14:textId="77777777" w:rsidR="002033B2" w:rsidRPr="002033B2" w:rsidRDefault="002033B2" w:rsidP="002033B2">
      <w:pPr>
        <w:spacing w:line="360" w:lineRule="auto"/>
        <w:jc w:val="both"/>
        <w:rPr>
          <w:rFonts w:ascii="Arial" w:eastAsia="Aptos" w:hAnsi="Arial" w:cs="Arial"/>
          <w:kern w:val="0"/>
          <w:sz w:val="22"/>
          <w:szCs w:val="22"/>
        </w:rPr>
      </w:pPr>
      <w:r w:rsidRPr="002033B2">
        <w:rPr>
          <w:rFonts w:ascii="Arial" w:eastAsia="Aptos" w:hAnsi="Arial" w:cs="Arial"/>
          <w:kern w:val="0"/>
          <w:sz w:val="22"/>
          <w:szCs w:val="22"/>
        </w:rPr>
        <w:t xml:space="preserve">The first-year nature of the event is another potential vulnerability. Given that the summit is a new initiative, it may be more difficult to recruit high-profile speakers or attendees due to its lack of historical credibility. Events that have a proven track record typically have an easier time procuring registrations and partnerships (Bowdin et al., 2011). </w:t>
      </w:r>
    </w:p>
    <w:p w14:paraId="67BF9350" w14:textId="77777777" w:rsidR="002033B2" w:rsidRPr="002033B2" w:rsidRDefault="002033B2" w:rsidP="002033B2">
      <w:pPr>
        <w:spacing w:line="360" w:lineRule="auto"/>
        <w:jc w:val="both"/>
        <w:rPr>
          <w:rFonts w:ascii="Arial" w:eastAsia="Aptos" w:hAnsi="Arial" w:cs="Arial"/>
          <w:kern w:val="0"/>
          <w:sz w:val="22"/>
          <w:szCs w:val="22"/>
        </w:rPr>
      </w:pPr>
      <w:r w:rsidRPr="002033B2">
        <w:rPr>
          <w:rFonts w:ascii="Arial" w:eastAsia="Aptos" w:hAnsi="Arial" w:cs="Arial"/>
          <w:kern w:val="0"/>
          <w:sz w:val="22"/>
          <w:szCs w:val="22"/>
        </w:rPr>
        <w:t xml:space="preserve">Furthermore, the venue's capacity is restricted to 500 attendants, which may limit engagement in comparison to larger hospitality conferences. While this sets a more intimate atmosphere, it may also restrict networking opportunities for attendees who are interested in building more extensive industry connections (Doran et al., 2024). </w:t>
      </w:r>
    </w:p>
    <w:p w14:paraId="3B8348FE" w14:textId="77777777" w:rsidR="002033B2" w:rsidRPr="002033B2" w:rsidRDefault="002033B2" w:rsidP="002033B2">
      <w:pPr>
        <w:spacing w:line="360" w:lineRule="auto"/>
        <w:jc w:val="both"/>
        <w:rPr>
          <w:rFonts w:ascii="Arial" w:eastAsia="Aptos" w:hAnsi="Arial" w:cs="Arial"/>
          <w:b/>
          <w:bCs/>
          <w:kern w:val="0"/>
          <w:sz w:val="22"/>
          <w:szCs w:val="22"/>
        </w:rPr>
      </w:pPr>
      <w:r w:rsidRPr="002033B2">
        <w:rPr>
          <w:rFonts w:ascii="Segoe UI Emoji" w:eastAsia="Aptos" w:hAnsi="Segoe UI Emoji" w:cs="Segoe UI Emoji"/>
          <w:b/>
          <w:bCs/>
          <w:kern w:val="0"/>
          <w:sz w:val="22"/>
          <w:szCs w:val="22"/>
        </w:rPr>
        <w:t>📌</w:t>
      </w:r>
      <w:r w:rsidRPr="002033B2">
        <w:rPr>
          <w:rFonts w:ascii="Arial" w:eastAsia="Aptos" w:hAnsi="Arial" w:cs="Arial"/>
          <w:b/>
          <w:bCs/>
          <w:kern w:val="0"/>
          <w:sz w:val="22"/>
          <w:szCs w:val="22"/>
        </w:rPr>
        <w:t>Opportunities</w:t>
      </w:r>
    </w:p>
    <w:p w14:paraId="36940573" w14:textId="77777777" w:rsidR="002033B2" w:rsidRPr="002033B2" w:rsidRDefault="002033B2" w:rsidP="002033B2">
      <w:pPr>
        <w:spacing w:line="360" w:lineRule="auto"/>
        <w:jc w:val="both"/>
        <w:rPr>
          <w:rFonts w:ascii="Arial" w:eastAsia="Aptos" w:hAnsi="Arial" w:cs="Arial"/>
          <w:kern w:val="0"/>
          <w:sz w:val="22"/>
          <w:szCs w:val="22"/>
        </w:rPr>
      </w:pPr>
      <w:r w:rsidRPr="002033B2">
        <w:rPr>
          <w:rFonts w:ascii="Arial" w:eastAsia="Aptos" w:hAnsi="Arial" w:cs="Arial"/>
          <w:kern w:val="0"/>
          <w:sz w:val="22"/>
          <w:szCs w:val="22"/>
        </w:rPr>
        <w:t>A valuable opportunity is presented by the hospitality industry's increasing investment in LGBTQ+ inclusion. This event has the potential to serve as a recurring platform for corporate engagement, as numerous hospitality companies are expanding their DEI programs (Ray, 2019).</w:t>
      </w:r>
    </w:p>
    <w:p w14:paraId="67A1EA10" w14:textId="77777777" w:rsidR="002033B2" w:rsidRPr="002033B2" w:rsidRDefault="002033B2" w:rsidP="002033B2">
      <w:pPr>
        <w:spacing w:line="360" w:lineRule="auto"/>
        <w:jc w:val="both"/>
        <w:rPr>
          <w:rFonts w:ascii="Arial" w:eastAsia="Aptos" w:hAnsi="Arial" w:cs="Arial"/>
          <w:kern w:val="0"/>
          <w:sz w:val="22"/>
          <w:szCs w:val="22"/>
        </w:rPr>
      </w:pPr>
      <w:r w:rsidRPr="002033B2">
        <w:rPr>
          <w:rFonts w:ascii="Arial" w:eastAsia="Aptos" w:hAnsi="Arial" w:cs="Arial"/>
          <w:kern w:val="0"/>
          <w:sz w:val="22"/>
          <w:szCs w:val="22"/>
        </w:rPr>
        <w:t>The expansion of hybrid event features presents a substantial opportunity. Leveraging interactive technologies, including LinkedIn networking groups, live Q&amp;As, and real-time polling, may improve engagement and participation. Adopting these tools can improve the experiences of attendees as hybrid events become more common (In Event, 2023).</w:t>
      </w:r>
    </w:p>
    <w:p w14:paraId="499D471F" w14:textId="77777777" w:rsidR="002033B2" w:rsidRPr="002033B2" w:rsidRDefault="002033B2" w:rsidP="002033B2">
      <w:pPr>
        <w:spacing w:line="360" w:lineRule="auto"/>
        <w:jc w:val="both"/>
        <w:rPr>
          <w:rFonts w:ascii="Arial" w:eastAsia="Aptos" w:hAnsi="Arial" w:cs="Arial"/>
          <w:kern w:val="0"/>
          <w:sz w:val="22"/>
          <w:szCs w:val="22"/>
        </w:rPr>
      </w:pPr>
      <w:r w:rsidRPr="002033B2">
        <w:rPr>
          <w:rFonts w:ascii="Arial" w:eastAsia="Aptos" w:hAnsi="Arial" w:cs="Arial"/>
          <w:kern w:val="0"/>
          <w:sz w:val="22"/>
          <w:szCs w:val="22"/>
        </w:rPr>
        <w:t>Long-term partnerships represent an additional opportunity. The event has the potential for creating annual sponsorship agreements with prominent hospitality brands, which would guarantee consistent financial support. Furthermore, the event's reputation could be improved and its audience could be expanded by creating partnerships with LGBTQ+ advocacy organisations (Vongvisitsin and Wong, 2021).</w:t>
      </w:r>
    </w:p>
    <w:p w14:paraId="31BE4BE6" w14:textId="77777777" w:rsidR="002033B2" w:rsidRPr="002033B2" w:rsidRDefault="002033B2" w:rsidP="002033B2">
      <w:pPr>
        <w:spacing w:line="360" w:lineRule="auto"/>
        <w:jc w:val="both"/>
        <w:rPr>
          <w:rFonts w:ascii="Arial" w:eastAsia="Aptos" w:hAnsi="Arial" w:cs="Arial"/>
          <w:kern w:val="0"/>
          <w:sz w:val="22"/>
          <w:szCs w:val="22"/>
        </w:rPr>
      </w:pPr>
      <w:r w:rsidRPr="002033B2">
        <w:rPr>
          <w:rFonts w:ascii="Arial" w:eastAsia="Aptos" w:hAnsi="Arial" w:cs="Arial"/>
          <w:kern w:val="0"/>
          <w:sz w:val="22"/>
          <w:szCs w:val="22"/>
        </w:rPr>
        <w:t>Finally, there is a potential for prospective international expansion. Hutson (2022) suggests that the summit could expand into a multi-location event if it proves effective, expanding its global reach and impact to a broader audience of professionals worldwide.</w:t>
      </w:r>
    </w:p>
    <w:p w14:paraId="6C729603" w14:textId="77777777" w:rsidR="002033B2" w:rsidRPr="002033B2" w:rsidRDefault="002033B2" w:rsidP="002033B2">
      <w:pPr>
        <w:spacing w:line="360" w:lineRule="auto"/>
        <w:jc w:val="both"/>
        <w:rPr>
          <w:rFonts w:ascii="Arial" w:eastAsia="Aptos" w:hAnsi="Arial" w:cs="Arial"/>
          <w:kern w:val="0"/>
          <w:sz w:val="22"/>
          <w:szCs w:val="22"/>
        </w:rPr>
      </w:pPr>
      <w:r w:rsidRPr="002033B2">
        <w:rPr>
          <w:rFonts w:ascii="Segoe UI Emoji" w:eastAsia="Aptos" w:hAnsi="Segoe UI Emoji" w:cs="Segoe UI Emoji"/>
          <w:b/>
          <w:bCs/>
          <w:kern w:val="0"/>
          <w:sz w:val="22"/>
          <w:szCs w:val="22"/>
        </w:rPr>
        <w:t>📌</w:t>
      </w:r>
      <w:r w:rsidRPr="002033B2">
        <w:rPr>
          <w:rFonts w:ascii="Arial" w:eastAsia="Aptos" w:hAnsi="Arial" w:cs="Arial"/>
          <w:b/>
          <w:bCs/>
          <w:kern w:val="0"/>
          <w:sz w:val="22"/>
          <w:szCs w:val="22"/>
        </w:rPr>
        <w:t>Threats</w:t>
      </w:r>
    </w:p>
    <w:p w14:paraId="02F1DAAB" w14:textId="77777777" w:rsidR="002033B2" w:rsidRPr="002033B2" w:rsidRDefault="002033B2" w:rsidP="002033B2">
      <w:pPr>
        <w:spacing w:line="360" w:lineRule="auto"/>
        <w:jc w:val="both"/>
        <w:rPr>
          <w:rFonts w:ascii="Arial" w:eastAsia="Aptos" w:hAnsi="Arial" w:cs="Arial"/>
          <w:kern w:val="0"/>
          <w:sz w:val="22"/>
          <w:szCs w:val="22"/>
        </w:rPr>
      </w:pPr>
      <w:r w:rsidRPr="002033B2">
        <w:rPr>
          <w:rFonts w:ascii="Arial" w:eastAsia="Aptos" w:hAnsi="Arial" w:cs="Arial"/>
          <w:kern w:val="0"/>
          <w:sz w:val="22"/>
          <w:szCs w:val="22"/>
        </w:rPr>
        <w:t xml:space="preserve">There are numerous outside factors that could potentially undermine the summit's success. Sponsorship commitments may be influenced by economic downturns, which may reduce the </w:t>
      </w:r>
      <w:r w:rsidRPr="002033B2">
        <w:rPr>
          <w:rFonts w:ascii="Arial" w:eastAsia="Aptos" w:hAnsi="Arial" w:cs="Arial"/>
          <w:kern w:val="0"/>
          <w:sz w:val="22"/>
          <w:szCs w:val="22"/>
        </w:rPr>
        <w:lastRenderedPageBreak/>
        <w:t>willingness of corporate partners to allocate funds for event sponsorships (Bowdin et al., 2011).</w:t>
      </w:r>
    </w:p>
    <w:p w14:paraId="135E830D" w14:textId="77777777" w:rsidR="002033B2" w:rsidRPr="002033B2" w:rsidRDefault="002033B2" w:rsidP="002033B2">
      <w:pPr>
        <w:spacing w:line="360" w:lineRule="auto"/>
        <w:jc w:val="both"/>
        <w:rPr>
          <w:rFonts w:ascii="Arial" w:eastAsia="Aptos" w:hAnsi="Arial" w:cs="Arial"/>
          <w:kern w:val="0"/>
          <w:sz w:val="22"/>
          <w:szCs w:val="22"/>
        </w:rPr>
      </w:pPr>
      <w:r w:rsidRPr="002033B2">
        <w:rPr>
          <w:rFonts w:ascii="Arial" w:eastAsia="Aptos" w:hAnsi="Arial" w:cs="Arial"/>
          <w:kern w:val="0"/>
          <w:sz w:val="22"/>
          <w:szCs w:val="22"/>
        </w:rPr>
        <w:t>Competition from other industry events is another cause of concern. Although there are few LGBTQ+-specific hospitality summits, major hospitality conferences could overshadow the event, attracting potential attendees who may prioritise broader industry networking opportunities (Nadda et al., 2020).</w:t>
      </w:r>
    </w:p>
    <w:p w14:paraId="2BD654A8" w14:textId="77777777" w:rsidR="002033B2" w:rsidRPr="002033B2" w:rsidRDefault="002033B2" w:rsidP="002033B2">
      <w:pPr>
        <w:spacing w:line="360" w:lineRule="auto"/>
        <w:jc w:val="both"/>
        <w:rPr>
          <w:rFonts w:ascii="Arial" w:eastAsia="Aptos" w:hAnsi="Arial" w:cs="Arial"/>
          <w:kern w:val="0"/>
          <w:sz w:val="22"/>
          <w:szCs w:val="22"/>
        </w:rPr>
      </w:pPr>
      <w:r w:rsidRPr="002033B2">
        <w:rPr>
          <w:rFonts w:ascii="Arial" w:eastAsia="Aptos" w:hAnsi="Arial" w:cs="Arial"/>
          <w:kern w:val="0"/>
          <w:sz w:val="22"/>
          <w:szCs w:val="22"/>
        </w:rPr>
        <w:t>Additionally, safety risks must be evaluated. Occasionally, LGBTQ+-focused events encounter external opposition, necessitating the implementation of rigorous security protocols. It is imperative to guarantee the safety of attendees by collaborating with local authorities and employing qualified staff (Moyle et al., 2014).</w:t>
      </w:r>
    </w:p>
    <w:p w14:paraId="587A6DB9" w14:textId="77777777" w:rsidR="002033B2" w:rsidRPr="002033B2" w:rsidRDefault="002033B2" w:rsidP="002033B2">
      <w:pPr>
        <w:spacing w:line="360" w:lineRule="auto"/>
        <w:jc w:val="both"/>
        <w:rPr>
          <w:rFonts w:ascii="Arial" w:eastAsia="Aptos" w:hAnsi="Arial" w:cs="Arial"/>
          <w:kern w:val="0"/>
          <w:sz w:val="22"/>
          <w:szCs w:val="22"/>
        </w:rPr>
      </w:pPr>
      <w:r w:rsidRPr="002033B2">
        <w:rPr>
          <w:rFonts w:ascii="Arial" w:eastAsia="Aptos" w:hAnsi="Arial" w:cs="Arial"/>
          <w:kern w:val="0"/>
          <w:sz w:val="22"/>
          <w:szCs w:val="22"/>
        </w:rPr>
        <w:t>Finally, the hybrid model may encounter technical difficulties. Remote attendees' engagement and contentment may be reduced by an inadequate virtual experience, including server crashes or substandard streaming quality (Doran et al., 2024).</w:t>
      </w:r>
    </w:p>
    <w:p w14:paraId="6BD030FD" w14:textId="77777777" w:rsidR="002033B2" w:rsidRPr="002033B2" w:rsidRDefault="002033B2" w:rsidP="002033B2">
      <w:pPr>
        <w:spacing w:line="360" w:lineRule="auto"/>
        <w:jc w:val="both"/>
        <w:rPr>
          <w:rFonts w:ascii="Arial" w:eastAsia="Aptos" w:hAnsi="Arial" w:cs="Arial"/>
          <w:kern w:val="0"/>
          <w:sz w:val="22"/>
          <w:szCs w:val="22"/>
        </w:rPr>
      </w:pPr>
    </w:p>
    <w:p w14:paraId="2CF4517F" w14:textId="77777777" w:rsidR="002033B2" w:rsidRPr="002033B2" w:rsidRDefault="002033B2" w:rsidP="002033B2">
      <w:pPr>
        <w:spacing w:line="360" w:lineRule="auto"/>
        <w:jc w:val="both"/>
        <w:rPr>
          <w:rFonts w:ascii="Arial" w:eastAsia="Aptos" w:hAnsi="Arial" w:cs="Arial"/>
          <w:b/>
          <w:bCs/>
          <w:kern w:val="0"/>
          <w:sz w:val="22"/>
          <w:szCs w:val="22"/>
        </w:rPr>
      </w:pPr>
      <w:r w:rsidRPr="002033B2">
        <w:rPr>
          <w:rFonts w:ascii="Arial" w:eastAsia="Aptos" w:hAnsi="Arial" w:cs="Arial"/>
          <w:b/>
          <w:bCs/>
          <w:kern w:val="0"/>
          <w:sz w:val="22"/>
          <w:szCs w:val="22"/>
        </w:rPr>
        <w:t>Appendix C</w:t>
      </w:r>
    </w:p>
    <w:p w14:paraId="33E74B15" w14:textId="77777777" w:rsidR="002033B2" w:rsidRPr="002033B2" w:rsidRDefault="002033B2" w:rsidP="002033B2">
      <w:pPr>
        <w:spacing w:line="360" w:lineRule="auto"/>
        <w:jc w:val="both"/>
        <w:rPr>
          <w:rFonts w:ascii="Arial" w:eastAsia="Aptos" w:hAnsi="Arial" w:cs="Arial"/>
          <w:kern w:val="0"/>
          <w:sz w:val="22"/>
          <w:szCs w:val="22"/>
        </w:rPr>
      </w:pPr>
      <w:r w:rsidRPr="002033B2">
        <w:rPr>
          <w:rFonts w:ascii="Aptos" w:eastAsia="Aptos" w:hAnsi="Aptos" w:cs="Arial"/>
          <w:noProof/>
          <w:kern w:val="0"/>
          <w:sz w:val="22"/>
          <w:szCs w:val="22"/>
        </w:rPr>
        <w:drawing>
          <wp:inline distT="0" distB="0" distL="0" distR="0" wp14:anchorId="43CE7533" wp14:editId="6272FB65">
            <wp:extent cx="5943600" cy="1914525"/>
            <wp:effectExtent l="0" t="0" r="0" b="9525"/>
            <wp:docPr id="14389345" name="Picture 4" descr="5 Alternatives To SWOT Analysis Tackling its Weaknes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5 Alternatives To SWOT Analysis Tackling its Weaknesses"/>
                    <pic:cNvPicPr>
                      <a:picLocks noChangeAspect="1" noChangeArrowheads="1"/>
                    </pic:cNvPicPr>
                  </pic:nvPicPr>
                  <pic:blipFill rotWithShape="1">
                    <a:blip r:embed="rId51" cstate="print">
                      <a:extLst>
                        <a:ext uri="{28A0092B-C50C-407E-A947-70E740481C1C}">
                          <a14:useLocalDpi xmlns:a14="http://schemas.microsoft.com/office/drawing/2010/main" val="0"/>
                        </a:ext>
                      </a:extLst>
                    </a:blip>
                    <a:srcRect/>
                    <a:stretch/>
                  </pic:blipFill>
                  <pic:spPr bwMode="auto">
                    <a:xfrm>
                      <a:off x="0" y="0"/>
                      <a:ext cx="5943600" cy="1914525"/>
                    </a:xfrm>
                    <a:prstGeom prst="rect">
                      <a:avLst/>
                    </a:prstGeom>
                    <a:noFill/>
                    <a:ln>
                      <a:noFill/>
                    </a:ln>
                    <a:extLst>
                      <a:ext uri="{53640926-AAD7-44D8-BBD7-CCE9431645EC}">
                        <a14:shadowObscured xmlns:a14="http://schemas.microsoft.com/office/drawing/2010/main"/>
                      </a:ext>
                    </a:extLst>
                  </pic:spPr>
                </pic:pic>
              </a:graphicData>
            </a:graphic>
          </wp:inline>
        </w:drawing>
      </w:r>
    </w:p>
    <w:p w14:paraId="4B382537" w14:textId="77777777" w:rsidR="002033B2" w:rsidRPr="002033B2" w:rsidRDefault="002033B2" w:rsidP="002033B2">
      <w:pPr>
        <w:spacing w:line="360" w:lineRule="auto"/>
        <w:jc w:val="both"/>
        <w:rPr>
          <w:rFonts w:ascii="Arial" w:eastAsia="Aptos" w:hAnsi="Arial" w:cs="Arial"/>
          <w:b/>
          <w:bCs/>
          <w:kern w:val="0"/>
          <w:sz w:val="22"/>
          <w:szCs w:val="22"/>
          <w:u w:val="single"/>
        </w:rPr>
      </w:pPr>
      <w:r w:rsidRPr="002033B2">
        <w:rPr>
          <w:rFonts w:ascii="Arial" w:eastAsia="Aptos" w:hAnsi="Arial" w:cs="Arial"/>
          <w:b/>
          <w:bCs/>
          <w:kern w:val="0"/>
          <w:sz w:val="22"/>
          <w:szCs w:val="22"/>
          <w:u w:val="single"/>
        </w:rPr>
        <w:t>SOAR Analysis of the Pride in Hospitality Leadership Summit</w:t>
      </w:r>
    </w:p>
    <w:p w14:paraId="43F89ED9" w14:textId="77777777" w:rsidR="002033B2" w:rsidRPr="002033B2" w:rsidRDefault="002033B2" w:rsidP="002033B2">
      <w:pPr>
        <w:spacing w:line="360" w:lineRule="auto"/>
        <w:jc w:val="both"/>
        <w:rPr>
          <w:rFonts w:ascii="Arial" w:eastAsia="Aptos" w:hAnsi="Arial" w:cs="Arial"/>
          <w:kern w:val="0"/>
          <w:sz w:val="22"/>
          <w:szCs w:val="22"/>
        </w:rPr>
      </w:pPr>
      <w:r w:rsidRPr="002033B2">
        <w:rPr>
          <w:rFonts w:ascii="Arial" w:eastAsia="Aptos" w:hAnsi="Arial" w:cs="Arial"/>
          <w:kern w:val="0"/>
          <w:sz w:val="22"/>
          <w:szCs w:val="22"/>
        </w:rPr>
        <w:t>A structured evaluation of the event's performance, aspirations, and anticipated outcomes is provided by a SOAR (Strengths, Opportunities, Aspirations, and Results) analysis. In addition to identifying strengths and challenges, this methodology promotes long-term objectives and measurable results.</w:t>
      </w:r>
    </w:p>
    <w:p w14:paraId="33F2CBF1" w14:textId="77777777" w:rsidR="002033B2" w:rsidRPr="002033B2" w:rsidRDefault="002033B2" w:rsidP="002033B2">
      <w:pPr>
        <w:spacing w:line="360" w:lineRule="auto"/>
        <w:jc w:val="both"/>
        <w:rPr>
          <w:rFonts w:ascii="Arial" w:eastAsia="Aptos" w:hAnsi="Arial" w:cs="Arial"/>
          <w:b/>
          <w:bCs/>
          <w:kern w:val="0"/>
          <w:sz w:val="22"/>
          <w:szCs w:val="22"/>
        </w:rPr>
      </w:pPr>
      <w:r w:rsidRPr="002033B2">
        <w:rPr>
          <w:rFonts w:ascii="Segoe UI Emoji" w:eastAsia="Aptos" w:hAnsi="Segoe UI Emoji" w:cs="Segoe UI Emoji"/>
          <w:b/>
          <w:bCs/>
          <w:kern w:val="0"/>
          <w:sz w:val="22"/>
          <w:szCs w:val="22"/>
        </w:rPr>
        <w:t>📌</w:t>
      </w:r>
      <w:r w:rsidRPr="002033B2">
        <w:rPr>
          <w:rFonts w:ascii="Arial" w:eastAsia="Aptos" w:hAnsi="Arial" w:cs="Arial"/>
          <w:b/>
          <w:bCs/>
          <w:kern w:val="0"/>
          <w:sz w:val="22"/>
          <w:szCs w:val="22"/>
        </w:rPr>
        <w:t>Strengths</w:t>
      </w:r>
    </w:p>
    <w:p w14:paraId="04869F9E" w14:textId="77777777" w:rsidR="002033B2" w:rsidRPr="002033B2" w:rsidRDefault="002033B2" w:rsidP="002033B2">
      <w:pPr>
        <w:spacing w:line="360" w:lineRule="auto"/>
        <w:jc w:val="both"/>
        <w:rPr>
          <w:rFonts w:ascii="Arial" w:eastAsia="Aptos" w:hAnsi="Arial" w:cs="Arial"/>
          <w:kern w:val="0"/>
          <w:sz w:val="22"/>
          <w:szCs w:val="22"/>
        </w:rPr>
      </w:pPr>
      <w:r w:rsidRPr="002033B2">
        <w:rPr>
          <w:rFonts w:ascii="Arial" w:eastAsia="Aptos" w:hAnsi="Arial" w:cs="Arial"/>
          <w:kern w:val="0"/>
          <w:sz w:val="22"/>
          <w:szCs w:val="22"/>
        </w:rPr>
        <w:t xml:space="preserve">The Pride in Hospitality Leadership Summit stands out by its powerful industry alignment. Diversity, equity, and inclusion (DEI) are becoming increasingly important in the hospitality sector, rendering this event highly pertinent (Madera et al., 2023). In contrast to general </w:t>
      </w:r>
      <w:r w:rsidRPr="002033B2">
        <w:rPr>
          <w:rFonts w:ascii="Arial" w:eastAsia="Aptos" w:hAnsi="Arial" w:cs="Arial"/>
          <w:kern w:val="0"/>
          <w:sz w:val="22"/>
          <w:szCs w:val="22"/>
        </w:rPr>
        <w:lastRenderedPageBreak/>
        <w:t>hospitality conferences, the summit is a crucial platform for professionals who advocate for workplace diversity, as it has a distinct focus on LGBT+ inclusivity in hospitality.</w:t>
      </w:r>
    </w:p>
    <w:p w14:paraId="3BA61351" w14:textId="77777777" w:rsidR="002033B2" w:rsidRPr="002033B2" w:rsidRDefault="002033B2" w:rsidP="002033B2">
      <w:pPr>
        <w:spacing w:line="360" w:lineRule="auto"/>
        <w:jc w:val="both"/>
        <w:rPr>
          <w:rFonts w:ascii="Arial" w:eastAsia="Aptos" w:hAnsi="Arial" w:cs="Arial"/>
          <w:kern w:val="0"/>
          <w:sz w:val="22"/>
          <w:szCs w:val="22"/>
        </w:rPr>
      </w:pPr>
      <w:r w:rsidRPr="002033B2">
        <w:rPr>
          <w:rFonts w:ascii="Arial" w:eastAsia="Aptos" w:hAnsi="Arial" w:cs="Arial"/>
          <w:kern w:val="0"/>
          <w:sz w:val="22"/>
          <w:szCs w:val="22"/>
        </w:rPr>
        <w:t>The event's corporate sponsorship support is another noteworthy asset. Financial stability and credibility are guaranteed by the support of prominent hospitality brands, including Hilton, Marriott, and AccorHotels (Bangura and Choi, 2024). Industry leaders and professionals who are invested in DEI initiatives are also attracted to their participation.</w:t>
      </w:r>
    </w:p>
    <w:p w14:paraId="6D3FD6A0" w14:textId="77777777" w:rsidR="002033B2" w:rsidRPr="002033B2" w:rsidRDefault="002033B2" w:rsidP="002033B2">
      <w:pPr>
        <w:spacing w:line="360" w:lineRule="auto"/>
        <w:jc w:val="both"/>
        <w:rPr>
          <w:rFonts w:ascii="Arial" w:eastAsia="Aptos" w:hAnsi="Arial" w:cs="Arial"/>
          <w:kern w:val="0"/>
          <w:sz w:val="22"/>
          <w:szCs w:val="22"/>
        </w:rPr>
      </w:pPr>
      <w:r w:rsidRPr="002033B2">
        <w:rPr>
          <w:rFonts w:ascii="Arial" w:eastAsia="Aptos" w:hAnsi="Arial" w:cs="Arial"/>
          <w:kern w:val="0"/>
          <w:sz w:val="22"/>
          <w:szCs w:val="22"/>
        </w:rPr>
        <w:t>Another significant advantage is the hybrid event model. Particularly for international professionals who may be unable to travel, the capacity to accommodate both in-person and virtual attendees significantly increases participation and broadens accessibility (Doran et al., 2024).</w:t>
      </w:r>
    </w:p>
    <w:p w14:paraId="4519ADEA" w14:textId="77777777" w:rsidR="002033B2" w:rsidRPr="002033B2" w:rsidRDefault="002033B2" w:rsidP="002033B2">
      <w:pPr>
        <w:spacing w:line="360" w:lineRule="auto"/>
        <w:jc w:val="both"/>
        <w:rPr>
          <w:rFonts w:ascii="Arial" w:eastAsia="Aptos" w:hAnsi="Arial" w:cs="Arial"/>
          <w:b/>
          <w:bCs/>
          <w:kern w:val="0"/>
          <w:sz w:val="22"/>
          <w:szCs w:val="22"/>
        </w:rPr>
      </w:pPr>
      <w:r w:rsidRPr="002033B2">
        <w:rPr>
          <w:rFonts w:ascii="Segoe UI Emoji" w:eastAsia="Aptos" w:hAnsi="Segoe UI Emoji" w:cs="Segoe UI Emoji"/>
          <w:b/>
          <w:bCs/>
          <w:kern w:val="0"/>
          <w:sz w:val="22"/>
          <w:szCs w:val="22"/>
        </w:rPr>
        <w:t>📌</w:t>
      </w:r>
      <w:r w:rsidRPr="002033B2">
        <w:rPr>
          <w:rFonts w:ascii="Arial" w:eastAsia="Aptos" w:hAnsi="Arial" w:cs="Arial"/>
          <w:b/>
          <w:bCs/>
          <w:kern w:val="0"/>
          <w:sz w:val="22"/>
          <w:szCs w:val="22"/>
        </w:rPr>
        <w:t>Opportunities</w:t>
      </w:r>
    </w:p>
    <w:p w14:paraId="0531B22B" w14:textId="77777777" w:rsidR="002033B2" w:rsidRPr="002033B2" w:rsidRDefault="002033B2" w:rsidP="002033B2">
      <w:pPr>
        <w:spacing w:line="360" w:lineRule="auto"/>
        <w:jc w:val="both"/>
        <w:rPr>
          <w:rFonts w:ascii="Arial" w:eastAsia="Aptos" w:hAnsi="Arial" w:cs="Arial"/>
          <w:kern w:val="0"/>
          <w:sz w:val="22"/>
          <w:szCs w:val="22"/>
        </w:rPr>
      </w:pPr>
      <w:r w:rsidRPr="002033B2">
        <w:rPr>
          <w:rFonts w:ascii="Arial" w:eastAsia="Aptos" w:hAnsi="Arial" w:cs="Arial"/>
          <w:kern w:val="0"/>
          <w:sz w:val="22"/>
          <w:szCs w:val="22"/>
        </w:rPr>
        <w:t>Corporate investment in LGBTQ+ inclusion is increasing, which presents an opportunity for the long-term expansion of existing events. This summit has the potential to establish itself as an annual industry touchpoint for inclusivity initiatives, as numerous hospitality brands are currently in the process of creating DEI programs (Ray, 2019).</w:t>
      </w:r>
    </w:p>
    <w:p w14:paraId="5E8CCC06" w14:textId="77777777" w:rsidR="002033B2" w:rsidRPr="002033B2" w:rsidRDefault="002033B2" w:rsidP="002033B2">
      <w:pPr>
        <w:spacing w:line="360" w:lineRule="auto"/>
        <w:jc w:val="both"/>
        <w:rPr>
          <w:rFonts w:ascii="Arial" w:eastAsia="Aptos" w:hAnsi="Arial" w:cs="Arial"/>
          <w:kern w:val="0"/>
          <w:sz w:val="22"/>
          <w:szCs w:val="22"/>
        </w:rPr>
      </w:pPr>
      <w:r w:rsidRPr="002033B2">
        <w:rPr>
          <w:rFonts w:ascii="Arial" w:eastAsia="Aptos" w:hAnsi="Arial" w:cs="Arial"/>
          <w:kern w:val="0"/>
          <w:sz w:val="22"/>
          <w:szCs w:val="22"/>
        </w:rPr>
        <w:t>Another opportunity is presented by the expansion of the hybrid features of the event. The event can be made more dynamic and accessible by incorporating interactive technologies such as live Q&amp;As, networking forums, and attendee polling, which may improve engagement (In Event, 2023).</w:t>
      </w:r>
    </w:p>
    <w:p w14:paraId="5A7BE90E" w14:textId="77777777" w:rsidR="002033B2" w:rsidRPr="002033B2" w:rsidRDefault="002033B2" w:rsidP="002033B2">
      <w:pPr>
        <w:spacing w:line="360" w:lineRule="auto"/>
        <w:jc w:val="both"/>
        <w:rPr>
          <w:rFonts w:ascii="Arial" w:eastAsia="Aptos" w:hAnsi="Arial" w:cs="Arial"/>
          <w:kern w:val="0"/>
          <w:sz w:val="22"/>
          <w:szCs w:val="22"/>
        </w:rPr>
      </w:pPr>
      <w:r w:rsidRPr="002033B2">
        <w:rPr>
          <w:rFonts w:ascii="Arial" w:eastAsia="Aptos" w:hAnsi="Arial" w:cs="Arial"/>
          <w:kern w:val="0"/>
          <w:sz w:val="22"/>
          <w:szCs w:val="22"/>
        </w:rPr>
        <w:t>Establishing long-term partnerships with LGBTQ+ advocacy organisations and industry executives presents an additional opportunity. The event's credibility will be boosted and consistent financial support will be guaranteed by building alliances with global DEI groups and securing multi-year sponsorship agreements (Vongvisitsin and Wong, 2021).</w:t>
      </w:r>
    </w:p>
    <w:p w14:paraId="5EA8A6FC" w14:textId="77777777" w:rsidR="002033B2" w:rsidRPr="002033B2" w:rsidRDefault="002033B2" w:rsidP="002033B2">
      <w:pPr>
        <w:spacing w:line="360" w:lineRule="auto"/>
        <w:jc w:val="both"/>
        <w:rPr>
          <w:rFonts w:ascii="Arial" w:eastAsia="Aptos" w:hAnsi="Arial" w:cs="Arial"/>
          <w:kern w:val="0"/>
          <w:sz w:val="22"/>
          <w:szCs w:val="22"/>
        </w:rPr>
      </w:pPr>
      <w:r w:rsidRPr="002033B2">
        <w:rPr>
          <w:rFonts w:ascii="Arial" w:eastAsia="Aptos" w:hAnsi="Arial" w:cs="Arial"/>
          <w:kern w:val="0"/>
          <w:sz w:val="22"/>
          <w:szCs w:val="22"/>
        </w:rPr>
        <w:t>Finally, the event may be expanded to an international scale. In order to attract a more diverse, global audience, future editions of the summit could be held in various locations, given the increasing global interest in LGBTQ+ inclusivity (Hutson, 2022).</w:t>
      </w:r>
    </w:p>
    <w:p w14:paraId="071AF6C7" w14:textId="77777777" w:rsidR="002033B2" w:rsidRPr="002033B2" w:rsidRDefault="002033B2" w:rsidP="002033B2">
      <w:pPr>
        <w:spacing w:line="360" w:lineRule="auto"/>
        <w:jc w:val="both"/>
        <w:rPr>
          <w:rFonts w:ascii="Arial" w:eastAsia="Aptos" w:hAnsi="Arial" w:cs="Arial"/>
          <w:b/>
          <w:bCs/>
          <w:kern w:val="0"/>
          <w:sz w:val="22"/>
          <w:szCs w:val="22"/>
        </w:rPr>
      </w:pPr>
      <w:r w:rsidRPr="002033B2">
        <w:rPr>
          <w:rFonts w:ascii="Segoe UI Emoji" w:eastAsia="Aptos" w:hAnsi="Segoe UI Emoji" w:cs="Segoe UI Emoji"/>
          <w:b/>
          <w:bCs/>
          <w:kern w:val="0"/>
          <w:sz w:val="22"/>
          <w:szCs w:val="22"/>
        </w:rPr>
        <w:t>📌</w:t>
      </w:r>
      <w:r w:rsidRPr="002033B2">
        <w:rPr>
          <w:rFonts w:ascii="Arial" w:eastAsia="Aptos" w:hAnsi="Arial" w:cs="Arial"/>
          <w:b/>
          <w:bCs/>
          <w:kern w:val="0"/>
          <w:sz w:val="22"/>
          <w:szCs w:val="22"/>
        </w:rPr>
        <w:t>Aspirations</w:t>
      </w:r>
    </w:p>
    <w:p w14:paraId="3079F2FB" w14:textId="77777777" w:rsidR="002033B2" w:rsidRPr="002033B2" w:rsidRDefault="002033B2" w:rsidP="002033B2">
      <w:pPr>
        <w:spacing w:line="360" w:lineRule="auto"/>
        <w:jc w:val="both"/>
        <w:rPr>
          <w:rFonts w:ascii="Arial" w:eastAsia="Aptos" w:hAnsi="Arial" w:cs="Arial"/>
          <w:kern w:val="0"/>
          <w:sz w:val="22"/>
          <w:szCs w:val="22"/>
        </w:rPr>
      </w:pPr>
      <w:r w:rsidRPr="002033B2">
        <w:rPr>
          <w:rFonts w:ascii="Arial" w:eastAsia="Aptos" w:hAnsi="Arial" w:cs="Arial"/>
          <w:kern w:val="0"/>
          <w:sz w:val="22"/>
          <w:szCs w:val="22"/>
        </w:rPr>
        <w:t>The Pride in Hospitality Leadership Summit's overall objective is to position itself as the premier global hospitality event that promotes DEI. The objective is to create a standard for LGBTQ+ inclusivity in the industry, which will guarantee that organisations implement quantifiable measures to promote workplace equity and diversity.</w:t>
      </w:r>
    </w:p>
    <w:p w14:paraId="516B53FC" w14:textId="77777777" w:rsidR="002033B2" w:rsidRPr="002033B2" w:rsidRDefault="002033B2" w:rsidP="002033B2">
      <w:pPr>
        <w:spacing w:line="360" w:lineRule="auto"/>
        <w:jc w:val="both"/>
        <w:rPr>
          <w:rFonts w:ascii="Arial" w:eastAsia="Aptos" w:hAnsi="Arial" w:cs="Arial"/>
          <w:kern w:val="0"/>
          <w:sz w:val="22"/>
          <w:szCs w:val="22"/>
        </w:rPr>
      </w:pPr>
      <w:r w:rsidRPr="002033B2">
        <w:rPr>
          <w:rFonts w:ascii="Arial" w:eastAsia="Aptos" w:hAnsi="Arial" w:cs="Arial"/>
          <w:kern w:val="0"/>
          <w:sz w:val="22"/>
          <w:szCs w:val="22"/>
        </w:rPr>
        <w:lastRenderedPageBreak/>
        <w:t>An additional objective is to increase corporate involvement by encouraging more active engagement among prominent hospitality brands in policy-making discussions, sponsorships, and panel discussions. Directly engaging CEOs and HR executives in discussions will facilitate genuine industry transformation (Madera et al., 2023).</w:t>
      </w:r>
    </w:p>
    <w:p w14:paraId="1D81CB5B" w14:textId="77777777" w:rsidR="002033B2" w:rsidRPr="002033B2" w:rsidRDefault="002033B2" w:rsidP="002033B2">
      <w:pPr>
        <w:spacing w:line="360" w:lineRule="auto"/>
        <w:jc w:val="both"/>
        <w:rPr>
          <w:rFonts w:ascii="Arial" w:eastAsia="Aptos" w:hAnsi="Arial" w:cs="Arial"/>
          <w:kern w:val="0"/>
          <w:sz w:val="22"/>
          <w:szCs w:val="22"/>
        </w:rPr>
      </w:pPr>
      <w:r w:rsidRPr="002033B2">
        <w:rPr>
          <w:rFonts w:ascii="Arial" w:eastAsia="Aptos" w:hAnsi="Arial" w:cs="Arial"/>
          <w:kern w:val="0"/>
          <w:sz w:val="22"/>
          <w:szCs w:val="22"/>
        </w:rPr>
        <w:t>Additionally, the summit seeks to increase attendee engagement by incorporating personalised digital experiences, including AI-powered matchmaking for business opportunities and tailored networking recommendations. These features have the potential to convert the event into an interactive knowledge hub, as opposed to a conventional conference (Stewart, 2023).</w:t>
      </w:r>
    </w:p>
    <w:p w14:paraId="17632F9D" w14:textId="77777777" w:rsidR="002033B2" w:rsidRPr="002033B2" w:rsidRDefault="002033B2" w:rsidP="002033B2">
      <w:pPr>
        <w:spacing w:line="360" w:lineRule="auto"/>
        <w:jc w:val="both"/>
        <w:rPr>
          <w:rFonts w:ascii="Arial" w:eastAsia="Aptos" w:hAnsi="Arial" w:cs="Arial"/>
          <w:kern w:val="0"/>
          <w:sz w:val="22"/>
          <w:szCs w:val="22"/>
        </w:rPr>
      </w:pPr>
      <w:r w:rsidRPr="002033B2">
        <w:rPr>
          <w:rFonts w:ascii="Arial" w:eastAsia="Aptos" w:hAnsi="Arial" w:cs="Arial"/>
          <w:kern w:val="0"/>
          <w:sz w:val="22"/>
          <w:szCs w:val="22"/>
        </w:rPr>
        <w:t>Another significant objective is sustainability. The event's objective is to promote a zero-waste policy, guaranteeing that all printed materials, catering, and merchandise are environmentally favourable. The establishment of partnerships with sustainable vendors and local LGBTQ+-owned businesses is consistent with the overarching objectives of corporate social responsibility (CSR) (Homer, 2023).</w:t>
      </w:r>
    </w:p>
    <w:p w14:paraId="53264D6F" w14:textId="77777777" w:rsidR="002033B2" w:rsidRPr="002033B2" w:rsidRDefault="002033B2" w:rsidP="002033B2">
      <w:pPr>
        <w:spacing w:line="360" w:lineRule="auto"/>
        <w:jc w:val="both"/>
        <w:rPr>
          <w:rFonts w:ascii="Arial" w:eastAsia="Aptos" w:hAnsi="Arial" w:cs="Arial"/>
          <w:b/>
          <w:bCs/>
          <w:kern w:val="0"/>
          <w:sz w:val="22"/>
          <w:szCs w:val="22"/>
        </w:rPr>
      </w:pPr>
      <w:r w:rsidRPr="002033B2">
        <w:rPr>
          <w:rFonts w:ascii="Segoe UI Emoji" w:eastAsia="Aptos" w:hAnsi="Segoe UI Emoji" w:cs="Segoe UI Emoji"/>
          <w:b/>
          <w:bCs/>
          <w:kern w:val="0"/>
          <w:sz w:val="22"/>
          <w:szCs w:val="22"/>
        </w:rPr>
        <w:t>📌</w:t>
      </w:r>
      <w:r w:rsidRPr="002033B2">
        <w:rPr>
          <w:rFonts w:ascii="Arial" w:eastAsia="Aptos" w:hAnsi="Arial" w:cs="Arial"/>
          <w:b/>
          <w:bCs/>
          <w:kern w:val="0"/>
          <w:sz w:val="22"/>
          <w:szCs w:val="22"/>
        </w:rPr>
        <w:t>Results (Measurable Outcomes)</w:t>
      </w:r>
    </w:p>
    <w:p w14:paraId="7F758C63" w14:textId="77777777" w:rsidR="002033B2" w:rsidRPr="002033B2" w:rsidRDefault="002033B2" w:rsidP="002033B2">
      <w:pPr>
        <w:spacing w:line="360" w:lineRule="auto"/>
        <w:jc w:val="both"/>
        <w:rPr>
          <w:rFonts w:ascii="Arial" w:eastAsia="Aptos" w:hAnsi="Arial" w:cs="Arial"/>
          <w:kern w:val="0"/>
          <w:sz w:val="22"/>
          <w:szCs w:val="22"/>
        </w:rPr>
      </w:pPr>
      <w:r w:rsidRPr="002033B2">
        <w:rPr>
          <w:rFonts w:ascii="Arial" w:eastAsia="Aptos" w:hAnsi="Arial" w:cs="Arial"/>
          <w:kern w:val="0"/>
          <w:sz w:val="22"/>
          <w:szCs w:val="22"/>
        </w:rPr>
        <w:t>To guarantee success, the event will track key performance indicators (KPIs), including:</w:t>
      </w:r>
    </w:p>
    <w:p w14:paraId="5B97B5D6" w14:textId="77777777" w:rsidR="002033B2" w:rsidRPr="002033B2" w:rsidRDefault="002033B2" w:rsidP="002033B2">
      <w:pPr>
        <w:spacing w:line="360" w:lineRule="auto"/>
        <w:jc w:val="both"/>
        <w:rPr>
          <w:rFonts w:ascii="Arial" w:eastAsia="Aptos" w:hAnsi="Arial" w:cs="Arial"/>
          <w:kern w:val="0"/>
          <w:sz w:val="22"/>
          <w:szCs w:val="22"/>
        </w:rPr>
      </w:pPr>
      <w:r w:rsidRPr="002033B2">
        <w:rPr>
          <w:rFonts w:ascii="Segoe UI Emoji" w:eastAsia="Aptos" w:hAnsi="Segoe UI Emoji" w:cs="Segoe UI Emoji"/>
          <w:b/>
          <w:bCs/>
          <w:kern w:val="0"/>
          <w:sz w:val="22"/>
          <w:szCs w:val="22"/>
        </w:rPr>
        <w:t>✅</w:t>
      </w:r>
      <w:r w:rsidRPr="002033B2">
        <w:rPr>
          <w:rFonts w:ascii="Arial" w:eastAsia="Aptos" w:hAnsi="Arial" w:cs="Arial"/>
          <w:b/>
          <w:bCs/>
          <w:kern w:val="0"/>
          <w:sz w:val="22"/>
          <w:szCs w:val="22"/>
        </w:rPr>
        <w:t xml:space="preserve"> </w:t>
      </w:r>
      <w:r w:rsidRPr="002033B2">
        <w:rPr>
          <w:rFonts w:ascii="Arial" w:eastAsia="Aptos" w:hAnsi="Arial" w:cs="Arial"/>
          <w:kern w:val="0"/>
          <w:sz w:val="22"/>
          <w:szCs w:val="22"/>
        </w:rPr>
        <w:t>Attendance Metrics (500+ attendees in the first year, with an increase of 20% annually)</w:t>
      </w:r>
    </w:p>
    <w:p w14:paraId="6627C6F4" w14:textId="77777777" w:rsidR="002033B2" w:rsidRPr="002033B2" w:rsidRDefault="002033B2" w:rsidP="002033B2">
      <w:pPr>
        <w:spacing w:line="360" w:lineRule="auto"/>
        <w:jc w:val="both"/>
        <w:rPr>
          <w:rFonts w:ascii="Arial" w:eastAsia="Aptos" w:hAnsi="Arial" w:cs="Arial"/>
          <w:kern w:val="0"/>
          <w:sz w:val="22"/>
          <w:szCs w:val="22"/>
        </w:rPr>
      </w:pPr>
      <w:r w:rsidRPr="002033B2">
        <w:rPr>
          <w:rFonts w:ascii="Segoe UI Emoji" w:eastAsia="Aptos" w:hAnsi="Segoe UI Emoji" w:cs="Segoe UI Emoji"/>
          <w:b/>
          <w:bCs/>
          <w:kern w:val="0"/>
          <w:sz w:val="22"/>
          <w:szCs w:val="22"/>
        </w:rPr>
        <w:t>✅</w:t>
      </w:r>
      <w:r w:rsidRPr="002033B2">
        <w:rPr>
          <w:rFonts w:ascii="Arial" w:eastAsia="Aptos" w:hAnsi="Arial" w:cs="Arial"/>
          <w:b/>
          <w:bCs/>
          <w:kern w:val="0"/>
          <w:sz w:val="22"/>
          <w:szCs w:val="22"/>
        </w:rPr>
        <w:t xml:space="preserve"> </w:t>
      </w:r>
      <w:r w:rsidRPr="002033B2">
        <w:rPr>
          <w:rFonts w:ascii="Arial" w:eastAsia="Aptos" w:hAnsi="Arial" w:cs="Arial"/>
          <w:kern w:val="0"/>
          <w:sz w:val="22"/>
          <w:szCs w:val="22"/>
        </w:rPr>
        <w:t>Corporate Sponsorships (securing at least 10 major brands as financial or strategic partners)</w:t>
      </w:r>
    </w:p>
    <w:p w14:paraId="1F087448" w14:textId="77777777" w:rsidR="002033B2" w:rsidRPr="002033B2" w:rsidRDefault="002033B2" w:rsidP="002033B2">
      <w:pPr>
        <w:spacing w:line="360" w:lineRule="auto"/>
        <w:jc w:val="both"/>
        <w:rPr>
          <w:rFonts w:ascii="Arial" w:eastAsia="Aptos" w:hAnsi="Arial" w:cs="Arial"/>
          <w:kern w:val="0"/>
          <w:sz w:val="22"/>
          <w:szCs w:val="22"/>
        </w:rPr>
      </w:pPr>
      <w:r w:rsidRPr="002033B2">
        <w:rPr>
          <w:rFonts w:ascii="Segoe UI Emoji" w:eastAsia="Aptos" w:hAnsi="Segoe UI Emoji" w:cs="Segoe UI Emoji"/>
          <w:b/>
          <w:bCs/>
          <w:kern w:val="0"/>
          <w:sz w:val="22"/>
          <w:szCs w:val="22"/>
        </w:rPr>
        <w:t>✅</w:t>
      </w:r>
      <w:r w:rsidRPr="002033B2">
        <w:rPr>
          <w:rFonts w:ascii="Arial" w:eastAsia="Aptos" w:hAnsi="Arial" w:cs="Arial"/>
          <w:b/>
          <w:bCs/>
          <w:kern w:val="0"/>
          <w:sz w:val="22"/>
          <w:szCs w:val="22"/>
        </w:rPr>
        <w:t xml:space="preserve"> </w:t>
      </w:r>
      <w:r w:rsidRPr="002033B2">
        <w:rPr>
          <w:rFonts w:ascii="Arial" w:eastAsia="Aptos" w:hAnsi="Arial" w:cs="Arial"/>
          <w:kern w:val="0"/>
          <w:sz w:val="22"/>
          <w:szCs w:val="22"/>
        </w:rPr>
        <w:t>Speaker Diversity (at least 60% LGBTQ+ representation among speakers and panellists) (Bangura and Choi, 2024)</w:t>
      </w:r>
    </w:p>
    <w:p w14:paraId="2261A861" w14:textId="77777777" w:rsidR="002033B2" w:rsidRPr="002033B2" w:rsidRDefault="002033B2" w:rsidP="002033B2">
      <w:pPr>
        <w:spacing w:line="360" w:lineRule="auto"/>
        <w:jc w:val="both"/>
        <w:rPr>
          <w:rFonts w:ascii="Arial" w:eastAsia="Aptos" w:hAnsi="Arial" w:cs="Arial"/>
          <w:kern w:val="0"/>
          <w:sz w:val="22"/>
          <w:szCs w:val="22"/>
        </w:rPr>
      </w:pPr>
      <w:r w:rsidRPr="002033B2">
        <w:rPr>
          <w:rFonts w:ascii="Segoe UI Emoji" w:eastAsia="Aptos" w:hAnsi="Segoe UI Emoji" w:cs="Segoe UI Emoji"/>
          <w:b/>
          <w:bCs/>
          <w:kern w:val="0"/>
          <w:sz w:val="22"/>
          <w:szCs w:val="22"/>
        </w:rPr>
        <w:t>✅</w:t>
      </w:r>
      <w:r w:rsidRPr="002033B2">
        <w:rPr>
          <w:rFonts w:ascii="Arial" w:eastAsia="Aptos" w:hAnsi="Arial" w:cs="Arial"/>
          <w:b/>
          <w:bCs/>
          <w:kern w:val="0"/>
          <w:sz w:val="22"/>
          <w:szCs w:val="22"/>
        </w:rPr>
        <w:t xml:space="preserve"> </w:t>
      </w:r>
      <w:r w:rsidRPr="002033B2">
        <w:rPr>
          <w:rFonts w:ascii="Arial" w:eastAsia="Aptos" w:hAnsi="Arial" w:cs="Arial"/>
          <w:kern w:val="0"/>
          <w:sz w:val="22"/>
          <w:szCs w:val="22"/>
        </w:rPr>
        <w:t>Engagement Levels (achieving a 75% satisfaction rating from attendees based on post-event surveys)</w:t>
      </w:r>
    </w:p>
    <w:p w14:paraId="178549E3" w14:textId="77777777" w:rsidR="002033B2" w:rsidRPr="002033B2" w:rsidRDefault="002033B2" w:rsidP="002033B2">
      <w:pPr>
        <w:spacing w:line="360" w:lineRule="auto"/>
        <w:jc w:val="both"/>
        <w:rPr>
          <w:rFonts w:ascii="Arial" w:eastAsia="Aptos" w:hAnsi="Arial" w:cs="Arial"/>
          <w:kern w:val="0"/>
          <w:sz w:val="22"/>
          <w:szCs w:val="22"/>
        </w:rPr>
      </w:pPr>
      <w:r w:rsidRPr="002033B2">
        <w:rPr>
          <w:rFonts w:ascii="Segoe UI Emoji" w:eastAsia="Aptos" w:hAnsi="Segoe UI Emoji" w:cs="Segoe UI Emoji"/>
          <w:b/>
          <w:bCs/>
          <w:kern w:val="0"/>
          <w:sz w:val="22"/>
          <w:szCs w:val="22"/>
        </w:rPr>
        <w:t>✅</w:t>
      </w:r>
      <w:r w:rsidRPr="002033B2">
        <w:rPr>
          <w:rFonts w:ascii="Arial" w:eastAsia="Aptos" w:hAnsi="Arial" w:cs="Arial"/>
          <w:b/>
          <w:bCs/>
          <w:kern w:val="0"/>
          <w:sz w:val="22"/>
          <w:szCs w:val="22"/>
        </w:rPr>
        <w:t xml:space="preserve"> </w:t>
      </w:r>
      <w:r w:rsidRPr="002033B2">
        <w:rPr>
          <w:rFonts w:ascii="Arial" w:eastAsia="Aptos" w:hAnsi="Arial" w:cs="Arial"/>
          <w:kern w:val="0"/>
          <w:sz w:val="22"/>
          <w:szCs w:val="22"/>
        </w:rPr>
        <w:t>Sustainability Impact (reducing event waste by 50% compared to traditional conferences through recycling and eco-friendly alternatives) (Hottle et al., 2015)</w:t>
      </w:r>
    </w:p>
    <w:p w14:paraId="6F70493A" w14:textId="77777777" w:rsidR="002033B2" w:rsidRPr="002033B2" w:rsidRDefault="002033B2" w:rsidP="002033B2">
      <w:pPr>
        <w:spacing w:line="360" w:lineRule="auto"/>
        <w:jc w:val="both"/>
        <w:rPr>
          <w:rFonts w:ascii="Arial" w:eastAsia="Aptos" w:hAnsi="Arial" w:cs="Arial"/>
          <w:kern w:val="0"/>
          <w:sz w:val="22"/>
          <w:szCs w:val="22"/>
        </w:rPr>
      </w:pPr>
      <w:r w:rsidRPr="002033B2">
        <w:rPr>
          <w:rFonts w:ascii="Arial" w:eastAsia="Aptos" w:hAnsi="Arial" w:cs="Arial"/>
          <w:kern w:val="0"/>
          <w:sz w:val="22"/>
          <w:szCs w:val="22"/>
        </w:rPr>
        <w:t>The Pride in Hospitality Leadership Summit can establish itself as a sustainable, high-impact event that drives real change in the hospitality industry by accomplishing these results.</w:t>
      </w:r>
    </w:p>
    <w:p w14:paraId="675FB1C1" w14:textId="77777777" w:rsidR="0068200E" w:rsidRPr="004C1A06" w:rsidRDefault="0068200E" w:rsidP="004C1A06">
      <w:pPr>
        <w:jc w:val="both"/>
      </w:pPr>
    </w:p>
    <w:sectPr w:rsidR="0068200E" w:rsidRPr="004C1A0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6BCCC6" w14:textId="77777777" w:rsidR="00BC1769" w:rsidRDefault="00BC1769" w:rsidP="0061278F">
      <w:pPr>
        <w:spacing w:after="0" w:line="240" w:lineRule="auto"/>
      </w:pPr>
      <w:r>
        <w:separator/>
      </w:r>
    </w:p>
  </w:endnote>
  <w:endnote w:type="continuationSeparator" w:id="0">
    <w:p w14:paraId="48A19A60" w14:textId="77777777" w:rsidR="00BC1769" w:rsidRDefault="00BC1769" w:rsidP="006127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Segoe UI Emoji">
    <w:panose1 w:val="020B0502040204020203"/>
    <w:charset w:val="00"/>
    <w:family w:val="swiss"/>
    <w:pitch w:val="variable"/>
    <w:sig w:usb0="00000003" w:usb1="02000000" w:usb2="08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F9310D" w14:textId="77777777" w:rsidR="00BC1769" w:rsidRDefault="00BC1769" w:rsidP="0061278F">
      <w:pPr>
        <w:spacing w:after="0" w:line="240" w:lineRule="auto"/>
      </w:pPr>
      <w:r>
        <w:separator/>
      </w:r>
    </w:p>
  </w:footnote>
  <w:footnote w:type="continuationSeparator" w:id="0">
    <w:p w14:paraId="663F7136" w14:textId="77777777" w:rsidR="00BC1769" w:rsidRDefault="00BC1769" w:rsidP="0061278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DE698F"/>
    <w:multiLevelType w:val="hybridMultilevel"/>
    <w:tmpl w:val="A29EF834"/>
    <w:lvl w:ilvl="0" w:tplc="362A3F70">
      <w:start w:val="1"/>
      <w:numFmt w:val="decimal"/>
      <w:lvlText w:val="%1."/>
      <w:lvlJc w:val="left"/>
      <w:pPr>
        <w:ind w:left="720" w:hanging="360"/>
      </w:pPr>
      <w:rPr>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9F4863"/>
    <w:multiLevelType w:val="multilevel"/>
    <w:tmpl w:val="887ECB16"/>
    <w:lvl w:ilvl="0">
      <w:start w:val="4"/>
      <w:numFmt w:val="decimal"/>
      <w:lvlText w:val="%1"/>
      <w:lvlJc w:val="left"/>
      <w:pPr>
        <w:ind w:left="360" w:hanging="360"/>
      </w:pPr>
      <w:rPr>
        <w:rFonts w:hint="default"/>
      </w:rPr>
    </w:lvl>
    <w:lvl w:ilvl="1">
      <w:start w:val="1"/>
      <w:numFmt w:val="decimal"/>
      <w:lvlText w:val="%1.%2"/>
      <w:lvlJc w:val="left"/>
      <w:pPr>
        <w:ind w:left="1092" w:hanging="360"/>
      </w:pPr>
      <w:rPr>
        <w:rFonts w:hint="default"/>
      </w:rPr>
    </w:lvl>
    <w:lvl w:ilvl="2">
      <w:start w:val="1"/>
      <w:numFmt w:val="decimal"/>
      <w:lvlText w:val="%1.%2.%3"/>
      <w:lvlJc w:val="left"/>
      <w:pPr>
        <w:ind w:left="2184" w:hanging="720"/>
      </w:pPr>
      <w:rPr>
        <w:rFonts w:hint="default"/>
      </w:rPr>
    </w:lvl>
    <w:lvl w:ilvl="3">
      <w:start w:val="1"/>
      <w:numFmt w:val="decimal"/>
      <w:lvlText w:val="%1.%2.%3.%4"/>
      <w:lvlJc w:val="left"/>
      <w:pPr>
        <w:ind w:left="3276" w:hanging="1080"/>
      </w:pPr>
      <w:rPr>
        <w:rFonts w:hint="default"/>
      </w:rPr>
    </w:lvl>
    <w:lvl w:ilvl="4">
      <w:start w:val="1"/>
      <w:numFmt w:val="decimal"/>
      <w:lvlText w:val="%1.%2.%3.%4.%5"/>
      <w:lvlJc w:val="left"/>
      <w:pPr>
        <w:ind w:left="4008" w:hanging="1080"/>
      </w:pPr>
      <w:rPr>
        <w:rFonts w:hint="default"/>
      </w:rPr>
    </w:lvl>
    <w:lvl w:ilvl="5">
      <w:start w:val="1"/>
      <w:numFmt w:val="decimal"/>
      <w:lvlText w:val="%1.%2.%3.%4.%5.%6"/>
      <w:lvlJc w:val="left"/>
      <w:pPr>
        <w:ind w:left="5100" w:hanging="1440"/>
      </w:pPr>
      <w:rPr>
        <w:rFonts w:hint="default"/>
      </w:rPr>
    </w:lvl>
    <w:lvl w:ilvl="6">
      <w:start w:val="1"/>
      <w:numFmt w:val="decimal"/>
      <w:lvlText w:val="%1.%2.%3.%4.%5.%6.%7"/>
      <w:lvlJc w:val="left"/>
      <w:pPr>
        <w:ind w:left="5832" w:hanging="1440"/>
      </w:pPr>
      <w:rPr>
        <w:rFonts w:hint="default"/>
      </w:rPr>
    </w:lvl>
    <w:lvl w:ilvl="7">
      <w:start w:val="1"/>
      <w:numFmt w:val="decimal"/>
      <w:lvlText w:val="%1.%2.%3.%4.%5.%6.%7.%8"/>
      <w:lvlJc w:val="left"/>
      <w:pPr>
        <w:ind w:left="6924" w:hanging="1800"/>
      </w:pPr>
      <w:rPr>
        <w:rFonts w:hint="default"/>
      </w:rPr>
    </w:lvl>
    <w:lvl w:ilvl="8">
      <w:start w:val="1"/>
      <w:numFmt w:val="decimal"/>
      <w:lvlText w:val="%1.%2.%3.%4.%5.%6.%7.%8.%9"/>
      <w:lvlJc w:val="left"/>
      <w:pPr>
        <w:ind w:left="7656" w:hanging="1800"/>
      </w:pPr>
      <w:rPr>
        <w:rFonts w:hint="default"/>
      </w:rPr>
    </w:lvl>
  </w:abstractNum>
  <w:abstractNum w:abstractNumId="2" w15:restartNumberingAfterBreak="0">
    <w:nsid w:val="28F4612B"/>
    <w:multiLevelType w:val="hybridMultilevel"/>
    <w:tmpl w:val="FC62DDB8"/>
    <w:lvl w:ilvl="0" w:tplc="61FC5946">
      <w:start w:val="1"/>
      <w:numFmt w:val="decimal"/>
      <w:lvlText w:val="%1."/>
      <w:lvlJc w:val="left"/>
      <w:pPr>
        <w:ind w:left="720" w:hanging="360"/>
      </w:pPr>
      <w:rPr>
        <w:rFonts w:ascii="Arial" w:eastAsiaTheme="minorHAnsi" w:hAnsi="Arial" w:cs="Arial"/>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1264ADC"/>
    <w:multiLevelType w:val="hybridMultilevel"/>
    <w:tmpl w:val="4A88BF8E"/>
    <w:lvl w:ilvl="0" w:tplc="4B50C800">
      <w:start w:val="1"/>
      <w:numFmt w:val="lowerLetter"/>
      <w:lvlText w:val="%1)"/>
      <w:lvlJc w:val="left"/>
      <w:pPr>
        <w:ind w:left="1800" w:hanging="360"/>
      </w:pPr>
      <w:rPr>
        <w:rFonts w:hint="default"/>
        <w:b w:val="0"/>
      </w:rPr>
    </w:lvl>
    <w:lvl w:ilvl="1" w:tplc="08090019">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4" w15:restartNumberingAfterBreak="0">
    <w:nsid w:val="34BD7982"/>
    <w:multiLevelType w:val="multilevel"/>
    <w:tmpl w:val="AA68085C"/>
    <w:lvl w:ilvl="0">
      <w:start w:val="3"/>
      <w:numFmt w:val="decimal"/>
      <w:lvlText w:val="%1"/>
      <w:lvlJc w:val="left"/>
      <w:pPr>
        <w:ind w:left="360" w:hanging="360"/>
      </w:pPr>
      <w:rPr>
        <w:rFonts w:hint="default"/>
        <w:b/>
      </w:rPr>
    </w:lvl>
    <w:lvl w:ilvl="1">
      <w:start w:val="2"/>
      <w:numFmt w:val="decimal"/>
      <w:lvlText w:val="%1.%2"/>
      <w:lvlJc w:val="left"/>
      <w:pPr>
        <w:ind w:left="1092" w:hanging="360"/>
      </w:pPr>
      <w:rPr>
        <w:rFonts w:hint="default"/>
        <w:b/>
      </w:rPr>
    </w:lvl>
    <w:lvl w:ilvl="2">
      <w:start w:val="1"/>
      <w:numFmt w:val="decimal"/>
      <w:lvlText w:val="%1.%2.%3"/>
      <w:lvlJc w:val="left"/>
      <w:pPr>
        <w:ind w:left="2184" w:hanging="720"/>
      </w:pPr>
      <w:rPr>
        <w:rFonts w:hint="default"/>
        <w:b/>
      </w:rPr>
    </w:lvl>
    <w:lvl w:ilvl="3">
      <w:start w:val="1"/>
      <w:numFmt w:val="decimal"/>
      <w:lvlText w:val="%1.%2.%3.%4"/>
      <w:lvlJc w:val="left"/>
      <w:pPr>
        <w:ind w:left="3276" w:hanging="1080"/>
      </w:pPr>
      <w:rPr>
        <w:rFonts w:hint="default"/>
        <w:b/>
      </w:rPr>
    </w:lvl>
    <w:lvl w:ilvl="4">
      <w:start w:val="1"/>
      <w:numFmt w:val="decimal"/>
      <w:lvlText w:val="%1.%2.%3.%4.%5"/>
      <w:lvlJc w:val="left"/>
      <w:pPr>
        <w:ind w:left="4008" w:hanging="1080"/>
      </w:pPr>
      <w:rPr>
        <w:rFonts w:hint="default"/>
        <w:b/>
      </w:rPr>
    </w:lvl>
    <w:lvl w:ilvl="5">
      <w:start w:val="1"/>
      <w:numFmt w:val="decimal"/>
      <w:lvlText w:val="%1.%2.%3.%4.%5.%6"/>
      <w:lvlJc w:val="left"/>
      <w:pPr>
        <w:ind w:left="5100" w:hanging="1440"/>
      </w:pPr>
      <w:rPr>
        <w:rFonts w:hint="default"/>
        <w:b/>
      </w:rPr>
    </w:lvl>
    <w:lvl w:ilvl="6">
      <w:start w:val="1"/>
      <w:numFmt w:val="decimal"/>
      <w:lvlText w:val="%1.%2.%3.%4.%5.%6.%7"/>
      <w:lvlJc w:val="left"/>
      <w:pPr>
        <w:ind w:left="5832" w:hanging="1440"/>
      </w:pPr>
      <w:rPr>
        <w:rFonts w:hint="default"/>
        <w:b/>
      </w:rPr>
    </w:lvl>
    <w:lvl w:ilvl="7">
      <w:start w:val="1"/>
      <w:numFmt w:val="decimal"/>
      <w:lvlText w:val="%1.%2.%3.%4.%5.%6.%7.%8"/>
      <w:lvlJc w:val="left"/>
      <w:pPr>
        <w:ind w:left="6924" w:hanging="1800"/>
      </w:pPr>
      <w:rPr>
        <w:rFonts w:hint="default"/>
        <w:b/>
      </w:rPr>
    </w:lvl>
    <w:lvl w:ilvl="8">
      <w:start w:val="1"/>
      <w:numFmt w:val="decimal"/>
      <w:lvlText w:val="%1.%2.%3.%4.%5.%6.%7.%8.%9"/>
      <w:lvlJc w:val="left"/>
      <w:pPr>
        <w:ind w:left="7656" w:hanging="1800"/>
      </w:pPr>
      <w:rPr>
        <w:rFonts w:hint="default"/>
        <w:b/>
      </w:rPr>
    </w:lvl>
  </w:abstractNum>
  <w:abstractNum w:abstractNumId="5" w15:restartNumberingAfterBreak="0">
    <w:nsid w:val="41DF4C0F"/>
    <w:multiLevelType w:val="hybridMultilevel"/>
    <w:tmpl w:val="AE6E567A"/>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4B552F17"/>
    <w:multiLevelType w:val="hybridMultilevel"/>
    <w:tmpl w:val="939E81A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DBE6980"/>
    <w:multiLevelType w:val="multilevel"/>
    <w:tmpl w:val="4BD479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49839209">
    <w:abstractNumId w:val="2"/>
  </w:num>
  <w:num w:numId="2" w16cid:durableId="2033800840">
    <w:abstractNumId w:val="7"/>
  </w:num>
  <w:num w:numId="3" w16cid:durableId="354770558">
    <w:abstractNumId w:val="6"/>
  </w:num>
  <w:num w:numId="4" w16cid:durableId="291056622">
    <w:abstractNumId w:val="4"/>
  </w:num>
  <w:num w:numId="5" w16cid:durableId="1482846321">
    <w:abstractNumId w:val="1"/>
  </w:num>
  <w:num w:numId="6" w16cid:durableId="522132462">
    <w:abstractNumId w:val="3"/>
  </w:num>
  <w:num w:numId="7" w16cid:durableId="557908113">
    <w:abstractNumId w:val="5"/>
  </w:num>
  <w:num w:numId="8" w16cid:durableId="10752798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5908"/>
    <w:rsid w:val="000026E6"/>
    <w:rsid w:val="000307B4"/>
    <w:rsid w:val="00044305"/>
    <w:rsid w:val="00045C45"/>
    <w:rsid w:val="0006278B"/>
    <w:rsid w:val="000653FC"/>
    <w:rsid w:val="000A5E82"/>
    <w:rsid w:val="000E0921"/>
    <w:rsid w:val="001145AB"/>
    <w:rsid w:val="00187CEC"/>
    <w:rsid w:val="002033B2"/>
    <w:rsid w:val="00205908"/>
    <w:rsid w:val="00217FEE"/>
    <w:rsid w:val="002B6FAD"/>
    <w:rsid w:val="002C119C"/>
    <w:rsid w:val="0032669F"/>
    <w:rsid w:val="00387C5F"/>
    <w:rsid w:val="00392152"/>
    <w:rsid w:val="003D5B70"/>
    <w:rsid w:val="003F4804"/>
    <w:rsid w:val="004124FC"/>
    <w:rsid w:val="00425AE7"/>
    <w:rsid w:val="0043232D"/>
    <w:rsid w:val="00463F09"/>
    <w:rsid w:val="00485FBA"/>
    <w:rsid w:val="004961B9"/>
    <w:rsid w:val="004C1A06"/>
    <w:rsid w:val="004D76F6"/>
    <w:rsid w:val="005948EE"/>
    <w:rsid w:val="005A6508"/>
    <w:rsid w:val="005C2239"/>
    <w:rsid w:val="005D6A42"/>
    <w:rsid w:val="005E4366"/>
    <w:rsid w:val="0061278F"/>
    <w:rsid w:val="006160AE"/>
    <w:rsid w:val="0064638E"/>
    <w:rsid w:val="00654E22"/>
    <w:rsid w:val="0068200E"/>
    <w:rsid w:val="006823AC"/>
    <w:rsid w:val="006C710F"/>
    <w:rsid w:val="00726794"/>
    <w:rsid w:val="00730821"/>
    <w:rsid w:val="00742877"/>
    <w:rsid w:val="00755B4D"/>
    <w:rsid w:val="007709B8"/>
    <w:rsid w:val="008B4A94"/>
    <w:rsid w:val="008E3E93"/>
    <w:rsid w:val="0090090C"/>
    <w:rsid w:val="0093025E"/>
    <w:rsid w:val="00942C55"/>
    <w:rsid w:val="00A02515"/>
    <w:rsid w:val="00A053B9"/>
    <w:rsid w:val="00AB375F"/>
    <w:rsid w:val="00AE3898"/>
    <w:rsid w:val="00AF32F5"/>
    <w:rsid w:val="00B16495"/>
    <w:rsid w:val="00B229A0"/>
    <w:rsid w:val="00B34549"/>
    <w:rsid w:val="00B744F7"/>
    <w:rsid w:val="00B85878"/>
    <w:rsid w:val="00BC1769"/>
    <w:rsid w:val="00C3186B"/>
    <w:rsid w:val="00CA6843"/>
    <w:rsid w:val="00CB5DB1"/>
    <w:rsid w:val="00CC3CA3"/>
    <w:rsid w:val="00CE5721"/>
    <w:rsid w:val="00CF694D"/>
    <w:rsid w:val="00D84D68"/>
    <w:rsid w:val="00D933E0"/>
    <w:rsid w:val="00DC185E"/>
    <w:rsid w:val="00E7339E"/>
    <w:rsid w:val="00E90171"/>
    <w:rsid w:val="00EC22DD"/>
    <w:rsid w:val="00EF0632"/>
    <w:rsid w:val="00F45612"/>
    <w:rsid w:val="00F72CBB"/>
    <w:rsid w:val="00F765F7"/>
    <w:rsid w:val="00F81F2C"/>
    <w:rsid w:val="00F82B5B"/>
    <w:rsid w:val="00F95E1A"/>
    <w:rsid w:val="00FC72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AAC988"/>
  <w15:chartTrackingRefBased/>
  <w15:docId w15:val="{E4B05761-00A4-48E6-8C04-72AC7213D8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0171"/>
  </w:style>
  <w:style w:type="paragraph" w:styleId="Heading1">
    <w:name w:val="heading 1"/>
    <w:basedOn w:val="Normal"/>
    <w:next w:val="Normal"/>
    <w:link w:val="Heading1Char"/>
    <w:uiPriority w:val="9"/>
    <w:qFormat/>
    <w:rsid w:val="0020590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0590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0590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0590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0590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0590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0590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0590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0590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0590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0590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0590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0590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0590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0590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0590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0590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05908"/>
    <w:rPr>
      <w:rFonts w:eastAsiaTheme="majorEastAsia" w:cstheme="majorBidi"/>
      <w:color w:val="272727" w:themeColor="text1" w:themeTint="D8"/>
    </w:rPr>
  </w:style>
  <w:style w:type="paragraph" w:styleId="Title">
    <w:name w:val="Title"/>
    <w:basedOn w:val="Normal"/>
    <w:next w:val="Normal"/>
    <w:link w:val="TitleChar"/>
    <w:uiPriority w:val="10"/>
    <w:qFormat/>
    <w:rsid w:val="0020590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0590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0590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0590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05908"/>
    <w:pPr>
      <w:spacing w:before="160"/>
      <w:jc w:val="center"/>
    </w:pPr>
    <w:rPr>
      <w:i/>
      <w:iCs/>
      <w:color w:val="404040" w:themeColor="text1" w:themeTint="BF"/>
    </w:rPr>
  </w:style>
  <w:style w:type="character" w:customStyle="1" w:styleId="QuoteChar">
    <w:name w:val="Quote Char"/>
    <w:basedOn w:val="DefaultParagraphFont"/>
    <w:link w:val="Quote"/>
    <w:uiPriority w:val="29"/>
    <w:rsid w:val="00205908"/>
    <w:rPr>
      <w:i/>
      <w:iCs/>
      <w:color w:val="404040" w:themeColor="text1" w:themeTint="BF"/>
    </w:rPr>
  </w:style>
  <w:style w:type="paragraph" w:styleId="ListParagraph">
    <w:name w:val="List Paragraph"/>
    <w:basedOn w:val="Normal"/>
    <w:uiPriority w:val="34"/>
    <w:qFormat/>
    <w:rsid w:val="00205908"/>
    <w:pPr>
      <w:ind w:left="720"/>
      <w:contextualSpacing/>
    </w:pPr>
  </w:style>
  <w:style w:type="character" w:styleId="IntenseEmphasis">
    <w:name w:val="Intense Emphasis"/>
    <w:basedOn w:val="DefaultParagraphFont"/>
    <w:uiPriority w:val="21"/>
    <w:qFormat/>
    <w:rsid w:val="00205908"/>
    <w:rPr>
      <w:i/>
      <w:iCs/>
      <w:color w:val="0F4761" w:themeColor="accent1" w:themeShade="BF"/>
    </w:rPr>
  </w:style>
  <w:style w:type="paragraph" w:styleId="IntenseQuote">
    <w:name w:val="Intense Quote"/>
    <w:basedOn w:val="Normal"/>
    <w:next w:val="Normal"/>
    <w:link w:val="IntenseQuoteChar"/>
    <w:uiPriority w:val="30"/>
    <w:qFormat/>
    <w:rsid w:val="0020590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05908"/>
    <w:rPr>
      <w:i/>
      <w:iCs/>
      <w:color w:val="0F4761" w:themeColor="accent1" w:themeShade="BF"/>
    </w:rPr>
  </w:style>
  <w:style w:type="character" w:styleId="IntenseReference">
    <w:name w:val="Intense Reference"/>
    <w:basedOn w:val="DefaultParagraphFont"/>
    <w:uiPriority w:val="32"/>
    <w:qFormat/>
    <w:rsid w:val="00205908"/>
    <w:rPr>
      <w:b/>
      <w:bCs/>
      <w:smallCaps/>
      <w:color w:val="0F4761" w:themeColor="accent1" w:themeShade="BF"/>
      <w:spacing w:val="5"/>
    </w:rPr>
  </w:style>
  <w:style w:type="character" w:styleId="Hyperlink">
    <w:name w:val="Hyperlink"/>
    <w:basedOn w:val="DefaultParagraphFont"/>
    <w:uiPriority w:val="99"/>
    <w:unhideWhenUsed/>
    <w:rsid w:val="005948EE"/>
    <w:rPr>
      <w:color w:val="467886" w:themeColor="hyperlink"/>
      <w:u w:val="single"/>
    </w:rPr>
  </w:style>
  <w:style w:type="paragraph" w:styleId="Header">
    <w:name w:val="header"/>
    <w:basedOn w:val="Normal"/>
    <w:link w:val="HeaderChar"/>
    <w:uiPriority w:val="99"/>
    <w:unhideWhenUsed/>
    <w:rsid w:val="0061278F"/>
    <w:pPr>
      <w:tabs>
        <w:tab w:val="center" w:pos="4513"/>
        <w:tab w:val="right" w:pos="9026"/>
      </w:tabs>
      <w:spacing w:after="0" w:line="240" w:lineRule="auto"/>
    </w:pPr>
  </w:style>
  <w:style w:type="character" w:customStyle="1" w:styleId="HeaderChar">
    <w:name w:val="Header Char"/>
    <w:basedOn w:val="DefaultParagraphFont"/>
    <w:link w:val="Header"/>
    <w:uiPriority w:val="99"/>
    <w:rsid w:val="0061278F"/>
  </w:style>
  <w:style w:type="paragraph" w:styleId="Footer">
    <w:name w:val="footer"/>
    <w:basedOn w:val="Normal"/>
    <w:link w:val="FooterChar"/>
    <w:uiPriority w:val="99"/>
    <w:unhideWhenUsed/>
    <w:rsid w:val="0061278F"/>
    <w:pPr>
      <w:tabs>
        <w:tab w:val="center" w:pos="4513"/>
        <w:tab w:val="right" w:pos="9026"/>
      </w:tabs>
      <w:spacing w:after="0" w:line="240" w:lineRule="auto"/>
    </w:pPr>
  </w:style>
  <w:style w:type="character" w:customStyle="1" w:styleId="FooterChar">
    <w:name w:val="Footer Char"/>
    <w:basedOn w:val="DefaultParagraphFont"/>
    <w:link w:val="Footer"/>
    <w:uiPriority w:val="99"/>
    <w:rsid w:val="0061278F"/>
  </w:style>
  <w:style w:type="paragraph" w:styleId="NormalWeb">
    <w:name w:val="Normal (Web)"/>
    <w:basedOn w:val="Normal"/>
    <w:uiPriority w:val="99"/>
    <w:semiHidden/>
    <w:unhideWhenUsed/>
    <w:rsid w:val="00217FEE"/>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27561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hyperlink" Target="https://www.proquest.com/scholarly-journals/creative-event-design-management-exploratory/docview/3149525076/se-2?accountid=130472" TargetMode="External"/><Relationship Id="rId26" Type="http://schemas.openxmlformats.org/officeDocument/2006/relationships/hyperlink" Target="https://www.theeventplannerexpo.com/sustainable-event-planning-beyond-the-basics/" TargetMode="External"/><Relationship Id="rId39" Type="http://schemas.openxmlformats.org/officeDocument/2006/relationships/hyperlink" Target="https://www.ajhtl.com/uploads/7/1/6/3/7163688/article_45_vol_6__2__2017.pdf" TargetMode="External"/><Relationship Id="rId21" Type="http://schemas.openxmlformats.org/officeDocument/2006/relationships/hyperlink" Target="https://doi.org/10.1080/22243534.2024.2318100" TargetMode="External"/><Relationship Id="rId34" Type="http://schemas.openxmlformats.org/officeDocument/2006/relationships/hyperlink" Target="https://doi.org/10.4018/978-1-7998-2204-2.ch011" TargetMode="External"/><Relationship Id="rId42" Type="http://schemas.openxmlformats.org/officeDocument/2006/relationships/hyperlink" Target="https://www.proquest.com/scholarly-journals/advances-event-management-using-new-technologies/docview/2772230099/se-2?accountid=130472" TargetMode="External"/><Relationship Id="rId47" Type="http://schemas.openxmlformats.org/officeDocument/2006/relationships/hyperlink" Target="https://doi.org/10.31033/IJEMR.11.1.21" TargetMode="External"/><Relationship Id="rId50" Type="http://schemas.openxmlformats.org/officeDocument/2006/relationships/image" Target="media/image13.png"/><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10.png"/><Relationship Id="rId29" Type="http://schemas.openxmlformats.org/officeDocument/2006/relationships/hyperlink" Target="https://www.iamsterdam.com/en/whats-on/lgbtqi-history-and-milestones-in-amsterdam" TargetMode="External"/><Relationship Id="rId11" Type="http://schemas.openxmlformats.org/officeDocument/2006/relationships/image" Target="media/image5.png"/><Relationship Id="rId24" Type="http://schemas.openxmlformats.org/officeDocument/2006/relationships/hyperlink" Target="https://doi.org/10.32890/jeth2023.3.4" TargetMode="External"/><Relationship Id="rId32" Type="http://schemas.openxmlformats.org/officeDocument/2006/relationships/hyperlink" Target="https://vuir.vu.edu.au/42047/2/Lockstone-Binney_Hanlon_JagoJune2019.pdf" TargetMode="External"/><Relationship Id="rId37" Type="http://schemas.openxmlformats.org/officeDocument/2006/relationships/hyperlink" Target="https://www.proquest.com/scholarly-journals/supply-design-different-types-venues-business/docview/2499019479/se-2?accountid=130472" TargetMode="External"/><Relationship Id="rId40" Type="http://schemas.openxmlformats.org/officeDocument/2006/relationships/hyperlink" Target="https://doi.org/10.32890/jeth2023.3.4" TargetMode="External"/><Relationship Id="rId45" Type="http://schemas.openxmlformats.org/officeDocument/2006/relationships/hyperlink" Target="https://www.diversesustainability.net/resources/blog/lgbtq-inclusion-in-sustainability/" TargetMode="External"/><Relationship Id="rId53"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image" Target="media/image4.svg"/><Relationship Id="rId19" Type="http://schemas.openxmlformats.org/officeDocument/2006/relationships/hyperlink" Target="https://research-ebsco-com.ezproxy.uwtsd.ac.uk/linkprocessor/plink?id=0713b2d6-c559-3133-a063-9c460741a170" TargetMode="External"/><Relationship Id="rId31" Type="http://schemas.openxmlformats.org/officeDocument/2006/relationships/hyperlink" Target="https://goodfellowpublishers.com/free_files/Chapter%206-2f618ec8191eced8552eaffeb274a351.pdf" TargetMode="External"/><Relationship Id="rId44" Type="http://schemas.openxmlformats.org/officeDocument/2006/relationships/hyperlink" Target="https://hub.theeventplannerexpo.com/attendee-engagement/the-role-of-event-technology-in-enhancing-attendee-engagement-and-experience" TargetMode="External"/><Relationship Id="rId52"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yperlink" Target="https://www.proquest.com/scholarly-journals/planning-virtual-hybrid-events-steps-improve/docview/3111750941/se-2?accountid=130472" TargetMode="External"/><Relationship Id="rId27" Type="http://schemas.openxmlformats.org/officeDocument/2006/relationships/hyperlink" Target="https://doi.org/10.1016/j.wasman.2015.01.019" TargetMode="External"/><Relationship Id="rId30" Type="http://schemas.openxmlformats.org/officeDocument/2006/relationships/hyperlink" Target="https://inevent.com/blog/others/enhancing-event-attendee-engagement-in-the-digital-era.html" TargetMode="External"/><Relationship Id="rId35" Type="http://schemas.openxmlformats.org/officeDocument/2006/relationships/hyperlink" Target="https://citeseerx.ist.psu.edu/document?repid=rep1&amp;type=pdf&amp;doi=2817eb1b745aaebc3e07b563cc2e7a72e90029b0" TargetMode="External"/><Relationship Id="rId43" Type="http://schemas.openxmlformats.org/officeDocument/2006/relationships/hyperlink" Target="https://www-vlebooks-com.ezproxy.uwtsd.ac.uk/Product/Index/2829158?page=0&amp;startBookmarkId=-1" TargetMode="External"/><Relationship Id="rId48" Type="http://schemas.openxmlformats.org/officeDocument/2006/relationships/hyperlink" Target="https://doi.org/10.4018/978-1-7998-4954-4.ch009" TargetMode="External"/><Relationship Id="rId8" Type="http://schemas.openxmlformats.org/officeDocument/2006/relationships/image" Target="media/image2.jpeg"/><Relationship Id="rId51" Type="http://schemas.openxmlformats.org/officeDocument/2006/relationships/image" Target="media/image14.jpeg"/><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hyperlink" Target="https://www.government.nl/topics/discrimination/prohibition-of-discrimination" TargetMode="External"/><Relationship Id="rId33" Type="http://schemas.openxmlformats.org/officeDocument/2006/relationships/hyperlink" Target="https://www.proquest.com/scholarly-journals/diversity-inclusion-hospitality-tourism-bridging/docview/2885477196/se-2?accountid=130472" TargetMode="External"/><Relationship Id="rId38" Type="http://schemas.openxmlformats.org/officeDocument/2006/relationships/hyperlink" Target="https://doi.org/10.4324/9781003172703" TargetMode="External"/><Relationship Id="rId46" Type="http://schemas.openxmlformats.org/officeDocument/2006/relationships/hyperlink" Target="https://doi.org/10.1016/j.tourman.2021.104331" TargetMode="External"/><Relationship Id="rId20" Type="http://schemas.openxmlformats.org/officeDocument/2006/relationships/hyperlink" Target="https://research-ebsco-com.ezproxy.uwtsd.ac.uk/linkprocessor/plink?id=0713b2d6-c559-3133-a063-9c460741a170" TargetMode="External"/><Relationship Id="rId41" Type="http://schemas.openxmlformats.org/officeDocument/2006/relationships/hyperlink" Target="https://www.proquest.com/scholarly-journals/diversity-inclusion-corporate-communications/docview/2310249640/se-2?accountid=130472"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9.png"/><Relationship Id="rId23" Type="http://schemas.openxmlformats.org/officeDocument/2006/relationships/hyperlink" Target="https://doi.org/10.25944/ZNMWSE.2019.03.101116" TargetMode="External"/><Relationship Id="rId28" Type="http://schemas.openxmlformats.org/officeDocument/2006/relationships/hyperlink" Target="https://digitalcommons.usf.edu/cgi/viewcontent.cgi?article=1006&amp;context=jght" TargetMode="External"/><Relationship Id="rId36" Type="http://schemas.openxmlformats.org/officeDocument/2006/relationships/hyperlink" Target="https://doi.org/10.4018/978-1-7998-3230-0" TargetMode="External"/><Relationship Id="rId49" Type="http://schemas.openxmlformats.org/officeDocument/2006/relationships/image" Target="media/image1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115</TotalTime>
  <Pages>26</Pages>
  <Words>6888</Words>
  <Characters>39263</Characters>
  <Application>Microsoft Office Word</Application>
  <DocSecurity>0</DocSecurity>
  <Lines>327</Lines>
  <Paragraphs>92</Paragraphs>
  <ScaleCrop>false</ScaleCrop>
  <Company/>
  <LinksUpToDate>false</LinksUpToDate>
  <CharactersWithSpaces>46059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Oleg Goncear</dc:creator>
  <cp:keywords/>
  <dc:description/>
  <cp:lastModifiedBy>Oleg Goncear</cp:lastModifiedBy>
  <cp:revision>78</cp:revision>
  <dcterms:created xsi:type="dcterms:W3CDTF">2024-11-07T21:22:00Z</dcterms:created>
  <dcterms:modified xsi:type="dcterms:W3CDTF">2025-02-22T15:04:00Z</dcterms:modified>
</cp:coreProperties>
</file>