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sz w:val="32"/>
          <w:szCs w:val="32"/>
        </w:rPr>
      </w:pPr>
      <w:r>
        <w:rPr>
          <w:b/>
          <w:bCs/>
          <w:sz w:val="32"/>
          <w:szCs w:val="32"/>
        </w:rPr>
        <w:drawing>
          <wp:inline distL="0" distT="0" distB="0" distR="0">
            <wp:extent cx="3381375" cy="1352550"/>
            <wp:effectExtent l="0" t="0" r="9525" b="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3381375" cy="1352550"/>
                    </a:xfrm>
                    <a:prstGeom prst="rect"/>
                    <a:ln>
                      <a:noFill/>
                    </a:ln>
                  </pic:spPr>
                </pic:pic>
              </a:graphicData>
            </a:graphic>
          </wp:inline>
        </w:drawing>
      </w:r>
    </w:p>
    <w:p>
      <w:pPr>
        <w:pStyle w:val="style0"/>
        <w:rPr>
          <w:b/>
          <w:bCs/>
          <w:sz w:val="32"/>
          <w:szCs w:val="32"/>
        </w:rPr>
      </w:pPr>
    </w:p>
    <w:p>
      <w:pPr>
        <w:pStyle w:val="style0"/>
        <w:jc w:val="center"/>
        <w:rPr>
          <w:b/>
          <w:bCs/>
          <w:sz w:val="32"/>
          <w:szCs w:val="32"/>
        </w:rPr>
      </w:pPr>
    </w:p>
    <w:p>
      <w:pPr>
        <w:pStyle w:val="style0"/>
        <w:jc w:val="center"/>
        <w:rPr>
          <w:b/>
          <w:bCs/>
          <w:sz w:val="32"/>
          <w:szCs w:val="32"/>
        </w:rPr>
      </w:pPr>
      <w:r>
        <w:rPr>
          <w:b/>
          <w:bCs/>
          <w:sz w:val="32"/>
          <w:szCs w:val="32"/>
        </w:rPr>
        <w:t>Student Name:</w:t>
      </w:r>
      <w:r>
        <w:rPr>
          <w:b/>
          <w:bCs/>
          <w:sz w:val="32"/>
          <w:szCs w:val="32"/>
          <w:lang w:val="en-US"/>
        </w:rPr>
        <w:t xml:space="preserve"> kartik mukeshbhai raval</w:t>
      </w:r>
    </w:p>
    <w:p>
      <w:pPr>
        <w:pStyle w:val="style0"/>
        <w:jc w:val="center"/>
        <w:rPr>
          <w:b/>
          <w:bCs/>
          <w:sz w:val="32"/>
          <w:szCs w:val="32"/>
        </w:rPr>
      </w:pPr>
      <w:r>
        <w:rPr>
          <w:b/>
          <w:bCs/>
          <w:sz w:val="32"/>
          <w:szCs w:val="32"/>
        </w:rPr>
        <w:t>Student ID:</w:t>
      </w:r>
      <w:r>
        <w:rPr>
          <w:b/>
          <w:bCs/>
          <w:sz w:val="32"/>
          <w:szCs w:val="32"/>
          <w:lang w:val="en-US"/>
        </w:rPr>
        <w:t xml:space="preserve"> 2519361</w:t>
      </w:r>
    </w:p>
    <w:p>
      <w:pPr>
        <w:pStyle w:val="style0"/>
        <w:rPr>
          <w:b/>
          <w:bCs/>
          <w:sz w:val="32"/>
          <w:szCs w:val="32"/>
        </w:rPr>
      </w:pPr>
    </w:p>
    <w:p>
      <w:pPr>
        <w:pStyle w:val="style0"/>
        <w:jc w:val="center"/>
        <w:rPr>
          <w:b/>
          <w:bCs/>
          <w:sz w:val="32"/>
          <w:szCs w:val="32"/>
        </w:rPr>
      </w:pPr>
      <w:r>
        <w:rPr>
          <w:b/>
          <w:bCs/>
          <w:sz w:val="32"/>
          <w:szCs w:val="32"/>
        </w:rPr>
        <w:t>Module Name</w:t>
      </w:r>
      <w:r>
        <w:rPr>
          <w:b/>
          <w:bCs/>
          <w:sz w:val="32"/>
          <w:szCs w:val="32"/>
        </w:rPr>
        <w:t xml:space="preserve">: </w:t>
      </w:r>
      <w:r>
        <w:rPr>
          <w:b/>
          <w:bCs/>
          <w:sz w:val="32"/>
          <w:szCs w:val="32"/>
        </w:rPr>
        <w:t>:</w:t>
      </w:r>
      <w:r>
        <w:rPr>
          <w:b/>
          <w:bCs/>
          <w:sz w:val="32"/>
          <w:szCs w:val="32"/>
        </w:rPr>
        <w:t xml:space="preserve"> FINANCIAL MANAGEMENT</w:t>
      </w:r>
    </w:p>
    <w:p>
      <w:pPr>
        <w:pStyle w:val="style0"/>
        <w:jc w:val="center"/>
        <w:rPr>
          <w:b/>
          <w:bCs/>
          <w:sz w:val="32"/>
          <w:szCs w:val="32"/>
        </w:rPr>
      </w:pPr>
      <w:r>
        <w:rPr>
          <w:b/>
          <w:bCs/>
          <w:sz w:val="32"/>
          <w:szCs w:val="32"/>
        </w:rPr>
        <w:t xml:space="preserve">Module Code: </w:t>
      </w:r>
      <w:r>
        <w:rPr>
          <w:b/>
          <w:bCs/>
          <w:sz w:val="32"/>
          <w:szCs w:val="32"/>
        </w:rPr>
        <w:t>LCMB7002</w:t>
      </w:r>
    </w:p>
    <w:p>
      <w:pPr>
        <w:pStyle w:val="style0"/>
        <w:jc w:val="center"/>
        <w:rPr>
          <w:b/>
          <w:bCs/>
          <w:sz w:val="32"/>
          <w:szCs w:val="32"/>
        </w:rPr>
      </w:pPr>
    </w:p>
    <w:p>
      <w:pPr>
        <w:pStyle w:val="style0"/>
        <w:jc w:val="center"/>
        <w:rPr>
          <w:b/>
          <w:bCs/>
          <w:sz w:val="32"/>
          <w:szCs w:val="32"/>
        </w:rPr>
      </w:pPr>
      <w:r>
        <w:rPr>
          <w:b/>
          <w:bCs/>
          <w:sz w:val="32"/>
          <w:szCs w:val="32"/>
        </w:rPr>
        <w:t>Lecturer’s Name:</w:t>
      </w:r>
      <w:r>
        <w:rPr>
          <w:b/>
          <w:bCs/>
          <w:sz w:val="32"/>
          <w:szCs w:val="32"/>
          <w:lang w:val="en-US"/>
        </w:rPr>
        <w:t>Dr Shengfeng Mei</w:t>
      </w:r>
    </w:p>
    <w:p>
      <w:pPr>
        <w:pStyle w:val="style0"/>
        <w:jc w:val="center"/>
        <w:rPr>
          <w:b/>
          <w:bCs/>
          <w:sz w:val="32"/>
          <w:szCs w:val="32"/>
        </w:rPr>
      </w:pPr>
    </w:p>
    <w:p>
      <w:pPr>
        <w:pStyle w:val="style0"/>
        <w:jc w:val="center"/>
        <w:rPr>
          <w:b/>
          <w:bCs/>
          <w:sz w:val="32"/>
          <w:szCs w:val="32"/>
        </w:rPr>
      </w:pPr>
      <w:r>
        <w:rPr>
          <w:b/>
          <w:bCs/>
          <w:sz w:val="32"/>
          <w:szCs w:val="32"/>
        </w:rPr>
        <w:t>Work Count:</w:t>
      </w:r>
      <w:r>
        <w:rPr>
          <w:b/>
          <w:bCs/>
          <w:sz w:val="32"/>
          <w:szCs w:val="32"/>
        </w:rPr>
        <w:t xml:space="preserve"> 5319</w:t>
      </w:r>
    </w:p>
    <w:p>
      <w:pPr>
        <w:pStyle w:val="style0"/>
        <w:jc w:val="center"/>
        <w:rPr>
          <w:b/>
          <w:bCs/>
          <w:sz w:val="32"/>
          <w:szCs w:val="32"/>
        </w:rPr>
      </w:pPr>
    </w:p>
    <w:p>
      <w:pPr>
        <w:pStyle w:val="style0"/>
        <w:jc w:val="center"/>
        <w:rPr>
          <w:b/>
          <w:bCs/>
          <w:sz w:val="32"/>
          <w:szCs w:val="32"/>
        </w:rPr>
      </w:pPr>
      <w:r>
        <w:rPr>
          <w:b/>
          <w:bCs/>
          <w:sz w:val="32"/>
          <w:szCs w:val="32"/>
        </w:rPr>
        <w:t>Term 1</w:t>
      </w: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r>
        <w:rPr>
          <w:b/>
          <w:bCs/>
          <w:sz w:val="32"/>
          <w:szCs w:val="32"/>
        </w:rPr>
        <w:t>LCMB7002: FINANCIAL MANAGEMENT</w:t>
      </w:r>
    </w:p>
    <w:p>
      <w:pPr>
        <w:pStyle w:val="style0"/>
        <w:jc w:val="center"/>
        <w:rPr>
          <w:b/>
          <w:bCs/>
          <w:sz w:val="32"/>
          <w:szCs w:val="32"/>
        </w:rPr>
      </w:pPr>
      <w:r>
        <w:rPr>
          <w:b/>
          <w:bCs/>
          <w:sz w:val="32"/>
          <w:szCs w:val="32"/>
        </w:rPr>
        <w:t>FINANCIAL PERFORMANCE AND MANAGEMENT</w:t>
      </w:r>
    </w:p>
    <w:p>
      <w:pPr>
        <w:pStyle w:val="style266"/>
        <w:rPr/>
      </w:pPr>
    </w:p>
    <w:p>
      <w:pPr>
        <w:pStyle w:val="style0"/>
        <w:rPr>
          <w:rFonts w:ascii="Calibri" w:cs="宋体" w:eastAsia="宋体" w:hAnsi="Calibri"/>
          <w:color w:val="365f91"/>
          <w:sz w:val="32"/>
          <w:szCs w:val="32"/>
          <w:lang w:val="en-US" w:eastAsia="en-US"/>
        </w:rPr>
      </w:pPr>
      <w:r>
        <w:br w:type="page"/>
      </w:r>
    </w:p>
    <w:p>
      <w:pPr>
        <w:pStyle w:val="style0"/>
        <w:jc w:val="center"/>
        <w:rPr>
          <w:b/>
          <w:bCs/>
        </w:rPr>
      </w:pPr>
      <w:r>
        <w:rPr>
          <w:b/>
          <w:bCs/>
        </w:rPr>
        <w:t>Table of Contents</w:t>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"_Toc224584421"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_Toc224584421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"_Toc224584422" </w:instrText>
      </w:r>
      <w:r>
        <w:rPr/>
        <w:fldChar w:fldCharType="separate"/>
      </w:r>
      <w:r>
        <w:rPr>
          <w:rStyle w:val="style85"/>
          <w:noProof/>
        </w:rPr>
        <w:t>1. Financial health check of Volkswagen</w:t>
      </w:r>
      <w:r>
        <w:rPr>
          <w:noProof/>
          <w:webHidden/>
        </w:rPr>
        <w:tab/>
      </w:r>
      <w:r>
        <w:rPr>
          <w:noProof/>
          <w:webHidden/>
        </w:rPr>
        <w:fldChar w:fldCharType="begin"/>
      </w:r>
      <w:r>
        <w:rPr>
          <w:noProof/>
          <w:webHidden/>
        </w:rPr>
        <w:instrText xml:space="preserve"> PAGEREF _Toc224584422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"_Toc224584423" </w:instrText>
      </w:r>
      <w:r>
        <w:rPr/>
        <w:fldChar w:fldCharType="separate"/>
      </w:r>
      <w:r>
        <w:rPr>
          <w:rStyle w:val="style85"/>
          <w:noProof/>
        </w:rPr>
        <w:t>2. Working Capital Management Analysis</w:t>
      </w:r>
      <w:r>
        <w:rPr>
          <w:noProof/>
          <w:webHidden/>
        </w:rPr>
        <w:tab/>
      </w:r>
      <w:r>
        <w:rPr>
          <w:noProof/>
          <w:webHidden/>
        </w:rPr>
        <w:fldChar w:fldCharType="begin"/>
      </w:r>
      <w:r>
        <w:rPr>
          <w:noProof/>
          <w:webHidden/>
        </w:rPr>
        <w:instrText xml:space="preserve"> PAGEREF _Toc224584423 \h </w:instrText>
      </w:r>
      <w:r>
        <w:rPr>
          <w:noProof/>
          <w:webHidden/>
        </w:rPr>
        <w:fldChar w:fldCharType="separate"/>
      </w:r>
      <w:r>
        <w:rPr>
          <w:noProof/>
          <w:webHidden/>
        </w:rPr>
        <w:t>19</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"_Toc224584424" </w:instrText>
      </w:r>
      <w:r>
        <w:rPr/>
        <w:fldChar w:fldCharType="separate"/>
      </w:r>
      <w:r>
        <w:rPr>
          <w:rStyle w:val="style85"/>
          <w:noProof/>
        </w:rPr>
        <w:t>3. Strategic Financial Restructuring Plan</w:t>
      </w:r>
      <w:r>
        <w:rPr>
          <w:noProof/>
          <w:webHidden/>
        </w:rPr>
        <w:tab/>
      </w:r>
      <w:r>
        <w:rPr>
          <w:noProof/>
          <w:webHidden/>
        </w:rPr>
        <w:fldChar w:fldCharType="begin"/>
      </w:r>
      <w:r>
        <w:rPr>
          <w:noProof/>
          <w:webHidden/>
        </w:rPr>
        <w:instrText xml:space="preserve"> PAGEREF _Toc224584424 \h </w:instrText>
      </w:r>
      <w:r>
        <w:rPr>
          <w:noProof/>
          <w:webHidden/>
        </w:rPr>
        <w:fldChar w:fldCharType="separate"/>
      </w:r>
      <w:r>
        <w:rPr>
          <w:noProof/>
          <w:webHidden/>
        </w:rPr>
        <w:t>22</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"_Toc224584425" </w:instrText>
      </w:r>
      <w:r>
        <w:rPr/>
        <w:fldChar w:fldCharType="separate"/>
      </w:r>
      <w:r>
        <w:rPr>
          <w:rStyle w:val="style85"/>
          <w:noProof/>
        </w:rPr>
        <w:t>4. Investment and capital budgeting</w:t>
      </w:r>
      <w:r>
        <w:rPr>
          <w:noProof/>
          <w:webHidden/>
        </w:rPr>
        <w:tab/>
      </w:r>
      <w:r>
        <w:rPr>
          <w:noProof/>
          <w:webHidden/>
        </w:rPr>
        <w:fldChar w:fldCharType="begin"/>
      </w:r>
      <w:r>
        <w:rPr>
          <w:noProof/>
          <w:webHidden/>
        </w:rPr>
        <w:instrText xml:space="preserve"> PAGEREF _Toc224584425 \h </w:instrText>
      </w:r>
      <w:r>
        <w:rPr>
          <w:noProof/>
          <w:webHidden/>
        </w:rPr>
        <w:fldChar w:fldCharType="separate"/>
      </w:r>
      <w:r>
        <w:rPr>
          <w:noProof/>
          <w:webHidden/>
        </w:rPr>
        <w:t>27</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"_Toc224584426"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_Toc224584426 \h </w:instrText>
      </w:r>
      <w:r>
        <w:rPr>
          <w:noProof/>
          <w:webHidden/>
        </w:rPr>
        <w:fldChar w:fldCharType="separate"/>
      </w:r>
      <w:r>
        <w:rPr>
          <w:noProof/>
          <w:webHidden/>
        </w:rPr>
        <w:t>31</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_Toc224584427 \h </w:instrText>
      </w:r>
      <w:r>
        <w:rPr>
          <w:noProof/>
          <w:webHidden/>
        </w:rPr>
        <w:fldChar w:fldCharType="separate"/>
      </w:r>
      <w:r>
        <w:rPr>
          <w:noProof/>
          <w:webHidden/>
        </w:rPr>
        <w:t>32</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"_Toc224584428" </w:instrText>
      </w:r>
      <w:r>
        <w:rPr/>
        <w:fldChar w:fldCharType="separate"/>
      </w:r>
      <w:r>
        <w:rPr>
          <w:rStyle w:val="style85"/>
          <w:noProof/>
        </w:rPr>
        <w:t>Appendices</w:t>
      </w:r>
      <w:r>
        <w:rPr>
          <w:noProof/>
          <w:webHidden/>
        </w:rPr>
        <w:tab/>
      </w:r>
      <w:r>
        <w:rPr>
          <w:noProof/>
          <w:webHidden/>
        </w:rPr>
        <w:fldChar w:fldCharType="begin"/>
      </w:r>
      <w:r>
        <w:rPr>
          <w:noProof/>
          <w:webHidden/>
        </w:rPr>
        <w:instrText xml:space="preserve"> PAGEREF _Toc224584428 \h </w:instrText>
      </w:r>
      <w:r>
        <w:rPr>
          <w:noProof/>
          <w:webHidden/>
        </w:rPr>
        <w:fldChar w:fldCharType="separate"/>
      </w:r>
      <w:r>
        <w:rPr>
          <w:noProof/>
          <w:webHidden/>
        </w:rPr>
        <w:t>35</w:t>
      </w:r>
      <w:r>
        <w:rPr>
          <w:noProof/>
          <w:webHidden/>
        </w:rPr>
        <w:fldChar w:fldCharType="end"/>
      </w:r>
      <w:r>
        <w:rPr/>
        <w:fldChar w:fldCharType="end"/>
      </w:r>
    </w:p>
    <w:p>
      <w:pPr>
        <w:pStyle w:val="style20"/>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"_Toc224584429" </w:instrText>
      </w:r>
      <w:r>
        <w:rPr/>
        <w:fldChar w:fldCharType="separate"/>
      </w:r>
      <w:r>
        <w:rPr>
          <w:rStyle w:val="style85"/>
          <w:noProof/>
        </w:rPr>
        <w:t>Appendix 1: Ratio Tables and Graph</w:t>
      </w:r>
      <w:r>
        <w:rPr>
          <w:noProof/>
          <w:webHidden/>
        </w:rPr>
        <w:tab/>
      </w:r>
      <w:r>
        <w:rPr>
          <w:noProof/>
          <w:webHidden/>
        </w:rPr>
        <w:fldChar w:fldCharType="begin"/>
      </w:r>
      <w:r>
        <w:rPr>
          <w:noProof/>
          <w:webHidden/>
        </w:rPr>
        <w:instrText xml:space="preserve"> PAGEREF _Toc224584429 \h </w:instrText>
      </w:r>
      <w:r>
        <w:rPr>
          <w:noProof/>
          <w:webHidden/>
        </w:rPr>
        <w:fldChar w:fldCharType="separate"/>
      </w:r>
      <w:r>
        <w:rPr>
          <w:noProof/>
          <w:webHidden/>
        </w:rPr>
        <w:t>35</w:t>
      </w:r>
      <w:r>
        <w:rPr>
          <w:noProof/>
          <w:webHidden/>
        </w:rPr>
        <w:fldChar w:fldCharType="end"/>
      </w:r>
      <w:r>
        <w:rPr/>
        <w:fldChar w:fldCharType="end"/>
      </w:r>
    </w:p>
    <w:p>
      <w:pPr>
        <w:pStyle w:val="style20"/>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"_Toc224584430" </w:instrText>
      </w:r>
      <w:r>
        <w:rPr/>
        <w:fldChar w:fldCharType="separate"/>
      </w:r>
      <w:r>
        <w:rPr>
          <w:rStyle w:val="style85"/>
          <w:noProof/>
        </w:rPr>
        <w:t>Appendix 2: Calculation of Investment Appraisal</w:t>
      </w:r>
      <w:r>
        <w:rPr>
          <w:noProof/>
          <w:webHidden/>
        </w:rPr>
        <w:tab/>
      </w:r>
      <w:r>
        <w:rPr>
          <w:noProof/>
          <w:webHidden/>
        </w:rPr>
        <w:fldChar w:fldCharType="begin"/>
      </w:r>
      <w:r>
        <w:rPr>
          <w:noProof/>
          <w:webHidden/>
        </w:rPr>
        <w:instrText xml:space="preserve"> PAGEREF _Toc224584430 \h </w:instrText>
      </w:r>
      <w:r>
        <w:rPr>
          <w:noProof/>
          <w:webHidden/>
        </w:rPr>
        <w:fldChar w:fldCharType="separate"/>
      </w:r>
      <w:r>
        <w:rPr>
          <w:noProof/>
          <w:webHidden/>
        </w:rPr>
        <w:t>43</w:t>
      </w:r>
      <w:r>
        <w:rPr>
          <w:noProof/>
          <w:webHidden/>
        </w:rPr>
        <w:fldChar w:fldCharType="end"/>
      </w:r>
      <w:r>
        <w:rPr/>
        <w:fldChar w:fldCharType="end"/>
      </w:r>
    </w:p>
    <w:p>
      <w:pPr>
        <w:pStyle w:val="style0"/>
        <w:rPr/>
      </w:pPr>
      <w:r>
        <w:rPr>
          <w:b/>
          <w:bCs/>
          <w:noProof/>
        </w:rPr>
        <w:fldChar w:fldCharType="end"/>
      </w:r>
    </w:p>
    <w:p>
      <w:pPr>
        <w:pStyle w:val="style0"/>
        <w:jc w:val="center"/>
        <w:rPr>
          <w:b/>
          <w:bCs/>
          <w:sz w:val="32"/>
          <w:szCs w:val="32"/>
        </w:rPr>
      </w:pPr>
      <w:r>
        <w:br w:type="page"/>
      </w:r>
      <w:bookmarkStart w:id="0" w:name="_q5ui3fcfbgrf" w:colFirst="0" w:colLast="0"/>
      <w:bookmarkEnd w:id="0"/>
    </w:p>
    <w:bookmarkStart w:id="1" w:name="_Toc224584421"/>
    <w:p>
      <w:pPr>
        <w:pStyle w:val="style1"/>
        <w:rPr/>
      </w:pPr>
      <w:r>
        <w:t>Introduction</w:t>
      </w:r>
      <w:bookmarkEnd w:id="1"/>
      <w:r>
        <w:t xml:space="preserve"> </w:t>
      </w:r>
    </w:p>
    <w:p>
      <w:pPr>
        <w:pStyle w:val="style0"/>
        <w:rPr/>
      </w:pPr>
      <w:r>
        <w:t xml:space="preserve">Financial performance measurement and management are essential because it helps an organisation to understand its financial condition, which supports them to create an effective discussion about investment. In order to choose an effective organisation for this assessment, </w:t>
      </w:r>
      <w:r>
        <w:rPr>
          <w:b/>
          <w:bCs/>
          <w:i/>
          <w:iCs/>
        </w:rPr>
        <w:t xml:space="preserve">Volkswagen </w:t>
      </w:r>
      <w:r>
        <w:t xml:space="preserve">has been chosen, and this organisation primarily operates in the automotive industry. The main aim of this assessment is to critically assess the financial health of the organisation, along with identifying the past five years' performance and problems, as well as proposing financial strategies. Therefore, to critically meet the aim of this assessment, here are some potential areas that have been covered, such as a financial health check by conducting five years of ratios, working capital management, proposing strategies for a financial restructuring plan, and proposing investment appraisal. </w:t>
      </w:r>
    </w:p>
    <w:p>
      <w:pPr>
        <w:pStyle w:val="style0"/>
        <w:rPr>
          <w:b/>
          <w:bCs/>
        </w:rPr>
      </w:pPr>
    </w:p>
    <w:bookmarkStart w:id="2" w:name="_si4o1ibp4yy4" w:colFirst="0" w:colLast="0"/>
    <w:bookmarkStart w:id="3" w:name="_Toc224584422"/>
    <w:bookmarkEnd w:id="2"/>
    <w:p>
      <w:pPr>
        <w:pStyle w:val="style1"/>
        <w:rPr/>
      </w:pPr>
      <w:r>
        <w:t>1. Financial health check of Volkswagen</w:t>
      </w:r>
      <w:bookmarkEnd w:id="3"/>
      <w:r>
        <w:t xml:space="preserve"> </w:t>
      </w:r>
    </w:p>
    <w:p>
      <w:pPr>
        <w:pStyle w:val="style0"/>
        <w:rPr>
          <w:b/>
          <w:bCs/>
        </w:rPr>
      </w:pPr>
      <w:r>
        <w:rPr>
          <w:b/>
          <w:bCs/>
        </w:rPr>
        <w:t xml:space="preserve">Analysing Volkswagen's five-year financial statement </w:t>
      </w:r>
    </w:p>
    <w:p>
      <w:pPr>
        <w:pStyle w:val="style0"/>
        <w:rPr>
          <w:b/>
          <w:bCs/>
        </w:rPr>
      </w:pPr>
      <w:r>
        <w:rPr>
          <w:b/>
          <w:bCs/>
        </w:rPr>
        <w:t xml:space="preserve">Analysing Income Statement </w:t>
      </w:r>
    </w:p>
    <w:p>
      <w:pPr>
        <w:pStyle w:val="style0"/>
        <w:rPr>
          <w:b/>
          <w:bCs/>
        </w:rPr>
      </w:pPr>
      <w:r>
        <w:rPr>
          <w:b/>
          <w:bCs/>
        </w:rPr>
        <w:t>2025-2024</w:t>
      </w:r>
    </w:p>
    <w:p>
      <w:pPr>
        <w:pStyle w:val="style0"/>
        <w:jc w:val="center"/>
        <w:rPr>
          <w:b/>
          <w:bCs/>
        </w:rPr>
      </w:pPr>
      <w:r>
        <w:rPr>
          <w:b/>
          <w:bCs/>
          <w:noProof/>
        </w:rPr>
        <w:drawing>
          <wp:inline distL="0" distT="0" distB="0" distR="0">
            <wp:extent cx="4781550" cy="4733925"/>
            <wp:effectExtent l="0" t="0" r="0" b="0"/>
            <wp:docPr id="1027"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1.png"/>
                    <pic:cNvPicPr/>
                  </pic:nvPicPr>
                  <pic:blipFill>
                    <a:blip r:embed="rId3" cstate="print"/>
                    <a:srcRect l="0" t="0" r="0" b="0"/>
                    <a:stretch/>
                  </pic:blipFill>
                  <pic:spPr>
                    <a:xfrm rot="0">
                      <a:off x="0" y="0"/>
                      <a:ext cx="4781550" cy="47339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1: Volkswagen Income Statement 2024 and 2025 </w:t>
      </w:r>
    </w:p>
    <w:p>
      <w:pPr>
        <w:pStyle w:val="style0"/>
        <w:jc w:val="center"/>
        <w:rPr/>
      </w:pPr>
      <w:r>
        <w:t>(Source: volkswagen-group.com, 2025)</w:t>
      </w:r>
    </w:p>
    <w:p>
      <w:pPr>
        <w:pStyle w:val="style0"/>
        <w:rPr/>
      </w:pPr>
      <w:r>
        <w:t xml:space="preserve">Figure 1 shows the income statement of Volkswagen, which indicates that the sales revenue has reduced from €324656 M in 2024 to €321913M. The value of operating revenue indicated a reduction of approximately €11,000 M in 2025, resulting in the value being reduced from €19060 M in 2024 to € 8868 M in 2025. Similarly, the EBIT has reduced from € 16806 M in 2024 to € 9307 M due to a reduction of interest income by € 600 M </w:t>
      </w:r>
      <w:r>
        <w:t>approx.</w:t>
      </w:r>
      <w:r>
        <w:t xml:space="preserve"> in 2025. The earnings after tax value has reduced from € 12394 in 2024 to € 6904 in 2025 due to low earnings in 2024. </w:t>
      </w:r>
    </w:p>
    <w:p>
      <w:pPr>
        <w:pStyle w:val="style0"/>
        <w:rPr>
          <w:b/>
          <w:bCs/>
        </w:rPr>
      </w:pPr>
      <w:r>
        <w:rPr>
          <w:b/>
          <w:bCs/>
        </w:rPr>
        <w:t>2024-23</w:t>
      </w:r>
    </w:p>
    <w:p>
      <w:pPr>
        <w:pStyle w:val="style0"/>
        <w:jc w:val="center"/>
        <w:rPr/>
      </w:pPr>
      <w:r>
        <w:rPr>
          <w:noProof/>
        </w:rPr>
        <w:drawing>
          <wp:inline distL="0" distT="0" distB="0" distR="0">
            <wp:extent cx="4829175" cy="4610100"/>
            <wp:effectExtent l="0" t="0" r="0" b="0"/>
            <wp:docPr id="1028"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4" cstate="print"/>
                    <a:srcRect l="0" t="0" r="0" b="0"/>
                    <a:stretch/>
                  </pic:blipFill>
                  <pic:spPr>
                    <a:xfrm rot="0">
                      <a:off x="0" y="0"/>
                      <a:ext cx="4829175" cy="46101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2: Volkswagen income statement 2023 and 2024</w:t>
      </w:r>
    </w:p>
    <w:p>
      <w:pPr>
        <w:pStyle w:val="style0"/>
        <w:jc w:val="center"/>
        <w:rPr/>
      </w:pPr>
      <w:r>
        <w:t>(Source: volkswagen-group.com, 2024)</w:t>
      </w:r>
    </w:p>
    <w:p>
      <w:pPr>
        <w:pStyle w:val="style0"/>
        <w:rPr/>
      </w:pPr>
      <w:r>
        <w:t xml:space="preserve">Figure 2 presents Volkswagen's income statement for 2023 and 2024. In the year 2024, the sales revenue has increased from €322284M in 2023 to €324656M in 2024 due to increases in sales from the component of vehicles, general parts, leasing business, and other sales revenue. However, the operating profit has shown a reduction from €22528M in 2023 to €19060M in 2024. The increase in operating results of Volkswagen is due to increased distribution expenses and other operating expenses. The earnings after tax showed a reduction from €17861M in 2023 to €12394M in 2024. </w:t>
      </w:r>
    </w:p>
    <w:p>
      <w:pPr>
        <w:pStyle w:val="style0"/>
        <w:rPr>
          <w:b/>
          <w:bCs/>
        </w:rPr>
      </w:pPr>
      <w:r>
        <w:rPr>
          <w:b/>
          <w:bCs/>
        </w:rPr>
        <w:t xml:space="preserve">2023-2022 </w:t>
      </w:r>
    </w:p>
    <w:p>
      <w:pPr>
        <w:pStyle w:val="style0"/>
        <w:rPr>
          <w:b/>
          <w:bCs/>
        </w:rPr>
      </w:pPr>
      <w:r>
        <w:rPr>
          <w:noProof/>
        </w:rPr>
        <w:drawing>
          <wp:inline distL="0" distT="0" distB="0" distR="0">
            <wp:extent cx="5731200" cy="5511800"/>
            <wp:effectExtent l="0" t="0" r="0" b="0"/>
            <wp:docPr id="1029"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5" cstate="print"/>
                    <a:srcRect l="0" t="0" r="0" b="0"/>
                    <a:stretch/>
                  </pic:blipFill>
                  <pic:spPr>
                    <a:xfrm rot="0">
                      <a:off x="0" y="0"/>
                      <a:ext cx="5731200" cy="5511800"/>
                    </a:xfrm>
                    <a:prstGeom prst="rect"/>
                    <a:ln cmpd="sng" cap="flat" w="9525">
                      <a:solidFill>
                        <a:srgbClr val="000000"/>
                      </a:solidFill>
                      <a:prstDash val="solid"/>
                      <a:round/>
                      <a:headEnd/>
                      <a:tailEnd/>
                    </a:ln>
                  </pic:spPr>
                </pic:pic>
              </a:graphicData>
            </a:graphic>
          </wp:inline>
        </w:drawing>
      </w:r>
      <w:r>
        <w:tab/>
      </w:r>
      <w:r>
        <w:rPr>
          <w:b/>
          <w:bCs/>
        </w:rPr>
        <w:t>Figure 3: Volkswagen income statement 2022 and 2023</w:t>
      </w:r>
    </w:p>
    <w:p>
      <w:pPr>
        <w:pStyle w:val="style0"/>
        <w:jc w:val="center"/>
        <w:rPr/>
      </w:pPr>
      <w:r>
        <w:t>(Source:volkswagen-group.com,2023)</w:t>
      </w:r>
    </w:p>
    <w:p>
      <w:pPr>
        <w:pStyle w:val="style0"/>
        <w:rPr/>
      </w:pPr>
      <w:r>
        <w:t xml:space="preserve">The figure shows the change in the financial position from the year 2022 to the year 2023. The gross profit has significantly improved from €52184 M in 2022 to €61022 M. The EPS of the company will increase from €15852M in 2023 to €17928M in 2024. </w:t>
      </w:r>
    </w:p>
    <w:p>
      <w:pPr>
        <w:pStyle w:val="style0"/>
        <w:rPr>
          <w:b/>
          <w:bCs/>
        </w:rPr>
      </w:pPr>
      <w:r>
        <w:rPr>
          <w:b/>
          <w:bCs/>
        </w:rPr>
        <w:t xml:space="preserve">2022-2021 </w:t>
      </w:r>
    </w:p>
    <w:p>
      <w:pPr>
        <w:pStyle w:val="style0"/>
        <w:jc w:val="center"/>
        <w:rPr/>
      </w:pPr>
      <w:r>
        <w:rPr>
          <w:noProof/>
        </w:rPr>
        <w:drawing>
          <wp:inline distL="0" distT="0" distB="0" distR="0">
            <wp:extent cx="5731200" cy="5384800"/>
            <wp:effectExtent l="0" t="0" r="0" b="0"/>
            <wp:docPr id="1030" name="image1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7.png"/>
                    <pic:cNvPicPr/>
                  </pic:nvPicPr>
                  <pic:blipFill>
                    <a:blip r:embed="rId6" cstate="print"/>
                    <a:srcRect l="0" t="0" r="0" b="0"/>
                    <a:stretch/>
                  </pic:blipFill>
                  <pic:spPr>
                    <a:xfrm rot="0">
                      <a:off x="0" y="0"/>
                      <a:ext cx="5731200" cy="53848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4: Volkswagen income statement 2022 and 2021</w:t>
      </w:r>
    </w:p>
    <w:p>
      <w:pPr>
        <w:pStyle w:val="style0"/>
        <w:jc w:val="center"/>
        <w:rPr/>
      </w:pPr>
      <w:r>
        <w:t xml:space="preserve">(Source: volkswagenag.com, 2022) </w:t>
      </w:r>
    </w:p>
    <w:p>
      <w:pPr>
        <w:pStyle w:val="style0"/>
        <w:rPr/>
      </w:pPr>
      <w:r>
        <w:t xml:space="preserve">Figure 4 shows that the operating profit of Volkswagen was €19275M in 2021, which will increase to €22124 M in 2022 due to an increase in other operating income. However, the easing after tax in both 2022 and 2021 was not much different due to income tax expenses. </w:t>
      </w:r>
    </w:p>
    <w:p>
      <w:pPr>
        <w:pStyle w:val="style0"/>
        <w:rPr>
          <w:b/>
          <w:bCs/>
        </w:rPr>
      </w:pPr>
      <w:r>
        <w:rPr>
          <w:b/>
          <w:bCs/>
        </w:rPr>
        <w:t xml:space="preserve">Analysing Balance Sheet </w:t>
      </w:r>
    </w:p>
    <w:p>
      <w:pPr>
        <w:pStyle w:val="style0"/>
        <w:rPr>
          <w:b/>
          <w:bCs/>
        </w:rPr>
      </w:pPr>
      <w:r>
        <w:rPr>
          <w:b/>
          <w:bCs/>
        </w:rPr>
        <w:t>2025-2024</w:t>
      </w:r>
    </w:p>
    <w:p>
      <w:pPr>
        <w:pStyle w:val="style0"/>
        <w:jc w:val="center"/>
        <w:rPr>
          <w:b/>
          <w:bCs/>
        </w:rPr>
      </w:pPr>
      <w:r>
        <w:rPr>
          <w:b/>
          <w:bCs/>
          <w:noProof/>
        </w:rPr>
        <w:drawing>
          <wp:inline distL="0" distT="0" distB="0" distR="0">
            <wp:extent cx="4819650" cy="4648200"/>
            <wp:effectExtent l="0" t="0" r="0" b="0"/>
            <wp:docPr id="1031"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7" cstate="print"/>
                    <a:srcRect l="0" t="0" r="0" b="0"/>
                    <a:stretch/>
                  </pic:blipFill>
                  <pic:spPr>
                    <a:xfrm rot="0">
                      <a:off x="0" y="0"/>
                      <a:ext cx="4819650" cy="4648200"/>
                    </a:xfrm>
                    <a:prstGeom prst="rect"/>
                    <a:ln cmpd="sng" cap="flat" w="9525">
                      <a:solidFill>
                        <a:srgbClr val="000000"/>
                      </a:solidFill>
                      <a:prstDash val="solid"/>
                      <a:round/>
                      <a:headEnd/>
                      <a:tailEnd/>
                    </a:ln>
                  </pic:spPr>
                </pic:pic>
              </a:graphicData>
            </a:graphic>
          </wp:inline>
        </w:drawing>
      </w:r>
    </w:p>
    <w:p>
      <w:pPr>
        <w:pStyle w:val="style0"/>
        <w:jc w:val="center"/>
        <w:rPr/>
      </w:pPr>
    </w:p>
    <w:p>
      <w:pPr>
        <w:pStyle w:val="style0"/>
        <w:jc w:val="center"/>
        <w:rPr>
          <w:b/>
          <w:bCs/>
        </w:rPr>
      </w:pPr>
    </w:p>
    <w:p>
      <w:pPr>
        <w:pStyle w:val="style0"/>
        <w:jc w:val="center"/>
        <w:rPr>
          <w:b/>
          <w:bCs/>
        </w:rPr>
      </w:pPr>
      <w:r>
        <w:rPr>
          <w:b/>
          <w:bCs/>
          <w:noProof/>
        </w:rPr>
        <w:drawing>
          <wp:inline distL="0" distT="0" distB="0" distR="0">
            <wp:extent cx="4686300" cy="5229225"/>
            <wp:effectExtent l="0" t="0" r="0" b="0"/>
            <wp:docPr id="1032"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8" cstate="print"/>
                    <a:srcRect l="0" t="0" r="0" b="0"/>
                    <a:stretch/>
                  </pic:blipFill>
                  <pic:spPr>
                    <a:xfrm rot="0">
                      <a:off x="0" y="0"/>
                      <a:ext cx="4686300" cy="52292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4: Volkswagen Balance Sheet of 2024 and 2025</w:t>
      </w:r>
    </w:p>
    <w:p>
      <w:pPr>
        <w:pStyle w:val="style0"/>
        <w:jc w:val="center"/>
        <w:rPr/>
      </w:pPr>
      <w:r>
        <w:t xml:space="preserve">(Source: volkswagenag.com, 2025) </w:t>
      </w:r>
    </w:p>
    <w:p>
      <w:pPr>
        <w:pStyle w:val="style0"/>
        <w:rPr/>
      </w:pPr>
      <w:r>
        <w:t xml:space="preserve">Figure 4 shows the balance sheet analysis of the years 2024 and 2025 of the Volkswagen company. The value of total assets and liabilities in 2025 of Volkswagen has increased from €632905m in 2024 to €644467m in 2025. The current asset value is at €247865m, including investments at €56042m and €161357m. The non-current liabilities value is at €214887M with stable financial debt of €137214m. </w:t>
      </w:r>
    </w:p>
    <w:p>
      <w:pPr>
        <w:pStyle w:val="style0"/>
        <w:rPr>
          <w:b/>
          <w:bCs/>
        </w:rPr>
      </w:pPr>
      <w:r>
        <w:rPr>
          <w:b/>
          <w:bCs/>
        </w:rPr>
        <w:t>2024-2023</w:t>
      </w:r>
    </w:p>
    <w:p>
      <w:pPr>
        <w:pStyle w:val="style0"/>
        <w:jc w:val="center"/>
        <w:rPr>
          <w:b/>
          <w:bCs/>
        </w:rPr>
      </w:pPr>
      <w:r>
        <w:rPr>
          <w:b/>
          <w:bCs/>
          <w:noProof/>
        </w:rPr>
        <w:drawing>
          <wp:inline distL="0" distT="0" distB="0" distR="0">
            <wp:extent cx="4886325" cy="4848225"/>
            <wp:effectExtent l="0" t="0" r="0" b="0"/>
            <wp:docPr id="1033"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9" cstate="print"/>
                    <a:srcRect l="0" t="0" r="0" b="0"/>
                    <a:stretch/>
                  </pic:blipFill>
                  <pic:spPr>
                    <a:xfrm rot="0">
                      <a:off x="0" y="0"/>
                      <a:ext cx="4886325" cy="48482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noProof/>
        </w:rPr>
        <w:drawing>
          <wp:inline distL="0" distT="0" distB="0" distR="0">
            <wp:extent cx="4724400" cy="5381625"/>
            <wp:effectExtent l="0" t="0" r="0" b="0"/>
            <wp:docPr id="1034"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0" cstate="print"/>
                    <a:srcRect l="0" t="0" r="0" b="0"/>
                    <a:stretch/>
                  </pic:blipFill>
                  <pic:spPr>
                    <a:xfrm rot="0">
                      <a:off x="0" y="0"/>
                      <a:ext cx="4724400" cy="53816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6:Volkswagen Balance Sheet for 2023 and 2024</w:t>
      </w:r>
    </w:p>
    <w:p>
      <w:pPr>
        <w:pStyle w:val="style0"/>
        <w:jc w:val="center"/>
        <w:rPr/>
      </w:pPr>
      <w:r>
        <w:t xml:space="preserve">(Source: volkswagen-group.com, 2023) </w:t>
      </w:r>
    </w:p>
    <w:p>
      <w:pPr>
        <w:pStyle w:val="style0"/>
        <w:rPr/>
      </w:pPr>
      <w:r>
        <w:t xml:space="preserve">Figure 6 shows the value of the balance sheet of Volkswagen for the years 2023 and 2024. </w:t>
      </w:r>
    </w:p>
    <w:p>
      <w:pPr>
        <w:pStyle w:val="style0"/>
        <w:numPr>
          <w:ilvl w:val="0"/>
          <w:numId w:val="1"/>
        </w:numPr>
        <w:rPr/>
      </w:pPr>
      <w:r>
        <w:t>The value of total assets and liabilities has increased from € 600649M in 2023 to €632905M in 2024. The non-current asset showed a growth of €387647 m in tangible assets, leases, and properties.</w:t>
      </w:r>
    </w:p>
    <w:p>
      <w:pPr>
        <w:pStyle w:val="style0"/>
        <w:numPr>
          <w:ilvl w:val="0"/>
          <w:numId w:val="1"/>
        </w:numPr>
        <w:rPr/>
      </w:pPr>
      <w:r>
        <w:t>The non-current liability in 2024 is €219134m, with a high financial debt of the value of €137061m.</w:t>
      </w:r>
    </w:p>
    <w:p>
      <w:pPr>
        <w:pStyle w:val="style0"/>
        <w:rPr>
          <w:b/>
          <w:bCs/>
        </w:rPr>
      </w:pPr>
      <w:r>
        <w:rPr>
          <w:b/>
          <w:bCs/>
        </w:rPr>
        <w:t>2023-2022</w:t>
      </w:r>
    </w:p>
    <w:p>
      <w:pPr>
        <w:pStyle w:val="style0"/>
        <w:jc w:val="center"/>
        <w:rPr>
          <w:b/>
          <w:bCs/>
        </w:rPr>
      </w:pPr>
      <w:r>
        <w:rPr>
          <w:b/>
          <w:bCs/>
          <w:noProof/>
        </w:rPr>
        <w:drawing>
          <wp:inline distL="0" distT="0" distB="0" distR="0">
            <wp:extent cx="5731200" cy="5689600"/>
            <wp:effectExtent l="0" t="0" r="0" b="0"/>
            <wp:docPr id="1035"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1" cstate="print"/>
                    <a:srcRect l="0" t="0" r="0" b="0"/>
                    <a:stretch/>
                  </pic:blipFill>
                  <pic:spPr>
                    <a:xfrm rot="0">
                      <a:off x="0" y="0"/>
                      <a:ext cx="5731200" cy="56896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noProof/>
        </w:rPr>
        <w:drawing>
          <wp:inline distL="0" distT="0" distB="0" distR="0">
            <wp:extent cx="4762500" cy="5505450"/>
            <wp:effectExtent l="0" t="0" r="0" b="0"/>
            <wp:docPr id="1036"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2" cstate="print"/>
                    <a:srcRect l="0" t="0" r="0" b="0"/>
                    <a:stretch/>
                  </pic:blipFill>
                  <pic:spPr>
                    <a:xfrm rot="0">
                      <a:off x="0" y="0"/>
                      <a:ext cx="4762500" cy="550545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7: Volkswagen Balance Sheet for 2022 and 2023</w:t>
      </w:r>
    </w:p>
    <w:p>
      <w:pPr>
        <w:pStyle w:val="style0"/>
        <w:jc w:val="center"/>
        <w:rPr/>
      </w:pPr>
      <w:r>
        <w:t xml:space="preserve">(Source:volkswagenag.com, 2023) </w:t>
      </w:r>
    </w:p>
    <w:p>
      <w:pPr>
        <w:pStyle w:val="style0"/>
        <w:rPr/>
      </w:pPr>
      <w:r>
        <w:t>Figure 7 shows the balance sheet position of Volkswagen for the years 2022 and 2023.</w:t>
      </w:r>
    </w:p>
    <w:p>
      <w:pPr>
        <w:pStyle w:val="style0"/>
        <w:numPr>
          <w:ilvl w:val="0"/>
          <w:numId w:val="6"/>
        </w:numPr>
        <w:rPr/>
      </w:pPr>
      <w:r>
        <w:t xml:space="preserve">In the year 2023, the value of assets and liabilities was €600338m, which will increase from €564013 m in 2022. </w:t>
      </w:r>
    </w:p>
    <w:p>
      <w:pPr>
        <w:pStyle w:val="style0"/>
        <w:numPr>
          <w:ilvl w:val="0"/>
          <w:numId w:val="6"/>
        </w:numPr>
        <w:rPr/>
      </w:pPr>
      <w:r>
        <w:t xml:space="preserve">The equity value at €189912m showed strong retained earnings, while current liabilities increased from €110476m in 2022 to €205874m in 2023. </w:t>
      </w:r>
    </w:p>
    <w:p>
      <w:pPr>
        <w:pStyle w:val="style0"/>
        <w:jc w:val="center"/>
        <w:rPr>
          <w:b/>
          <w:bCs/>
        </w:rPr>
      </w:pPr>
    </w:p>
    <w:p>
      <w:pPr>
        <w:pStyle w:val="style0"/>
        <w:rPr>
          <w:b/>
          <w:bCs/>
        </w:rPr>
      </w:pPr>
      <w:r>
        <w:rPr>
          <w:b/>
          <w:bCs/>
        </w:rPr>
        <w:t>2022-2021</w:t>
      </w:r>
    </w:p>
    <w:p>
      <w:pPr>
        <w:pStyle w:val="style0"/>
        <w:jc w:val="center"/>
        <w:rPr>
          <w:b/>
          <w:bCs/>
        </w:rPr>
      </w:pPr>
      <w:r>
        <w:rPr>
          <w:b/>
          <w:bCs/>
          <w:noProof/>
        </w:rPr>
        <w:drawing>
          <wp:inline distL="0" distT="0" distB="0" distR="0">
            <wp:extent cx="5381625" cy="5334000"/>
            <wp:effectExtent l="0" t="0" r="0" b="0"/>
            <wp:docPr id="1037"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8.png"/>
                    <pic:cNvPicPr/>
                  </pic:nvPicPr>
                  <pic:blipFill>
                    <a:blip r:embed="rId13" cstate="print"/>
                    <a:srcRect l="0" t="0" r="0" b="0"/>
                    <a:stretch/>
                  </pic:blipFill>
                  <pic:spPr>
                    <a:xfrm rot="0">
                      <a:off x="0" y="0"/>
                      <a:ext cx="5381625" cy="53340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noProof/>
        </w:rPr>
        <w:drawing>
          <wp:inline distL="0" distT="0" distB="0" distR="0">
            <wp:extent cx="5162550" cy="5848350"/>
            <wp:effectExtent l="0" t="0" r="0" b="0"/>
            <wp:docPr id="1038"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10.png"/>
                    <pic:cNvPicPr/>
                  </pic:nvPicPr>
                  <pic:blipFill>
                    <a:blip r:embed="rId14" cstate="print"/>
                    <a:srcRect l="0" t="0" r="0" b="0"/>
                    <a:stretch/>
                  </pic:blipFill>
                  <pic:spPr>
                    <a:xfrm rot="0">
                      <a:off x="0" y="0"/>
                      <a:ext cx="5162550" cy="584835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8: Volkswagen Balance Sheet for 2021 and 2022</w:t>
      </w:r>
    </w:p>
    <w:p>
      <w:pPr>
        <w:pStyle w:val="style0"/>
        <w:jc w:val="center"/>
        <w:rPr/>
      </w:pPr>
      <w:r>
        <w:t xml:space="preserve">(Source: volkswagenag.com, 2022) </w:t>
      </w:r>
    </w:p>
    <w:p>
      <w:pPr>
        <w:pStyle w:val="style0"/>
        <w:rPr/>
      </w:pPr>
      <w:r>
        <w:t xml:space="preserve">Figure 8 shows the balance sheet position of Volkswagen for 2021 and 2022. </w:t>
      </w:r>
    </w:p>
    <w:p>
      <w:pPr>
        <w:pStyle w:val="style0"/>
        <w:numPr>
          <w:ilvl w:val="0"/>
          <w:numId w:val="10"/>
        </w:numPr>
        <w:rPr/>
      </w:pPr>
      <w:r>
        <w:t>The non-current asset valuation of the company is €564722 in 2022, which will increase from €528609m in 2021.</w:t>
      </w:r>
    </w:p>
    <w:p>
      <w:pPr>
        <w:pStyle w:val="style0"/>
        <w:numPr>
          <w:ilvl w:val="0"/>
          <w:numId w:val="10"/>
        </w:numPr>
        <w:rPr/>
      </w:pPr>
      <w:r>
        <w:t>The marketable securities in 2022 are €37206m, increased from €22532m in 2021. Similarly, inventories have grown from €43725m in 2021 to €52274m in 2022.</w:t>
      </w:r>
    </w:p>
    <w:p>
      <w:pPr>
        <w:pStyle w:val="style0"/>
        <w:rPr>
          <w:b/>
          <w:bCs/>
        </w:rPr>
      </w:pPr>
      <w:r>
        <w:rPr>
          <w:b/>
          <w:bCs/>
        </w:rPr>
        <w:t>Undertaking ratio analysis</w:t>
      </w:r>
    </w:p>
    <w:p>
      <w:pPr>
        <w:pStyle w:val="style0"/>
        <w:rPr>
          <w:b/>
          <w:bCs/>
        </w:rPr>
      </w:pPr>
      <w:r>
        <w:rPr>
          <w:b/>
          <w:bCs/>
        </w:rPr>
        <w:t>Profitability Ratio</w:t>
      </w:r>
    </w:p>
    <w:p>
      <w:pPr>
        <w:pStyle w:val="style0"/>
        <w:rPr>
          <w:b/>
          <w:bCs/>
          <w:i/>
          <w:iCs/>
        </w:rPr>
      </w:pPr>
      <w:r>
        <w:t xml:space="preserve">Profitability ratio calculation is essential because it helps in creatively understanding an organisation’s efficacy in producing profit from its organisational operations. The profitability ratio presents the financial performance over the last five years and also highlights the strengths and challenges. Gross profit margin also remained in a stable position, and the average value is 18%, which mainly reflects a decline of 15.92% for the year 2025, and it suggests the rising cost pressure for the weaker pricing power. Revenue has been shown in consistent growth, which increased from the value of €250200 million in 2021 to the value of €321913million in 2025. The overall reflections for the strong market demand and overall expansion have been noted in the figure. Moreover, net profit margin reveals that the overall trending value from a healthy position is 8.04% in 2021. Profitability has steadily declined to 2.14% in the year of 2025. This sharp decline indicates the escalation of expenses, reducing the efficiency, and also maintaining the competitive pressures that are eroding the bottom-line performances. Revenue growth also demonstrates the resilience and decline in the net income, which signals long-term sustainability risk. </w:t>
      </w:r>
      <w:r>
        <w:rPr>
          <w:b/>
          <w:bCs/>
          <w:i/>
          <w:iCs/>
        </w:rPr>
        <w:t>(Refer to the appendix 2)</w:t>
      </w:r>
    </w:p>
    <w:p>
      <w:pPr>
        <w:pStyle w:val="style0"/>
        <w:rPr/>
      </w:pPr>
    </w:p>
    <w:p>
      <w:pPr>
        <w:pStyle w:val="style0"/>
        <w:rPr>
          <w:b/>
          <w:bCs/>
        </w:rPr>
      </w:pPr>
      <w:r>
        <w:rPr>
          <w:b/>
          <w:bCs/>
        </w:rPr>
        <w:t>Liquidity Ratio</w:t>
      </w:r>
    </w:p>
    <w:p>
      <w:pPr>
        <w:pStyle w:val="style0"/>
        <w:rPr/>
      </w:pPr>
      <w:r>
        <w:t xml:space="preserve">Liquidity ratio calculation is essential because it helps understand an organisation’s ability to meet its short-term obligations. The liquidity ratio of Volkswagen. Based on the above figure, it is easier to understand that the liquidity ratio of this organisation from 2021 to 2025 shows a gradual weakening of short-term financial strength. Because the current ratio decreased from 1.22 in 2021 to 1.09 in 2025, however, the organisation still has more current asset rather than liabilities, which highlights its margin of safety is narrowing. This result also sufficiently suggests that increasing liabilities outpacing asset growth can significantly pressure the working capital management of the organisation. In addition, the cash ratio effectively fluctuates because its decrease around 0.14 in 2023; however, before this decrease, the organisation slightly recovered in the year 2025 to around 0.18. Most importantly, throughout the overall above ratio, it has also been easier to understand that the </w:t>
      </w:r>
      <w:r>
        <w:t xml:space="preserve">liquidity ratio was below 1, which indicates that the organisation effectively relies on receivables rather than the inventory to cover its short-term obligations. However, the significant decrease in 2023 highlights the potential stress on liquidity. In addition, the ratio also highlights that in the year 2024, the cash ratio improved in a structured way </w:t>
      </w:r>
      <w:r>
        <w:rPr>
          <w:b/>
          <w:bCs/>
          <w:i/>
          <w:iCs/>
        </w:rPr>
        <w:t>(Refer to the appendix 1)</w:t>
      </w:r>
      <w:r>
        <w:t xml:space="preserve"> </w:t>
      </w:r>
    </w:p>
    <w:p>
      <w:pPr>
        <w:pStyle w:val="style0"/>
        <w:rPr/>
      </w:pPr>
      <w:r>
        <w:rPr>
          <w:b/>
          <w:bCs/>
        </w:rPr>
        <w:t xml:space="preserve"> Efficiency Ratio</w:t>
      </w:r>
    </w:p>
    <w:p>
      <w:pPr>
        <w:pStyle w:val="style0"/>
        <w:rPr>
          <w:b/>
          <w:bCs/>
        </w:rPr>
      </w:pPr>
      <w:r>
        <w:t xml:space="preserve">The efficiency ratio reveals the overall mixed signals. Inventory turnover has remained in constant positions at 5 times across for the year of 2025 to 2021. This indicates a stable inventory management, which is limited to improvements for operational agility. Asset turnover ratio disclosed the declining parts of the trend, which directly falls from the value of 202.06 in 2023 to 183.9 in the year of 2025. This suggests the overall asset value is generating lower revenue over the time period. The inconsistency has been shown in the inventory turnover section, which presents an effective stock control. The weakening positions of the asset turnover value highlighted the inefficiency in utilising the total assets to drive sales. The overall declining portions are pointed out by the overinvestments, underutilizations, or rising overall fixed costs </w:t>
      </w:r>
      <w:r>
        <w:rPr>
          <w:b/>
          <w:bCs/>
          <w:i/>
          <w:iCs/>
        </w:rPr>
        <w:t>(Refer to the appendix 3)</w:t>
      </w:r>
      <w:r>
        <w:t xml:space="preserve">. </w:t>
      </w:r>
    </w:p>
    <w:p>
      <w:pPr>
        <w:pStyle w:val="style0"/>
        <w:rPr>
          <w:b/>
          <w:bCs/>
        </w:rPr>
      </w:pPr>
      <w:r>
        <w:rPr>
          <w:b/>
          <w:bCs/>
        </w:rPr>
        <w:t>Gearing Ratio</w:t>
      </w:r>
    </w:p>
    <w:p>
      <w:pPr>
        <w:pStyle w:val="style0"/>
        <w:rPr/>
      </w:pPr>
      <w:r>
        <w:t xml:space="preserve">The gearing ratio is essential because it helps in understanding the significant balance between debt and equity (Aldo, 2022). Therefore, it also supports analysing an organisation’s reliance on debt or equity to produce funds.  The gearing ratio of Volkswagen, and through this ratio calculation, it has been easier to understand that from the year 2021 to 2025, the debt to equity ratio significantly decreased year by year, and the debt to capital ratio was effectively consistent. Through this overall analysis, it has been easier to understand that the organisation is heavily reliant on equity financing, which means the organisation has a significant opportunity to expand its organisation, which can be beneficial for organisational stability, and it also ensures the consistent growth of the business </w:t>
      </w:r>
      <w:r>
        <w:rPr>
          <w:b/>
          <w:bCs/>
          <w:i/>
          <w:iCs/>
        </w:rPr>
        <w:t>(Refer to the appendix 4)</w:t>
      </w:r>
      <w:r>
        <w:t xml:space="preserve">. </w:t>
      </w:r>
    </w:p>
    <w:p>
      <w:pPr>
        <w:pStyle w:val="style0"/>
        <w:rPr>
          <w:b/>
          <w:bCs/>
        </w:rPr>
      </w:pPr>
      <w:r>
        <w:rPr>
          <w:b/>
          <w:bCs/>
        </w:rPr>
        <w:t xml:space="preserve">Investment Ratio </w:t>
      </w:r>
    </w:p>
    <w:p>
      <w:pPr>
        <w:pStyle w:val="style0"/>
        <w:rPr/>
      </w:pPr>
      <w:r>
        <w:t xml:space="preserve">The investment ratio was essential because it helps multiple investors to make an effective decision about future investment in the organisation (Olayinka, 2022). The </w:t>
      </w:r>
      <w:r>
        <w:t xml:space="preserve">investment ratio of Volkswagen. Through this ratio, it has been easier to understand that the organisation has significantly experienced decreased profitability from 2021 to 2025. In addition, the ratio of ROE also sufficiently highlights that it slightly decreased from 0.14 in 2021 to just 0.03 in 2025. This result effectively highlights that the organisation has weaker efficiency in generating returns from stakeholder equity. Most importantly, the net income of the organisation effectively dropped from €23,194 million in 2023 to €6,904 million in 2025; however, the equity was significantly increased over the same period. The EPS of the organisation also significantly decreased from 4.63 in 2023 to 1.38 in 2025. However, the overall data highlights that in recent times the organisation has experienced increasing equity, which suggests challenges in sustaining profitability and shareholder value </w:t>
      </w:r>
      <w:r>
        <w:rPr>
          <w:b/>
          <w:bCs/>
          <w:i/>
          <w:iCs/>
        </w:rPr>
        <w:t>(Refer to the appendix 5)</w:t>
      </w:r>
      <w:r>
        <w:t xml:space="preserve">. </w:t>
      </w:r>
    </w:p>
    <w:p>
      <w:pPr>
        <w:pStyle w:val="style0"/>
        <w:rPr/>
      </w:pPr>
      <w:r>
        <w:rPr>
          <w:b/>
          <w:bCs/>
        </w:rPr>
        <w:t>Cash Ratio</w:t>
      </w:r>
    </w:p>
    <w:p>
      <w:pPr>
        <w:pStyle w:val="style0"/>
        <w:rPr/>
      </w:pPr>
      <w:r>
        <w:t xml:space="preserve">The above figure represents the cash ratio of Volkswagen. Through the investment ratio, it has been easier to understand that liquidity and cash generation efficiency have weakened steadily from 2021 to 2025. The operating cash flow ratio fell from 0.24 in 2021 to just 0.07 in 2025, reflecting rising current liabilities outpacing cash inflows. Similarly, the cash flow margin ratio declined from 0.15 to 0.05, showing reduced ability to convert sales into cash. Operating cash flow dropped by more than half over the period, while liabilities and net sales grew. This trend suggests mounting pressure on short-term solvency and declining operational efficiency, highlighting the need for stronger cash management and improved profitability </w:t>
      </w:r>
      <w:r>
        <w:rPr>
          <w:b/>
          <w:bCs/>
          <w:i/>
          <w:iCs/>
        </w:rPr>
        <w:t>(Refer to the appendix 6)</w:t>
      </w:r>
      <w:r>
        <w:t>.</w:t>
      </w:r>
    </w:p>
    <w:p>
      <w:pPr>
        <w:pStyle w:val="style0"/>
        <w:rPr>
          <w:b/>
          <w:bCs/>
        </w:rPr>
      </w:pPr>
      <w:r>
        <w:rPr>
          <w:b/>
          <w:bCs/>
        </w:rPr>
        <w:t xml:space="preserve">Identification of trends along with strengths and weaknesses </w:t>
      </w:r>
    </w:p>
    <w:p>
      <w:pPr>
        <w:pStyle w:val="style0"/>
        <w:rPr>
          <w:b/>
          <w:bCs/>
        </w:rPr>
      </w:pPr>
      <w:r>
        <w:rPr>
          <w:b/>
          <w:bCs/>
        </w:rPr>
        <w:t>Trends</w:t>
      </w:r>
    </w:p>
    <w:p>
      <w:pPr>
        <w:pStyle w:val="style0"/>
        <w:numPr>
          <w:ilvl w:val="0"/>
          <w:numId w:val="2"/>
        </w:numPr>
        <w:rPr/>
      </w:pPr>
      <w:r>
        <w:t>The trends analysis indicated Volkswagen experienced a continuous asset growth from the value of €528bn in 2021 to €644bn in 2025.</w:t>
      </w:r>
    </w:p>
    <w:p>
      <w:pPr>
        <w:pStyle w:val="style0"/>
        <w:numPr>
          <w:ilvl w:val="0"/>
          <w:numId w:val="2"/>
        </w:numPr>
        <w:rPr/>
      </w:pPr>
      <w:r>
        <w:t>The equity position was strengthened over the period by the impact of retained earnings; the debt in the period was stable.</w:t>
      </w:r>
    </w:p>
    <w:p>
      <w:pPr>
        <w:pStyle w:val="style0"/>
        <w:numPr>
          <w:ilvl w:val="0"/>
          <w:numId w:val="2"/>
        </w:numPr>
        <w:rPr/>
      </w:pPr>
      <w:r>
        <w:t xml:space="preserve">The analysis of profitability indicated a reduction in ability declining from 19% in the 2021-23 period to 15.9% in the 2025 period. </w:t>
      </w:r>
    </w:p>
    <w:p>
      <w:pPr>
        <w:pStyle w:val="style0"/>
        <w:numPr>
          <w:ilvl w:val="0"/>
          <w:numId w:val="2"/>
        </w:numPr>
        <w:rPr/>
      </w:pPr>
      <w:r>
        <w:t xml:space="preserve">The operating cash flow showed a declining trend from €38Bn in 2021 to €15bn in 2024. </w:t>
      </w:r>
    </w:p>
    <w:p>
      <w:pPr>
        <w:pStyle w:val="style0"/>
        <w:rPr>
          <w:b/>
          <w:bCs/>
        </w:rPr>
      </w:pPr>
      <w:r>
        <w:rPr>
          <w:b/>
          <w:bCs/>
        </w:rPr>
        <w:t xml:space="preserve">Strengths </w:t>
      </w:r>
    </w:p>
    <w:p>
      <w:pPr>
        <w:pStyle w:val="style0"/>
        <w:numPr>
          <w:ilvl w:val="0"/>
          <w:numId w:val="3"/>
        </w:numPr>
        <w:rPr/>
      </w:pPr>
      <w:r>
        <w:t>Volkswagen's strong asset base and growth of equity showed a strong position for long-term investment in EVs.</w:t>
      </w:r>
    </w:p>
    <w:p>
      <w:pPr>
        <w:pStyle w:val="style0"/>
        <w:numPr>
          <w:ilvl w:val="0"/>
          <w:numId w:val="3"/>
        </w:numPr>
        <w:rPr/>
      </w:pPr>
      <w:r>
        <w:t>The inventory turnover of Volkswagen is highly stable, showing strong supply chain management.</w:t>
      </w:r>
    </w:p>
    <w:p>
      <w:pPr>
        <w:pStyle w:val="style0"/>
        <w:numPr>
          <w:ilvl w:val="0"/>
          <w:numId w:val="3"/>
        </w:numPr>
        <w:rPr/>
      </w:pPr>
      <w:r>
        <w:t xml:space="preserve"> A strong financial flexibility is indicated by Volkswagen due to its ability to raise funds through bonds and commercial papers.</w:t>
      </w:r>
    </w:p>
    <w:p>
      <w:pPr>
        <w:pStyle w:val="style0"/>
        <w:rPr>
          <w:b/>
          <w:bCs/>
        </w:rPr>
      </w:pPr>
      <w:r>
        <w:rPr>
          <w:b/>
          <w:bCs/>
        </w:rPr>
        <w:t xml:space="preserve">Weakness </w:t>
      </w:r>
    </w:p>
    <w:p>
      <w:pPr>
        <w:pStyle w:val="style0"/>
        <w:numPr>
          <w:ilvl w:val="0"/>
          <w:numId w:val="7"/>
        </w:numPr>
        <w:rPr/>
      </w:pPr>
      <w:r>
        <w:t>The profitability position of Volkswagen over the period of 2023 to 2025 indicated a decline in gross profit margin and net profit margin, indicating cash generation as a major issue.</w:t>
      </w:r>
    </w:p>
    <w:p>
      <w:pPr>
        <w:pStyle w:val="style0"/>
        <w:numPr>
          <w:ilvl w:val="0"/>
          <w:numId w:val="7"/>
        </w:numPr>
        <w:rPr/>
      </w:pPr>
      <w:r>
        <w:t>The company over the 2023 -25 period reflected an increase in short-term liability and declining net liquidity, indicating a rising leverage risk.</w:t>
      </w:r>
    </w:p>
    <w:p>
      <w:pPr>
        <w:pStyle w:val="style0"/>
        <w:numPr>
          <w:ilvl w:val="0"/>
          <w:numId w:val="7"/>
        </w:numPr>
        <w:rPr/>
      </w:pPr>
      <w:r>
        <w:t xml:space="preserve">Thus, heavy capital outflow in areas of R&amp;D and expansion might impact cash flow, indicating exposure to raw materials and regulatory pressure. </w:t>
      </w:r>
    </w:p>
    <w:bookmarkStart w:id="4" w:name="_uf1arc6ybebk" w:colFirst="0" w:colLast="0"/>
    <w:bookmarkStart w:id="5" w:name="_Toc224584423"/>
    <w:bookmarkEnd w:id="4"/>
    <w:p>
      <w:pPr>
        <w:pStyle w:val="style1"/>
        <w:rPr/>
      </w:pPr>
      <w:r>
        <w:t>2. Working Capital Management Analysis</w:t>
      </w:r>
      <w:bookmarkEnd w:id="5"/>
      <w:r>
        <w:t xml:space="preserve"> </w:t>
      </w:r>
    </w:p>
    <w:p>
      <w:pPr>
        <w:pStyle w:val="style0"/>
        <w:rPr>
          <w:b/>
          <w:bCs/>
        </w:rPr>
      </w:pPr>
      <w:r>
        <w:rPr>
          <w:b/>
          <w:bCs/>
        </w:rPr>
        <w:t xml:space="preserve">Assessing the cash operating cycle </w:t>
      </w:r>
    </w:p>
    <w:p>
      <w:pPr>
        <w:pStyle w:val="style0"/>
        <w:rPr/>
      </w:pPr>
      <w:r>
        <w:t xml:space="preserve">The cash operating cycle or cash conversion cycle (CCC) is used for measuring the time a cash is tied up during the course of operations. Thus, the cash operating cycle ability of a business is measured across 4 </w:t>
      </w:r>
      <w:r>
        <w:t>states</w:t>
      </w:r>
      <w:r>
        <w:t xml:space="preserve"> in the supply chain, which are procurement, operations, sales collection, and payment of money (Zaher and Illescas, 2022). The cash operating cycle of Volkswagen is shown below. </w:t>
      </w:r>
    </w:p>
    <w:p>
      <w:pPr>
        <w:pStyle w:val="style0"/>
        <w:jc w:val="center"/>
        <w:rPr/>
      </w:pPr>
      <w:r>
        <w:rPr>
          <w:noProof/>
        </w:rPr>
        <w:drawing>
          <wp:inline distL="0" distT="0" distB="0" distR="0">
            <wp:extent cx="5731200" cy="1892300"/>
            <wp:effectExtent l="0" t="0" r="0" b="0"/>
            <wp:docPr id="1039"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12.png"/>
                    <pic:cNvPicPr/>
                  </pic:nvPicPr>
                  <pic:blipFill>
                    <a:blip r:embed="rId15" cstate="print"/>
                    <a:srcRect l="0" t="0" r="0" b="0"/>
                    <a:stretch/>
                  </pic:blipFill>
                  <pic:spPr>
                    <a:xfrm rot="0">
                      <a:off x="0" y="0"/>
                      <a:ext cx="5731200" cy="18923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9: Cash operating cycle </w:t>
      </w:r>
    </w:p>
    <w:p>
      <w:pPr>
        <w:pStyle w:val="style0"/>
        <w:jc w:val="center"/>
        <w:rPr/>
      </w:pPr>
      <w:r>
        <w:t xml:space="preserve">(Source: Excel) </w:t>
      </w:r>
    </w:p>
    <w:p>
      <w:pPr>
        <w:pStyle w:val="style0"/>
        <w:rPr/>
      </w:pPr>
      <w:r>
        <w:t xml:space="preserve">The figure shows how Volkswagen's efficacy in converting the investment in inventory and receivables to cash. The period of 2024 indicated that the cash operating cycle is 1528 days, which has increased to the value of 1657 days in 2025. </w:t>
      </w:r>
    </w:p>
    <w:p>
      <w:pPr>
        <w:pStyle w:val="style0"/>
        <w:rPr/>
      </w:pPr>
      <w:r>
        <w:rPr>
          <w:b/>
          <w:bCs/>
        </w:rPr>
        <w:t xml:space="preserve">Days Inventory Outstanding (DIO): </w:t>
      </w:r>
      <w:r>
        <w:t>The value of DIO is at 1752 to 1754 days, indicating a consistent level of inventory management. Hoover issue regarding inventory management, such as capital incentive form of automations production.</w:t>
      </w:r>
    </w:p>
    <w:p>
      <w:pPr>
        <w:pStyle w:val="style0"/>
        <w:rPr/>
      </w:pPr>
      <w:r>
        <w:rPr>
          <w:b/>
          <w:bCs/>
        </w:rPr>
        <w:t xml:space="preserve">Days' sales outstanding (DSO): </w:t>
      </w:r>
      <w:r>
        <w:t>The DSO indicated a slow period of receivable collection and heavily overbalanced on the customer financing scheme.</w:t>
      </w:r>
    </w:p>
    <w:p>
      <w:pPr>
        <w:pStyle w:val="style0"/>
        <w:rPr/>
      </w:pPr>
      <w:r>
        <w:rPr>
          <w:b/>
          <w:bCs/>
        </w:rPr>
        <w:t xml:space="preserve">Days Payable Outstanding (DPO): </w:t>
      </w:r>
      <w:r>
        <w:t xml:space="preserve">The DPO position of Volkswagen has declined from 251 days in 2024 to 209 days in 2025. This is after payment of the supplier, indicating the company is not properly using the benefits of trade credit. </w:t>
      </w:r>
    </w:p>
    <w:p>
      <w:pPr>
        <w:pStyle w:val="style0"/>
        <w:rPr>
          <w:b/>
          <w:bCs/>
        </w:rPr>
      </w:pPr>
      <w:r>
        <w:rPr>
          <w:b/>
          <w:bCs/>
        </w:rPr>
        <w:t>Strategy recommendation for liquidity improvement by working capital reforms</w:t>
      </w:r>
    </w:p>
    <w:p>
      <w:pPr>
        <w:pStyle w:val="style0"/>
        <w:rPr>
          <w:b/>
          <w:bCs/>
        </w:rPr>
      </w:pPr>
      <w:r>
        <w:rPr>
          <w:b/>
          <w:bCs/>
        </w:rPr>
        <w:t xml:space="preserve">Inventory Management </w:t>
      </w:r>
    </w:p>
    <w:p>
      <w:pPr>
        <w:pStyle w:val="style0"/>
        <w:rPr/>
      </w:pPr>
      <w:r>
        <w:t xml:space="preserve">The implementation of the Just-in-Time (JIT) system and lean manufacturing system is an effective measure that will help Volkswagen to reduce holding costs and improve operations. The use of the JIT system helps in improving competitiveness and increasing the market share (Lara </w:t>
      </w:r>
      <w:r>
        <w:rPr>
          <w:i/>
          <w:iCs/>
        </w:rPr>
        <w:t>et al</w:t>
      </w:r>
      <w:r>
        <w:t>., 2022). The process of lean manufacturing will help in removing the bottlenecks of old production by involving cellular manufacturing, competitive benchmarking, and cycle time reduction.</w:t>
      </w:r>
    </w:p>
    <w:p>
      <w:pPr>
        <w:pStyle w:val="style0"/>
        <w:rPr>
          <w:b/>
          <w:bCs/>
        </w:rPr>
      </w:pPr>
      <w:r>
        <w:rPr>
          <w:b/>
          <w:bCs/>
        </w:rPr>
        <w:t xml:space="preserve">Payable management </w:t>
      </w:r>
    </w:p>
    <w:p>
      <w:pPr>
        <w:pStyle w:val="style0"/>
        <w:rPr/>
      </w:pPr>
      <w:r>
        <w:t xml:space="preserve"> Volkswagen can improve the payable management in the operation by negotiating longer credit terms with suppliers, specifically regarding the raw materials such as nickel and lithium. The process of innovation of management and a payment planning process is highly effective in maintaining a positive relationship with suppliers and making production smooth (Vaníčková, 2023). Thus, the balance of extended payment with a positive supplier relationship is highly effective in reducing unforeseen discrepancies. </w:t>
      </w:r>
    </w:p>
    <w:p>
      <w:pPr>
        <w:pStyle w:val="style0"/>
        <w:rPr>
          <w:b/>
          <w:bCs/>
        </w:rPr>
      </w:pPr>
      <w:r>
        <w:rPr>
          <w:b/>
          <w:bCs/>
        </w:rPr>
        <w:t xml:space="preserve">Receivable management </w:t>
      </w:r>
    </w:p>
    <w:p>
      <w:pPr>
        <w:pStyle w:val="style0"/>
        <w:rPr/>
      </w:pPr>
      <w:r>
        <w:t xml:space="preserve">The company can introduce a strict form of credit policy, which will help in receiving early payments, and similarly, incentivising debtors to make early payments can be a highly effective measure. The use of digital platforms for the purpose of monitoring economic activities and forecasting financial risk helps in predicting the time of withdrawal of funds from debtors (Bessonova </w:t>
      </w:r>
      <w:r>
        <w:rPr>
          <w:i/>
          <w:iCs/>
        </w:rPr>
        <w:t>et al</w:t>
      </w:r>
      <w:r>
        <w:t>., 2024). The receivable management can further be improved by the implementation of prioritisation of receivable cases and generating different guidelines for collection actions (Sipilä, 2024). This strategic measure will be highly effective in the timely collection of funds and converting receivables to immediate cash.</w:t>
      </w:r>
    </w:p>
    <w:p>
      <w:pPr>
        <w:pStyle w:val="style0"/>
        <w:rPr>
          <w:b/>
          <w:bCs/>
        </w:rPr>
      </w:pPr>
      <w:r>
        <w:rPr>
          <w:b/>
          <w:bCs/>
        </w:rPr>
        <w:t xml:space="preserve">Cash flow optimisation </w:t>
      </w:r>
    </w:p>
    <w:p>
      <w:pPr>
        <w:pStyle w:val="style0"/>
        <w:rPr/>
      </w:pPr>
      <w:r>
        <w:t xml:space="preserve">Volkswagen, due to its global operation, can centralise the treasury for effective management of liquidity in different global subsidiaries. The other means through which Volkswagen can maintain the cash flow optimisation is through the implementation of robust forecasting techniques, management of flexible planning, and implementing data-driven decision making (Barnabas and Oloyede, 2024). In addition to this, the implementation of short-term financing options such as lines of credit and increasing can significantly improve cash flows. </w:t>
      </w:r>
    </w:p>
    <w:p>
      <w:pPr>
        <w:pStyle w:val="style0"/>
        <w:rPr>
          <w:b/>
          <w:bCs/>
        </w:rPr>
      </w:pPr>
      <w:r>
        <w:rPr>
          <w:b/>
          <w:bCs/>
        </w:rPr>
        <w:t xml:space="preserve">Comparisons of short-term and long-term financial financing options_400 (Riya) </w:t>
      </w:r>
    </w:p>
    <w:p>
      <w:pPr>
        <w:pStyle w:val="style0"/>
        <w:rPr/>
      </w:pPr>
      <w:r>
        <w:rPr>
          <w:b/>
          <w:bCs/>
        </w:rPr>
        <w:t xml:space="preserve">Short-Term Financing: </w:t>
      </w:r>
      <w:r>
        <w:t xml:space="preserve">Within the short-term financing, an organisation can engage in financing for less than 1 year (Ahamed </w:t>
      </w:r>
      <w:r>
        <w:rPr>
          <w:i/>
          <w:iCs/>
        </w:rPr>
        <w:t xml:space="preserve">et al., </w:t>
      </w:r>
      <w:r>
        <w:t xml:space="preserve">2025). In addition, the primary purpose of this financing is to cover working capital requirements such as inventory, payroll, </w:t>
      </w:r>
      <w:r>
        <w:t xml:space="preserve">and supplier payments. Some potential examples of short-term financing are trade credit from suppliers, short-term bank loans, and commercial paper (Nicolas, 2022). The major benefit of short-term financing is that it typically has a low interest rate. In addition, this funding has high flexibility and quick access. The major risk of this financing is that it can raise the liquidity risk if refinancing is difficult. </w:t>
      </w:r>
    </w:p>
    <w:p>
      <w:pPr>
        <w:pStyle w:val="style0"/>
        <w:rPr/>
      </w:pPr>
      <w:r>
        <w:rPr>
          <w:b/>
          <w:bCs/>
          <w:i/>
          <w:iCs/>
        </w:rPr>
        <w:t xml:space="preserve">Commercial papers: </w:t>
      </w:r>
      <w:r>
        <w:t xml:space="preserve">Commercial papers are issued for short-term financial liabilities such as payroll and inventory management. Volkswagen heavily relies on commercial papers and bonds, for example, in 2025 the company raised €27.5bn. Thus, Volkswagen can use the measure due to ease of lending and lower interest rates, which indicates low risk. </w:t>
      </w:r>
    </w:p>
    <w:p>
      <w:pPr>
        <w:pStyle w:val="style0"/>
        <w:rPr/>
      </w:pPr>
      <w:r>
        <w:rPr>
          <w:b/>
          <w:bCs/>
        </w:rPr>
        <w:t xml:space="preserve">Long-Term Financing: </w:t>
      </w:r>
      <w:r>
        <w:t xml:space="preserve">In long-term financing, the organisation can gain funding for more than 1 year. The primary purpose of this financing is to fund capital for better investments such as factories, technology, and acquisitions. The significant examples of long-term financing are bond issuance, long-term bank loans, and equity financing (Krinichansky, 2025). The benefit of this financing is that it has a high interest rate but a stable repayment schedule. The risk that different organisations can experience by focusing on this funding approach is debt burden and interest obligations. In addition, this funding is less flexible, and it also requires long-term commitment. Therefore, as an ownership diluting shareholder, control. </w:t>
      </w:r>
    </w:p>
    <w:p>
      <w:pPr>
        <w:pStyle w:val="style0"/>
        <w:rPr>
          <w:b/>
          <w:bCs/>
        </w:rPr>
      </w:pPr>
      <w:r>
        <w:rPr>
          <w:b/>
          <w:bCs/>
          <w:i/>
          <w:iCs/>
        </w:rPr>
        <w:t xml:space="preserve">Bank line of credits: </w:t>
      </w:r>
      <w:r>
        <w:t xml:space="preserve">The bank line of credit is often used by large-scale companies for elevating investment distortion from including forms of future adverse conditions. The benefits of a bank line of credit are in terms of long-term investment needs and adverse market conditions ( Changi </w:t>
      </w:r>
      <w:r>
        <w:rPr>
          <w:i/>
          <w:iCs/>
        </w:rPr>
        <w:t>et al</w:t>
      </w:r>
      <w:r>
        <w:t xml:space="preserve">., 2023). However, the issue in this form of finance is tighter covenants and more intense banking monitoring. </w:t>
      </w:r>
    </w:p>
    <w:bookmarkStart w:id="6" w:name="_nsd6mbvtn1kx" w:colFirst="0" w:colLast="0"/>
    <w:bookmarkStart w:id="7" w:name="_Toc224584424"/>
    <w:bookmarkEnd w:id="6"/>
    <w:p>
      <w:pPr>
        <w:pStyle w:val="style1"/>
        <w:rPr/>
      </w:pPr>
      <w:r>
        <w:t>3. Strategic Financial Restructuring Plan</w:t>
      </w:r>
      <w:bookmarkEnd w:id="7"/>
      <w:r>
        <w:t xml:space="preserve"> </w:t>
      </w:r>
    </w:p>
    <w:p>
      <w:pPr>
        <w:pStyle w:val="style0"/>
        <w:rPr>
          <w:b/>
          <w:bCs/>
        </w:rPr>
      </w:pPr>
      <w:r>
        <w:rPr>
          <w:b/>
          <w:bCs/>
        </w:rPr>
        <w:t xml:space="preserve">Financial restructuring options recommendations </w:t>
      </w:r>
    </w:p>
    <w:p>
      <w:pPr>
        <w:pStyle w:val="style0"/>
        <w:rPr>
          <w:b/>
          <w:bCs/>
        </w:rPr>
      </w:pPr>
      <w:r>
        <w:rPr>
          <w:b/>
          <w:bCs/>
        </w:rPr>
        <w:t xml:space="preserve"> 1. Divestiture </w:t>
      </w:r>
    </w:p>
    <w:p>
      <w:pPr>
        <w:pStyle w:val="style0"/>
        <w:rPr/>
      </w:pPr>
      <w:r>
        <w:t xml:space="preserve">Selling the portions of non-core assets or also with the subsidiaries, which can directly increase the cash value, reduce the overall debt portions, and also sharpen the focus on core automobile operations. </w:t>
      </w:r>
    </w:p>
    <w:p>
      <w:pPr>
        <w:pStyle w:val="style0"/>
        <w:rPr>
          <w:b/>
          <w:bCs/>
          <w:i/>
          <w:iCs/>
        </w:rPr>
      </w:pPr>
      <w:r>
        <w:rPr>
          <w:b/>
          <w:bCs/>
          <w:i/>
          <w:iCs/>
        </w:rPr>
        <w:t xml:space="preserve"> Valuation formula </w:t>
      </w:r>
    </w:p>
    <w:p>
      <w:pPr>
        <w:pStyle w:val="style0"/>
        <w:rPr>
          <w:b/>
          <w:bCs/>
        </w:rPr>
      </w:pPr>
      <w:r>
        <w:rPr>
          <w:b/>
          <w:bCs/>
        </w:rPr>
        <w:t xml:space="preserve"> Divestiture value = EBITDA of the unit * Industry Multiple </w:t>
      </w:r>
    </w:p>
    <w:p>
      <w:pPr>
        <w:pStyle w:val="style0"/>
        <w:rPr/>
      </w:pPr>
      <w:r>
        <w:t xml:space="preserve">As an example, it can be given on the basis of the Volkswagen company subsidiary generating the € 2bn EBITDA, and the overall industry multiple is 6*2bn </w:t>
      </w:r>
      <w:r>
        <w:t>overall</w:t>
      </w:r>
      <w:r>
        <w:t xml:space="preserve"> sales proceeds, which is equal to €12bn.</w:t>
      </w:r>
    </w:p>
    <w:p>
      <w:pPr>
        <w:pStyle w:val="style0"/>
        <w:rPr>
          <w:b/>
          <w:bCs/>
          <w:i/>
          <w:iCs/>
        </w:rPr>
      </w:pPr>
      <w:r>
        <w:rPr>
          <w:b/>
          <w:bCs/>
          <w:i/>
          <w:iCs/>
        </w:rPr>
        <w:t xml:space="preserve"> Recommendation </w:t>
      </w:r>
    </w:p>
    <w:p>
      <w:pPr>
        <w:pStyle w:val="style0"/>
        <w:rPr/>
      </w:pPr>
      <w:r>
        <w:t xml:space="preserve">Volkswagen divests the overall low-margin or non-strategic divisions, such as the niche brands, or also in the financial services, and it also provides the immediate level of cash inflows, and it also sharpens the focus on the core automotive operations </w:t>
      </w:r>
    </w:p>
    <w:p>
      <w:pPr>
        <w:pStyle w:val="style0"/>
        <w:rPr>
          <w:b/>
          <w:bCs/>
        </w:rPr>
      </w:pPr>
      <w:r>
        <w:rPr>
          <w:b/>
          <w:bCs/>
        </w:rPr>
        <w:t xml:space="preserve">2. Merger or strategic alliance </w:t>
      </w:r>
    </w:p>
    <w:p>
      <w:pPr>
        <w:pStyle w:val="style0"/>
        <w:rPr/>
      </w:pPr>
      <w:r>
        <w:t xml:space="preserve">Volkswagen focuses on the capital in EVs, batteries, and automotive driving in extreme conditions, which is high. A merger and the overall alliance allow for cost-sharing, faster innovations, and also improve the economies of scale (volkswagen-group.com, 2025). It directly reduces the duplication of R&amp;D and procurement at the time of expanding the market reach. </w:t>
      </w:r>
    </w:p>
    <w:p>
      <w:pPr>
        <w:pStyle w:val="style0"/>
        <w:rPr>
          <w:b/>
          <w:bCs/>
          <w:i/>
          <w:iCs/>
        </w:rPr>
      </w:pPr>
      <w:r>
        <w:rPr>
          <w:b/>
          <w:bCs/>
          <w:i/>
          <w:iCs/>
        </w:rPr>
        <w:t xml:space="preserve">Synergy of the values = Cost savings + Revenue level of enhancement-Integration of cost </w:t>
      </w:r>
    </w:p>
    <w:p>
      <w:pPr>
        <w:pStyle w:val="style0"/>
        <w:rPr/>
      </w:pPr>
      <w:r>
        <w:t xml:space="preserve">Cost savings: € 3 bn, which is mainly shared by the R&amp;D and procurement efficiencies </w:t>
      </w:r>
    </w:p>
    <w:p>
      <w:pPr>
        <w:pStyle w:val="style0"/>
        <w:rPr/>
      </w:pPr>
      <w:r>
        <w:t xml:space="preserve"> Revenue enhancement portions are €2 bn, and this expanded the EV / autonomous market share. Overall, the Synergy value is € 4 Bn.</w:t>
      </w:r>
    </w:p>
    <w:p>
      <w:pPr>
        <w:pStyle w:val="style0"/>
        <w:rPr>
          <w:b/>
          <w:bCs/>
        </w:rPr>
      </w:pPr>
      <w:r>
        <w:rPr>
          <w:b/>
          <w:bCs/>
        </w:rPr>
        <w:t xml:space="preserve"> Proof of all valuations impact </w:t>
      </w:r>
    </w:p>
    <w:p>
      <w:pPr>
        <w:pStyle w:val="style0"/>
        <w:rPr/>
      </w:pPr>
      <w:r>
        <w:t xml:space="preserve"> NPV enhancement: In order to add the € 4 Bn synergy, which already increases the net present value of Volkswagen, and also autonomous projects, making it financially viable. </w:t>
      </w:r>
    </w:p>
    <w:p>
      <w:pPr>
        <w:pStyle w:val="style0"/>
        <w:rPr/>
      </w:pPr>
      <w:r>
        <w:t xml:space="preserve">Liquidity Effect: Reducing the portions of R &amp; D burden for the lower positions of annual cash outflows, and this also frees the liquidity for the other strategic value of investment. </w:t>
      </w:r>
    </w:p>
    <w:p>
      <w:pPr>
        <w:pStyle w:val="style0"/>
        <w:rPr>
          <w:b/>
          <w:bCs/>
        </w:rPr>
      </w:pPr>
      <w:r>
        <w:t xml:space="preserve">Risk Diversification: In order to share the technology for developing and reducing the exposure to market volatility, and also to mitigate the regulatory risks. </w:t>
      </w:r>
    </w:p>
    <w:p>
      <w:pPr>
        <w:pStyle w:val="style0"/>
        <w:rPr>
          <w:b/>
          <w:bCs/>
        </w:rPr>
      </w:pPr>
      <w:r>
        <w:rPr>
          <w:b/>
          <w:bCs/>
        </w:rPr>
        <w:t xml:space="preserve">3. Equity Injection </w:t>
      </w:r>
    </w:p>
    <w:p>
      <w:pPr>
        <w:pStyle w:val="style0"/>
        <w:rPr/>
      </w:pPr>
      <w:r>
        <w:t xml:space="preserve">Equity injections are often considered as the financial transactions where an individual or various entity provides the capital to a business in exchange for the ownership stake, which is commonly preferred for the stock. </w:t>
      </w:r>
    </w:p>
    <w:p>
      <w:pPr>
        <w:pStyle w:val="style0"/>
        <w:rPr>
          <w:b/>
          <w:bCs/>
          <w:i/>
          <w:iCs/>
        </w:rPr>
      </w:pPr>
      <w:r>
        <w:rPr>
          <w:b/>
          <w:bCs/>
          <w:i/>
          <w:iCs/>
        </w:rPr>
        <w:t xml:space="preserve"> Formula </w:t>
      </w:r>
    </w:p>
    <w:p>
      <w:pPr>
        <w:pStyle w:val="style0"/>
        <w:rPr>
          <w:b/>
          <w:bCs/>
          <w:i/>
          <w:iCs/>
        </w:rPr>
      </w:pPr>
      <w:r>
        <w:rPr>
          <w:b/>
          <w:bCs/>
          <w:i/>
          <w:iCs/>
        </w:rPr>
        <w:t xml:space="preserve"> Debt equity ratio = Total Debt/ Total equity </w:t>
      </w:r>
    </w:p>
    <w:p>
      <w:pPr>
        <w:pStyle w:val="style0"/>
        <w:rPr/>
      </w:pPr>
      <w:r>
        <w:t xml:space="preserve">In this consideration, Volkswagen's current debt value is € 265bn, and equity valuations are € 200Bn, and the debt to equity ratio value is 1.33. </w:t>
      </w:r>
    </w:p>
    <w:p>
      <w:pPr>
        <w:pStyle w:val="style0"/>
        <w:rPr/>
      </w:pPr>
      <w:r>
        <w:t xml:space="preserve">Raising the portions of €20bn Equity and equity valuations is €220bn. The total debt to equity ratio is 1.20. </w:t>
      </w:r>
    </w:p>
    <w:p>
      <w:pPr>
        <w:pStyle w:val="style0"/>
        <w:rPr>
          <w:b/>
          <w:bCs/>
          <w:i/>
          <w:iCs/>
        </w:rPr>
      </w:pPr>
      <w:r>
        <w:rPr>
          <w:b/>
          <w:bCs/>
          <w:i/>
          <w:iCs/>
        </w:rPr>
        <w:t xml:space="preserve"> Impacts </w:t>
      </w:r>
    </w:p>
    <w:p>
      <w:pPr>
        <w:pStyle w:val="style0"/>
        <w:rPr/>
      </w:pPr>
      <w:r>
        <w:t xml:space="preserve">This directly strengthens the solvency, lowers the interest burden, and also improves the credit rating value. </w:t>
      </w:r>
    </w:p>
    <w:p>
      <w:pPr>
        <w:pStyle w:val="style0"/>
        <w:rPr>
          <w:b/>
          <w:bCs/>
          <w:i/>
          <w:iCs/>
        </w:rPr>
      </w:pPr>
      <w:r>
        <w:rPr>
          <w:b/>
          <w:bCs/>
          <w:i/>
          <w:iCs/>
        </w:rPr>
        <w:t xml:space="preserve"> Recommendations </w:t>
      </w:r>
    </w:p>
    <w:p>
      <w:pPr>
        <w:pStyle w:val="style0"/>
        <w:rPr/>
      </w:pPr>
      <w:r>
        <w:t xml:space="preserve">Volkswagen also focuses on raising equity via the right issue or in the form of a strategic investor's partnership. This also stabilises the Balance sheet and reduces the reliance on debt financing. </w:t>
      </w:r>
    </w:p>
    <w:p>
      <w:pPr>
        <w:pStyle w:val="style0"/>
        <w:rPr/>
      </w:pPr>
      <w:r>
        <w:t xml:space="preserve"> Proving the valuations' impact </w:t>
      </w:r>
    </w:p>
    <w:p>
      <w:pPr>
        <w:pStyle w:val="style0"/>
        <w:numPr>
          <w:ilvl w:val="0"/>
          <w:numId w:val="8"/>
        </w:numPr>
        <w:rPr/>
      </w:pPr>
      <w:r>
        <w:t xml:space="preserve"> Divestiture of €12 Bn, which directly reduces the net debt and also improves the liquidity ratios </w:t>
      </w:r>
    </w:p>
    <w:p>
      <w:pPr>
        <w:pStyle w:val="style0"/>
        <w:numPr>
          <w:ilvl w:val="0"/>
          <w:numId w:val="8"/>
        </w:numPr>
        <w:rPr/>
      </w:pPr>
      <w:r>
        <w:t xml:space="preserve"> Merger of €4 Bn, which will bring synergy and boost the projects' NPVs and competitiveness. </w:t>
      </w:r>
    </w:p>
    <w:p>
      <w:pPr>
        <w:pStyle w:val="style0"/>
        <w:numPr>
          <w:ilvl w:val="0"/>
          <w:numId w:val="8"/>
        </w:numPr>
        <w:rPr/>
      </w:pPr>
      <w:r>
        <w:t xml:space="preserve"> Equity injections are presenting a D/ E ratio which improves from the value of 1.33 to 1.20, and thus also lowering the overall financial risk and enhancing the investors' confidence. </w:t>
      </w:r>
    </w:p>
    <w:p>
      <w:pPr>
        <w:pStyle w:val="style0"/>
        <w:rPr>
          <w:b/>
          <w:bCs/>
        </w:rPr>
      </w:pPr>
      <w:r>
        <w:rPr>
          <w:b/>
          <w:bCs/>
        </w:rPr>
        <w:t xml:space="preserve">Recommendations </w:t>
      </w:r>
    </w:p>
    <w:p>
      <w:pPr>
        <w:pStyle w:val="style0"/>
        <w:rPr/>
      </w:pPr>
      <w:r>
        <w:t xml:space="preserve">Volkswagen should focus on pursuing a strategic alliance rather than a full merger. Alliances such as the EV battery technology, AI software, or also in the autonomous driving platforms, synergy without strengthening the other option. These options are working on improving confidence, and also targeted divestitures unlock € 15 Bn Cash. At the time of strategic alliances, EV/ Autonomous tech also captures €4 Bn synergy, and it reduces the future capital intensity. Equity Injections is the best choice for providing permanent capital, and it also reduces leverage and enhances resilience. </w:t>
      </w:r>
    </w:p>
    <w:p>
      <w:pPr>
        <w:pStyle w:val="style0"/>
        <w:rPr>
          <w:b/>
          <w:bCs/>
        </w:rPr>
      </w:pPr>
      <w:r>
        <w:rPr>
          <w:b/>
          <w:bCs/>
        </w:rPr>
        <w:t xml:space="preserve">Impact evaluation on Shareholder value, debt structure, and operational flexibility </w:t>
      </w:r>
    </w:p>
    <w:p>
      <w:pPr>
        <w:pStyle w:val="style0"/>
        <w:rPr>
          <w:b/>
          <w:bCs/>
          <w:i/>
          <w:iCs/>
        </w:rPr>
      </w:pPr>
      <w:r>
        <w:rPr>
          <w:b/>
          <w:bCs/>
          <w:i/>
          <w:iCs/>
        </w:rPr>
        <w:t xml:space="preserve"> </w:t>
      </w:r>
      <w:r>
        <w:rPr>
          <w:b/>
          <w:bCs/>
          <w:i/>
          <w:iCs/>
        </w:rPr>
        <w:t>Shareholders</w:t>
      </w:r>
      <w:r>
        <w:rPr>
          <w:b/>
          <w:bCs/>
          <w:i/>
          <w:iCs/>
        </w:rPr>
        <w:t xml:space="preserve"> value</w:t>
      </w:r>
    </w:p>
    <w:p>
      <w:pPr>
        <w:pStyle w:val="style0"/>
        <w:rPr/>
      </w:pPr>
      <w:r>
        <w:rPr>
          <w:b/>
          <w:bCs/>
        </w:rPr>
        <w:t>Positive impact:</w:t>
      </w:r>
      <w:r>
        <w:t xml:space="preserve"> Cost-saving portion from the restructuring, efficiency, and gains from the various restructuring and also focus on the efficiency gains from the and also for the digitalisations. This is considered for the higher operating margins. </w:t>
      </w:r>
    </w:p>
    <w:p>
      <w:pPr>
        <w:pStyle w:val="style0"/>
        <w:rPr/>
      </w:pPr>
      <w:r>
        <w:rPr>
          <w:b/>
          <w:bCs/>
        </w:rPr>
        <w:t xml:space="preserve"> Negative Impact:</w:t>
      </w:r>
      <w:r>
        <w:t xml:space="preserve"> In this aspect, litigation risks such as emissions, scandal and regulatory fines and ESG scrutiny also depress the valuations. </w:t>
      </w:r>
    </w:p>
    <w:p>
      <w:pPr>
        <w:pStyle w:val="style0"/>
        <w:rPr/>
      </w:pPr>
      <w:r>
        <w:t xml:space="preserve"> Justifications of the formula </w:t>
      </w:r>
    </w:p>
    <w:p>
      <w:pPr>
        <w:pStyle w:val="style0"/>
        <w:rPr>
          <w:b/>
          <w:bCs/>
          <w:i/>
          <w:iCs/>
        </w:rPr>
      </w:pPr>
      <w:r>
        <w:rPr>
          <w:b/>
          <w:bCs/>
          <w:i/>
          <w:iCs/>
        </w:rPr>
        <w:t xml:space="preserve"> EV = Market Cap + Debt - cash </w:t>
      </w:r>
    </w:p>
    <w:p>
      <w:pPr>
        <w:pStyle w:val="style0"/>
        <w:numPr>
          <w:ilvl w:val="0"/>
          <w:numId w:val="5"/>
        </w:numPr>
        <w:rPr/>
      </w:pPr>
      <w:r>
        <w:t xml:space="preserve"> Higher level of EBIT from the efficiency, which is directly boosting the market capitalizations </w:t>
      </w:r>
    </w:p>
    <w:p>
      <w:pPr>
        <w:pStyle w:val="style0"/>
        <w:numPr>
          <w:ilvl w:val="0"/>
          <w:numId w:val="5"/>
        </w:numPr>
        <w:rPr/>
      </w:pPr>
      <w:r>
        <w:t xml:space="preserve"> Excessive level of debt and also for reputational risk, which directly drag on the EV </w:t>
      </w:r>
    </w:p>
    <w:p>
      <w:pPr>
        <w:pStyle w:val="style0"/>
        <w:rPr>
          <w:b/>
          <w:bCs/>
        </w:rPr>
      </w:pPr>
      <w:r>
        <w:rPr>
          <w:b/>
          <w:bCs/>
        </w:rPr>
        <w:t xml:space="preserve"> Debt structure </w:t>
      </w:r>
    </w:p>
    <w:p>
      <w:pPr>
        <w:pStyle w:val="style0"/>
        <w:rPr/>
      </w:pPr>
      <w:r>
        <w:t xml:space="preserve">Positive impact: Moderate level of Debt financing also supports the recommendations for the New outlets and maintains digital platforms. Using the formula, is D/ E = Total Debt/shareholder equity. Balancing the debt also improves the growth potential. Moreover, excessive levels of borrowing worsen Debt and equity, directly reducing the portions of investor confidence. </w:t>
      </w:r>
    </w:p>
    <w:p>
      <w:pPr>
        <w:pStyle w:val="style0"/>
        <w:rPr>
          <w:b/>
          <w:bCs/>
        </w:rPr>
      </w:pPr>
      <w:r>
        <w:rPr>
          <w:b/>
          <w:bCs/>
        </w:rPr>
        <w:t xml:space="preserve">Operational Flexibility </w:t>
      </w:r>
    </w:p>
    <w:p>
      <w:pPr>
        <w:pStyle w:val="style0"/>
        <w:rPr>
          <w:b/>
          <w:bCs/>
          <w:i/>
          <w:iCs/>
        </w:rPr>
      </w:pPr>
      <w:r>
        <w:rPr>
          <w:b/>
          <w:bCs/>
          <w:i/>
          <w:iCs/>
        </w:rPr>
        <w:t xml:space="preserve">Positive impact </w:t>
      </w:r>
    </w:p>
    <w:p>
      <w:pPr>
        <w:pStyle w:val="style0"/>
        <w:numPr>
          <w:ilvl w:val="0"/>
          <w:numId w:val="4"/>
        </w:numPr>
        <w:rPr/>
      </w:pPr>
      <w:r>
        <w:t xml:space="preserve"> Smaller level of UK chains and using and focusing on the effective level of supply chain functions, collaborating with the other subsidiary companies enhances the operational functions. </w:t>
      </w:r>
    </w:p>
    <w:p>
      <w:pPr>
        <w:pStyle w:val="style0"/>
        <w:numPr>
          <w:ilvl w:val="0"/>
          <w:numId w:val="4"/>
        </w:numPr>
        <w:rPr/>
      </w:pPr>
      <w:r>
        <w:t xml:space="preserve"> Tech adoptions and using an efficient level of AI-driven supply chain, which enhances the agility. </w:t>
      </w:r>
    </w:p>
    <w:p>
      <w:pPr>
        <w:pStyle w:val="style0"/>
        <w:rPr/>
      </w:pPr>
      <w:r>
        <w:t xml:space="preserve"> Negative impact </w:t>
      </w:r>
    </w:p>
    <w:p>
      <w:pPr>
        <w:pStyle w:val="style0"/>
        <w:numPr>
          <w:ilvl w:val="0"/>
          <w:numId w:val="9"/>
        </w:numPr>
        <w:rPr/>
      </w:pPr>
      <w:r>
        <w:t xml:space="preserve"> Limited the level of scale, mainly compared to the automotive competitors, such as TESLA, which reduces the bargaining power with suppliers </w:t>
      </w:r>
    </w:p>
    <w:p>
      <w:pPr>
        <w:pStyle w:val="style0"/>
        <w:numPr>
          <w:ilvl w:val="0"/>
          <w:numId w:val="9"/>
        </w:numPr>
        <w:rPr/>
      </w:pPr>
      <w:r>
        <w:t xml:space="preserve"> Higher level of fixed cost lease also directly leases and staff for reducing the flexibility downturns. </w:t>
      </w:r>
    </w:p>
    <w:p>
      <w:pPr>
        <w:pStyle w:val="style0"/>
        <w:rPr/>
      </w:pPr>
      <w:r>
        <w:t xml:space="preserve"> Operating leverage (OL) </w:t>
      </w:r>
    </w:p>
    <w:p>
      <w:pPr>
        <w:pStyle w:val="style0"/>
        <w:rPr/>
      </w:pPr>
      <w:r>
        <w:t xml:space="preserve">OL= % change in EBIT / % change in sales </w:t>
      </w:r>
    </w:p>
    <w:p>
      <w:pPr>
        <w:pStyle w:val="style0"/>
        <w:rPr>
          <w:b/>
          <w:bCs/>
        </w:rPr>
      </w:pPr>
      <w:r>
        <w:t xml:space="preserve">But it turned out to hit harder due to the reflections of the fixed cost. </w:t>
      </w:r>
    </w:p>
    <w:p>
      <w:pPr>
        <w:pStyle w:val="style0"/>
        <w:rPr>
          <w:b/>
          <w:bCs/>
        </w:rPr>
      </w:pPr>
      <w:r>
        <w:rPr>
          <w:b/>
          <w:bCs/>
        </w:rPr>
        <w:t xml:space="preserve">International and ethical considerations </w:t>
      </w:r>
    </w:p>
    <w:p>
      <w:pPr>
        <w:pStyle w:val="style0"/>
        <w:rPr/>
      </w:pPr>
      <w:r>
        <w:rPr>
          <w:b/>
          <w:bCs/>
        </w:rPr>
        <w:t xml:space="preserve">Taxation: </w:t>
      </w:r>
      <w:r>
        <w:t xml:space="preserve">The taxation policy varies in different regions in different jurisdictions, which have a heavy influence on the profitability value. For </w:t>
      </w:r>
      <w:r>
        <w:t>example For</w:t>
      </w:r>
      <w:r>
        <w:t xml:space="preserve"> example, in the UK the tax rate is generally at 25,% and the German tax rate is at 15%. For normal and marginal relief (</w:t>
      </w:r>
      <w:r>
        <w:rPr/>
        <w:fldChar w:fldCharType="begin"/>
      </w:r>
      <w:r>
        <w:instrText xml:space="preserve"> HYPERLINK "http://tradingeconomics.com" </w:instrText>
      </w:r>
      <w:r>
        <w:rPr/>
        <w:fldChar w:fldCharType="separate"/>
      </w:r>
      <w:r>
        <w:rPr>
          <w:color w:val="000000"/>
        </w:rPr>
        <w:t>tradingeconomics.com</w:t>
      </w:r>
      <w:r>
        <w:rPr/>
        <w:fldChar w:fldCharType="end"/>
      </w:r>
      <w:r>
        <w:t xml:space="preserve">, 2026). Thus, in this respect, of tax savings indicted </w:t>
      </w:r>
      <w:r>
        <w:t>an</w:t>
      </w:r>
      <w:r>
        <w:t xml:space="preserve"> expansion in the UK is faced with a higher tax position.</w:t>
      </w:r>
    </w:p>
    <w:p>
      <w:pPr>
        <w:pStyle w:val="style0"/>
        <w:rPr/>
      </w:pPr>
      <w:r>
        <w:rPr>
          <w:b/>
          <w:bCs/>
        </w:rPr>
        <w:t xml:space="preserve">Currency Risk: </w:t>
      </w:r>
      <w:r>
        <w:t xml:space="preserve">the currency position indicates a critical position in the value of various currencies such as EUR, USD, and GBP, which might fluctuate the margins and debts. Thus, Volkswagen is required for effective debt servicing and hedging strategy for the prevention of financial stability. </w:t>
      </w:r>
    </w:p>
    <w:p>
      <w:pPr>
        <w:pStyle w:val="style0"/>
        <w:rPr/>
      </w:pPr>
      <w:r>
        <w:rPr>
          <w:b/>
          <w:bCs/>
        </w:rPr>
        <w:t xml:space="preserve">Inflation: </w:t>
      </w:r>
      <w:r>
        <w:t xml:space="preserve">The main areas where inflation might impact are the high input costs with respect to raw material costs, labour costs, and energy costs. Thus, the factor of </w:t>
      </w:r>
      <w:r>
        <w:t xml:space="preserve">inflation is required to be considered for the purpose of reducing flexibility and managing the price power as per international areas of operation. </w:t>
      </w:r>
    </w:p>
    <w:p>
      <w:pPr>
        <w:pStyle w:val="style0"/>
        <w:rPr/>
      </w:pPr>
      <w:r>
        <w:rPr>
          <w:b/>
          <w:bCs/>
        </w:rPr>
        <w:t xml:space="preserve">CSR: </w:t>
      </w:r>
      <w:r>
        <w:t>In the expansion of Volkswagen, it is required to take care of ESG factors such as employment practices, carbon emission goals, and contribution to the community (volkswagen-group.com, 2026). These sectors are highly relevant for increasing the trust of stakeholders for improving shareholders' value and mitigating educational risk.</w:t>
      </w:r>
    </w:p>
    <w:bookmarkStart w:id="8" w:name="_9wtrbkowzz7x" w:colFirst="0" w:colLast="0"/>
    <w:bookmarkStart w:id="9" w:name="_Toc224584425"/>
    <w:bookmarkEnd w:id="8"/>
    <w:p>
      <w:pPr>
        <w:pStyle w:val="style1"/>
        <w:rPr/>
      </w:pPr>
      <w:r>
        <w:t>4. Investment and capital budgeting</w:t>
      </w:r>
      <w:bookmarkEnd w:id="9"/>
      <w:r>
        <w:t xml:space="preserve"> </w:t>
      </w:r>
    </w:p>
    <w:p>
      <w:pPr>
        <w:pStyle w:val="style0"/>
        <w:rPr>
          <w:b/>
          <w:bCs/>
        </w:rPr>
      </w:pPr>
      <w:r>
        <w:rPr>
          <w:b/>
          <w:bCs/>
        </w:rPr>
        <w:t>Comparison of three interventions by use of PBP, ARR, NPV, PI, and IRR</w:t>
      </w:r>
    </w:p>
    <w:p>
      <w:pPr>
        <w:pStyle w:val="style0"/>
        <w:rPr>
          <w:b/>
          <w:bCs/>
        </w:rPr>
      </w:pPr>
      <w:r>
        <w:rPr>
          <w:b/>
          <w:bCs/>
        </w:rPr>
        <w:t xml:space="preserve">Payback period (PBP) </w:t>
      </w:r>
    </w:p>
    <w:p>
      <w:pPr>
        <w:pStyle w:val="style0"/>
        <w:rPr/>
      </w:pPr>
      <w:r>
        <w:t xml:space="preserve">The payback period is an investment appraisal tool used for the purpose of measuring how long investors need to wait to recover the initial cost of the investment (Dai </w:t>
      </w:r>
      <w:r>
        <w:rPr>
          <w:i/>
          <w:iCs/>
        </w:rPr>
        <w:t>et al</w:t>
      </w:r>
      <w:r>
        <w:t>., 2022). The payback is further divided into the discount payback method, which is widely used for investment appraisal. The PBP is applied in three projects: A, B and C.</w:t>
      </w:r>
    </w:p>
    <w:p>
      <w:pPr>
        <w:pStyle w:val="style0"/>
        <w:rPr>
          <w:b/>
          <w:bCs/>
          <w:i/>
          <w:iCs/>
        </w:rPr>
      </w:pPr>
      <w:r>
        <w:rPr>
          <w:b/>
          <w:bCs/>
          <w:i/>
          <w:iCs/>
        </w:rPr>
        <w:t>Project A</w:t>
      </w:r>
    </w:p>
    <w:p>
      <w:pPr>
        <w:pStyle w:val="style0"/>
        <w:rPr/>
      </w:pPr>
      <w:r>
        <w:t>The payback period analysis indicated an initial investment of € 50M in 5 years. The PBP of project A is valued at a total of 4 years 6 months.</w:t>
      </w:r>
    </w:p>
    <w:p>
      <w:pPr>
        <w:pStyle w:val="style0"/>
        <w:rPr>
          <w:b/>
          <w:bCs/>
          <w:i/>
          <w:iCs/>
        </w:rPr>
      </w:pPr>
      <w:r>
        <w:rPr>
          <w:b/>
          <w:bCs/>
          <w:i/>
          <w:iCs/>
        </w:rPr>
        <w:t>Project B</w:t>
      </w:r>
    </w:p>
    <w:p>
      <w:pPr>
        <w:pStyle w:val="style0"/>
        <w:rPr/>
      </w:pPr>
      <w:r>
        <w:t>The project C is also shown to have an initial investment of £ 50M with different investment values for 5-year periods. The analysis of PBP of the project showed the valuation is positive between years 4 and 5, indicating the PBP valuation at 4 years 7 months.</w:t>
      </w:r>
    </w:p>
    <w:p>
      <w:pPr>
        <w:pStyle w:val="style0"/>
        <w:rPr/>
      </w:pPr>
      <w:r>
        <w:rPr>
          <w:b/>
          <w:bCs/>
          <w:i/>
          <w:iCs/>
        </w:rPr>
        <w:t>Project C</w:t>
      </w:r>
    </w:p>
    <w:p>
      <w:pPr>
        <w:pStyle w:val="style0"/>
        <w:rPr/>
      </w:pPr>
      <w:r>
        <w:t xml:space="preserve">The project B has an initial investment of £ 50M for a period of 5 years, and the PBP is expected to be positive between years 3 and 4. Thus, the PBP valuation is 3 years and 7 months </w:t>
      </w:r>
      <w:r>
        <w:rPr>
          <w:b/>
          <w:bCs/>
          <w:i/>
          <w:iCs/>
        </w:rPr>
        <w:t xml:space="preserve">[ Refer to Appendix </w:t>
      </w:r>
      <w:r>
        <w:rPr>
          <w:b/>
          <w:bCs/>
          <w:i/>
          <w:iCs/>
        </w:rPr>
        <w:t>2</w:t>
      </w:r>
      <w:r>
        <w:rPr>
          <w:b/>
          <w:bCs/>
          <w:i/>
          <w:iCs/>
        </w:rPr>
        <w:t>]</w:t>
      </w:r>
      <w:r>
        <w:t xml:space="preserve">. </w:t>
      </w:r>
    </w:p>
    <w:p>
      <w:pPr>
        <w:pStyle w:val="style0"/>
        <w:rPr/>
      </w:pPr>
    </w:p>
    <w:p>
      <w:pPr>
        <w:pStyle w:val="style0"/>
        <w:rPr>
          <w:b/>
          <w:bCs/>
        </w:rPr>
      </w:pPr>
      <w:r>
        <w:rPr>
          <w:b/>
          <w:bCs/>
        </w:rPr>
        <w:t>Accounting Rate of Return (ARR)</w:t>
      </w:r>
    </w:p>
    <w:p>
      <w:pPr>
        <w:pStyle w:val="style0"/>
        <w:rPr/>
      </w:pPr>
      <w:r>
        <w:t xml:space="preserve"> The ARR is also known as the return on investment, which is used to determine the annual accounting profits rising from the investment as a percentage. The ARR formula is (Average accounting profits/investment) *100% (accaglobal.com, 2026). The ARR of the three proposed investments is given below: </w:t>
      </w:r>
    </w:p>
    <w:p>
      <w:pPr>
        <w:pStyle w:val="style0"/>
        <w:rPr>
          <w:b/>
          <w:bCs/>
          <w:i/>
          <w:iCs/>
        </w:rPr>
      </w:pPr>
      <w:r>
        <w:rPr>
          <w:b/>
          <w:bCs/>
          <w:i/>
          <w:iCs/>
        </w:rPr>
        <w:t>Project A</w:t>
      </w:r>
    </w:p>
    <w:p>
      <w:pPr>
        <w:pStyle w:val="style0"/>
        <w:rPr/>
      </w:pPr>
      <w:r>
        <w:t>In project A, the value of average annual profit is £0.8 M, and the value of ARR is 1.60%.</w:t>
      </w:r>
    </w:p>
    <w:p>
      <w:pPr>
        <w:pStyle w:val="style0"/>
        <w:rPr>
          <w:b/>
          <w:bCs/>
          <w:i/>
          <w:iCs/>
        </w:rPr>
      </w:pPr>
      <w:r>
        <w:rPr>
          <w:b/>
          <w:bCs/>
          <w:i/>
          <w:iCs/>
        </w:rPr>
        <w:t>Project B</w:t>
      </w:r>
    </w:p>
    <w:p>
      <w:pPr>
        <w:pStyle w:val="style0"/>
        <w:rPr/>
      </w:pPr>
      <w:r>
        <w:t>In project B, the value of average annual profit is £1 M, and the value of ARR is at 2.00%.</w:t>
      </w:r>
    </w:p>
    <w:p>
      <w:pPr>
        <w:pStyle w:val="style0"/>
        <w:rPr>
          <w:b/>
          <w:bCs/>
          <w:i/>
          <w:iCs/>
        </w:rPr>
      </w:pPr>
      <w:r>
        <w:rPr>
          <w:b/>
          <w:bCs/>
          <w:i/>
          <w:iCs/>
        </w:rPr>
        <w:t>Project C</w:t>
      </w:r>
    </w:p>
    <w:p>
      <w:pPr>
        <w:pStyle w:val="style0"/>
        <w:rPr/>
      </w:pPr>
      <w:r>
        <w:t xml:space="preserve">In project C, the value of average annual profit is £ 6M, and the value of ARR is at 6.00% </w:t>
      </w:r>
      <w:r>
        <w:rPr>
          <w:b/>
          <w:bCs/>
          <w:i/>
          <w:iCs/>
        </w:rPr>
        <w:t>[ Refer to Appendix ]</w:t>
      </w:r>
      <w:r>
        <w:t xml:space="preserve">. </w:t>
      </w:r>
    </w:p>
    <w:p>
      <w:pPr>
        <w:pStyle w:val="style0"/>
        <w:rPr>
          <w:b/>
          <w:bCs/>
        </w:rPr>
      </w:pPr>
      <w:r>
        <w:rPr>
          <w:b/>
          <w:bCs/>
        </w:rPr>
        <w:t>Net Present Value (NPV)</w:t>
      </w:r>
    </w:p>
    <w:p>
      <w:pPr>
        <w:pStyle w:val="style0"/>
        <w:rPr/>
      </w:pPr>
      <w:r>
        <w:t xml:space="preserve">The calculation of NPV is done to analyse the present value of cash flow minus the cash outflow. The NPV is the present value of cash outflow at the required rate of return of the project (Dai </w:t>
      </w:r>
      <w:r>
        <w:rPr>
          <w:i/>
          <w:iCs/>
        </w:rPr>
        <w:t>et al</w:t>
      </w:r>
      <w:r>
        <w:t>., 2022). The NPV of three investments is provided below:</w:t>
      </w:r>
    </w:p>
    <w:p>
      <w:pPr>
        <w:pStyle w:val="style0"/>
        <w:rPr>
          <w:b/>
          <w:bCs/>
          <w:i/>
          <w:iCs/>
        </w:rPr>
      </w:pPr>
      <w:r>
        <w:rPr>
          <w:b/>
          <w:bCs/>
          <w:i/>
          <w:iCs/>
        </w:rPr>
        <w:t>Project A</w:t>
      </w:r>
    </w:p>
    <w:p>
      <w:pPr>
        <w:pStyle w:val="style0"/>
        <w:rPr/>
      </w:pPr>
      <w:r>
        <w:t>The NPV valuation of project A is at £-8.68M, indicating a negative turn from the investment.</w:t>
      </w:r>
    </w:p>
    <w:p>
      <w:pPr>
        <w:pStyle w:val="style0"/>
        <w:rPr>
          <w:b/>
          <w:bCs/>
          <w:i/>
          <w:iCs/>
        </w:rPr>
      </w:pPr>
      <w:r>
        <w:rPr>
          <w:b/>
          <w:bCs/>
          <w:i/>
          <w:iCs/>
        </w:rPr>
        <w:t>Project B</w:t>
      </w:r>
    </w:p>
    <w:p>
      <w:pPr>
        <w:pStyle w:val="style0"/>
        <w:rPr/>
      </w:pPr>
      <w:r>
        <w:t xml:space="preserve">The analysis of investment B showed that the NPV for the value of -£8.30 million indicated a negative viability of the investment. </w:t>
      </w:r>
    </w:p>
    <w:p>
      <w:pPr>
        <w:pStyle w:val="style0"/>
        <w:rPr>
          <w:b/>
          <w:bCs/>
          <w:i/>
          <w:iCs/>
        </w:rPr>
      </w:pPr>
      <w:r>
        <w:rPr>
          <w:b/>
          <w:bCs/>
          <w:i/>
          <w:iCs/>
        </w:rPr>
        <w:t>Project C</w:t>
      </w:r>
    </w:p>
    <w:p>
      <w:pPr>
        <w:pStyle w:val="style0"/>
        <w:rPr/>
      </w:pPr>
      <w:r>
        <w:t xml:space="preserve">The analysis of project C showed the NPV value of -£9.00 million, indicating a negative viability of the investment in the present position </w:t>
      </w:r>
      <w:r>
        <w:rPr>
          <w:b/>
          <w:bCs/>
          <w:i/>
          <w:iCs/>
        </w:rPr>
        <w:t>[ Refer to Appendix ]</w:t>
      </w:r>
      <w:r>
        <w:t xml:space="preserve">. </w:t>
      </w:r>
    </w:p>
    <w:p>
      <w:pPr>
        <w:pStyle w:val="style0"/>
        <w:rPr>
          <w:b/>
          <w:bCs/>
        </w:rPr>
      </w:pPr>
      <w:r>
        <w:rPr>
          <w:b/>
          <w:bCs/>
        </w:rPr>
        <w:t>PI</w:t>
      </w:r>
    </w:p>
    <w:p>
      <w:pPr>
        <w:pStyle w:val="style0"/>
        <w:rPr>
          <w:b/>
          <w:bCs/>
          <w:i/>
          <w:iCs/>
        </w:rPr>
      </w:pPr>
      <w:r>
        <w:rPr>
          <w:b/>
          <w:bCs/>
          <w:i/>
          <w:iCs/>
        </w:rPr>
        <w:t>Project A</w:t>
      </w:r>
    </w:p>
    <w:p>
      <w:pPr>
        <w:pStyle w:val="style0"/>
        <w:rPr/>
      </w:pPr>
      <w:r>
        <w:t>Project A showed that the present value of the cash flow is £41.32, and the PI value is 0.826.</w:t>
      </w:r>
    </w:p>
    <w:p>
      <w:pPr>
        <w:pStyle w:val="style0"/>
        <w:rPr>
          <w:b/>
          <w:bCs/>
          <w:i/>
          <w:iCs/>
        </w:rPr>
      </w:pPr>
      <w:r>
        <w:rPr>
          <w:b/>
          <w:bCs/>
          <w:i/>
          <w:iCs/>
        </w:rPr>
        <w:t>Project B</w:t>
      </w:r>
    </w:p>
    <w:p>
      <w:pPr>
        <w:pStyle w:val="style0"/>
        <w:rPr/>
      </w:pPr>
      <w:r>
        <w:t>Project B indicated that the present value of cash flow is £41.70 M and the PI value is 0.83.</w:t>
      </w:r>
    </w:p>
    <w:p>
      <w:pPr>
        <w:pStyle w:val="style0"/>
        <w:rPr>
          <w:b/>
          <w:bCs/>
          <w:i/>
          <w:iCs/>
        </w:rPr>
      </w:pPr>
      <w:r>
        <w:rPr>
          <w:b/>
          <w:bCs/>
          <w:i/>
          <w:iCs/>
        </w:rPr>
        <w:t>Project C</w:t>
      </w:r>
    </w:p>
    <w:p>
      <w:pPr>
        <w:pStyle w:val="style0"/>
        <w:rPr/>
      </w:pPr>
      <w:r>
        <w:t>Project C showed the present value of cash flow is at £78.02M, resulting in the PI value at 0.960</w:t>
      </w:r>
      <w:r>
        <w:rPr>
          <w:b/>
          <w:bCs/>
          <w:i/>
          <w:iCs/>
        </w:rPr>
        <w:t>[ Refer to Appendix ]</w:t>
      </w:r>
      <w:r>
        <w:t xml:space="preserve">. </w:t>
      </w:r>
    </w:p>
    <w:p>
      <w:pPr>
        <w:pStyle w:val="style0"/>
        <w:rPr>
          <w:b/>
          <w:bCs/>
        </w:rPr>
      </w:pPr>
      <w:r>
        <w:rPr>
          <w:b/>
          <w:bCs/>
        </w:rPr>
        <w:t>Internal Rate of Return (IRR)</w:t>
      </w:r>
    </w:p>
    <w:p>
      <w:pPr>
        <w:pStyle w:val="style0"/>
        <w:rPr/>
      </w:pPr>
      <w:r>
        <w:t xml:space="preserve"> The IRR is known as the discount rate, which is used for the purpose of evaluating an investment based on its cash flow. It is not a measure of investment; the cost of hurdle rate becomes available to competitors (Yan and Zhang, 2022). The IRR of the three investments is provided below: </w:t>
      </w:r>
    </w:p>
    <w:p>
      <w:pPr>
        <w:pStyle w:val="style0"/>
        <w:rPr>
          <w:b/>
          <w:bCs/>
          <w:i/>
          <w:iCs/>
        </w:rPr>
      </w:pPr>
      <w:r>
        <w:rPr>
          <w:b/>
          <w:bCs/>
          <w:i/>
          <w:iCs/>
        </w:rPr>
        <w:t>Project A</w:t>
      </w:r>
    </w:p>
    <w:p>
      <w:pPr>
        <w:pStyle w:val="style0"/>
        <w:rPr/>
      </w:pPr>
      <w:r>
        <w:t>In the investment proposal A, the IRR valuation is at 3%.</w:t>
      </w:r>
    </w:p>
    <w:p>
      <w:pPr>
        <w:pStyle w:val="style0"/>
        <w:rPr>
          <w:b/>
          <w:bCs/>
          <w:i/>
          <w:iCs/>
        </w:rPr>
      </w:pPr>
      <w:r>
        <w:rPr>
          <w:b/>
          <w:bCs/>
          <w:i/>
          <w:iCs/>
        </w:rPr>
        <w:t>Project B</w:t>
      </w:r>
    </w:p>
    <w:p>
      <w:pPr>
        <w:pStyle w:val="style0"/>
        <w:rPr/>
      </w:pPr>
      <w:r>
        <w:t>In the investment proposal B, the value of IRR is at the rate of 3%.</w:t>
      </w:r>
    </w:p>
    <w:p>
      <w:pPr>
        <w:pStyle w:val="style0"/>
        <w:rPr>
          <w:b/>
          <w:bCs/>
          <w:i/>
          <w:iCs/>
        </w:rPr>
      </w:pPr>
      <w:r>
        <w:rPr>
          <w:b/>
          <w:bCs/>
          <w:i/>
          <w:iCs/>
        </w:rPr>
        <w:t>Project C</w:t>
      </w:r>
    </w:p>
    <w:p>
      <w:pPr>
        <w:pStyle w:val="style0"/>
        <w:rPr/>
      </w:pPr>
      <w:r>
        <w:t>In the case of the investment proposal C, the value of IRR is at the rate of 9%</w:t>
      </w:r>
      <w:r>
        <w:rPr>
          <w:b/>
          <w:bCs/>
          <w:i/>
          <w:iCs/>
        </w:rPr>
        <w:t>[ Refer to Appendix ]</w:t>
      </w:r>
      <w:r>
        <w:t xml:space="preserve">. </w:t>
      </w:r>
    </w:p>
    <w:p>
      <w:pPr>
        <w:pStyle w:val="style0"/>
        <w:rPr>
          <w:b/>
          <w:bCs/>
        </w:rPr>
      </w:pPr>
      <w:r>
        <w:rPr>
          <w:b/>
          <w:bCs/>
        </w:rPr>
        <w:t xml:space="preserve">Recommendation of the project and justification based on financial and non-financial performance </w:t>
      </w:r>
    </w:p>
    <w:p>
      <w:pPr>
        <w:pStyle w:val="style0"/>
        <w:rPr/>
      </w:pPr>
      <w:r>
        <w:t xml:space="preserve">The evaluation of the three projects A, B, and C by the use of investment appraisal techniques the best option is project C for Volkswagen to invest. The selection of project C on the financial and non-financial factors is provided below: </w:t>
      </w:r>
    </w:p>
    <w:p>
      <w:pPr>
        <w:pStyle w:val="style0"/>
        <w:rPr>
          <w:b/>
          <w:bCs/>
        </w:rPr>
      </w:pPr>
      <w:r>
        <w:rPr>
          <w:b/>
          <w:bCs/>
        </w:rPr>
        <w:t xml:space="preserve">Financial Performance Justification </w:t>
      </w:r>
    </w:p>
    <w:p>
      <w:pPr>
        <w:pStyle w:val="style0"/>
        <w:rPr/>
      </w:pPr>
      <w:r>
        <w:rPr>
          <w:b/>
          <w:bCs/>
        </w:rPr>
        <w:t xml:space="preserve">Profitability: </w:t>
      </w:r>
      <w:r>
        <w:t>Project C has the highest value of ARR at 6%, which is greater than Project B (2%) and Project A (1.6%). Similarly, the IRR value of the project is at 9%, the closest to the hurdle rate of 10%, indicating a better performance than B and C.</w:t>
      </w:r>
    </w:p>
    <w:p>
      <w:pPr>
        <w:pStyle w:val="style0"/>
        <w:rPr/>
      </w:pPr>
      <w:r>
        <w:rPr>
          <w:b/>
          <w:bCs/>
        </w:rPr>
        <w:t xml:space="preserve">Liquidity: </w:t>
      </w:r>
      <w:r>
        <w:t xml:space="preserve">The project C indicated the highest recovery investment, a faster payback rate of 3 years and 7 months. However, the payback period is 4 years 7 months, and the payback period of project A is 4 years 6 months. Thus indicating the investments A and B are in a lower position. </w:t>
      </w:r>
    </w:p>
    <w:p>
      <w:pPr>
        <w:pStyle w:val="style0"/>
        <w:rPr/>
      </w:pPr>
      <w:r>
        <w:rPr>
          <w:b/>
          <w:bCs/>
        </w:rPr>
        <w:t xml:space="preserve">Efficiency position: </w:t>
      </w:r>
      <w:r>
        <w:t>The efficiency position of the investment is calculated by the use of the Profitability Index. The position of project C is at the valuation of 0.96, which is much better than project B at a valuation of 0.83, but is slightly stronger than project A, which has the PI value at 0.95.</w:t>
      </w:r>
    </w:p>
    <w:p>
      <w:pPr>
        <w:pStyle w:val="style0"/>
        <w:rPr/>
      </w:pPr>
      <w:r>
        <w:rPr>
          <w:b/>
          <w:bCs/>
        </w:rPr>
        <w:t xml:space="preserve">Risk vs Return: </w:t>
      </w:r>
      <w:r>
        <w:t xml:space="preserve">The comparison of risk vs return, the use of NPV analysis is undertaken, where all the investment is indicating a negative NPV. However, in the comparative analysis of the three investments, the NPV of project A is - £1.98M, having the lowest value as compared to project A NPV of -£8.68M and project B NPV at -£8.30B. </w:t>
      </w:r>
    </w:p>
    <w:p>
      <w:pPr>
        <w:pStyle w:val="style0"/>
        <w:rPr>
          <w:b/>
          <w:bCs/>
        </w:rPr>
      </w:pPr>
      <w:r>
        <w:rPr>
          <w:b/>
          <w:bCs/>
        </w:rPr>
        <w:t xml:space="preserve">Non-Financial Justification </w:t>
      </w:r>
    </w:p>
    <w:p>
      <w:pPr>
        <w:pStyle w:val="style0"/>
        <w:rPr/>
      </w:pPr>
      <w:r>
        <w:rPr>
          <w:b/>
          <w:bCs/>
        </w:rPr>
        <w:t xml:space="preserve">Political Risk: </w:t>
      </w:r>
      <w:r>
        <w:t xml:space="preserve">In the current scenario, there is a high level of opposition in both international platforms regarding fossil fuel cars. For example, in the UK, there is a greater push by the government regarding the local electric vehicle infrastructure and legislation for EV charge point installations (parliament.uk, 2025). Thus, investment C, with its EV action plan and partnership with a local company, will help Volkswagen to promote EV investment in the UK. </w:t>
      </w:r>
    </w:p>
    <w:p>
      <w:pPr>
        <w:pStyle w:val="style0"/>
        <w:rPr/>
      </w:pPr>
      <w:r>
        <w:rPr>
          <w:b/>
          <w:bCs/>
        </w:rPr>
        <w:t xml:space="preserve">Customer Loyalty: </w:t>
      </w:r>
      <w:r>
        <w:t xml:space="preserve">In the UK, a growing population is expecting a decrease in the use of fossil fuel vehicles by the period of 2020-2050. </w:t>
      </w:r>
      <w:r>
        <w:t>Thus</w:t>
      </w:r>
      <w:r>
        <w:t xml:space="preserve"> indicating an alignment of investment in EV vehicles with customer choices, is in alignment with government </w:t>
      </w:r>
      <w:r>
        <w:t xml:space="preserve">policy of changing infrastructure for EV development (Santos and Smith, 2023). Thus, if Volkswagen goes with investment C and focuses on EV innovation, it will help in safeguarding long-term brand loyalty and improved level of competitive position. </w:t>
      </w:r>
    </w:p>
    <w:p>
      <w:pPr>
        <w:pStyle w:val="style0"/>
        <w:rPr/>
      </w:pPr>
      <w:r>
        <w:rPr>
          <w:b/>
          <w:bCs/>
        </w:rPr>
        <w:t xml:space="preserve">Market Volatility: </w:t>
      </w:r>
      <w:r>
        <w:t xml:space="preserve">The position of project C indicated that the cash flow position is uneven, which reflects the real-world EV position. The management of risk is highly effective in resolving the stagnation of Project B and Project C valuation. </w:t>
      </w:r>
    </w:p>
    <w:p>
      <w:pPr>
        <w:pStyle w:val="style0"/>
        <w:rPr>
          <w:b/>
          <w:bCs/>
        </w:rPr>
      </w:pPr>
      <w:r>
        <w:rPr>
          <w:b/>
          <w:bCs/>
        </w:rPr>
        <w:t>Assumption and justification for the £100 million investment</w:t>
      </w:r>
    </w:p>
    <w:p>
      <w:pPr>
        <w:pStyle w:val="style0"/>
        <w:rPr>
          <w:b/>
          <w:bCs/>
        </w:rPr>
      </w:pPr>
      <w:r>
        <w:t xml:space="preserve">Under the positions of the rational, the objective is to maximise the shareholders' wealth within the value of £100 million for the investment ceiling. Project A clearly shows a negative NPV of -55.68 M, and the IRR value is 18%, and the ARR value is 18.4%, which indicates the destruction of value. The profitability index value is 0.83, which is below 1, and this means discounted inflows are less than the outlay. Even though the payback period is within the 4.5 Years and the cumulative cash flows recover the initial amount of £1000, leaving a deficit of £4M. That shows that increasing the initial investments of three projects directly increased the Net present value and affects the IRR valuations. On the considerations, PBP valuations are also increased at the time of increasing the initial investments. Allocating the scarce capital also reduces the overall firm's value and limits the debt servicing capacity. </w:t>
      </w:r>
    </w:p>
    <w:bookmarkStart w:id="10" w:name="_xgifnr7hwmdj" w:colFirst="0" w:colLast="0"/>
    <w:bookmarkStart w:id="11" w:name="_Toc224584426"/>
    <w:bookmarkEnd w:id="10"/>
    <w:p>
      <w:pPr>
        <w:pStyle w:val="style1"/>
        <w:rPr/>
      </w:pPr>
      <w:r>
        <w:t>Conclusion</w:t>
      </w:r>
      <w:bookmarkEnd w:id="11"/>
      <w:r>
        <w:t xml:space="preserve"> </w:t>
      </w:r>
    </w:p>
    <w:p>
      <w:pPr>
        <w:pStyle w:val="style0"/>
        <w:rPr/>
      </w:pPr>
      <w:r>
        <w:t xml:space="preserve">Throughout the overall analysis, it has been easier to understand what Volkswagen has faced over the past five years, which reveals a mix of challenges and improvements. Despite fluctuations in revenue and profitability, the company shows resilience in asset management. Strategic financial restructuring and effective investment appraisals are essential to enhance sustainable growth and ensure long-term financial health. In addition, the operational analysis also highlights that the organisation needs to focus on its long-term financing system. </w:t>
      </w:r>
    </w:p>
    <w:p>
      <w:pPr>
        <w:pStyle w:val="style0"/>
        <w:rPr>
          <w:b/>
          <w:bCs/>
        </w:rPr>
      </w:pPr>
      <w:r>
        <w:br w:type="page"/>
      </w:r>
    </w:p>
    <w:bookmarkStart w:id="12" w:name="_Toc224584427"/>
    <w:p>
      <w:pPr>
        <w:pStyle w:val="style1"/>
        <w:rPr/>
      </w:pPr>
      <w:r>
        <w:t>References</w:t>
      </w:r>
      <w:bookmarkEnd w:id="12"/>
      <w:r>
        <w:t xml:space="preserve"> </w:t>
      </w:r>
    </w:p>
    <w:p>
      <w:pPr>
        <w:pStyle w:val="style0"/>
        <w:rPr>
          <w:color w:val="222222"/>
          <w:highlight w:val="white"/>
        </w:rPr>
      </w:pPr>
      <w:r>
        <w:rPr>
          <w:color w:val="222222"/>
          <w:highlight w:val="white"/>
        </w:rPr>
        <w:t>accaglobal.com,(2026).</w:t>
      </w:r>
      <w:r>
        <w:rPr>
          <w:i/>
          <w:iCs/>
          <w:color w:val="222222"/>
          <w:highlight w:val="white"/>
        </w:rPr>
        <w:t xml:space="preserve">Accounting rate of </w:t>
      </w:r>
      <w:r>
        <w:rPr>
          <w:i/>
          <w:iCs/>
          <w:color w:val="222222"/>
          <w:highlight w:val="white"/>
        </w:rPr>
        <w:t>return</w:t>
      </w:r>
      <w:r>
        <w:rPr>
          <w:color w:val="222222"/>
          <w:highlight w:val="white"/>
        </w:rPr>
        <w:t>. Available</w:t>
      </w:r>
      <w:r>
        <w:rPr>
          <w:color w:val="222222"/>
          <w:highlight w:val="white"/>
        </w:rPr>
        <w:t xml:space="preserve"> at:</w:t>
      </w:r>
      <w:r>
        <w:rPr/>
        <w:fldChar w:fldCharType="begin"/>
      </w:r>
      <w:r>
        <w:instrText xml:space="preserve"> HYPERLINK "https://www.accaglobal.com/gb/en/student/exam-support-resources/foundation-level-study-resources/ffm/ffm-technical-articles/rate-return.html" </w:instrText>
      </w:r>
      <w:r>
        <w:rPr/>
        <w:fldChar w:fldCharType="separate"/>
      </w:r>
      <w:r>
        <w:rPr>
          <w:color w:val="1155cc"/>
          <w:highlight w:val="white"/>
          <w:u w:val="single"/>
        </w:rPr>
        <w:t>https://www.accaglobal.com/gb/en/student/exam-support-resources/foundation-level-study-resources/ffm/ffm-technical-articles/rate-return.html</w:t>
      </w:r>
      <w:r>
        <w:rPr/>
        <w:fldChar w:fldCharType="end"/>
      </w:r>
      <w:r>
        <w:rPr>
          <w:color w:val="222222"/>
          <w:highlight w:val="white"/>
        </w:rPr>
        <w:t xml:space="preserve"> (</w:t>
      </w:r>
      <w:r>
        <w:rPr>
          <w:color w:val="222222"/>
          <w:highlight w:val="white"/>
        </w:rPr>
        <w:t>Accessed</w:t>
      </w:r>
      <w:r>
        <w:rPr>
          <w:color w:val="222222"/>
          <w:highlight w:val="white"/>
        </w:rPr>
        <w:t xml:space="preserve"> on: 16/3/2026)</w:t>
      </w:r>
    </w:p>
    <w:p>
      <w:pPr>
        <w:pStyle w:val="style0"/>
        <w:rPr>
          <w:color w:val="222222"/>
          <w:highlight w:val="white"/>
        </w:rPr>
      </w:pPr>
      <w:r>
        <w:rPr>
          <w:color w:val="222222"/>
          <w:highlight w:val="white"/>
        </w:rPr>
        <w:t xml:space="preserve">Ahamed, T., Masum, M.H., Hossain, M.S. and Sakib, M.S., 2025. FACTORS AFFECTING SHORT-TERM FINANCING IN EMERGING ECONOMIES. </w:t>
      </w:r>
      <w:r>
        <w:rPr>
          <w:i/>
          <w:iCs/>
          <w:color w:val="222222"/>
          <w:highlight w:val="white"/>
        </w:rPr>
        <w:t>Polish Journal of Management Studies</w:t>
      </w:r>
      <w:r>
        <w:rPr>
          <w:color w:val="222222"/>
          <w:highlight w:val="white"/>
        </w:rPr>
        <w:t xml:space="preserve">, </w:t>
      </w:r>
      <w:r>
        <w:rPr>
          <w:i/>
          <w:iCs/>
          <w:color w:val="222222"/>
          <w:highlight w:val="white"/>
        </w:rPr>
        <w:t>32</w:t>
      </w:r>
      <w:r>
        <w:rPr>
          <w:color w:val="222222"/>
          <w:highlight w:val="white"/>
        </w:rPr>
        <w:t>(1).</w:t>
      </w:r>
    </w:p>
    <w:p>
      <w:pPr>
        <w:pStyle w:val="style0"/>
        <w:rPr>
          <w:color w:val="222222"/>
          <w:highlight w:val="white"/>
        </w:rPr>
      </w:pPr>
      <w:r>
        <w:rPr>
          <w:color w:val="222222"/>
          <w:highlight w:val="white"/>
        </w:rPr>
        <w:t xml:space="preserve">Aldo, M., 2022. The Effect of Gearing, Price Earning Ratio, Interest Rate, Risk on Abnormal Return. </w:t>
      </w:r>
      <w:r>
        <w:rPr>
          <w:i/>
          <w:iCs/>
          <w:color w:val="222222"/>
          <w:highlight w:val="white"/>
        </w:rPr>
        <w:t>Indonesian Interdisciplinary Journal of Sharia Economics (IIJSE)</w:t>
      </w:r>
      <w:r>
        <w:rPr>
          <w:color w:val="222222"/>
          <w:highlight w:val="white"/>
        </w:rPr>
        <w:t xml:space="preserve">, </w:t>
      </w:r>
      <w:r>
        <w:rPr>
          <w:i/>
          <w:iCs/>
          <w:color w:val="222222"/>
          <w:highlight w:val="white"/>
        </w:rPr>
        <w:t>5</w:t>
      </w:r>
      <w:r>
        <w:rPr>
          <w:color w:val="222222"/>
          <w:highlight w:val="white"/>
        </w:rPr>
        <w:t>(2), pp.751-767.</w:t>
      </w:r>
    </w:p>
    <w:p>
      <w:pPr>
        <w:pStyle w:val="style0"/>
        <w:rPr>
          <w:color w:val="222222"/>
          <w:highlight w:val="white"/>
        </w:rPr>
      </w:pPr>
      <w:r>
        <w:rPr>
          <w:color w:val="222222"/>
          <w:highlight w:val="white"/>
        </w:rPr>
        <w:t xml:space="preserve">Barnabas, B. and Oloyede, J., 2024. Cash flow optimization: Strategies for enhancing short-term liquidity. </w:t>
      </w:r>
      <w:r>
        <w:rPr>
          <w:i/>
          <w:iCs/>
          <w:color w:val="222222"/>
          <w:highlight w:val="white"/>
        </w:rPr>
        <w:t>Available at SSRN 5004465</w:t>
      </w:r>
      <w:r>
        <w:rPr>
          <w:color w:val="222222"/>
          <w:highlight w:val="white"/>
        </w:rPr>
        <w:t>.</w:t>
      </w:r>
    </w:p>
    <w:p>
      <w:pPr>
        <w:pStyle w:val="style0"/>
        <w:rPr>
          <w:color w:val="222222"/>
          <w:highlight w:val="white"/>
        </w:rPr>
      </w:pPr>
      <w:r>
        <w:rPr>
          <w:color w:val="222222"/>
          <w:highlight w:val="white"/>
        </w:rPr>
        <w:t xml:space="preserve">Bessonova, A., Bessonova, S. and Shevchenko, A., 2024. Optimization of Receivables of an Enterprise as a Tool for Strengthening Financial Efficiency. </w:t>
      </w:r>
      <w:r>
        <w:rPr>
          <w:i/>
          <w:iCs/>
          <w:color w:val="222222"/>
          <w:highlight w:val="white"/>
        </w:rPr>
        <w:t>Економіка розвитку систем</w:t>
      </w:r>
      <w:r>
        <w:rPr>
          <w:color w:val="222222"/>
          <w:highlight w:val="white"/>
        </w:rPr>
        <w:t xml:space="preserve">, </w:t>
      </w:r>
      <w:r>
        <w:rPr>
          <w:i/>
          <w:iCs/>
          <w:color w:val="222222"/>
          <w:highlight w:val="white"/>
        </w:rPr>
        <w:t>6</w:t>
      </w:r>
      <w:r>
        <w:rPr>
          <w:color w:val="222222"/>
          <w:highlight w:val="white"/>
        </w:rPr>
        <w:t>(2), pp.146-150.</w:t>
      </w:r>
    </w:p>
    <w:p>
      <w:pPr>
        <w:pStyle w:val="style0"/>
        <w:rPr>
          <w:color w:val="222222"/>
          <w:highlight w:val="white"/>
        </w:rPr>
      </w:pPr>
      <w:r>
        <w:rPr>
          <w:color w:val="222222"/>
          <w:highlight w:val="white"/>
        </w:rPr>
        <w:t xml:space="preserve">Chang, X., Chen, Y. and Masulis, R.W., 2023. Bank lines of credit as a source of long-term finance. </w:t>
      </w:r>
      <w:r>
        <w:rPr>
          <w:i/>
          <w:iCs/>
          <w:color w:val="222222"/>
          <w:highlight w:val="white"/>
        </w:rPr>
        <w:t>Journal of Financial and Quantitative Analysis</w:t>
      </w:r>
      <w:r>
        <w:rPr>
          <w:color w:val="222222"/>
          <w:highlight w:val="white"/>
        </w:rPr>
        <w:t xml:space="preserve">, </w:t>
      </w:r>
      <w:r>
        <w:rPr>
          <w:i/>
          <w:iCs/>
          <w:color w:val="222222"/>
          <w:highlight w:val="white"/>
        </w:rPr>
        <w:t>58</w:t>
      </w:r>
      <w:r>
        <w:rPr>
          <w:color w:val="222222"/>
          <w:highlight w:val="white"/>
        </w:rPr>
        <w:t>(4), pp.1701-1733.</w:t>
      </w:r>
    </w:p>
    <w:p>
      <w:pPr>
        <w:pStyle w:val="style0"/>
        <w:rPr>
          <w:color w:val="222222"/>
          <w:highlight w:val="white"/>
        </w:rPr>
      </w:pPr>
      <w:r>
        <w:rPr>
          <w:color w:val="222222"/>
          <w:highlight w:val="white"/>
        </w:rPr>
        <w:t xml:space="preserve">Dai, H., Li, N., Wang, Y. and Zhao, X., 2022, March. The analysis of three main investment criteria: NPV IRR and payback period. In </w:t>
      </w:r>
      <w:r>
        <w:rPr>
          <w:i/>
          <w:iCs/>
          <w:color w:val="222222"/>
          <w:highlight w:val="white"/>
        </w:rPr>
        <w:t>2022 7th International Conference on Financial Innovation and Economic Development (ICFIED 2022)</w:t>
      </w:r>
      <w:r>
        <w:rPr>
          <w:color w:val="222222"/>
          <w:highlight w:val="white"/>
        </w:rPr>
        <w:t xml:space="preserve"> (pp. 185-189). Atlantis Press.</w:t>
      </w:r>
    </w:p>
    <w:p>
      <w:pPr>
        <w:pStyle w:val="style0"/>
        <w:rPr>
          <w:b/>
          <w:bCs/>
        </w:rPr>
      </w:pPr>
      <w:r>
        <w:rPr>
          <w:color w:val="222222"/>
          <w:highlight w:val="white"/>
        </w:rPr>
        <w:t xml:space="preserve">Krinichansky, K.V., 2025. The Theoretical Foundations and Problematic Areas of the Contemporary Long-Term Financing Theory. </w:t>
      </w:r>
      <w:r>
        <w:rPr>
          <w:i/>
          <w:iCs/>
          <w:color w:val="222222"/>
          <w:highlight w:val="white"/>
        </w:rPr>
        <w:t>FINANCE: THEORY AND PRACTICE</w:t>
      </w:r>
      <w:r>
        <w:rPr>
          <w:color w:val="222222"/>
          <w:highlight w:val="white"/>
        </w:rPr>
        <w:t>, p.112.</w:t>
      </w:r>
    </w:p>
    <w:p>
      <w:pPr>
        <w:pStyle w:val="style0"/>
        <w:rPr>
          <w:color w:val="222222"/>
          <w:highlight w:val="white"/>
        </w:rPr>
      </w:pPr>
      <w:r>
        <w:rPr>
          <w:color w:val="222222"/>
          <w:highlight w:val="white"/>
        </w:rPr>
        <w:t xml:space="preserve">Lara, A.C., Menegon, E.M.P., Sehnem, S. and Kuzma, E., 2022. Relationship between just in time, lean manufacturing, and performance practices: a meta-analysis. </w:t>
      </w:r>
      <w:r>
        <w:rPr>
          <w:i/>
          <w:iCs/>
          <w:color w:val="222222"/>
          <w:highlight w:val="white"/>
        </w:rPr>
        <w:t>Gestão &amp; Produção</w:t>
      </w:r>
      <w:r>
        <w:rPr>
          <w:color w:val="222222"/>
          <w:highlight w:val="white"/>
        </w:rPr>
        <w:t xml:space="preserve">, </w:t>
      </w:r>
      <w:r>
        <w:rPr>
          <w:i/>
          <w:iCs/>
          <w:color w:val="222222"/>
          <w:highlight w:val="white"/>
        </w:rPr>
        <w:t>29</w:t>
      </w:r>
      <w:r>
        <w:rPr>
          <w:color w:val="222222"/>
          <w:highlight w:val="white"/>
        </w:rPr>
        <w:t>, p.e9021.</w:t>
      </w:r>
    </w:p>
    <w:p>
      <w:pPr>
        <w:pStyle w:val="style0"/>
        <w:rPr>
          <w:color w:val="222222"/>
          <w:highlight w:val="white"/>
        </w:rPr>
      </w:pPr>
      <w:r>
        <w:rPr>
          <w:color w:val="222222"/>
          <w:highlight w:val="white"/>
        </w:rPr>
        <w:t xml:space="preserve">Nicolas, T., 2022. Short-term financial constraints and SMEs’ investment decision: evidence from the working capital channel. </w:t>
      </w:r>
      <w:r>
        <w:rPr>
          <w:i/>
          <w:iCs/>
          <w:color w:val="222222"/>
          <w:highlight w:val="white"/>
        </w:rPr>
        <w:t>Small Business Economics</w:t>
      </w:r>
      <w:r>
        <w:rPr>
          <w:color w:val="222222"/>
          <w:highlight w:val="white"/>
        </w:rPr>
        <w:t xml:space="preserve">, </w:t>
      </w:r>
      <w:r>
        <w:rPr>
          <w:i/>
          <w:iCs/>
          <w:color w:val="222222"/>
          <w:highlight w:val="white"/>
        </w:rPr>
        <w:t>58</w:t>
      </w:r>
      <w:r>
        <w:rPr>
          <w:color w:val="222222"/>
          <w:highlight w:val="white"/>
        </w:rPr>
        <w:t>(4), pp.1885-1914.</w:t>
      </w:r>
    </w:p>
    <w:p>
      <w:pPr>
        <w:pStyle w:val="style0"/>
        <w:rPr>
          <w:color w:val="222222"/>
          <w:highlight w:val="white"/>
        </w:rPr>
      </w:pPr>
      <w:r>
        <w:rPr>
          <w:color w:val="222222"/>
          <w:highlight w:val="white"/>
        </w:rPr>
        <w:t xml:space="preserve">Olayinka, A.A., 2022. Financial statement analysis as a tool for investment decisions and assessment of companies’ performance. </w:t>
      </w:r>
      <w:r>
        <w:rPr>
          <w:i/>
          <w:iCs/>
          <w:color w:val="222222"/>
          <w:highlight w:val="white"/>
        </w:rPr>
        <w:t>International Journal of Financial, Accounting, and Management</w:t>
      </w:r>
      <w:r>
        <w:rPr>
          <w:color w:val="222222"/>
          <w:highlight w:val="white"/>
        </w:rPr>
        <w:t xml:space="preserve">, </w:t>
      </w:r>
      <w:r>
        <w:rPr>
          <w:i/>
          <w:iCs/>
          <w:color w:val="222222"/>
          <w:highlight w:val="white"/>
        </w:rPr>
        <w:t>4</w:t>
      </w:r>
      <w:r>
        <w:rPr>
          <w:color w:val="222222"/>
          <w:highlight w:val="white"/>
        </w:rPr>
        <w:t>(1), pp.49-66.</w:t>
      </w:r>
    </w:p>
    <w:p>
      <w:pPr>
        <w:pStyle w:val="style0"/>
        <w:rPr>
          <w:color w:val="222222"/>
          <w:highlight w:val="white"/>
        </w:rPr>
      </w:pPr>
      <w:r>
        <w:rPr>
          <w:color w:val="222222"/>
          <w:highlight w:val="white"/>
        </w:rPr>
        <w:t>parliament.uk,(2025).</w:t>
      </w:r>
      <w:r>
        <w:rPr>
          <w:i/>
          <w:iCs/>
          <w:color w:val="222222"/>
          <w:highlight w:val="white"/>
        </w:rPr>
        <w:t xml:space="preserve">Electric vehicles and </w:t>
      </w:r>
      <w:r>
        <w:rPr>
          <w:i/>
          <w:iCs/>
          <w:color w:val="222222"/>
          <w:highlight w:val="white"/>
        </w:rPr>
        <w:t>infrastructure</w:t>
      </w:r>
      <w:r>
        <w:rPr>
          <w:color w:val="222222"/>
          <w:highlight w:val="white"/>
        </w:rPr>
        <w:t>. Available</w:t>
      </w:r>
      <w:r>
        <w:rPr>
          <w:color w:val="222222"/>
          <w:highlight w:val="white"/>
        </w:rPr>
        <w:t xml:space="preserve"> at:</w:t>
      </w:r>
      <w:r>
        <w:rPr/>
        <w:fldChar w:fldCharType="begin"/>
      </w:r>
      <w:r>
        <w:instrText xml:space="preserve"> HYPERLINK "https://commonslibrary.parliament.uk/research-briefings/cbp-7480/" </w:instrText>
      </w:r>
      <w:r>
        <w:rPr/>
        <w:fldChar w:fldCharType="separate"/>
      </w:r>
      <w:r>
        <w:rPr>
          <w:color w:val="1155cc"/>
          <w:highlight w:val="white"/>
          <w:u w:val="single"/>
        </w:rPr>
        <w:t>https://commonslibrary.parliament.uk/research-briefings/cbp-7480/</w:t>
      </w:r>
      <w:r>
        <w:rPr/>
        <w:fldChar w:fldCharType="end"/>
      </w:r>
      <w:r>
        <w:rPr>
          <w:color w:val="222222"/>
          <w:highlight w:val="white"/>
        </w:rPr>
        <w:t xml:space="preserve"> (Accessed on: 16/3/2026)</w:t>
      </w:r>
    </w:p>
    <w:p>
      <w:pPr>
        <w:pStyle w:val="style0"/>
        <w:rPr>
          <w:color w:val="222222"/>
          <w:highlight w:val="white"/>
        </w:rPr>
      </w:pPr>
      <w:r>
        <w:rPr>
          <w:color w:val="222222"/>
          <w:highlight w:val="white"/>
        </w:rPr>
        <w:t xml:space="preserve">Santos, G. and Smith, O., 2023. Electric vehicles and the energy generation mix in the UK: 2020–2050. </w:t>
      </w:r>
      <w:r>
        <w:rPr>
          <w:i/>
          <w:iCs/>
          <w:color w:val="222222"/>
          <w:highlight w:val="white"/>
        </w:rPr>
        <w:t>Energy Reports</w:t>
      </w:r>
      <w:r>
        <w:rPr>
          <w:color w:val="222222"/>
          <w:highlight w:val="white"/>
        </w:rPr>
        <w:t xml:space="preserve">, </w:t>
      </w:r>
      <w:r>
        <w:rPr>
          <w:i/>
          <w:iCs/>
          <w:color w:val="222222"/>
          <w:highlight w:val="white"/>
        </w:rPr>
        <w:t>9</w:t>
      </w:r>
      <w:r>
        <w:rPr>
          <w:color w:val="222222"/>
          <w:highlight w:val="white"/>
        </w:rPr>
        <w:t>, pp.5612-5627.</w:t>
      </w:r>
    </w:p>
    <w:p>
      <w:pPr>
        <w:pStyle w:val="style0"/>
        <w:rPr>
          <w:color w:val="222222"/>
          <w:highlight w:val="white"/>
        </w:rPr>
      </w:pPr>
      <w:r>
        <w:rPr>
          <w:color w:val="222222"/>
          <w:highlight w:val="white"/>
        </w:rPr>
        <w:t>Sipilä, E., 2024. IMPROVING THE PROCESS OF MANAGING RECEIVABLES.</w:t>
      </w:r>
    </w:p>
    <w:p>
      <w:pPr>
        <w:pStyle w:val="style0"/>
        <w:rPr>
          <w:color w:val="222222"/>
          <w:highlight w:val="white"/>
        </w:rPr>
      </w:pPr>
      <w:r>
        <w:rPr>
          <w:color w:val="222222"/>
          <w:highlight w:val="white"/>
        </w:rPr>
        <w:t>tradingeconomics.com,(2026).</w:t>
      </w:r>
      <w:r>
        <w:rPr>
          <w:i/>
          <w:iCs/>
          <w:color w:val="222222"/>
          <w:highlight w:val="white"/>
        </w:rPr>
        <w:t xml:space="preserve">List of Countries by Corporate Tax </w:t>
      </w:r>
      <w:r>
        <w:rPr>
          <w:i/>
          <w:iCs/>
          <w:color w:val="222222"/>
          <w:highlight w:val="white"/>
        </w:rPr>
        <w:t>Rate</w:t>
      </w:r>
      <w:r>
        <w:rPr>
          <w:color w:val="222222"/>
          <w:highlight w:val="white"/>
        </w:rPr>
        <w:t>. Available</w:t>
      </w:r>
      <w:r>
        <w:rPr>
          <w:color w:val="222222"/>
          <w:highlight w:val="white"/>
        </w:rPr>
        <w:t xml:space="preserve"> at:</w:t>
      </w:r>
      <w:r>
        <w:rPr>
          <w:color w:val="222222"/>
        </w:rPr>
        <w:t xml:space="preserve"> </w:t>
      </w:r>
      <w:r>
        <w:rPr/>
        <w:fldChar w:fldCharType="begin"/>
      </w:r>
      <w:r>
        <w:instrText xml:space="preserve"> HYPERLINK "https://tradingeconomics.com/country-list/corporate-tax-rate" </w:instrText>
      </w:r>
      <w:r>
        <w:rPr/>
        <w:fldChar w:fldCharType="separate"/>
      </w:r>
      <w:r>
        <w:rPr>
          <w:rStyle w:val="style85"/>
          <w:highlight w:val="white"/>
        </w:rPr>
        <w:t>https://tradingeconomics.com/country-list/corporate-tax-rate</w:t>
      </w:r>
      <w:r>
        <w:rPr/>
        <w:fldChar w:fldCharType="end"/>
      </w:r>
      <w:r>
        <w:rPr>
          <w:color w:val="222222"/>
          <w:highlight w:val="white"/>
        </w:rPr>
        <w:t xml:space="preserve"> (Accessed on: 16/3/2026)</w:t>
      </w:r>
    </w:p>
    <w:p>
      <w:pPr>
        <w:pStyle w:val="style0"/>
        <w:rPr>
          <w:color w:val="222222"/>
          <w:highlight w:val="white"/>
        </w:rPr>
      </w:pPr>
      <w:r>
        <w:rPr>
          <w:color w:val="222222"/>
          <w:highlight w:val="white"/>
        </w:rPr>
        <w:t xml:space="preserve">Vaníčková, R., 2023. System Management and Improvement of Payment Planning Processes in Production Engineering. </w:t>
      </w:r>
      <w:r>
        <w:rPr>
          <w:i/>
          <w:iCs/>
          <w:color w:val="222222"/>
          <w:highlight w:val="white"/>
        </w:rPr>
        <w:t>Danube</w:t>
      </w:r>
      <w:r>
        <w:rPr>
          <w:color w:val="222222"/>
          <w:highlight w:val="white"/>
        </w:rPr>
        <w:t xml:space="preserve">, </w:t>
      </w:r>
      <w:r>
        <w:rPr>
          <w:i/>
          <w:iCs/>
          <w:color w:val="222222"/>
          <w:highlight w:val="white"/>
        </w:rPr>
        <w:t>14</w:t>
      </w:r>
      <w:r>
        <w:rPr>
          <w:color w:val="222222"/>
          <w:highlight w:val="white"/>
        </w:rPr>
        <w:t>(3), pp.215-234.</w:t>
      </w:r>
    </w:p>
    <w:p>
      <w:pPr>
        <w:pStyle w:val="style0"/>
        <w:rPr>
          <w:i/>
          <w:iCs/>
        </w:rPr>
      </w:pPr>
      <w:r>
        <w:t>volkswagenag.com,(2022).</w:t>
      </w:r>
      <w:r>
        <w:rPr>
          <w:i/>
          <w:iCs/>
        </w:rPr>
        <w:t xml:space="preserve">Consolidated Financial Statements </w:t>
      </w:r>
      <w:r>
        <w:t>Available at:</w:t>
      </w:r>
      <w:r>
        <w:rPr/>
        <w:fldChar w:fldCharType="begin"/>
      </w:r>
      <w:r>
        <w:instrText xml:space="preserve"> HYPERLINK "https://annualreport2022.volkswagenag.com/consolidated-financial-statements/cash-flow-statement.html" </w:instrText>
      </w:r>
      <w:r>
        <w:rPr/>
        <w:fldChar w:fldCharType="separate"/>
      </w:r>
      <w:r>
        <w:rPr>
          <w:color w:val="1155cc"/>
          <w:u w:val="single"/>
        </w:rPr>
        <w:t>https://annualreport2022.volkswagenag.com/consolidated-financial-statements/cash-flow-statement.html</w:t>
      </w:r>
      <w:r>
        <w:rPr/>
        <w:fldChar w:fldCharType="end"/>
      </w:r>
      <w:r>
        <w:t xml:space="preserve">  (Accessed on: 16/3/2026)</w:t>
      </w:r>
    </w:p>
    <w:p>
      <w:pPr>
        <w:pStyle w:val="style0"/>
        <w:rPr/>
      </w:pPr>
      <w:r>
        <w:t>volkswagenag.com,(2022).</w:t>
      </w:r>
      <w:r>
        <w:rPr>
          <w:i/>
          <w:iCs/>
        </w:rPr>
        <w:t xml:space="preserve">Consolidated Financial </w:t>
      </w:r>
      <w:r>
        <w:rPr>
          <w:i/>
          <w:iCs/>
        </w:rPr>
        <w:t>Statements</w:t>
      </w:r>
      <w:r>
        <w:t>. Available</w:t>
      </w:r>
      <w:r>
        <w:t xml:space="preserve"> at</w:t>
      </w:r>
      <w:r>
        <w:rPr/>
        <w:fldChar w:fldCharType="begin"/>
      </w:r>
      <w:r>
        <w:instrText xml:space="preserve"> HYPERLINK "https://annualreport2022.volkswagenag.com/consolidated-financial-statements/income-statement.html" </w:instrText>
      </w:r>
      <w:r>
        <w:rPr/>
        <w:fldChar w:fldCharType="separate"/>
      </w:r>
      <w:r>
        <w:rPr>
          <w:color w:val="1155cc"/>
          <w:u w:val="single"/>
        </w:rPr>
        <w:t>https://annualreport2022.volkswagenag.com/consolidated-financial-statements/income-statement.html</w:t>
      </w:r>
      <w:r>
        <w:rPr/>
        <w:fldChar w:fldCharType="end"/>
      </w:r>
      <w:r>
        <w:t xml:space="preserve"> (Accessed on: 16/3/2026)</w:t>
      </w:r>
    </w:p>
    <w:p>
      <w:pPr>
        <w:pStyle w:val="style0"/>
        <w:rPr/>
      </w:pPr>
      <w:r>
        <w:t>volkswagenag.com,(2023).C</w:t>
      </w:r>
      <w:r>
        <w:rPr>
          <w:i/>
          <w:iCs/>
        </w:rPr>
        <w:t xml:space="preserve">onsolidated Financial </w:t>
      </w:r>
      <w:r>
        <w:rPr>
          <w:i/>
          <w:iCs/>
        </w:rPr>
        <w:t>Statements</w:t>
      </w:r>
      <w:r>
        <w:t>. Available</w:t>
      </w:r>
      <w:r>
        <w:t xml:space="preserve"> at:</w:t>
      </w:r>
      <w:r>
        <w:rPr/>
        <w:fldChar w:fldCharType="begin"/>
      </w:r>
      <w:r>
        <w:instrText xml:space="preserve"> HYPERLINK "https://annualreport2023.volkswagen-group.com/consolidated-financial-statements/balance-sheet.html" </w:instrText>
      </w:r>
      <w:r>
        <w:rPr/>
        <w:fldChar w:fldCharType="separate"/>
      </w:r>
      <w:r>
        <w:rPr>
          <w:color w:val="1155cc"/>
          <w:u w:val="single"/>
        </w:rPr>
        <w:t>https://annualreport2023.volkswagen-group.com/consolidated-financial-statements/balance-sheet.html</w:t>
      </w:r>
      <w:r>
        <w:rPr/>
        <w:fldChar w:fldCharType="end"/>
      </w:r>
      <w:r>
        <w:t xml:space="preserve">  (Accessed on: 16/3/2026)</w:t>
      </w:r>
    </w:p>
    <w:p>
      <w:pPr>
        <w:pStyle w:val="style0"/>
        <w:rPr>
          <w:i/>
          <w:iCs/>
        </w:rPr>
      </w:pPr>
      <w:r>
        <w:t>volkswagen-group.com,(2023).</w:t>
      </w:r>
      <w:r>
        <w:rPr>
          <w:i/>
          <w:iCs/>
        </w:rPr>
        <w:t xml:space="preserve">Consolidated Financial Statements </w:t>
      </w:r>
      <w:r>
        <w:t>Available at:</w:t>
      </w:r>
      <w:r>
        <w:rPr/>
        <w:fldChar w:fldCharType="begin"/>
      </w:r>
      <w:r>
        <w:instrText xml:space="preserve"> HYPERLINK "https://annualreport2023.volkswagen-group.com/consolidated-financial-statements/cash-flow-statement.html" </w:instrText>
      </w:r>
      <w:r>
        <w:rPr/>
        <w:fldChar w:fldCharType="separate"/>
      </w:r>
      <w:r>
        <w:rPr>
          <w:color w:val="1155cc"/>
          <w:u w:val="single"/>
        </w:rPr>
        <w:t>https://annualreport2023.volkswagen-group.com/consolidated-financial-statements/cash-flow-statement.html</w:t>
      </w:r>
      <w:r>
        <w:rPr/>
        <w:fldChar w:fldCharType="end"/>
      </w:r>
      <w:r>
        <w:t xml:space="preserve"> (Accessed on: 16/3/2026)</w:t>
      </w:r>
    </w:p>
    <w:p>
      <w:pPr>
        <w:pStyle w:val="style0"/>
        <w:rPr/>
      </w:pPr>
      <w:r>
        <w:t>volkswagen-group.com,(2023).</w:t>
      </w:r>
      <w:r>
        <w:rPr>
          <w:i/>
          <w:iCs/>
        </w:rPr>
        <w:t xml:space="preserve">Consolidated Financial </w:t>
      </w:r>
      <w:r>
        <w:rPr>
          <w:i/>
          <w:iCs/>
        </w:rPr>
        <w:t>Statements.</w:t>
      </w:r>
      <w:r>
        <w:t xml:space="preserve"> Available</w:t>
      </w:r>
      <w:r>
        <w:t xml:space="preserve"> at:</w:t>
      </w:r>
      <w:r>
        <w:rPr/>
        <w:fldChar w:fldCharType="begin"/>
      </w:r>
      <w:r>
        <w:instrText xml:space="preserve"> HYPERLINK "https://annualreport2023.volkswagen-group.com/consolidated-financial-statements/income-statement.html" </w:instrText>
      </w:r>
      <w:r>
        <w:rPr/>
        <w:fldChar w:fldCharType="separate"/>
      </w:r>
      <w:r>
        <w:rPr>
          <w:color w:val="1155cc"/>
          <w:u w:val="single"/>
        </w:rPr>
        <w:t>https://annualreport2023.volkswagen-group.com/consolidated-financial-statements/income-statement.html</w:t>
      </w:r>
      <w:r>
        <w:rPr/>
        <w:fldChar w:fldCharType="end"/>
      </w:r>
      <w:r>
        <w:t xml:space="preserve"> (Accessed on: 16/3/2026)</w:t>
      </w:r>
    </w:p>
    <w:p>
      <w:pPr>
        <w:pStyle w:val="style0"/>
        <w:rPr>
          <w:i/>
          <w:iCs/>
        </w:rPr>
      </w:pPr>
      <w:r>
        <w:t>volkswagen-group.com,(2024)</w:t>
      </w:r>
      <w:r>
        <w:rPr>
          <w:i/>
          <w:iCs/>
        </w:rPr>
        <w:t xml:space="preserve">.Consolidated Financial Statements </w:t>
      </w:r>
      <w:r>
        <w:t>Available at:</w:t>
      </w:r>
      <w:r>
        <w:rPr/>
        <w:fldChar w:fldCharType="begin"/>
      </w:r>
      <w:r>
        <w:instrText xml:space="preserve"> HYPERLINK "https://annualreport2024.volkswagen-group.com/consolidated-financial-statements/cash-flow-statement.html" </w:instrText>
      </w:r>
      <w:r>
        <w:rPr/>
        <w:fldChar w:fldCharType="separate"/>
      </w:r>
      <w:r>
        <w:rPr>
          <w:color w:val="1155cc"/>
          <w:u w:val="single"/>
        </w:rPr>
        <w:t>https://annualreport2024.volkswagen-group.com/consolidated-financial-statements/cash-flow-statement.html</w:t>
      </w:r>
      <w:r>
        <w:rPr/>
        <w:fldChar w:fldCharType="end"/>
      </w:r>
      <w:r>
        <w:t xml:space="preserve"> (Accessed on: 16/3/2026)</w:t>
      </w:r>
    </w:p>
    <w:p>
      <w:pPr>
        <w:pStyle w:val="style0"/>
        <w:rPr/>
      </w:pPr>
      <w:r>
        <w:t>volkswagen-group.com,(2024).</w:t>
      </w:r>
      <w:r>
        <w:rPr>
          <w:i/>
          <w:iCs/>
        </w:rPr>
        <w:t xml:space="preserve">Consolidated Financial </w:t>
      </w:r>
      <w:r>
        <w:rPr>
          <w:i/>
          <w:iCs/>
        </w:rPr>
        <w:t>Statements.</w:t>
      </w:r>
      <w:r>
        <w:t xml:space="preserve"> Available</w:t>
      </w:r>
      <w:r>
        <w:t xml:space="preserve"> at:</w:t>
      </w:r>
      <w:r>
        <w:rPr/>
        <w:fldChar w:fldCharType="begin"/>
      </w:r>
      <w:r>
        <w:instrText xml:space="preserve"> HYPERLINK "https://annualreport2024.volkswagen-group.com/consolidated-financial-statements/income-statement.html" </w:instrText>
      </w:r>
      <w:r>
        <w:rPr/>
        <w:fldChar w:fldCharType="separate"/>
      </w:r>
      <w:r>
        <w:rPr>
          <w:color w:val="1155cc"/>
          <w:u w:val="single"/>
        </w:rPr>
        <w:t>https://annualreport2024.volkswagen-group.com/consolidated-financial-statements/income-statement.html</w:t>
      </w:r>
      <w:r>
        <w:rPr/>
        <w:fldChar w:fldCharType="end"/>
      </w:r>
      <w:r>
        <w:t xml:space="preserve"> (Accessed on: 16/3/2026)</w:t>
      </w:r>
    </w:p>
    <w:p>
      <w:pPr>
        <w:pStyle w:val="style0"/>
        <w:rPr>
          <w:i/>
          <w:iCs/>
        </w:rPr>
      </w:pPr>
      <w:r>
        <w:t>volkswagen-group.com,(2025)</w:t>
      </w:r>
      <w:r>
        <w:rPr>
          <w:i/>
          <w:iCs/>
        </w:rPr>
        <w:t xml:space="preserve">.Consolidated Financial Statements </w:t>
      </w:r>
      <w:r>
        <w:t>Available at:</w:t>
      </w:r>
      <w:r>
        <w:rPr/>
        <w:fldChar w:fldCharType="begin"/>
      </w:r>
      <w:r>
        <w:instrText xml:space="preserve"> HYPERLINK "https://annualreport2025.volkswagen-group.com/consolidated-financial-statements/cash-flow-statement.html" </w:instrText>
      </w:r>
      <w:r>
        <w:rPr/>
        <w:fldChar w:fldCharType="separate"/>
      </w:r>
      <w:r>
        <w:rPr>
          <w:color w:val="1155cc"/>
          <w:u w:val="single"/>
        </w:rPr>
        <w:t>https://annualreport2025.volkswagen-group.com/consolidated-financial-statements/cash-flow-statement.html</w:t>
      </w:r>
      <w:r>
        <w:rPr/>
        <w:fldChar w:fldCharType="end"/>
      </w:r>
      <w:r>
        <w:t xml:space="preserve"> (Accessed on: 16/3/2026)</w:t>
      </w:r>
    </w:p>
    <w:p>
      <w:pPr>
        <w:pStyle w:val="style0"/>
        <w:rPr/>
      </w:pPr>
      <w:r>
        <w:t>volkswagen-group.com,(2025).</w:t>
      </w:r>
      <w:r>
        <w:rPr>
          <w:i/>
          <w:iCs/>
        </w:rPr>
        <w:t xml:space="preserve">Consolidated Financial </w:t>
      </w:r>
      <w:r>
        <w:rPr>
          <w:i/>
          <w:iCs/>
        </w:rPr>
        <w:t>Statements</w:t>
      </w:r>
      <w:r>
        <w:t>. Available</w:t>
      </w:r>
      <w:r>
        <w:t xml:space="preserve"> at:</w:t>
      </w:r>
      <w:r>
        <w:rPr/>
        <w:fldChar w:fldCharType="begin"/>
      </w:r>
      <w:r>
        <w:instrText xml:space="preserve"> HYPERLINK "https://annualreport2025.volkswagen-group.com/consolidated-financial-statements/income-statement.html" </w:instrText>
      </w:r>
      <w:r>
        <w:rPr/>
        <w:fldChar w:fldCharType="separate"/>
      </w:r>
      <w:r>
        <w:rPr>
          <w:color w:val="1155cc"/>
          <w:u w:val="single"/>
        </w:rPr>
        <w:t>https://annualreport2025.volkswagen-group.com/consolidated-financial-statements/income-statement.html</w:t>
      </w:r>
      <w:r>
        <w:rPr/>
        <w:fldChar w:fldCharType="end"/>
      </w:r>
      <w:r>
        <w:t xml:space="preserve"> (Accessed on: 16/3/2026)</w:t>
      </w:r>
    </w:p>
    <w:p>
      <w:pPr>
        <w:pStyle w:val="style0"/>
        <w:rPr>
          <w:color w:val="222222"/>
          <w:highlight w:val="white"/>
        </w:rPr>
      </w:pPr>
      <w:r>
        <w:rPr>
          <w:color w:val="222222"/>
          <w:highlight w:val="white"/>
        </w:rPr>
        <w:t>volkswagen-group.com,(2026).</w:t>
      </w:r>
      <w:r>
        <w:rPr>
          <w:i/>
          <w:iCs/>
          <w:color w:val="222222"/>
          <w:highlight w:val="white"/>
        </w:rPr>
        <w:t xml:space="preserve">Social </w:t>
      </w:r>
      <w:r>
        <w:rPr>
          <w:i/>
          <w:iCs/>
          <w:color w:val="222222"/>
          <w:highlight w:val="white"/>
        </w:rPr>
        <w:t>Engagement</w:t>
      </w:r>
      <w:r>
        <w:rPr>
          <w:color w:val="222222"/>
          <w:highlight w:val="white"/>
        </w:rPr>
        <w:t>. Available</w:t>
      </w:r>
      <w:r>
        <w:rPr>
          <w:color w:val="222222"/>
          <w:highlight w:val="white"/>
        </w:rPr>
        <w:t xml:space="preserve"> at:</w:t>
      </w:r>
      <w:r>
        <w:rPr>
          <w:color w:val="222222"/>
        </w:rPr>
        <w:t xml:space="preserve"> </w:t>
      </w:r>
      <w:r>
        <w:rPr/>
        <w:fldChar w:fldCharType="begin"/>
      </w:r>
      <w:r>
        <w:instrText xml:space="preserve"> HYPERLINK "https://www.volkswagen-group.com/en/social-engagement-16086" </w:instrText>
      </w:r>
      <w:r>
        <w:rPr/>
        <w:fldChar w:fldCharType="separate"/>
      </w:r>
      <w:r>
        <w:rPr>
          <w:rStyle w:val="style85"/>
          <w:highlight w:val="white"/>
        </w:rPr>
        <w:t>https://www.volkswagen-group.com/en/social-engagement-16086</w:t>
      </w:r>
      <w:r>
        <w:rPr/>
        <w:fldChar w:fldCharType="end"/>
      </w:r>
      <w:r>
        <w:rPr>
          <w:color w:val="222222"/>
          <w:highlight w:val="white"/>
        </w:rPr>
        <w:t xml:space="preserve"> (Accessed on: 16/3/2026)</w:t>
      </w:r>
    </w:p>
    <w:p>
      <w:pPr>
        <w:pStyle w:val="style0"/>
        <w:rPr>
          <w:color w:val="222222"/>
          <w:highlight w:val="white"/>
        </w:rPr>
      </w:pPr>
      <w:r>
        <w:rPr>
          <w:color w:val="222222"/>
          <w:highlight w:val="white"/>
        </w:rPr>
        <w:t xml:space="preserve">Yan, R. and Zhang, Y., 2022, March. The Introduction of NPV and IRR. In </w:t>
      </w:r>
      <w:r>
        <w:rPr>
          <w:i/>
          <w:iCs/>
          <w:color w:val="222222"/>
          <w:highlight w:val="white"/>
        </w:rPr>
        <w:t>2022 7th International Conference on Financial Innovation and Economic Development (ICFIED 2022)</w:t>
      </w:r>
      <w:r>
        <w:rPr>
          <w:color w:val="222222"/>
          <w:highlight w:val="white"/>
        </w:rPr>
        <w:t xml:space="preserve"> (pp. 1472-1476). Atlantis Press.</w:t>
      </w:r>
    </w:p>
    <w:p>
      <w:pPr>
        <w:pStyle w:val="style0"/>
        <w:rPr>
          <w:color w:val="222222"/>
          <w:highlight w:val="white"/>
        </w:rPr>
      </w:pPr>
      <w:r>
        <w:rPr>
          <w:color w:val="222222"/>
          <w:highlight w:val="white"/>
        </w:rPr>
        <w:t xml:space="preserve">Zaher, H. and Illescas, G.M., 2022. The Cash Conversion Cycle: A Systematic Literature Review. </w:t>
      </w:r>
      <w:r>
        <w:rPr>
          <w:i/>
          <w:iCs/>
          <w:color w:val="222222"/>
          <w:highlight w:val="white"/>
        </w:rPr>
        <w:t>Economic and Social Development: Book of Proceedings</w:t>
      </w:r>
      <w:r>
        <w:rPr>
          <w:color w:val="222222"/>
          <w:highlight w:val="white"/>
        </w:rPr>
        <w:t>, pp.18-35.</w:t>
      </w:r>
    </w:p>
    <w:p>
      <w:pPr>
        <w:pStyle w:val="style0"/>
        <w:rPr>
          <w:color w:val="222222"/>
          <w:highlight w:val="white"/>
        </w:rPr>
      </w:pPr>
    </w:p>
    <w:p>
      <w:pPr>
        <w:pStyle w:val="style0"/>
        <w:spacing w:before="0" w:after="0"/>
        <w:rPr>
          <w:color w:val="222222"/>
          <w:highlight w:val="white"/>
        </w:rPr>
      </w:pPr>
      <w:r>
        <w:br w:type="page"/>
      </w:r>
    </w:p>
    <w:bookmarkStart w:id="13" w:name="_wfhqqzh4wnlt" w:colFirst="0" w:colLast="0"/>
    <w:bookmarkStart w:id="14" w:name="_Toc224584428"/>
    <w:bookmarkEnd w:id="13"/>
    <w:p>
      <w:pPr>
        <w:pStyle w:val="style1"/>
        <w:rPr/>
      </w:pPr>
      <w:r>
        <w:t>Appendices</w:t>
      </w:r>
      <w:bookmarkEnd w:id="14"/>
      <w:r>
        <w:t xml:space="preserve"> </w:t>
      </w:r>
    </w:p>
    <w:p>
      <w:pPr>
        <w:pStyle w:val="style0"/>
        <w:rPr>
          <w:b/>
          <w:bCs/>
        </w:rPr>
      </w:pPr>
    </w:p>
    <w:bookmarkStart w:id="15" w:name="_t4k75hlbuzg6" w:colFirst="0" w:colLast="0"/>
    <w:bookmarkStart w:id="16" w:name="_Toc224584429"/>
    <w:bookmarkEnd w:id="15"/>
    <w:p>
      <w:pPr>
        <w:pStyle w:val="style2"/>
        <w:rPr/>
      </w:pPr>
      <w:r>
        <w:t>Appendix 1: Ratio Tables and Graph</w:t>
      </w:r>
      <w:bookmarkEnd w:id="16"/>
      <w:r>
        <w:t xml:space="preserve"> </w:t>
      </w:r>
    </w:p>
    <w:p>
      <w:pPr>
        <w:pStyle w:val="style0"/>
        <w:rPr>
          <w:b/>
          <w:bCs/>
        </w:rPr>
      </w:pPr>
      <w:r>
        <w:rPr>
          <w:b/>
          <w:bCs/>
        </w:rPr>
        <w:t>Graphical presentation</w:t>
      </w:r>
    </w:p>
    <w:p>
      <w:pPr>
        <w:pStyle w:val="style0"/>
        <w:rPr>
          <w:b/>
          <w:bCs/>
        </w:rPr>
      </w:pPr>
      <w:r>
        <w:rPr>
          <w:b/>
          <w:bCs/>
          <w:noProof/>
        </w:rPr>
        <w:drawing>
          <wp:inline distL="0" distT="0" distB="0" distR="0">
            <wp:extent cx="5731200" cy="2476500"/>
            <wp:effectExtent l="0" t="0" r="0" b="0"/>
            <wp:docPr id="1040" name="image1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19.png"/>
                    <pic:cNvPicPr/>
                  </pic:nvPicPr>
                  <pic:blipFill>
                    <a:blip r:embed="rId16" cstate="print"/>
                    <a:srcRect l="0" t="0" r="0" b="0"/>
                    <a:stretch/>
                  </pic:blipFill>
                  <pic:spPr>
                    <a:xfrm rot="0">
                      <a:off x="0" y="0"/>
                      <a:ext cx="5731200" cy="24765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1: Liquidity Ratio</w:t>
      </w:r>
    </w:p>
    <w:p>
      <w:pPr>
        <w:pStyle w:val="style0"/>
        <w:jc w:val="center"/>
        <w:rPr/>
      </w:pPr>
      <w:r>
        <w:t>(Source: MS-Excel)</w:t>
      </w:r>
    </w:p>
    <w:p>
      <w:pPr>
        <w:pStyle w:val="style0"/>
        <w:rPr>
          <w:b/>
          <w:bCs/>
        </w:rPr>
      </w:pPr>
      <w:r>
        <w:rPr>
          <w:b/>
          <w:bCs/>
          <w:noProof/>
        </w:rPr>
        <w:drawing>
          <wp:inline distL="0" distT="0" distB="0" distR="0">
            <wp:extent cx="5731200" cy="2209800"/>
            <wp:effectExtent l="0" t="0" r="0" b="0"/>
            <wp:docPr id="1041" name="image1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image14.png"/>
                    <pic:cNvPicPr/>
                  </pic:nvPicPr>
                  <pic:blipFill>
                    <a:blip r:embed="rId17" cstate="print"/>
                    <a:srcRect l="0" t="0" r="0" b="0"/>
                    <a:stretch/>
                  </pic:blipFill>
                  <pic:spPr>
                    <a:xfrm rot="0">
                      <a:off x="0" y="0"/>
                      <a:ext cx="5731200" cy="22098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2: Profitability Ratio</w:t>
      </w:r>
    </w:p>
    <w:p>
      <w:pPr>
        <w:pStyle w:val="style0"/>
        <w:jc w:val="center"/>
        <w:rPr>
          <w:b/>
          <w:bCs/>
        </w:rPr>
      </w:pPr>
      <w:r>
        <w:t>(Source: MS-Excel)</w:t>
      </w:r>
    </w:p>
    <w:p>
      <w:pPr>
        <w:pStyle w:val="style0"/>
        <w:rPr>
          <w:b/>
          <w:bCs/>
        </w:rPr>
      </w:pPr>
      <w:r>
        <w:rPr>
          <w:b/>
          <w:bCs/>
          <w:noProof/>
        </w:rPr>
        <w:drawing>
          <wp:inline distL="0" distT="0" distB="0" distR="0">
            <wp:extent cx="5731200" cy="2565400"/>
            <wp:effectExtent l="0" t="0" r="0" b="0"/>
            <wp:docPr id="1042"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13.png"/>
                    <pic:cNvPicPr/>
                  </pic:nvPicPr>
                  <pic:blipFill>
                    <a:blip r:embed="rId18" cstate="print"/>
                    <a:srcRect l="0" t="0" r="0" b="0"/>
                    <a:stretch/>
                  </pic:blipFill>
                  <pic:spPr>
                    <a:xfrm rot="0">
                      <a:off x="0" y="0"/>
                      <a:ext cx="5731200" cy="25654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3: Efficiency Ratio</w:t>
      </w:r>
    </w:p>
    <w:p>
      <w:pPr>
        <w:pStyle w:val="style0"/>
        <w:jc w:val="center"/>
        <w:rPr>
          <w:b/>
          <w:bCs/>
        </w:rPr>
      </w:pPr>
      <w:r>
        <w:t>(Source: MS-Excel)</w:t>
      </w:r>
    </w:p>
    <w:p>
      <w:pPr>
        <w:pStyle w:val="style0"/>
        <w:rPr>
          <w:b/>
          <w:bCs/>
        </w:rPr>
      </w:pPr>
      <w:r>
        <w:rPr>
          <w:b/>
          <w:bCs/>
          <w:noProof/>
        </w:rPr>
        <w:drawing>
          <wp:inline distL="0" distT="0" distB="0" distR="0">
            <wp:extent cx="5731200" cy="3136900"/>
            <wp:effectExtent l="0" t="0" r="0" b="0"/>
            <wp:docPr id="1043" name="image1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18.png"/>
                    <pic:cNvPicPr/>
                  </pic:nvPicPr>
                  <pic:blipFill>
                    <a:blip r:embed="rId19" cstate="print"/>
                    <a:srcRect l="0" t="0" r="0" b="0"/>
                    <a:stretch/>
                  </pic:blipFill>
                  <pic:spPr>
                    <a:xfrm rot="0">
                      <a:off x="0" y="0"/>
                      <a:ext cx="5731200" cy="31369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4: Gearing Ratio</w:t>
      </w:r>
    </w:p>
    <w:p>
      <w:pPr>
        <w:pStyle w:val="style0"/>
        <w:jc w:val="center"/>
        <w:rPr>
          <w:b/>
          <w:bCs/>
        </w:rPr>
      </w:pPr>
      <w:r>
        <w:t>(Source: MS-Excel)</w:t>
      </w:r>
    </w:p>
    <w:p>
      <w:pPr>
        <w:pStyle w:val="style0"/>
        <w:jc w:val="center"/>
        <w:rPr>
          <w:b/>
          <w:bCs/>
        </w:rPr>
      </w:pPr>
      <w:r>
        <w:rPr>
          <w:b/>
          <w:bCs/>
          <w:noProof/>
        </w:rPr>
        <w:drawing>
          <wp:inline distL="0" distT="0" distB="0" distR="0">
            <wp:extent cx="5731200" cy="3124200"/>
            <wp:effectExtent l="0" t="0" r="0" b="0"/>
            <wp:docPr id="1044" name="image1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8" name="image16.png"/>
                    <pic:cNvPicPr/>
                  </pic:nvPicPr>
                  <pic:blipFill>
                    <a:blip r:embed="rId20" cstate="print"/>
                    <a:srcRect l="0" t="0" r="0" b="0"/>
                    <a:stretch/>
                  </pic:blipFill>
                  <pic:spPr>
                    <a:xfrm rot="0">
                      <a:off x="0" y="0"/>
                      <a:ext cx="5731200" cy="31242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5: Investment ratio</w:t>
      </w:r>
    </w:p>
    <w:p>
      <w:pPr>
        <w:pStyle w:val="style0"/>
        <w:jc w:val="center"/>
        <w:rPr/>
      </w:pPr>
      <w:r>
        <w:t xml:space="preserve">(Source: MS-Excel) </w:t>
      </w:r>
    </w:p>
    <w:p>
      <w:pPr>
        <w:pStyle w:val="style0"/>
        <w:rPr>
          <w:b/>
          <w:bCs/>
        </w:rPr>
      </w:pPr>
      <w:r>
        <w:rPr>
          <w:b/>
          <w:bCs/>
          <w:noProof/>
        </w:rPr>
        <w:drawing>
          <wp:inline distL="0" distT="0" distB="0" distR="0">
            <wp:extent cx="5731200" cy="3136900"/>
            <wp:effectExtent l="0" t="0" r="0" b="0"/>
            <wp:docPr id="1045" name="image1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9" name="image15.png"/>
                    <pic:cNvPicPr/>
                  </pic:nvPicPr>
                  <pic:blipFill>
                    <a:blip r:embed="rId21" cstate="print"/>
                    <a:srcRect l="0" t="0" r="0" b="0"/>
                    <a:stretch/>
                  </pic:blipFill>
                  <pic:spPr>
                    <a:xfrm rot="0">
                      <a:off x="0" y="0"/>
                      <a:ext cx="5731200" cy="31369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6: Cash Ratio</w:t>
      </w:r>
    </w:p>
    <w:p>
      <w:pPr>
        <w:pStyle w:val="style0"/>
        <w:jc w:val="center"/>
        <w:rPr/>
      </w:pPr>
      <w:r>
        <w:t>(Source: MS-Excel)</w:t>
      </w:r>
    </w:p>
    <w:p>
      <w:pPr>
        <w:pStyle w:val="style0"/>
        <w:rPr>
          <w:b/>
          <w:bCs/>
        </w:rPr>
      </w:pPr>
      <w:r>
        <w:rPr>
          <w:b/>
          <w:bCs/>
        </w:rPr>
        <w:br w:type="page"/>
      </w:r>
    </w:p>
    <w:p>
      <w:pPr>
        <w:pStyle w:val="style0"/>
        <w:rPr>
          <w:b/>
          <w:bCs/>
        </w:rPr>
      </w:pPr>
      <w:r>
        <w:rPr>
          <w:b/>
          <w:bCs/>
        </w:rPr>
        <w:t>Ratio Tables</w:t>
      </w:r>
    </w:p>
    <w:tbl>
      <w:tblPr>
        <w:tblW w:w="5000" w:type="pct"/>
        <w:tblCellMar>
          <w:left w:w="0" w:type="dxa"/>
          <w:right w:w="0" w:type="dxa"/>
        </w:tblCellMar>
        <w:tblLook w:val="04A0" w:firstRow="1" w:lastRow="0" w:firstColumn="1" w:lastColumn="0" w:noHBand="0" w:noVBand="1"/>
      </w:tblPr>
      <w:tblGrid>
        <w:gridCol w:w="1445"/>
        <w:gridCol w:w="2243"/>
        <w:gridCol w:w="1068"/>
        <w:gridCol w:w="1068"/>
        <w:gridCol w:w="1068"/>
        <w:gridCol w:w="1068"/>
        <w:gridCol w:w="1068"/>
      </w:tblGrid>
      <w:tr>
        <w:trPr>
          <w:trHeight w:val="315" w:hRule="atLeast"/>
        </w:trPr>
        <w:tc>
          <w:tcPr>
            <w:tcW w:w="793" w:type="pct"/>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Profitability Ratio</w:t>
            </w:r>
          </w:p>
        </w:tc>
        <w:tc>
          <w:tcPr>
            <w:tcW w:w="1272" w:type="pct"/>
            <w:vMerge w:val="restar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(Gross Profit / Revenue)*100</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000000"/>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Gross Profit Margin</w:t>
            </w:r>
          </w:p>
        </w:tc>
        <w:tc>
          <w:tcPr>
            <w:tcW w:w="1272" w:type="pct"/>
            <w:vMerge w:val="continue"/>
            <w:tcBorders>
              <w:top w:val="single" w:sz="6" w:space="0" w:color="000000"/>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15.92%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18.32%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18.93%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18.88%</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Gross Profit</w:t>
            </w:r>
          </w:p>
        </w:tc>
        <w:tc>
          <w:tcPr>
            <w:tcW w:w="1272" w:type="pct"/>
            <w:vMerge w:val="continue"/>
            <w:tcBorders>
              <w:top w:val="single" w:sz="6" w:space="0" w:color="000000"/>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51,243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59,472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61,022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52,184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47,241</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Revenue</w:t>
            </w:r>
          </w:p>
        </w:tc>
        <w:tc>
          <w:tcPr>
            <w:tcW w:w="1272" w:type="pct"/>
            <w:vMerge w:val="continue"/>
            <w:tcBorders>
              <w:top w:val="single" w:sz="6" w:space="0" w:color="000000"/>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Profit Margin</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Income / Revenue)*100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2.14%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3.82%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7.20%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7.91%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8.04%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Net Income</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6,904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12,394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23,194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22,070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20,126</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Revenue</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Liquidity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Current Assets/Current </w:t>
            </w:r>
            <w:r>
              <w:rPr>
                <w:b/>
                <w:bCs/>
              </w:rPr>
              <w:t>Liabilities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Current Ratio</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1.22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Current Assets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247,865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245,231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239,644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224,159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200,347</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Current </w:t>
            </w:r>
            <w:r>
              <w:t>Liabilities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226,525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217,039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205,874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182,723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164,393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Cash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Cash and cash equivalents/current </w:t>
            </w:r>
            <w:r>
              <w:rPr>
                <w:b/>
                <w:bCs/>
              </w:rPr>
              <w:t>liabilities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cash and cash equivalents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40,296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43,522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29,738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39,123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33,432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current </w:t>
            </w:r>
            <w:r>
              <w:t>liabilities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226,525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217,039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205,874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182,723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164,393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Efficiency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(COGS/ Average Inventory)*times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Inventory Turnover Ratio</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COGS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270,671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265,184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261,262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226,866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202,959</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Average Inventory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56381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55160.5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52937.5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47999.5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43774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Asset Turnover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Sales/Average Total Assets)*365 days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183.97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192.18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202.06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186.44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178.07</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Net Sales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Average Total Assets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638686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616621.5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582175.5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546311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512861.5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Gearing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(Total Debt/Stakeholder Equity)</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Debt-to-Equity Ratio</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1.49</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Total Debt</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214887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219134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205427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203453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218062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Stakeholder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203054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196731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189186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178327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146154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Debt-to-Capital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Total Debt/(Total </w:t>
            </w:r>
            <w:r>
              <w:rPr>
                <w:b/>
                <w:bCs/>
              </w:rPr>
              <w:t>Debt Stakeholder</w:t>
            </w:r>
            <w:r>
              <w:rPr>
                <w:b/>
                <w:bCs/>
              </w:rPr>
              <w:t xml:space="preserve"> Equity)</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0.41</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Total Debt</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214887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219134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205427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203453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218062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Stakeholder Equity ( Short term </w:t>
            </w:r>
            <w:r>
              <w:t>debt long</w:t>
            </w:r>
            <w:r>
              <w:t xml:space="preserve"> term debt + shareholders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644467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632905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600338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564013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528609</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Investment Ratio</w:t>
            </w: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Return on Equity (ROE)</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Income/Stakeholder Equity*100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Net Income</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6,904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12,394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23,194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22,070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20,126</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Stakeholder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203054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196731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189186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178327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146154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Average stakeholder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199892.5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192958.5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183756.5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162240.5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137468.5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(Net Earnings/ </w:t>
            </w:r>
            <w:r>
              <w:rPr>
                <w:b/>
                <w:bCs/>
              </w:rPr>
              <w:t>Outstanding</w:t>
            </w:r>
            <w:r>
              <w:rPr>
                <w:b/>
                <w:bCs/>
              </w:rPr>
              <w:t xml:space="preserve"> Shares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Earning per Shares (EPS)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1.38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2.47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4.63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4.40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4.01</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Net Earnings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6,904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12,394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23,194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22,070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20,126</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Outstanding</w:t>
            </w:r>
            <w:r>
              <w:t xml:space="preserve"> </w:t>
            </w:r>
            <w:r>
              <w:t>Shares</w:t>
            </w:r>
            <w:r>
              <w:t xml:space="preserve">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Cash Ratio</w:t>
            </w: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pPr>
              <w:pStyle w:val="style0"/>
              <w:rPr>
                <w:b/>
                <w:bCs/>
              </w:rPr>
            </w:pPr>
            <w:r>
              <w:rPr>
                <w:b/>
                <w:bCs/>
              </w:rPr>
              <w:t>Operating Cash Flow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w:t>
            </w:r>
            <w:r>
              <w:rPr>
                <w:b/>
                <w:bCs/>
              </w:rPr>
              <w:t>Operating</w:t>
            </w:r>
            <w:r>
              <w:rPr>
                <w:b/>
                <w:bCs/>
              </w:rPr>
              <w:t xml:space="preserve"> cash Flow/ Current Liabilities)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Operating Cash Flow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17151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19356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28496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38633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Current Liabilities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226,525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217,039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205,874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182,723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164,393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Cash Flow Margin Ratio </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w:t>
            </w:r>
            <w:r>
              <w:rPr>
                <w:b/>
                <w:bCs/>
              </w:rPr>
              <w:t>Operating</w:t>
            </w:r>
            <w:r>
              <w:rPr>
                <w:b/>
                <w:bCs/>
              </w:rPr>
              <w:t xml:space="preserve"> cash Flow/ Net Sales)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Operating Cash Flow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17151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19356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28496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38633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Net Sales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bl>
    <w:p>
      <w:pPr>
        <w:pStyle w:val="style0"/>
        <w:rPr/>
      </w:pPr>
    </w:p>
    <w:p>
      <w:pPr>
        <w:pStyle w:val="style0"/>
        <w:rPr>
          <w:b/>
          <w:bCs/>
        </w:rPr>
      </w:pPr>
    </w:p>
    <w:bookmarkStart w:id="17" w:name="_742zq9z30ack" w:colFirst="0" w:colLast="0"/>
    <w:bookmarkEnd w:id="17"/>
    <w:p>
      <w:pPr>
        <w:pStyle w:val="style0"/>
        <w:rPr>
          <w:b/>
          <w:bCs/>
        </w:rPr>
      </w:pPr>
      <w:r>
        <w:br w:type="page"/>
      </w:r>
    </w:p>
    <w:bookmarkStart w:id="18" w:name="_Toc224584430"/>
    <w:p>
      <w:pPr>
        <w:pStyle w:val="style2"/>
        <w:rPr/>
      </w:pPr>
      <w:r>
        <w:t>Appendix 2: Calculation of Investment Appraisal</w:t>
      </w:r>
      <w:bookmarkEnd w:id="18"/>
      <w:r>
        <w:t xml:space="preserve"> </w:t>
      </w:r>
    </w:p>
    <w:p>
      <w:pPr>
        <w:pStyle w:val="style0"/>
        <w:rPr>
          <w:b/>
          <w:bCs/>
        </w:rPr>
      </w:pPr>
      <w:r>
        <w:rPr>
          <w:b/>
          <w:bCs/>
        </w:rPr>
        <w:t xml:space="preserve">Project A </w:t>
      </w:r>
    </w:p>
    <w:tbl>
      <w:tblPr>
        <w:tblW w:w="5000" w:type="pct"/>
        <w:tblCellMar>
          <w:left w:w="0" w:type="dxa"/>
          <w:right w:w="0" w:type="dxa"/>
        </w:tblCellMar>
        <w:tblLook w:val="04A0" w:firstRow="1" w:lastRow="0" w:firstColumn="1" w:lastColumn="0" w:noHBand="0" w:noVBand="1"/>
      </w:tblPr>
      <w:tblGrid>
        <w:gridCol w:w="3430"/>
        <w:gridCol w:w="2113"/>
        <w:gridCol w:w="2071"/>
        <w:gridCol w:w="1399"/>
      </w:tblGrid>
      <w:tr>
        <w:trPr>
          <w:trHeight w:val="300" w:hRule="atLeast"/>
        </w:trPr>
        <w:tc>
          <w:tcPr>
            <w:tcW w:w="5000" w:type="pct"/>
            <w:gridSpan w:val="4"/>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jc w:val="center"/>
              <w:rPr>
                <w:b/>
                <w:bCs/>
              </w:rPr>
            </w:pPr>
            <w:r>
              <w:rPr>
                <w:b/>
                <w:bCs/>
              </w:rPr>
              <w:t>Projects A</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in £ (M)</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Discount value (10%) £ (M)</w:t>
            </w:r>
          </w:p>
        </w:tc>
        <w:tc>
          <w:tcPr>
            <w:tcW w:w="776"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pPr>
            <w:r>
              <w:t>Present value £ (M)</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0.91</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9.09</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9.92</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0.75</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10.52</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0.68</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6.83</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0.62</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4.97</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NPV </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-8.68</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IRR </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r>
      <w:tr>
        <w:tblPrEx/>
        <w:trPr>
          <w:trHeight w:val="300" w:hRule="atLeast"/>
        </w:trPr>
        <w:tc>
          <w:tcPr>
            <w:tcW w:w="190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 (M)</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Cumulative cash flow £ (M)</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PBP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4th year </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0.5</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4th year 6 month</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07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Profitability Index </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PI( Present value of cash inflows / </w:t>
            </w:r>
            <w:r>
              <w:t>initial</w:t>
            </w:r>
            <w:r>
              <w:t xml:space="preserve"> investment )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0.8264835363</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Present Value of cash inflows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41.32</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Initial investment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07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Accounting rate of return </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A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inflows £ (M)</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cash inflows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10.8</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Particulars</w:t>
            </w:r>
            <w:r>
              <w:t xml:space="preserve">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 (M)straight line to Zero </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Depreciation ( initial </w:t>
            </w:r>
            <w:r>
              <w:t>investment</w:t>
            </w:r>
            <w:r>
              <w:t xml:space="preserve">/ rate )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w:t>
            </w:r>
            <w:r>
              <w:t>accounting</w:t>
            </w:r>
            <w:r>
              <w:t xml:space="preserve"> profit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value £ (M)</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A (10.8-10)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ARR for </w:t>
            </w:r>
            <w:r>
              <w:t>project</w:t>
            </w:r>
            <w:r>
              <w:t xml:space="preserve"> A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bl>
    <w:p>
      <w:pPr>
        <w:pStyle w:val="style0"/>
        <w:rPr>
          <w:b/>
          <w:bCs/>
        </w:rPr>
      </w:pPr>
    </w:p>
    <w:p>
      <w:pPr>
        <w:pStyle w:val="style0"/>
        <w:rPr>
          <w:b/>
          <w:bCs/>
        </w:rPr>
      </w:pPr>
      <w:r>
        <w:rPr>
          <w:b/>
          <w:bCs/>
        </w:rPr>
        <w:br w:type="page"/>
      </w:r>
    </w:p>
    <w:p>
      <w:pPr>
        <w:pStyle w:val="style0"/>
        <w:rPr>
          <w:b/>
          <w:bCs/>
        </w:rPr>
      </w:pPr>
      <w:r>
        <w:rPr>
          <w:b/>
          <w:bCs/>
        </w:rPr>
        <w:t>Project B</w:t>
      </w:r>
    </w:p>
    <w:tbl>
      <w:tblPr>
        <w:tblW w:w="5000" w:type="pct"/>
        <w:jc w:val="center"/>
        <w:tblCellMar>
          <w:left w:w="0" w:type="dxa"/>
          <w:right w:w="0" w:type="dxa"/>
        </w:tblCellMar>
        <w:tblLook w:val="04A0" w:firstRow="1" w:lastRow="0" w:firstColumn="1" w:lastColumn="0" w:noHBand="0" w:noVBand="1"/>
      </w:tblPr>
      <w:tblGrid>
        <w:gridCol w:w="3778"/>
        <w:gridCol w:w="1745"/>
        <w:gridCol w:w="2068"/>
        <w:gridCol w:w="1422"/>
      </w:tblGrid>
      <w:tr>
        <w:trPr>
          <w:trHeight w:val="300" w:hRule="atLeast"/>
          <w:jc w:val="center"/>
        </w:trPr>
        <w:tc>
          <w:tcPr>
            <w:tcW w:w="5000" w:type="pct"/>
            <w:gridSpan w:val="4"/>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Projects B </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in £ (M)</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Discount value (10%) </w:t>
            </w:r>
          </w:p>
        </w:tc>
        <w:tc>
          <w:tcPr>
            <w:tcW w:w="789"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pPr>
            <w:r>
              <w:t>Present value £ (M)</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0.91</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9.09</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0.75</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8.26</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0.68</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7.51</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0.62</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6.83</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NPV </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-8.30</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IRR </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r>
      <w:tr>
        <w:tblPrEx/>
        <w:trPr>
          <w:trHeight w:val="300" w:hRule="atLeast"/>
          <w:jc w:val="center"/>
        </w:trPr>
        <w:tc>
          <w:tcPr>
            <w:tcW w:w="209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 (M)</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Cumulative cash flow £ (M)</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-39.00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PBP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4th year </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0.55</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4th year 7 month</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7</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306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Profitability Index </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PI( Present value of cash inflows / </w:t>
            </w:r>
            <w:r>
              <w:t>initial</w:t>
            </w:r>
            <w:r>
              <w:t xml:space="preserve"> investment ) £ (M)</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Present Value of cash inflows £ (M)</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41.70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Initial investment £ (M)</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306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Accounting rate of return </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Project B</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inflows £ (M)</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cash inflows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Particulars</w:t>
            </w:r>
            <w:r>
              <w:t xml:space="preserve">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 (M) straight line to Zero </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Depreciation ( initial </w:t>
            </w:r>
            <w:r>
              <w:t>investment</w:t>
            </w:r>
            <w:r>
              <w:t xml:space="preserve">/ rate )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w:t>
            </w:r>
            <w:r>
              <w:t>accounting</w:t>
            </w:r>
            <w:r>
              <w:t xml:space="preserve"> profit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value £ (M)</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B (10.8-10)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ARR for </w:t>
            </w:r>
            <w:r>
              <w:t>project</w:t>
            </w:r>
            <w:r>
              <w:t xml:space="preserve"> B</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bl>
    <w:p>
      <w:pPr>
        <w:pStyle w:val="style0"/>
        <w:rPr/>
      </w:pPr>
    </w:p>
    <w:p>
      <w:pPr>
        <w:pStyle w:val="style0"/>
        <w:rPr/>
      </w:pPr>
      <w:r>
        <w:br w:type="page"/>
      </w:r>
    </w:p>
    <w:p>
      <w:pPr>
        <w:pStyle w:val="style0"/>
        <w:rPr>
          <w:b/>
          <w:bCs/>
        </w:rPr>
      </w:pPr>
      <w:r>
        <w:rPr>
          <w:b/>
          <w:bCs/>
        </w:rPr>
        <w:t>Project C</w:t>
      </w:r>
    </w:p>
    <w:tbl>
      <w:tblPr>
        <w:tblW w:w="5000" w:type="pct"/>
        <w:tblCellMar>
          <w:left w:w="0" w:type="dxa"/>
          <w:right w:w="0" w:type="dxa"/>
        </w:tblCellMar>
        <w:tblLook w:val="04A0" w:firstRow="1" w:lastRow="0" w:firstColumn="1" w:lastColumn="0" w:noHBand="0" w:noVBand="1"/>
      </w:tblPr>
      <w:tblGrid>
        <w:gridCol w:w="3575"/>
        <w:gridCol w:w="2075"/>
        <w:gridCol w:w="1995"/>
        <w:gridCol w:w="1368"/>
      </w:tblGrid>
      <w:tr>
        <w:trPr>
          <w:trHeight w:val="300" w:hRule="atLeast"/>
        </w:trPr>
        <w:tc>
          <w:tcPr>
            <w:tcW w:w="5000" w:type="pct"/>
            <w:gridSpan w:val="4"/>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Projects C</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in £ (M)</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Discount value (10%) </w:t>
            </w:r>
          </w:p>
        </w:tc>
        <w:tc>
          <w:tcPr>
            <w:tcW w:w="760"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pPr>
            <w:r>
              <w:t>Present value £ (M)</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0.91</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4.55</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8.26</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0.75</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15.03</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0.68</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17.08</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0.62</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3.10</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NPV </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-1.98</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IRR </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w:t>
            </w:r>
          </w:p>
        </w:tc>
      </w:tr>
      <w:tr>
        <w:tblPrEx/>
        <w:trPr>
          <w:trHeight w:val="300" w:hRule="atLeast"/>
        </w:trPr>
        <w:tc>
          <w:tcPr>
            <w:tcW w:w="198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 (M)</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Cumulative cash flow £ (M)</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PBP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3rd year </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3rd year month</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7.2</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133"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Profitability Index </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PI( Present value of cash inflows / </w:t>
            </w:r>
            <w:r>
              <w:t>initial</w:t>
            </w:r>
            <w:r>
              <w:t xml:space="preserve"> investment ) £ (M)</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0.9603231275</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Present Value of cash inflows £ (M)</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48.02</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Initial investment £ (M)</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133"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Accounting rate of return </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Project C</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inflows £ (M)</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cash inflows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13</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Particulars</w:t>
            </w:r>
            <w:r>
              <w:t xml:space="preserve">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 (M)straight line to Zero </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Depreciation ( initial </w:t>
            </w:r>
            <w:r>
              <w:t>investment</w:t>
            </w:r>
            <w:r>
              <w:t xml:space="preserve">/ rate )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w:t>
            </w:r>
            <w:r>
              <w:t>accounting</w:t>
            </w:r>
            <w:r>
              <w:t xml:space="preserve"> profit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value £ (M)</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C (10.8-10)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ARR for </w:t>
            </w:r>
            <w:r>
              <w:t>project</w:t>
            </w:r>
            <w:r>
              <w:t xml:space="preserve"> C</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bl>
    <w:p>
      <w:pPr>
        <w:pStyle w:val="style0"/>
        <w:rPr/>
      </w:pPr>
    </w:p>
    <w:sectPr>
      <w:footerReference w:type="default" r:id="rId22"/>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E88D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54A24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BCACA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6E229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hybridMultilevel"/>
    <w:tmpl w:val="622000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00000005"/>
    <w:multiLevelType w:val="multilevel"/>
    <w:tmpl w:val="4AC0F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EEE0D0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multilevel"/>
    <w:tmpl w:val="260A8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multilevel"/>
    <w:tmpl w:val="97EE2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9"/>
    <w:multiLevelType w:val="multilevel"/>
    <w:tmpl w:val="3BFC7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A"/>
    <w:multiLevelType w:val="multilevel"/>
    <w:tmpl w:val="DFD0AC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9"/>
  </w:num>
  <w:num w:numId="3">
    <w:abstractNumId w:val="7"/>
  </w:num>
  <w:num w:numId="4">
    <w:abstractNumId w:val="0"/>
  </w:num>
  <w:num w:numId="5">
    <w:abstractNumId w:val="1"/>
  </w:num>
  <w:num w:numId="6">
    <w:abstractNumId w:val="8"/>
  </w:num>
  <w:num w:numId="7">
    <w:abstractNumId w:val="5"/>
  </w:num>
  <w:num w:numId="8">
    <w:abstractNumId w:val="3"/>
  </w:num>
  <w:num w:numId="9">
    <w:abstractNumId w:val="10"/>
  </w:num>
  <w:num w:numId="10">
    <w:abstractNumId w:val="2"/>
  </w:num>
  <w:num w:numId="11">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val="en-GB" w:bidi="ar-SA" w:eastAsia="en-IN"/>
      </w:rPr>
    </w:rPrDefault>
    <w:pPrDefault>
      <w:pPr>
        <w:spacing w:before="200" w:after="200"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bCs/>
    </w:rPr>
  </w:style>
  <w:style w:type="paragraph" w:styleId="style2">
    <w:name w:val="heading 2"/>
    <w:basedOn w:val="style0"/>
    <w:next w:val="style0"/>
    <w:qFormat/>
    <w:uiPriority w:val="9"/>
    <w:pPr>
      <w:keepNext/>
      <w:keepLines/>
      <w:outlineLvl w:val="1"/>
    </w:pPr>
    <w:rPr>
      <w:b/>
      <w:bCs/>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0" w:after="60"/>
    </w:pPr>
    <w:rPr>
      <w:sz w:val="52"/>
      <w:szCs w:val="52"/>
    </w:rPr>
  </w:style>
  <w:style w:type="paragraph" w:styleId="style74">
    <w:name w:val="Subtitle"/>
    <w:basedOn w:val="style0"/>
    <w:next w:val="style0"/>
    <w:qFormat/>
    <w:uiPriority w:val="11"/>
    <w:pPr>
      <w:keepNext/>
      <w:keepLines/>
      <w:spacing w:before="0" w:after="320"/>
    </w:pPr>
    <w:rPr>
      <w:color w:val="666666"/>
      <w:sz w:val="30"/>
      <w:szCs w:val="30"/>
    </w:rPr>
  </w:style>
  <w:style w:type="paragraph" w:styleId="style30">
    <w:name w:val="annotation text"/>
    <w:basedOn w:val="style0"/>
    <w:next w:val="style30"/>
    <w:link w:val="style4098"/>
    <w:uiPriority w:val="99"/>
    <w:pPr>
      <w:spacing w:lineRule="auto" w:line="240"/>
    </w:pPr>
    <w:rPr>
      <w:sz w:val="20"/>
      <w:szCs w:val="20"/>
    </w:rPr>
  </w:style>
  <w:style w:type="character" w:customStyle="1" w:styleId="style4098">
    <w:name w:val="Comment Text Char"/>
    <w:basedOn w:val="style65"/>
    <w:next w:val="style4098"/>
    <w:link w:val="style30"/>
    <w:uiPriority w:val="99"/>
    <w:rPr>
      <w:sz w:val="20"/>
      <w:szCs w:val="20"/>
    </w:rPr>
  </w:style>
  <w:style w:type="character" w:styleId="style39">
    <w:name w:val="annotation reference"/>
    <w:basedOn w:val="style65"/>
    <w:next w:val="style39"/>
    <w:uiPriority w:val="99"/>
    <w:rPr>
      <w:sz w:val="16"/>
      <w:szCs w:val="16"/>
    </w:rPr>
  </w:style>
  <w:style w:type="paragraph" w:styleId="style31">
    <w:name w:val="header"/>
    <w:basedOn w:val="style0"/>
    <w:next w:val="style31"/>
    <w:link w:val="style4099"/>
    <w:uiPriority w:val="99"/>
    <w:pPr>
      <w:tabs>
        <w:tab w:val="center" w:leader="none" w:pos="4513"/>
        <w:tab w:val="right" w:leader="none" w:pos="9026"/>
      </w:tabs>
      <w:spacing w:before="0" w:after="0" w:lineRule="auto" w:line="240"/>
    </w:pPr>
    <w:rPr/>
  </w:style>
  <w:style w:type="character" w:customStyle="1" w:styleId="style4099">
    <w:name w:val="Header Char_6bed0537-fae2-4ec3-abbf-d53eb5194d8a"/>
    <w:basedOn w:val="style65"/>
    <w:next w:val="style4099"/>
    <w:link w:val="style31"/>
    <w:uiPriority w:val="99"/>
  </w:style>
  <w:style w:type="paragraph" w:styleId="style32">
    <w:name w:val="footer"/>
    <w:basedOn w:val="style0"/>
    <w:next w:val="style32"/>
    <w:link w:val="style4100"/>
    <w:uiPriority w:val="99"/>
    <w:pPr>
      <w:tabs>
        <w:tab w:val="center" w:leader="none" w:pos="4513"/>
        <w:tab w:val="right" w:leader="none" w:pos="9026"/>
      </w:tabs>
      <w:spacing w:before="0" w:after="0" w:lineRule="auto" w:line="240"/>
    </w:pPr>
    <w:rPr/>
  </w:style>
  <w:style w:type="character" w:customStyle="1" w:styleId="style4100">
    <w:name w:val="Footer Char_5897f318-8023-48b5-9493-957f67f0957c"/>
    <w:basedOn w:val="style65"/>
    <w:next w:val="style4100"/>
    <w:link w:val="style32"/>
    <w:uiPriority w:val="99"/>
  </w:style>
  <w:style w:type="paragraph" w:styleId="style179">
    <w:name w:val="List Paragraph"/>
    <w:basedOn w:val="style0"/>
    <w:next w:val="style179"/>
    <w:qFormat/>
    <w:uiPriority w:val="34"/>
    <w:pPr>
      <w:ind w:left="720"/>
      <w:contextualSpacing/>
    </w:pPr>
    <w:rPr/>
  </w:style>
  <w:style w:type="character" w:styleId="style85">
    <w:name w:val="Hyperlink"/>
    <w:basedOn w:val="style65"/>
    <w:next w:val="style85"/>
    <w:uiPriority w:val="99"/>
    <w:rPr>
      <w:color w:val="0000ff"/>
      <w:u w:val="single"/>
    </w:rPr>
  </w:style>
  <w:style w:type="character" w:customStyle="1" w:styleId="style4101">
    <w:name w:val="Unresolved Mention"/>
    <w:basedOn w:val="style65"/>
    <w:next w:val="style4101"/>
    <w:uiPriority w:val="99"/>
    <w:rPr>
      <w:color w:val="605e5c"/>
      <w:shd w:val="clear" w:color="auto" w:fill="e1dfdd"/>
    </w:rPr>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val="false"/>
      <w:bCs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20" Type="http://schemas.openxmlformats.org/officeDocument/2006/relationships/image" Target="media/image19.png"/><Relationship Id="rId22" Type="http://schemas.openxmlformats.org/officeDocument/2006/relationships/footer" Target="footer1.xml"/><Relationship Id="rId21" Type="http://schemas.openxmlformats.org/officeDocument/2006/relationships/image" Target="media/image20.png"/><Relationship Id="rId24" Type="http://schemas.openxmlformats.org/officeDocument/2006/relationships/fontTable" Target="fontTable.xml"/><Relationship Id="rId23"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26" Type="http://schemas.openxmlformats.org/officeDocument/2006/relationships/theme" Target="theme/theme1.xml"/><Relationship Id="rId25" Type="http://schemas.openxmlformats.org/officeDocument/2006/relationships/settings" Target="settings.xml"/><Relationship Id="rId27"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19" Type="http://schemas.openxmlformats.org/officeDocument/2006/relationships/image" Target="media/image18.png"/><Relationship Id="rId1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0FD6C-70AD-4670-9BF7-DD5B4B53A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6896</Words>
  <Pages>52</Pages>
  <Characters>38647</Characters>
  <Application>WPS Office</Application>
  <DocSecurity>0</DocSecurity>
  <Paragraphs>1393</Paragraphs>
  <ScaleCrop>false</ScaleCrop>
  <LinksUpToDate>false</LinksUpToDate>
  <CharactersWithSpaces>44980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2026-03-27T09:05:00Z</dcterms:created>
  <dc:creator>Work Station</dc:creator>
  <lastModifiedBy>CPH2527</lastModifiedBy>
  <dcterms:modified xsi:type="dcterms:W3CDTF">2026-04-05T09:02:40Z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94e148b46f7e41ddb56bb71a09bf50ae</vt:lpwstr>
  </property>
</Properties>
</file>