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61463A" w14:textId="77777777" w:rsidR="00D51046" w:rsidRPr="002A2195" w:rsidRDefault="00F76360" w:rsidP="002A2195">
      <w:pPr>
        <w:pStyle w:val="Normal1"/>
        <w:rPr>
          <w:lang w:val="en-GB"/>
        </w:rPr>
      </w:pPr>
      <w:r w:rsidRPr="002A2195">
        <w:rPr>
          <w:noProof/>
        </w:rPr>
        <w:drawing>
          <wp:inline distT="0" distB="0" distL="0" distR="0" wp14:anchorId="553F5865" wp14:editId="7A2EFE7E">
            <wp:extent cx="2967947" cy="1292732"/>
            <wp:effectExtent l="0" t="0" r="0" b="0"/>
            <wp:docPr id="5"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2967947" cy="1292732"/>
                    </a:xfrm>
                    <a:prstGeom prst="rect">
                      <a:avLst/>
                    </a:prstGeom>
                  </pic:spPr>
                </pic:pic>
              </a:graphicData>
            </a:graphic>
          </wp:inline>
        </w:drawing>
      </w:r>
    </w:p>
    <w:p w14:paraId="10D89A75" w14:textId="64E45E84" w:rsidR="00F76360" w:rsidRPr="00FA5DB9" w:rsidRDefault="00FA5DB9" w:rsidP="00FA5DB9">
      <w:pPr>
        <w:widowControl w:val="0"/>
        <w:autoSpaceDE w:val="0"/>
        <w:autoSpaceDN w:val="0"/>
        <w:jc w:val="center"/>
        <w:rPr>
          <w:rFonts w:eastAsia="Arial MT"/>
          <w:b/>
          <w:lang w:val="en-GB"/>
        </w:rPr>
      </w:pPr>
      <w:r w:rsidRPr="00FA5DB9">
        <w:rPr>
          <w:rFonts w:eastAsia="Arial MT"/>
          <w:b/>
          <w:lang w:val="en-GB"/>
        </w:rPr>
        <w:t xml:space="preserve">Student Name: </w:t>
      </w:r>
      <w:r w:rsidR="001A4436">
        <w:rPr>
          <w:rFonts w:eastAsia="Arial MT"/>
          <w:b/>
          <w:lang w:val="en-GB"/>
        </w:rPr>
        <w:t>Persima Barreto</w:t>
      </w:r>
    </w:p>
    <w:p w14:paraId="7DB7562A" w14:textId="26C32C6F" w:rsidR="00FA5DB9" w:rsidRDefault="00FA5DB9" w:rsidP="00FA5DB9">
      <w:pPr>
        <w:widowControl w:val="0"/>
        <w:autoSpaceDE w:val="0"/>
        <w:autoSpaceDN w:val="0"/>
        <w:jc w:val="center"/>
        <w:rPr>
          <w:rFonts w:eastAsia="Arial MT"/>
          <w:b/>
          <w:lang w:val="en-GB"/>
        </w:rPr>
      </w:pPr>
      <w:r w:rsidRPr="00FA5DB9">
        <w:rPr>
          <w:rFonts w:eastAsia="Arial MT"/>
          <w:b/>
          <w:lang w:val="en-GB"/>
        </w:rPr>
        <w:t>Student ID:</w:t>
      </w:r>
      <w:r w:rsidR="005F35AA">
        <w:rPr>
          <w:rFonts w:eastAsia="Arial MT"/>
          <w:b/>
          <w:lang w:val="en-GB"/>
        </w:rPr>
        <w:t>2243324</w:t>
      </w:r>
    </w:p>
    <w:p w14:paraId="2B47D9DA" w14:textId="77777777" w:rsidR="00FA5DB9" w:rsidRPr="00FA5DB9" w:rsidRDefault="00FA5DB9" w:rsidP="00FA5DB9">
      <w:pPr>
        <w:widowControl w:val="0"/>
        <w:autoSpaceDE w:val="0"/>
        <w:autoSpaceDN w:val="0"/>
        <w:jc w:val="center"/>
        <w:rPr>
          <w:rFonts w:eastAsia="Arial MT"/>
          <w:b/>
          <w:lang w:val="en-GB"/>
        </w:rPr>
      </w:pPr>
    </w:p>
    <w:p w14:paraId="510D9A68" w14:textId="6F7F2BA0" w:rsidR="00F76360" w:rsidRPr="00FA5DB9" w:rsidRDefault="00FA5DB9" w:rsidP="00FA5DB9">
      <w:pPr>
        <w:widowControl w:val="0"/>
        <w:autoSpaceDE w:val="0"/>
        <w:autoSpaceDN w:val="0"/>
        <w:jc w:val="center"/>
        <w:rPr>
          <w:rFonts w:eastAsia="Arial MT"/>
          <w:b/>
          <w:sz w:val="28"/>
          <w:szCs w:val="28"/>
          <w:lang w:val="en-GB"/>
        </w:rPr>
      </w:pPr>
      <w:r w:rsidRPr="00FA5DB9">
        <w:rPr>
          <w:rFonts w:eastAsia="Arial MT"/>
          <w:b/>
          <w:sz w:val="28"/>
          <w:szCs w:val="28"/>
          <w:lang w:val="en-GB"/>
        </w:rPr>
        <w:t>Module Title: F</w:t>
      </w:r>
      <w:r w:rsidR="00F76360" w:rsidRPr="00FA5DB9">
        <w:rPr>
          <w:rFonts w:eastAsia="Arial MT"/>
          <w:b/>
          <w:sz w:val="28"/>
          <w:szCs w:val="28"/>
          <w:lang w:val="en-GB"/>
        </w:rPr>
        <w:t xml:space="preserve">inancial Management for the Hotel </w:t>
      </w:r>
      <w:r w:rsidR="00F76360" w:rsidRPr="00FA5DB9">
        <w:rPr>
          <w:rFonts w:eastAsia="Arial MT"/>
          <w:b/>
          <w:spacing w:val="-2"/>
          <w:sz w:val="28"/>
          <w:szCs w:val="28"/>
          <w:lang w:val="en-GB"/>
        </w:rPr>
        <w:t>Industry</w:t>
      </w:r>
    </w:p>
    <w:p w14:paraId="751AFB5A" w14:textId="5621809A" w:rsidR="00F76360" w:rsidRPr="00A25EF6" w:rsidRDefault="00FA5DB9" w:rsidP="00A25EF6">
      <w:pPr>
        <w:widowControl w:val="0"/>
        <w:autoSpaceDE w:val="0"/>
        <w:autoSpaceDN w:val="0"/>
        <w:spacing w:before="219"/>
        <w:ind w:right="222"/>
        <w:jc w:val="center"/>
        <w:rPr>
          <w:rFonts w:eastAsia="Arial MT"/>
          <w:b/>
          <w:sz w:val="32"/>
          <w:szCs w:val="32"/>
          <w:lang w:val="en-GB"/>
        </w:rPr>
      </w:pPr>
      <w:r w:rsidRPr="00FA5DB9">
        <w:rPr>
          <w:rFonts w:eastAsia="Arial MT"/>
          <w:b/>
          <w:spacing w:val="-2"/>
          <w:sz w:val="28"/>
          <w:szCs w:val="28"/>
          <w:lang w:val="en-GB"/>
        </w:rPr>
        <w:t>Module Code: BMIH5007</w:t>
      </w:r>
    </w:p>
    <w:p w14:paraId="463A0EFE" w14:textId="479DE753" w:rsidR="00604B6A" w:rsidRDefault="00604B6A" w:rsidP="00FA5DB9">
      <w:pPr>
        <w:widowControl w:val="0"/>
        <w:autoSpaceDE w:val="0"/>
        <w:autoSpaceDN w:val="0"/>
        <w:spacing w:before="219"/>
        <w:ind w:right="222"/>
        <w:jc w:val="center"/>
        <w:rPr>
          <w:rFonts w:eastAsia="Arial MT"/>
          <w:b/>
          <w:sz w:val="32"/>
          <w:szCs w:val="32"/>
          <w:lang w:val="en-GB"/>
        </w:rPr>
      </w:pPr>
      <w:r>
        <w:rPr>
          <w:rFonts w:eastAsia="Arial MT"/>
          <w:b/>
          <w:sz w:val="32"/>
          <w:szCs w:val="32"/>
          <w:lang w:val="en-GB"/>
        </w:rPr>
        <w:t>Lecturer: Tristan Hawkins</w:t>
      </w:r>
    </w:p>
    <w:p w14:paraId="1E14179F" w14:textId="666B877F" w:rsidR="00FA5DB9" w:rsidRDefault="002C6D1B" w:rsidP="00FA5DB9">
      <w:pPr>
        <w:widowControl w:val="0"/>
        <w:autoSpaceDE w:val="0"/>
        <w:autoSpaceDN w:val="0"/>
        <w:spacing w:before="219"/>
        <w:ind w:right="222"/>
        <w:jc w:val="center"/>
        <w:rPr>
          <w:rFonts w:eastAsia="Arial MT"/>
          <w:b/>
          <w:sz w:val="32"/>
          <w:szCs w:val="32"/>
          <w:lang w:val="en-GB"/>
        </w:rPr>
      </w:pPr>
      <w:r>
        <w:rPr>
          <w:rFonts w:eastAsia="Arial MT"/>
          <w:b/>
          <w:sz w:val="32"/>
          <w:szCs w:val="32"/>
          <w:lang w:val="en-GB"/>
        </w:rPr>
        <w:t>Word count:2085</w:t>
      </w:r>
    </w:p>
    <w:p w14:paraId="0208CE99" w14:textId="77777777" w:rsidR="00FA5DB9" w:rsidRDefault="00FA5DB9" w:rsidP="00FA5DB9">
      <w:pPr>
        <w:widowControl w:val="0"/>
        <w:autoSpaceDE w:val="0"/>
        <w:autoSpaceDN w:val="0"/>
        <w:spacing w:before="219"/>
        <w:ind w:right="222"/>
        <w:jc w:val="center"/>
        <w:rPr>
          <w:rFonts w:eastAsia="Arial MT"/>
          <w:b/>
          <w:sz w:val="32"/>
          <w:szCs w:val="32"/>
          <w:lang w:val="en-GB"/>
        </w:rPr>
      </w:pPr>
    </w:p>
    <w:p w14:paraId="01B6C242" w14:textId="03DAF57F" w:rsidR="00FA5DB9" w:rsidRDefault="00FA5DB9" w:rsidP="00FA5DB9">
      <w:pPr>
        <w:widowControl w:val="0"/>
        <w:autoSpaceDE w:val="0"/>
        <w:autoSpaceDN w:val="0"/>
        <w:spacing w:before="219"/>
        <w:ind w:right="222"/>
        <w:jc w:val="center"/>
        <w:rPr>
          <w:rFonts w:eastAsia="Arial MT"/>
          <w:b/>
          <w:sz w:val="32"/>
          <w:szCs w:val="32"/>
          <w:lang w:val="en-GB"/>
        </w:rPr>
      </w:pPr>
      <w:r w:rsidRPr="00FA5DB9">
        <w:rPr>
          <w:rFonts w:eastAsia="Arial MT"/>
          <w:b/>
          <w:sz w:val="32"/>
          <w:szCs w:val="32"/>
          <w:lang w:val="en-GB"/>
        </w:rPr>
        <w:t xml:space="preserve">Assignment Title: </w:t>
      </w:r>
    </w:p>
    <w:p w14:paraId="1B268992" w14:textId="65A8399A" w:rsidR="00FA5DB9" w:rsidRPr="00FA5DB9" w:rsidRDefault="00FA5DB9" w:rsidP="00FA5DB9">
      <w:pPr>
        <w:widowControl w:val="0"/>
        <w:autoSpaceDE w:val="0"/>
        <w:autoSpaceDN w:val="0"/>
        <w:spacing w:before="219"/>
        <w:ind w:right="222"/>
        <w:jc w:val="center"/>
        <w:rPr>
          <w:rFonts w:eastAsia="Arial MT"/>
          <w:b/>
          <w:sz w:val="32"/>
          <w:szCs w:val="32"/>
          <w:lang w:val="en-GB"/>
        </w:rPr>
      </w:pPr>
      <w:r w:rsidRPr="00FA5DB9">
        <w:rPr>
          <w:rFonts w:eastAsia="Arial MT"/>
          <w:b/>
          <w:sz w:val="32"/>
          <w:szCs w:val="32"/>
          <w:lang w:val="en-GB"/>
        </w:rPr>
        <w:t>Report Case Study: The City Hotel</w:t>
      </w:r>
    </w:p>
    <w:p w14:paraId="50E57BC5" w14:textId="77777777" w:rsidR="00FA5DB9" w:rsidRDefault="00FA5DB9" w:rsidP="00FA5DB9">
      <w:pPr>
        <w:widowControl w:val="0"/>
        <w:autoSpaceDE w:val="0"/>
        <w:autoSpaceDN w:val="0"/>
        <w:spacing w:before="219"/>
        <w:ind w:right="222"/>
        <w:jc w:val="center"/>
        <w:rPr>
          <w:rFonts w:eastAsia="Arial MT"/>
          <w:b/>
          <w:sz w:val="32"/>
          <w:szCs w:val="32"/>
          <w:lang w:val="en-GB"/>
        </w:rPr>
      </w:pPr>
    </w:p>
    <w:p w14:paraId="43C3EE97" w14:textId="39B305C0" w:rsidR="00FA5DB9" w:rsidRPr="00FA5DB9" w:rsidRDefault="00FA5DB9" w:rsidP="00F91E4A">
      <w:pPr>
        <w:widowControl w:val="0"/>
        <w:autoSpaceDE w:val="0"/>
        <w:autoSpaceDN w:val="0"/>
        <w:spacing w:before="219"/>
        <w:ind w:right="222"/>
        <w:rPr>
          <w:rFonts w:eastAsia="Arial MT"/>
          <w:b/>
          <w:lang w:val="en-GB"/>
        </w:rPr>
      </w:pPr>
    </w:p>
    <w:p w14:paraId="58C6AD9F" w14:textId="0E16D2E9" w:rsidR="00944CCC" w:rsidRPr="00FA5DB9" w:rsidRDefault="00944CCC" w:rsidP="00FA5DB9">
      <w:pPr>
        <w:rPr>
          <w:lang w:val="en-GB"/>
        </w:rPr>
      </w:pPr>
      <w:r w:rsidRPr="002A2195">
        <w:rPr>
          <w:b/>
          <w:sz w:val="32"/>
          <w:szCs w:val="32"/>
          <w:lang w:val="en-GB"/>
        </w:rPr>
        <w:br w:type="page"/>
      </w:r>
    </w:p>
    <w:p w14:paraId="6688DCD6" w14:textId="77777777" w:rsidR="00E6593E" w:rsidRPr="00E6593E" w:rsidRDefault="00E6593E" w:rsidP="00E6593E">
      <w:pPr>
        <w:widowControl w:val="0"/>
        <w:autoSpaceDE w:val="0"/>
        <w:autoSpaceDN w:val="0"/>
        <w:jc w:val="left"/>
        <w:rPr>
          <w:rFonts w:eastAsia="Arial MT"/>
          <w:b/>
          <w:lang w:val="en-GB"/>
        </w:rPr>
      </w:pPr>
      <w:r w:rsidRPr="00E6593E">
        <w:rPr>
          <w:rFonts w:eastAsia="Arial MT"/>
          <w:b/>
          <w:lang w:val="en-GB"/>
        </w:rPr>
        <w:t>AI Acknowledgement</w:t>
      </w:r>
    </w:p>
    <w:p w14:paraId="014597AE" w14:textId="28F5462C" w:rsidR="00E6593E" w:rsidRPr="00E6593E" w:rsidRDefault="00E6593E" w:rsidP="00E6593E">
      <w:pPr>
        <w:widowControl w:val="0"/>
        <w:autoSpaceDE w:val="0"/>
        <w:autoSpaceDN w:val="0"/>
        <w:rPr>
          <w:rFonts w:eastAsia="Arial MT"/>
          <w:bCs/>
          <w:lang w:val="en-GB"/>
        </w:rPr>
      </w:pPr>
      <w:r w:rsidRPr="00E6593E">
        <w:rPr>
          <w:rFonts w:eastAsia="Arial MT"/>
          <w:bCs/>
          <w:lang w:val="en-GB"/>
        </w:rPr>
        <w:t>I confirm that I have not used any AI tools in the research and creation of this assignment and have not presented any AI-generated materials as my own work. I confirm that I have copies of my drafts, notes, and other resources I used, which I may be asked to provide in evidence.</w:t>
      </w:r>
    </w:p>
    <w:p w14:paraId="4523F310" w14:textId="12F57443" w:rsidR="00E6593E" w:rsidRPr="00E6593E" w:rsidRDefault="00E6593E" w:rsidP="00E6593E">
      <w:pPr>
        <w:rPr>
          <w:rFonts w:eastAsia="Arial MT"/>
          <w:bCs/>
          <w:sz w:val="32"/>
          <w:szCs w:val="32"/>
          <w:lang w:val="en-GB"/>
        </w:rPr>
      </w:pPr>
      <w:r w:rsidRPr="00E6593E">
        <w:rPr>
          <w:rFonts w:eastAsia="Arial MT"/>
          <w:bCs/>
          <w:sz w:val="32"/>
          <w:szCs w:val="32"/>
          <w:lang w:val="en-GB"/>
        </w:rPr>
        <w:br w:type="page"/>
      </w:r>
    </w:p>
    <w:p w14:paraId="58FF889F" w14:textId="65D8B1A5" w:rsidR="00944CCC" w:rsidRPr="002A2195" w:rsidRDefault="00944CCC" w:rsidP="002A2195">
      <w:pPr>
        <w:widowControl w:val="0"/>
        <w:autoSpaceDE w:val="0"/>
        <w:autoSpaceDN w:val="0"/>
        <w:jc w:val="center"/>
        <w:rPr>
          <w:rFonts w:eastAsia="Arial MT"/>
          <w:b/>
          <w:sz w:val="32"/>
          <w:szCs w:val="32"/>
          <w:lang w:val="en-GB"/>
        </w:rPr>
      </w:pPr>
      <w:r w:rsidRPr="002A2195">
        <w:rPr>
          <w:rFonts w:eastAsia="Arial MT"/>
          <w:b/>
          <w:sz w:val="32"/>
          <w:szCs w:val="32"/>
          <w:lang w:val="en-GB"/>
        </w:rPr>
        <w:t xml:space="preserve">Executive Summary </w:t>
      </w:r>
    </w:p>
    <w:p w14:paraId="5E293020" w14:textId="63AB88D2" w:rsidR="00F76360" w:rsidRPr="002A2195" w:rsidRDefault="00574AE4" w:rsidP="002A2195">
      <w:pPr>
        <w:pStyle w:val="Normal1"/>
        <w:rPr>
          <w:lang w:val="en-GB"/>
        </w:rPr>
      </w:pPr>
      <w:r w:rsidRPr="002A2195">
        <w:rPr>
          <w:lang w:val="en-GB"/>
        </w:rPr>
        <w:t xml:space="preserve">The overall report sheds light upon the key financial performance analysis for the City Hotel for the past three years for the determination of the key sources of declining revenue, customer dissatisfaction, and occupancy rates. It is acknowledged that the company has a lower liquidity position in its business, and the hospitality industry has an increasing business platform in the UK for the future with a predicted margin of </w:t>
      </w:r>
      <w:r w:rsidR="007B08B8">
        <w:t>£18.68 billion</w:t>
      </w:r>
      <w:r w:rsidRPr="002A2195">
        <w:rPr>
          <w:lang w:val="en-GB"/>
        </w:rPr>
        <w:t xml:space="preserve"> in 2029.</w:t>
      </w:r>
    </w:p>
    <w:p w14:paraId="6D2818D5" w14:textId="77777777" w:rsidR="00184BC3" w:rsidRPr="002A2195" w:rsidRDefault="00184BC3" w:rsidP="002A2195">
      <w:pPr>
        <w:rPr>
          <w:b/>
          <w:lang w:val="en-GB"/>
        </w:rPr>
      </w:pPr>
      <w:bookmarkStart w:id="0" w:name="_ozp0r8zfqcvb" w:colFirst="0" w:colLast="0"/>
      <w:bookmarkEnd w:id="0"/>
      <w:r w:rsidRPr="002A2195">
        <w:rPr>
          <w:lang w:val="en-GB"/>
        </w:rPr>
        <w:br w:type="page"/>
      </w:r>
    </w:p>
    <w:sdt>
      <w:sdtPr>
        <w:rPr>
          <w:rFonts w:ascii="Times New Roman" w:eastAsia="Times New Roman" w:hAnsi="Times New Roman" w:cs="Times New Roman"/>
          <w:b w:val="0"/>
          <w:bCs w:val="0"/>
          <w:color w:val="auto"/>
          <w:sz w:val="24"/>
          <w:szCs w:val="24"/>
          <w:highlight w:val="white"/>
          <w:lang w:val="en-GB"/>
        </w:rPr>
        <w:id w:val="13853233"/>
        <w:docPartObj>
          <w:docPartGallery w:val="Table of Contents"/>
          <w:docPartUnique/>
        </w:docPartObj>
      </w:sdtPr>
      <w:sdtEndPr/>
      <w:sdtContent>
        <w:p w14:paraId="364DA215" w14:textId="77777777" w:rsidR="00EB1BB5" w:rsidRPr="002A2195" w:rsidRDefault="00EB1BB5" w:rsidP="002A2195">
          <w:pPr>
            <w:pStyle w:val="TOCHeading"/>
            <w:spacing w:line="360" w:lineRule="auto"/>
            <w:jc w:val="center"/>
            <w:rPr>
              <w:rFonts w:ascii="Times New Roman" w:hAnsi="Times New Roman" w:cs="Times New Roman"/>
              <w:lang w:val="en-GB"/>
            </w:rPr>
          </w:pPr>
          <w:r w:rsidRPr="002A2195">
            <w:rPr>
              <w:rFonts w:ascii="Times New Roman" w:hAnsi="Times New Roman" w:cs="Times New Roman"/>
              <w:color w:val="000000" w:themeColor="text1"/>
              <w:lang w:val="en-GB"/>
            </w:rPr>
            <w:t>Table of Contents</w:t>
          </w:r>
        </w:p>
        <w:p w14:paraId="2F66643D" w14:textId="1D0BC59E" w:rsidR="00BB6EB6" w:rsidRDefault="007070C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r w:rsidRPr="002A2195">
            <w:rPr>
              <w:lang w:val="en-GB"/>
            </w:rPr>
            <w:fldChar w:fldCharType="begin"/>
          </w:r>
          <w:r w:rsidR="00EB1BB5" w:rsidRPr="002A2195">
            <w:rPr>
              <w:lang w:val="en-GB"/>
            </w:rPr>
            <w:instrText xml:space="preserve"> TOC \o "1-3" \h \z \u </w:instrText>
          </w:r>
          <w:r w:rsidRPr="002A2195">
            <w:rPr>
              <w:lang w:val="en-GB"/>
            </w:rPr>
            <w:fldChar w:fldCharType="separate"/>
          </w:r>
          <w:hyperlink w:anchor="_Toc182501838" w:history="1">
            <w:r w:rsidR="00BB6EB6" w:rsidRPr="00505A61">
              <w:rPr>
                <w:rStyle w:val="Hyperlink"/>
                <w:noProof/>
                <w:lang w:val="en-GB"/>
              </w:rPr>
              <w:t>Introduction</w:t>
            </w:r>
            <w:r w:rsidR="00BB6EB6">
              <w:rPr>
                <w:noProof/>
                <w:webHidden/>
              </w:rPr>
              <w:tab/>
            </w:r>
            <w:r w:rsidR="00BB6EB6">
              <w:rPr>
                <w:noProof/>
                <w:webHidden/>
              </w:rPr>
              <w:fldChar w:fldCharType="begin"/>
            </w:r>
            <w:r w:rsidR="00BB6EB6">
              <w:rPr>
                <w:noProof/>
                <w:webHidden/>
              </w:rPr>
              <w:instrText xml:space="preserve"> PAGEREF _Toc182501838 \h </w:instrText>
            </w:r>
            <w:r w:rsidR="00BB6EB6">
              <w:rPr>
                <w:noProof/>
                <w:webHidden/>
              </w:rPr>
            </w:r>
            <w:r w:rsidR="00BB6EB6">
              <w:rPr>
                <w:noProof/>
                <w:webHidden/>
              </w:rPr>
              <w:fldChar w:fldCharType="separate"/>
            </w:r>
            <w:r w:rsidR="00BB6EB6">
              <w:rPr>
                <w:noProof/>
                <w:webHidden/>
              </w:rPr>
              <w:t>5</w:t>
            </w:r>
            <w:r w:rsidR="00BB6EB6">
              <w:rPr>
                <w:noProof/>
                <w:webHidden/>
              </w:rPr>
              <w:fldChar w:fldCharType="end"/>
            </w:r>
          </w:hyperlink>
        </w:p>
        <w:p w14:paraId="062045B7" w14:textId="7EBE068A"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39" w:history="1">
            <w:r w:rsidRPr="00505A61">
              <w:rPr>
                <w:rStyle w:val="Hyperlink"/>
                <w:noProof/>
                <w:lang w:val="en-GB"/>
              </w:rPr>
              <w:t>1. Evaluation of trends, and patterns using a financial performance overview</w:t>
            </w:r>
            <w:r>
              <w:rPr>
                <w:noProof/>
                <w:webHidden/>
              </w:rPr>
              <w:tab/>
            </w:r>
            <w:r>
              <w:rPr>
                <w:noProof/>
                <w:webHidden/>
              </w:rPr>
              <w:fldChar w:fldCharType="begin"/>
            </w:r>
            <w:r>
              <w:rPr>
                <w:noProof/>
                <w:webHidden/>
              </w:rPr>
              <w:instrText xml:space="preserve"> PAGEREF _Toc182501839 \h </w:instrText>
            </w:r>
            <w:r>
              <w:rPr>
                <w:noProof/>
                <w:webHidden/>
              </w:rPr>
            </w:r>
            <w:r>
              <w:rPr>
                <w:noProof/>
                <w:webHidden/>
              </w:rPr>
              <w:fldChar w:fldCharType="separate"/>
            </w:r>
            <w:r>
              <w:rPr>
                <w:noProof/>
                <w:webHidden/>
              </w:rPr>
              <w:t>6</w:t>
            </w:r>
            <w:r>
              <w:rPr>
                <w:noProof/>
                <w:webHidden/>
              </w:rPr>
              <w:fldChar w:fldCharType="end"/>
            </w:r>
          </w:hyperlink>
        </w:p>
        <w:p w14:paraId="1F1F30E2" w14:textId="3D4A48FF"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0" w:history="1">
            <w:r w:rsidRPr="00505A61">
              <w:rPr>
                <w:rStyle w:val="Hyperlink"/>
                <w:noProof/>
                <w:lang w:val="en-GB"/>
              </w:rPr>
              <w:t>2. Key Discussion</w:t>
            </w:r>
            <w:r>
              <w:rPr>
                <w:noProof/>
                <w:webHidden/>
              </w:rPr>
              <w:tab/>
            </w:r>
            <w:r>
              <w:rPr>
                <w:noProof/>
                <w:webHidden/>
              </w:rPr>
              <w:fldChar w:fldCharType="begin"/>
            </w:r>
            <w:r>
              <w:rPr>
                <w:noProof/>
                <w:webHidden/>
              </w:rPr>
              <w:instrText xml:space="preserve"> PAGEREF _Toc182501840 \h </w:instrText>
            </w:r>
            <w:r>
              <w:rPr>
                <w:noProof/>
                <w:webHidden/>
              </w:rPr>
            </w:r>
            <w:r>
              <w:rPr>
                <w:noProof/>
                <w:webHidden/>
              </w:rPr>
              <w:fldChar w:fldCharType="separate"/>
            </w:r>
            <w:r>
              <w:rPr>
                <w:noProof/>
                <w:webHidden/>
              </w:rPr>
              <w:t>10</w:t>
            </w:r>
            <w:r>
              <w:rPr>
                <w:noProof/>
                <w:webHidden/>
              </w:rPr>
              <w:fldChar w:fldCharType="end"/>
            </w:r>
          </w:hyperlink>
        </w:p>
        <w:p w14:paraId="0AA318CF" w14:textId="145A9BF1" w:rsidR="00BB6EB6" w:rsidRDefault="00BB6EB6">
          <w:pPr>
            <w:pStyle w:val="TOC2"/>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1" w:history="1">
            <w:r w:rsidRPr="00505A61">
              <w:rPr>
                <w:rStyle w:val="Hyperlink"/>
                <w:noProof/>
                <w:lang w:val="en-GB"/>
              </w:rPr>
              <w:t>Key identification in declining profitability margin</w:t>
            </w:r>
            <w:r>
              <w:rPr>
                <w:noProof/>
                <w:webHidden/>
              </w:rPr>
              <w:tab/>
            </w:r>
            <w:r>
              <w:rPr>
                <w:noProof/>
                <w:webHidden/>
              </w:rPr>
              <w:fldChar w:fldCharType="begin"/>
            </w:r>
            <w:r>
              <w:rPr>
                <w:noProof/>
                <w:webHidden/>
              </w:rPr>
              <w:instrText xml:space="preserve"> PAGEREF _Toc182501841 \h </w:instrText>
            </w:r>
            <w:r>
              <w:rPr>
                <w:noProof/>
                <w:webHidden/>
              </w:rPr>
            </w:r>
            <w:r>
              <w:rPr>
                <w:noProof/>
                <w:webHidden/>
              </w:rPr>
              <w:fldChar w:fldCharType="separate"/>
            </w:r>
            <w:r>
              <w:rPr>
                <w:noProof/>
                <w:webHidden/>
              </w:rPr>
              <w:t>10</w:t>
            </w:r>
            <w:r>
              <w:rPr>
                <w:noProof/>
                <w:webHidden/>
              </w:rPr>
              <w:fldChar w:fldCharType="end"/>
            </w:r>
          </w:hyperlink>
        </w:p>
        <w:p w14:paraId="2DFB7459" w14:textId="484B8ACF" w:rsidR="00BB6EB6" w:rsidRDefault="00BB6EB6">
          <w:pPr>
            <w:pStyle w:val="TOC2"/>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2" w:history="1">
            <w:r w:rsidRPr="00505A61">
              <w:rPr>
                <w:rStyle w:val="Hyperlink"/>
                <w:noProof/>
                <w:lang w:val="en-GB"/>
              </w:rPr>
              <w:t>Real-world events and current economic position</w:t>
            </w:r>
            <w:r>
              <w:rPr>
                <w:noProof/>
                <w:webHidden/>
              </w:rPr>
              <w:tab/>
            </w:r>
            <w:r>
              <w:rPr>
                <w:noProof/>
                <w:webHidden/>
              </w:rPr>
              <w:fldChar w:fldCharType="begin"/>
            </w:r>
            <w:r>
              <w:rPr>
                <w:noProof/>
                <w:webHidden/>
              </w:rPr>
              <w:instrText xml:space="preserve"> PAGEREF _Toc182501842 \h </w:instrText>
            </w:r>
            <w:r>
              <w:rPr>
                <w:noProof/>
                <w:webHidden/>
              </w:rPr>
            </w:r>
            <w:r>
              <w:rPr>
                <w:noProof/>
                <w:webHidden/>
              </w:rPr>
              <w:fldChar w:fldCharType="separate"/>
            </w:r>
            <w:r>
              <w:rPr>
                <w:noProof/>
                <w:webHidden/>
              </w:rPr>
              <w:t>11</w:t>
            </w:r>
            <w:r>
              <w:rPr>
                <w:noProof/>
                <w:webHidden/>
              </w:rPr>
              <w:fldChar w:fldCharType="end"/>
            </w:r>
          </w:hyperlink>
        </w:p>
        <w:p w14:paraId="22AB482F" w14:textId="3974B54C"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3" w:history="1">
            <w:r w:rsidRPr="00505A61">
              <w:rPr>
                <w:rStyle w:val="Hyperlink"/>
                <w:noProof/>
                <w:lang w:val="en-GB"/>
              </w:rPr>
              <w:t>3. Suggestions for turnaround strategy to boost the financial health position, reputation, and most viable outcomes for the owner of City Hotel</w:t>
            </w:r>
            <w:r>
              <w:rPr>
                <w:noProof/>
                <w:webHidden/>
              </w:rPr>
              <w:tab/>
            </w:r>
            <w:r>
              <w:rPr>
                <w:noProof/>
                <w:webHidden/>
              </w:rPr>
              <w:fldChar w:fldCharType="begin"/>
            </w:r>
            <w:r>
              <w:rPr>
                <w:noProof/>
                <w:webHidden/>
              </w:rPr>
              <w:instrText xml:space="preserve"> PAGEREF _Toc182501843 \h </w:instrText>
            </w:r>
            <w:r>
              <w:rPr>
                <w:noProof/>
                <w:webHidden/>
              </w:rPr>
            </w:r>
            <w:r>
              <w:rPr>
                <w:noProof/>
                <w:webHidden/>
              </w:rPr>
              <w:fldChar w:fldCharType="separate"/>
            </w:r>
            <w:r>
              <w:rPr>
                <w:noProof/>
                <w:webHidden/>
              </w:rPr>
              <w:t>12</w:t>
            </w:r>
            <w:r>
              <w:rPr>
                <w:noProof/>
                <w:webHidden/>
              </w:rPr>
              <w:fldChar w:fldCharType="end"/>
            </w:r>
          </w:hyperlink>
        </w:p>
        <w:p w14:paraId="1FFD025A" w14:textId="3E1D4ECB"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4" w:history="1">
            <w:r w:rsidRPr="00505A61">
              <w:rPr>
                <w:rStyle w:val="Hyperlink"/>
                <w:noProof/>
                <w:lang w:val="en-GB"/>
              </w:rPr>
              <w:t>Conclusion</w:t>
            </w:r>
            <w:r>
              <w:rPr>
                <w:noProof/>
                <w:webHidden/>
              </w:rPr>
              <w:tab/>
            </w:r>
            <w:r>
              <w:rPr>
                <w:noProof/>
                <w:webHidden/>
              </w:rPr>
              <w:fldChar w:fldCharType="begin"/>
            </w:r>
            <w:r>
              <w:rPr>
                <w:noProof/>
                <w:webHidden/>
              </w:rPr>
              <w:instrText xml:space="preserve"> PAGEREF _Toc182501844 \h </w:instrText>
            </w:r>
            <w:r>
              <w:rPr>
                <w:noProof/>
                <w:webHidden/>
              </w:rPr>
            </w:r>
            <w:r>
              <w:rPr>
                <w:noProof/>
                <w:webHidden/>
              </w:rPr>
              <w:fldChar w:fldCharType="separate"/>
            </w:r>
            <w:r>
              <w:rPr>
                <w:noProof/>
                <w:webHidden/>
              </w:rPr>
              <w:t>14</w:t>
            </w:r>
            <w:r>
              <w:rPr>
                <w:noProof/>
                <w:webHidden/>
              </w:rPr>
              <w:fldChar w:fldCharType="end"/>
            </w:r>
          </w:hyperlink>
        </w:p>
        <w:p w14:paraId="484FF0EA" w14:textId="65F6B3B7" w:rsidR="00BB6EB6" w:rsidRDefault="00BB6EB6">
          <w:pPr>
            <w:pStyle w:val="TOC2"/>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5" w:history="1">
            <w:r w:rsidRPr="00505A61">
              <w:rPr>
                <w:rStyle w:val="Hyperlink"/>
                <w:noProof/>
                <w:lang w:val="en-GB"/>
              </w:rPr>
              <w:t>Recommendations</w:t>
            </w:r>
            <w:r>
              <w:rPr>
                <w:noProof/>
                <w:webHidden/>
              </w:rPr>
              <w:tab/>
            </w:r>
            <w:r>
              <w:rPr>
                <w:noProof/>
                <w:webHidden/>
              </w:rPr>
              <w:fldChar w:fldCharType="begin"/>
            </w:r>
            <w:r>
              <w:rPr>
                <w:noProof/>
                <w:webHidden/>
              </w:rPr>
              <w:instrText xml:space="preserve"> PAGEREF _Toc182501845 \h </w:instrText>
            </w:r>
            <w:r>
              <w:rPr>
                <w:noProof/>
                <w:webHidden/>
              </w:rPr>
            </w:r>
            <w:r>
              <w:rPr>
                <w:noProof/>
                <w:webHidden/>
              </w:rPr>
              <w:fldChar w:fldCharType="separate"/>
            </w:r>
            <w:r>
              <w:rPr>
                <w:noProof/>
                <w:webHidden/>
              </w:rPr>
              <w:t>14</w:t>
            </w:r>
            <w:r>
              <w:rPr>
                <w:noProof/>
                <w:webHidden/>
              </w:rPr>
              <w:fldChar w:fldCharType="end"/>
            </w:r>
          </w:hyperlink>
        </w:p>
        <w:p w14:paraId="3DDA2004" w14:textId="2A691B62"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6" w:history="1">
            <w:r w:rsidRPr="00505A61">
              <w:rPr>
                <w:rStyle w:val="Hyperlink"/>
                <w:noProof/>
                <w:lang w:val="en-GB"/>
              </w:rPr>
              <w:t>Reference List</w:t>
            </w:r>
            <w:r>
              <w:rPr>
                <w:noProof/>
                <w:webHidden/>
              </w:rPr>
              <w:tab/>
            </w:r>
            <w:r>
              <w:rPr>
                <w:noProof/>
                <w:webHidden/>
              </w:rPr>
              <w:fldChar w:fldCharType="begin"/>
            </w:r>
            <w:r>
              <w:rPr>
                <w:noProof/>
                <w:webHidden/>
              </w:rPr>
              <w:instrText xml:space="preserve"> PAGEREF _Toc182501846 \h </w:instrText>
            </w:r>
            <w:r>
              <w:rPr>
                <w:noProof/>
                <w:webHidden/>
              </w:rPr>
            </w:r>
            <w:r>
              <w:rPr>
                <w:noProof/>
                <w:webHidden/>
              </w:rPr>
              <w:fldChar w:fldCharType="separate"/>
            </w:r>
            <w:r>
              <w:rPr>
                <w:noProof/>
                <w:webHidden/>
              </w:rPr>
              <w:t>15</w:t>
            </w:r>
            <w:r>
              <w:rPr>
                <w:noProof/>
                <w:webHidden/>
              </w:rPr>
              <w:fldChar w:fldCharType="end"/>
            </w:r>
          </w:hyperlink>
        </w:p>
        <w:p w14:paraId="740B1F94" w14:textId="5BBED92B"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7" w:history="1">
            <w:r w:rsidRPr="00505A61">
              <w:rPr>
                <w:rStyle w:val="Hyperlink"/>
                <w:noProof/>
                <w:lang w:val="en-GB"/>
              </w:rPr>
              <w:t>Appendix</w:t>
            </w:r>
            <w:r>
              <w:rPr>
                <w:noProof/>
                <w:webHidden/>
              </w:rPr>
              <w:tab/>
            </w:r>
            <w:r>
              <w:rPr>
                <w:noProof/>
                <w:webHidden/>
              </w:rPr>
              <w:fldChar w:fldCharType="begin"/>
            </w:r>
            <w:r>
              <w:rPr>
                <w:noProof/>
                <w:webHidden/>
              </w:rPr>
              <w:instrText xml:space="preserve"> PAGEREF _Toc182501847 \h </w:instrText>
            </w:r>
            <w:r>
              <w:rPr>
                <w:noProof/>
                <w:webHidden/>
              </w:rPr>
            </w:r>
            <w:r>
              <w:rPr>
                <w:noProof/>
                <w:webHidden/>
              </w:rPr>
              <w:fldChar w:fldCharType="separate"/>
            </w:r>
            <w:r>
              <w:rPr>
                <w:noProof/>
                <w:webHidden/>
              </w:rPr>
              <w:t>16</w:t>
            </w:r>
            <w:r>
              <w:rPr>
                <w:noProof/>
                <w:webHidden/>
              </w:rPr>
              <w:fldChar w:fldCharType="end"/>
            </w:r>
          </w:hyperlink>
        </w:p>
        <w:p w14:paraId="466885D3" w14:textId="69C760B5" w:rsidR="00EB1BB5" w:rsidRPr="002A2195" w:rsidRDefault="007070C6" w:rsidP="002A2195">
          <w:pPr>
            <w:rPr>
              <w:lang w:val="en-GB"/>
            </w:rPr>
          </w:pPr>
          <w:r w:rsidRPr="002A2195">
            <w:rPr>
              <w:lang w:val="en-GB"/>
            </w:rPr>
            <w:fldChar w:fldCharType="end"/>
          </w:r>
        </w:p>
      </w:sdtContent>
    </w:sdt>
    <w:p w14:paraId="32E2CA64" w14:textId="77777777" w:rsidR="00184BC3" w:rsidRPr="002A2195" w:rsidRDefault="00184BC3" w:rsidP="002A2195">
      <w:pPr>
        <w:jc w:val="center"/>
        <w:rPr>
          <w:b/>
          <w:lang w:val="en-GB"/>
        </w:rPr>
      </w:pPr>
      <w:r w:rsidRPr="002A2195">
        <w:rPr>
          <w:lang w:val="en-GB"/>
        </w:rPr>
        <w:br w:type="page"/>
      </w:r>
    </w:p>
    <w:p w14:paraId="417B36E5" w14:textId="77777777" w:rsidR="00504039" w:rsidRPr="002A2195" w:rsidRDefault="00504039" w:rsidP="002A2195">
      <w:pPr>
        <w:pStyle w:val="Heading1"/>
        <w:rPr>
          <w:lang w:val="en-GB"/>
        </w:rPr>
      </w:pPr>
      <w:bookmarkStart w:id="1" w:name="_Toc182501838"/>
      <w:r w:rsidRPr="002A2195">
        <w:rPr>
          <w:lang w:val="en-GB"/>
        </w:rPr>
        <w:t>Introduction</w:t>
      </w:r>
      <w:bookmarkEnd w:id="1"/>
      <w:r w:rsidRPr="002A2195">
        <w:rPr>
          <w:lang w:val="en-GB"/>
        </w:rPr>
        <w:t xml:space="preserve"> </w:t>
      </w:r>
    </w:p>
    <w:p w14:paraId="5ADC748B" w14:textId="42A78DC4" w:rsidR="003520BE" w:rsidRDefault="00504039" w:rsidP="002A2195">
      <w:pPr>
        <w:pStyle w:val="Normal1"/>
        <w:rPr>
          <w:lang w:val="en-GB"/>
        </w:rPr>
      </w:pPr>
      <w:r w:rsidRPr="002A2195">
        <w:rPr>
          <w:lang w:val="en-GB"/>
        </w:rPr>
        <w:t>The report refers to determining the financial performance analysis for the City Hotel for the past three years 2021 to 2023 covering the profitability, liquidity, solvency ratio, and horizontal trend analysis focusing on the business revenue, and expenses. It is assumed that the company is located in the UK in the urban landscape as all the presented values are in GBP. Hence, the company's financial evaluation helps to recogni</w:t>
      </w:r>
      <w:r w:rsidR="007B08B8">
        <w:rPr>
          <w:lang w:val="en-GB"/>
        </w:rPr>
        <w:t>s</w:t>
      </w:r>
      <w:r w:rsidRPr="002A2195">
        <w:rPr>
          <w:lang w:val="en-GB"/>
        </w:rPr>
        <w:t>e the key reasons behind the changes or declining profitability margin over the year with a brief comparison. Furthermore, the recommendation for various considerations that are effectively required, the impact of the real world, and the current economy affecting the City Hotel.</w:t>
      </w:r>
    </w:p>
    <w:p w14:paraId="346D59A6" w14:textId="77777777" w:rsidR="003520BE" w:rsidRDefault="003520BE" w:rsidP="002A2195">
      <w:pPr>
        <w:pStyle w:val="Normal1"/>
        <w:rPr>
          <w:lang w:val="en-GB"/>
        </w:rPr>
      </w:pPr>
    </w:p>
    <w:p w14:paraId="36CD00D0" w14:textId="77777777" w:rsidR="003520BE" w:rsidRPr="002A2195" w:rsidRDefault="003520BE" w:rsidP="002A2195">
      <w:pPr>
        <w:pStyle w:val="Normal1"/>
        <w:rPr>
          <w:lang w:val="en-GB"/>
        </w:rPr>
      </w:pPr>
    </w:p>
    <w:p w14:paraId="24735D7F" w14:textId="77777777" w:rsidR="00504039" w:rsidRPr="002A2195" w:rsidRDefault="00504039" w:rsidP="002A2195">
      <w:pPr>
        <w:pStyle w:val="Heading1"/>
        <w:rPr>
          <w:lang w:val="en-GB"/>
        </w:rPr>
      </w:pPr>
      <w:bookmarkStart w:id="2" w:name="_Toc182501839"/>
      <w:r w:rsidRPr="002A2195">
        <w:rPr>
          <w:lang w:val="en-GB"/>
        </w:rPr>
        <w:t>1. Evaluation of trends, and patterns using a financial performance overview</w:t>
      </w:r>
      <w:bookmarkEnd w:id="2"/>
    </w:p>
    <w:tbl>
      <w:tblPr>
        <w:tblW w:w="5000" w:type="pct"/>
        <w:tblLook w:val="04A0" w:firstRow="1" w:lastRow="0" w:firstColumn="1" w:lastColumn="0" w:noHBand="0" w:noVBand="1"/>
      </w:tblPr>
      <w:tblGrid>
        <w:gridCol w:w="1687"/>
        <w:gridCol w:w="2393"/>
        <w:gridCol w:w="2068"/>
        <w:gridCol w:w="2000"/>
        <w:gridCol w:w="1192"/>
      </w:tblGrid>
      <w:tr w:rsidR="00A40867" w:rsidRPr="00A40867" w14:paraId="5BB82987" w14:textId="77777777" w:rsidTr="00A40867">
        <w:trPr>
          <w:trHeight w:val="375"/>
        </w:trPr>
        <w:tc>
          <w:tcPr>
            <w:tcW w:w="5000" w:type="pct"/>
            <w:gridSpan w:val="5"/>
            <w:tcBorders>
              <w:top w:val="single" w:sz="8" w:space="0" w:color="auto"/>
              <w:left w:val="single" w:sz="8" w:space="0" w:color="auto"/>
              <w:bottom w:val="single" w:sz="4" w:space="0" w:color="auto"/>
              <w:right w:val="single" w:sz="8" w:space="0" w:color="000000"/>
            </w:tcBorders>
            <w:shd w:val="clear" w:color="000000" w:fill="FFFF00"/>
            <w:noWrap/>
            <w:vAlign w:val="bottom"/>
            <w:hideMark/>
          </w:tcPr>
          <w:p w14:paraId="78D698FD" w14:textId="77777777" w:rsidR="00A40867" w:rsidRPr="00A40867" w:rsidRDefault="00A40867" w:rsidP="00A40867">
            <w:pPr>
              <w:spacing w:line="240" w:lineRule="auto"/>
              <w:jc w:val="center"/>
              <w:rPr>
                <w:b/>
                <w:bCs/>
                <w:color w:val="000000"/>
                <w:sz w:val="28"/>
                <w:szCs w:val="28"/>
                <w:u w:val="single"/>
              </w:rPr>
            </w:pPr>
            <w:bookmarkStart w:id="3" w:name="_v7imnwv1l8uq" w:colFirst="0" w:colLast="0"/>
            <w:bookmarkEnd w:id="3"/>
            <w:r w:rsidRPr="00A40867">
              <w:rPr>
                <w:b/>
                <w:bCs/>
                <w:color w:val="000000"/>
                <w:sz w:val="28"/>
                <w:szCs w:val="28"/>
                <w:u w:val="single"/>
              </w:rPr>
              <w:t>Financial ratio of City Hotel for the past three years (2021-2023)</w:t>
            </w:r>
          </w:p>
        </w:tc>
      </w:tr>
      <w:tr w:rsidR="00A40867" w:rsidRPr="00A40867" w14:paraId="747A718F"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92D050"/>
            <w:noWrap/>
            <w:vAlign w:val="bottom"/>
            <w:hideMark/>
          </w:tcPr>
          <w:p w14:paraId="431E178E" w14:textId="77777777" w:rsidR="00A40867" w:rsidRPr="00A40867" w:rsidRDefault="00A40867" w:rsidP="00A40867">
            <w:pPr>
              <w:spacing w:line="240" w:lineRule="auto"/>
              <w:jc w:val="center"/>
              <w:rPr>
                <w:b/>
                <w:bCs/>
                <w:color w:val="000000"/>
                <w:u w:val="single"/>
              </w:rPr>
            </w:pPr>
            <w:r w:rsidRPr="00A40867">
              <w:rPr>
                <w:b/>
                <w:bCs/>
                <w:color w:val="000000"/>
                <w:u w:val="single"/>
              </w:rPr>
              <w:t>Profitability Ratio</w:t>
            </w:r>
          </w:p>
        </w:tc>
      </w:tr>
      <w:tr w:rsidR="00A40867" w:rsidRPr="00A40867" w14:paraId="384DBD63"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18636606" w14:textId="77777777" w:rsidR="00A40867" w:rsidRPr="00A40867" w:rsidRDefault="00A40867" w:rsidP="00A40867">
            <w:pPr>
              <w:spacing w:line="240" w:lineRule="auto"/>
              <w:jc w:val="center"/>
              <w:rPr>
                <w:b/>
                <w:bCs/>
                <w:color w:val="000000"/>
              </w:rPr>
            </w:pPr>
            <w:r w:rsidRPr="00A40867">
              <w:rPr>
                <w:b/>
                <w:bCs/>
                <w:color w:val="000000"/>
              </w:rPr>
              <w:t>"Operating Profit Margin"</w:t>
            </w:r>
          </w:p>
        </w:tc>
      </w:tr>
      <w:tr w:rsidR="00A40867" w:rsidRPr="00A40867" w14:paraId="2B6A9472"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19674434" w14:textId="77777777" w:rsidR="00A40867" w:rsidRPr="00A40867" w:rsidRDefault="00A40867" w:rsidP="00A40867">
            <w:pPr>
              <w:spacing w:line="240" w:lineRule="auto"/>
              <w:jc w:val="center"/>
              <w:rPr>
                <w:color w:val="000000"/>
              </w:rPr>
            </w:pPr>
            <w:r w:rsidRPr="00A40867">
              <w:rPr>
                <w:color w:val="000000"/>
              </w:rPr>
              <w:t> </w:t>
            </w:r>
          </w:p>
        </w:tc>
        <w:tc>
          <w:tcPr>
            <w:tcW w:w="1370" w:type="pct"/>
            <w:tcBorders>
              <w:top w:val="nil"/>
              <w:left w:val="nil"/>
              <w:bottom w:val="single" w:sz="4" w:space="0" w:color="auto"/>
              <w:right w:val="single" w:sz="4" w:space="0" w:color="auto"/>
            </w:tcBorders>
            <w:shd w:val="clear" w:color="auto" w:fill="auto"/>
            <w:noWrap/>
            <w:vAlign w:val="bottom"/>
            <w:hideMark/>
          </w:tcPr>
          <w:p w14:paraId="29B02C13" w14:textId="77777777" w:rsidR="00A40867" w:rsidRPr="00A40867" w:rsidRDefault="00A40867" w:rsidP="00A40867">
            <w:pPr>
              <w:spacing w:line="240" w:lineRule="auto"/>
              <w:jc w:val="center"/>
              <w:rPr>
                <w:color w:val="000000"/>
              </w:rPr>
            </w:pPr>
            <w:r w:rsidRPr="00A40867">
              <w:rPr>
                <w:color w:val="000000"/>
              </w:rPr>
              <w:t> </w:t>
            </w:r>
          </w:p>
        </w:tc>
        <w:tc>
          <w:tcPr>
            <w:tcW w:w="1103" w:type="pct"/>
            <w:tcBorders>
              <w:top w:val="nil"/>
              <w:left w:val="nil"/>
              <w:bottom w:val="single" w:sz="4" w:space="0" w:color="auto"/>
              <w:right w:val="single" w:sz="4" w:space="0" w:color="auto"/>
            </w:tcBorders>
            <w:shd w:val="clear" w:color="auto" w:fill="auto"/>
            <w:noWrap/>
            <w:vAlign w:val="bottom"/>
            <w:hideMark/>
          </w:tcPr>
          <w:p w14:paraId="66979CAE" w14:textId="77777777" w:rsidR="00A40867" w:rsidRPr="00A40867" w:rsidRDefault="00A40867" w:rsidP="00A40867">
            <w:pPr>
              <w:spacing w:line="240" w:lineRule="auto"/>
              <w:jc w:val="center"/>
              <w:rPr>
                <w:color w:val="000000"/>
              </w:rPr>
            </w:pPr>
            <w:r w:rsidRPr="00A40867">
              <w:rPr>
                <w:color w:val="000000"/>
              </w:rPr>
              <w:t> </w:t>
            </w:r>
          </w:p>
        </w:tc>
        <w:tc>
          <w:tcPr>
            <w:tcW w:w="1063" w:type="pct"/>
            <w:tcBorders>
              <w:top w:val="nil"/>
              <w:left w:val="nil"/>
              <w:bottom w:val="single" w:sz="4" w:space="0" w:color="auto"/>
              <w:right w:val="single" w:sz="4" w:space="0" w:color="auto"/>
            </w:tcBorders>
            <w:shd w:val="clear" w:color="auto" w:fill="auto"/>
            <w:noWrap/>
            <w:vAlign w:val="bottom"/>
            <w:hideMark/>
          </w:tcPr>
          <w:p w14:paraId="6162BFDC" w14:textId="77777777" w:rsidR="00A40867" w:rsidRPr="00A40867" w:rsidRDefault="00A40867" w:rsidP="00A40867">
            <w:pPr>
              <w:spacing w:line="240" w:lineRule="auto"/>
              <w:jc w:val="center"/>
              <w:rPr>
                <w:color w:val="000000"/>
              </w:rPr>
            </w:pPr>
            <w:r w:rsidRPr="00A40867">
              <w:rPr>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24675668"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72ADF8DF"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2CDA9E3"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16FB4674"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40CA9394"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368C5A86"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4179A4A4"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71518A16"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1731864A"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61F98159"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center"/>
            <w:hideMark/>
          </w:tcPr>
          <w:p w14:paraId="3BE42393" w14:textId="77777777" w:rsidR="00A40867" w:rsidRPr="00A40867" w:rsidRDefault="00A40867" w:rsidP="00A40867">
            <w:pPr>
              <w:spacing w:line="240" w:lineRule="auto"/>
              <w:jc w:val="left"/>
              <w:rPr>
                <w:color w:val="000000"/>
              </w:rPr>
            </w:pPr>
            <w:r w:rsidRPr="00A40867">
              <w:rPr>
                <w:color w:val="000000"/>
              </w:rPr>
              <w:t> </w:t>
            </w:r>
          </w:p>
        </w:tc>
        <w:tc>
          <w:tcPr>
            <w:tcW w:w="1063" w:type="pct"/>
            <w:tcBorders>
              <w:top w:val="nil"/>
              <w:left w:val="nil"/>
              <w:bottom w:val="single" w:sz="4" w:space="0" w:color="auto"/>
              <w:right w:val="single" w:sz="4" w:space="0" w:color="auto"/>
            </w:tcBorders>
            <w:shd w:val="clear" w:color="auto" w:fill="auto"/>
            <w:noWrap/>
            <w:vAlign w:val="center"/>
            <w:hideMark/>
          </w:tcPr>
          <w:p w14:paraId="3A359BFD" w14:textId="77777777" w:rsidR="00A40867" w:rsidRPr="00A40867" w:rsidRDefault="00A40867" w:rsidP="00A40867">
            <w:pPr>
              <w:spacing w:line="240" w:lineRule="auto"/>
              <w:jc w:val="left"/>
              <w:rPr>
                <w:color w:val="000000"/>
              </w:rPr>
            </w:pPr>
            <w:r w:rsidRPr="00A40867">
              <w:rPr>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35AE0DBB"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5DB817B2"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602B4EF3" w14:textId="77777777" w:rsidR="00A40867" w:rsidRPr="00A40867" w:rsidRDefault="00A40867" w:rsidP="00A40867">
            <w:pPr>
              <w:spacing w:line="240" w:lineRule="auto"/>
              <w:jc w:val="left"/>
              <w:rPr>
                <w:color w:val="000000"/>
              </w:rPr>
            </w:pPr>
            <w:r w:rsidRPr="00A40867">
              <w:rPr>
                <w:color w:val="000000"/>
              </w:rPr>
              <w:t>"Operating profit"</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8809BE9" w14:textId="77777777" w:rsidR="00A40867" w:rsidRPr="00A40867" w:rsidRDefault="00A40867" w:rsidP="00A40867">
            <w:pPr>
              <w:spacing w:line="240" w:lineRule="auto"/>
              <w:jc w:val="center"/>
              <w:rPr>
                <w:b/>
                <w:bCs/>
                <w:color w:val="000000"/>
              </w:rPr>
            </w:pPr>
            <w:r w:rsidRPr="00A40867">
              <w:rPr>
                <w:b/>
                <w:bCs/>
                <w:color w:val="000000"/>
              </w:rPr>
              <w:t>"(Operating profit/Sales revenue)"</w:t>
            </w:r>
          </w:p>
        </w:tc>
        <w:tc>
          <w:tcPr>
            <w:tcW w:w="1103" w:type="pct"/>
            <w:tcBorders>
              <w:top w:val="nil"/>
              <w:left w:val="nil"/>
              <w:bottom w:val="single" w:sz="4" w:space="0" w:color="auto"/>
              <w:right w:val="single" w:sz="4" w:space="0" w:color="auto"/>
            </w:tcBorders>
            <w:shd w:val="clear" w:color="auto" w:fill="auto"/>
            <w:noWrap/>
            <w:vAlign w:val="bottom"/>
            <w:hideMark/>
          </w:tcPr>
          <w:p w14:paraId="78EA3F77" w14:textId="77777777" w:rsidR="00A40867" w:rsidRPr="00A40867" w:rsidRDefault="00A40867" w:rsidP="00A40867">
            <w:pPr>
              <w:spacing w:line="240" w:lineRule="auto"/>
              <w:jc w:val="center"/>
              <w:rPr>
                <w:color w:val="000000"/>
              </w:rPr>
            </w:pPr>
            <w:r w:rsidRPr="00A40867">
              <w:rPr>
                <w:color w:val="000000"/>
              </w:rPr>
              <w:t xml:space="preserve"> £                                  664,160.00 </w:t>
            </w:r>
          </w:p>
        </w:tc>
        <w:tc>
          <w:tcPr>
            <w:tcW w:w="1063" w:type="pct"/>
            <w:tcBorders>
              <w:top w:val="nil"/>
              <w:left w:val="nil"/>
              <w:bottom w:val="single" w:sz="4" w:space="0" w:color="auto"/>
              <w:right w:val="single" w:sz="4" w:space="0" w:color="auto"/>
            </w:tcBorders>
            <w:shd w:val="clear" w:color="auto" w:fill="auto"/>
            <w:noWrap/>
            <w:vAlign w:val="bottom"/>
            <w:hideMark/>
          </w:tcPr>
          <w:p w14:paraId="4D91A1F4" w14:textId="77777777" w:rsidR="00A40867" w:rsidRPr="00A40867" w:rsidRDefault="00A40867" w:rsidP="00A40867">
            <w:pPr>
              <w:spacing w:line="240" w:lineRule="auto"/>
              <w:jc w:val="center"/>
              <w:rPr>
                <w:color w:val="000000"/>
              </w:rPr>
            </w:pPr>
            <w:r w:rsidRPr="00A40867">
              <w:rPr>
                <w:color w:val="000000"/>
              </w:rPr>
              <w:t xml:space="preserve"> £                                674,730.00 </w:t>
            </w:r>
          </w:p>
        </w:tc>
        <w:tc>
          <w:tcPr>
            <w:tcW w:w="586" w:type="pct"/>
            <w:tcBorders>
              <w:top w:val="nil"/>
              <w:left w:val="nil"/>
              <w:bottom w:val="single" w:sz="4" w:space="0" w:color="auto"/>
              <w:right w:val="single" w:sz="8" w:space="0" w:color="auto"/>
            </w:tcBorders>
            <w:shd w:val="clear" w:color="auto" w:fill="auto"/>
            <w:noWrap/>
            <w:vAlign w:val="bottom"/>
            <w:hideMark/>
          </w:tcPr>
          <w:p w14:paraId="66FEF2DE" w14:textId="77777777" w:rsidR="00A40867" w:rsidRPr="00A40867" w:rsidRDefault="00A40867" w:rsidP="00A40867">
            <w:pPr>
              <w:spacing w:line="240" w:lineRule="auto"/>
              <w:jc w:val="center"/>
              <w:rPr>
                <w:color w:val="000000"/>
              </w:rPr>
            </w:pPr>
            <w:r w:rsidRPr="00A40867">
              <w:rPr>
                <w:color w:val="000000"/>
              </w:rPr>
              <w:t xml:space="preserve"> £     1,218,850.00 </w:t>
            </w:r>
          </w:p>
        </w:tc>
      </w:tr>
      <w:tr w:rsidR="00A40867" w:rsidRPr="00A40867" w14:paraId="7B89441A"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7A71FAD3" w14:textId="77777777" w:rsidR="00A40867" w:rsidRPr="00A40867" w:rsidRDefault="00A40867" w:rsidP="00A40867">
            <w:pPr>
              <w:spacing w:line="240" w:lineRule="auto"/>
              <w:jc w:val="left"/>
              <w:rPr>
                <w:color w:val="000000"/>
              </w:rPr>
            </w:pPr>
            <w:r w:rsidRPr="00A40867">
              <w:rPr>
                <w:color w:val="000000"/>
              </w:rPr>
              <w:t>" Sales revenue"</w:t>
            </w:r>
          </w:p>
        </w:tc>
        <w:tc>
          <w:tcPr>
            <w:tcW w:w="1370" w:type="pct"/>
            <w:vMerge/>
            <w:tcBorders>
              <w:top w:val="nil"/>
              <w:left w:val="single" w:sz="4" w:space="0" w:color="auto"/>
              <w:bottom w:val="single" w:sz="4" w:space="0" w:color="auto"/>
              <w:right w:val="single" w:sz="4" w:space="0" w:color="auto"/>
            </w:tcBorders>
            <w:vAlign w:val="center"/>
            <w:hideMark/>
          </w:tcPr>
          <w:p w14:paraId="01B077D4"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69F1A733" w14:textId="77777777" w:rsidR="00A40867" w:rsidRPr="00A40867" w:rsidRDefault="00A40867" w:rsidP="00A40867">
            <w:pPr>
              <w:spacing w:line="240" w:lineRule="auto"/>
              <w:jc w:val="center"/>
              <w:rPr>
                <w:color w:val="000000"/>
              </w:rPr>
            </w:pPr>
            <w:r w:rsidRPr="00A40867">
              <w:rPr>
                <w:color w:val="000000"/>
              </w:rPr>
              <w:t xml:space="preserve"> £                               5,248,290.00 </w:t>
            </w:r>
          </w:p>
        </w:tc>
        <w:tc>
          <w:tcPr>
            <w:tcW w:w="1063" w:type="pct"/>
            <w:tcBorders>
              <w:top w:val="nil"/>
              <w:left w:val="nil"/>
              <w:bottom w:val="single" w:sz="4" w:space="0" w:color="auto"/>
              <w:right w:val="single" w:sz="4" w:space="0" w:color="auto"/>
            </w:tcBorders>
            <w:shd w:val="clear" w:color="auto" w:fill="auto"/>
            <w:noWrap/>
            <w:vAlign w:val="bottom"/>
            <w:hideMark/>
          </w:tcPr>
          <w:p w14:paraId="76A84FA7" w14:textId="77777777" w:rsidR="00A40867" w:rsidRPr="00A40867" w:rsidRDefault="00A40867" w:rsidP="00A40867">
            <w:pPr>
              <w:spacing w:line="240" w:lineRule="auto"/>
              <w:jc w:val="center"/>
              <w:rPr>
                <w:color w:val="000000"/>
              </w:rPr>
            </w:pPr>
            <w:r w:rsidRPr="00A40867">
              <w:rPr>
                <w:color w:val="000000"/>
              </w:rPr>
              <w:t xml:space="preserve"> £                             5,307,480.00 </w:t>
            </w:r>
          </w:p>
        </w:tc>
        <w:tc>
          <w:tcPr>
            <w:tcW w:w="586" w:type="pct"/>
            <w:tcBorders>
              <w:top w:val="nil"/>
              <w:left w:val="nil"/>
              <w:bottom w:val="single" w:sz="4" w:space="0" w:color="auto"/>
              <w:right w:val="single" w:sz="8" w:space="0" w:color="auto"/>
            </w:tcBorders>
            <w:shd w:val="clear" w:color="auto" w:fill="auto"/>
            <w:noWrap/>
            <w:vAlign w:val="bottom"/>
            <w:hideMark/>
          </w:tcPr>
          <w:p w14:paraId="3204C1BD" w14:textId="77777777" w:rsidR="00A40867" w:rsidRPr="00A40867" w:rsidRDefault="00A40867" w:rsidP="00A40867">
            <w:pPr>
              <w:spacing w:line="240" w:lineRule="auto"/>
              <w:jc w:val="center"/>
              <w:rPr>
                <w:color w:val="000000"/>
              </w:rPr>
            </w:pPr>
            <w:r w:rsidRPr="00A40867">
              <w:rPr>
                <w:color w:val="000000"/>
              </w:rPr>
              <w:t xml:space="preserve"> £     2,325,440.00 </w:t>
            </w:r>
          </w:p>
        </w:tc>
      </w:tr>
      <w:tr w:rsidR="00A40867" w:rsidRPr="00A40867" w14:paraId="2C44E6A7"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C068E7B" w14:textId="77777777" w:rsidR="00A40867" w:rsidRPr="00A40867" w:rsidRDefault="00A40867" w:rsidP="00A40867">
            <w:pPr>
              <w:spacing w:line="240" w:lineRule="auto"/>
              <w:jc w:val="center"/>
              <w:rPr>
                <w:b/>
                <w:bCs/>
                <w:color w:val="000000"/>
              </w:rPr>
            </w:pPr>
            <w:r w:rsidRPr="00A40867">
              <w:rPr>
                <w:b/>
                <w:bCs/>
                <w:color w:val="000000"/>
              </w:rPr>
              <w:t>"Net Profit margin"</w:t>
            </w:r>
          </w:p>
        </w:tc>
        <w:tc>
          <w:tcPr>
            <w:tcW w:w="1103" w:type="pct"/>
            <w:tcBorders>
              <w:top w:val="nil"/>
              <w:left w:val="nil"/>
              <w:bottom w:val="single" w:sz="4" w:space="0" w:color="auto"/>
              <w:right w:val="single" w:sz="4" w:space="0" w:color="auto"/>
            </w:tcBorders>
            <w:shd w:val="clear" w:color="auto" w:fill="auto"/>
            <w:noWrap/>
            <w:vAlign w:val="bottom"/>
            <w:hideMark/>
          </w:tcPr>
          <w:p w14:paraId="0294FA66" w14:textId="77777777" w:rsidR="00A40867" w:rsidRPr="00A40867" w:rsidRDefault="00A40867" w:rsidP="00A40867">
            <w:pPr>
              <w:spacing w:line="240" w:lineRule="auto"/>
              <w:jc w:val="center"/>
              <w:rPr>
                <w:b/>
                <w:bCs/>
                <w:color w:val="000000"/>
              </w:rPr>
            </w:pPr>
            <w:r w:rsidRPr="00A40867">
              <w:rPr>
                <w:b/>
                <w:bCs/>
                <w:color w:val="000000"/>
              </w:rPr>
              <w:t>0.127</w:t>
            </w:r>
          </w:p>
        </w:tc>
        <w:tc>
          <w:tcPr>
            <w:tcW w:w="1063" w:type="pct"/>
            <w:tcBorders>
              <w:top w:val="nil"/>
              <w:left w:val="nil"/>
              <w:bottom w:val="single" w:sz="4" w:space="0" w:color="auto"/>
              <w:right w:val="single" w:sz="4" w:space="0" w:color="auto"/>
            </w:tcBorders>
            <w:shd w:val="clear" w:color="auto" w:fill="auto"/>
            <w:noWrap/>
            <w:vAlign w:val="bottom"/>
            <w:hideMark/>
          </w:tcPr>
          <w:p w14:paraId="2856DC3E" w14:textId="77777777" w:rsidR="00A40867" w:rsidRPr="00A40867" w:rsidRDefault="00A40867" w:rsidP="00A40867">
            <w:pPr>
              <w:spacing w:line="240" w:lineRule="auto"/>
              <w:jc w:val="center"/>
              <w:rPr>
                <w:b/>
                <w:bCs/>
                <w:color w:val="000000"/>
              </w:rPr>
            </w:pPr>
            <w:r w:rsidRPr="00A40867">
              <w:rPr>
                <w:b/>
                <w:bCs/>
                <w:color w:val="000000"/>
              </w:rPr>
              <w:t>0.127</w:t>
            </w:r>
          </w:p>
        </w:tc>
        <w:tc>
          <w:tcPr>
            <w:tcW w:w="586" w:type="pct"/>
            <w:tcBorders>
              <w:top w:val="nil"/>
              <w:left w:val="nil"/>
              <w:bottom w:val="single" w:sz="4" w:space="0" w:color="auto"/>
              <w:right w:val="single" w:sz="8" w:space="0" w:color="auto"/>
            </w:tcBorders>
            <w:shd w:val="clear" w:color="auto" w:fill="auto"/>
            <w:noWrap/>
            <w:vAlign w:val="bottom"/>
            <w:hideMark/>
          </w:tcPr>
          <w:p w14:paraId="274C116A" w14:textId="77777777" w:rsidR="00A40867" w:rsidRPr="00A40867" w:rsidRDefault="00A40867" w:rsidP="00A40867">
            <w:pPr>
              <w:spacing w:line="240" w:lineRule="auto"/>
              <w:jc w:val="center"/>
              <w:rPr>
                <w:b/>
                <w:bCs/>
                <w:color w:val="000000"/>
              </w:rPr>
            </w:pPr>
            <w:r w:rsidRPr="00A40867">
              <w:rPr>
                <w:b/>
                <w:bCs/>
                <w:color w:val="000000"/>
              </w:rPr>
              <w:t>0.524</w:t>
            </w:r>
          </w:p>
        </w:tc>
      </w:tr>
      <w:tr w:rsidR="00A40867" w:rsidRPr="00A40867" w14:paraId="4CB694B0"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6A5151A8" w14:textId="77777777" w:rsidR="00A40867" w:rsidRPr="00A40867" w:rsidRDefault="00A40867" w:rsidP="00A40867">
            <w:pPr>
              <w:spacing w:line="240" w:lineRule="auto"/>
              <w:jc w:val="center"/>
              <w:rPr>
                <w:b/>
                <w:bCs/>
                <w:color w:val="000000"/>
              </w:rPr>
            </w:pPr>
            <w:r w:rsidRPr="00A40867">
              <w:rPr>
                <w:b/>
                <w:bCs/>
                <w:color w:val="000000"/>
              </w:rPr>
              <w:t>"Expense ratio"</w:t>
            </w:r>
          </w:p>
        </w:tc>
      </w:tr>
      <w:tr w:rsidR="00A40867" w:rsidRPr="00A40867" w14:paraId="64282C8B"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3730B0B"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F7B5613"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79A1EFC4"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54781C60"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1EE5778D"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6D4A9C98"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7441C5E8"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1A524753"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6187004F"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1323C9A4"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5EFB647B"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129CC8DC"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62667238" w14:textId="77777777" w:rsidR="00A40867" w:rsidRPr="00A40867" w:rsidRDefault="00A40867" w:rsidP="00A40867">
            <w:pPr>
              <w:spacing w:line="240" w:lineRule="auto"/>
              <w:jc w:val="left"/>
              <w:rPr>
                <w:color w:val="000000"/>
              </w:rPr>
            </w:pPr>
            <w:r w:rsidRPr="00A40867">
              <w:rPr>
                <w:color w:val="000000"/>
              </w:rPr>
              <w:t xml:space="preserve">Total expenses </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F38CA0E" w14:textId="77777777" w:rsidR="00A40867" w:rsidRPr="00A40867" w:rsidRDefault="00A40867" w:rsidP="00A40867">
            <w:pPr>
              <w:spacing w:line="240" w:lineRule="auto"/>
              <w:jc w:val="center"/>
              <w:rPr>
                <w:b/>
                <w:bCs/>
                <w:color w:val="000000"/>
              </w:rPr>
            </w:pPr>
            <w:r w:rsidRPr="00A40867">
              <w:rPr>
                <w:b/>
                <w:bCs/>
                <w:color w:val="000000"/>
              </w:rPr>
              <w:t xml:space="preserve">"Total  expenses / total assets" </w:t>
            </w:r>
          </w:p>
        </w:tc>
        <w:tc>
          <w:tcPr>
            <w:tcW w:w="1103" w:type="pct"/>
            <w:tcBorders>
              <w:top w:val="nil"/>
              <w:left w:val="nil"/>
              <w:bottom w:val="single" w:sz="4" w:space="0" w:color="auto"/>
              <w:right w:val="single" w:sz="4" w:space="0" w:color="auto"/>
            </w:tcBorders>
            <w:shd w:val="clear" w:color="auto" w:fill="auto"/>
            <w:noWrap/>
            <w:vAlign w:val="bottom"/>
            <w:hideMark/>
          </w:tcPr>
          <w:p w14:paraId="10AC2A4B" w14:textId="77777777" w:rsidR="00A40867" w:rsidRPr="00A40867" w:rsidRDefault="00A40867" w:rsidP="00A40867">
            <w:pPr>
              <w:spacing w:line="240" w:lineRule="auto"/>
              <w:jc w:val="center"/>
              <w:rPr>
                <w:color w:val="000000"/>
              </w:rPr>
            </w:pPr>
            <w:r w:rsidRPr="00A40867">
              <w:rPr>
                <w:color w:val="000000"/>
              </w:rPr>
              <w:t xml:space="preserve"> £                               1,894,720.00 </w:t>
            </w:r>
          </w:p>
        </w:tc>
        <w:tc>
          <w:tcPr>
            <w:tcW w:w="1063" w:type="pct"/>
            <w:tcBorders>
              <w:top w:val="nil"/>
              <w:left w:val="nil"/>
              <w:bottom w:val="single" w:sz="4" w:space="0" w:color="auto"/>
              <w:right w:val="single" w:sz="4" w:space="0" w:color="auto"/>
            </w:tcBorders>
            <w:shd w:val="clear" w:color="auto" w:fill="auto"/>
            <w:noWrap/>
            <w:vAlign w:val="bottom"/>
            <w:hideMark/>
          </w:tcPr>
          <w:p w14:paraId="37DF435B" w14:textId="77777777" w:rsidR="00A40867" w:rsidRPr="00A40867" w:rsidRDefault="00A40867" w:rsidP="00A40867">
            <w:pPr>
              <w:spacing w:line="240" w:lineRule="auto"/>
              <w:jc w:val="center"/>
              <w:rPr>
                <w:color w:val="000000"/>
              </w:rPr>
            </w:pPr>
            <w:r w:rsidRPr="00A40867">
              <w:rPr>
                <w:color w:val="000000"/>
              </w:rPr>
              <w:t xml:space="preserve"> £                             1,675,410.00 </w:t>
            </w:r>
          </w:p>
        </w:tc>
        <w:tc>
          <w:tcPr>
            <w:tcW w:w="586" w:type="pct"/>
            <w:tcBorders>
              <w:top w:val="nil"/>
              <w:left w:val="nil"/>
              <w:bottom w:val="single" w:sz="4" w:space="0" w:color="auto"/>
              <w:right w:val="single" w:sz="8" w:space="0" w:color="auto"/>
            </w:tcBorders>
            <w:shd w:val="clear" w:color="auto" w:fill="auto"/>
            <w:noWrap/>
            <w:vAlign w:val="bottom"/>
            <w:hideMark/>
          </w:tcPr>
          <w:p w14:paraId="0B27D82C" w14:textId="77777777" w:rsidR="00A40867" w:rsidRPr="00A40867" w:rsidRDefault="00A40867" w:rsidP="00A40867">
            <w:pPr>
              <w:spacing w:line="240" w:lineRule="auto"/>
              <w:jc w:val="center"/>
              <w:rPr>
                <w:color w:val="000000"/>
              </w:rPr>
            </w:pPr>
            <w:r w:rsidRPr="00A40867">
              <w:rPr>
                <w:color w:val="000000"/>
              </w:rPr>
              <w:t xml:space="preserve"> £     1,071,030.00 </w:t>
            </w:r>
          </w:p>
        </w:tc>
      </w:tr>
      <w:tr w:rsidR="00A40867" w:rsidRPr="00A40867" w14:paraId="0E160A0B"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23D24E3B" w14:textId="77777777" w:rsidR="00A40867" w:rsidRPr="00A40867" w:rsidRDefault="00A40867" w:rsidP="00A40867">
            <w:pPr>
              <w:spacing w:line="240" w:lineRule="auto"/>
              <w:jc w:val="left"/>
              <w:rPr>
                <w:color w:val="000000"/>
              </w:rPr>
            </w:pPr>
            <w:r w:rsidRPr="00A40867">
              <w:rPr>
                <w:color w:val="000000"/>
              </w:rPr>
              <w:t>Total assets</w:t>
            </w:r>
          </w:p>
        </w:tc>
        <w:tc>
          <w:tcPr>
            <w:tcW w:w="1370" w:type="pct"/>
            <w:vMerge/>
            <w:tcBorders>
              <w:top w:val="nil"/>
              <w:left w:val="single" w:sz="4" w:space="0" w:color="auto"/>
              <w:bottom w:val="single" w:sz="4" w:space="0" w:color="auto"/>
              <w:right w:val="single" w:sz="4" w:space="0" w:color="auto"/>
            </w:tcBorders>
            <w:vAlign w:val="center"/>
            <w:hideMark/>
          </w:tcPr>
          <w:p w14:paraId="560FEAA6"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3BA9CB81" w14:textId="77777777" w:rsidR="00A40867" w:rsidRPr="00A40867" w:rsidRDefault="00A40867" w:rsidP="00A40867">
            <w:pPr>
              <w:spacing w:line="240" w:lineRule="auto"/>
              <w:jc w:val="center"/>
              <w:rPr>
                <w:color w:val="000000"/>
              </w:rPr>
            </w:pPr>
            <w:r w:rsidRPr="00A40867">
              <w:rPr>
                <w:color w:val="000000"/>
              </w:rPr>
              <w:t xml:space="preserve"> £                             12,941,110.00 </w:t>
            </w:r>
          </w:p>
        </w:tc>
        <w:tc>
          <w:tcPr>
            <w:tcW w:w="1063" w:type="pct"/>
            <w:tcBorders>
              <w:top w:val="nil"/>
              <w:left w:val="nil"/>
              <w:bottom w:val="single" w:sz="4" w:space="0" w:color="auto"/>
              <w:right w:val="single" w:sz="4" w:space="0" w:color="auto"/>
            </w:tcBorders>
            <w:shd w:val="clear" w:color="auto" w:fill="auto"/>
            <w:noWrap/>
            <w:vAlign w:val="bottom"/>
            <w:hideMark/>
          </w:tcPr>
          <w:p w14:paraId="7BF0EE99" w14:textId="77777777" w:rsidR="00A40867" w:rsidRPr="00A40867" w:rsidRDefault="00A40867" w:rsidP="00A40867">
            <w:pPr>
              <w:spacing w:line="240" w:lineRule="auto"/>
              <w:jc w:val="center"/>
              <w:rPr>
                <w:color w:val="000000"/>
              </w:rPr>
            </w:pPr>
            <w:r w:rsidRPr="00A40867">
              <w:rPr>
                <w:color w:val="000000"/>
              </w:rPr>
              <w:t xml:space="preserve"> £                           15,921,080.00 </w:t>
            </w:r>
          </w:p>
        </w:tc>
        <w:tc>
          <w:tcPr>
            <w:tcW w:w="586" w:type="pct"/>
            <w:tcBorders>
              <w:top w:val="nil"/>
              <w:left w:val="nil"/>
              <w:bottom w:val="single" w:sz="4" w:space="0" w:color="auto"/>
              <w:right w:val="single" w:sz="8" w:space="0" w:color="auto"/>
            </w:tcBorders>
            <w:shd w:val="clear" w:color="auto" w:fill="auto"/>
            <w:noWrap/>
            <w:vAlign w:val="bottom"/>
            <w:hideMark/>
          </w:tcPr>
          <w:p w14:paraId="64FE6282" w14:textId="77777777" w:rsidR="00A40867" w:rsidRPr="00A40867" w:rsidRDefault="00A40867" w:rsidP="00A40867">
            <w:pPr>
              <w:spacing w:line="240" w:lineRule="auto"/>
              <w:jc w:val="center"/>
              <w:rPr>
                <w:color w:val="000000"/>
              </w:rPr>
            </w:pPr>
            <w:r w:rsidRPr="00A40867">
              <w:rPr>
                <w:color w:val="000000"/>
              </w:rPr>
              <w:t xml:space="preserve"> £   15,653,970.00 </w:t>
            </w:r>
          </w:p>
        </w:tc>
      </w:tr>
      <w:tr w:rsidR="00A40867" w:rsidRPr="00A40867" w14:paraId="0FDD43F5"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E8C0249" w14:textId="77777777" w:rsidR="00A40867" w:rsidRPr="00A40867" w:rsidRDefault="00A40867" w:rsidP="00A40867">
            <w:pPr>
              <w:spacing w:line="240" w:lineRule="auto"/>
              <w:jc w:val="center"/>
              <w:rPr>
                <w:b/>
                <w:bCs/>
                <w:color w:val="000000"/>
              </w:rPr>
            </w:pPr>
            <w:r w:rsidRPr="00A40867">
              <w:rPr>
                <w:b/>
                <w:bCs/>
                <w:color w:val="000000"/>
              </w:rPr>
              <w:t xml:space="preserve">Gross Profit Margin Ratio </w:t>
            </w:r>
          </w:p>
        </w:tc>
        <w:tc>
          <w:tcPr>
            <w:tcW w:w="1103" w:type="pct"/>
            <w:tcBorders>
              <w:top w:val="nil"/>
              <w:left w:val="nil"/>
              <w:bottom w:val="single" w:sz="4" w:space="0" w:color="auto"/>
              <w:right w:val="single" w:sz="4" w:space="0" w:color="auto"/>
            </w:tcBorders>
            <w:shd w:val="clear" w:color="auto" w:fill="auto"/>
            <w:noWrap/>
            <w:vAlign w:val="bottom"/>
            <w:hideMark/>
          </w:tcPr>
          <w:p w14:paraId="5C40B6DC" w14:textId="77777777" w:rsidR="00A40867" w:rsidRPr="00A40867" w:rsidRDefault="00A40867" w:rsidP="00A40867">
            <w:pPr>
              <w:spacing w:line="240" w:lineRule="auto"/>
              <w:jc w:val="center"/>
              <w:rPr>
                <w:b/>
                <w:bCs/>
                <w:color w:val="000000"/>
              </w:rPr>
            </w:pPr>
            <w:r w:rsidRPr="00A40867">
              <w:rPr>
                <w:b/>
                <w:bCs/>
                <w:color w:val="000000"/>
              </w:rPr>
              <w:t>0.146</w:t>
            </w:r>
          </w:p>
        </w:tc>
        <w:tc>
          <w:tcPr>
            <w:tcW w:w="1063" w:type="pct"/>
            <w:tcBorders>
              <w:top w:val="nil"/>
              <w:left w:val="nil"/>
              <w:bottom w:val="single" w:sz="4" w:space="0" w:color="auto"/>
              <w:right w:val="single" w:sz="4" w:space="0" w:color="auto"/>
            </w:tcBorders>
            <w:shd w:val="clear" w:color="auto" w:fill="auto"/>
            <w:noWrap/>
            <w:vAlign w:val="bottom"/>
            <w:hideMark/>
          </w:tcPr>
          <w:p w14:paraId="39B3F801" w14:textId="77777777" w:rsidR="00A40867" w:rsidRPr="00A40867" w:rsidRDefault="00A40867" w:rsidP="00A40867">
            <w:pPr>
              <w:spacing w:line="240" w:lineRule="auto"/>
              <w:jc w:val="center"/>
              <w:rPr>
                <w:b/>
                <w:bCs/>
                <w:color w:val="000000"/>
              </w:rPr>
            </w:pPr>
            <w:r w:rsidRPr="00A40867">
              <w:rPr>
                <w:b/>
                <w:bCs/>
                <w:color w:val="000000"/>
              </w:rPr>
              <w:t>0.105</w:t>
            </w:r>
          </w:p>
        </w:tc>
        <w:tc>
          <w:tcPr>
            <w:tcW w:w="586" w:type="pct"/>
            <w:tcBorders>
              <w:top w:val="nil"/>
              <w:left w:val="nil"/>
              <w:bottom w:val="single" w:sz="4" w:space="0" w:color="auto"/>
              <w:right w:val="single" w:sz="8" w:space="0" w:color="auto"/>
            </w:tcBorders>
            <w:shd w:val="clear" w:color="auto" w:fill="auto"/>
            <w:noWrap/>
            <w:vAlign w:val="bottom"/>
            <w:hideMark/>
          </w:tcPr>
          <w:p w14:paraId="483E0F49" w14:textId="77777777" w:rsidR="00A40867" w:rsidRPr="00A40867" w:rsidRDefault="00A40867" w:rsidP="00A40867">
            <w:pPr>
              <w:spacing w:line="240" w:lineRule="auto"/>
              <w:jc w:val="center"/>
              <w:rPr>
                <w:b/>
                <w:bCs/>
                <w:color w:val="000000"/>
              </w:rPr>
            </w:pPr>
            <w:r w:rsidRPr="00A40867">
              <w:rPr>
                <w:b/>
                <w:bCs/>
                <w:color w:val="000000"/>
              </w:rPr>
              <w:t>0.068</w:t>
            </w:r>
          </w:p>
        </w:tc>
      </w:tr>
      <w:tr w:rsidR="00A40867" w:rsidRPr="00A40867" w14:paraId="027EE03F" w14:textId="77777777" w:rsidTr="00A40867">
        <w:trPr>
          <w:trHeight w:val="315"/>
        </w:trPr>
        <w:tc>
          <w:tcPr>
            <w:tcW w:w="4414" w:type="pct"/>
            <w:gridSpan w:val="4"/>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684B8B7" w14:textId="77777777" w:rsidR="00A40867" w:rsidRPr="00A40867" w:rsidRDefault="00A40867" w:rsidP="00A40867">
            <w:pPr>
              <w:spacing w:line="240" w:lineRule="auto"/>
              <w:jc w:val="center"/>
              <w:rPr>
                <w:b/>
                <w:bCs/>
                <w:i/>
                <w:iCs/>
                <w:color w:val="000000"/>
              </w:rPr>
            </w:pPr>
            <w:r w:rsidRPr="00A40867">
              <w:rPr>
                <w:b/>
                <w:bCs/>
                <w:i/>
                <w:iCs/>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1CAF0C7D"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79EC52F1"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92D050"/>
            <w:noWrap/>
            <w:vAlign w:val="bottom"/>
            <w:hideMark/>
          </w:tcPr>
          <w:p w14:paraId="586D7347" w14:textId="77777777" w:rsidR="00A40867" w:rsidRPr="00A40867" w:rsidRDefault="00A40867" w:rsidP="00A40867">
            <w:pPr>
              <w:spacing w:line="240" w:lineRule="auto"/>
              <w:jc w:val="center"/>
              <w:rPr>
                <w:b/>
                <w:bCs/>
                <w:color w:val="000000"/>
              </w:rPr>
            </w:pPr>
            <w:r w:rsidRPr="00A40867">
              <w:rPr>
                <w:b/>
                <w:bCs/>
                <w:color w:val="000000"/>
              </w:rPr>
              <w:t xml:space="preserve">Liquidity Ratio </w:t>
            </w:r>
          </w:p>
        </w:tc>
      </w:tr>
      <w:tr w:rsidR="00A40867" w:rsidRPr="00A40867" w14:paraId="27DB837C"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7A36EAD2" w14:textId="77777777" w:rsidR="00A40867" w:rsidRPr="00A40867" w:rsidRDefault="00A40867" w:rsidP="00A40867">
            <w:pPr>
              <w:spacing w:line="240" w:lineRule="auto"/>
              <w:jc w:val="center"/>
              <w:rPr>
                <w:b/>
                <w:bCs/>
                <w:color w:val="000000"/>
              </w:rPr>
            </w:pPr>
            <w:r w:rsidRPr="00A40867">
              <w:rPr>
                <w:b/>
                <w:bCs/>
                <w:color w:val="000000"/>
              </w:rPr>
              <w:t xml:space="preserve">"Current Ratio" </w:t>
            </w:r>
          </w:p>
        </w:tc>
      </w:tr>
      <w:tr w:rsidR="00A40867" w:rsidRPr="00A40867" w14:paraId="695EB410"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B4FF601"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59D428E"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6D0F1248"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763D460B"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27B517CC"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52D80F41"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712ECA89"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2B1CEC39"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0F9F0354"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624F5EF7"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19FB2571"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2454975E"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45CE1B16" w14:textId="77777777" w:rsidR="00A40867" w:rsidRPr="00A40867" w:rsidRDefault="00A40867" w:rsidP="00A40867">
            <w:pPr>
              <w:spacing w:line="240" w:lineRule="auto"/>
              <w:jc w:val="left"/>
              <w:rPr>
                <w:color w:val="000000"/>
              </w:rPr>
            </w:pPr>
            <w:r w:rsidRPr="00A40867">
              <w:rPr>
                <w:color w:val="000000"/>
              </w:rPr>
              <w:t xml:space="preserve">Current Asset </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EF1F91B" w14:textId="77777777" w:rsidR="00A40867" w:rsidRPr="00A40867" w:rsidRDefault="00A40867" w:rsidP="00A40867">
            <w:pPr>
              <w:spacing w:line="240" w:lineRule="auto"/>
              <w:jc w:val="center"/>
              <w:rPr>
                <w:b/>
                <w:bCs/>
                <w:color w:val="000000"/>
              </w:rPr>
            </w:pPr>
            <w:r w:rsidRPr="00A40867">
              <w:rPr>
                <w:b/>
                <w:bCs/>
                <w:color w:val="000000"/>
              </w:rPr>
              <w:t>"(Current asset/Current liabilities)"</w:t>
            </w:r>
          </w:p>
        </w:tc>
        <w:tc>
          <w:tcPr>
            <w:tcW w:w="1103" w:type="pct"/>
            <w:tcBorders>
              <w:top w:val="nil"/>
              <w:left w:val="nil"/>
              <w:bottom w:val="single" w:sz="4" w:space="0" w:color="auto"/>
              <w:right w:val="single" w:sz="4" w:space="0" w:color="auto"/>
            </w:tcBorders>
            <w:shd w:val="clear" w:color="auto" w:fill="auto"/>
            <w:noWrap/>
            <w:vAlign w:val="bottom"/>
            <w:hideMark/>
          </w:tcPr>
          <w:p w14:paraId="73EE39AD" w14:textId="77777777" w:rsidR="00A40867" w:rsidRPr="00A40867" w:rsidRDefault="00A40867" w:rsidP="00A40867">
            <w:pPr>
              <w:spacing w:line="240" w:lineRule="auto"/>
              <w:jc w:val="center"/>
              <w:rPr>
                <w:color w:val="000000"/>
              </w:rPr>
            </w:pPr>
            <w:r w:rsidRPr="00A40867">
              <w:rPr>
                <w:color w:val="000000"/>
              </w:rPr>
              <w:t xml:space="preserve"> £                               1,891,970.00 </w:t>
            </w:r>
          </w:p>
        </w:tc>
        <w:tc>
          <w:tcPr>
            <w:tcW w:w="1063" w:type="pct"/>
            <w:tcBorders>
              <w:top w:val="nil"/>
              <w:left w:val="nil"/>
              <w:bottom w:val="single" w:sz="4" w:space="0" w:color="auto"/>
              <w:right w:val="single" w:sz="4" w:space="0" w:color="auto"/>
            </w:tcBorders>
            <w:shd w:val="clear" w:color="auto" w:fill="auto"/>
            <w:noWrap/>
            <w:vAlign w:val="bottom"/>
            <w:hideMark/>
          </w:tcPr>
          <w:p w14:paraId="15279CE2" w14:textId="77777777" w:rsidR="00A40867" w:rsidRPr="00A40867" w:rsidRDefault="00A40867" w:rsidP="00A40867">
            <w:pPr>
              <w:spacing w:line="240" w:lineRule="auto"/>
              <w:jc w:val="center"/>
              <w:rPr>
                <w:color w:val="000000"/>
              </w:rPr>
            </w:pPr>
            <w:r w:rsidRPr="00A40867">
              <w:rPr>
                <w:color w:val="000000"/>
              </w:rPr>
              <w:t xml:space="preserve"> £                             1,965,340.00 </w:t>
            </w:r>
          </w:p>
        </w:tc>
        <w:tc>
          <w:tcPr>
            <w:tcW w:w="586" w:type="pct"/>
            <w:tcBorders>
              <w:top w:val="nil"/>
              <w:left w:val="nil"/>
              <w:bottom w:val="single" w:sz="4" w:space="0" w:color="auto"/>
              <w:right w:val="single" w:sz="8" w:space="0" w:color="auto"/>
            </w:tcBorders>
            <w:shd w:val="clear" w:color="auto" w:fill="auto"/>
            <w:noWrap/>
            <w:vAlign w:val="bottom"/>
            <w:hideMark/>
          </w:tcPr>
          <w:p w14:paraId="2BBA4778" w14:textId="77777777" w:rsidR="00A40867" w:rsidRPr="00A40867" w:rsidRDefault="00A40867" w:rsidP="00A40867">
            <w:pPr>
              <w:spacing w:line="240" w:lineRule="auto"/>
              <w:jc w:val="center"/>
              <w:rPr>
                <w:color w:val="000000"/>
              </w:rPr>
            </w:pPr>
            <w:r w:rsidRPr="00A40867">
              <w:rPr>
                <w:color w:val="000000"/>
              </w:rPr>
              <w:t xml:space="preserve"> £     1,285,880.00 </w:t>
            </w:r>
          </w:p>
        </w:tc>
      </w:tr>
      <w:tr w:rsidR="00A40867" w:rsidRPr="00A40867" w14:paraId="1B4D1066"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5C3FC3A5" w14:textId="77777777" w:rsidR="00A40867" w:rsidRPr="00A40867" w:rsidRDefault="00A40867" w:rsidP="00A40867">
            <w:pPr>
              <w:spacing w:line="240" w:lineRule="auto"/>
              <w:jc w:val="left"/>
              <w:rPr>
                <w:color w:val="000000"/>
              </w:rPr>
            </w:pPr>
            <w:r w:rsidRPr="00A40867">
              <w:rPr>
                <w:color w:val="000000"/>
              </w:rPr>
              <w:t xml:space="preserve">Current Liabilities </w:t>
            </w:r>
          </w:p>
        </w:tc>
        <w:tc>
          <w:tcPr>
            <w:tcW w:w="1370" w:type="pct"/>
            <w:vMerge/>
            <w:tcBorders>
              <w:top w:val="nil"/>
              <w:left w:val="single" w:sz="4" w:space="0" w:color="auto"/>
              <w:bottom w:val="single" w:sz="4" w:space="0" w:color="auto"/>
              <w:right w:val="single" w:sz="4" w:space="0" w:color="auto"/>
            </w:tcBorders>
            <w:vAlign w:val="center"/>
            <w:hideMark/>
          </w:tcPr>
          <w:p w14:paraId="15416A42"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09962D3D" w14:textId="77777777" w:rsidR="00A40867" w:rsidRPr="00A40867" w:rsidRDefault="00A40867" w:rsidP="00A40867">
            <w:pPr>
              <w:spacing w:line="240" w:lineRule="auto"/>
              <w:jc w:val="center"/>
              <w:rPr>
                <w:color w:val="000000"/>
              </w:rPr>
            </w:pPr>
            <w:r w:rsidRPr="00A40867">
              <w:rPr>
                <w:color w:val="000000"/>
              </w:rPr>
              <w:t xml:space="preserve"> £                               1,957,360.00 </w:t>
            </w:r>
          </w:p>
        </w:tc>
        <w:tc>
          <w:tcPr>
            <w:tcW w:w="1063" w:type="pct"/>
            <w:tcBorders>
              <w:top w:val="nil"/>
              <w:left w:val="nil"/>
              <w:bottom w:val="single" w:sz="4" w:space="0" w:color="auto"/>
              <w:right w:val="single" w:sz="4" w:space="0" w:color="auto"/>
            </w:tcBorders>
            <w:shd w:val="clear" w:color="auto" w:fill="auto"/>
            <w:noWrap/>
            <w:vAlign w:val="bottom"/>
            <w:hideMark/>
          </w:tcPr>
          <w:p w14:paraId="615226AB" w14:textId="77777777" w:rsidR="00A40867" w:rsidRPr="00A40867" w:rsidRDefault="00A40867" w:rsidP="00A40867">
            <w:pPr>
              <w:spacing w:line="240" w:lineRule="auto"/>
              <w:jc w:val="center"/>
              <w:rPr>
                <w:color w:val="000000"/>
              </w:rPr>
            </w:pPr>
            <w:r w:rsidRPr="00A40867">
              <w:rPr>
                <w:color w:val="000000"/>
              </w:rPr>
              <w:t xml:space="preserve"> £                             2,107,750.00 </w:t>
            </w:r>
          </w:p>
        </w:tc>
        <w:tc>
          <w:tcPr>
            <w:tcW w:w="586" w:type="pct"/>
            <w:tcBorders>
              <w:top w:val="nil"/>
              <w:left w:val="nil"/>
              <w:bottom w:val="single" w:sz="4" w:space="0" w:color="auto"/>
              <w:right w:val="single" w:sz="8" w:space="0" w:color="auto"/>
            </w:tcBorders>
            <w:shd w:val="clear" w:color="auto" w:fill="auto"/>
            <w:noWrap/>
            <w:vAlign w:val="bottom"/>
            <w:hideMark/>
          </w:tcPr>
          <w:p w14:paraId="27A26017" w14:textId="77777777" w:rsidR="00A40867" w:rsidRPr="00A40867" w:rsidRDefault="00A40867" w:rsidP="00A40867">
            <w:pPr>
              <w:spacing w:line="240" w:lineRule="auto"/>
              <w:jc w:val="center"/>
              <w:rPr>
                <w:color w:val="000000"/>
              </w:rPr>
            </w:pPr>
            <w:r w:rsidRPr="00A40867">
              <w:rPr>
                <w:color w:val="000000"/>
              </w:rPr>
              <w:t xml:space="preserve"> £     2,014,600.00 </w:t>
            </w:r>
          </w:p>
        </w:tc>
      </w:tr>
      <w:tr w:rsidR="00A40867" w:rsidRPr="00A40867" w14:paraId="7C9874C8"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67ADBD0" w14:textId="77777777" w:rsidR="00A40867" w:rsidRPr="00A40867" w:rsidRDefault="00A40867" w:rsidP="00A40867">
            <w:pPr>
              <w:spacing w:line="240" w:lineRule="auto"/>
              <w:jc w:val="center"/>
              <w:rPr>
                <w:b/>
                <w:bCs/>
                <w:color w:val="000000"/>
              </w:rPr>
            </w:pPr>
            <w:r w:rsidRPr="00A40867">
              <w:rPr>
                <w:b/>
                <w:bCs/>
                <w:color w:val="000000"/>
              </w:rPr>
              <w:t>Current Ratio</w:t>
            </w:r>
          </w:p>
        </w:tc>
        <w:tc>
          <w:tcPr>
            <w:tcW w:w="1103" w:type="pct"/>
            <w:tcBorders>
              <w:top w:val="nil"/>
              <w:left w:val="nil"/>
              <w:bottom w:val="single" w:sz="4" w:space="0" w:color="auto"/>
              <w:right w:val="single" w:sz="4" w:space="0" w:color="auto"/>
            </w:tcBorders>
            <w:shd w:val="clear" w:color="auto" w:fill="auto"/>
            <w:noWrap/>
            <w:vAlign w:val="bottom"/>
            <w:hideMark/>
          </w:tcPr>
          <w:p w14:paraId="624FB4B2" w14:textId="77777777" w:rsidR="00A40867" w:rsidRPr="00A40867" w:rsidRDefault="00A40867" w:rsidP="00A40867">
            <w:pPr>
              <w:spacing w:line="240" w:lineRule="auto"/>
              <w:jc w:val="center"/>
              <w:rPr>
                <w:b/>
                <w:bCs/>
                <w:color w:val="000000"/>
              </w:rPr>
            </w:pPr>
            <w:r w:rsidRPr="00A40867">
              <w:rPr>
                <w:b/>
                <w:bCs/>
                <w:color w:val="000000"/>
              </w:rPr>
              <w:t>0.97</w:t>
            </w:r>
          </w:p>
        </w:tc>
        <w:tc>
          <w:tcPr>
            <w:tcW w:w="1063" w:type="pct"/>
            <w:tcBorders>
              <w:top w:val="nil"/>
              <w:left w:val="nil"/>
              <w:bottom w:val="single" w:sz="4" w:space="0" w:color="auto"/>
              <w:right w:val="single" w:sz="4" w:space="0" w:color="auto"/>
            </w:tcBorders>
            <w:shd w:val="clear" w:color="auto" w:fill="auto"/>
            <w:noWrap/>
            <w:vAlign w:val="bottom"/>
            <w:hideMark/>
          </w:tcPr>
          <w:p w14:paraId="26D3ED81" w14:textId="77777777" w:rsidR="00A40867" w:rsidRPr="00A40867" w:rsidRDefault="00A40867" w:rsidP="00A40867">
            <w:pPr>
              <w:spacing w:line="240" w:lineRule="auto"/>
              <w:jc w:val="center"/>
              <w:rPr>
                <w:b/>
                <w:bCs/>
                <w:color w:val="000000"/>
              </w:rPr>
            </w:pPr>
            <w:r w:rsidRPr="00A40867">
              <w:rPr>
                <w:b/>
                <w:bCs/>
                <w:color w:val="000000"/>
              </w:rPr>
              <w:t>0.93</w:t>
            </w:r>
          </w:p>
        </w:tc>
        <w:tc>
          <w:tcPr>
            <w:tcW w:w="586" w:type="pct"/>
            <w:tcBorders>
              <w:top w:val="nil"/>
              <w:left w:val="nil"/>
              <w:bottom w:val="single" w:sz="4" w:space="0" w:color="auto"/>
              <w:right w:val="single" w:sz="4" w:space="0" w:color="auto"/>
            </w:tcBorders>
            <w:shd w:val="clear" w:color="auto" w:fill="auto"/>
            <w:noWrap/>
            <w:vAlign w:val="bottom"/>
            <w:hideMark/>
          </w:tcPr>
          <w:p w14:paraId="2B4B235D" w14:textId="77777777" w:rsidR="00A40867" w:rsidRPr="00A40867" w:rsidRDefault="00A40867" w:rsidP="00A40867">
            <w:pPr>
              <w:spacing w:line="240" w:lineRule="auto"/>
              <w:jc w:val="center"/>
              <w:rPr>
                <w:b/>
                <w:bCs/>
                <w:color w:val="000000"/>
              </w:rPr>
            </w:pPr>
            <w:r w:rsidRPr="00A40867">
              <w:rPr>
                <w:b/>
                <w:bCs/>
                <w:color w:val="000000"/>
              </w:rPr>
              <w:t>0.64</w:t>
            </w:r>
          </w:p>
        </w:tc>
      </w:tr>
      <w:tr w:rsidR="00A40867" w:rsidRPr="00A40867" w14:paraId="48724FC6"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7FC5203A" w14:textId="77777777" w:rsidR="00A40867" w:rsidRPr="00A40867" w:rsidRDefault="00A40867" w:rsidP="00A40867">
            <w:pPr>
              <w:spacing w:line="240" w:lineRule="auto"/>
              <w:jc w:val="center"/>
              <w:rPr>
                <w:b/>
                <w:bCs/>
                <w:color w:val="000000"/>
              </w:rPr>
            </w:pPr>
            <w:r w:rsidRPr="00A40867">
              <w:rPr>
                <w:b/>
                <w:bCs/>
                <w:color w:val="000000"/>
              </w:rPr>
              <w:t xml:space="preserve">"Cash Ratio"  </w:t>
            </w:r>
          </w:p>
        </w:tc>
      </w:tr>
      <w:tr w:rsidR="00A40867" w:rsidRPr="00A40867" w14:paraId="4EE43D0B"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46B3EC3"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153A4E5"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00E9A7CF"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1ED74FAC"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4518438C"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0D1581CF"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2506B5CD"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0D79350B"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7DF4A9FB"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2E29EADC"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1923CA53"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23029D18"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0D21A9C2" w14:textId="77777777" w:rsidR="00A40867" w:rsidRPr="00A40867" w:rsidRDefault="00A40867" w:rsidP="00A40867">
            <w:pPr>
              <w:spacing w:line="240" w:lineRule="auto"/>
              <w:jc w:val="left"/>
              <w:rPr>
                <w:color w:val="1F1F1F"/>
              </w:rPr>
            </w:pPr>
            <w:r w:rsidRPr="00A40867">
              <w:rPr>
                <w:color w:val="1F1F1F"/>
              </w:rPr>
              <w:t>Cash and Cash Equivalents</w:t>
            </w:r>
          </w:p>
        </w:tc>
        <w:tc>
          <w:tcPr>
            <w:tcW w:w="1370" w:type="pct"/>
            <w:vMerge w:val="restart"/>
            <w:tcBorders>
              <w:top w:val="nil"/>
              <w:left w:val="single" w:sz="4" w:space="0" w:color="auto"/>
              <w:bottom w:val="single" w:sz="4" w:space="0" w:color="auto"/>
              <w:right w:val="single" w:sz="4" w:space="0" w:color="auto"/>
            </w:tcBorders>
            <w:shd w:val="clear" w:color="auto" w:fill="auto"/>
            <w:vAlign w:val="center"/>
            <w:hideMark/>
          </w:tcPr>
          <w:p w14:paraId="5F7A3CDC" w14:textId="77777777" w:rsidR="00A40867" w:rsidRPr="00A40867" w:rsidRDefault="00A40867" w:rsidP="00A40867">
            <w:pPr>
              <w:spacing w:line="240" w:lineRule="auto"/>
              <w:jc w:val="center"/>
              <w:rPr>
                <w:b/>
                <w:bCs/>
                <w:color w:val="000000"/>
              </w:rPr>
            </w:pPr>
            <w:r w:rsidRPr="00A40867">
              <w:rPr>
                <w:b/>
                <w:bCs/>
                <w:color w:val="000000"/>
              </w:rPr>
              <w:t>"Cash and Cash Equivalents / Current Liabilities"</w:t>
            </w:r>
          </w:p>
        </w:tc>
        <w:tc>
          <w:tcPr>
            <w:tcW w:w="1103" w:type="pct"/>
            <w:tcBorders>
              <w:top w:val="nil"/>
              <w:left w:val="nil"/>
              <w:bottom w:val="single" w:sz="4" w:space="0" w:color="auto"/>
              <w:right w:val="single" w:sz="4" w:space="0" w:color="auto"/>
            </w:tcBorders>
            <w:shd w:val="clear" w:color="auto" w:fill="auto"/>
            <w:noWrap/>
            <w:vAlign w:val="bottom"/>
            <w:hideMark/>
          </w:tcPr>
          <w:p w14:paraId="6F7DA567" w14:textId="77777777" w:rsidR="00A40867" w:rsidRPr="00A40867" w:rsidRDefault="00A40867" w:rsidP="00A40867">
            <w:pPr>
              <w:spacing w:line="240" w:lineRule="auto"/>
              <w:jc w:val="center"/>
              <w:rPr>
                <w:color w:val="000000"/>
              </w:rPr>
            </w:pPr>
            <w:r w:rsidRPr="00A40867">
              <w:rPr>
                <w:color w:val="000000"/>
              </w:rPr>
              <w:t xml:space="preserve"> £                                  740,590.00 </w:t>
            </w:r>
          </w:p>
        </w:tc>
        <w:tc>
          <w:tcPr>
            <w:tcW w:w="1063" w:type="pct"/>
            <w:tcBorders>
              <w:top w:val="nil"/>
              <w:left w:val="nil"/>
              <w:bottom w:val="single" w:sz="4" w:space="0" w:color="auto"/>
              <w:right w:val="single" w:sz="4" w:space="0" w:color="auto"/>
            </w:tcBorders>
            <w:shd w:val="clear" w:color="auto" w:fill="auto"/>
            <w:noWrap/>
            <w:vAlign w:val="bottom"/>
            <w:hideMark/>
          </w:tcPr>
          <w:p w14:paraId="423F4652" w14:textId="77777777" w:rsidR="00A40867" w:rsidRPr="00A40867" w:rsidRDefault="00A40867" w:rsidP="00A40867">
            <w:pPr>
              <w:spacing w:line="240" w:lineRule="auto"/>
              <w:jc w:val="center"/>
              <w:rPr>
                <w:color w:val="000000"/>
              </w:rPr>
            </w:pPr>
            <w:r w:rsidRPr="00A40867">
              <w:rPr>
                <w:color w:val="000000"/>
              </w:rPr>
              <w:t xml:space="preserve"> £                                641,620.00 </w:t>
            </w:r>
          </w:p>
        </w:tc>
        <w:tc>
          <w:tcPr>
            <w:tcW w:w="586" w:type="pct"/>
            <w:tcBorders>
              <w:top w:val="nil"/>
              <w:left w:val="nil"/>
              <w:bottom w:val="single" w:sz="4" w:space="0" w:color="auto"/>
              <w:right w:val="single" w:sz="8" w:space="0" w:color="auto"/>
            </w:tcBorders>
            <w:shd w:val="clear" w:color="auto" w:fill="auto"/>
            <w:noWrap/>
            <w:vAlign w:val="bottom"/>
            <w:hideMark/>
          </w:tcPr>
          <w:p w14:paraId="107992D5" w14:textId="77777777" w:rsidR="00A40867" w:rsidRPr="00A40867" w:rsidRDefault="00A40867" w:rsidP="00A40867">
            <w:pPr>
              <w:spacing w:line="240" w:lineRule="auto"/>
              <w:jc w:val="center"/>
              <w:rPr>
                <w:color w:val="000000"/>
              </w:rPr>
            </w:pPr>
            <w:r w:rsidRPr="00A40867">
              <w:rPr>
                <w:color w:val="000000"/>
              </w:rPr>
              <w:t xml:space="preserve"> £        295,510.00 </w:t>
            </w:r>
          </w:p>
        </w:tc>
      </w:tr>
      <w:tr w:rsidR="00A40867" w:rsidRPr="00A40867" w14:paraId="709B0745"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36515F89" w14:textId="77777777" w:rsidR="00A40867" w:rsidRPr="00A40867" w:rsidRDefault="00A40867" w:rsidP="00A40867">
            <w:pPr>
              <w:spacing w:line="240" w:lineRule="auto"/>
              <w:jc w:val="left"/>
              <w:rPr>
                <w:color w:val="1F1F1F"/>
              </w:rPr>
            </w:pPr>
            <w:r w:rsidRPr="00A40867">
              <w:rPr>
                <w:color w:val="1F1F1F"/>
              </w:rPr>
              <w:t>Current Liabilities</w:t>
            </w:r>
          </w:p>
        </w:tc>
        <w:tc>
          <w:tcPr>
            <w:tcW w:w="1370" w:type="pct"/>
            <w:vMerge/>
            <w:tcBorders>
              <w:top w:val="nil"/>
              <w:left w:val="single" w:sz="4" w:space="0" w:color="auto"/>
              <w:bottom w:val="single" w:sz="4" w:space="0" w:color="auto"/>
              <w:right w:val="single" w:sz="4" w:space="0" w:color="auto"/>
            </w:tcBorders>
            <w:vAlign w:val="center"/>
            <w:hideMark/>
          </w:tcPr>
          <w:p w14:paraId="6ACADEFD"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03D9700C" w14:textId="77777777" w:rsidR="00A40867" w:rsidRPr="00A40867" w:rsidRDefault="00A40867" w:rsidP="00A40867">
            <w:pPr>
              <w:spacing w:line="240" w:lineRule="auto"/>
              <w:jc w:val="center"/>
              <w:rPr>
                <w:color w:val="000000"/>
              </w:rPr>
            </w:pPr>
            <w:r w:rsidRPr="00A40867">
              <w:rPr>
                <w:color w:val="000000"/>
              </w:rPr>
              <w:t xml:space="preserve"> £                               1,957,360.00 </w:t>
            </w:r>
          </w:p>
        </w:tc>
        <w:tc>
          <w:tcPr>
            <w:tcW w:w="1063" w:type="pct"/>
            <w:tcBorders>
              <w:top w:val="nil"/>
              <w:left w:val="nil"/>
              <w:bottom w:val="single" w:sz="4" w:space="0" w:color="auto"/>
              <w:right w:val="single" w:sz="4" w:space="0" w:color="auto"/>
            </w:tcBorders>
            <w:shd w:val="clear" w:color="auto" w:fill="auto"/>
            <w:noWrap/>
            <w:vAlign w:val="bottom"/>
            <w:hideMark/>
          </w:tcPr>
          <w:p w14:paraId="47AC31A2" w14:textId="77777777" w:rsidR="00A40867" w:rsidRPr="00A40867" w:rsidRDefault="00A40867" w:rsidP="00A40867">
            <w:pPr>
              <w:spacing w:line="240" w:lineRule="auto"/>
              <w:jc w:val="center"/>
              <w:rPr>
                <w:color w:val="000000"/>
              </w:rPr>
            </w:pPr>
            <w:r w:rsidRPr="00A40867">
              <w:rPr>
                <w:color w:val="000000"/>
              </w:rPr>
              <w:t xml:space="preserve"> £                             2,107,750.00 </w:t>
            </w:r>
          </w:p>
        </w:tc>
        <w:tc>
          <w:tcPr>
            <w:tcW w:w="586" w:type="pct"/>
            <w:tcBorders>
              <w:top w:val="nil"/>
              <w:left w:val="nil"/>
              <w:bottom w:val="single" w:sz="4" w:space="0" w:color="auto"/>
              <w:right w:val="single" w:sz="4" w:space="0" w:color="auto"/>
            </w:tcBorders>
            <w:shd w:val="clear" w:color="auto" w:fill="auto"/>
            <w:noWrap/>
            <w:vAlign w:val="bottom"/>
            <w:hideMark/>
          </w:tcPr>
          <w:p w14:paraId="33F8F350" w14:textId="77777777" w:rsidR="00A40867" w:rsidRPr="00A40867" w:rsidRDefault="00A40867" w:rsidP="00A40867">
            <w:pPr>
              <w:spacing w:line="240" w:lineRule="auto"/>
              <w:jc w:val="center"/>
              <w:rPr>
                <w:color w:val="000000"/>
              </w:rPr>
            </w:pPr>
            <w:r w:rsidRPr="00A40867">
              <w:rPr>
                <w:color w:val="000000"/>
              </w:rPr>
              <w:t xml:space="preserve"> £     2,014,600.00 </w:t>
            </w:r>
          </w:p>
        </w:tc>
      </w:tr>
      <w:tr w:rsidR="00A40867" w:rsidRPr="00A40867" w14:paraId="185119DC"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672DFA6" w14:textId="77777777" w:rsidR="00A40867" w:rsidRPr="00A40867" w:rsidRDefault="00A40867" w:rsidP="00A40867">
            <w:pPr>
              <w:spacing w:line="240" w:lineRule="auto"/>
              <w:jc w:val="center"/>
              <w:rPr>
                <w:b/>
                <w:bCs/>
                <w:color w:val="000000"/>
              </w:rPr>
            </w:pPr>
            <w:r w:rsidRPr="00A40867">
              <w:rPr>
                <w:b/>
                <w:bCs/>
                <w:color w:val="000000"/>
              </w:rPr>
              <w:t>Cash Ratio</w:t>
            </w:r>
          </w:p>
        </w:tc>
        <w:tc>
          <w:tcPr>
            <w:tcW w:w="1103" w:type="pct"/>
            <w:tcBorders>
              <w:top w:val="nil"/>
              <w:left w:val="nil"/>
              <w:bottom w:val="single" w:sz="4" w:space="0" w:color="auto"/>
              <w:right w:val="single" w:sz="4" w:space="0" w:color="auto"/>
            </w:tcBorders>
            <w:shd w:val="clear" w:color="auto" w:fill="auto"/>
            <w:noWrap/>
            <w:vAlign w:val="bottom"/>
            <w:hideMark/>
          </w:tcPr>
          <w:p w14:paraId="7FFAA743" w14:textId="77777777" w:rsidR="00A40867" w:rsidRPr="00A40867" w:rsidRDefault="00A40867" w:rsidP="00A40867">
            <w:pPr>
              <w:spacing w:line="240" w:lineRule="auto"/>
              <w:jc w:val="center"/>
              <w:rPr>
                <w:b/>
                <w:bCs/>
                <w:color w:val="000000"/>
              </w:rPr>
            </w:pPr>
            <w:r w:rsidRPr="00A40867">
              <w:rPr>
                <w:b/>
                <w:bCs/>
                <w:color w:val="000000"/>
              </w:rPr>
              <w:t>0.38</w:t>
            </w:r>
          </w:p>
        </w:tc>
        <w:tc>
          <w:tcPr>
            <w:tcW w:w="1063" w:type="pct"/>
            <w:tcBorders>
              <w:top w:val="nil"/>
              <w:left w:val="nil"/>
              <w:bottom w:val="single" w:sz="4" w:space="0" w:color="auto"/>
              <w:right w:val="single" w:sz="4" w:space="0" w:color="auto"/>
            </w:tcBorders>
            <w:shd w:val="clear" w:color="auto" w:fill="auto"/>
            <w:noWrap/>
            <w:vAlign w:val="bottom"/>
            <w:hideMark/>
          </w:tcPr>
          <w:p w14:paraId="4DEFABE0" w14:textId="77777777" w:rsidR="00A40867" w:rsidRPr="00A40867" w:rsidRDefault="00A40867" w:rsidP="00A40867">
            <w:pPr>
              <w:spacing w:line="240" w:lineRule="auto"/>
              <w:jc w:val="center"/>
              <w:rPr>
                <w:b/>
                <w:bCs/>
                <w:color w:val="000000"/>
              </w:rPr>
            </w:pPr>
            <w:r w:rsidRPr="00A40867">
              <w:rPr>
                <w:b/>
                <w:bCs/>
                <w:color w:val="000000"/>
              </w:rPr>
              <w:t>0.30</w:t>
            </w:r>
          </w:p>
        </w:tc>
        <w:tc>
          <w:tcPr>
            <w:tcW w:w="586" w:type="pct"/>
            <w:tcBorders>
              <w:top w:val="nil"/>
              <w:left w:val="nil"/>
              <w:bottom w:val="single" w:sz="4" w:space="0" w:color="auto"/>
              <w:right w:val="single" w:sz="8" w:space="0" w:color="auto"/>
            </w:tcBorders>
            <w:shd w:val="clear" w:color="auto" w:fill="auto"/>
            <w:noWrap/>
            <w:vAlign w:val="bottom"/>
            <w:hideMark/>
          </w:tcPr>
          <w:p w14:paraId="7EA197FF" w14:textId="77777777" w:rsidR="00A40867" w:rsidRPr="00A40867" w:rsidRDefault="00A40867" w:rsidP="00A40867">
            <w:pPr>
              <w:spacing w:line="240" w:lineRule="auto"/>
              <w:jc w:val="center"/>
              <w:rPr>
                <w:b/>
                <w:bCs/>
                <w:color w:val="000000"/>
              </w:rPr>
            </w:pPr>
            <w:r w:rsidRPr="00A40867">
              <w:rPr>
                <w:b/>
                <w:bCs/>
                <w:color w:val="000000"/>
              </w:rPr>
              <w:t>0.15</w:t>
            </w:r>
          </w:p>
        </w:tc>
      </w:tr>
      <w:tr w:rsidR="00A40867" w:rsidRPr="00A40867" w14:paraId="0C00ECFE"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7A59C916"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370" w:type="pct"/>
            <w:tcBorders>
              <w:top w:val="nil"/>
              <w:left w:val="nil"/>
              <w:bottom w:val="single" w:sz="4" w:space="0" w:color="auto"/>
              <w:right w:val="single" w:sz="4" w:space="0" w:color="auto"/>
            </w:tcBorders>
            <w:shd w:val="clear" w:color="auto" w:fill="auto"/>
            <w:noWrap/>
            <w:vAlign w:val="bottom"/>
            <w:hideMark/>
          </w:tcPr>
          <w:p w14:paraId="61844BB9"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103" w:type="pct"/>
            <w:tcBorders>
              <w:top w:val="nil"/>
              <w:left w:val="nil"/>
              <w:bottom w:val="single" w:sz="4" w:space="0" w:color="auto"/>
              <w:right w:val="single" w:sz="4" w:space="0" w:color="auto"/>
            </w:tcBorders>
            <w:shd w:val="clear" w:color="auto" w:fill="auto"/>
            <w:noWrap/>
            <w:vAlign w:val="bottom"/>
            <w:hideMark/>
          </w:tcPr>
          <w:p w14:paraId="2B59E66E"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32E9C4DB"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4D31D68E"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329350AB" w14:textId="77777777" w:rsidTr="00A40867">
        <w:trPr>
          <w:trHeight w:val="289"/>
        </w:trPr>
        <w:tc>
          <w:tcPr>
            <w:tcW w:w="5000" w:type="pct"/>
            <w:gridSpan w:val="5"/>
            <w:tcBorders>
              <w:top w:val="single" w:sz="4" w:space="0" w:color="auto"/>
              <w:left w:val="single" w:sz="8" w:space="0" w:color="auto"/>
              <w:bottom w:val="single" w:sz="4" w:space="0" w:color="auto"/>
              <w:right w:val="single" w:sz="8" w:space="0" w:color="000000"/>
            </w:tcBorders>
            <w:shd w:val="clear" w:color="000000" w:fill="92D050"/>
            <w:noWrap/>
            <w:vAlign w:val="bottom"/>
            <w:hideMark/>
          </w:tcPr>
          <w:p w14:paraId="1A9072DD" w14:textId="77777777" w:rsidR="00A40867" w:rsidRPr="00A40867" w:rsidRDefault="00A40867" w:rsidP="00A40867">
            <w:pPr>
              <w:spacing w:line="240" w:lineRule="auto"/>
              <w:jc w:val="center"/>
              <w:rPr>
                <w:b/>
                <w:bCs/>
                <w:color w:val="000000"/>
              </w:rPr>
            </w:pPr>
            <w:r w:rsidRPr="00A40867">
              <w:rPr>
                <w:b/>
                <w:bCs/>
                <w:color w:val="000000"/>
              </w:rPr>
              <w:t xml:space="preserve">*Solvency Ratio* </w:t>
            </w:r>
          </w:p>
        </w:tc>
      </w:tr>
      <w:tr w:rsidR="00A40867" w:rsidRPr="00A40867" w14:paraId="52C7D779" w14:textId="77777777" w:rsidTr="00A40867">
        <w:trPr>
          <w:trHeight w:val="278"/>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588A756E" w14:textId="77777777" w:rsidR="00A40867" w:rsidRPr="00A40867" w:rsidRDefault="00A40867" w:rsidP="00A40867">
            <w:pPr>
              <w:spacing w:line="240" w:lineRule="auto"/>
              <w:jc w:val="center"/>
              <w:rPr>
                <w:b/>
                <w:bCs/>
                <w:color w:val="000000"/>
              </w:rPr>
            </w:pPr>
            <w:r w:rsidRPr="00A40867">
              <w:rPr>
                <w:b/>
                <w:bCs/>
                <w:color w:val="000000"/>
              </w:rPr>
              <w:t>Debt-to-equity ratio</w:t>
            </w:r>
          </w:p>
        </w:tc>
      </w:tr>
      <w:tr w:rsidR="00A40867" w:rsidRPr="00A40867" w14:paraId="6B8BCBF3" w14:textId="77777777" w:rsidTr="00A40867">
        <w:trPr>
          <w:trHeight w:val="289"/>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7A226FB"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2BE45DA"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588A676E"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50AEB962"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5A0ACDF3"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025918BA" w14:textId="77777777" w:rsidTr="00A40867">
        <w:trPr>
          <w:trHeight w:val="278"/>
        </w:trPr>
        <w:tc>
          <w:tcPr>
            <w:tcW w:w="878" w:type="pct"/>
            <w:vMerge/>
            <w:tcBorders>
              <w:top w:val="nil"/>
              <w:left w:val="single" w:sz="8" w:space="0" w:color="auto"/>
              <w:bottom w:val="single" w:sz="4" w:space="0" w:color="auto"/>
              <w:right w:val="single" w:sz="4" w:space="0" w:color="auto"/>
            </w:tcBorders>
            <w:vAlign w:val="center"/>
            <w:hideMark/>
          </w:tcPr>
          <w:p w14:paraId="6D1C1FF6"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6B0315C7"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70676568" w14:textId="77777777" w:rsidR="00A40867" w:rsidRPr="00A40867" w:rsidRDefault="00A40867" w:rsidP="00A40867">
            <w:pPr>
              <w:spacing w:line="240" w:lineRule="auto"/>
              <w:jc w:val="center"/>
              <w:rPr>
                <w:color w:val="000000"/>
              </w:rPr>
            </w:pPr>
            <w:r w:rsidRPr="00A40867">
              <w:rPr>
                <w:color w:val="000000"/>
              </w:rPr>
              <w:t> </w:t>
            </w:r>
          </w:p>
        </w:tc>
        <w:tc>
          <w:tcPr>
            <w:tcW w:w="1063" w:type="pct"/>
            <w:tcBorders>
              <w:top w:val="nil"/>
              <w:left w:val="nil"/>
              <w:bottom w:val="single" w:sz="4" w:space="0" w:color="auto"/>
              <w:right w:val="single" w:sz="4" w:space="0" w:color="auto"/>
            </w:tcBorders>
            <w:shd w:val="clear" w:color="auto" w:fill="auto"/>
            <w:noWrap/>
            <w:vAlign w:val="bottom"/>
            <w:hideMark/>
          </w:tcPr>
          <w:p w14:paraId="49AA3932" w14:textId="77777777" w:rsidR="00A40867" w:rsidRPr="00A40867" w:rsidRDefault="00A40867" w:rsidP="00A40867">
            <w:pPr>
              <w:spacing w:line="240" w:lineRule="auto"/>
              <w:jc w:val="center"/>
              <w:rPr>
                <w:color w:val="000000"/>
              </w:rPr>
            </w:pPr>
            <w:r w:rsidRPr="00A40867">
              <w:rPr>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22611B17"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5C70B947"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2F16431B" w14:textId="77777777" w:rsidR="00A40867" w:rsidRPr="00A40867" w:rsidRDefault="00A40867" w:rsidP="00A40867">
            <w:pPr>
              <w:spacing w:line="240" w:lineRule="auto"/>
              <w:jc w:val="left"/>
              <w:rPr>
                <w:color w:val="000000"/>
              </w:rPr>
            </w:pPr>
            <w:r w:rsidRPr="00A40867">
              <w:rPr>
                <w:color w:val="000000"/>
              </w:rPr>
              <w:t>total liabilities</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4192ABF" w14:textId="77777777" w:rsidR="00A40867" w:rsidRPr="00A40867" w:rsidRDefault="00A40867" w:rsidP="00A40867">
            <w:pPr>
              <w:spacing w:line="240" w:lineRule="auto"/>
              <w:jc w:val="center"/>
              <w:rPr>
                <w:b/>
                <w:bCs/>
                <w:color w:val="000000"/>
              </w:rPr>
            </w:pPr>
            <w:r w:rsidRPr="00A40867">
              <w:rPr>
                <w:b/>
                <w:bCs/>
                <w:color w:val="000000"/>
              </w:rPr>
              <w:t>"total liabilities/shareholders' equity"</w:t>
            </w:r>
          </w:p>
        </w:tc>
        <w:tc>
          <w:tcPr>
            <w:tcW w:w="1103" w:type="pct"/>
            <w:tcBorders>
              <w:top w:val="nil"/>
              <w:left w:val="nil"/>
              <w:bottom w:val="single" w:sz="4" w:space="0" w:color="auto"/>
              <w:right w:val="single" w:sz="4" w:space="0" w:color="auto"/>
            </w:tcBorders>
            <w:shd w:val="clear" w:color="auto" w:fill="auto"/>
            <w:noWrap/>
            <w:vAlign w:val="bottom"/>
            <w:hideMark/>
          </w:tcPr>
          <w:p w14:paraId="548993E3" w14:textId="77777777" w:rsidR="00A40867" w:rsidRPr="00A40867" w:rsidRDefault="00A40867" w:rsidP="00A40867">
            <w:pPr>
              <w:spacing w:line="240" w:lineRule="auto"/>
              <w:jc w:val="center"/>
              <w:rPr>
                <w:color w:val="000000"/>
              </w:rPr>
            </w:pPr>
            <w:r w:rsidRPr="00A40867">
              <w:rPr>
                <w:color w:val="000000"/>
              </w:rPr>
              <w:t xml:space="preserve"> £                             10,684,940.00 </w:t>
            </w:r>
          </w:p>
        </w:tc>
        <w:tc>
          <w:tcPr>
            <w:tcW w:w="1063" w:type="pct"/>
            <w:tcBorders>
              <w:top w:val="nil"/>
              <w:left w:val="nil"/>
              <w:bottom w:val="single" w:sz="4" w:space="0" w:color="auto"/>
              <w:right w:val="single" w:sz="4" w:space="0" w:color="auto"/>
            </w:tcBorders>
            <w:shd w:val="clear" w:color="auto" w:fill="auto"/>
            <w:noWrap/>
            <w:vAlign w:val="bottom"/>
            <w:hideMark/>
          </w:tcPr>
          <w:p w14:paraId="3CFB55A4" w14:textId="77777777" w:rsidR="00A40867" w:rsidRPr="00A40867" w:rsidRDefault="00A40867" w:rsidP="00A40867">
            <w:pPr>
              <w:spacing w:line="240" w:lineRule="auto"/>
              <w:jc w:val="center"/>
              <w:rPr>
                <w:color w:val="000000"/>
              </w:rPr>
            </w:pPr>
            <w:r w:rsidRPr="00A40867">
              <w:rPr>
                <w:color w:val="000000"/>
              </w:rPr>
              <w:t xml:space="preserve"> £                           13,338,050.00 </w:t>
            </w:r>
          </w:p>
        </w:tc>
        <w:tc>
          <w:tcPr>
            <w:tcW w:w="586" w:type="pct"/>
            <w:tcBorders>
              <w:top w:val="nil"/>
              <w:left w:val="nil"/>
              <w:bottom w:val="single" w:sz="4" w:space="0" w:color="auto"/>
              <w:right w:val="single" w:sz="8" w:space="0" w:color="auto"/>
            </w:tcBorders>
            <w:shd w:val="clear" w:color="auto" w:fill="auto"/>
            <w:noWrap/>
            <w:vAlign w:val="bottom"/>
            <w:hideMark/>
          </w:tcPr>
          <w:p w14:paraId="111136D1" w14:textId="77777777" w:rsidR="00A40867" w:rsidRPr="00A40867" w:rsidRDefault="00A40867" w:rsidP="00A40867">
            <w:pPr>
              <w:spacing w:line="240" w:lineRule="auto"/>
              <w:jc w:val="center"/>
              <w:rPr>
                <w:color w:val="000000"/>
              </w:rPr>
            </w:pPr>
            <w:r w:rsidRPr="00A40867">
              <w:rPr>
                <w:color w:val="000000"/>
              </w:rPr>
              <w:t xml:space="preserve"> £   14,243,390.00 </w:t>
            </w:r>
          </w:p>
        </w:tc>
      </w:tr>
      <w:tr w:rsidR="00A40867" w:rsidRPr="00A40867" w14:paraId="17112A9C"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6B80D253" w14:textId="77777777" w:rsidR="00A40867" w:rsidRPr="00A40867" w:rsidRDefault="00A40867" w:rsidP="00A40867">
            <w:pPr>
              <w:spacing w:line="240" w:lineRule="auto"/>
              <w:jc w:val="left"/>
              <w:rPr>
                <w:color w:val="000000"/>
              </w:rPr>
            </w:pPr>
            <w:r w:rsidRPr="00A40867">
              <w:rPr>
                <w:color w:val="000000"/>
              </w:rPr>
              <w:t>shareholders' equity</w:t>
            </w:r>
          </w:p>
        </w:tc>
        <w:tc>
          <w:tcPr>
            <w:tcW w:w="1370" w:type="pct"/>
            <w:vMerge/>
            <w:tcBorders>
              <w:top w:val="nil"/>
              <w:left w:val="single" w:sz="4" w:space="0" w:color="auto"/>
              <w:bottom w:val="single" w:sz="4" w:space="0" w:color="auto"/>
              <w:right w:val="single" w:sz="4" w:space="0" w:color="auto"/>
            </w:tcBorders>
            <w:vAlign w:val="center"/>
            <w:hideMark/>
          </w:tcPr>
          <w:p w14:paraId="4811ABD2"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68F95FE4" w14:textId="77777777" w:rsidR="00A40867" w:rsidRPr="00A40867" w:rsidRDefault="00A40867" w:rsidP="00A40867">
            <w:pPr>
              <w:spacing w:line="240" w:lineRule="auto"/>
              <w:jc w:val="center"/>
              <w:rPr>
                <w:color w:val="000000"/>
              </w:rPr>
            </w:pPr>
            <w:r w:rsidRPr="00A40867">
              <w:rPr>
                <w:color w:val="000000"/>
              </w:rPr>
              <w:t xml:space="preserve"> £                               2,256,180.00 </w:t>
            </w:r>
          </w:p>
        </w:tc>
        <w:tc>
          <w:tcPr>
            <w:tcW w:w="1063" w:type="pct"/>
            <w:tcBorders>
              <w:top w:val="nil"/>
              <w:left w:val="nil"/>
              <w:bottom w:val="single" w:sz="4" w:space="0" w:color="auto"/>
              <w:right w:val="single" w:sz="4" w:space="0" w:color="auto"/>
            </w:tcBorders>
            <w:shd w:val="clear" w:color="auto" w:fill="auto"/>
            <w:noWrap/>
            <w:vAlign w:val="bottom"/>
            <w:hideMark/>
          </w:tcPr>
          <w:p w14:paraId="41E0AE68" w14:textId="77777777" w:rsidR="00A40867" w:rsidRPr="00A40867" w:rsidRDefault="00A40867" w:rsidP="00A40867">
            <w:pPr>
              <w:spacing w:line="240" w:lineRule="auto"/>
              <w:jc w:val="center"/>
              <w:rPr>
                <w:color w:val="000000"/>
              </w:rPr>
            </w:pPr>
            <w:r w:rsidRPr="00A40867">
              <w:rPr>
                <w:color w:val="000000"/>
              </w:rPr>
              <w:t xml:space="preserve"> £                             2,583,030.00 </w:t>
            </w:r>
          </w:p>
        </w:tc>
        <w:tc>
          <w:tcPr>
            <w:tcW w:w="586" w:type="pct"/>
            <w:tcBorders>
              <w:top w:val="nil"/>
              <w:left w:val="nil"/>
              <w:bottom w:val="single" w:sz="4" w:space="0" w:color="auto"/>
              <w:right w:val="single" w:sz="8" w:space="0" w:color="auto"/>
            </w:tcBorders>
            <w:shd w:val="clear" w:color="auto" w:fill="auto"/>
            <w:noWrap/>
            <w:vAlign w:val="bottom"/>
            <w:hideMark/>
          </w:tcPr>
          <w:p w14:paraId="638F99EE" w14:textId="77777777" w:rsidR="00A40867" w:rsidRPr="00A40867" w:rsidRDefault="00A40867" w:rsidP="00A40867">
            <w:pPr>
              <w:spacing w:line="240" w:lineRule="auto"/>
              <w:jc w:val="center"/>
              <w:rPr>
                <w:color w:val="000000"/>
              </w:rPr>
            </w:pPr>
            <w:r w:rsidRPr="00A40867">
              <w:rPr>
                <w:color w:val="000000"/>
              </w:rPr>
              <w:t xml:space="preserve"> £     1,410,580.00 </w:t>
            </w:r>
          </w:p>
        </w:tc>
      </w:tr>
      <w:tr w:rsidR="00A40867" w:rsidRPr="00A40867" w14:paraId="5A642C8C" w14:textId="77777777" w:rsidTr="00A40867">
        <w:trPr>
          <w:trHeight w:val="289"/>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89C72C6" w14:textId="77777777" w:rsidR="00A40867" w:rsidRPr="00A40867" w:rsidRDefault="00A40867" w:rsidP="00A40867">
            <w:pPr>
              <w:spacing w:line="240" w:lineRule="auto"/>
              <w:jc w:val="center"/>
              <w:rPr>
                <w:b/>
                <w:bCs/>
                <w:color w:val="000000"/>
              </w:rPr>
            </w:pPr>
            <w:r w:rsidRPr="00A40867">
              <w:rPr>
                <w:b/>
                <w:bCs/>
                <w:color w:val="000000"/>
              </w:rPr>
              <w:t>"Debt-to-equity ratio"</w:t>
            </w:r>
          </w:p>
        </w:tc>
        <w:tc>
          <w:tcPr>
            <w:tcW w:w="1103" w:type="pct"/>
            <w:tcBorders>
              <w:top w:val="nil"/>
              <w:left w:val="nil"/>
              <w:bottom w:val="single" w:sz="4" w:space="0" w:color="auto"/>
              <w:right w:val="single" w:sz="4" w:space="0" w:color="auto"/>
            </w:tcBorders>
            <w:shd w:val="clear" w:color="auto" w:fill="auto"/>
            <w:noWrap/>
            <w:vAlign w:val="bottom"/>
            <w:hideMark/>
          </w:tcPr>
          <w:p w14:paraId="74EBD012" w14:textId="77777777" w:rsidR="00A40867" w:rsidRPr="00A40867" w:rsidRDefault="00A40867" w:rsidP="00A40867">
            <w:pPr>
              <w:spacing w:line="240" w:lineRule="auto"/>
              <w:jc w:val="center"/>
              <w:rPr>
                <w:b/>
                <w:bCs/>
                <w:color w:val="000000"/>
              </w:rPr>
            </w:pPr>
            <w:r w:rsidRPr="00A40867">
              <w:rPr>
                <w:b/>
                <w:bCs/>
                <w:color w:val="000000"/>
              </w:rPr>
              <w:t>4.74</w:t>
            </w:r>
          </w:p>
        </w:tc>
        <w:tc>
          <w:tcPr>
            <w:tcW w:w="1063" w:type="pct"/>
            <w:tcBorders>
              <w:top w:val="nil"/>
              <w:left w:val="nil"/>
              <w:bottom w:val="single" w:sz="4" w:space="0" w:color="auto"/>
              <w:right w:val="single" w:sz="4" w:space="0" w:color="auto"/>
            </w:tcBorders>
            <w:shd w:val="clear" w:color="auto" w:fill="auto"/>
            <w:noWrap/>
            <w:vAlign w:val="bottom"/>
            <w:hideMark/>
          </w:tcPr>
          <w:p w14:paraId="159A40F2" w14:textId="77777777" w:rsidR="00A40867" w:rsidRPr="00A40867" w:rsidRDefault="00A40867" w:rsidP="00A40867">
            <w:pPr>
              <w:spacing w:line="240" w:lineRule="auto"/>
              <w:jc w:val="center"/>
              <w:rPr>
                <w:b/>
                <w:bCs/>
                <w:color w:val="000000"/>
              </w:rPr>
            </w:pPr>
            <w:r w:rsidRPr="00A40867">
              <w:rPr>
                <w:b/>
                <w:bCs/>
                <w:color w:val="000000"/>
              </w:rPr>
              <w:t>5.16</w:t>
            </w:r>
          </w:p>
        </w:tc>
        <w:tc>
          <w:tcPr>
            <w:tcW w:w="586" w:type="pct"/>
            <w:tcBorders>
              <w:top w:val="nil"/>
              <w:left w:val="nil"/>
              <w:bottom w:val="single" w:sz="4" w:space="0" w:color="auto"/>
              <w:right w:val="single" w:sz="8" w:space="0" w:color="auto"/>
            </w:tcBorders>
            <w:shd w:val="clear" w:color="auto" w:fill="auto"/>
            <w:noWrap/>
            <w:vAlign w:val="bottom"/>
            <w:hideMark/>
          </w:tcPr>
          <w:p w14:paraId="59BA47DF" w14:textId="77777777" w:rsidR="00A40867" w:rsidRPr="00A40867" w:rsidRDefault="00A40867" w:rsidP="00A40867">
            <w:pPr>
              <w:spacing w:line="240" w:lineRule="auto"/>
              <w:jc w:val="center"/>
              <w:rPr>
                <w:b/>
                <w:bCs/>
                <w:color w:val="000000"/>
              </w:rPr>
            </w:pPr>
            <w:r w:rsidRPr="00A40867">
              <w:rPr>
                <w:b/>
                <w:bCs/>
                <w:color w:val="000000"/>
              </w:rPr>
              <w:t>10.10</w:t>
            </w:r>
          </w:p>
        </w:tc>
      </w:tr>
      <w:tr w:rsidR="00A40867" w:rsidRPr="00A40867" w14:paraId="3F175D2A" w14:textId="77777777" w:rsidTr="00A40867">
        <w:trPr>
          <w:trHeight w:val="278"/>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500DDE56" w14:textId="77777777" w:rsidR="00A40867" w:rsidRPr="00A40867" w:rsidRDefault="00A40867" w:rsidP="00A40867">
            <w:pPr>
              <w:spacing w:line="240" w:lineRule="auto"/>
              <w:jc w:val="center"/>
              <w:rPr>
                <w:b/>
                <w:bCs/>
                <w:color w:val="000000"/>
              </w:rPr>
            </w:pPr>
            <w:r w:rsidRPr="00A40867">
              <w:rPr>
                <w:b/>
                <w:bCs/>
                <w:color w:val="000000"/>
              </w:rPr>
              <w:t xml:space="preserve">*Debt-to-asset ratio* </w:t>
            </w:r>
          </w:p>
        </w:tc>
      </w:tr>
      <w:tr w:rsidR="00A40867" w:rsidRPr="00A40867" w14:paraId="05006344" w14:textId="77777777" w:rsidTr="00A40867">
        <w:trPr>
          <w:trHeight w:val="289"/>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E5DD884"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1482BFF"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78CCD323"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64CCEF82"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250D2991"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121B3844" w14:textId="77777777" w:rsidTr="00A40867">
        <w:trPr>
          <w:trHeight w:val="278"/>
        </w:trPr>
        <w:tc>
          <w:tcPr>
            <w:tcW w:w="878" w:type="pct"/>
            <w:vMerge/>
            <w:tcBorders>
              <w:top w:val="nil"/>
              <w:left w:val="single" w:sz="8" w:space="0" w:color="auto"/>
              <w:bottom w:val="single" w:sz="4" w:space="0" w:color="auto"/>
              <w:right w:val="single" w:sz="4" w:space="0" w:color="auto"/>
            </w:tcBorders>
            <w:vAlign w:val="center"/>
            <w:hideMark/>
          </w:tcPr>
          <w:p w14:paraId="7AECD508"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6AB58FFC"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5261AEF5"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0881C2E0"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751DC4FE"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7391E8DF"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394A4313" w14:textId="77777777" w:rsidR="00A40867" w:rsidRPr="00A40867" w:rsidRDefault="00A40867" w:rsidP="00A40867">
            <w:pPr>
              <w:spacing w:line="240" w:lineRule="auto"/>
              <w:jc w:val="left"/>
              <w:rPr>
                <w:color w:val="000000"/>
              </w:rPr>
            </w:pPr>
            <w:r w:rsidRPr="00A40867">
              <w:rPr>
                <w:color w:val="000000"/>
              </w:rPr>
              <w:t>total debts</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0FBF67B" w14:textId="77777777" w:rsidR="00A40867" w:rsidRPr="00A40867" w:rsidRDefault="00A40867" w:rsidP="00A40867">
            <w:pPr>
              <w:spacing w:line="240" w:lineRule="auto"/>
              <w:jc w:val="center"/>
              <w:rPr>
                <w:b/>
                <w:bCs/>
                <w:color w:val="000000"/>
              </w:rPr>
            </w:pPr>
            <w:r w:rsidRPr="00A40867">
              <w:rPr>
                <w:b/>
                <w:bCs/>
                <w:color w:val="000000"/>
              </w:rPr>
              <w:t>"total debts/total assets"</w:t>
            </w:r>
          </w:p>
        </w:tc>
        <w:tc>
          <w:tcPr>
            <w:tcW w:w="1103" w:type="pct"/>
            <w:tcBorders>
              <w:top w:val="nil"/>
              <w:left w:val="nil"/>
              <w:bottom w:val="single" w:sz="4" w:space="0" w:color="auto"/>
              <w:right w:val="single" w:sz="4" w:space="0" w:color="auto"/>
            </w:tcBorders>
            <w:shd w:val="clear" w:color="auto" w:fill="auto"/>
            <w:noWrap/>
            <w:vAlign w:val="bottom"/>
            <w:hideMark/>
          </w:tcPr>
          <w:p w14:paraId="0D2BD0EF" w14:textId="77777777" w:rsidR="00A40867" w:rsidRPr="00A40867" w:rsidRDefault="00A40867" w:rsidP="00A40867">
            <w:pPr>
              <w:spacing w:line="240" w:lineRule="auto"/>
              <w:jc w:val="center"/>
              <w:rPr>
                <w:color w:val="000000"/>
              </w:rPr>
            </w:pPr>
            <w:r w:rsidRPr="00A40867">
              <w:rPr>
                <w:color w:val="000000"/>
              </w:rPr>
              <w:t xml:space="preserve"> £                               8,113,710.00 </w:t>
            </w:r>
          </w:p>
        </w:tc>
        <w:tc>
          <w:tcPr>
            <w:tcW w:w="1063" w:type="pct"/>
            <w:tcBorders>
              <w:top w:val="nil"/>
              <w:left w:val="nil"/>
              <w:bottom w:val="single" w:sz="4" w:space="0" w:color="auto"/>
              <w:right w:val="single" w:sz="4" w:space="0" w:color="auto"/>
            </w:tcBorders>
            <w:shd w:val="clear" w:color="auto" w:fill="auto"/>
            <w:noWrap/>
            <w:vAlign w:val="bottom"/>
            <w:hideMark/>
          </w:tcPr>
          <w:p w14:paraId="64FB2B3A" w14:textId="77777777" w:rsidR="00A40867" w:rsidRPr="00A40867" w:rsidRDefault="00A40867" w:rsidP="00A40867">
            <w:pPr>
              <w:spacing w:line="240" w:lineRule="auto"/>
              <w:jc w:val="center"/>
              <w:rPr>
                <w:color w:val="000000"/>
              </w:rPr>
            </w:pPr>
            <w:r w:rsidRPr="00A40867">
              <w:rPr>
                <w:color w:val="000000"/>
              </w:rPr>
              <w:t xml:space="preserve"> £                             7,755,840.00 </w:t>
            </w:r>
          </w:p>
        </w:tc>
        <w:tc>
          <w:tcPr>
            <w:tcW w:w="586" w:type="pct"/>
            <w:tcBorders>
              <w:top w:val="nil"/>
              <w:left w:val="nil"/>
              <w:bottom w:val="single" w:sz="4" w:space="0" w:color="auto"/>
              <w:right w:val="single" w:sz="8" w:space="0" w:color="auto"/>
            </w:tcBorders>
            <w:shd w:val="clear" w:color="auto" w:fill="auto"/>
            <w:noWrap/>
            <w:vAlign w:val="bottom"/>
            <w:hideMark/>
          </w:tcPr>
          <w:p w14:paraId="12B63813" w14:textId="77777777" w:rsidR="00A40867" w:rsidRPr="00A40867" w:rsidRDefault="00A40867" w:rsidP="00A40867">
            <w:pPr>
              <w:spacing w:line="240" w:lineRule="auto"/>
              <w:jc w:val="center"/>
              <w:rPr>
                <w:color w:val="000000"/>
              </w:rPr>
            </w:pPr>
            <w:r w:rsidRPr="00A40867">
              <w:rPr>
                <w:color w:val="000000"/>
              </w:rPr>
              <w:t xml:space="preserve"> £     8,290,570.00 </w:t>
            </w:r>
          </w:p>
        </w:tc>
      </w:tr>
      <w:tr w:rsidR="00A40867" w:rsidRPr="00A40867" w14:paraId="33B1B1A8"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3F9FA727" w14:textId="77777777" w:rsidR="00A40867" w:rsidRPr="00A40867" w:rsidRDefault="00A40867" w:rsidP="00A40867">
            <w:pPr>
              <w:spacing w:line="240" w:lineRule="auto"/>
              <w:jc w:val="left"/>
              <w:rPr>
                <w:color w:val="000000"/>
              </w:rPr>
            </w:pPr>
            <w:r w:rsidRPr="00A40867">
              <w:rPr>
                <w:color w:val="000000"/>
              </w:rPr>
              <w:t>total assets</w:t>
            </w:r>
          </w:p>
        </w:tc>
        <w:tc>
          <w:tcPr>
            <w:tcW w:w="1370" w:type="pct"/>
            <w:vMerge/>
            <w:tcBorders>
              <w:top w:val="nil"/>
              <w:left w:val="single" w:sz="4" w:space="0" w:color="auto"/>
              <w:bottom w:val="single" w:sz="4" w:space="0" w:color="auto"/>
              <w:right w:val="single" w:sz="4" w:space="0" w:color="auto"/>
            </w:tcBorders>
            <w:vAlign w:val="center"/>
            <w:hideMark/>
          </w:tcPr>
          <w:p w14:paraId="6ADC4B9F"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204E0567" w14:textId="77777777" w:rsidR="00A40867" w:rsidRPr="00A40867" w:rsidRDefault="00A40867" w:rsidP="00A40867">
            <w:pPr>
              <w:spacing w:line="240" w:lineRule="auto"/>
              <w:jc w:val="center"/>
              <w:rPr>
                <w:color w:val="000000"/>
              </w:rPr>
            </w:pPr>
            <w:r w:rsidRPr="00A40867">
              <w:rPr>
                <w:color w:val="000000"/>
              </w:rPr>
              <w:t xml:space="preserve"> £                             12,941,110.00 </w:t>
            </w:r>
          </w:p>
        </w:tc>
        <w:tc>
          <w:tcPr>
            <w:tcW w:w="1063" w:type="pct"/>
            <w:tcBorders>
              <w:top w:val="nil"/>
              <w:left w:val="nil"/>
              <w:bottom w:val="single" w:sz="4" w:space="0" w:color="auto"/>
              <w:right w:val="single" w:sz="4" w:space="0" w:color="auto"/>
            </w:tcBorders>
            <w:shd w:val="clear" w:color="auto" w:fill="auto"/>
            <w:noWrap/>
            <w:vAlign w:val="bottom"/>
            <w:hideMark/>
          </w:tcPr>
          <w:p w14:paraId="6C3216F5" w14:textId="77777777" w:rsidR="00A40867" w:rsidRPr="00A40867" w:rsidRDefault="00A40867" w:rsidP="00A40867">
            <w:pPr>
              <w:spacing w:line="240" w:lineRule="auto"/>
              <w:jc w:val="center"/>
              <w:rPr>
                <w:color w:val="000000"/>
              </w:rPr>
            </w:pPr>
            <w:r w:rsidRPr="00A40867">
              <w:rPr>
                <w:color w:val="000000"/>
              </w:rPr>
              <w:t xml:space="preserve"> £                           15,921,080.00 </w:t>
            </w:r>
          </w:p>
        </w:tc>
        <w:tc>
          <w:tcPr>
            <w:tcW w:w="586" w:type="pct"/>
            <w:tcBorders>
              <w:top w:val="nil"/>
              <w:left w:val="nil"/>
              <w:bottom w:val="single" w:sz="4" w:space="0" w:color="auto"/>
              <w:right w:val="single" w:sz="8" w:space="0" w:color="auto"/>
            </w:tcBorders>
            <w:shd w:val="clear" w:color="auto" w:fill="auto"/>
            <w:noWrap/>
            <w:vAlign w:val="bottom"/>
            <w:hideMark/>
          </w:tcPr>
          <w:p w14:paraId="58A7AD56" w14:textId="77777777" w:rsidR="00A40867" w:rsidRPr="00A40867" w:rsidRDefault="00A40867" w:rsidP="00A40867">
            <w:pPr>
              <w:spacing w:line="240" w:lineRule="auto"/>
              <w:jc w:val="center"/>
              <w:rPr>
                <w:color w:val="000000"/>
              </w:rPr>
            </w:pPr>
            <w:r w:rsidRPr="00A40867">
              <w:rPr>
                <w:color w:val="000000"/>
              </w:rPr>
              <w:t xml:space="preserve"> £   15,653,970.00 </w:t>
            </w:r>
          </w:p>
        </w:tc>
      </w:tr>
      <w:tr w:rsidR="00A40867" w:rsidRPr="00A40867" w14:paraId="0D418006" w14:textId="77777777" w:rsidTr="00A40867">
        <w:trPr>
          <w:trHeight w:val="278"/>
        </w:trPr>
        <w:tc>
          <w:tcPr>
            <w:tcW w:w="2247" w:type="pct"/>
            <w:gridSpan w:val="2"/>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42F945B5" w14:textId="77777777" w:rsidR="00A40867" w:rsidRPr="00A40867" w:rsidRDefault="00A40867" w:rsidP="00A40867">
            <w:pPr>
              <w:spacing w:line="240" w:lineRule="auto"/>
              <w:jc w:val="center"/>
              <w:rPr>
                <w:b/>
                <w:bCs/>
                <w:color w:val="000000"/>
              </w:rPr>
            </w:pPr>
            <w:r w:rsidRPr="00A40867">
              <w:rPr>
                <w:b/>
                <w:bCs/>
                <w:color w:val="000000"/>
              </w:rPr>
              <w:t>"Debt-to-asset ratio"</w:t>
            </w:r>
          </w:p>
        </w:tc>
        <w:tc>
          <w:tcPr>
            <w:tcW w:w="1103" w:type="pct"/>
            <w:tcBorders>
              <w:top w:val="nil"/>
              <w:left w:val="nil"/>
              <w:bottom w:val="single" w:sz="8" w:space="0" w:color="auto"/>
              <w:right w:val="single" w:sz="4" w:space="0" w:color="auto"/>
            </w:tcBorders>
            <w:shd w:val="clear" w:color="auto" w:fill="auto"/>
            <w:noWrap/>
            <w:vAlign w:val="bottom"/>
            <w:hideMark/>
          </w:tcPr>
          <w:p w14:paraId="6FF41C20" w14:textId="77777777" w:rsidR="00A40867" w:rsidRPr="00A40867" w:rsidRDefault="00A40867" w:rsidP="00A40867">
            <w:pPr>
              <w:spacing w:line="240" w:lineRule="auto"/>
              <w:jc w:val="center"/>
              <w:rPr>
                <w:b/>
                <w:bCs/>
                <w:color w:val="000000"/>
              </w:rPr>
            </w:pPr>
            <w:r w:rsidRPr="00A40867">
              <w:rPr>
                <w:b/>
                <w:bCs/>
                <w:color w:val="000000"/>
              </w:rPr>
              <w:t>0.63</w:t>
            </w:r>
          </w:p>
        </w:tc>
        <w:tc>
          <w:tcPr>
            <w:tcW w:w="1063" w:type="pct"/>
            <w:tcBorders>
              <w:top w:val="nil"/>
              <w:left w:val="nil"/>
              <w:bottom w:val="single" w:sz="8" w:space="0" w:color="auto"/>
              <w:right w:val="single" w:sz="4" w:space="0" w:color="auto"/>
            </w:tcBorders>
            <w:shd w:val="clear" w:color="auto" w:fill="auto"/>
            <w:noWrap/>
            <w:vAlign w:val="bottom"/>
            <w:hideMark/>
          </w:tcPr>
          <w:p w14:paraId="02E7DCA2" w14:textId="77777777" w:rsidR="00A40867" w:rsidRPr="00A40867" w:rsidRDefault="00A40867" w:rsidP="00A40867">
            <w:pPr>
              <w:spacing w:line="240" w:lineRule="auto"/>
              <w:jc w:val="center"/>
              <w:rPr>
                <w:b/>
                <w:bCs/>
                <w:color w:val="000000"/>
              </w:rPr>
            </w:pPr>
            <w:r w:rsidRPr="00A40867">
              <w:rPr>
                <w:b/>
                <w:bCs/>
                <w:color w:val="000000"/>
              </w:rPr>
              <w:t>0.49</w:t>
            </w:r>
          </w:p>
        </w:tc>
        <w:tc>
          <w:tcPr>
            <w:tcW w:w="586" w:type="pct"/>
            <w:tcBorders>
              <w:top w:val="nil"/>
              <w:left w:val="nil"/>
              <w:bottom w:val="single" w:sz="8" w:space="0" w:color="auto"/>
              <w:right w:val="single" w:sz="8" w:space="0" w:color="auto"/>
            </w:tcBorders>
            <w:shd w:val="clear" w:color="auto" w:fill="auto"/>
            <w:noWrap/>
            <w:vAlign w:val="bottom"/>
            <w:hideMark/>
          </w:tcPr>
          <w:p w14:paraId="1407E0A3" w14:textId="77777777" w:rsidR="00A40867" w:rsidRPr="00A40867" w:rsidRDefault="00A40867" w:rsidP="00A40867">
            <w:pPr>
              <w:spacing w:line="240" w:lineRule="auto"/>
              <w:jc w:val="center"/>
              <w:rPr>
                <w:b/>
                <w:bCs/>
                <w:color w:val="000000"/>
              </w:rPr>
            </w:pPr>
            <w:r w:rsidRPr="00A40867">
              <w:rPr>
                <w:b/>
                <w:bCs/>
                <w:color w:val="000000"/>
              </w:rPr>
              <w:t>0.53</w:t>
            </w:r>
          </w:p>
        </w:tc>
      </w:tr>
    </w:tbl>
    <w:p w14:paraId="24D91024" w14:textId="77777777" w:rsidR="00B5688E" w:rsidRDefault="00B5688E" w:rsidP="002A2195">
      <w:pPr>
        <w:pStyle w:val="Normal1"/>
        <w:jc w:val="center"/>
        <w:rPr>
          <w:b/>
          <w:lang w:val="en-GB"/>
        </w:rPr>
      </w:pPr>
    </w:p>
    <w:p w14:paraId="364D0421" w14:textId="77777777" w:rsidR="00504039" w:rsidRPr="002A2195" w:rsidRDefault="00504039" w:rsidP="002A2195">
      <w:pPr>
        <w:pStyle w:val="Normal1"/>
        <w:jc w:val="center"/>
        <w:rPr>
          <w:b/>
          <w:lang w:val="en-GB"/>
        </w:rPr>
      </w:pPr>
      <w:r w:rsidRPr="002A2195">
        <w:rPr>
          <w:b/>
          <w:lang w:val="en-GB"/>
        </w:rPr>
        <w:t>Table 1: Financial Evaluation</w:t>
      </w:r>
    </w:p>
    <w:p w14:paraId="43A431AA" w14:textId="77777777" w:rsidR="00504039" w:rsidRPr="002A2195" w:rsidRDefault="00504039" w:rsidP="002A2195">
      <w:pPr>
        <w:pStyle w:val="Normal1"/>
        <w:jc w:val="center"/>
        <w:rPr>
          <w:lang w:val="en-GB"/>
        </w:rPr>
      </w:pPr>
      <w:r w:rsidRPr="002A2195">
        <w:rPr>
          <w:lang w:val="en-GB"/>
        </w:rPr>
        <w:t>(Source: Self-Created)</w:t>
      </w:r>
    </w:p>
    <w:p w14:paraId="0D123222" w14:textId="77777777" w:rsidR="00504039" w:rsidRPr="002A2195" w:rsidRDefault="00504039" w:rsidP="002A2195">
      <w:pPr>
        <w:pStyle w:val="Normal1"/>
        <w:rPr>
          <w:b/>
          <w:color w:val="474747"/>
          <w:lang w:val="en-GB"/>
        </w:rPr>
      </w:pPr>
      <w:r w:rsidRPr="002A2195">
        <w:rPr>
          <w:b/>
          <w:lang w:val="en-GB"/>
        </w:rPr>
        <w:t>Profitability ratio</w:t>
      </w:r>
    </w:p>
    <w:p w14:paraId="0E1A00FF" w14:textId="77777777" w:rsidR="00504039" w:rsidRPr="002A2195" w:rsidRDefault="00504039" w:rsidP="002A2195">
      <w:pPr>
        <w:pStyle w:val="Normal1"/>
        <w:rPr>
          <w:lang w:val="en-GB"/>
        </w:rPr>
      </w:pPr>
      <w:r w:rsidRPr="002A2195">
        <w:rPr>
          <w:lang w:val="en-GB"/>
        </w:rPr>
        <w:t xml:space="preserve">The evaluation of the profitability margin refers to determining the accountability ratio performances that help in the determination of the financial performances of a company at the end period of accounting. The profitability ratio determination shows the success of a company based on its earnings within a limited time concerning revenue, operation cost, and shareholder’s equity (Rashid, 2021). Furthermore, the evaluation of the “operating profit margin” for the City Hotel incurred 0.127, 0.127, and 0.524 for the respective period 2021 to 2023. Hence, the resulting values indicate the increasing revenue performance of the company over the period. The calculation of the expense ratio represents the resulting percentages at 0.146, 0.105, and 0.069 respectively for 2021 to 2023, showing decreasing assets on its total assets. The higher ratio of profitability for the City Hotel indicates the better company’s performance in managing its assets for handling various expenses that effectively helps to increase sales margin of the company over the period. </w:t>
      </w:r>
    </w:p>
    <w:p w14:paraId="16A4E46C" w14:textId="77777777" w:rsidR="00504039" w:rsidRPr="002A2195" w:rsidRDefault="00504039" w:rsidP="002A2195">
      <w:pPr>
        <w:pStyle w:val="Normal1"/>
        <w:rPr>
          <w:rFonts w:eastAsia="Arial"/>
          <w:b/>
          <w:color w:val="1F1F1F"/>
          <w:sz w:val="30"/>
          <w:szCs w:val="30"/>
          <w:lang w:val="en-GB"/>
        </w:rPr>
      </w:pPr>
      <w:r w:rsidRPr="002A2195">
        <w:rPr>
          <w:b/>
          <w:lang w:val="en-GB"/>
        </w:rPr>
        <w:t>Liquidity ratio</w:t>
      </w:r>
    </w:p>
    <w:p w14:paraId="4EDBB609" w14:textId="77777777" w:rsidR="00504039" w:rsidRPr="001C605E" w:rsidRDefault="00504039" w:rsidP="002A2195">
      <w:pPr>
        <w:pStyle w:val="Normal1"/>
        <w:rPr>
          <w:lang w:val="en-GB"/>
        </w:rPr>
      </w:pPr>
      <w:r w:rsidRPr="002A2195">
        <w:rPr>
          <w:lang w:val="en-GB"/>
        </w:rPr>
        <w:t xml:space="preserve">Liquidity ratios have determined liquidity performances of a company by identify its ability to pay its short-term obligations. Moreover, it is a key financial metric that can be used for its liquidity or current assets to cover its current liabilities in business. The liquidity ratio is important for the reduction of the defaulting risk and ensures a safety margin for investing in the best financial health positioning companies (Jihadi </w:t>
      </w:r>
      <w:r w:rsidRPr="002A2195">
        <w:rPr>
          <w:i/>
          <w:lang w:val="en-GB"/>
        </w:rPr>
        <w:t xml:space="preserve">et al. </w:t>
      </w:r>
      <w:r w:rsidRPr="002A2195">
        <w:rPr>
          <w:lang w:val="en-GB"/>
        </w:rPr>
        <w:t xml:space="preserve">2021). The current ratio evaluation for the City Hotel </w:t>
      </w:r>
      <w:r w:rsidRPr="001C605E">
        <w:rPr>
          <w:lang w:val="en-GB"/>
        </w:rPr>
        <w:t xml:space="preserve">resulted at </w:t>
      </w:r>
      <w:r w:rsidR="00C00F7D" w:rsidRPr="001C605E">
        <w:rPr>
          <w:lang w:val="en-GB"/>
        </w:rPr>
        <w:t>0.97</w:t>
      </w:r>
      <w:r w:rsidRPr="001C605E">
        <w:rPr>
          <w:lang w:val="en-GB"/>
        </w:rPr>
        <w:t xml:space="preserve">, </w:t>
      </w:r>
      <w:r w:rsidR="00C00F7D" w:rsidRPr="001C605E">
        <w:rPr>
          <w:lang w:val="en-GB"/>
        </w:rPr>
        <w:t>0.93, and 0.64</w:t>
      </w:r>
      <w:r w:rsidRPr="001C605E">
        <w:rPr>
          <w:lang w:val="en-GB"/>
        </w:rPr>
        <w:t xml:space="preserve"> for the respective years 2021 to 2023 showing </w:t>
      </w:r>
      <w:r w:rsidR="00ED2A66" w:rsidRPr="001C605E">
        <w:rPr>
          <w:lang w:val="en-GB"/>
        </w:rPr>
        <w:t xml:space="preserve">highly reduction of liquidity position in business. </w:t>
      </w:r>
      <w:r w:rsidRPr="001C605E">
        <w:rPr>
          <w:lang w:val="en-GB"/>
        </w:rPr>
        <w:t xml:space="preserve"> </w:t>
      </w:r>
      <w:r w:rsidR="00ED2A66" w:rsidRPr="001C605E">
        <w:rPr>
          <w:lang w:val="en-GB"/>
        </w:rPr>
        <w:t xml:space="preserve">It indicates the company </w:t>
      </w:r>
      <w:r w:rsidRPr="001C605E">
        <w:rPr>
          <w:lang w:val="en-GB"/>
        </w:rPr>
        <w:t>have a lower ability to meet the obligation requirements. Hence, the decreasing current ration performance indicating a potential cash flow issues can create difficulties to cover immediate expenses. Furthermore, the determination cash ratio incurred at 0.</w:t>
      </w:r>
      <w:r w:rsidR="00406B9F" w:rsidRPr="001C605E">
        <w:rPr>
          <w:lang w:val="en-GB"/>
        </w:rPr>
        <w:t>38, 0.30, and 0.15</w:t>
      </w:r>
      <w:r w:rsidRPr="001C605E">
        <w:rPr>
          <w:lang w:val="en-GB"/>
        </w:rPr>
        <w:t xml:space="preserve"> respectively for 2021, 2022, and 2023. The low ratio means the company is not preferable to pay its short-term bills and not liable to meet its deadlines at a required time</w:t>
      </w:r>
      <w:r w:rsidR="003E12F6" w:rsidRPr="001C605E">
        <w:rPr>
          <w:lang w:val="en-GB"/>
        </w:rPr>
        <w:t xml:space="preserve"> (</w:t>
      </w:r>
      <w:r w:rsidR="003E12F6" w:rsidRPr="001C605E">
        <w:t xml:space="preserve">D'AVERNAS </w:t>
      </w:r>
      <w:r w:rsidR="003E12F6" w:rsidRPr="001C605E">
        <w:rPr>
          <w:i/>
        </w:rPr>
        <w:t xml:space="preserve">et al. </w:t>
      </w:r>
      <w:r w:rsidR="003E12F6" w:rsidRPr="001C605E">
        <w:t>2021</w:t>
      </w:r>
      <w:r w:rsidR="003E12F6" w:rsidRPr="001C605E">
        <w:rPr>
          <w:lang w:val="en-GB"/>
        </w:rPr>
        <w:t>)</w:t>
      </w:r>
      <w:r w:rsidRPr="001C605E">
        <w:rPr>
          <w:lang w:val="en-GB"/>
        </w:rPr>
        <w:t xml:space="preserve">. The drastic liquidity declining of cash ratio from 2021 to 2023 results a critical liquidity problem in future. </w:t>
      </w:r>
    </w:p>
    <w:p w14:paraId="5DE356F4" w14:textId="77777777" w:rsidR="00504039" w:rsidRPr="001C605E" w:rsidRDefault="00504039" w:rsidP="002A2195">
      <w:pPr>
        <w:pStyle w:val="Normal1"/>
        <w:rPr>
          <w:b/>
          <w:lang w:val="en-GB"/>
        </w:rPr>
      </w:pPr>
      <w:r w:rsidRPr="001C605E">
        <w:rPr>
          <w:b/>
          <w:lang w:val="en-GB"/>
        </w:rPr>
        <w:t>Solvency ratio</w:t>
      </w:r>
    </w:p>
    <w:p w14:paraId="758BA6C1" w14:textId="77777777" w:rsidR="00504039" w:rsidRPr="001C605E" w:rsidRDefault="00504039" w:rsidP="002A2195">
      <w:pPr>
        <w:pStyle w:val="Normal1"/>
        <w:rPr>
          <w:lang w:val="en-GB"/>
        </w:rPr>
      </w:pPr>
      <w:r w:rsidRPr="002A2195">
        <w:rPr>
          <w:lang w:val="en-GB"/>
        </w:rPr>
        <w:t xml:space="preserve">Another key financial metric is the solvency ratio indicating whether the cash flow of the company is sufficient to </w:t>
      </w:r>
      <w:proofErr w:type="spellStart"/>
      <w:r w:rsidRPr="002A2195">
        <w:rPr>
          <w:lang w:val="en-GB"/>
        </w:rPr>
        <w:t>fulfill</w:t>
      </w:r>
      <w:proofErr w:type="spellEnd"/>
      <w:r w:rsidRPr="002A2195">
        <w:rPr>
          <w:lang w:val="en-GB"/>
        </w:rPr>
        <w:t xml:space="preserve"> its various “long-term liabilities”. A Solvency ratio refers to the uses of the business leaders' perspectives for the determination of the solvency state of a business (Blessing, and </w:t>
      </w:r>
      <w:proofErr w:type="spellStart"/>
      <w:r w:rsidRPr="002A2195">
        <w:rPr>
          <w:lang w:val="en-GB"/>
        </w:rPr>
        <w:t>Sakouvogui</w:t>
      </w:r>
      <w:proofErr w:type="spellEnd"/>
      <w:r w:rsidRPr="002A2195">
        <w:rPr>
          <w:lang w:val="en-GB"/>
        </w:rPr>
        <w:t>, 2023). Hence, the debt-to-equity ratio calculator for the period 2021 to 2023 occurred at 4.74, 5.16, and 10.10 respectively, showing fluctuated performances over the years</w:t>
      </w:r>
      <w:r w:rsidRPr="002A2195">
        <w:rPr>
          <w:color w:val="FF0000"/>
          <w:lang w:val="en-GB"/>
        </w:rPr>
        <w:t xml:space="preserve"> </w:t>
      </w:r>
      <w:r w:rsidRPr="001C605E">
        <w:rPr>
          <w:lang w:val="en-GB"/>
        </w:rPr>
        <w:t>indicates high leverage in business.</w:t>
      </w:r>
      <w:r w:rsidRPr="002A2195">
        <w:rPr>
          <w:color w:val="FF0000"/>
          <w:lang w:val="en-GB"/>
        </w:rPr>
        <w:t xml:space="preserve"> </w:t>
      </w:r>
      <w:r w:rsidRPr="002A2195">
        <w:rPr>
          <w:lang w:val="en-GB"/>
        </w:rPr>
        <w:t>In 2022, the solvency performances of City Hotel increased and again decreased in 2023 due to the fluctuation of the “shareholders' equity fund”. Moreover, the “Debt-to-asset ratio” evaluation recognises 0.63, 0.49, and 0.53 respectively for 2021, 2022, and 2023</w:t>
      </w:r>
      <w:r w:rsidRPr="001C605E">
        <w:rPr>
          <w:lang w:val="en-GB"/>
        </w:rPr>
        <w:t>. The company can face bankruptcy as too much debt in business also increasing the burden on capital structure, and probability of los</w:t>
      </w:r>
      <w:r w:rsidR="007B40C6" w:rsidRPr="001C605E">
        <w:rPr>
          <w:lang w:val="en-GB"/>
        </w:rPr>
        <w:t>ing begins to increases rapidly (</w:t>
      </w:r>
      <w:proofErr w:type="spellStart"/>
      <w:r w:rsidR="007B40C6" w:rsidRPr="001C605E">
        <w:t>Amoa-Gyarteng</w:t>
      </w:r>
      <w:proofErr w:type="spellEnd"/>
      <w:r w:rsidR="007B40C6" w:rsidRPr="001C605E">
        <w:t>, 2022</w:t>
      </w:r>
      <w:r w:rsidR="007B40C6" w:rsidRPr="001C605E">
        <w:rPr>
          <w:lang w:val="en-GB"/>
        </w:rPr>
        <w:t>).</w:t>
      </w:r>
      <w:r w:rsidRPr="001C605E">
        <w:rPr>
          <w:lang w:val="en-GB"/>
        </w:rPr>
        <w:t xml:space="preserve"> Thus, higher solvency has been introducing a higher leverage in business, which means huge risk on shareholders, and company of City Hotel as well. </w:t>
      </w:r>
    </w:p>
    <w:p w14:paraId="09892B55" w14:textId="77777777" w:rsidR="00504039" w:rsidRPr="002A2195" w:rsidRDefault="00504039" w:rsidP="002A2195">
      <w:pPr>
        <w:pStyle w:val="Normal1"/>
        <w:rPr>
          <w:b/>
          <w:lang w:val="en-GB"/>
        </w:rPr>
      </w:pPr>
      <w:r w:rsidRPr="002A2195">
        <w:rPr>
          <w:b/>
          <w:lang w:val="en-GB"/>
        </w:rPr>
        <w:t>Trend Determination for 2023, 2022, and 2021</w:t>
      </w:r>
    </w:p>
    <w:p w14:paraId="6E502109" w14:textId="77777777" w:rsidR="00504039" w:rsidRPr="002A2195" w:rsidRDefault="00504039" w:rsidP="002A2195">
      <w:pPr>
        <w:pStyle w:val="Normal1"/>
        <w:jc w:val="center"/>
        <w:rPr>
          <w:lang w:val="en-GB"/>
        </w:rPr>
      </w:pPr>
      <w:r w:rsidRPr="002A2195">
        <w:rPr>
          <w:noProof/>
        </w:rPr>
        <w:drawing>
          <wp:inline distT="114300" distB="114300" distL="114300" distR="114300" wp14:anchorId="77E625E0" wp14:editId="5347F730">
            <wp:extent cx="5943600" cy="334010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13104936" w14:textId="77777777" w:rsidR="00504039" w:rsidRPr="002A2195" w:rsidRDefault="00504039" w:rsidP="002A2195">
      <w:pPr>
        <w:pStyle w:val="Normal1"/>
        <w:jc w:val="center"/>
        <w:rPr>
          <w:b/>
          <w:lang w:val="en-GB"/>
        </w:rPr>
      </w:pPr>
      <w:r w:rsidRPr="002A2195">
        <w:rPr>
          <w:b/>
          <w:lang w:val="en-GB"/>
        </w:rPr>
        <w:t>Figure 1: Trend Analysis</w:t>
      </w:r>
    </w:p>
    <w:p w14:paraId="72D568AB" w14:textId="77777777" w:rsidR="00504039" w:rsidRPr="002A2195" w:rsidRDefault="00504039" w:rsidP="002A2195">
      <w:pPr>
        <w:pStyle w:val="Normal1"/>
        <w:jc w:val="center"/>
        <w:rPr>
          <w:lang w:val="en-GB"/>
        </w:rPr>
      </w:pPr>
      <w:r w:rsidRPr="002A2195">
        <w:rPr>
          <w:lang w:val="en-GB"/>
        </w:rPr>
        <w:t>(Source: Self-Created)</w:t>
      </w:r>
    </w:p>
    <w:p w14:paraId="001D4FFA" w14:textId="77777777" w:rsidR="00504039" w:rsidRPr="002A2195" w:rsidRDefault="00504039" w:rsidP="002A2195">
      <w:pPr>
        <w:pStyle w:val="Normal1"/>
        <w:rPr>
          <w:lang w:val="en-GB"/>
        </w:rPr>
      </w:pPr>
      <w:r w:rsidRPr="002A2195">
        <w:rPr>
          <w:lang w:val="en-GB"/>
        </w:rPr>
        <w:t xml:space="preserve">The above figure represents the trend changes for the base year 2021 and current year 2022 using sales, operating income, external expenses, total assets, total equity, total liabilities, and shareholder’s equity for the City Hotel. The sales trends for 2022, and 2023 incurred at </w:t>
      </w:r>
      <w:r w:rsidR="006A79D4" w:rsidRPr="002A2195">
        <w:rPr>
          <w:lang w:val="en-GB"/>
        </w:rPr>
        <w:t>1.1%</w:t>
      </w:r>
      <w:r w:rsidRPr="002A2195">
        <w:rPr>
          <w:lang w:val="en-GB"/>
        </w:rPr>
        <w:t xml:space="preserve"> and -56.2% respectively while operating expenses were at 1.6%, and 80.6% for 2022, and 80.6%. </w:t>
      </w:r>
      <w:r w:rsidR="006A79D4">
        <w:rPr>
          <w:lang w:val="en-GB"/>
        </w:rPr>
        <w:t>T</w:t>
      </w:r>
      <w:r w:rsidRPr="002A2195">
        <w:rPr>
          <w:lang w:val="en-GB"/>
        </w:rPr>
        <w:t xml:space="preserve">he fluctuating percentage trends in the business represent the changing percentages at negative and positive segments. Thus, the overall percentage changes for the business resulted in a comparative determination over the years. However, the company has been facing some decreasing liquidity position compared to its profitability margin. </w:t>
      </w:r>
    </w:p>
    <w:p w14:paraId="7F91D400" w14:textId="77777777" w:rsidR="00504039" w:rsidRPr="002A2195" w:rsidRDefault="00504039" w:rsidP="002A2195">
      <w:pPr>
        <w:pStyle w:val="Normal1"/>
        <w:rPr>
          <w:b/>
          <w:i/>
          <w:lang w:val="en-GB"/>
        </w:rPr>
      </w:pPr>
      <w:r w:rsidRPr="002A2195">
        <w:rPr>
          <w:b/>
          <w:i/>
          <w:lang w:val="en-GB"/>
        </w:rPr>
        <w:t>[Refer To Appendix]</w:t>
      </w:r>
    </w:p>
    <w:p w14:paraId="187F0E52" w14:textId="77777777" w:rsidR="00504039" w:rsidRPr="002A2195" w:rsidRDefault="00504039" w:rsidP="002A2195">
      <w:pPr>
        <w:pStyle w:val="Heading1"/>
        <w:rPr>
          <w:lang w:val="en-GB"/>
        </w:rPr>
      </w:pPr>
      <w:bookmarkStart w:id="4" w:name="_q5ft8l3nl89a" w:colFirst="0" w:colLast="0"/>
      <w:bookmarkStart w:id="5" w:name="_Toc182501840"/>
      <w:bookmarkEnd w:id="4"/>
      <w:r w:rsidRPr="002A2195">
        <w:rPr>
          <w:lang w:val="en-GB"/>
        </w:rPr>
        <w:t>2. Key Discussion</w:t>
      </w:r>
      <w:bookmarkEnd w:id="5"/>
    </w:p>
    <w:p w14:paraId="5D552D7D" w14:textId="77777777" w:rsidR="00504039" w:rsidRPr="002A2195" w:rsidRDefault="00504039" w:rsidP="002A2195">
      <w:pPr>
        <w:pStyle w:val="Heading2"/>
        <w:rPr>
          <w:lang w:val="en-GB"/>
        </w:rPr>
      </w:pPr>
      <w:bookmarkStart w:id="6" w:name="_20s9o09txyyp" w:colFirst="0" w:colLast="0"/>
      <w:bookmarkStart w:id="7" w:name="_Toc182501841"/>
      <w:bookmarkEnd w:id="6"/>
      <w:r w:rsidRPr="002A2195">
        <w:rPr>
          <w:lang w:val="en-GB"/>
        </w:rPr>
        <w:t>Key identification in declining profitability margin</w:t>
      </w:r>
      <w:bookmarkEnd w:id="7"/>
    </w:p>
    <w:p w14:paraId="27BEFC1D" w14:textId="77777777" w:rsidR="00504039" w:rsidRPr="002A2195" w:rsidRDefault="00504039" w:rsidP="002A2195">
      <w:pPr>
        <w:pStyle w:val="Normal1"/>
        <w:numPr>
          <w:ilvl w:val="0"/>
          <w:numId w:val="2"/>
        </w:numPr>
        <w:rPr>
          <w:lang w:val="en-GB"/>
        </w:rPr>
      </w:pPr>
      <w:r w:rsidRPr="002A2195">
        <w:rPr>
          <w:lang w:val="en-GB"/>
        </w:rPr>
        <w:t xml:space="preserve">City Hotel represents higher operational costs in 2023 compared to 2022 resulting in a huge reduction in business revenue at £ 5,307,480 in 2022, and £ 2,325,440. It means the company has been facing a higher range of customer dissatisfaction over the period. </w:t>
      </w:r>
    </w:p>
    <w:p w14:paraId="64DAA6FF" w14:textId="77777777" w:rsidR="00504039" w:rsidRPr="002A2195" w:rsidRDefault="00504039" w:rsidP="002A2195">
      <w:pPr>
        <w:pStyle w:val="Normal1"/>
        <w:numPr>
          <w:ilvl w:val="0"/>
          <w:numId w:val="2"/>
        </w:numPr>
        <w:rPr>
          <w:lang w:val="en-GB"/>
        </w:rPr>
      </w:pPr>
      <w:r w:rsidRPr="002A2195">
        <w:rPr>
          <w:lang w:val="en-GB"/>
        </w:rPr>
        <w:t>The operating profit of the company recognised at £ 674,730 and -£ 1,218,850 for the respective years 2021, and 2022 showing a larger difference in the profitability margin. However, may be facing a reduction in a streamlined workflow, and low optimisation of energy efficiency.</w:t>
      </w:r>
    </w:p>
    <w:p w14:paraId="334562E6" w14:textId="77777777" w:rsidR="00504039" w:rsidRPr="002A2195" w:rsidRDefault="00504039" w:rsidP="002A2195">
      <w:pPr>
        <w:pStyle w:val="Normal1"/>
        <w:numPr>
          <w:ilvl w:val="0"/>
          <w:numId w:val="2"/>
        </w:numPr>
        <w:rPr>
          <w:lang w:val="en-GB"/>
        </w:rPr>
      </w:pPr>
      <w:r w:rsidRPr="002A2195">
        <w:rPr>
          <w:lang w:val="en-GB"/>
        </w:rPr>
        <w:t xml:space="preserve">The liquidity position of City Hotel is also very low liquidity ratio analysis shows the cash &amp; cash equivalent of the company has been reduced to £ 641,620 in 2022, and reduced to £ 295,510 in 2023, a huge difference reducing the profitability margin of business. </w:t>
      </w:r>
      <w:r w:rsidRPr="002A2195">
        <w:rPr>
          <w:lang w:val="en-GB"/>
        </w:rPr>
        <w:tab/>
        <w:t xml:space="preserve"> </w:t>
      </w:r>
    </w:p>
    <w:p w14:paraId="07EFD85E" w14:textId="77777777" w:rsidR="00504039" w:rsidRPr="002A2195" w:rsidRDefault="00504039" w:rsidP="002A2195">
      <w:pPr>
        <w:pStyle w:val="Normal1"/>
        <w:numPr>
          <w:ilvl w:val="0"/>
          <w:numId w:val="2"/>
        </w:numPr>
        <w:rPr>
          <w:lang w:val="en-GB"/>
        </w:rPr>
      </w:pPr>
      <w:r w:rsidRPr="002A2195">
        <w:rPr>
          <w:lang w:val="en-GB"/>
        </w:rPr>
        <w:t>City Hotel also shows increasing business debt on its balance sheet, which occurred at £ 7,755,840 in 2022 and increased to £ 8,290,570 in 2023.</w:t>
      </w:r>
    </w:p>
    <w:p w14:paraId="174C3437" w14:textId="77777777" w:rsidR="00504039" w:rsidRDefault="00504039" w:rsidP="002A2195">
      <w:pPr>
        <w:pStyle w:val="Normal1"/>
        <w:numPr>
          <w:ilvl w:val="0"/>
          <w:numId w:val="2"/>
        </w:numPr>
        <w:rPr>
          <w:lang w:val="en-GB"/>
        </w:rPr>
      </w:pPr>
      <w:r w:rsidRPr="002A2195">
        <w:rPr>
          <w:lang w:val="en-GB"/>
        </w:rPr>
        <w:t xml:space="preserve">The solvency ratio evaluation result the growth in “non-significance relationships”. However, the growth in the turnover or occupancy rates significantly correlated with its business's total debt. These suggested that City Hotels with higher sales revenue growth have a better chance to grow in financing with debt. </w:t>
      </w:r>
    </w:p>
    <w:p w14:paraId="3F7C064C" w14:textId="77777777" w:rsidR="00504039" w:rsidRPr="002A2195" w:rsidRDefault="00504039" w:rsidP="002A2195">
      <w:pPr>
        <w:pStyle w:val="Heading2"/>
        <w:rPr>
          <w:szCs w:val="24"/>
          <w:lang w:val="en-GB"/>
        </w:rPr>
      </w:pPr>
      <w:bookmarkStart w:id="8" w:name="_kp07cp1vszuf" w:colFirst="0" w:colLast="0"/>
      <w:bookmarkStart w:id="9" w:name="_s95ow8hl7n0g" w:colFirst="0" w:colLast="0"/>
      <w:bookmarkStart w:id="10" w:name="_Toc182501842"/>
      <w:bookmarkEnd w:id="8"/>
      <w:bookmarkEnd w:id="9"/>
      <w:r w:rsidRPr="002A2195">
        <w:rPr>
          <w:szCs w:val="24"/>
          <w:lang w:val="en-GB"/>
        </w:rPr>
        <w:t xml:space="preserve">Real-world events and </w:t>
      </w:r>
      <w:r w:rsidRPr="002A2195">
        <w:rPr>
          <w:lang w:val="en-GB"/>
        </w:rPr>
        <w:t>current economic position</w:t>
      </w:r>
      <w:bookmarkEnd w:id="10"/>
    </w:p>
    <w:p w14:paraId="140A5C51" w14:textId="77777777" w:rsidR="00504039" w:rsidRPr="002A2195" w:rsidRDefault="00504039" w:rsidP="002A2195">
      <w:pPr>
        <w:pStyle w:val="Normal1"/>
        <w:jc w:val="center"/>
        <w:rPr>
          <w:lang w:val="en-GB"/>
        </w:rPr>
      </w:pPr>
      <w:r w:rsidRPr="002A2195">
        <w:rPr>
          <w:noProof/>
        </w:rPr>
        <w:drawing>
          <wp:inline distT="114300" distB="114300" distL="114300" distR="114300" wp14:anchorId="0AE2CD2C" wp14:editId="39E5D791">
            <wp:extent cx="5943600" cy="3822700"/>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822700"/>
                    </a:xfrm>
                    <a:prstGeom prst="rect">
                      <a:avLst/>
                    </a:prstGeom>
                    <a:ln/>
                  </pic:spPr>
                </pic:pic>
              </a:graphicData>
            </a:graphic>
          </wp:inline>
        </w:drawing>
      </w:r>
    </w:p>
    <w:p w14:paraId="6C844692" w14:textId="77777777" w:rsidR="00504039" w:rsidRPr="002A2195" w:rsidRDefault="00504039" w:rsidP="002A2195">
      <w:pPr>
        <w:pStyle w:val="Normal1"/>
        <w:jc w:val="center"/>
        <w:rPr>
          <w:b/>
          <w:lang w:val="en-GB"/>
        </w:rPr>
      </w:pPr>
      <w:r w:rsidRPr="002A2195">
        <w:rPr>
          <w:b/>
          <w:lang w:val="en-GB"/>
        </w:rPr>
        <w:t>Figure 2: Market Size of hotel industry in the UK</w:t>
      </w:r>
    </w:p>
    <w:p w14:paraId="29944341" w14:textId="77777777" w:rsidR="00504039" w:rsidRPr="002A2195" w:rsidRDefault="00504039" w:rsidP="002A2195">
      <w:pPr>
        <w:pStyle w:val="Normal1"/>
        <w:jc w:val="center"/>
        <w:rPr>
          <w:lang w:val="en-GB"/>
        </w:rPr>
      </w:pPr>
      <w:r w:rsidRPr="002A2195">
        <w:rPr>
          <w:lang w:val="en-GB"/>
        </w:rPr>
        <w:t xml:space="preserve">(Source: Statista, 2024) </w:t>
      </w:r>
    </w:p>
    <w:p w14:paraId="37E4E3F7" w14:textId="7525C388" w:rsidR="00504039" w:rsidRPr="002A2195" w:rsidRDefault="00504039" w:rsidP="002A2195">
      <w:pPr>
        <w:pStyle w:val="Normal1"/>
        <w:rPr>
          <w:lang w:val="en-GB"/>
        </w:rPr>
      </w:pPr>
      <w:r w:rsidRPr="002A2195">
        <w:rPr>
          <w:lang w:val="en-GB"/>
        </w:rPr>
        <w:t xml:space="preserve">The above graph represents the market size landscape of the hotel industry in the UK for the period 2013 to 2024. The market size 2023 of the hotel industry was approximately 24.7 billion British pounds in the UK, an increase compared to the previous year at a total of 16.42 Billion British pounds (Statista, 2024). Whereas, the market size 2024 for the hospitality industry is forecasted to decrease by over 500 million British pounds. Hence, it is expected to represent an annual growth rate of 2.43% resulting in market volume reaching </w:t>
      </w:r>
      <w:r w:rsidR="007B08B8">
        <w:t>£18.68 billion</w:t>
      </w:r>
      <w:r w:rsidRPr="002A2195">
        <w:rPr>
          <w:lang w:val="en-GB"/>
        </w:rPr>
        <w:t xml:space="preserve"> by 2029. Therefore, the analysis significantly crater the City Hotels to improve its profitability margins, and liquidity ratio also considering the solvency performances of its business as the UK has been presenting a higher hospitality sector presence in the future.</w:t>
      </w:r>
    </w:p>
    <w:p w14:paraId="630A3BEB" w14:textId="77777777" w:rsidR="00504039" w:rsidRPr="002A2195" w:rsidRDefault="00504039" w:rsidP="002A2195">
      <w:pPr>
        <w:pStyle w:val="Heading1"/>
        <w:rPr>
          <w:lang w:val="en-GB"/>
        </w:rPr>
      </w:pPr>
      <w:bookmarkStart w:id="11" w:name="_vef4grezqpmb" w:colFirst="0" w:colLast="0"/>
      <w:bookmarkStart w:id="12" w:name="_Toc182501843"/>
      <w:bookmarkEnd w:id="11"/>
      <w:r w:rsidRPr="002A2195">
        <w:rPr>
          <w:lang w:val="en-GB"/>
        </w:rPr>
        <w:t>3. Suggestions for turnaround strategy to boost the financial health position, reputation, and most viable outcomes for the owner of City Hotel</w:t>
      </w:r>
      <w:bookmarkEnd w:id="12"/>
    </w:p>
    <w:p w14:paraId="1AA98143" w14:textId="77777777" w:rsidR="00504039" w:rsidRPr="002A2195" w:rsidRDefault="00504039" w:rsidP="002A2195">
      <w:pPr>
        <w:pStyle w:val="Normal1"/>
        <w:rPr>
          <w:lang w:val="en-GB"/>
        </w:rPr>
      </w:pPr>
      <w:r w:rsidRPr="002A2195">
        <w:rPr>
          <w:lang w:val="en-GB"/>
        </w:rPr>
        <w:t xml:space="preserve">It is essential for a company to the establishment of a strong financial foundation in any of the revival strategies. However, the turnaround strategy involves the determination of performances of financial controls, managing liquidity flows, and reduction of cost expenses in a business. The turnaround strategy refers to a set of strategies established for rescuing a down-failing business, and changes in management performance considerations (Tao </w:t>
      </w:r>
      <w:r w:rsidRPr="002A2195">
        <w:rPr>
          <w:i/>
          <w:lang w:val="en-GB"/>
        </w:rPr>
        <w:t xml:space="preserve">et al. </w:t>
      </w:r>
      <w:r w:rsidRPr="002A2195">
        <w:rPr>
          <w:lang w:val="en-GB"/>
        </w:rPr>
        <w:t xml:space="preserve">2020). It means that the company has been required to increase sales, and expenses reduction, and improve profitability margins. Therefore, the suggested turnaround strategies refer to meeting the successful implementation of chances to meet the SMART goals of the business and understanding various causes for the business downturns. </w:t>
      </w:r>
    </w:p>
    <w:p w14:paraId="73D0A77A" w14:textId="77777777" w:rsidR="00504039" w:rsidRPr="002A2195" w:rsidRDefault="00504039" w:rsidP="002A2195">
      <w:pPr>
        <w:pStyle w:val="Normal1"/>
        <w:rPr>
          <w:rFonts w:eastAsia="Arial"/>
          <w:b/>
          <w:lang w:val="en-GB"/>
        </w:rPr>
      </w:pPr>
      <w:r w:rsidRPr="002A2195">
        <w:rPr>
          <w:b/>
          <w:lang w:val="en-GB"/>
        </w:rPr>
        <w:t>Restructuring debt</w:t>
      </w:r>
    </w:p>
    <w:p w14:paraId="26B5DFBE" w14:textId="77777777" w:rsidR="00504039" w:rsidRPr="002A2195" w:rsidRDefault="00504039" w:rsidP="002A2195">
      <w:pPr>
        <w:pStyle w:val="Normal1"/>
        <w:rPr>
          <w:lang w:val="en-GB"/>
        </w:rPr>
      </w:pPr>
      <w:r w:rsidRPr="002A2195">
        <w:rPr>
          <w:lang w:val="en-GB"/>
        </w:rPr>
        <w:t xml:space="preserve">The key importance of corporate restructuring is based on its ability to provide a quick perspective, and problem existences approaches. Restructuring debt can be through mergers, divestitures, acquisitions, or financial restructuring (Hagan, 2020). Hence, the implication of restructuring debt on City Hotel established competitive advantages, and a “financially stable entity”. This results in an understanding of the requirements of restructuring for taking decisive actions at a single step towards revitalisation in business. The establishment of any big changes in a company requires taking a harder look at its finances to figure out the key causes for fund troubles in business. It means the owner of City Hotel is required to tighten its financial belts by cost-cutting strategies managing money in a better way, and controlling the money spending. </w:t>
      </w:r>
    </w:p>
    <w:p w14:paraId="2A554F92" w14:textId="77777777" w:rsidR="00504039" w:rsidRPr="002A2195" w:rsidRDefault="00504039" w:rsidP="002A2195">
      <w:pPr>
        <w:pStyle w:val="Normal1"/>
        <w:rPr>
          <w:rFonts w:eastAsia="Arial"/>
          <w:b/>
          <w:lang w:val="en-GB"/>
        </w:rPr>
      </w:pPr>
      <w:r w:rsidRPr="002A2195">
        <w:rPr>
          <w:b/>
          <w:lang w:val="en-GB"/>
        </w:rPr>
        <w:t>Stakeholder engagement to gain support</w:t>
      </w:r>
    </w:p>
    <w:p w14:paraId="25DA5BD3" w14:textId="77777777" w:rsidR="00504039" w:rsidRDefault="00504039" w:rsidP="002A2195">
      <w:pPr>
        <w:pStyle w:val="Normal1"/>
        <w:rPr>
          <w:lang w:val="en-GB"/>
        </w:rPr>
      </w:pPr>
      <w:r w:rsidRPr="002A2195">
        <w:rPr>
          <w:lang w:val="en-GB"/>
        </w:rPr>
        <w:t>The strategy is to engage with stakeholders to gain support in the section to increase profitability margin and improve liquidity position. The importance of stakeholder engagement for the important opportunities throughout the turnaround process is to resonate the lessons across the successful revenue-increasing goals (</w:t>
      </w:r>
      <w:proofErr w:type="spellStart"/>
      <w:r w:rsidRPr="002A2195">
        <w:rPr>
          <w:lang w:val="en-GB"/>
        </w:rPr>
        <w:t>Kujala</w:t>
      </w:r>
      <w:proofErr w:type="spellEnd"/>
      <w:r w:rsidRPr="002A2195">
        <w:rPr>
          <w:lang w:val="en-GB"/>
        </w:rPr>
        <w:t xml:space="preserve"> </w:t>
      </w:r>
      <w:r w:rsidRPr="002A2195">
        <w:rPr>
          <w:i/>
          <w:lang w:val="en-GB"/>
        </w:rPr>
        <w:t xml:space="preserve">et al. </w:t>
      </w:r>
      <w:r w:rsidRPr="002A2195">
        <w:rPr>
          <w:lang w:val="en-GB"/>
        </w:rPr>
        <w:t xml:space="preserve">2022). Hence, keeping stakeholders informed, and involved can help to support the required implementation of the necessary changes. The process will help City Hotel to improve the stakeholder's connectivity including customers, employees, and creditors at crucial engagements to gain support and ensure a collaborative understanding. </w:t>
      </w:r>
    </w:p>
    <w:p w14:paraId="72A91A29" w14:textId="77777777" w:rsidR="006C3E46" w:rsidRPr="002A2195" w:rsidRDefault="006C3E46" w:rsidP="002A2195">
      <w:pPr>
        <w:pStyle w:val="Normal1"/>
        <w:rPr>
          <w:b/>
          <w:lang w:val="en-GB"/>
        </w:rPr>
      </w:pPr>
    </w:p>
    <w:p w14:paraId="45016194" w14:textId="77777777" w:rsidR="00504039" w:rsidRPr="002A2195" w:rsidRDefault="00504039" w:rsidP="002A2195">
      <w:pPr>
        <w:pStyle w:val="Heading1"/>
        <w:rPr>
          <w:sz w:val="24"/>
          <w:lang w:val="en-GB"/>
        </w:rPr>
      </w:pPr>
      <w:bookmarkStart w:id="13" w:name="_u9mmcjs26fb0" w:colFirst="0" w:colLast="0"/>
      <w:bookmarkStart w:id="14" w:name="_Toc182501844"/>
      <w:bookmarkEnd w:id="13"/>
      <w:r w:rsidRPr="002A2195">
        <w:rPr>
          <w:lang w:val="en-GB"/>
        </w:rPr>
        <w:t>Conclusion</w:t>
      </w:r>
      <w:bookmarkEnd w:id="14"/>
    </w:p>
    <w:p w14:paraId="61093FE2" w14:textId="6160CE13" w:rsidR="00504039" w:rsidRDefault="00504039" w:rsidP="002A2195">
      <w:pPr>
        <w:rPr>
          <w:lang w:val="en-GB"/>
        </w:rPr>
      </w:pPr>
      <w:r w:rsidRPr="002A2195">
        <w:rPr>
          <w:lang w:val="en-GB"/>
        </w:rPr>
        <w:t xml:space="preserve">The overall report concludes the financial performance determination for City Hotel facing declining revenue, customer satisfaction, and occupancy rates in business as to the analysis of the past three years of financial statements. Hence, the profitability ratio showing the reduction in revenue is due to increasing cost expenses over the years. Furthermore, the cash position of the City Hotel is also in the worst conditional liquidity margin has been decreased for the years. The historical market size of the hospitality industry in the UK introduced the increasing demand for users and reached </w:t>
      </w:r>
      <w:r w:rsidR="007B08B8">
        <w:t xml:space="preserve">£18.68 billion </w:t>
      </w:r>
      <w:r w:rsidRPr="002A2195">
        <w:rPr>
          <w:lang w:val="en-GB"/>
        </w:rPr>
        <w:t>in 2029. The turnaround strategies such as stakeholder engagements, and restructuring debt for the City Hotel for the reduction in revenue declining performances, and to meet the customer preferences to achieve the acquired liquidity position to meet sudden cash flow requirements.</w:t>
      </w:r>
    </w:p>
    <w:p w14:paraId="1EBE80C9" w14:textId="77777777" w:rsidR="006C3E46" w:rsidRPr="002A2195" w:rsidRDefault="006C3E46" w:rsidP="006C3E46">
      <w:pPr>
        <w:pStyle w:val="Heading2"/>
        <w:rPr>
          <w:lang w:val="en-GB"/>
        </w:rPr>
      </w:pPr>
      <w:bookmarkStart w:id="15" w:name="_Toc182501845"/>
      <w:r w:rsidRPr="002A2195">
        <w:rPr>
          <w:lang w:val="en-GB"/>
        </w:rPr>
        <w:t>Recommendations</w:t>
      </w:r>
      <w:bookmarkEnd w:id="15"/>
    </w:p>
    <w:p w14:paraId="0D5F5CD7" w14:textId="77777777" w:rsidR="006C3E46" w:rsidRPr="002A2195" w:rsidRDefault="006C3E46" w:rsidP="006C3E46">
      <w:pPr>
        <w:pStyle w:val="Normal1"/>
        <w:numPr>
          <w:ilvl w:val="0"/>
          <w:numId w:val="1"/>
        </w:numPr>
        <w:rPr>
          <w:lang w:val="en-GB"/>
        </w:rPr>
      </w:pPr>
      <w:r w:rsidRPr="002A2195">
        <w:rPr>
          <w:lang w:val="en-GB"/>
        </w:rPr>
        <w:t xml:space="preserve">City Hotel should require to effectively negotiating with the suppliers for the reduction of cash outflows. </w:t>
      </w:r>
    </w:p>
    <w:p w14:paraId="1E7951F7" w14:textId="77777777" w:rsidR="006C3E46" w:rsidRPr="001C605E" w:rsidRDefault="006C3E46" w:rsidP="006C3E46">
      <w:pPr>
        <w:pStyle w:val="Normal1"/>
        <w:numPr>
          <w:ilvl w:val="0"/>
          <w:numId w:val="1"/>
        </w:numPr>
        <w:rPr>
          <w:lang w:val="en-GB"/>
        </w:rPr>
      </w:pPr>
      <w:r w:rsidRPr="002A2195">
        <w:rPr>
          <w:lang w:val="en-GB"/>
        </w:rPr>
        <w:t>The company can consider “sweep accounts” in its business for managing financial accounts that refer to moving business funds into a profitable “interest-bearing account”</w:t>
      </w:r>
      <w:r>
        <w:rPr>
          <w:lang w:val="en-GB"/>
        </w:rPr>
        <w:t xml:space="preserve"> </w:t>
      </w:r>
      <w:r w:rsidRPr="001C605E">
        <w:rPr>
          <w:lang w:val="en-GB"/>
        </w:rPr>
        <w:t>(</w:t>
      </w:r>
      <w:r w:rsidRPr="001C605E">
        <w:t xml:space="preserve">Barth </w:t>
      </w:r>
      <w:r w:rsidRPr="001C605E">
        <w:rPr>
          <w:i/>
        </w:rPr>
        <w:t xml:space="preserve">et al. </w:t>
      </w:r>
      <w:r w:rsidRPr="001C605E">
        <w:t>2023</w:t>
      </w:r>
      <w:r w:rsidRPr="001C605E">
        <w:rPr>
          <w:lang w:val="en-GB"/>
        </w:rPr>
        <w:t>).</w:t>
      </w:r>
    </w:p>
    <w:p w14:paraId="2F4A2A80" w14:textId="77777777" w:rsidR="006C3E46" w:rsidRPr="002A2195" w:rsidRDefault="006C3E46" w:rsidP="006C3E46">
      <w:pPr>
        <w:pStyle w:val="Normal1"/>
        <w:numPr>
          <w:ilvl w:val="0"/>
          <w:numId w:val="1"/>
        </w:numPr>
        <w:rPr>
          <w:lang w:val="en-GB"/>
        </w:rPr>
      </w:pPr>
      <w:r w:rsidRPr="002A2195">
        <w:rPr>
          <w:lang w:val="en-GB"/>
        </w:rPr>
        <w:t xml:space="preserve">The company is importantly required to manage its inventories which will help to prevent theft and losses while “maximizing profitability” margins reflects to improve the customer satisfaction levels. </w:t>
      </w:r>
    </w:p>
    <w:p w14:paraId="4B4D4C10" w14:textId="77777777" w:rsidR="006C3E46" w:rsidRPr="002A2195" w:rsidRDefault="006C3E46" w:rsidP="006C3E46">
      <w:pPr>
        <w:pStyle w:val="Normal1"/>
        <w:numPr>
          <w:ilvl w:val="0"/>
          <w:numId w:val="1"/>
        </w:numPr>
        <w:rPr>
          <w:lang w:val="en-GB"/>
        </w:rPr>
      </w:pPr>
      <w:r w:rsidRPr="002A2195">
        <w:rPr>
          <w:lang w:val="en-GB"/>
        </w:rPr>
        <w:t xml:space="preserve">According to Mueller, and </w:t>
      </w:r>
      <w:proofErr w:type="spellStart"/>
      <w:r w:rsidRPr="002A2195">
        <w:rPr>
          <w:lang w:val="en-GB"/>
        </w:rPr>
        <w:t>Sensini</w:t>
      </w:r>
      <w:proofErr w:type="spellEnd"/>
      <w:r w:rsidRPr="002A2195">
        <w:rPr>
          <w:lang w:val="en-GB"/>
        </w:rPr>
        <w:t xml:space="preserve">, (2021), the “trade-off theory” (TO), refers to the determination of the capital structure that is influenced by the fiscal variables of the company, agency costs, and bankruptcy costs. Hence, the application of this approach in the business of City Hotel will refer to the optimisation of capital structure that is preferable to the company to use its external financial resources for maintaining leverage achievements until it reaches the optimal level. </w:t>
      </w:r>
    </w:p>
    <w:p w14:paraId="6F6BDA4D" w14:textId="77777777" w:rsidR="006C3E46" w:rsidRPr="002A2195" w:rsidRDefault="006C3E46" w:rsidP="006C3E46">
      <w:pPr>
        <w:pStyle w:val="Normal1"/>
        <w:numPr>
          <w:ilvl w:val="0"/>
          <w:numId w:val="1"/>
        </w:numPr>
        <w:rPr>
          <w:lang w:val="en-GB"/>
        </w:rPr>
      </w:pPr>
      <w:r w:rsidRPr="002A2195">
        <w:rPr>
          <w:lang w:val="en-GB"/>
        </w:rPr>
        <w:t>City Hotel should require maintaining its cash flow to maintain the short or long debt obligation by tracking the regular debt ratio, and to balancing working capital management.</w:t>
      </w:r>
    </w:p>
    <w:p w14:paraId="4B377E24" w14:textId="77777777" w:rsidR="006C3E46" w:rsidRPr="002A2195" w:rsidRDefault="006C3E46" w:rsidP="002A2195"/>
    <w:p w14:paraId="7112CA75" w14:textId="77777777" w:rsidR="00D51046" w:rsidRPr="002A2195" w:rsidRDefault="005F349B" w:rsidP="002A2195">
      <w:pPr>
        <w:pStyle w:val="Heading1"/>
        <w:rPr>
          <w:lang w:val="en-GB"/>
        </w:rPr>
      </w:pPr>
      <w:bookmarkStart w:id="16" w:name="_fhxa9mnqkjdb" w:colFirst="0" w:colLast="0"/>
      <w:bookmarkStart w:id="17" w:name="_Toc182501846"/>
      <w:bookmarkEnd w:id="16"/>
      <w:r w:rsidRPr="002A2195">
        <w:rPr>
          <w:lang w:val="en-GB"/>
        </w:rPr>
        <w:t>Reference List</w:t>
      </w:r>
      <w:bookmarkEnd w:id="17"/>
    </w:p>
    <w:p w14:paraId="78EDEDDA" w14:textId="77777777" w:rsidR="00C111B9" w:rsidRPr="001C605E" w:rsidRDefault="00C111B9" w:rsidP="00C111B9">
      <w:pPr>
        <w:pStyle w:val="NormalWeb"/>
        <w:spacing w:before="0" w:beforeAutospacing="0" w:after="0" w:afterAutospacing="0"/>
        <w:jc w:val="both"/>
      </w:pPr>
      <w:proofErr w:type="spellStart"/>
      <w:r w:rsidRPr="001C605E">
        <w:t>Amoa-Gyarteng</w:t>
      </w:r>
      <w:proofErr w:type="spellEnd"/>
      <w:r w:rsidRPr="001C605E">
        <w:t xml:space="preserve">, K., (2022). </w:t>
      </w:r>
      <w:r w:rsidRPr="001C605E">
        <w:rPr>
          <w:i/>
          <w:iCs/>
        </w:rPr>
        <w:t>The influence of capital structure and profitability on the solvency of nascent SMEs.</w:t>
      </w:r>
      <w:r w:rsidRPr="001C605E">
        <w:t xml:space="preserve"> University of Johannesburg (South Africa).</w:t>
      </w:r>
    </w:p>
    <w:p w14:paraId="5ACAAE11" w14:textId="77777777" w:rsidR="00C111B9" w:rsidRPr="001C605E" w:rsidRDefault="00C111B9" w:rsidP="00C111B9">
      <w:pPr>
        <w:pStyle w:val="Normal1"/>
        <w:rPr>
          <w:lang w:val="en-GB"/>
        </w:rPr>
      </w:pPr>
      <w:r w:rsidRPr="001C605E">
        <w:t xml:space="preserve">Barth, J.R., Mitchell, M. and Sun, Y., (2023). Runs to Banks: The Role of Sweep Banking Deposits During Market Downturns. In Runs to Bank: </w:t>
      </w:r>
      <w:r w:rsidRPr="001C605E">
        <w:rPr>
          <w:i/>
          <w:iCs/>
        </w:rPr>
        <w:t xml:space="preserve">The Role of Sweep Banking Deposits During Market Downturns: </w:t>
      </w:r>
      <w:r w:rsidRPr="001C605E">
        <w:t xml:space="preserve">Barth, James R.| uMitchell, Mark L.| uSun, </w:t>
      </w:r>
      <w:proofErr w:type="spellStart"/>
      <w:r w:rsidRPr="001C605E">
        <w:t>Yanfei</w:t>
      </w:r>
      <w:proofErr w:type="spellEnd"/>
      <w:r w:rsidRPr="001C605E">
        <w:t>. [Sl]: SSRN.</w:t>
      </w:r>
    </w:p>
    <w:p w14:paraId="2C84B558" w14:textId="77777777" w:rsidR="00C111B9" w:rsidRPr="002A2195" w:rsidRDefault="00C111B9" w:rsidP="002A2195">
      <w:pPr>
        <w:pStyle w:val="Normal1"/>
        <w:rPr>
          <w:lang w:val="en-GB"/>
        </w:rPr>
      </w:pPr>
      <w:r w:rsidRPr="002A2195">
        <w:rPr>
          <w:lang w:val="en-GB"/>
        </w:rPr>
        <w:t xml:space="preserve">Blessing, H. and </w:t>
      </w:r>
      <w:proofErr w:type="spellStart"/>
      <w:r w:rsidRPr="002A2195">
        <w:rPr>
          <w:lang w:val="en-GB"/>
        </w:rPr>
        <w:t>Sakouvogui</w:t>
      </w:r>
      <w:proofErr w:type="spellEnd"/>
      <w:r w:rsidRPr="002A2195">
        <w:rPr>
          <w:lang w:val="en-GB"/>
        </w:rPr>
        <w:t xml:space="preserve">, G., (2023). Impact of liquidity and solvency ratios on financial performance: a comprehensive analysis. </w:t>
      </w:r>
      <w:r w:rsidRPr="002A2195">
        <w:rPr>
          <w:i/>
          <w:lang w:val="en-GB"/>
        </w:rPr>
        <w:t>Indonesia Auditing Research Journal, 12</w:t>
      </w:r>
      <w:r w:rsidRPr="002A2195">
        <w:rPr>
          <w:lang w:val="en-GB"/>
        </w:rPr>
        <w:t>(3), pp.102-115.</w:t>
      </w:r>
    </w:p>
    <w:p w14:paraId="7A2DAB69" w14:textId="77777777" w:rsidR="00C111B9" w:rsidRPr="001C605E" w:rsidRDefault="00C111B9" w:rsidP="00C111B9">
      <w:pPr>
        <w:pStyle w:val="NormalWeb"/>
        <w:spacing w:before="0" w:beforeAutospacing="0" w:after="0" w:afterAutospacing="0"/>
        <w:jc w:val="both"/>
      </w:pPr>
      <w:r w:rsidRPr="001C605E">
        <w:t xml:space="preserve">D'AVERNAS, A.D.R.I.E.N. and </w:t>
      </w:r>
      <w:proofErr w:type="spellStart"/>
      <w:r w:rsidRPr="001C605E">
        <w:t>Vandeweyer</w:t>
      </w:r>
      <w:proofErr w:type="spellEnd"/>
      <w:r w:rsidRPr="001C605E">
        <w:t>, Q., (2023). Treasury Bill Shortages and the Pricing of Short</w:t>
      </w:r>
      <w:r w:rsidRPr="001C605E">
        <w:rPr>
          <w:rFonts w:ascii="Cambria Math" w:hAnsi="Cambria Math" w:cs="Cambria Math"/>
        </w:rPr>
        <w:t>‐</w:t>
      </w:r>
      <w:r w:rsidRPr="001C605E">
        <w:t xml:space="preserve">Term Assets. </w:t>
      </w:r>
      <w:r w:rsidRPr="001C605E">
        <w:rPr>
          <w:i/>
          <w:iCs/>
        </w:rPr>
        <w:t>The Journal of Finance</w:t>
      </w:r>
      <w:r w:rsidRPr="001C605E">
        <w:t>.</w:t>
      </w:r>
    </w:p>
    <w:p w14:paraId="4515CF0F" w14:textId="77777777" w:rsidR="00C111B9" w:rsidRPr="002A2195" w:rsidRDefault="00C111B9" w:rsidP="002A2195">
      <w:pPr>
        <w:pStyle w:val="Normal1"/>
        <w:rPr>
          <w:lang w:val="en-GB"/>
        </w:rPr>
      </w:pPr>
      <w:r w:rsidRPr="001C605E">
        <w:rPr>
          <w:lang w:val="en-GB"/>
        </w:rPr>
        <w:t>Hagan, S., (2020). Sovereign debt restructuring: The centrality of</w:t>
      </w:r>
      <w:r w:rsidRPr="002A2195">
        <w:rPr>
          <w:lang w:val="en-GB"/>
        </w:rPr>
        <w:t xml:space="preserve"> the IMF's role. </w:t>
      </w:r>
      <w:r w:rsidRPr="002A2195">
        <w:rPr>
          <w:i/>
          <w:lang w:val="en-GB"/>
        </w:rPr>
        <w:t xml:space="preserve">Peterson Institute for International Economics Working Paper, </w:t>
      </w:r>
      <w:r w:rsidRPr="002A2195">
        <w:rPr>
          <w:lang w:val="en-GB"/>
        </w:rPr>
        <w:t>(20-13).</w:t>
      </w:r>
    </w:p>
    <w:p w14:paraId="70B54C49" w14:textId="77777777" w:rsidR="00C111B9" w:rsidRPr="002A2195" w:rsidRDefault="00C111B9" w:rsidP="002A2195">
      <w:pPr>
        <w:pStyle w:val="Normal1"/>
        <w:rPr>
          <w:lang w:val="en-GB"/>
        </w:rPr>
      </w:pPr>
      <w:r w:rsidRPr="002A2195">
        <w:rPr>
          <w:lang w:val="en-GB"/>
        </w:rPr>
        <w:t xml:space="preserve">Jihadi, M., </w:t>
      </w:r>
      <w:proofErr w:type="spellStart"/>
      <w:r w:rsidRPr="002A2195">
        <w:rPr>
          <w:lang w:val="en-GB"/>
        </w:rPr>
        <w:t>Vilantika</w:t>
      </w:r>
      <w:proofErr w:type="spellEnd"/>
      <w:r w:rsidRPr="002A2195">
        <w:rPr>
          <w:lang w:val="en-GB"/>
        </w:rPr>
        <w:t xml:space="preserve">, E., Hashemi, S.M., Arifin, Z., </w:t>
      </w:r>
      <w:proofErr w:type="spellStart"/>
      <w:r w:rsidRPr="002A2195">
        <w:rPr>
          <w:lang w:val="en-GB"/>
        </w:rPr>
        <w:t>Bachtiar</w:t>
      </w:r>
      <w:proofErr w:type="spellEnd"/>
      <w:r w:rsidRPr="002A2195">
        <w:rPr>
          <w:lang w:val="en-GB"/>
        </w:rPr>
        <w:t xml:space="preserve">, Y. and </w:t>
      </w:r>
      <w:proofErr w:type="spellStart"/>
      <w:r w:rsidRPr="002A2195">
        <w:rPr>
          <w:lang w:val="en-GB"/>
        </w:rPr>
        <w:t>Sholichah</w:t>
      </w:r>
      <w:proofErr w:type="spellEnd"/>
      <w:r w:rsidRPr="002A2195">
        <w:rPr>
          <w:lang w:val="en-GB"/>
        </w:rPr>
        <w:t xml:space="preserve">, F., (2021). The effect of liquidity, leverage, and profitability on firm value: Empirical evidence from Indonesia. </w:t>
      </w:r>
      <w:r w:rsidRPr="002A2195">
        <w:rPr>
          <w:i/>
          <w:lang w:val="en-GB"/>
        </w:rPr>
        <w:t>The Journal of Asian Finance, Economics and Business, 8</w:t>
      </w:r>
      <w:r w:rsidRPr="002A2195">
        <w:rPr>
          <w:lang w:val="en-GB"/>
        </w:rPr>
        <w:t>(3), pp.423-431.</w:t>
      </w:r>
    </w:p>
    <w:p w14:paraId="763C848D" w14:textId="77777777" w:rsidR="00C111B9" w:rsidRPr="002A2195" w:rsidRDefault="00C111B9" w:rsidP="002A2195">
      <w:pPr>
        <w:pStyle w:val="Normal1"/>
        <w:rPr>
          <w:lang w:val="en-GB"/>
        </w:rPr>
      </w:pPr>
      <w:proofErr w:type="spellStart"/>
      <w:r w:rsidRPr="002A2195">
        <w:rPr>
          <w:lang w:val="en-GB"/>
        </w:rPr>
        <w:t>Kujala</w:t>
      </w:r>
      <w:proofErr w:type="spellEnd"/>
      <w:r w:rsidRPr="002A2195">
        <w:rPr>
          <w:lang w:val="en-GB"/>
        </w:rPr>
        <w:t>, J., Sachs, S., Leinonen, H., Heikkinen, A. and Laude, D., (2022). Stakeholder engagement: Past, present, and future</w:t>
      </w:r>
      <w:r w:rsidRPr="002A2195">
        <w:rPr>
          <w:i/>
          <w:lang w:val="en-GB"/>
        </w:rPr>
        <w:t>. Business &amp; Society, 61</w:t>
      </w:r>
      <w:r w:rsidRPr="002A2195">
        <w:rPr>
          <w:lang w:val="en-GB"/>
        </w:rPr>
        <w:t>(5), pp.1136-1196.</w:t>
      </w:r>
    </w:p>
    <w:p w14:paraId="0AB61521" w14:textId="77777777" w:rsidR="00C111B9" w:rsidRPr="002A2195" w:rsidRDefault="00C111B9" w:rsidP="002A2195">
      <w:pPr>
        <w:pStyle w:val="Normal1"/>
        <w:rPr>
          <w:lang w:val="en-GB"/>
        </w:rPr>
      </w:pPr>
      <w:r w:rsidRPr="002A2195">
        <w:rPr>
          <w:lang w:val="en-GB"/>
        </w:rPr>
        <w:t xml:space="preserve">Mueller, A. and </w:t>
      </w:r>
      <w:proofErr w:type="spellStart"/>
      <w:r w:rsidRPr="002A2195">
        <w:rPr>
          <w:lang w:val="en-GB"/>
        </w:rPr>
        <w:t>Sensini</w:t>
      </w:r>
      <w:proofErr w:type="spellEnd"/>
      <w:r w:rsidRPr="002A2195">
        <w:rPr>
          <w:lang w:val="en-GB"/>
        </w:rPr>
        <w:t>, L., (2021). Determinants of financing decisions of SMEs: evidence from hotel industry.</w:t>
      </w:r>
      <w:r w:rsidRPr="002A2195">
        <w:rPr>
          <w:i/>
          <w:lang w:val="en-GB"/>
        </w:rPr>
        <w:t xml:space="preserve"> International Journal of Business and Management, 16</w:t>
      </w:r>
      <w:r w:rsidRPr="002A2195">
        <w:rPr>
          <w:lang w:val="en-GB"/>
        </w:rPr>
        <w:t>(3), pp.117-127.</w:t>
      </w:r>
    </w:p>
    <w:p w14:paraId="065548DE" w14:textId="77777777" w:rsidR="00C111B9" w:rsidRPr="002A2195" w:rsidRDefault="00C111B9" w:rsidP="002A2195">
      <w:pPr>
        <w:pStyle w:val="Normal1"/>
        <w:rPr>
          <w:lang w:val="en-GB"/>
        </w:rPr>
      </w:pPr>
      <w:r w:rsidRPr="002A2195">
        <w:rPr>
          <w:lang w:val="en-GB"/>
        </w:rPr>
        <w:t xml:space="preserve">Rashid, C.A., (2021). The efficiency of financial ratios analysis to evaluate company’s profitability. </w:t>
      </w:r>
      <w:r w:rsidRPr="002A2195">
        <w:rPr>
          <w:i/>
          <w:lang w:val="en-GB"/>
        </w:rPr>
        <w:t>Journal of Global Economics and Business, 2</w:t>
      </w:r>
      <w:r w:rsidRPr="002A2195">
        <w:rPr>
          <w:lang w:val="en-GB"/>
        </w:rPr>
        <w:t>(4), pp.119-132.</w:t>
      </w:r>
    </w:p>
    <w:p w14:paraId="10D910C4" w14:textId="77777777" w:rsidR="00C111B9" w:rsidRPr="002A2195" w:rsidRDefault="00C111B9" w:rsidP="002A2195">
      <w:pPr>
        <w:pStyle w:val="Normal1"/>
        <w:rPr>
          <w:lang w:val="en-GB"/>
        </w:rPr>
      </w:pPr>
      <w:r w:rsidRPr="002A2195">
        <w:rPr>
          <w:lang w:val="en-GB"/>
        </w:rPr>
        <w:t xml:space="preserve">Statista, (2024), </w:t>
      </w:r>
      <w:r w:rsidRPr="002A2195">
        <w:rPr>
          <w:i/>
          <w:lang w:val="en-GB"/>
        </w:rPr>
        <w:t xml:space="preserve">Market size of the hotel industry in the United Kingdom from 2013 to 2023, with a forecast for 2024, </w:t>
      </w:r>
      <w:r w:rsidRPr="002A2195">
        <w:rPr>
          <w:lang w:val="en-GB"/>
        </w:rPr>
        <w:t xml:space="preserve"> Available at: https://www.statista.com/statistics/1364712/hotel-industry-market-size-uk/ [Accessed 4th November 2024]</w:t>
      </w:r>
    </w:p>
    <w:p w14:paraId="7264F7CE" w14:textId="77777777" w:rsidR="00C111B9" w:rsidRDefault="00C111B9" w:rsidP="002A2195">
      <w:pPr>
        <w:pStyle w:val="Normal1"/>
        <w:rPr>
          <w:lang w:val="en-GB"/>
        </w:rPr>
      </w:pPr>
      <w:r w:rsidRPr="002A2195">
        <w:rPr>
          <w:lang w:val="en-GB"/>
        </w:rPr>
        <w:t xml:space="preserve">Tao, Y., Xu, G. and Liu, H., (2020). Compensation gap, retrenchment strategy and organizational turnaround: a configurational perspective. </w:t>
      </w:r>
      <w:r w:rsidRPr="002A2195">
        <w:rPr>
          <w:i/>
          <w:lang w:val="en-GB"/>
        </w:rPr>
        <w:t>Journal of Organizational Change Management, 33</w:t>
      </w:r>
      <w:r w:rsidRPr="002A2195">
        <w:rPr>
          <w:lang w:val="en-GB"/>
        </w:rPr>
        <w:t>(5), pp.925-939.</w:t>
      </w:r>
    </w:p>
    <w:p w14:paraId="26839A6A" w14:textId="77777777" w:rsidR="00A26039" w:rsidRPr="002A2195" w:rsidRDefault="00A26039" w:rsidP="002A2195">
      <w:pPr>
        <w:rPr>
          <w:b/>
          <w:sz w:val="32"/>
          <w:szCs w:val="28"/>
          <w:highlight w:val="none"/>
          <w:lang w:val="en-GB"/>
        </w:rPr>
      </w:pPr>
      <w:bookmarkStart w:id="18" w:name="_2eljzoi2ykob" w:colFirst="0" w:colLast="0"/>
      <w:bookmarkEnd w:id="18"/>
      <w:r w:rsidRPr="002A2195">
        <w:rPr>
          <w:lang w:val="en-GB"/>
        </w:rPr>
        <w:br w:type="page"/>
      </w:r>
    </w:p>
    <w:p w14:paraId="21C7A2A9" w14:textId="77777777" w:rsidR="00D51046" w:rsidRPr="002A2195" w:rsidRDefault="005F349B" w:rsidP="002A2195">
      <w:pPr>
        <w:pStyle w:val="Heading1"/>
        <w:rPr>
          <w:lang w:val="en-GB"/>
        </w:rPr>
      </w:pPr>
      <w:bookmarkStart w:id="19" w:name="_Toc182501847"/>
      <w:r w:rsidRPr="002A2195">
        <w:rPr>
          <w:lang w:val="en-GB"/>
        </w:rPr>
        <w:t>Appendix</w:t>
      </w:r>
      <w:bookmarkEnd w:id="19"/>
      <w:r w:rsidRPr="002A2195">
        <w:rPr>
          <w:lang w:val="en-GB"/>
        </w:rPr>
        <w:t xml:space="preserve"> </w:t>
      </w:r>
    </w:p>
    <w:tbl>
      <w:tblPr>
        <w:tblW w:w="5000" w:type="pct"/>
        <w:tblLook w:val="04A0" w:firstRow="1" w:lastRow="0" w:firstColumn="1" w:lastColumn="0" w:noHBand="0" w:noVBand="1"/>
      </w:tblPr>
      <w:tblGrid>
        <w:gridCol w:w="2604"/>
        <w:gridCol w:w="1338"/>
        <w:gridCol w:w="1338"/>
        <w:gridCol w:w="1338"/>
        <w:gridCol w:w="1361"/>
        <w:gridCol w:w="1361"/>
      </w:tblGrid>
      <w:tr w:rsidR="00C07943" w:rsidRPr="002A2195" w14:paraId="6295BFF3" w14:textId="77777777" w:rsidTr="00C07943">
        <w:trPr>
          <w:trHeight w:val="312"/>
        </w:trPr>
        <w:tc>
          <w:tcPr>
            <w:tcW w:w="1538"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2B7F22F" w14:textId="77777777" w:rsidR="00C07943" w:rsidRPr="002A2195" w:rsidRDefault="00C07943" w:rsidP="002A2195">
            <w:pPr>
              <w:jc w:val="left"/>
              <w:rPr>
                <w:b/>
                <w:bCs/>
                <w:color w:val="000000"/>
                <w:u w:val="single"/>
                <w:lang w:val="en-GB"/>
              </w:rPr>
            </w:pPr>
            <w:r w:rsidRPr="002A2195">
              <w:rPr>
                <w:b/>
                <w:bCs/>
                <w:color w:val="000000"/>
                <w:u w:val="single"/>
                <w:lang w:val="en-GB"/>
              </w:rPr>
              <w:t>Three Years Trends of City Hotel</w:t>
            </w:r>
          </w:p>
        </w:tc>
        <w:tc>
          <w:tcPr>
            <w:tcW w:w="699" w:type="pct"/>
            <w:tcBorders>
              <w:top w:val="single" w:sz="8" w:space="0" w:color="auto"/>
              <w:left w:val="nil"/>
              <w:bottom w:val="single" w:sz="4" w:space="0" w:color="auto"/>
              <w:right w:val="single" w:sz="4" w:space="0" w:color="auto"/>
            </w:tcBorders>
            <w:shd w:val="clear" w:color="000000" w:fill="D9E2F3"/>
            <w:noWrap/>
            <w:vAlign w:val="bottom"/>
            <w:hideMark/>
          </w:tcPr>
          <w:p w14:paraId="65D29ECF" w14:textId="77777777" w:rsidR="00C07943" w:rsidRPr="002A2195" w:rsidRDefault="00C07943" w:rsidP="002A2195">
            <w:pPr>
              <w:jc w:val="center"/>
              <w:rPr>
                <w:b/>
                <w:bCs/>
                <w:color w:val="000000"/>
                <w:u w:val="single"/>
                <w:lang w:val="en-GB"/>
              </w:rPr>
            </w:pPr>
            <w:r w:rsidRPr="002A2195">
              <w:rPr>
                <w:b/>
                <w:bCs/>
                <w:color w:val="000000"/>
                <w:u w:val="single"/>
                <w:lang w:val="en-GB"/>
              </w:rPr>
              <w:t>2021 (In GBP)</w:t>
            </w:r>
          </w:p>
        </w:tc>
        <w:tc>
          <w:tcPr>
            <w:tcW w:w="699" w:type="pct"/>
            <w:tcBorders>
              <w:top w:val="single" w:sz="8" w:space="0" w:color="auto"/>
              <w:left w:val="nil"/>
              <w:bottom w:val="single" w:sz="4" w:space="0" w:color="auto"/>
              <w:right w:val="single" w:sz="4" w:space="0" w:color="auto"/>
            </w:tcBorders>
            <w:shd w:val="clear" w:color="000000" w:fill="D9E2F3"/>
            <w:noWrap/>
            <w:vAlign w:val="bottom"/>
            <w:hideMark/>
          </w:tcPr>
          <w:p w14:paraId="5C234BB5" w14:textId="77777777" w:rsidR="00C07943" w:rsidRPr="002A2195" w:rsidRDefault="00C07943" w:rsidP="002A2195">
            <w:pPr>
              <w:jc w:val="center"/>
              <w:rPr>
                <w:b/>
                <w:bCs/>
                <w:color w:val="000000"/>
                <w:u w:val="single"/>
                <w:lang w:val="en-GB"/>
              </w:rPr>
            </w:pPr>
            <w:r w:rsidRPr="002A2195">
              <w:rPr>
                <w:b/>
                <w:bCs/>
                <w:color w:val="000000"/>
                <w:u w:val="single"/>
                <w:lang w:val="en-GB"/>
              </w:rPr>
              <w:t>2022 (In GBP)</w:t>
            </w:r>
          </w:p>
        </w:tc>
        <w:tc>
          <w:tcPr>
            <w:tcW w:w="699" w:type="pct"/>
            <w:tcBorders>
              <w:top w:val="single" w:sz="8" w:space="0" w:color="auto"/>
              <w:left w:val="nil"/>
              <w:bottom w:val="single" w:sz="4" w:space="0" w:color="auto"/>
              <w:right w:val="single" w:sz="4" w:space="0" w:color="auto"/>
            </w:tcBorders>
            <w:shd w:val="clear" w:color="000000" w:fill="D9E2F3"/>
            <w:noWrap/>
            <w:vAlign w:val="bottom"/>
            <w:hideMark/>
          </w:tcPr>
          <w:p w14:paraId="511C4DCC" w14:textId="77777777" w:rsidR="00C07943" w:rsidRPr="002A2195" w:rsidRDefault="00C07943" w:rsidP="002A2195">
            <w:pPr>
              <w:jc w:val="center"/>
              <w:rPr>
                <w:b/>
                <w:bCs/>
                <w:color w:val="000000"/>
                <w:u w:val="single"/>
                <w:lang w:val="en-GB"/>
              </w:rPr>
            </w:pPr>
            <w:r w:rsidRPr="002A2195">
              <w:rPr>
                <w:b/>
                <w:bCs/>
                <w:color w:val="000000"/>
                <w:u w:val="single"/>
                <w:lang w:val="en-GB"/>
              </w:rPr>
              <w:t>2023 (In GBP)</w:t>
            </w:r>
          </w:p>
        </w:tc>
        <w:tc>
          <w:tcPr>
            <w:tcW w:w="683" w:type="pct"/>
            <w:tcBorders>
              <w:top w:val="single" w:sz="8" w:space="0" w:color="auto"/>
              <w:left w:val="nil"/>
              <w:bottom w:val="single" w:sz="4" w:space="0" w:color="auto"/>
              <w:right w:val="single" w:sz="4" w:space="0" w:color="auto"/>
            </w:tcBorders>
            <w:shd w:val="clear" w:color="000000" w:fill="D9E2F3"/>
            <w:noWrap/>
            <w:vAlign w:val="bottom"/>
            <w:hideMark/>
          </w:tcPr>
          <w:p w14:paraId="45E16C4B" w14:textId="77777777" w:rsidR="00C07943" w:rsidRPr="002A2195" w:rsidRDefault="00C07943" w:rsidP="002A2195">
            <w:pPr>
              <w:jc w:val="center"/>
              <w:rPr>
                <w:b/>
                <w:bCs/>
                <w:color w:val="000000"/>
                <w:u w:val="single"/>
                <w:lang w:val="en-GB"/>
              </w:rPr>
            </w:pPr>
            <w:r w:rsidRPr="002A2195">
              <w:rPr>
                <w:b/>
                <w:bCs/>
                <w:color w:val="000000"/>
                <w:u w:val="single"/>
                <w:lang w:val="en-GB"/>
              </w:rPr>
              <w:t>% changes 2022</w:t>
            </w:r>
          </w:p>
        </w:tc>
        <w:tc>
          <w:tcPr>
            <w:tcW w:w="683" w:type="pct"/>
            <w:tcBorders>
              <w:top w:val="single" w:sz="8" w:space="0" w:color="auto"/>
              <w:left w:val="nil"/>
              <w:bottom w:val="single" w:sz="4" w:space="0" w:color="auto"/>
              <w:right w:val="single" w:sz="8" w:space="0" w:color="auto"/>
            </w:tcBorders>
            <w:shd w:val="clear" w:color="000000" w:fill="D9E2F3"/>
            <w:noWrap/>
            <w:vAlign w:val="bottom"/>
            <w:hideMark/>
          </w:tcPr>
          <w:p w14:paraId="74044346" w14:textId="77777777" w:rsidR="00C07943" w:rsidRPr="002A2195" w:rsidRDefault="00C07943" w:rsidP="002A2195">
            <w:pPr>
              <w:jc w:val="center"/>
              <w:rPr>
                <w:b/>
                <w:bCs/>
                <w:color w:val="000000"/>
                <w:u w:val="single"/>
                <w:lang w:val="en-GB"/>
              </w:rPr>
            </w:pPr>
            <w:r w:rsidRPr="002A2195">
              <w:rPr>
                <w:b/>
                <w:bCs/>
                <w:color w:val="000000"/>
                <w:u w:val="single"/>
                <w:lang w:val="en-GB"/>
              </w:rPr>
              <w:t>% changes 2023</w:t>
            </w:r>
          </w:p>
        </w:tc>
      </w:tr>
      <w:tr w:rsidR="00C07943" w:rsidRPr="002A2195" w14:paraId="7E06EE12"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25F1C04B" w14:textId="77777777" w:rsidR="00C07943" w:rsidRPr="002A2195" w:rsidRDefault="00C07943" w:rsidP="002A2195">
            <w:pPr>
              <w:jc w:val="left"/>
              <w:rPr>
                <w:color w:val="000000"/>
                <w:lang w:val="en-GB"/>
              </w:rPr>
            </w:pPr>
            <w:r w:rsidRPr="002A2195">
              <w:rPr>
                <w:color w:val="000000"/>
                <w:lang w:val="en-GB"/>
              </w:rPr>
              <w:t xml:space="preserve">sales Trends </w:t>
            </w:r>
          </w:p>
        </w:tc>
        <w:tc>
          <w:tcPr>
            <w:tcW w:w="699" w:type="pct"/>
            <w:tcBorders>
              <w:top w:val="nil"/>
              <w:left w:val="nil"/>
              <w:bottom w:val="single" w:sz="4" w:space="0" w:color="auto"/>
              <w:right w:val="single" w:sz="4" w:space="0" w:color="auto"/>
            </w:tcBorders>
            <w:shd w:val="clear" w:color="auto" w:fill="auto"/>
            <w:noWrap/>
            <w:vAlign w:val="bottom"/>
            <w:hideMark/>
          </w:tcPr>
          <w:p w14:paraId="466AD01E" w14:textId="77777777" w:rsidR="00C07943" w:rsidRPr="002A2195" w:rsidRDefault="00C07943" w:rsidP="002A2195">
            <w:pPr>
              <w:jc w:val="center"/>
              <w:rPr>
                <w:color w:val="000000"/>
                <w:lang w:val="en-GB"/>
              </w:rPr>
            </w:pPr>
            <w:r w:rsidRPr="002A2195">
              <w:rPr>
                <w:color w:val="000000"/>
                <w:lang w:val="en-GB"/>
              </w:rPr>
              <w:t xml:space="preserve"> £   5,248,290.00 </w:t>
            </w:r>
          </w:p>
        </w:tc>
        <w:tc>
          <w:tcPr>
            <w:tcW w:w="699" w:type="pct"/>
            <w:tcBorders>
              <w:top w:val="nil"/>
              <w:left w:val="nil"/>
              <w:bottom w:val="single" w:sz="4" w:space="0" w:color="auto"/>
              <w:right w:val="single" w:sz="4" w:space="0" w:color="auto"/>
            </w:tcBorders>
            <w:shd w:val="clear" w:color="auto" w:fill="auto"/>
            <w:noWrap/>
            <w:vAlign w:val="bottom"/>
            <w:hideMark/>
          </w:tcPr>
          <w:p w14:paraId="0ABEE4B2" w14:textId="77777777" w:rsidR="00C07943" w:rsidRPr="002A2195" w:rsidRDefault="00C07943" w:rsidP="002A2195">
            <w:pPr>
              <w:jc w:val="center"/>
              <w:rPr>
                <w:color w:val="000000"/>
                <w:lang w:val="en-GB"/>
              </w:rPr>
            </w:pPr>
            <w:r w:rsidRPr="002A2195">
              <w:rPr>
                <w:color w:val="000000"/>
                <w:lang w:val="en-GB"/>
              </w:rPr>
              <w:t xml:space="preserve"> £   5,307,480.00 </w:t>
            </w:r>
          </w:p>
        </w:tc>
        <w:tc>
          <w:tcPr>
            <w:tcW w:w="699" w:type="pct"/>
            <w:tcBorders>
              <w:top w:val="nil"/>
              <w:left w:val="nil"/>
              <w:bottom w:val="single" w:sz="4" w:space="0" w:color="auto"/>
              <w:right w:val="single" w:sz="4" w:space="0" w:color="auto"/>
            </w:tcBorders>
            <w:shd w:val="clear" w:color="auto" w:fill="auto"/>
            <w:noWrap/>
            <w:vAlign w:val="bottom"/>
            <w:hideMark/>
          </w:tcPr>
          <w:p w14:paraId="58583350" w14:textId="77777777" w:rsidR="00C07943" w:rsidRPr="002A2195" w:rsidRDefault="00C07943" w:rsidP="002A2195">
            <w:pPr>
              <w:jc w:val="center"/>
              <w:rPr>
                <w:color w:val="000000"/>
                <w:lang w:val="en-GB"/>
              </w:rPr>
            </w:pPr>
            <w:r w:rsidRPr="002A2195">
              <w:rPr>
                <w:color w:val="000000"/>
                <w:lang w:val="en-GB"/>
              </w:rPr>
              <w:t xml:space="preserve"> £   2,325,440.00 </w:t>
            </w:r>
          </w:p>
        </w:tc>
        <w:tc>
          <w:tcPr>
            <w:tcW w:w="683" w:type="pct"/>
            <w:tcBorders>
              <w:top w:val="nil"/>
              <w:left w:val="nil"/>
              <w:bottom w:val="single" w:sz="4" w:space="0" w:color="auto"/>
              <w:right w:val="single" w:sz="4" w:space="0" w:color="auto"/>
            </w:tcBorders>
            <w:shd w:val="clear" w:color="auto" w:fill="auto"/>
            <w:noWrap/>
            <w:vAlign w:val="bottom"/>
            <w:hideMark/>
          </w:tcPr>
          <w:p w14:paraId="4AB57C2C" w14:textId="77777777" w:rsidR="00C07943" w:rsidRPr="002A2195" w:rsidRDefault="00C07943" w:rsidP="002A2195">
            <w:pPr>
              <w:jc w:val="right"/>
              <w:rPr>
                <w:color w:val="000000"/>
                <w:sz w:val="22"/>
                <w:szCs w:val="22"/>
                <w:lang w:val="en-GB"/>
              </w:rPr>
            </w:pPr>
            <w:r w:rsidRPr="002A2195">
              <w:rPr>
                <w:color w:val="000000"/>
                <w:sz w:val="22"/>
                <w:szCs w:val="22"/>
                <w:lang w:val="en-GB"/>
              </w:rPr>
              <w:t>1.1%</w:t>
            </w:r>
          </w:p>
        </w:tc>
        <w:tc>
          <w:tcPr>
            <w:tcW w:w="683" w:type="pct"/>
            <w:tcBorders>
              <w:top w:val="nil"/>
              <w:left w:val="nil"/>
              <w:bottom w:val="single" w:sz="4" w:space="0" w:color="auto"/>
              <w:right w:val="single" w:sz="4" w:space="0" w:color="auto"/>
            </w:tcBorders>
            <w:shd w:val="clear" w:color="auto" w:fill="auto"/>
            <w:noWrap/>
            <w:vAlign w:val="bottom"/>
            <w:hideMark/>
          </w:tcPr>
          <w:p w14:paraId="2F698458" w14:textId="77777777" w:rsidR="00C07943" w:rsidRPr="002A2195" w:rsidRDefault="00C07943" w:rsidP="002A2195">
            <w:pPr>
              <w:jc w:val="right"/>
              <w:rPr>
                <w:color w:val="000000"/>
                <w:sz w:val="22"/>
                <w:szCs w:val="22"/>
                <w:lang w:val="en-GB"/>
              </w:rPr>
            </w:pPr>
            <w:r w:rsidRPr="002A2195">
              <w:rPr>
                <w:color w:val="000000"/>
                <w:sz w:val="22"/>
                <w:szCs w:val="22"/>
                <w:lang w:val="en-GB"/>
              </w:rPr>
              <w:t>-56.2%</w:t>
            </w:r>
          </w:p>
        </w:tc>
      </w:tr>
      <w:tr w:rsidR="00C07943" w:rsidRPr="002A2195" w14:paraId="37AA918E"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6AE81B07" w14:textId="77777777" w:rsidR="00C07943" w:rsidRPr="002A2195" w:rsidRDefault="00C07943" w:rsidP="002A2195">
            <w:pPr>
              <w:jc w:val="left"/>
              <w:rPr>
                <w:color w:val="000000"/>
                <w:lang w:val="en-GB"/>
              </w:rPr>
            </w:pPr>
            <w:r w:rsidRPr="002A2195">
              <w:rPr>
                <w:color w:val="000000"/>
                <w:lang w:val="en-GB"/>
              </w:rPr>
              <w:t>Operating Income</w:t>
            </w:r>
          </w:p>
        </w:tc>
        <w:tc>
          <w:tcPr>
            <w:tcW w:w="699" w:type="pct"/>
            <w:tcBorders>
              <w:top w:val="nil"/>
              <w:left w:val="nil"/>
              <w:bottom w:val="single" w:sz="4" w:space="0" w:color="auto"/>
              <w:right w:val="single" w:sz="4" w:space="0" w:color="auto"/>
            </w:tcBorders>
            <w:shd w:val="clear" w:color="auto" w:fill="auto"/>
            <w:noWrap/>
            <w:vAlign w:val="bottom"/>
            <w:hideMark/>
          </w:tcPr>
          <w:p w14:paraId="6561CA5C" w14:textId="77777777" w:rsidR="00C07943" w:rsidRPr="002A2195" w:rsidRDefault="00C07943" w:rsidP="002A2195">
            <w:pPr>
              <w:jc w:val="center"/>
              <w:rPr>
                <w:color w:val="000000"/>
                <w:lang w:val="en-GB"/>
              </w:rPr>
            </w:pPr>
            <w:r w:rsidRPr="002A2195">
              <w:rPr>
                <w:color w:val="000000"/>
                <w:lang w:val="en-GB"/>
              </w:rPr>
              <w:t xml:space="preserve"> £      664,160.00 </w:t>
            </w:r>
          </w:p>
        </w:tc>
        <w:tc>
          <w:tcPr>
            <w:tcW w:w="699" w:type="pct"/>
            <w:tcBorders>
              <w:top w:val="nil"/>
              <w:left w:val="nil"/>
              <w:bottom w:val="single" w:sz="4" w:space="0" w:color="auto"/>
              <w:right w:val="single" w:sz="4" w:space="0" w:color="auto"/>
            </w:tcBorders>
            <w:shd w:val="clear" w:color="auto" w:fill="auto"/>
            <w:noWrap/>
            <w:vAlign w:val="bottom"/>
            <w:hideMark/>
          </w:tcPr>
          <w:p w14:paraId="739D1E22" w14:textId="77777777" w:rsidR="00C07943" w:rsidRPr="002A2195" w:rsidRDefault="00C07943" w:rsidP="002A2195">
            <w:pPr>
              <w:jc w:val="center"/>
              <w:rPr>
                <w:color w:val="000000"/>
                <w:lang w:val="en-GB"/>
              </w:rPr>
            </w:pPr>
            <w:r w:rsidRPr="002A2195">
              <w:rPr>
                <w:color w:val="000000"/>
                <w:lang w:val="en-GB"/>
              </w:rPr>
              <w:t xml:space="preserve"> £      674,730.00 </w:t>
            </w:r>
          </w:p>
        </w:tc>
        <w:tc>
          <w:tcPr>
            <w:tcW w:w="699" w:type="pct"/>
            <w:tcBorders>
              <w:top w:val="nil"/>
              <w:left w:val="nil"/>
              <w:bottom w:val="single" w:sz="4" w:space="0" w:color="auto"/>
              <w:right w:val="single" w:sz="4" w:space="0" w:color="auto"/>
            </w:tcBorders>
            <w:shd w:val="clear" w:color="auto" w:fill="auto"/>
            <w:noWrap/>
            <w:vAlign w:val="bottom"/>
            <w:hideMark/>
          </w:tcPr>
          <w:p w14:paraId="6D9A0213" w14:textId="77777777" w:rsidR="00C07943" w:rsidRPr="002A2195" w:rsidRDefault="00C07943" w:rsidP="002A2195">
            <w:pPr>
              <w:jc w:val="center"/>
              <w:rPr>
                <w:color w:val="000000"/>
                <w:lang w:val="en-GB"/>
              </w:rPr>
            </w:pPr>
            <w:r w:rsidRPr="002A2195">
              <w:rPr>
                <w:color w:val="000000"/>
                <w:lang w:val="en-GB"/>
              </w:rPr>
              <w:t xml:space="preserve"> £   1,218,850.00 </w:t>
            </w:r>
          </w:p>
        </w:tc>
        <w:tc>
          <w:tcPr>
            <w:tcW w:w="683" w:type="pct"/>
            <w:tcBorders>
              <w:top w:val="nil"/>
              <w:left w:val="nil"/>
              <w:bottom w:val="single" w:sz="4" w:space="0" w:color="auto"/>
              <w:right w:val="single" w:sz="4" w:space="0" w:color="auto"/>
            </w:tcBorders>
            <w:shd w:val="clear" w:color="auto" w:fill="auto"/>
            <w:noWrap/>
            <w:vAlign w:val="bottom"/>
            <w:hideMark/>
          </w:tcPr>
          <w:p w14:paraId="484E7954" w14:textId="77777777" w:rsidR="00C07943" w:rsidRPr="002A2195" w:rsidRDefault="00C07943" w:rsidP="002A2195">
            <w:pPr>
              <w:jc w:val="right"/>
              <w:rPr>
                <w:color w:val="000000"/>
                <w:sz w:val="22"/>
                <w:szCs w:val="22"/>
                <w:lang w:val="en-GB"/>
              </w:rPr>
            </w:pPr>
            <w:r w:rsidRPr="002A2195">
              <w:rPr>
                <w:color w:val="000000"/>
                <w:sz w:val="22"/>
                <w:szCs w:val="22"/>
                <w:lang w:val="en-GB"/>
              </w:rPr>
              <w:t>1.6%</w:t>
            </w:r>
          </w:p>
        </w:tc>
        <w:tc>
          <w:tcPr>
            <w:tcW w:w="683" w:type="pct"/>
            <w:tcBorders>
              <w:top w:val="nil"/>
              <w:left w:val="nil"/>
              <w:bottom w:val="single" w:sz="4" w:space="0" w:color="auto"/>
              <w:right w:val="single" w:sz="4" w:space="0" w:color="auto"/>
            </w:tcBorders>
            <w:shd w:val="clear" w:color="auto" w:fill="auto"/>
            <w:noWrap/>
            <w:vAlign w:val="bottom"/>
            <w:hideMark/>
          </w:tcPr>
          <w:p w14:paraId="0591710C" w14:textId="77777777" w:rsidR="00C07943" w:rsidRPr="002A2195" w:rsidRDefault="00C07943" w:rsidP="002A2195">
            <w:pPr>
              <w:jc w:val="right"/>
              <w:rPr>
                <w:color w:val="000000"/>
                <w:sz w:val="22"/>
                <w:szCs w:val="22"/>
                <w:lang w:val="en-GB"/>
              </w:rPr>
            </w:pPr>
            <w:r w:rsidRPr="002A2195">
              <w:rPr>
                <w:color w:val="000000"/>
                <w:sz w:val="22"/>
                <w:szCs w:val="22"/>
                <w:lang w:val="en-GB"/>
              </w:rPr>
              <w:t>80.6%</w:t>
            </w:r>
          </w:p>
        </w:tc>
      </w:tr>
      <w:tr w:rsidR="00C07943" w:rsidRPr="002A2195" w14:paraId="363F531E"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259ED745" w14:textId="77777777" w:rsidR="00C07943" w:rsidRPr="002A2195" w:rsidRDefault="00C07943" w:rsidP="002A2195">
            <w:pPr>
              <w:jc w:val="left"/>
              <w:rPr>
                <w:color w:val="000000"/>
                <w:lang w:val="en-GB"/>
              </w:rPr>
            </w:pPr>
            <w:r w:rsidRPr="002A2195">
              <w:rPr>
                <w:color w:val="000000"/>
                <w:lang w:val="en-GB"/>
              </w:rPr>
              <w:t>External expenses</w:t>
            </w:r>
          </w:p>
        </w:tc>
        <w:tc>
          <w:tcPr>
            <w:tcW w:w="699" w:type="pct"/>
            <w:tcBorders>
              <w:top w:val="nil"/>
              <w:left w:val="nil"/>
              <w:bottom w:val="single" w:sz="4" w:space="0" w:color="auto"/>
              <w:right w:val="single" w:sz="4" w:space="0" w:color="auto"/>
            </w:tcBorders>
            <w:shd w:val="clear" w:color="auto" w:fill="auto"/>
            <w:noWrap/>
            <w:vAlign w:val="bottom"/>
            <w:hideMark/>
          </w:tcPr>
          <w:p w14:paraId="59B52E02" w14:textId="77777777" w:rsidR="00C07943" w:rsidRPr="002A2195" w:rsidRDefault="00C07943" w:rsidP="002A2195">
            <w:pPr>
              <w:jc w:val="center"/>
              <w:rPr>
                <w:color w:val="000000"/>
                <w:lang w:val="en-GB"/>
              </w:rPr>
            </w:pPr>
            <w:r w:rsidRPr="002A2195">
              <w:rPr>
                <w:color w:val="000000"/>
                <w:lang w:val="en-GB"/>
              </w:rPr>
              <w:t xml:space="preserve"> £   1,894,720.00 </w:t>
            </w:r>
          </w:p>
        </w:tc>
        <w:tc>
          <w:tcPr>
            <w:tcW w:w="699" w:type="pct"/>
            <w:tcBorders>
              <w:top w:val="nil"/>
              <w:left w:val="nil"/>
              <w:bottom w:val="single" w:sz="4" w:space="0" w:color="auto"/>
              <w:right w:val="single" w:sz="4" w:space="0" w:color="auto"/>
            </w:tcBorders>
            <w:shd w:val="clear" w:color="auto" w:fill="auto"/>
            <w:noWrap/>
            <w:vAlign w:val="bottom"/>
            <w:hideMark/>
          </w:tcPr>
          <w:p w14:paraId="16B2E88F" w14:textId="77777777" w:rsidR="00C07943" w:rsidRPr="002A2195" w:rsidRDefault="00C07943" w:rsidP="002A2195">
            <w:pPr>
              <w:jc w:val="center"/>
              <w:rPr>
                <w:color w:val="000000"/>
                <w:lang w:val="en-GB"/>
              </w:rPr>
            </w:pPr>
            <w:r w:rsidRPr="002A2195">
              <w:rPr>
                <w:color w:val="000000"/>
                <w:lang w:val="en-GB"/>
              </w:rPr>
              <w:t xml:space="preserve"> £   1,675,410.00 </w:t>
            </w:r>
          </w:p>
        </w:tc>
        <w:tc>
          <w:tcPr>
            <w:tcW w:w="699" w:type="pct"/>
            <w:tcBorders>
              <w:top w:val="nil"/>
              <w:left w:val="nil"/>
              <w:bottom w:val="single" w:sz="4" w:space="0" w:color="auto"/>
              <w:right w:val="single" w:sz="4" w:space="0" w:color="auto"/>
            </w:tcBorders>
            <w:shd w:val="clear" w:color="auto" w:fill="auto"/>
            <w:noWrap/>
            <w:vAlign w:val="bottom"/>
            <w:hideMark/>
          </w:tcPr>
          <w:p w14:paraId="689063A7" w14:textId="77777777" w:rsidR="00C07943" w:rsidRPr="002A2195" w:rsidRDefault="00C07943" w:rsidP="002A2195">
            <w:pPr>
              <w:jc w:val="center"/>
              <w:rPr>
                <w:color w:val="000000"/>
                <w:lang w:val="en-GB"/>
              </w:rPr>
            </w:pPr>
            <w:r w:rsidRPr="002A2195">
              <w:rPr>
                <w:color w:val="000000"/>
                <w:lang w:val="en-GB"/>
              </w:rPr>
              <w:t xml:space="preserve"> £   1,071,030.00 </w:t>
            </w:r>
          </w:p>
        </w:tc>
        <w:tc>
          <w:tcPr>
            <w:tcW w:w="683" w:type="pct"/>
            <w:tcBorders>
              <w:top w:val="nil"/>
              <w:left w:val="nil"/>
              <w:bottom w:val="single" w:sz="4" w:space="0" w:color="auto"/>
              <w:right w:val="single" w:sz="4" w:space="0" w:color="auto"/>
            </w:tcBorders>
            <w:shd w:val="clear" w:color="auto" w:fill="auto"/>
            <w:noWrap/>
            <w:vAlign w:val="bottom"/>
            <w:hideMark/>
          </w:tcPr>
          <w:p w14:paraId="064BF63B" w14:textId="77777777" w:rsidR="00C07943" w:rsidRPr="002A2195" w:rsidRDefault="00C07943" w:rsidP="002A2195">
            <w:pPr>
              <w:jc w:val="right"/>
              <w:rPr>
                <w:color w:val="000000"/>
                <w:sz w:val="22"/>
                <w:szCs w:val="22"/>
                <w:lang w:val="en-GB"/>
              </w:rPr>
            </w:pPr>
            <w:r w:rsidRPr="002A2195">
              <w:rPr>
                <w:color w:val="000000"/>
                <w:sz w:val="22"/>
                <w:szCs w:val="22"/>
                <w:lang w:val="en-GB"/>
              </w:rPr>
              <w:t>-11.6%</w:t>
            </w:r>
          </w:p>
        </w:tc>
        <w:tc>
          <w:tcPr>
            <w:tcW w:w="683" w:type="pct"/>
            <w:tcBorders>
              <w:top w:val="nil"/>
              <w:left w:val="nil"/>
              <w:bottom w:val="single" w:sz="4" w:space="0" w:color="auto"/>
              <w:right w:val="single" w:sz="4" w:space="0" w:color="auto"/>
            </w:tcBorders>
            <w:shd w:val="clear" w:color="auto" w:fill="auto"/>
            <w:noWrap/>
            <w:vAlign w:val="bottom"/>
            <w:hideMark/>
          </w:tcPr>
          <w:p w14:paraId="2B31F2E0" w14:textId="77777777" w:rsidR="00C07943" w:rsidRPr="002A2195" w:rsidRDefault="00C07943" w:rsidP="002A2195">
            <w:pPr>
              <w:jc w:val="right"/>
              <w:rPr>
                <w:color w:val="000000"/>
                <w:sz w:val="22"/>
                <w:szCs w:val="22"/>
                <w:lang w:val="en-GB"/>
              </w:rPr>
            </w:pPr>
            <w:r w:rsidRPr="002A2195">
              <w:rPr>
                <w:color w:val="000000"/>
                <w:sz w:val="22"/>
                <w:szCs w:val="22"/>
                <w:lang w:val="en-GB"/>
              </w:rPr>
              <w:t>-36.1%</w:t>
            </w:r>
          </w:p>
        </w:tc>
      </w:tr>
      <w:tr w:rsidR="00C07943" w:rsidRPr="002A2195" w14:paraId="0D373A13"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36647446" w14:textId="77777777" w:rsidR="00C07943" w:rsidRPr="002A2195" w:rsidRDefault="00C07943" w:rsidP="002A2195">
            <w:pPr>
              <w:jc w:val="left"/>
              <w:rPr>
                <w:color w:val="000000"/>
                <w:lang w:val="en-GB"/>
              </w:rPr>
            </w:pPr>
            <w:r w:rsidRPr="002A2195">
              <w:rPr>
                <w:color w:val="000000"/>
                <w:lang w:val="en-GB"/>
              </w:rPr>
              <w:t>Total assets</w:t>
            </w:r>
          </w:p>
        </w:tc>
        <w:tc>
          <w:tcPr>
            <w:tcW w:w="699" w:type="pct"/>
            <w:tcBorders>
              <w:top w:val="nil"/>
              <w:left w:val="nil"/>
              <w:bottom w:val="single" w:sz="4" w:space="0" w:color="auto"/>
              <w:right w:val="single" w:sz="4" w:space="0" w:color="auto"/>
            </w:tcBorders>
            <w:shd w:val="clear" w:color="auto" w:fill="auto"/>
            <w:noWrap/>
            <w:vAlign w:val="bottom"/>
            <w:hideMark/>
          </w:tcPr>
          <w:p w14:paraId="46CD7B1E" w14:textId="77777777" w:rsidR="00C07943" w:rsidRPr="002A2195" w:rsidRDefault="00C07943" w:rsidP="002A2195">
            <w:pPr>
              <w:jc w:val="center"/>
              <w:rPr>
                <w:color w:val="000000"/>
                <w:lang w:val="en-GB"/>
              </w:rPr>
            </w:pPr>
            <w:r w:rsidRPr="002A2195">
              <w:rPr>
                <w:color w:val="000000"/>
                <w:lang w:val="en-GB"/>
              </w:rPr>
              <w:t xml:space="preserve"> £ 12,941,110.00 </w:t>
            </w:r>
          </w:p>
        </w:tc>
        <w:tc>
          <w:tcPr>
            <w:tcW w:w="699" w:type="pct"/>
            <w:tcBorders>
              <w:top w:val="nil"/>
              <w:left w:val="nil"/>
              <w:bottom w:val="single" w:sz="4" w:space="0" w:color="auto"/>
              <w:right w:val="single" w:sz="4" w:space="0" w:color="auto"/>
            </w:tcBorders>
            <w:shd w:val="clear" w:color="auto" w:fill="auto"/>
            <w:noWrap/>
            <w:vAlign w:val="bottom"/>
            <w:hideMark/>
          </w:tcPr>
          <w:p w14:paraId="53F917FF" w14:textId="77777777" w:rsidR="00C07943" w:rsidRPr="002A2195" w:rsidRDefault="00C07943" w:rsidP="002A2195">
            <w:pPr>
              <w:jc w:val="center"/>
              <w:rPr>
                <w:color w:val="000000"/>
                <w:lang w:val="en-GB"/>
              </w:rPr>
            </w:pPr>
            <w:r w:rsidRPr="002A2195">
              <w:rPr>
                <w:color w:val="000000"/>
                <w:lang w:val="en-GB"/>
              </w:rPr>
              <w:t xml:space="preserve"> £ 15,921,080.00 </w:t>
            </w:r>
          </w:p>
        </w:tc>
        <w:tc>
          <w:tcPr>
            <w:tcW w:w="699" w:type="pct"/>
            <w:tcBorders>
              <w:top w:val="nil"/>
              <w:left w:val="nil"/>
              <w:bottom w:val="single" w:sz="4" w:space="0" w:color="auto"/>
              <w:right w:val="single" w:sz="4" w:space="0" w:color="auto"/>
            </w:tcBorders>
            <w:shd w:val="clear" w:color="auto" w:fill="auto"/>
            <w:noWrap/>
            <w:vAlign w:val="bottom"/>
            <w:hideMark/>
          </w:tcPr>
          <w:p w14:paraId="161A7345" w14:textId="77777777" w:rsidR="00C07943" w:rsidRPr="002A2195" w:rsidRDefault="00C07943" w:rsidP="002A2195">
            <w:pPr>
              <w:jc w:val="center"/>
              <w:rPr>
                <w:color w:val="000000"/>
                <w:lang w:val="en-GB"/>
              </w:rPr>
            </w:pPr>
            <w:r w:rsidRPr="002A2195">
              <w:rPr>
                <w:color w:val="000000"/>
                <w:lang w:val="en-GB"/>
              </w:rPr>
              <w:t xml:space="preserve"> £ 15,653,970.00 </w:t>
            </w:r>
          </w:p>
        </w:tc>
        <w:tc>
          <w:tcPr>
            <w:tcW w:w="683" w:type="pct"/>
            <w:tcBorders>
              <w:top w:val="nil"/>
              <w:left w:val="nil"/>
              <w:bottom w:val="single" w:sz="4" w:space="0" w:color="auto"/>
              <w:right w:val="single" w:sz="4" w:space="0" w:color="auto"/>
            </w:tcBorders>
            <w:shd w:val="clear" w:color="auto" w:fill="auto"/>
            <w:noWrap/>
            <w:vAlign w:val="bottom"/>
            <w:hideMark/>
          </w:tcPr>
          <w:p w14:paraId="0FC4EB8C" w14:textId="77777777" w:rsidR="00C07943" w:rsidRPr="002A2195" w:rsidRDefault="00C07943" w:rsidP="002A2195">
            <w:pPr>
              <w:jc w:val="right"/>
              <w:rPr>
                <w:color w:val="000000"/>
                <w:sz w:val="22"/>
                <w:szCs w:val="22"/>
                <w:lang w:val="en-GB"/>
              </w:rPr>
            </w:pPr>
            <w:r w:rsidRPr="002A2195">
              <w:rPr>
                <w:color w:val="000000"/>
                <w:sz w:val="22"/>
                <w:szCs w:val="22"/>
                <w:lang w:val="en-GB"/>
              </w:rPr>
              <w:t>23.0%</w:t>
            </w:r>
          </w:p>
        </w:tc>
        <w:tc>
          <w:tcPr>
            <w:tcW w:w="683" w:type="pct"/>
            <w:tcBorders>
              <w:top w:val="nil"/>
              <w:left w:val="nil"/>
              <w:bottom w:val="single" w:sz="4" w:space="0" w:color="auto"/>
              <w:right w:val="single" w:sz="4" w:space="0" w:color="auto"/>
            </w:tcBorders>
            <w:shd w:val="clear" w:color="auto" w:fill="auto"/>
            <w:noWrap/>
            <w:vAlign w:val="bottom"/>
            <w:hideMark/>
          </w:tcPr>
          <w:p w14:paraId="108D064C" w14:textId="77777777" w:rsidR="00C07943" w:rsidRPr="002A2195" w:rsidRDefault="00C07943" w:rsidP="002A2195">
            <w:pPr>
              <w:jc w:val="right"/>
              <w:rPr>
                <w:color w:val="000000"/>
                <w:sz w:val="22"/>
                <w:szCs w:val="22"/>
                <w:lang w:val="en-GB"/>
              </w:rPr>
            </w:pPr>
            <w:r w:rsidRPr="002A2195">
              <w:rPr>
                <w:color w:val="000000"/>
                <w:sz w:val="22"/>
                <w:szCs w:val="22"/>
                <w:lang w:val="en-GB"/>
              </w:rPr>
              <w:t>-1.7%</w:t>
            </w:r>
          </w:p>
        </w:tc>
      </w:tr>
      <w:tr w:rsidR="00C07943" w:rsidRPr="002A2195" w14:paraId="74CA5683"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vAlign w:val="center"/>
            <w:hideMark/>
          </w:tcPr>
          <w:p w14:paraId="1ABBA1AD" w14:textId="77777777" w:rsidR="00C07943" w:rsidRPr="002A2195" w:rsidRDefault="00C07943" w:rsidP="002A2195">
            <w:pPr>
              <w:jc w:val="left"/>
              <w:rPr>
                <w:color w:val="000000"/>
                <w:sz w:val="22"/>
                <w:szCs w:val="22"/>
                <w:lang w:val="en-GB"/>
              </w:rPr>
            </w:pPr>
            <w:r w:rsidRPr="002A2195">
              <w:rPr>
                <w:color w:val="000000"/>
                <w:sz w:val="22"/>
                <w:szCs w:val="22"/>
                <w:lang w:val="en-GB"/>
              </w:rPr>
              <w:t>Total equity</w:t>
            </w:r>
          </w:p>
        </w:tc>
        <w:tc>
          <w:tcPr>
            <w:tcW w:w="699" w:type="pct"/>
            <w:tcBorders>
              <w:top w:val="nil"/>
              <w:left w:val="nil"/>
              <w:bottom w:val="single" w:sz="4" w:space="0" w:color="auto"/>
              <w:right w:val="single" w:sz="4" w:space="0" w:color="auto"/>
            </w:tcBorders>
            <w:shd w:val="clear" w:color="auto" w:fill="auto"/>
            <w:noWrap/>
            <w:vAlign w:val="bottom"/>
            <w:hideMark/>
          </w:tcPr>
          <w:p w14:paraId="2B363B39" w14:textId="77777777" w:rsidR="00C07943" w:rsidRPr="002A2195" w:rsidRDefault="00C07943" w:rsidP="002A2195">
            <w:pPr>
              <w:jc w:val="left"/>
              <w:rPr>
                <w:color w:val="000000"/>
                <w:lang w:val="en-GB"/>
              </w:rPr>
            </w:pPr>
            <w:r w:rsidRPr="002A2195">
              <w:rPr>
                <w:color w:val="000000"/>
                <w:lang w:val="en-GB"/>
              </w:rPr>
              <w:t xml:space="preserve"> £   2,256,180.00 </w:t>
            </w:r>
          </w:p>
        </w:tc>
        <w:tc>
          <w:tcPr>
            <w:tcW w:w="699" w:type="pct"/>
            <w:tcBorders>
              <w:top w:val="nil"/>
              <w:left w:val="nil"/>
              <w:bottom w:val="single" w:sz="4" w:space="0" w:color="auto"/>
              <w:right w:val="single" w:sz="4" w:space="0" w:color="auto"/>
            </w:tcBorders>
            <w:shd w:val="clear" w:color="auto" w:fill="auto"/>
            <w:noWrap/>
            <w:vAlign w:val="bottom"/>
            <w:hideMark/>
          </w:tcPr>
          <w:p w14:paraId="5A8AB739" w14:textId="77777777" w:rsidR="00C07943" w:rsidRPr="002A2195" w:rsidRDefault="00C07943" w:rsidP="002A2195">
            <w:pPr>
              <w:jc w:val="left"/>
              <w:rPr>
                <w:color w:val="000000"/>
                <w:lang w:val="en-GB"/>
              </w:rPr>
            </w:pPr>
            <w:r w:rsidRPr="002A2195">
              <w:rPr>
                <w:color w:val="000000"/>
                <w:lang w:val="en-GB"/>
              </w:rPr>
              <w:t xml:space="preserve"> £   2,583,030.00 </w:t>
            </w:r>
          </w:p>
        </w:tc>
        <w:tc>
          <w:tcPr>
            <w:tcW w:w="699" w:type="pct"/>
            <w:tcBorders>
              <w:top w:val="nil"/>
              <w:left w:val="nil"/>
              <w:bottom w:val="single" w:sz="4" w:space="0" w:color="auto"/>
              <w:right w:val="single" w:sz="4" w:space="0" w:color="auto"/>
            </w:tcBorders>
            <w:shd w:val="clear" w:color="auto" w:fill="auto"/>
            <w:noWrap/>
            <w:vAlign w:val="bottom"/>
            <w:hideMark/>
          </w:tcPr>
          <w:p w14:paraId="16A3E46B" w14:textId="77777777" w:rsidR="00C07943" w:rsidRPr="002A2195" w:rsidRDefault="00C07943" w:rsidP="002A2195">
            <w:pPr>
              <w:jc w:val="left"/>
              <w:rPr>
                <w:color w:val="000000"/>
                <w:lang w:val="en-GB"/>
              </w:rPr>
            </w:pPr>
            <w:r w:rsidRPr="002A2195">
              <w:rPr>
                <w:color w:val="000000"/>
                <w:lang w:val="en-GB"/>
              </w:rPr>
              <w:t xml:space="preserve"> £   1,410,580.00 </w:t>
            </w:r>
          </w:p>
        </w:tc>
        <w:tc>
          <w:tcPr>
            <w:tcW w:w="683" w:type="pct"/>
            <w:tcBorders>
              <w:top w:val="nil"/>
              <w:left w:val="nil"/>
              <w:bottom w:val="single" w:sz="4" w:space="0" w:color="auto"/>
              <w:right w:val="single" w:sz="4" w:space="0" w:color="auto"/>
            </w:tcBorders>
            <w:shd w:val="clear" w:color="auto" w:fill="auto"/>
            <w:noWrap/>
            <w:vAlign w:val="bottom"/>
            <w:hideMark/>
          </w:tcPr>
          <w:p w14:paraId="287EA720" w14:textId="77777777" w:rsidR="00C07943" w:rsidRPr="002A2195" w:rsidRDefault="00C07943" w:rsidP="002A2195">
            <w:pPr>
              <w:jc w:val="right"/>
              <w:rPr>
                <w:color w:val="000000"/>
                <w:sz w:val="22"/>
                <w:szCs w:val="22"/>
                <w:lang w:val="en-GB"/>
              </w:rPr>
            </w:pPr>
            <w:r w:rsidRPr="002A2195">
              <w:rPr>
                <w:color w:val="000000"/>
                <w:sz w:val="22"/>
                <w:szCs w:val="22"/>
                <w:lang w:val="en-GB"/>
              </w:rPr>
              <w:t>14.5%</w:t>
            </w:r>
          </w:p>
        </w:tc>
        <w:tc>
          <w:tcPr>
            <w:tcW w:w="683" w:type="pct"/>
            <w:tcBorders>
              <w:top w:val="nil"/>
              <w:left w:val="nil"/>
              <w:bottom w:val="single" w:sz="4" w:space="0" w:color="auto"/>
              <w:right w:val="single" w:sz="4" w:space="0" w:color="auto"/>
            </w:tcBorders>
            <w:shd w:val="clear" w:color="auto" w:fill="auto"/>
            <w:noWrap/>
            <w:vAlign w:val="bottom"/>
            <w:hideMark/>
          </w:tcPr>
          <w:p w14:paraId="1DDE50B1" w14:textId="77777777" w:rsidR="00C07943" w:rsidRPr="002A2195" w:rsidRDefault="00C07943" w:rsidP="002A2195">
            <w:pPr>
              <w:jc w:val="right"/>
              <w:rPr>
                <w:color w:val="000000"/>
                <w:sz w:val="22"/>
                <w:szCs w:val="22"/>
                <w:lang w:val="en-GB"/>
              </w:rPr>
            </w:pPr>
            <w:r w:rsidRPr="002A2195">
              <w:rPr>
                <w:color w:val="000000"/>
                <w:sz w:val="22"/>
                <w:szCs w:val="22"/>
                <w:lang w:val="en-GB"/>
              </w:rPr>
              <w:t>-45.4%</w:t>
            </w:r>
          </w:p>
        </w:tc>
      </w:tr>
      <w:tr w:rsidR="00C07943" w:rsidRPr="002A2195" w14:paraId="647BE28C"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1165D2FC" w14:textId="77777777" w:rsidR="00C07943" w:rsidRPr="002A2195" w:rsidRDefault="00C07943" w:rsidP="002A2195">
            <w:pPr>
              <w:jc w:val="left"/>
              <w:rPr>
                <w:color w:val="000000"/>
                <w:sz w:val="22"/>
                <w:szCs w:val="22"/>
                <w:lang w:val="en-GB"/>
              </w:rPr>
            </w:pPr>
            <w:r w:rsidRPr="002A2195">
              <w:rPr>
                <w:color w:val="000000"/>
                <w:sz w:val="22"/>
                <w:szCs w:val="22"/>
                <w:lang w:val="en-GB"/>
              </w:rPr>
              <w:t>Total liabilities</w:t>
            </w:r>
          </w:p>
        </w:tc>
        <w:tc>
          <w:tcPr>
            <w:tcW w:w="699" w:type="pct"/>
            <w:tcBorders>
              <w:top w:val="nil"/>
              <w:left w:val="nil"/>
              <w:bottom w:val="single" w:sz="4" w:space="0" w:color="auto"/>
              <w:right w:val="single" w:sz="4" w:space="0" w:color="auto"/>
            </w:tcBorders>
            <w:shd w:val="clear" w:color="auto" w:fill="auto"/>
            <w:noWrap/>
            <w:vAlign w:val="bottom"/>
            <w:hideMark/>
          </w:tcPr>
          <w:p w14:paraId="0A5BB689" w14:textId="77777777" w:rsidR="00C07943" w:rsidRPr="002A2195" w:rsidRDefault="00C07943" w:rsidP="002A2195">
            <w:pPr>
              <w:jc w:val="center"/>
              <w:rPr>
                <w:color w:val="000000"/>
                <w:lang w:val="en-GB"/>
              </w:rPr>
            </w:pPr>
            <w:r w:rsidRPr="002A2195">
              <w:rPr>
                <w:color w:val="000000"/>
                <w:lang w:val="en-GB"/>
              </w:rPr>
              <w:t xml:space="preserve"> £ 10,684,940.00 </w:t>
            </w:r>
          </w:p>
        </w:tc>
        <w:tc>
          <w:tcPr>
            <w:tcW w:w="699" w:type="pct"/>
            <w:tcBorders>
              <w:top w:val="nil"/>
              <w:left w:val="nil"/>
              <w:bottom w:val="single" w:sz="4" w:space="0" w:color="auto"/>
              <w:right w:val="single" w:sz="4" w:space="0" w:color="auto"/>
            </w:tcBorders>
            <w:shd w:val="clear" w:color="auto" w:fill="auto"/>
            <w:noWrap/>
            <w:vAlign w:val="bottom"/>
            <w:hideMark/>
          </w:tcPr>
          <w:p w14:paraId="7B7666F4" w14:textId="77777777" w:rsidR="00C07943" w:rsidRPr="002A2195" w:rsidRDefault="00C07943" w:rsidP="002A2195">
            <w:pPr>
              <w:jc w:val="center"/>
              <w:rPr>
                <w:color w:val="000000"/>
                <w:lang w:val="en-GB"/>
              </w:rPr>
            </w:pPr>
            <w:r w:rsidRPr="002A2195">
              <w:rPr>
                <w:color w:val="000000"/>
                <w:lang w:val="en-GB"/>
              </w:rPr>
              <w:t xml:space="preserve"> £ 13,338,050.00 </w:t>
            </w:r>
          </w:p>
        </w:tc>
        <w:tc>
          <w:tcPr>
            <w:tcW w:w="699" w:type="pct"/>
            <w:tcBorders>
              <w:top w:val="nil"/>
              <w:left w:val="nil"/>
              <w:bottom w:val="single" w:sz="4" w:space="0" w:color="auto"/>
              <w:right w:val="single" w:sz="4" w:space="0" w:color="auto"/>
            </w:tcBorders>
            <w:shd w:val="clear" w:color="auto" w:fill="auto"/>
            <w:noWrap/>
            <w:vAlign w:val="bottom"/>
            <w:hideMark/>
          </w:tcPr>
          <w:p w14:paraId="08589FE5" w14:textId="77777777" w:rsidR="00C07943" w:rsidRPr="002A2195" w:rsidRDefault="00C07943" w:rsidP="002A2195">
            <w:pPr>
              <w:jc w:val="center"/>
              <w:rPr>
                <w:color w:val="000000"/>
                <w:lang w:val="en-GB"/>
              </w:rPr>
            </w:pPr>
            <w:r w:rsidRPr="002A2195">
              <w:rPr>
                <w:color w:val="000000"/>
                <w:lang w:val="en-GB"/>
              </w:rPr>
              <w:t xml:space="preserve"> £ 14,243,390.00 </w:t>
            </w:r>
          </w:p>
        </w:tc>
        <w:tc>
          <w:tcPr>
            <w:tcW w:w="683" w:type="pct"/>
            <w:tcBorders>
              <w:top w:val="nil"/>
              <w:left w:val="nil"/>
              <w:bottom w:val="single" w:sz="4" w:space="0" w:color="auto"/>
              <w:right w:val="single" w:sz="4" w:space="0" w:color="auto"/>
            </w:tcBorders>
            <w:shd w:val="clear" w:color="auto" w:fill="auto"/>
            <w:noWrap/>
            <w:vAlign w:val="bottom"/>
            <w:hideMark/>
          </w:tcPr>
          <w:p w14:paraId="4AFAD468" w14:textId="77777777" w:rsidR="00C07943" w:rsidRPr="002A2195" w:rsidRDefault="00C07943" w:rsidP="002A2195">
            <w:pPr>
              <w:jc w:val="right"/>
              <w:rPr>
                <w:color w:val="000000"/>
                <w:sz w:val="22"/>
                <w:szCs w:val="22"/>
                <w:lang w:val="en-GB"/>
              </w:rPr>
            </w:pPr>
            <w:r w:rsidRPr="002A2195">
              <w:rPr>
                <w:color w:val="000000"/>
                <w:sz w:val="22"/>
                <w:szCs w:val="22"/>
                <w:lang w:val="en-GB"/>
              </w:rPr>
              <w:t>24.8%</w:t>
            </w:r>
          </w:p>
        </w:tc>
        <w:tc>
          <w:tcPr>
            <w:tcW w:w="683" w:type="pct"/>
            <w:tcBorders>
              <w:top w:val="nil"/>
              <w:left w:val="nil"/>
              <w:bottom w:val="single" w:sz="4" w:space="0" w:color="auto"/>
              <w:right w:val="single" w:sz="4" w:space="0" w:color="auto"/>
            </w:tcBorders>
            <w:shd w:val="clear" w:color="auto" w:fill="auto"/>
            <w:noWrap/>
            <w:vAlign w:val="bottom"/>
            <w:hideMark/>
          </w:tcPr>
          <w:p w14:paraId="13B366D0" w14:textId="77777777" w:rsidR="00C07943" w:rsidRPr="002A2195" w:rsidRDefault="00C07943" w:rsidP="002A2195">
            <w:pPr>
              <w:jc w:val="right"/>
              <w:rPr>
                <w:color w:val="000000"/>
                <w:sz w:val="22"/>
                <w:szCs w:val="22"/>
                <w:lang w:val="en-GB"/>
              </w:rPr>
            </w:pPr>
            <w:r w:rsidRPr="002A2195">
              <w:rPr>
                <w:color w:val="000000"/>
                <w:sz w:val="22"/>
                <w:szCs w:val="22"/>
                <w:lang w:val="en-GB"/>
              </w:rPr>
              <w:t>6.8%</w:t>
            </w:r>
          </w:p>
        </w:tc>
      </w:tr>
      <w:tr w:rsidR="00C07943" w:rsidRPr="002A2195" w14:paraId="729B4B90" w14:textId="77777777" w:rsidTr="00C07943">
        <w:trPr>
          <w:trHeight w:val="324"/>
        </w:trPr>
        <w:tc>
          <w:tcPr>
            <w:tcW w:w="1538" w:type="pct"/>
            <w:tcBorders>
              <w:top w:val="nil"/>
              <w:left w:val="single" w:sz="8" w:space="0" w:color="auto"/>
              <w:bottom w:val="single" w:sz="8" w:space="0" w:color="auto"/>
              <w:right w:val="single" w:sz="4" w:space="0" w:color="auto"/>
            </w:tcBorders>
            <w:shd w:val="clear" w:color="auto" w:fill="auto"/>
            <w:noWrap/>
            <w:vAlign w:val="bottom"/>
            <w:hideMark/>
          </w:tcPr>
          <w:p w14:paraId="7FAEFC68" w14:textId="77777777" w:rsidR="00C07943" w:rsidRPr="002A2195" w:rsidRDefault="00C07943" w:rsidP="002A2195">
            <w:pPr>
              <w:jc w:val="left"/>
              <w:rPr>
                <w:color w:val="000000"/>
                <w:lang w:val="en-GB"/>
              </w:rPr>
            </w:pPr>
            <w:r w:rsidRPr="002A2195">
              <w:rPr>
                <w:color w:val="000000"/>
                <w:lang w:val="en-GB"/>
              </w:rPr>
              <w:t>shareholders' equity</w:t>
            </w:r>
          </w:p>
        </w:tc>
        <w:tc>
          <w:tcPr>
            <w:tcW w:w="699" w:type="pct"/>
            <w:tcBorders>
              <w:top w:val="nil"/>
              <w:left w:val="nil"/>
              <w:bottom w:val="single" w:sz="8" w:space="0" w:color="auto"/>
              <w:right w:val="single" w:sz="4" w:space="0" w:color="auto"/>
            </w:tcBorders>
            <w:shd w:val="clear" w:color="auto" w:fill="auto"/>
            <w:noWrap/>
            <w:vAlign w:val="bottom"/>
            <w:hideMark/>
          </w:tcPr>
          <w:p w14:paraId="77162308" w14:textId="77777777" w:rsidR="00C07943" w:rsidRPr="002A2195" w:rsidRDefault="00C07943" w:rsidP="002A2195">
            <w:pPr>
              <w:jc w:val="center"/>
              <w:rPr>
                <w:color w:val="000000"/>
                <w:lang w:val="en-GB"/>
              </w:rPr>
            </w:pPr>
            <w:r w:rsidRPr="002A2195">
              <w:rPr>
                <w:color w:val="000000"/>
                <w:lang w:val="en-GB"/>
              </w:rPr>
              <w:t xml:space="preserve"> £   2,256,180.00 </w:t>
            </w:r>
          </w:p>
        </w:tc>
        <w:tc>
          <w:tcPr>
            <w:tcW w:w="699" w:type="pct"/>
            <w:tcBorders>
              <w:top w:val="nil"/>
              <w:left w:val="nil"/>
              <w:bottom w:val="single" w:sz="8" w:space="0" w:color="auto"/>
              <w:right w:val="single" w:sz="4" w:space="0" w:color="auto"/>
            </w:tcBorders>
            <w:shd w:val="clear" w:color="auto" w:fill="auto"/>
            <w:noWrap/>
            <w:vAlign w:val="bottom"/>
            <w:hideMark/>
          </w:tcPr>
          <w:p w14:paraId="274AD07C" w14:textId="77777777" w:rsidR="00C07943" w:rsidRPr="002A2195" w:rsidRDefault="00C07943" w:rsidP="002A2195">
            <w:pPr>
              <w:jc w:val="center"/>
              <w:rPr>
                <w:color w:val="000000"/>
                <w:lang w:val="en-GB"/>
              </w:rPr>
            </w:pPr>
            <w:r w:rsidRPr="002A2195">
              <w:rPr>
                <w:color w:val="000000"/>
                <w:lang w:val="en-GB"/>
              </w:rPr>
              <w:t xml:space="preserve"> £   2,583,030.00 </w:t>
            </w:r>
          </w:p>
        </w:tc>
        <w:tc>
          <w:tcPr>
            <w:tcW w:w="699" w:type="pct"/>
            <w:tcBorders>
              <w:top w:val="nil"/>
              <w:left w:val="nil"/>
              <w:bottom w:val="single" w:sz="8" w:space="0" w:color="auto"/>
              <w:right w:val="single" w:sz="4" w:space="0" w:color="auto"/>
            </w:tcBorders>
            <w:shd w:val="clear" w:color="auto" w:fill="auto"/>
            <w:noWrap/>
            <w:vAlign w:val="bottom"/>
            <w:hideMark/>
          </w:tcPr>
          <w:p w14:paraId="7C2CF225" w14:textId="77777777" w:rsidR="00C07943" w:rsidRPr="002A2195" w:rsidRDefault="00C07943" w:rsidP="002A2195">
            <w:pPr>
              <w:jc w:val="center"/>
              <w:rPr>
                <w:color w:val="000000"/>
                <w:lang w:val="en-GB"/>
              </w:rPr>
            </w:pPr>
            <w:r w:rsidRPr="002A2195">
              <w:rPr>
                <w:color w:val="000000"/>
                <w:lang w:val="en-GB"/>
              </w:rPr>
              <w:t xml:space="preserve"> £   1,410,580.00 </w:t>
            </w:r>
          </w:p>
        </w:tc>
        <w:tc>
          <w:tcPr>
            <w:tcW w:w="683" w:type="pct"/>
            <w:tcBorders>
              <w:top w:val="nil"/>
              <w:left w:val="nil"/>
              <w:bottom w:val="single" w:sz="4" w:space="0" w:color="auto"/>
              <w:right w:val="single" w:sz="4" w:space="0" w:color="auto"/>
            </w:tcBorders>
            <w:shd w:val="clear" w:color="auto" w:fill="auto"/>
            <w:noWrap/>
            <w:vAlign w:val="bottom"/>
            <w:hideMark/>
          </w:tcPr>
          <w:p w14:paraId="6352721F" w14:textId="77777777" w:rsidR="00C07943" w:rsidRPr="002A2195" w:rsidRDefault="00C07943" w:rsidP="002A2195">
            <w:pPr>
              <w:jc w:val="right"/>
              <w:rPr>
                <w:color w:val="000000"/>
                <w:sz w:val="22"/>
                <w:szCs w:val="22"/>
                <w:lang w:val="en-GB"/>
              </w:rPr>
            </w:pPr>
            <w:r w:rsidRPr="002A2195">
              <w:rPr>
                <w:color w:val="000000"/>
                <w:sz w:val="22"/>
                <w:szCs w:val="22"/>
                <w:lang w:val="en-GB"/>
              </w:rPr>
              <w:t>14.5%</w:t>
            </w:r>
          </w:p>
        </w:tc>
        <w:tc>
          <w:tcPr>
            <w:tcW w:w="683" w:type="pct"/>
            <w:tcBorders>
              <w:top w:val="nil"/>
              <w:left w:val="nil"/>
              <w:bottom w:val="single" w:sz="4" w:space="0" w:color="auto"/>
              <w:right w:val="single" w:sz="4" w:space="0" w:color="auto"/>
            </w:tcBorders>
            <w:shd w:val="clear" w:color="auto" w:fill="auto"/>
            <w:noWrap/>
            <w:vAlign w:val="bottom"/>
            <w:hideMark/>
          </w:tcPr>
          <w:p w14:paraId="6CF0F2B0" w14:textId="77777777" w:rsidR="00C07943" w:rsidRPr="002A2195" w:rsidRDefault="00C07943" w:rsidP="002A2195">
            <w:pPr>
              <w:jc w:val="right"/>
              <w:rPr>
                <w:color w:val="000000"/>
                <w:sz w:val="22"/>
                <w:szCs w:val="22"/>
                <w:lang w:val="en-GB"/>
              </w:rPr>
            </w:pPr>
            <w:r w:rsidRPr="002A2195">
              <w:rPr>
                <w:color w:val="000000"/>
                <w:sz w:val="22"/>
                <w:szCs w:val="22"/>
                <w:lang w:val="en-GB"/>
              </w:rPr>
              <w:t>-45.4%</w:t>
            </w:r>
          </w:p>
        </w:tc>
      </w:tr>
    </w:tbl>
    <w:p w14:paraId="4AAEB671" w14:textId="77777777" w:rsidR="00C07943" w:rsidRPr="002A2195" w:rsidRDefault="00C07943" w:rsidP="002A2195">
      <w:pPr>
        <w:pStyle w:val="Normal1"/>
        <w:jc w:val="center"/>
        <w:rPr>
          <w:lang w:val="en-GB"/>
        </w:rPr>
      </w:pPr>
    </w:p>
    <w:p w14:paraId="2B99F2E1" w14:textId="77777777" w:rsidR="00D51046" w:rsidRPr="002A2195" w:rsidRDefault="00D51046" w:rsidP="002A2195">
      <w:pPr>
        <w:pStyle w:val="Normal1"/>
        <w:rPr>
          <w:lang w:val="en-GB"/>
        </w:rPr>
      </w:pPr>
    </w:p>
    <w:p w14:paraId="4C0775CF" w14:textId="77777777" w:rsidR="00D51046" w:rsidRPr="002A2195" w:rsidRDefault="00D51046" w:rsidP="002A2195">
      <w:pPr>
        <w:pStyle w:val="Normal1"/>
        <w:rPr>
          <w:lang w:val="en-GB"/>
        </w:rPr>
      </w:pPr>
    </w:p>
    <w:sectPr w:rsidR="00D51046" w:rsidRPr="002A2195" w:rsidSect="00D51046">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3FA3CC" w14:textId="77777777" w:rsidR="00D01BB1" w:rsidRDefault="00D01BB1" w:rsidP="005B2076">
      <w:pPr>
        <w:spacing w:line="240" w:lineRule="auto"/>
      </w:pPr>
      <w:r>
        <w:separator/>
      </w:r>
    </w:p>
  </w:endnote>
  <w:endnote w:type="continuationSeparator" w:id="0">
    <w:p w14:paraId="17A8191D" w14:textId="77777777" w:rsidR="00D01BB1" w:rsidRDefault="00D01BB1" w:rsidP="005B20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MT">
    <w:altName w:val="Arial"/>
    <w:panose1 w:val="020B0604020202020204"/>
    <w:charset w:val="01"/>
    <w:family w:val="swiss"/>
    <w:pitch w:val="variable"/>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13853237"/>
      <w:docPartObj>
        <w:docPartGallery w:val="Page Numbers (Bottom of Page)"/>
        <w:docPartUnique/>
      </w:docPartObj>
    </w:sdtPr>
    <w:sdtEndPr/>
    <w:sdtContent>
      <w:p w14:paraId="419289CD" w14:textId="77777777" w:rsidR="005B2076" w:rsidRPr="005B2076" w:rsidRDefault="007070C6">
        <w:pPr>
          <w:pStyle w:val="Footer"/>
          <w:jc w:val="right"/>
          <w:rPr>
            <w:sz w:val="20"/>
            <w:szCs w:val="20"/>
          </w:rPr>
        </w:pPr>
        <w:r w:rsidRPr="005B2076">
          <w:rPr>
            <w:sz w:val="20"/>
            <w:szCs w:val="20"/>
          </w:rPr>
          <w:fldChar w:fldCharType="begin"/>
        </w:r>
        <w:r w:rsidR="005B2076" w:rsidRPr="005B2076">
          <w:rPr>
            <w:sz w:val="20"/>
            <w:szCs w:val="20"/>
          </w:rPr>
          <w:instrText xml:space="preserve"> PAGE   \* MERGEFORMAT </w:instrText>
        </w:r>
        <w:r w:rsidRPr="005B2076">
          <w:rPr>
            <w:sz w:val="20"/>
            <w:szCs w:val="20"/>
          </w:rPr>
          <w:fldChar w:fldCharType="separate"/>
        </w:r>
        <w:r w:rsidR="00A40867">
          <w:rPr>
            <w:noProof/>
            <w:sz w:val="20"/>
            <w:szCs w:val="20"/>
          </w:rPr>
          <w:t>7</w:t>
        </w:r>
        <w:r w:rsidRPr="005B2076">
          <w:rPr>
            <w:sz w:val="20"/>
            <w:szCs w:val="20"/>
          </w:rPr>
          <w:fldChar w:fldCharType="end"/>
        </w:r>
      </w:p>
    </w:sdtContent>
  </w:sdt>
  <w:p w14:paraId="2DBD5A4F" w14:textId="77777777" w:rsidR="005B2076" w:rsidRPr="005B2076" w:rsidRDefault="005B2076">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11D77D" w14:textId="77777777" w:rsidR="00D01BB1" w:rsidRDefault="00D01BB1" w:rsidP="005B2076">
      <w:pPr>
        <w:spacing w:line="240" w:lineRule="auto"/>
      </w:pPr>
      <w:r>
        <w:separator/>
      </w:r>
    </w:p>
  </w:footnote>
  <w:footnote w:type="continuationSeparator" w:id="0">
    <w:p w14:paraId="3FB64621" w14:textId="77777777" w:rsidR="00D01BB1" w:rsidRDefault="00D01BB1" w:rsidP="005B20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D1BDE"/>
    <w:multiLevelType w:val="multilevel"/>
    <w:tmpl w:val="82547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1C0B52"/>
    <w:multiLevelType w:val="multilevel"/>
    <w:tmpl w:val="E092F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6887273">
    <w:abstractNumId w:val="1"/>
  </w:num>
  <w:num w:numId="2" w16cid:durableId="2049720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046"/>
    <w:rsid w:val="00000BA6"/>
    <w:rsid w:val="0001509C"/>
    <w:rsid w:val="00065601"/>
    <w:rsid w:val="000740D3"/>
    <w:rsid w:val="00083D43"/>
    <w:rsid w:val="000A150C"/>
    <w:rsid w:val="001538F0"/>
    <w:rsid w:val="00154C13"/>
    <w:rsid w:val="00156422"/>
    <w:rsid w:val="001705F5"/>
    <w:rsid w:val="00184BC3"/>
    <w:rsid w:val="001A4436"/>
    <w:rsid w:val="001C605E"/>
    <w:rsid w:val="00253581"/>
    <w:rsid w:val="002609D1"/>
    <w:rsid w:val="002A2195"/>
    <w:rsid w:val="002C6D1B"/>
    <w:rsid w:val="00303589"/>
    <w:rsid w:val="003520BE"/>
    <w:rsid w:val="003E12F6"/>
    <w:rsid w:val="00406B9F"/>
    <w:rsid w:val="00445051"/>
    <w:rsid w:val="0045722B"/>
    <w:rsid w:val="004A6CBF"/>
    <w:rsid w:val="004D6FE9"/>
    <w:rsid w:val="00504039"/>
    <w:rsid w:val="00574AE4"/>
    <w:rsid w:val="005A1E16"/>
    <w:rsid w:val="005B2076"/>
    <w:rsid w:val="005C1CA0"/>
    <w:rsid w:val="005D6EE1"/>
    <w:rsid w:val="005F349B"/>
    <w:rsid w:val="005F35AA"/>
    <w:rsid w:val="00604B6A"/>
    <w:rsid w:val="00636910"/>
    <w:rsid w:val="00664986"/>
    <w:rsid w:val="006A79D4"/>
    <w:rsid w:val="006C054F"/>
    <w:rsid w:val="006C3E46"/>
    <w:rsid w:val="006F5DB9"/>
    <w:rsid w:val="007070C6"/>
    <w:rsid w:val="00742DB4"/>
    <w:rsid w:val="007B08B8"/>
    <w:rsid w:val="007B40C6"/>
    <w:rsid w:val="00853D64"/>
    <w:rsid w:val="0087025B"/>
    <w:rsid w:val="008D6612"/>
    <w:rsid w:val="00905711"/>
    <w:rsid w:val="00944CCC"/>
    <w:rsid w:val="009739C7"/>
    <w:rsid w:val="009F19F7"/>
    <w:rsid w:val="00A0306C"/>
    <w:rsid w:val="00A25EF6"/>
    <w:rsid w:val="00A26039"/>
    <w:rsid w:val="00A40867"/>
    <w:rsid w:val="00AA4472"/>
    <w:rsid w:val="00AF2871"/>
    <w:rsid w:val="00B02D24"/>
    <w:rsid w:val="00B05B01"/>
    <w:rsid w:val="00B5688E"/>
    <w:rsid w:val="00B71042"/>
    <w:rsid w:val="00B93BEA"/>
    <w:rsid w:val="00B94A9D"/>
    <w:rsid w:val="00BB6EB6"/>
    <w:rsid w:val="00BF6E44"/>
    <w:rsid w:val="00C00F7D"/>
    <w:rsid w:val="00C01DBD"/>
    <w:rsid w:val="00C07943"/>
    <w:rsid w:val="00C111B9"/>
    <w:rsid w:val="00C30409"/>
    <w:rsid w:val="00C600E5"/>
    <w:rsid w:val="00CA052B"/>
    <w:rsid w:val="00D01BB1"/>
    <w:rsid w:val="00D04186"/>
    <w:rsid w:val="00D51046"/>
    <w:rsid w:val="00D62919"/>
    <w:rsid w:val="00DB4B5E"/>
    <w:rsid w:val="00DD44CF"/>
    <w:rsid w:val="00E024EC"/>
    <w:rsid w:val="00E0592C"/>
    <w:rsid w:val="00E6593E"/>
    <w:rsid w:val="00EB1BB5"/>
    <w:rsid w:val="00ED2A66"/>
    <w:rsid w:val="00F34404"/>
    <w:rsid w:val="00F76360"/>
    <w:rsid w:val="00F91E4A"/>
    <w:rsid w:val="00FA5DB9"/>
    <w:rsid w:val="00FB34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2B6DC5"/>
  <w15:docId w15:val="{222DC69A-3519-4127-B66D-5D1B47488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EE1"/>
  </w:style>
  <w:style w:type="paragraph" w:styleId="Heading1">
    <w:name w:val="heading 1"/>
    <w:basedOn w:val="Normal1"/>
    <w:next w:val="Normal1"/>
    <w:link w:val="Heading1Char"/>
    <w:rsid w:val="001705F5"/>
    <w:pPr>
      <w:keepNext/>
      <w:keepLines/>
      <w:spacing w:before="400" w:after="120"/>
      <w:outlineLvl w:val="0"/>
    </w:pPr>
    <w:rPr>
      <w:b/>
      <w:sz w:val="32"/>
      <w:szCs w:val="28"/>
      <w:highlight w:val="none"/>
    </w:rPr>
  </w:style>
  <w:style w:type="paragraph" w:styleId="Heading2">
    <w:name w:val="heading 2"/>
    <w:basedOn w:val="Normal1"/>
    <w:next w:val="Normal1"/>
    <w:link w:val="Heading2Char"/>
    <w:rsid w:val="006C054F"/>
    <w:pPr>
      <w:keepNext/>
      <w:keepLines/>
      <w:spacing w:before="360" w:after="120"/>
      <w:outlineLvl w:val="1"/>
    </w:pPr>
    <w:rPr>
      <w:b/>
      <w:sz w:val="28"/>
      <w:szCs w:val="26"/>
      <w:highlight w:val="none"/>
    </w:rPr>
  </w:style>
  <w:style w:type="paragraph" w:styleId="Heading3">
    <w:name w:val="heading 3"/>
    <w:basedOn w:val="Normal1"/>
    <w:next w:val="Normal1"/>
    <w:rsid w:val="00D51046"/>
    <w:pPr>
      <w:keepNext/>
      <w:keepLines/>
      <w:spacing w:before="320" w:after="80"/>
      <w:outlineLvl w:val="2"/>
    </w:pPr>
    <w:rPr>
      <w:color w:val="434343"/>
      <w:sz w:val="28"/>
      <w:szCs w:val="28"/>
    </w:rPr>
  </w:style>
  <w:style w:type="paragraph" w:styleId="Heading4">
    <w:name w:val="heading 4"/>
    <w:basedOn w:val="Normal1"/>
    <w:next w:val="Normal1"/>
    <w:rsid w:val="00D51046"/>
    <w:pPr>
      <w:keepNext/>
      <w:keepLines/>
      <w:spacing w:before="280" w:after="80"/>
      <w:outlineLvl w:val="3"/>
    </w:pPr>
    <w:rPr>
      <w:color w:val="666666"/>
    </w:rPr>
  </w:style>
  <w:style w:type="paragraph" w:styleId="Heading5">
    <w:name w:val="heading 5"/>
    <w:basedOn w:val="Normal1"/>
    <w:next w:val="Normal1"/>
    <w:rsid w:val="00D51046"/>
    <w:pPr>
      <w:keepNext/>
      <w:keepLines/>
      <w:spacing w:before="240" w:after="80"/>
      <w:outlineLvl w:val="4"/>
    </w:pPr>
    <w:rPr>
      <w:color w:val="666666"/>
      <w:sz w:val="22"/>
      <w:szCs w:val="22"/>
    </w:rPr>
  </w:style>
  <w:style w:type="paragraph" w:styleId="Heading6">
    <w:name w:val="heading 6"/>
    <w:basedOn w:val="Normal1"/>
    <w:next w:val="Normal1"/>
    <w:rsid w:val="00D5104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1046"/>
  </w:style>
  <w:style w:type="paragraph" w:styleId="Title">
    <w:name w:val="Title"/>
    <w:basedOn w:val="Normal1"/>
    <w:next w:val="Normal1"/>
    <w:rsid w:val="00D51046"/>
    <w:pPr>
      <w:keepNext/>
      <w:keepLines/>
      <w:spacing w:after="60"/>
    </w:pPr>
    <w:rPr>
      <w:sz w:val="52"/>
      <w:szCs w:val="52"/>
    </w:rPr>
  </w:style>
  <w:style w:type="paragraph" w:styleId="Subtitle">
    <w:name w:val="Subtitle"/>
    <w:basedOn w:val="Normal1"/>
    <w:next w:val="Normal1"/>
    <w:rsid w:val="00D51046"/>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D51046"/>
    <w:pPr>
      <w:spacing w:line="240" w:lineRule="auto"/>
    </w:pPr>
    <w:rPr>
      <w:sz w:val="20"/>
      <w:szCs w:val="20"/>
    </w:rPr>
  </w:style>
  <w:style w:type="character" w:customStyle="1" w:styleId="CommentTextChar">
    <w:name w:val="Comment Text Char"/>
    <w:basedOn w:val="DefaultParagraphFont"/>
    <w:link w:val="CommentText"/>
    <w:uiPriority w:val="99"/>
    <w:semiHidden/>
    <w:rsid w:val="00D51046"/>
    <w:rPr>
      <w:sz w:val="20"/>
      <w:szCs w:val="20"/>
    </w:rPr>
  </w:style>
  <w:style w:type="character" w:styleId="CommentReference">
    <w:name w:val="annotation reference"/>
    <w:basedOn w:val="DefaultParagraphFont"/>
    <w:uiPriority w:val="99"/>
    <w:semiHidden/>
    <w:unhideWhenUsed/>
    <w:rsid w:val="00D51046"/>
    <w:rPr>
      <w:sz w:val="16"/>
      <w:szCs w:val="16"/>
    </w:rPr>
  </w:style>
  <w:style w:type="paragraph" w:styleId="BalloonText">
    <w:name w:val="Balloon Text"/>
    <w:basedOn w:val="Normal"/>
    <w:link w:val="BalloonTextChar"/>
    <w:uiPriority w:val="99"/>
    <w:semiHidden/>
    <w:unhideWhenUsed/>
    <w:rsid w:val="00F763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360"/>
    <w:rPr>
      <w:rFonts w:ascii="Tahoma" w:hAnsi="Tahoma" w:cs="Tahoma"/>
      <w:sz w:val="16"/>
      <w:szCs w:val="16"/>
    </w:rPr>
  </w:style>
  <w:style w:type="character" w:styleId="Hyperlink">
    <w:name w:val="Hyperlink"/>
    <w:basedOn w:val="DefaultParagraphFont"/>
    <w:uiPriority w:val="99"/>
    <w:unhideWhenUsed/>
    <w:rsid w:val="00F76360"/>
    <w:rPr>
      <w:color w:val="0000FF" w:themeColor="hyperlink"/>
      <w:u w:val="single"/>
    </w:rPr>
  </w:style>
  <w:style w:type="paragraph" w:styleId="TOCHeading">
    <w:name w:val="TOC Heading"/>
    <w:basedOn w:val="Heading1"/>
    <w:next w:val="Normal"/>
    <w:uiPriority w:val="39"/>
    <w:unhideWhenUsed/>
    <w:qFormat/>
    <w:rsid w:val="008D6612"/>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8D6612"/>
    <w:pPr>
      <w:spacing w:after="100"/>
    </w:pPr>
  </w:style>
  <w:style w:type="paragraph" w:styleId="TOC2">
    <w:name w:val="toc 2"/>
    <w:basedOn w:val="Normal"/>
    <w:next w:val="Normal"/>
    <w:autoRedefine/>
    <w:uiPriority w:val="39"/>
    <w:unhideWhenUsed/>
    <w:rsid w:val="008D6612"/>
    <w:pPr>
      <w:spacing w:after="100"/>
      <w:ind w:left="240"/>
    </w:pPr>
  </w:style>
  <w:style w:type="paragraph" w:styleId="Header">
    <w:name w:val="header"/>
    <w:basedOn w:val="Normal"/>
    <w:link w:val="HeaderChar"/>
    <w:uiPriority w:val="99"/>
    <w:semiHidden/>
    <w:unhideWhenUsed/>
    <w:rsid w:val="005B207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B2076"/>
  </w:style>
  <w:style w:type="paragraph" w:styleId="Footer">
    <w:name w:val="footer"/>
    <w:basedOn w:val="Normal"/>
    <w:link w:val="FooterChar"/>
    <w:uiPriority w:val="99"/>
    <w:unhideWhenUsed/>
    <w:rsid w:val="005B2076"/>
    <w:pPr>
      <w:tabs>
        <w:tab w:val="center" w:pos="4680"/>
        <w:tab w:val="right" w:pos="9360"/>
      </w:tabs>
      <w:spacing w:line="240" w:lineRule="auto"/>
    </w:pPr>
  </w:style>
  <w:style w:type="character" w:customStyle="1" w:styleId="FooterChar">
    <w:name w:val="Footer Char"/>
    <w:basedOn w:val="DefaultParagraphFont"/>
    <w:link w:val="Footer"/>
    <w:uiPriority w:val="99"/>
    <w:rsid w:val="005B2076"/>
  </w:style>
  <w:style w:type="character" w:customStyle="1" w:styleId="Heading1Char">
    <w:name w:val="Heading 1 Char"/>
    <w:basedOn w:val="DefaultParagraphFont"/>
    <w:link w:val="Heading1"/>
    <w:rsid w:val="00504039"/>
    <w:rPr>
      <w:b/>
      <w:sz w:val="32"/>
      <w:szCs w:val="28"/>
      <w:highlight w:val="none"/>
    </w:rPr>
  </w:style>
  <w:style w:type="character" w:customStyle="1" w:styleId="Heading2Char">
    <w:name w:val="Heading 2 Char"/>
    <w:basedOn w:val="DefaultParagraphFont"/>
    <w:link w:val="Heading2"/>
    <w:rsid w:val="00504039"/>
    <w:rPr>
      <w:b/>
      <w:sz w:val="28"/>
      <w:szCs w:val="26"/>
      <w:highlight w:val="none"/>
    </w:rPr>
  </w:style>
  <w:style w:type="paragraph" w:styleId="NormalWeb">
    <w:name w:val="Normal (Web)"/>
    <w:basedOn w:val="Normal"/>
    <w:uiPriority w:val="99"/>
    <w:semiHidden/>
    <w:unhideWhenUsed/>
    <w:rsid w:val="00C111B9"/>
    <w:pPr>
      <w:spacing w:before="100" w:beforeAutospacing="1" w:after="100" w:afterAutospacing="1" w:line="240" w:lineRule="auto"/>
      <w:jc w:val="left"/>
    </w:pPr>
    <w:rPr>
      <w:highligh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497900">
      <w:bodyDiv w:val="1"/>
      <w:marLeft w:val="0"/>
      <w:marRight w:val="0"/>
      <w:marTop w:val="0"/>
      <w:marBottom w:val="0"/>
      <w:divBdr>
        <w:top w:val="none" w:sz="0" w:space="0" w:color="auto"/>
        <w:left w:val="none" w:sz="0" w:space="0" w:color="auto"/>
        <w:bottom w:val="none" w:sz="0" w:space="0" w:color="auto"/>
        <w:right w:val="none" w:sz="0" w:space="0" w:color="auto"/>
      </w:divBdr>
    </w:div>
    <w:div w:id="694428775">
      <w:bodyDiv w:val="1"/>
      <w:marLeft w:val="0"/>
      <w:marRight w:val="0"/>
      <w:marTop w:val="0"/>
      <w:marBottom w:val="0"/>
      <w:divBdr>
        <w:top w:val="none" w:sz="0" w:space="0" w:color="auto"/>
        <w:left w:val="none" w:sz="0" w:space="0" w:color="auto"/>
        <w:bottom w:val="none" w:sz="0" w:space="0" w:color="auto"/>
        <w:right w:val="none" w:sz="0" w:space="0" w:color="auto"/>
      </w:divBdr>
    </w:div>
    <w:div w:id="1062674391">
      <w:bodyDiv w:val="1"/>
      <w:marLeft w:val="0"/>
      <w:marRight w:val="0"/>
      <w:marTop w:val="0"/>
      <w:marBottom w:val="0"/>
      <w:divBdr>
        <w:top w:val="none" w:sz="0" w:space="0" w:color="auto"/>
        <w:left w:val="none" w:sz="0" w:space="0" w:color="auto"/>
        <w:bottom w:val="none" w:sz="0" w:space="0" w:color="auto"/>
        <w:right w:val="none" w:sz="0" w:space="0" w:color="auto"/>
      </w:divBdr>
    </w:div>
    <w:div w:id="1235314894">
      <w:bodyDiv w:val="1"/>
      <w:marLeft w:val="0"/>
      <w:marRight w:val="0"/>
      <w:marTop w:val="0"/>
      <w:marBottom w:val="0"/>
      <w:divBdr>
        <w:top w:val="none" w:sz="0" w:space="0" w:color="auto"/>
        <w:left w:val="none" w:sz="0" w:space="0" w:color="auto"/>
        <w:bottom w:val="none" w:sz="0" w:space="0" w:color="auto"/>
        <w:right w:val="none" w:sz="0" w:space="0" w:color="auto"/>
      </w:divBdr>
    </w:div>
    <w:div w:id="18987364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E497F7-CAD4-44D8-BAC3-A6FB64C6D5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2693</Words>
  <Characters>17084</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persima Barreto</cp:lastModifiedBy>
  <cp:revision>2</cp:revision>
  <dcterms:created xsi:type="dcterms:W3CDTF">2024-11-14T16:40:00Z</dcterms:created>
  <dcterms:modified xsi:type="dcterms:W3CDTF">2024-11-14T16:40:00Z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60557d33b154983ffa4fd60024071059849a9bc8ffc56b2d9611003e8cde0058</vt:lpwstr>
  </property>
</Properties>
</file>