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9B514" w14:textId="1EB79DFD" w:rsidR="001904B8" w:rsidRPr="00272522" w:rsidRDefault="004B64BF" w:rsidP="001904B8">
      <w:pPr>
        <w:jc w:val="center"/>
        <w:rPr>
          <w:rFonts w:ascii="Arial" w:hAnsi="Arial" w:cs="Arial"/>
          <w:b/>
          <w:sz w:val="56"/>
          <w:szCs w:val="56"/>
          <w:u w:val="single"/>
        </w:rPr>
      </w:pPr>
      <w:r w:rsidRPr="00272522">
        <w:rPr>
          <w:rFonts w:ascii="Arial" w:hAnsi="Arial" w:cs="Arial"/>
          <w:b/>
          <w:sz w:val="56"/>
          <w:szCs w:val="56"/>
          <w:u w:val="single"/>
        </w:rPr>
        <w:t>Strategic Management</w:t>
      </w:r>
      <w:r w:rsidR="001904B8" w:rsidRPr="00272522">
        <w:rPr>
          <w:rFonts w:ascii="Arial" w:hAnsi="Arial" w:cs="Arial"/>
          <w:b/>
          <w:sz w:val="56"/>
          <w:szCs w:val="56"/>
          <w:u w:val="single"/>
        </w:rPr>
        <w:t xml:space="preserve"> of</w:t>
      </w:r>
    </w:p>
    <w:p w14:paraId="42A85507" w14:textId="7CAC38E6" w:rsidR="001904B8" w:rsidRPr="00272522" w:rsidRDefault="001904B8" w:rsidP="001904B8">
      <w:pPr>
        <w:jc w:val="center"/>
        <w:rPr>
          <w:rFonts w:ascii="Arial" w:eastAsia="Times New Roman" w:hAnsi="Arial" w:cs="Arial"/>
          <w:b/>
          <w:bCs/>
          <w:kern w:val="0"/>
          <w:sz w:val="56"/>
          <w:szCs w:val="56"/>
          <w:u w:val="single"/>
          <w:lang w:eastAsia="en-GB"/>
        </w:rPr>
      </w:pPr>
      <w:r w:rsidRPr="00272522">
        <w:rPr>
          <w:rFonts w:ascii="Arial" w:hAnsi="Arial" w:cs="Arial"/>
          <w:b/>
          <w:sz w:val="56"/>
          <w:szCs w:val="56"/>
          <w:u w:val="single"/>
        </w:rPr>
        <w:t>Nivea Creme</w:t>
      </w:r>
    </w:p>
    <w:p w14:paraId="74506C03" w14:textId="760FBCB9" w:rsidR="004B64BF" w:rsidRPr="00E370A9" w:rsidRDefault="001904B8" w:rsidP="004B64BF">
      <w:pPr>
        <w:rPr>
          <w:rFonts w:ascii="Arial" w:eastAsia="Times New Roman" w:hAnsi="Arial" w:cs="Arial"/>
          <w:b/>
          <w:bCs/>
          <w:kern w:val="0"/>
          <w:u w:val="single"/>
          <w:lang w:eastAsia="en-GB"/>
        </w:rPr>
      </w:pPr>
      <w:r>
        <w:rPr>
          <w:rFonts w:ascii="Arial" w:hAnsi="Arial" w:cs="Arial"/>
          <w:b/>
          <w:noProof/>
          <w:sz w:val="56"/>
          <w:szCs w:val="56"/>
          <w14:ligatures w14:val="standardContextual"/>
        </w:rPr>
        <w:drawing>
          <wp:anchor distT="0" distB="0" distL="114300" distR="114300" simplePos="0" relativeHeight="251659264" behindDoc="0" locked="0" layoutInCell="1" allowOverlap="1" wp14:anchorId="75D3F72D" wp14:editId="09429AA6">
            <wp:simplePos x="0" y="0"/>
            <wp:positionH relativeFrom="column">
              <wp:posOffset>104775</wp:posOffset>
            </wp:positionH>
            <wp:positionV relativeFrom="paragraph">
              <wp:posOffset>218440</wp:posOffset>
            </wp:positionV>
            <wp:extent cx="5731510" cy="5158105"/>
            <wp:effectExtent l="0" t="0" r="2540" b="4445"/>
            <wp:wrapSquare wrapText="bothSides"/>
            <wp:docPr id="6537241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2417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5158105"/>
                    </a:xfrm>
                    <a:prstGeom prst="rect">
                      <a:avLst/>
                    </a:prstGeom>
                  </pic:spPr>
                </pic:pic>
              </a:graphicData>
            </a:graphic>
          </wp:anchor>
        </w:drawing>
      </w:r>
    </w:p>
    <w:p w14:paraId="2970EEDE" w14:textId="771461F5" w:rsidR="004B64BF" w:rsidRDefault="004B64BF" w:rsidP="004B64BF">
      <w:pPr>
        <w:rPr>
          <w:rFonts w:ascii="Arial" w:eastAsia="Times New Roman" w:hAnsi="Arial" w:cs="Arial"/>
          <w:b/>
          <w:bCs/>
          <w:kern w:val="0"/>
          <w:u w:val="single"/>
          <w:lang w:eastAsia="en-GB"/>
        </w:rPr>
      </w:pPr>
    </w:p>
    <w:p w14:paraId="323B8FF3" w14:textId="77777777" w:rsidR="001904B8" w:rsidRPr="00E370A9" w:rsidRDefault="001904B8" w:rsidP="004B64BF">
      <w:pPr>
        <w:rPr>
          <w:rFonts w:ascii="Arial" w:eastAsia="Times New Roman" w:hAnsi="Arial" w:cs="Arial"/>
          <w:b/>
          <w:bCs/>
          <w:kern w:val="0"/>
          <w:u w:val="single"/>
          <w:lang w:eastAsia="en-GB"/>
        </w:rPr>
      </w:pPr>
    </w:p>
    <w:p w14:paraId="6E2962EB" w14:textId="2B6CFEED" w:rsidR="004B64BF" w:rsidRPr="00E370A9" w:rsidRDefault="004B64BF" w:rsidP="004B64BF">
      <w:pPr>
        <w:rPr>
          <w:rFonts w:ascii="Arial" w:hAnsi="Arial" w:cs="Arial"/>
        </w:rPr>
      </w:pPr>
      <w:r w:rsidRPr="00E370A9">
        <w:rPr>
          <w:rFonts w:ascii="Arial" w:hAnsi="Arial" w:cs="Arial"/>
          <w:b/>
          <w:bCs/>
        </w:rPr>
        <w:t>Student Name: Denise Chambers 2020342</w:t>
      </w:r>
    </w:p>
    <w:p w14:paraId="44C4D53F" w14:textId="246D4EE4" w:rsidR="004B64BF" w:rsidRPr="00E370A9" w:rsidRDefault="004B64BF" w:rsidP="004B64BF">
      <w:pPr>
        <w:spacing w:before="120" w:after="120"/>
        <w:rPr>
          <w:rFonts w:ascii="Arial" w:hAnsi="Arial" w:cs="Arial"/>
        </w:rPr>
      </w:pPr>
      <w:r w:rsidRPr="00E370A9">
        <w:rPr>
          <w:rFonts w:ascii="Arial" w:hAnsi="Arial" w:cs="Arial"/>
          <w:b/>
          <w:bCs/>
        </w:rPr>
        <w:t>Lecturer Name:</w:t>
      </w:r>
      <w:r w:rsidRPr="00E370A9">
        <w:rPr>
          <w:rFonts w:ascii="Arial" w:hAnsi="Arial" w:cs="Arial"/>
          <w:b/>
        </w:rPr>
        <w:t xml:space="preserve"> Dr Robert Ejike Udeogu</w:t>
      </w:r>
    </w:p>
    <w:p w14:paraId="4E359FBD" w14:textId="0AFA95BE" w:rsidR="004B64BF" w:rsidRPr="00E370A9" w:rsidRDefault="004B64BF" w:rsidP="004B64BF">
      <w:pPr>
        <w:spacing w:before="120" w:after="120"/>
        <w:rPr>
          <w:rFonts w:ascii="Arial" w:hAnsi="Arial" w:cs="Arial"/>
          <w:b/>
        </w:rPr>
      </w:pPr>
      <w:r w:rsidRPr="00E370A9">
        <w:rPr>
          <w:rFonts w:ascii="Arial" w:hAnsi="Arial" w:cs="Arial"/>
          <w:b/>
        </w:rPr>
        <w:t>Module: Strategic Management</w:t>
      </w:r>
    </w:p>
    <w:p w14:paraId="7A3DE4EE" w14:textId="3F6BAE18" w:rsidR="004B64BF" w:rsidRDefault="00E370A9" w:rsidP="004B64BF">
      <w:pPr>
        <w:rPr>
          <w:rFonts w:ascii="Arial" w:hAnsi="Arial" w:cs="Arial"/>
          <w:b/>
          <w:bCs/>
        </w:rPr>
      </w:pPr>
      <w:r w:rsidRPr="00E370A9">
        <w:rPr>
          <w:rFonts w:ascii="Arial" w:hAnsi="Arial" w:cs="Arial"/>
          <w:b/>
          <w:bCs/>
          <w:noProof/>
        </w:rPr>
        <w:drawing>
          <wp:anchor distT="0" distB="0" distL="114300" distR="114300" simplePos="0" relativeHeight="251657216" behindDoc="0" locked="0" layoutInCell="1" allowOverlap="1" wp14:anchorId="4FF1210F" wp14:editId="0A9B7776">
            <wp:simplePos x="0" y="0"/>
            <wp:positionH relativeFrom="column">
              <wp:posOffset>4350385</wp:posOffset>
            </wp:positionH>
            <wp:positionV relativeFrom="paragraph">
              <wp:posOffset>12700</wp:posOffset>
            </wp:positionV>
            <wp:extent cx="1810383" cy="725174"/>
            <wp:effectExtent l="0" t="0" r="0" b="0"/>
            <wp:wrapTight wrapText="bothSides">
              <wp:wrapPolygon edited="0">
                <wp:start x="0" y="0"/>
                <wp:lineTo x="0" y="14186"/>
                <wp:lineTo x="2046" y="19292"/>
                <wp:lineTo x="2046" y="20427"/>
                <wp:lineTo x="17962" y="20427"/>
                <wp:lineTo x="17962" y="19292"/>
                <wp:lineTo x="21373" y="15320"/>
                <wp:lineTo x="21373" y="10214"/>
                <wp:lineTo x="19099" y="9646"/>
                <wp:lineTo x="19781" y="1135"/>
                <wp:lineTo x="15234" y="0"/>
                <wp:lineTo x="0" y="0"/>
              </wp:wrapPolygon>
            </wp:wrapTight>
            <wp:docPr id="347159998"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1810383" cy="725174"/>
                    </a:xfrm>
                    <a:prstGeom prst="rect">
                      <a:avLst/>
                    </a:prstGeom>
                    <a:noFill/>
                    <a:ln>
                      <a:noFill/>
                      <a:prstDash/>
                    </a:ln>
                  </pic:spPr>
                </pic:pic>
              </a:graphicData>
            </a:graphic>
          </wp:anchor>
        </w:drawing>
      </w:r>
      <w:r w:rsidR="004B64BF" w:rsidRPr="00E370A9">
        <w:rPr>
          <w:rFonts w:ascii="Arial" w:hAnsi="Arial" w:cs="Arial"/>
          <w:b/>
          <w:bCs/>
        </w:rPr>
        <w:t>Module Code: LCMB7003</w:t>
      </w:r>
    </w:p>
    <w:p w14:paraId="512464D6" w14:textId="5E9E016F" w:rsidR="00E370A9" w:rsidRDefault="00E370A9" w:rsidP="004B64BF">
      <w:pPr>
        <w:rPr>
          <w:rFonts w:ascii="Arial" w:hAnsi="Arial" w:cs="Arial"/>
          <w:b/>
          <w:bCs/>
        </w:rPr>
      </w:pPr>
      <w:r>
        <w:rPr>
          <w:rFonts w:ascii="Arial" w:hAnsi="Arial" w:cs="Arial"/>
          <w:b/>
          <w:bCs/>
        </w:rPr>
        <w:t>Word Count:</w:t>
      </w:r>
      <w:r w:rsidR="000502E6">
        <w:rPr>
          <w:rFonts w:ascii="Arial" w:hAnsi="Arial" w:cs="Arial"/>
          <w:b/>
          <w:bCs/>
        </w:rPr>
        <w:t xml:space="preserve"> 5412</w:t>
      </w:r>
    </w:p>
    <w:p w14:paraId="6037B5F6" w14:textId="752899D0" w:rsidR="00E370A9" w:rsidRPr="00E370A9" w:rsidRDefault="00E370A9" w:rsidP="004B64BF">
      <w:pPr>
        <w:rPr>
          <w:rFonts w:ascii="Arial" w:hAnsi="Arial" w:cs="Arial"/>
          <w:b/>
          <w:bCs/>
        </w:rPr>
      </w:pPr>
      <w:r w:rsidRPr="00E370A9">
        <w:rPr>
          <w:rFonts w:ascii="Arial" w:hAnsi="Arial" w:cs="Arial"/>
          <w:b/>
          <w:bCs/>
        </w:rPr>
        <w:t>Submission Date:</w:t>
      </w:r>
      <w:r w:rsidR="000642BB">
        <w:rPr>
          <w:rFonts w:ascii="Arial" w:hAnsi="Arial" w:cs="Arial"/>
          <w:b/>
          <w:bCs/>
        </w:rPr>
        <w:t xml:space="preserve"> 17/07/2026</w:t>
      </w:r>
    </w:p>
    <w:p w14:paraId="10D10F43" w14:textId="54B76C06" w:rsidR="00AB4FFC" w:rsidRPr="00AB4FFC" w:rsidRDefault="004B64BF" w:rsidP="00AB4FFC">
      <w:pPr>
        <w:spacing w:line="360" w:lineRule="auto"/>
        <w:jc w:val="both"/>
        <w:rPr>
          <w:rFonts w:ascii="Arial" w:hAnsi="Arial" w:cs="Arial"/>
          <w:b/>
          <w:bCs/>
          <w:u w:val="single"/>
        </w:rPr>
      </w:pPr>
      <w:r w:rsidRPr="00D22DB2">
        <w:rPr>
          <w:rFonts w:ascii="Arial" w:hAnsi="Arial" w:cs="Arial"/>
          <w:b/>
          <w:bCs/>
          <w:u w:val="single"/>
        </w:rPr>
        <w:lastRenderedPageBreak/>
        <w:t>Executive Summary</w:t>
      </w:r>
    </w:p>
    <w:p w14:paraId="6C5E536B" w14:textId="4E1AFF24" w:rsidR="0042013D" w:rsidRPr="00494D48" w:rsidRDefault="00980DF5" w:rsidP="00AC7AC3">
      <w:pPr>
        <w:pStyle w:val="TOCHeading"/>
        <w:spacing w:line="360" w:lineRule="auto"/>
        <w:rPr>
          <w:rFonts w:eastAsiaTheme="minorEastAsia"/>
          <w:b w:val="0"/>
          <w:bCs/>
          <w:sz w:val="24"/>
          <w:szCs w:val="24"/>
          <w:u w:val="none"/>
        </w:rPr>
      </w:pPr>
      <w:r w:rsidRPr="00494D48">
        <w:rPr>
          <w:rFonts w:eastAsiaTheme="minorEastAsia"/>
          <w:b w:val="0"/>
          <w:bCs/>
          <w:sz w:val="24"/>
          <w:szCs w:val="24"/>
          <w:u w:val="none"/>
        </w:rPr>
        <w:t>T</w:t>
      </w:r>
      <w:r w:rsidR="0042013D" w:rsidRPr="00494D48">
        <w:rPr>
          <w:rFonts w:eastAsiaTheme="minorEastAsia"/>
          <w:b w:val="0"/>
          <w:bCs/>
          <w:sz w:val="24"/>
          <w:szCs w:val="24"/>
          <w:u w:val="none"/>
        </w:rPr>
        <w:t>his report presents a strategic analysis of Nivea Creme, a leading skincare brand manufactured by Beiersdorf. It evaluates the company's strategic position by examining its external and internal business environments, assessing its Corporate Social Responsibility (CSR) strategy, analysing operational performance, and recommending an appropriate business-level strategy for sustainable growth. External analysis identifies key industry drivers, including changing consumer preferences, increasing demand for sustainable products, rapid technological advancements, and intense global competition. Internal analysis, using the VRIO Framework and Value Chain Analysis, highlights Nivea's core strengths, including its strong brand equity, customer loyalty, research and development capabilities, and global distribution network. The report also evaluates Beiersdorf's CSR strategy, concluding that sustainability initiatives support both environmental responsibility and long-term business objectives. Finally, the Balanced Scorecard is applied to assess performance across the Financial, Customer, Internal Business Processes, and Learning and Growth perspectives, demonstrating how strategic objectives and performance measures contribute to maintaining Nivea's competitive advantage and long-term success.</w:t>
      </w:r>
    </w:p>
    <w:p w14:paraId="1342568D" w14:textId="72FF09C7" w:rsidR="0042013D" w:rsidRPr="00E72B65" w:rsidRDefault="0042013D" w:rsidP="00E72B65">
      <w:pPr>
        <w:suppressAutoHyphens w:val="0"/>
        <w:autoSpaceDN/>
        <w:spacing w:line="360" w:lineRule="auto"/>
        <w:jc w:val="both"/>
        <w:rPr>
          <w:rFonts w:ascii="Arial" w:hAnsi="Arial" w:cs="Arial"/>
          <w:bCs/>
        </w:rPr>
      </w:pPr>
      <w:r w:rsidRPr="00E72B65">
        <w:rPr>
          <w:rFonts w:ascii="Arial" w:hAnsi="Arial" w:cs="Arial"/>
          <w:bCs/>
        </w:rPr>
        <w:br w:type="page"/>
      </w:r>
    </w:p>
    <w:sdt>
      <w:sdtPr>
        <w:rPr>
          <w:rFonts w:eastAsia="Calibri"/>
          <w:color w:val="auto"/>
          <w:kern w:val="3"/>
          <w:sz w:val="24"/>
          <w:szCs w:val="24"/>
          <w:lang w:val="en-GB"/>
        </w:rPr>
        <w:id w:val="1740897673"/>
        <w:docPartObj>
          <w:docPartGallery w:val="Table of Contents"/>
          <w:docPartUnique/>
        </w:docPartObj>
      </w:sdtPr>
      <w:sdtEndPr>
        <w:rPr>
          <w:rFonts w:cs="Arial"/>
          <w:b w:val="0"/>
          <w:bCs/>
          <w:noProof/>
          <w:u w:val="none"/>
        </w:rPr>
      </w:sdtEndPr>
      <w:sdtContent>
        <w:p w14:paraId="1DA8505F" w14:textId="6773AEF5" w:rsidR="005524FB" w:rsidRPr="00494D48" w:rsidRDefault="004A1044" w:rsidP="00494D48">
          <w:pPr>
            <w:pStyle w:val="TOCHeading"/>
            <w:spacing w:after="240"/>
            <w:rPr>
              <w:sz w:val="24"/>
              <w:szCs w:val="24"/>
            </w:rPr>
          </w:pPr>
          <w:r w:rsidRPr="00494D48">
            <w:rPr>
              <w:sz w:val="24"/>
              <w:szCs w:val="24"/>
            </w:rPr>
            <w:t>CONTENTS</w:t>
          </w:r>
        </w:p>
        <w:p w14:paraId="390DFFD6" w14:textId="7071D48B" w:rsidR="00494D48" w:rsidRPr="00DF4EBD" w:rsidRDefault="004A1044">
          <w:pPr>
            <w:pStyle w:val="TOC1"/>
            <w:tabs>
              <w:tab w:val="right" w:leader="dot" w:pos="9016"/>
            </w:tabs>
            <w:rPr>
              <w:rFonts w:ascii="Arial" w:hAnsi="Arial" w:cs="Arial"/>
              <w:noProof/>
              <w:kern w:val="2"/>
              <w:sz w:val="28"/>
              <w:szCs w:val="28"/>
              <w:lang w:val="en-GB" w:eastAsia="en-GB"/>
              <w14:ligatures w14:val="standardContextual"/>
            </w:rPr>
          </w:pPr>
          <w:r w:rsidRPr="00E72B65">
            <w:rPr>
              <w:rFonts w:ascii="Arial" w:hAnsi="Arial" w:cs="Arial"/>
              <w:bCs/>
              <w:sz w:val="24"/>
              <w:szCs w:val="24"/>
            </w:rPr>
            <w:fldChar w:fldCharType="begin"/>
          </w:r>
          <w:r w:rsidRPr="00E72B65">
            <w:rPr>
              <w:rFonts w:ascii="Arial" w:hAnsi="Arial" w:cs="Arial"/>
              <w:bCs/>
              <w:sz w:val="24"/>
              <w:szCs w:val="24"/>
            </w:rPr>
            <w:instrText xml:space="preserve"> TOC \o "1-3" \h \z \u </w:instrText>
          </w:r>
          <w:r w:rsidRPr="00E72B65">
            <w:rPr>
              <w:rFonts w:ascii="Arial" w:hAnsi="Arial" w:cs="Arial"/>
              <w:bCs/>
              <w:sz w:val="24"/>
              <w:szCs w:val="24"/>
            </w:rPr>
            <w:fldChar w:fldCharType="separate"/>
          </w:r>
          <w:hyperlink w:anchor="_Toc235135084" w:history="1">
            <w:r w:rsidR="00494D48" w:rsidRPr="00DF4EBD">
              <w:rPr>
                <w:rStyle w:val="Hyperlink"/>
                <w:rFonts w:ascii="Arial" w:hAnsi="Arial" w:cs="Arial"/>
                <w:noProof/>
                <w:sz w:val="24"/>
                <w:szCs w:val="24"/>
              </w:rPr>
              <w:t>INTRODUCTION</w:t>
            </w:r>
            <w:r w:rsidR="00494D48" w:rsidRPr="00DF4EBD">
              <w:rPr>
                <w:rFonts w:ascii="Arial" w:hAnsi="Arial" w:cs="Arial"/>
                <w:noProof/>
                <w:webHidden/>
                <w:sz w:val="24"/>
                <w:szCs w:val="24"/>
              </w:rPr>
              <w:tab/>
            </w:r>
            <w:r w:rsidR="00494D48" w:rsidRPr="00DF4EBD">
              <w:rPr>
                <w:rFonts w:ascii="Arial" w:hAnsi="Arial" w:cs="Arial"/>
                <w:noProof/>
                <w:webHidden/>
                <w:sz w:val="24"/>
                <w:szCs w:val="24"/>
              </w:rPr>
              <w:fldChar w:fldCharType="begin"/>
            </w:r>
            <w:r w:rsidR="00494D48" w:rsidRPr="00DF4EBD">
              <w:rPr>
                <w:rFonts w:ascii="Arial" w:hAnsi="Arial" w:cs="Arial"/>
                <w:noProof/>
                <w:webHidden/>
                <w:sz w:val="24"/>
                <w:szCs w:val="24"/>
              </w:rPr>
              <w:instrText xml:space="preserve"> PAGEREF _Toc235135084 \h </w:instrText>
            </w:r>
            <w:r w:rsidR="00494D48" w:rsidRPr="00DF4EBD">
              <w:rPr>
                <w:rFonts w:ascii="Arial" w:hAnsi="Arial" w:cs="Arial"/>
                <w:noProof/>
                <w:webHidden/>
                <w:sz w:val="24"/>
                <w:szCs w:val="24"/>
              </w:rPr>
            </w:r>
            <w:r w:rsidR="00494D48" w:rsidRPr="00DF4EBD">
              <w:rPr>
                <w:rFonts w:ascii="Arial" w:hAnsi="Arial" w:cs="Arial"/>
                <w:noProof/>
                <w:webHidden/>
                <w:sz w:val="24"/>
                <w:szCs w:val="24"/>
              </w:rPr>
              <w:fldChar w:fldCharType="separate"/>
            </w:r>
            <w:r w:rsidR="00494D48" w:rsidRPr="00DF4EBD">
              <w:rPr>
                <w:rFonts w:ascii="Arial" w:hAnsi="Arial" w:cs="Arial"/>
                <w:noProof/>
                <w:webHidden/>
                <w:sz w:val="24"/>
                <w:szCs w:val="24"/>
              </w:rPr>
              <w:t>5</w:t>
            </w:r>
            <w:r w:rsidR="00494D48" w:rsidRPr="00DF4EBD">
              <w:rPr>
                <w:rFonts w:ascii="Arial" w:hAnsi="Arial" w:cs="Arial"/>
                <w:noProof/>
                <w:webHidden/>
                <w:sz w:val="24"/>
                <w:szCs w:val="24"/>
              </w:rPr>
              <w:fldChar w:fldCharType="end"/>
            </w:r>
          </w:hyperlink>
        </w:p>
        <w:p w14:paraId="691C8404" w14:textId="76F04942"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85" w:history="1">
            <w:r w:rsidRPr="00DF4EBD">
              <w:rPr>
                <w:rStyle w:val="Hyperlink"/>
                <w:rFonts w:ascii="Arial" w:hAnsi="Arial" w:cs="Arial"/>
                <w:noProof/>
                <w:sz w:val="24"/>
                <w:szCs w:val="24"/>
              </w:rPr>
              <w:t>CURRENT SITUATION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_Toc235135085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6</w:t>
            </w:r>
            <w:r w:rsidRPr="00DF4EBD">
              <w:rPr>
                <w:rFonts w:ascii="Arial" w:hAnsi="Arial" w:cs="Arial"/>
                <w:noProof/>
                <w:webHidden/>
                <w:sz w:val="24"/>
                <w:szCs w:val="24"/>
              </w:rPr>
              <w:fldChar w:fldCharType="end"/>
            </w:r>
          </w:hyperlink>
        </w:p>
        <w:p w14:paraId="06016E0A" w14:textId="187FF363"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86" w:history="1">
            <w:r w:rsidRPr="00DF4EBD">
              <w:rPr>
                <w:rStyle w:val="Hyperlink"/>
                <w:rFonts w:ascii="Arial" w:hAnsi="Arial" w:cs="Arial"/>
                <w:noProof/>
                <w:sz w:val="24"/>
                <w:szCs w:val="24"/>
              </w:rPr>
              <w:t>Vision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_Toc235135086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6</w:t>
            </w:r>
            <w:r w:rsidRPr="00DF4EBD">
              <w:rPr>
                <w:rFonts w:ascii="Arial" w:hAnsi="Arial" w:cs="Arial"/>
                <w:noProof/>
                <w:webHidden/>
                <w:sz w:val="24"/>
                <w:szCs w:val="24"/>
              </w:rPr>
              <w:fldChar w:fldCharType="end"/>
            </w:r>
          </w:hyperlink>
        </w:p>
        <w:p w14:paraId="7FE72E46" w14:textId="0DAFA9EE"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87" w:history="1">
            <w:r w:rsidRPr="00DF4EBD">
              <w:rPr>
                <w:rStyle w:val="Hyperlink"/>
                <w:rFonts w:ascii="Arial" w:hAnsi="Arial" w:cs="Arial"/>
                <w:noProof/>
                <w:sz w:val="24"/>
                <w:szCs w:val="24"/>
              </w:rPr>
              <w:t>Mission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_Toc235135087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6</w:t>
            </w:r>
            <w:r w:rsidRPr="00DF4EBD">
              <w:rPr>
                <w:rFonts w:ascii="Arial" w:hAnsi="Arial" w:cs="Arial"/>
                <w:noProof/>
                <w:webHidden/>
                <w:sz w:val="24"/>
                <w:szCs w:val="24"/>
              </w:rPr>
              <w:fldChar w:fldCharType="end"/>
            </w:r>
          </w:hyperlink>
        </w:p>
        <w:p w14:paraId="62E73FEB" w14:textId="2DE85261"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88" w:history="1">
            <w:r w:rsidRPr="00DF4EBD">
              <w:rPr>
                <w:rStyle w:val="Hyperlink"/>
                <w:rFonts w:ascii="Arial" w:hAnsi="Arial" w:cs="Arial"/>
                <w:noProof/>
                <w:sz w:val="24"/>
                <w:szCs w:val="24"/>
              </w:rPr>
              <w:t>Strategic Objectives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_Toc235135088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6</w:t>
            </w:r>
            <w:r w:rsidRPr="00DF4EBD">
              <w:rPr>
                <w:rFonts w:ascii="Arial" w:hAnsi="Arial" w:cs="Arial"/>
                <w:noProof/>
                <w:webHidden/>
                <w:sz w:val="24"/>
                <w:szCs w:val="24"/>
              </w:rPr>
              <w:fldChar w:fldCharType="end"/>
            </w:r>
          </w:hyperlink>
        </w:p>
        <w:p w14:paraId="5C8C0A63" w14:textId="41F4F1F5"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89" w:history="1">
            <w:r w:rsidRPr="00DF4EBD">
              <w:rPr>
                <w:rStyle w:val="Hyperlink"/>
                <w:rFonts w:ascii="Arial" w:hAnsi="Arial" w:cs="Arial"/>
                <w:noProof/>
                <w:sz w:val="24"/>
                <w:szCs w:val="24"/>
              </w:rPr>
              <w:t>Ownership and Governance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_Toc235135089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7</w:t>
            </w:r>
            <w:r w:rsidRPr="00DF4EBD">
              <w:rPr>
                <w:rFonts w:ascii="Arial" w:hAnsi="Arial" w:cs="Arial"/>
                <w:noProof/>
                <w:webHidden/>
                <w:sz w:val="24"/>
                <w:szCs w:val="24"/>
              </w:rPr>
              <w:fldChar w:fldCharType="end"/>
            </w:r>
          </w:hyperlink>
        </w:p>
        <w:p w14:paraId="03776703" w14:textId="43C7506B"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0" w:history="1">
            <w:r w:rsidRPr="00DF4EBD">
              <w:rPr>
                <w:rStyle w:val="Hyperlink"/>
                <w:rFonts w:ascii="Arial" w:hAnsi="Arial" w:cs="Arial"/>
                <w:noProof/>
                <w:sz w:val="24"/>
                <w:szCs w:val="24"/>
              </w:rPr>
              <w:t>Organisational Structure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_Toc235135090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7</w:t>
            </w:r>
            <w:r w:rsidRPr="00DF4EBD">
              <w:rPr>
                <w:rFonts w:ascii="Arial" w:hAnsi="Arial" w:cs="Arial"/>
                <w:noProof/>
                <w:webHidden/>
                <w:sz w:val="24"/>
                <w:szCs w:val="24"/>
              </w:rPr>
              <w:fldChar w:fldCharType="end"/>
            </w:r>
          </w:hyperlink>
        </w:p>
        <w:p w14:paraId="16B798E9" w14:textId="4DA2EC10"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1" w:history="1">
            <w:r w:rsidRPr="00DF4EBD">
              <w:rPr>
                <w:rStyle w:val="Hyperlink"/>
                <w:rFonts w:ascii="Arial" w:hAnsi="Arial" w:cs="Arial"/>
                <w:noProof/>
                <w:sz w:val="24"/>
                <w:szCs w:val="24"/>
              </w:rPr>
              <w:t>Industry</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_Toc235135091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7</w:t>
            </w:r>
            <w:r w:rsidRPr="00DF4EBD">
              <w:rPr>
                <w:rFonts w:ascii="Arial" w:hAnsi="Arial" w:cs="Arial"/>
                <w:noProof/>
                <w:webHidden/>
                <w:sz w:val="24"/>
                <w:szCs w:val="24"/>
              </w:rPr>
              <w:fldChar w:fldCharType="end"/>
            </w:r>
          </w:hyperlink>
        </w:p>
        <w:p w14:paraId="1C71ECAD" w14:textId="03DACB39"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2" w:history="1">
            <w:r w:rsidRPr="00DF4EBD">
              <w:rPr>
                <w:rStyle w:val="Hyperlink"/>
                <w:rFonts w:ascii="Arial" w:hAnsi="Arial" w:cs="Arial"/>
                <w:noProof/>
                <w:sz w:val="24"/>
                <w:szCs w:val="24"/>
              </w:rPr>
              <w:t>Products and Services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_Toc235135092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8</w:t>
            </w:r>
            <w:r w:rsidRPr="00DF4EBD">
              <w:rPr>
                <w:rFonts w:ascii="Arial" w:hAnsi="Arial" w:cs="Arial"/>
                <w:noProof/>
                <w:webHidden/>
                <w:sz w:val="24"/>
                <w:szCs w:val="24"/>
              </w:rPr>
              <w:fldChar w:fldCharType="end"/>
            </w:r>
          </w:hyperlink>
        </w:p>
        <w:p w14:paraId="59916E01" w14:textId="1DDE37C8"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3" w:history="1">
            <w:r w:rsidRPr="00DF4EBD">
              <w:rPr>
                <w:rStyle w:val="Hyperlink"/>
                <w:rFonts w:ascii="Arial" w:hAnsi="Arial" w:cs="Arial"/>
                <w:noProof/>
                <w:sz w:val="24"/>
                <w:szCs w:val="24"/>
              </w:rPr>
              <w:t>Markets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_Toc235135093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8</w:t>
            </w:r>
            <w:r w:rsidRPr="00DF4EBD">
              <w:rPr>
                <w:rFonts w:ascii="Arial" w:hAnsi="Arial" w:cs="Arial"/>
                <w:noProof/>
                <w:webHidden/>
                <w:sz w:val="24"/>
                <w:szCs w:val="24"/>
              </w:rPr>
              <w:fldChar w:fldCharType="end"/>
            </w:r>
          </w:hyperlink>
        </w:p>
        <w:p w14:paraId="3B360F4E" w14:textId="5C6D7B28"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4" w:history="1">
            <w:r w:rsidRPr="00DF4EBD">
              <w:rPr>
                <w:rStyle w:val="Hyperlink"/>
                <w:rFonts w:ascii="Arial" w:hAnsi="Arial" w:cs="Arial"/>
                <w:noProof/>
                <w:sz w:val="24"/>
                <w:szCs w:val="24"/>
              </w:rPr>
              <w:t>FINANCIAL POSITION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_Toc235135094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8</w:t>
            </w:r>
            <w:r w:rsidRPr="00DF4EBD">
              <w:rPr>
                <w:rFonts w:ascii="Arial" w:hAnsi="Arial" w:cs="Arial"/>
                <w:noProof/>
                <w:webHidden/>
                <w:sz w:val="24"/>
                <w:szCs w:val="24"/>
              </w:rPr>
              <w:fldChar w:fldCharType="end"/>
            </w:r>
          </w:hyperlink>
        </w:p>
        <w:p w14:paraId="23F5EF3E" w14:textId="6AB3778E"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5" w:history="1">
            <w:r w:rsidRPr="00DF4EBD">
              <w:rPr>
                <w:rStyle w:val="Hyperlink"/>
                <w:rFonts w:ascii="Arial" w:hAnsi="Arial" w:cs="Arial"/>
                <w:noProof/>
                <w:sz w:val="24"/>
                <w:szCs w:val="24"/>
              </w:rPr>
              <w:t>Direct Competitors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_Toc235135095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9</w:t>
            </w:r>
            <w:r w:rsidRPr="00DF4EBD">
              <w:rPr>
                <w:rFonts w:ascii="Arial" w:hAnsi="Arial" w:cs="Arial"/>
                <w:noProof/>
                <w:webHidden/>
                <w:sz w:val="24"/>
                <w:szCs w:val="24"/>
              </w:rPr>
              <w:fldChar w:fldCharType="end"/>
            </w:r>
          </w:hyperlink>
        </w:p>
        <w:p w14:paraId="2CE7D113" w14:textId="1C484CEB"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6" w:history="1">
            <w:r w:rsidRPr="00DF4EBD">
              <w:rPr>
                <w:rStyle w:val="Hyperlink"/>
                <w:rFonts w:ascii="Arial" w:hAnsi="Arial" w:cs="Arial"/>
                <w:noProof/>
                <w:sz w:val="24"/>
                <w:szCs w:val="24"/>
              </w:rPr>
              <w:t>Top Opportunities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_Toc235135096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9</w:t>
            </w:r>
            <w:r w:rsidRPr="00DF4EBD">
              <w:rPr>
                <w:rFonts w:ascii="Arial" w:hAnsi="Arial" w:cs="Arial"/>
                <w:noProof/>
                <w:webHidden/>
                <w:sz w:val="24"/>
                <w:szCs w:val="24"/>
              </w:rPr>
              <w:fldChar w:fldCharType="end"/>
            </w:r>
          </w:hyperlink>
        </w:p>
        <w:p w14:paraId="544C9E8B" w14:textId="645BB709"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7" w:history="1">
            <w:r w:rsidRPr="00DF4EBD">
              <w:rPr>
                <w:rStyle w:val="Hyperlink"/>
                <w:rFonts w:ascii="Arial" w:hAnsi="Arial" w:cs="Arial"/>
                <w:noProof/>
                <w:sz w:val="24"/>
                <w:szCs w:val="24"/>
              </w:rPr>
              <w:t>Top Threats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_Toc235135097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10</w:t>
            </w:r>
            <w:r w:rsidRPr="00DF4EBD">
              <w:rPr>
                <w:rFonts w:ascii="Arial" w:hAnsi="Arial" w:cs="Arial"/>
                <w:noProof/>
                <w:webHidden/>
                <w:sz w:val="24"/>
                <w:szCs w:val="24"/>
              </w:rPr>
              <w:fldChar w:fldCharType="end"/>
            </w:r>
          </w:hyperlink>
        </w:p>
        <w:p w14:paraId="1A6B0FC4" w14:textId="188CBB74"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8" w:history="1">
            <w:r w:rsidRPr="00DF4EBD">
              <w:rPr>
                <w:rStyle w:val="Hyperlink"/>
                <w:rFonts w:ascii="Arial" w:hAnsi="Arial" w:cs="Arial"/>
                <w:noProof/>
                <w:sz w:val="24"/>
                <w:szCs w:val="24"/>
              </w:rPr>
              <w:t>EXTERNAL ENVIRONMENT ANALYSIS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_Toc235135098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10</w:t>
            </w:r>
            <w:r w:rsidRPr="00DF4EBD">
              <w:rPr>
                <w:rFonts w:ascii="Arial" w:hAnsi="Arial" w:cs="Arial"/>
                <w:noProof/>
                <w:webHidden/>
                <w:sz w:val="24"/>
                <w:szCs w:val="24"/>
              </w:rPr>
              <w:fldChar w:fldCharType="end"/>
            </w:r>
          </w:hyperlink>
        </w:p>
        <w:p w14:paraId="1848A0CE" w14:textId="220521CD"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099" w:history="1">
            <w:r w:rsidRPr="00DF4EBD">
              <w:rPr>
                <w:rStyle w:val="Hyperlink"/>
                <w:rFonts w:ascii="Arial" w:hAnsi="Arial" w:cs="Arial"/>
                <w:noProof/>
                <w:sz w:val="24"/>
                <w:szCs w:val="24"/>
              </w:rPr>
              <w:t>PESTEL Analysis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_Toc235135099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10</w:t>
            </w:r>
            <w:r w:rsidRPr="00DF4EBD">
              <w:rPr>
                <w:rFonts w:ascii="Arial" w:hAnsi="Arial" w:cs="Arial"/>
                <w:noProof/>
                <w:webHidden/>
                <w:sz w:val="24"/>
                <w:szCs w:val="24"/>
              </w:rPr>
              <w:fldChar w:fldCharType="end"/>
            </w:r>
          </w:hyperlink>
        </w:p>
        <w:p w14:paraId="354DC711" w14:textId="0A961FF2"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0" w:history="1">
            <w:r w:rsidRPr="00DF4EBD">
              <w:rPr>
                <w:rStyle w:val="Hyperlink"/>
                <w:rFonts w:ascii="Arial" w:hAnsi="Arial" w:cs="Arial"/>
                <w:noProof/>
                <w:sz w:val="24"/>
                <w:szCs w:val="24"/>
              </w:rPr>
              <w:t>INTERNAL ENVIRONMENT ANALYSIS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_Toc235135100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11</w:t>
            </w:r>
            <w:r w:rsidRPr="00DF4EBD">
              <w:rPr>
                <w:rFonts w:ascii="Arial" w:hAnsi="Arial" w:cs="Arial"/>
                <w:noProof/>
                <w:webHidden/>
                <w:sz w:val="24"/>
                <w:szCs w:val="24"/>
              </w:rPr>
              <w:fldChar w:fldCharType="end"/>
            </w:r>
          </w:hyperlink>
        </w:p>
        <w:p w14:paraId="03DAB4EA" w14:textId="0459D6A3"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1" w:history="1">
            <w:r w:rsidRPr="00DF4EBD">
              <w:rPr>
                <w:rStyle w:val="Hyperlink"/>
                <w:rFonts w:ascii="Arial" w:hAnsi="Arial" w:cs="Arial"/>
                <w:noProof/>
                <w:sz w:val="24"/>
                <w:szCs w:val="24"/>
              </w:rPr>
              <w:t>Viro Framework</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_Toc235135101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11</w:t>
            </w:r>
            <w:r w:rsidRPr="00DF4EBD">
              <w:rPr>
                <w:rFonts w:ascii="Arial" w:hAnsi="Arial" w:cs="Arial"/>
                <w:noProof/>
                <w:webHidden/>
                <w:sz w:val="24"/>
                <w:szCs w:val="24"/>
              </w:rPr>
              <w:fldChar w:fldCharType="end"/>
            </w:r>
          </w:hyperlink>
        </w:p>
        <w:p w14:paraId="785B3166" w14:textId="60B1AC11"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2" w:history="1">
            <w:r w:rsidRPr="00DF4EBD">
              <w:rPr>
                <w:rStyle w:val="Hyperlink"/>
                <w:rFonts w:ascii="Arial" w:hAnsi="Arial" w:cs="Arial"/>
                <w:noProof/>
                <w:sz w:val="24"/>
                <w:szCs w:val="24"/>
              </w:rPr>
              <w:t>SWOT Analysis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_Toc235135102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12</w:t>
            </w:r>
            <w:r w:rsidRPr="00DF4EBD">
              <w:rPr>
                <w:rFonts w:ascii="Arial" w:hAnsi="Arial" w:cs="Arial"/>
                <w:noProof/>
                <w:webHidden/>
                <w:sz w:val="24"/>
                <w:szCs w:val="24"/>
              </w:rPr>
              <w:fldChar w:fldCharType="end"/>
            </w:r>
          </w:hyperlink>
        </w:p>
        <w:p w14:paraId="5D82FF54" w14:textId="2847B6F5"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3" w:history="1">
            <w:r w:rsidRPr="00DF4EBD">
              <w:rPr>
                <w:rStyle w:val="Hyperlink"/>
                <w:rFonts w:ascii="Arial" w:hAnsi="Arial" w:cs="Arial"/>
                <w:noProof/>
                <w:sz w:val="24"/>
                <w:szCs w:val="24"/>
              </w:rPr>
              <w:t>COMPREHENSIVE AND HOLISTIC VIEW OF NIVEA CRÈME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_Toc235135103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12</w:t>
            </w:r>
            <w:r w:rsidRPr="00DF4EBD">
              <w:rPr>
                <w:rFonts w:ascii="Arial" w:hAnsi="Arial" w:cs="Arial"/>
                <w:noProof/>
                <w:webHidden/>
                <w:sz w:val="24"/>
                <w:szCs w:val="24"/>
              </w:rPr>
              <w:fldChar w:fldCharType="end"/>
            </w:r>
          </w:hyperlink>
        </w:p>
        <w:p w14:paraId="058A1B4D" w14:textId="31269E11"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4" w:history="1">
            <w:r w:rsidRPr="00DF4EBD">
              <w:rPr>
                <w:rStyle w:val="Hyperlink"/>
                <w:rFonts w:ascii="Arial" w:hAnsi="Arial" w:cs="Arial"/>
                <w:noProof/>
                <w:sz w:val="24"/>
                <w:szCs w:val="24"/>
              </w:rPr>
              <w:t>Corporate Social Responsibility (CSR) Strategy and Alignment with Business Objectives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_Toc235135104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12</w:t>
            </w:r>
            <w:r w:rsidRPr="00DF4EBD">
              <w:rPr>
                <w:rFonts w:ascii="Arial" w:hAnsi="Arial" w:cs="Arial"/>
                <w:noProof/>
                <w:webHidden/>
                <w:sz w:val="24"/>
                <w:szCs w:val="24"/>
              </w:rPr>
              <w:fldChar w:fldCharType="end"/>
            </w:r>
          </w:hyperlink>
        </w:p>
        <w:p w14:paraId="1E460E06" w14:textId="33F5704F"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5" w:history="1">
            <w:r w:rsidRPr="00DF4EBD">
              <w:rPr>
                <w:rStyle w:val="Hyperlink"/>
                <w:rFonts w:ascii="Arial" w:hAnsi="Arial" w:cs="Arial"/>
                <w:noProof/>
                <w:sz w:val="24"/>
                <w:szCs w:val="24"/>
              </w:rPr>
              <w:t>Balanced Scorecard Analysis of Nivea Crème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_Toc235135105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13</w:t>
            </w:r>
            <w:r w:rsidRPr="00DF4EBD">
              <w:rPr>
                <w:rFonts w:ascii="Arial" w:hAnsi="Arial" w:cs="Arial"/>
                <w:noProof/>
                <w:webHidden/>
                <w:sz w:val="24"/>
                <w:szCs w:val="24"/>
              </w:rPr>
              <w:fldChar w:fldCharType="end"/>
            </w:r>
          </w:hyperlink>
        </w:p>
        <w:p w14:paraId="0094C6BD" w14:textId="2A681949"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6" w:history="1">
            <w:r w:rsidRPr="00DF4EBD">
              <w:rPr>
                <w:rStyle w:val="Hyperlink"/>
                <w:rFonts w:ascii="Arial" w:hAnsi="Arial" w:cs="Arial"/>
                <w:noProof/>
                <w:sz w:val="24"/>
                <w:szCs w:val="24"/>
              </w:rPr>
              <w:t>Financial Perspective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_Toc235135106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14</w:t>
            </w:r>
            <w:r w:rsidRPr="00DF4EBD">
              <w:rPr>
                <w:rFonts w:ascii="Arial" w:hAnsi="Arial" w:cs="Arial"/>
                <w:noProof/>
                <w:webHidden/>
                <w:sz w:val="24"/>
                <w:szCs w:val="24"/>
              </w:rPr>
              <w:fldChar w:fldCharType="end"/>
            </w:r>
          </w:hyperlink>
        </w:p>
        <w:p w14:paraId="6698E9DE" w14:textId="4309365A"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7" w:history="1">
            <w:r w:rsidRPr="00DF4EBD">
              <w:rPr>
                <w:rStyle w:val="Hyperlink"/>
                <w:rFonts w:ascii="Arial" w:hAnsi="Arial" w:cs="Arial"/>
                <w:noProof/>
                <w:sz w:val="24"/>
                <w:szCs w:val="24"/>
              </w:rPr>
              <w:t>Customer Perspective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_Toc235135107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14</w:t>
            </w:r>
            <w:r w:rsidRPr="00DF4EBD">
              <w:rPr>
                <w:rFonts w:ascii="Arial" w:hAnsi="Arial" w:cs="Arial"/>
                <w:noProof/>
                <w:webHidden/>
                <w:sz w:val="24"/>
                <w:szCs w:val="24"/>
              </w:rPr>
              <w:fldChar w:fldCharType="end"/>
            </w:r>
          </w:hyperlink>
        </w:p>
        <w:p w14:paraId="1350E61C" w14:textId="13F21011"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8" w:history="1">
            <w:r w:rsidRPr="00DF4EBD">
              <w:rPr>
                <w:rStyle w:val="Hyperlink"/>
                <w:rFonts w:ascii="Arial" w:hAnsi="Arial" w:cs="Arial"/>
                <w:noProof/>
                <w:sz w:val="24"/>
                <w:szCs w:val="24"/>
              </w:rPr>
              <w:t>Internal Process Business Perspective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_Toc235135108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15</w:t>
            </w:r>
            <w:r w:rsidRPr="00DF4EBD">
              <w:rPr>
                <w:rFonts w:ascii="Arial" w:hAnsi="Arial" w:cs="Arial"/>
                <w:noProof/>
                <w:webHidden/>
                <w:sz w:val="24"/>
                <w:szCs w:val="24"/>
              </w:rPr>
              <w:fldChar w:fldCharType="end"/>
            </w:r>
          </w:hyperlink>
        </w:p>
        <w:p w14:paraId="219873CD" w14:textId="0488ED15"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09" w:history="1">
            <w:r w:rsidRPr="00DF4EBD">
              <w:rPr>
                <w:rStyle w:val="Hyperlink"/>
                <w:rFonts w:ascii="Arial" w:hAnsi="Arial" w:cs="Arial"/>
                <w:noProof/>
                <w:sz w:val="24"/>
                <w:szCs w:val="24"/>
              </w:rPr>
              <w:t>Learning and Growth Perspective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_Toc235135109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15</w:t>
            </w:r>
            <w:r w:rsidRPr="00DF4EBD">
              <w:rPr>
                <w:rFonts w:ascii="Arial" w:hAnsi="Arial" w:cs="Arial"/>
                <w:noProof/>
                <w:webHidden/>
                <w:sz w:val="24"/>
                <w:szCs w:val="24"/>
              </w:rPr>
              <w:fldChar w:fldCharType="end"/>
            </w:r>
          </w:hyperlink>
        </w:p>
        <w:p w14:paraId="709F38B7" w14:textId="42A9514F"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0" w:history="1">
            <w:r w:rsidRPr="00DF4EBD">
              <w:rPr>
                <w:rStyle w:val="Hyperlink"/>
                <w:rFonts w:ascii="Arial" w:hAnsi="Arial" w:cs="Arial"/>
                <w:noProof/>
                <w:sz w:val="24"/>
                <w:szCs w:val="24"/>
              </w:rPr>
              <w:t>Critical Evaluation of the Balanced Scorecard</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_Toc235135110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16</w:t>
            </w:r>
            <w:r w:rsidRPr="00DF4EBD">
              <w:rPr>
                <w:rFonts w:ascii="Arial" w:hAnsi="Arial" w:cs="Arial"/>
                <w:noProof/>
                <w:webHidden/>
                <w:sz w:val="24"/>
                <w:szCs w:val="24"/>
              </w:rPr>
              <w:fldChar w:fldCharType="end"/>
            </w:r>
          </w:hyperlink>
        </w:p>
        <w:p w14:paraId="274FBBFE" w14:textId="64D73EB7"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1" w:history="1">
            <w:r w:rsidRPr="00DF4EBD">
              <w:rPr>
                <w:rStyle w:val="Hyperlink"/>
                <w:rFonts w:ascii="Arial" w:hAnsi="Arial" w:cs="Arial"/>
                <w:noProof/>
                <w:sz w:val="24"/>
                <w:szCs w:val="24"/>
              </w:rPr>
              <w:t>STRATEGIC CHOICES AVAILABLE TO NIVEA CRÈME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_Toc235135111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16</w:t>
            </w:r>
            <w:r w:rsidRPr="00DF4EBD">
              <w:rPr>
                <w:rFonts w:ascii="Arial" w:hAnsi="Arial" w:cs="Arial"/>
                <w:noProof/>
                <w:webHidden/>
                <w:sz w:val="24"/>
                <w:szCs w:val="24"/>
              </w:rPr>
              <w:fldChar w:fldCharType="end"/>
            </w:r>
          </w:hyperlink>
        </w:p>
        <w:p w14:paraId="38EBCE53" w14:textId="4E650F1C"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2" w:history="1">
            <w:r w:rsidRPr="00DF4EBD">
              <w:rPr>
                <w:rStyle w:val="Hyperlink"/>
                <w:rFonts w:ascii="Arial" w:hAnsi="Arial" w:cs="Arial"/>
                <w:noProof/>
                <w:sz w:val="24"/>
                <w:szCs w:val="24"/>
              </w:rPr>
              <w:t>Cost Leadership Strategy</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_Toc235135112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17</w:t>
            </w:r>
            <w:r w:rsidRPr="00DF4EBD">
              <w:rPr>
                <w:rFonts w:ascii="Arial" w:hAnsi="Arial" w:cs="Arial"/>
                <w:noProof/>
                <w:webHidden/>
                <w:sz w:val="24"/>
                <w:szCs w:val="24"/>
              </w:rPr>
              <w:fldChar w:fldCharType="end"/>
            </w:r>
          </w:hyperlink>
        </w:p>
        <w:p w14:paraId="495711D4" w14:textId="552A0877"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3" w:history="1">
            <w:r w:rsidRPr="00DF4EBD">
              <w:rPr>
                <w:rStyle w:val="Hyperlink"/>
                <w:rFonts w:ascii="Arial" w:hAnsi="Arial" w:cs="Arial"/>
                <w:noProof/>
                <w:sz w:val="24"/>
                <w:szCs w:val="24"/>
              </w:rPr>
              <w:t>Differentiation Strategy</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_Toc235135113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17</w:t>
            </w:r>
            <w:r w:rsidRPr="00DF4EBD">
              <w:rPr>
                <w:rFonts w:ascii="Arial" w:hAnsi="Arial" w:cs="Arial"/>
                <w:noProof/>
                <w:webHidden/>
                <w:sz w:val="24"/>
                <w:szCs w:val="24"/>
              </w:rPr>
              <w:fldChar w:fldCharType="end"/>
            </w:r>
          </w:hyperlink>
        </w:p>
        <w:p w14:paraId="2C53DD64" w14:textId="610BDFBA"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4" w:history="1">
            <w:r w:rsidRPr="00DF4EBD">
              <w:rPr>
                <w:rStyle w:val="Hyperlink"/>
                <w:rFonts w:ascii="Arial" w:hAnsi="Arial" w:cs="Arial"/>
                <w:noProof/>
                <w:sz w:val="24"/>
                <w:szCs w:val="24"/>
              </w:rPr>
              <w:t>Critical Evaluation of Strategic Choices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_Toc235135114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18</w:t>
            </w:r>
            <w:r w:rsidRPr="00DF4EBD">
              <w:rPr>
                <w:rFonts w:ascii="Arial" w:hAnsi="Arial" w:cs="Arial"/>
                <w:noProof/>
                <w:webHidden/>
                <w:sz w:val="24"/>
                <w:szCs w:val="24"/>
              </w:rPr>
              <w:fldChar w:fldCharType="end"/>
            </w:r>
          </w:hyperlink>
        </w:p>
        <w:p w14:paraId="286103F8" w14:textId="5DB9FE24"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5" w:history="1">
            <w:r w:rsidRPr="00DF4EBD">
              <w:rPr>
                <w:rStyle w:val="Hyperlink"/>
                <w:rFonts w:ascii="Arial" w:hAnsi="Arial" w:cs="Arial"/>
                <w:noProof/>
                <w:sz w:val="24"/>
                <w:szCs w:val="24"/>
              </w:rPr>
              <w:t>Recommended Business Strategy for Nivea Creme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_Toc235135115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19</w:t>
            </w:r>
            <w:r w:rsidRPr="00DF4EBD">
              <w:rPr>
                <w:rFonts w:ascii="Arial" w:hAnsi="Arial" w:cs="Arial"/>
                <w:noProof/>
                <w:webHidden/>
                <w:sz w:val="24"/>
                <w:szCs w:val="24"/>
              </w:rPr>
              <w:fldChar w:fldCharType="end"/>
            </w:r>
          </w:hyperlink>
        </w:p>
        <w:p w14:paraId="2CE2153D" w14:textId="0F92FD0C"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6" w:history="1">
            <w:r w:rsidRPr="00DF4EBD">
              <w:rPr>
                <w:rStyle w:val="Hyperlink"/>
                <w:rFonts w:ascii="Arial" w:hAnsi="Arial" w:cs="Arial"/>
                <w:noProof/>
                <w:sz w:val="24"/>
                <w:szCs w:val="24"/>
              </w:rPr>
              <w:t>Evaluation Using Porter's Five Forces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_Toc235135116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19</w:t>
            </w:r>
            <w:r w:rsidRPr="00DF4EBD">
              <w:rPr>
                <w:rFonts w:ascii="Arial" w:hAnsi="Arial" w:cs="Arial"/>
                <w:noProof/>
                <w:webHidden/>
                <w:sz w:val="24"/>
                <w:szCs w:val="24"/>
              </w:rPr>
              <w:fldChar w:fldCharType="end"/>
            </w:r>
          </w:hyperlink>
        </w:p>
        <w:p w14:paraId="78559E52" w14:textId="186B6C31"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7" w:history="1">
            <w:r w:rsidRPr="00DF4EBD">
              <w:rPr>
                <w:rStyle w:val="Hyperlink"/>
                <w:rFonts w:ascii="Arial" w:hAnsi="Arial" w:cs="Arial"/>
                <w:noProof/>
                <w:sz w:val="24"/>
                <w:szCs w:val="24"/>
              </w:rPr>
              <w:t>Threat of New Entrants – Moderate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_Toc235135117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20</w:t>
            </w:r>
            <w:r w:rsidRPr="00DF4EBD">
              <w:rPr>
                <w:rFonts w:ascii="Arial" w:hAnsi="Arial" w:cs="Arial"/>
                <w:noProof/>
                <w:webHidden/>
                <w:sz w:val="24"/>
                <w:szCs w:val="24"/>
              </w:rPr>
              <w:fldChar w:fldCharType="end"/>
            </w:r>
          </w:hyperlink>
        </w:p>
        <w:p w14:paraId="07A7B5D7" w14:textId="7DB8968F"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8" w:history="1">
            <w:r w:rsidRPr="00DF4EBD">
              <w:rPr>
                <w:rStyle w:val="Hyperlink"/>
                <w:rFonts w:ascii="Arial" w:hAnsi="Arial" w:cs="Arial"/>
                <w:noProof/>
                <w:sz w:val="24"/>
                <w:szCs w:val="24"/>
              </w:rPr>
              <w:t>Bargaining Power of Suppliers – Low to Moderate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_Toc235135118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20</w:t>
            </w:r>
            <w:r w:rsidRPr="00DF4EBD">
              <w:rPr>
                <w:rFonts w:ascii="Arial" w:hAnsi="Arial" w:cs="Arial"/>
                <w:noProof/>
                <w:webHidden/>
                <w:sz w:val="24"/>
                <w:szCs w:val="24"/>
              </w:rPr>
              <w:fldChar w:fldCharType="end"/>
            </w:r>
          </w:hyperlink>
        </w:p>
        <w:p w14:paraId="47F7AAEF" w14:textId="7AA8597F"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19" w:history="1">
            <w:r w:rsidRPr="00DF4EBD">
              <w:rPr>
                <w:rStyle w:val="Hyperlink"/>
                <w:rFonts w:ascii="Arial" w:hAnsi="Arial" w:cs="Arial"/>
                <w:noProof/>
                <w:sz w:val="24"/>
                <w:szCs w:val="24"/>
              </w:rPr>
              <w:t>Bargaining Power of Buyers – High</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_Toc235135119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20</w:t>
            </w:r>
            <w:r w:rsidRPr="00DF4EBD">
              <w:rPr>
                <w:rFonts w:ascii="Arial" w:hAnsi="Arial" w:cs="Arial"/>
                <w:noProof/>
                <w:webHidden/>
                <w:sz w:val="24"/>
                <w:szCs w:val="24"/>
              </w:rPr>
              <w:fldChar w:fldCharType="end"/>
            </w:r>
          </w:hyperlink>
        </w:p>
        <w:p w14:paraId="036564A6" w14:textId="34FDCDDE"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0" w:history="1">
            <w:r w:rsidRPr="00DF4EBD">
              <w:rPr>
                <w:rStyle w:val="Hyperlink"/>
                <w:rFonts w:ascii="Arial" w:hAnsi="Arial" w:cs="Arial"/>
                <w:noProof/>
                <w:sz w:val="24"/>
                <w:szCs w:val="24"/>
              </w:rPr>
              <w:t>Threat of Substitute Products – High</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_Toc235135120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20</w:t>
            </w:r>
            <w:r w:rsidRPr="00DF4EBD">
              <w:rPr>
                <w:rFonts w:ascii="Arial" w:hAnsi="Arial" w:cs="Arial"/>
                <w:noProof/>
                <w:webHidden/>
                <w:sz w:val="24"/>
                <w:szCs w:val="24"/>
              </w:rPr>
              <w:fldChar w:fldCharType="end"/>
            </w:r>
          </w:hyperlink>
        </w:p>
        <w:p w14:paraId="63D2F544" w14:textId="430FFB47"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1" w:history="1">
            <w:r w:rsidRPr="00DF4EBD">
              <w:rPr>
                <w:rStyle w:val="Hyperlink"/>
                <w:rFonts w:ascii="Arial" w:hAnsi="Arial" w:cs="Arial"/>
                <w:noProof/>
                <w:sz w:val="24"/>
                <w:szCs w:val="24"/>
              </w:rPr>
              <w:t>Competitive Rivalry – Very High</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_Toc235135121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21</w:t>
            </w:r>
            <w:r w:rsidRPr="00DF4EBD">
              <w:rPr>
                <w:rFonts w:ascii="Arial" w:hAnsi="Arial" w:cs="Arial"/>
                <w:noProof/>
                <w:webHidden/>
                <w:sz w:val="24"/>
                <w:szCs w:val="24"/>
              </w:rPr>
              <w:fldChar w:fldCharType="end"/>
            </w:r>
          </w:hyperlink>
        </w:p>
        <w:p w14:paraId="2F181E0D" w14:textId="2A1EDD1E"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2" w:history="1">
            <w:r w:rsidRPr="00DF4EBD">
              <w:rPr>
                <w:rStyle w:val="Hyperlink"/>
                <w:rFonts w:ascii="Arial" w:hAnsi="Arial" w:cs="Arial"/>
                <w:noProof/>
                <w:sz w:val="24"/>
                <w:szCs w:val="24"/>
              </w:rPr>
              <w:t>Why Differentiation is the Most Appropriate Strategy</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_Toc235135122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21</w:t>
            </w:r>
            <w:r w:rsidRPr="00DF4EBD">
              <w:rPr>
                <w:rFonts w:ascii="Arial" w:hAnsi="Arial" w:cs="Arial"/>
                <w:noProof/>
                <w:webHidden/>
                <w:sz w:val="24"/>
                <w:szCs w:val="24"/>
              </w:rPr>
              <w:fldChar w:fldCharType="end"/>
            </w:r>
          </w:hyperlink>
        </w:p>
        <w:p w14:paraId="4B45A539" w14:textId="3F4CDF77"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3" w:history="1">
            <w:r w:rsidRPr="00DF4EBD">
              <w:rPr>
                <w:rStyle w:val="Hyperlink"/>
                <w:rFonts w:ascii="Arial" w:hAnsi="Arial" w:cs="Arial"/>
                <w:noProof/>
                <w:sz w:val="24"/>
                <w:szCs w:val="24"/>
              </w:rPr>
              <w:t>Real-World Evidence Supporting the Strategy</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_Toc235135123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22</w:t>
            </w:r>
            <w:r w:rsidRPr="00DF4EBD">
              <w:rPr>
                <w:rFonts w:ascii="Arial" w:hAnsi="Arial" w:cs="Arial"/>
                <w:noProof/>
                <w:webHidden/>
                <w:sz w:val="24"/>
                <w:szCs w:val="24"/>
              </w:rPr>
              <w:fldChar w:fldCharType="end"/>
            </w:r>
          </w:hyperlink>
        </w:p>
        <w:p w14:paraId="49E06701" w14:textId="5849ECEB"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4" w:history="1">
            <w:r w:rsidRPr="00DF4EBD">
              <w:rPr>
                <w:rStyle w:val="Hyperlink"/>
                <w:rFonts w:ascii="Arial" w:hAnsi="Arial" w:cs="Arial"/>
                <w:noProof/>
                <w:sz w:val="24"/>
                <w:szCs w:val="24"/>
              </w:rPr>
              <w:t>Potential Implementation Challenges and Mitigation Strategies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_Toc235135124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23</w:t>
            </w:r>
            <w:r w:rsidRPr="00DF4EBD">
              <w:rPr>
                <w:rFonts w:ascii="Arial" w:hAnsi="Arial" w:cs="Arial"/>
                <w:noProof/>
                <w:webHidden/>
                <w:sz w:val="24"/>
                <w:szCs w:val="24"/>
              </w:rPr>
              <w:fldChar w:fldCharType="end"/>
            </w:r>
          </w:hyperlink>
        </w:p>
        <w:p w14:paraId="40DC6F66" w14:textId="16D8FEFC"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5" w:history="1">
            <w:r w:rsidRPr="00DF4EBD">
              <w:rPr>
                <w:rStyle w:val="Hyperlink"/>
                <w:rFonts w:ascii="Arial" w:hAnsi="Arial" w:cs="Arial"/>
                <w:noProof/>
                <w:sz w:val="24"/>
                <w:szCs w:val="24"/>
              </w:rPr>
              <w:t>REFLECTIVE ACCOUNT USING GIBBS' REFLECTIVE CYCLE</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_Toc235135125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24</w:t>
            </w:r>
            <w:r w:rsidRPr="00DF4EBD">
              <w:rPr>
                <w:rFonts w:ascii="Arial" w:hAnsi="Arial" w:cs="Arial"/>
                <w:noProof/>
                <w:webHidden/>
                <w:sz w:val="24"/>
                <w:szCs w:val="24"/>
              </w:rPr>
              <w:fldChar w:fldCharType="end"/>
            </w:r>
          </w:hyperlink>
        </w:p>
        <w:p w14:paraId="63AA7452" w14:textId="22B2A12B"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6" w:history="1">
            <w:r w:rsidRPr="00DF4EBD">
              <w:rPr>
                <w:rStyle w:val="Hyperlink"/>
                <w:rFonts w:ascii="Arial" w:hAnsi="Arial" w:cs="Arial"/>
                <w:noProof/>
                <w:sz w:val="24"/>
                <w:szCs w:val="24"/>
              </w:rPr>
              <w:t>Description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_Toc235135126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24</w:t>
            </w:r>
            <w:r w:rsidRPr="00DF4EBD">
              <w:rPr>
                <w:rFonts w:ascii="Arial" w:hAnsi="Arial" w:cs="Arial"/>
                <w:noProof/>
                <w:webHidden/>
                <w:sz w:val="24"/>
                <w:szCs w:val="24"/>
              </w:rPr>
              <w:fldChar w:fldCharType="end"/>
            </w:r>
          </w:hyperlink>
        </w:p>
        <w:p w14:paraId="1D3D4695" w14:textId="0A7A5E66"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7" w:history="1">
            <w:r w:rsidRPr="00DF4EBD">
              <w:rPr>
                <w:rStyle w:val="Hyperlink"/>
                <w:rFonts w:ascii="Arial" w:hAnsi="Arial" w:cs="Arial"/>
                <w:noProof/>
                <w:sz w:val="24"/>
                <w:szCs w:val="24"/>
              </w:rPr>
              <w:t>Feelings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_Toc235135127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25</w:t>
            </w:r>
            <w:r w:rsidRPr="00DF4EBD">
              <w:rPr>
                <w:rFonts w:ascii="Arial" w:hAnsi="Arial" w:cs="Arial"/>
                <w:noProof/>
                <w:webHidden/>
                <w:sz w:val="24"/>
                <w:szCs w:val="24"/>
              </w:rPr>
              <w:fldChar w:fldCharType="end"/>
            </w:r>
          </w:hyperlink>
        </w:p>
        <w:p w14:paraId="52C97EF8" w14:textId="4FFF63A3"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8" w:history="1">
            <w:r w:rsidRPr="00DF4EBD">
              <w:rPr>
                <w:rStyle w:val="Hyperlink"/>
                <w:rFonts w:ascii="Arial" w:hAnsi="Arial" w:cs="Arial"/>
                <w:noProof/>
                <w:sz w:val="24"/>
                <w:szCs w:val="24"/>
              </w:rPr>
              <w:t>Evaluation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_Toc235135128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25</w:t>
            </w:r>
            <w:r w:rsidRPr="00DF4EBD">
              <w:rPr>
                <w:rFonts w:ascii="Arial" w:hAnsi="Arial" w:cs="Arial"/>
                <w:noProof/>
                <w:webHidden/>
                <w:sz w:val="24"/>
                <w:szCs w:val="24"/>
              </w:rPr>
              <w:fldChar w:fldCharType="end"/>
            </w:r>
          </w:hyperlink>
        </w:p>
        <w:p w14:paraId="1718DCD1" w14:textId="3997070F"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29" w:history="1">
            <w:r w:rsidRPr="00DF4EBD">
              <w:rPr>
                <w:rStyle w:val="Hyperlink"/>
                <w:rFonts w:ascii="Arial" w:hAnsi="Arial" w:cs="Arial"/>
                <w:noProof/>
                <w:sz w:val="24"/>
                <w:szCs w:val="24"/>
              </w:rPr>
              <w:t>Conclusion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_Toc235135129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26</w:t>
            </w:r>
            <w:r w:rsidRPr="00DF4EBD">
              <w:rPr>
                <w:rFonts w:ascii="Arial" w:hAnsi="Arial" w:cs="Arial"/>
                <w:noProof/>
                <w:webHidden/>
                <w:sz w:val="24"/>
                <w:szCs w:val="24"/>
              </w:rPr>
              <w:fldChar w:fldCharType="end"/>
            </w:r>
          </w:hyperlink>
        </w:p>
        <w:p w14:paraId="2FDC06E8" w14:textId="1DA4E115" w:rsidR="00494D48" w:rsidRPr="00DF4EBD" w:rsidRDefault="00494D48">
          <w:pPr>
            <w:pStyle w:val="TOC1"/>
            <w:tabs>
              <w:tab w:val="right" w:leader="dot" w:pos="9016"/>
            </w:tabs>
            <w:rPr>
              <w:rFonts w:ascii="Arial" w:hAnsi="Arial" w:cs="Arial"/>
              <w:noProof/>
              <w:kern w:val="2"/>
              <w:sz w:val="28"/>
              <w:szCs w:val="28"/>
              <w:lang w:val="en-GB" w:eastAsia="en-GB"/>
              <w14:ligatures w14:val="standardContextual"/>
            </w:rPr>
          </w:pPr>
          <w:hyperlink w:anchor="_Toc235135130" w:history="1">
            <w:r w:rsidRPr="00DF4EBD">
              <w:rPr>
                <w:rStyle w:val="Hyperlink"/>
                <w:rFonts w:ascii="Arial" w:hAnsi="Arial" w:cs="Arial"/>
                <w:noProof/>
                <w:sz w:val="24"/>
                <w:szCs w:val="24"/>
              </w:rPr>
              <w:t>Action Plan</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_Toc235135130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27</w:t>
            </w:r>
            <w:r w:rsidRPr="00DF4EBD">
              <w:rPr>
                <w:rFonts w:ascii="Arial" w:hAnsi="Arial" w:cs="Arial"/>
                <w:noProof/>
                <w:webHidden/>
                <w:sz w:val="24"/>
                <w:szCs w:val="24"/>
              </w:rPr>
              <w:fldChar w:fldCharType="end"/>
            </w:r>
          </w:hyperlink>
        </w:p>
        <w:p w14:paraId="2701C8FA" w14:textId="2DEA29D2" w:rsidR="00494D48" w:rsidRDefault="00494D48">
          <w:pPr>
            <w:pStyle w:val="TOC1"/>
            <w:tabs>
              <w:tab w:val="right" w:leader="dot" w:pos="9016"/>
            </w:tabs>
            <w:rPr>
              <w:rFonts w:cstheme="minorBidi"/>
              <w:noProof/>
              <w:kern w:val="2"/>
              <w:sz w:val="24"/>
              <w:szCs w:val="24"/>
              <w:lang w:val="en-GB" w:eastAsia="en-GB"/>
              <w14:ligatures w14:val="standardContextual"/>
            </w:rPr>
          </w:pPr>
          <w:hyperlink w:anchor="_Toc235135131" w:history="1">
            <w:r w:rsidRPr="00DF4EBD">
              <w:rPr>
                <w:rStyle w:val="Hyperlink"/>
                <w:rFonts w:ascii="Arial" w:hAnsi="Arial" w:cs="Arial"/>
                <w:noProof/>
                <w:sz w:val="24"/>
                <w:szCs w:val="24"/>
              </w:rPr>
              <w:t>REFERENCES</w:t>
            </w:r>
            <w:r w:rsidRPr="00DF4EBD">
              <w:rPr>
                <w:rFonts w:ascii="Arial" w:hAnsi="Arial" w:cs="Arial"/>
                <w:noProof/>
                <w:webHidden/>
                <w:sz w:val="24"/>
                <w:szCs w:val="24"/>
              </w:rPr>
              <w:tab/>
            </w:r>
            <w:r w:rsidRPr="00DF4EBD">
              <w:rPr>
                <w:rFonts w:ascii="Arial" w:hAnsi="Arial" w:cs="Arial"/>
                <w:noProof/>
                <w:webHidden/>
                <w:sz w:val="24"/>
                <w:szCs w:val="24"/>
              </w:rPr>
              <w:fldChar w:fldCharType="begin"/>
            </w:r>
            <w:r w:rsidRPr="00DF4EBD">
              <w:rPr>
                <w:rFonts w:ascii="Arial" w:hAnsi="Arial" w:cs="Arial"/>
                <w:noProof/>
                <w:webHidden/>
                <w:sz w:val="24"/>
                <w:szCs w:val="24"/>
              </w:rPr>
              <w:instrText xml:space="preserve"> PAGEREF _Toc235135131 \h </w:instrText>
            </w:r>
            <w:r w:rsidRPr="00DF4EBD">
              <w:rPr>
                <w:rFonts w:ascii="Arial" w:hAnsi="Arial" w:cs="Arial"/>
                <w:noProof/>
                <w:webHidden/>
                <w:sz w:val="24"/>
                <w:szCs w:val="24"/>
              </w:rPr>
            </w:r>
            <w:r w:rsidRPr="00DF4EBD">
              <w:rPr>
                <w:rFonts w:ascii="Arial" w:hAnsi="Arial" w:cs="Arial"/>
                <w:noProof/>
                <w:webHidden/>
                <w:sz w:val="24"/>
                <w:szCs w:val="24"/>
              </w:rPr>
              <w:fldChar w:fldCharType="separate"/>
            </w:r>
            <w:r w:rsidRPr="00DF4EBD">
              <w:rPr>
                <w:rFonts w:ascii="Arial" w:hAnsi="Arial" w:cs="Arial"/>
                <w:noProof/>
                <w:webHidden/>
                <w:sz w:val="24"/>
                <w:szCs w:val="24"/>
              </w:rPr>
              <w:t>28</w:t>
            </w:r>
            <w:r w:rsidRPr="00DF4EBD">
              <w:rPr>
                <w:rFonts w:ascii="Arial" w:hAnsi="Arial" w:cs="Arial"/>
                <w:noProof/>
                <w:webHidden/>
                <w:sz w:val="24"/>
                <w:szCs w:val="24"/>
              </w:rPr>
              <w:fldChar w:fldCharType="end"/>
            </w:r>
          </w:hyperlink>
        </w:p>
        <w:p w14:paraId="1B639C35" w14:textId="0A87D85E" w:rsidR="004A1044" w:rsidRDefault="004A1044" w:rsidP="00E72B65">
          <w:pPr>
            <w:spacing w:line="360" w:lineRule="auto"/>
            <w:jc w:val="both"/>
          </w:pPr>
          <w:r w:rsidRPr="00E72B65">
            <w:rPr>
              <w:rFonts w:ascii="Arial" w:hAnsi="Arial" w:cs="Arial"/>
              <w:bCs/>
              <w:noProof/>
            </w:rPr>
            <w:fldChar w:fldCharType="end"/>
          </w:r>
        </w:p>
      </w:sdtContent>
    </w:sdt>
    <w:p w14:paraId="7861F7A4" w14:textId="77777777" w:rsidR="004F0D70" w:rsidRDefault="004F0D70">
      <w:pPr>
        <w:suppressAutoHyphens w:val="0"/>
        <w:autoSpaceDN/>
        <w:spacing w:line="278" w:lineRule="auto"/>
        <w:rPr>
          <w:rFonts w:ascii="Arial" w:hAnsi="Arial" w:cs="Arial"/>
          <w:b/>
          <w:bCs/>
          <w:u w:val="single"/>
        </w:rPr>
      </w:pPr>
      <w:r>
        <w:rPr>
          <w:rFonts w:ascii="Arial" w:hAnsi="Arial" w:cs="Arial"/>
          <w:b/>
          <w:bCs/>
          <w:u w:val="single"/>
        </w:rPr>
        <w:br w:type="page"/>
      </w:r>
    </w:p>
    <w:p w14:paraId="7FCF116F" w14:textId="0138378A" w:rsidR="00796258" w:rsidRPr="00796258" w:rsidRDefault="0056130D" w:rsidP="00D037D9">
      <w:pPr>
        <w:pStyle w:val="Heading1"/>
      </w:pPr>
      <w:bookmarkStart w:id="0" w:name="_Toc235135084"/>
      <w:r w:rsidRPr="007F7F35">
        <w:lastRenderedPageBreak/>
        <w:t>INTRODUCTION</w:t>
      </w:r>
      <w:bookmarkEnd w:id="0"/>
      <w:r w:rsidRPr="007F7F35">
        <w:t xml:space="preserve"> </w:t>
      </w:r>
    </w:p>
    <w:p w14:paraId="27DFE742" w14:textId="200921FB" w:rsidR="00782867" w:rsidRPr="00782867" w:rsidRDefault="00782867" w:rsidP="00190383">
      <w:pPr>
        <w:spacing w:line="360" w:lineRule="auto"/>
        <w:jc w:val="both"/>
        <w:rPr>
          <w:rFonts w:ascii="Arial" w:hAnsi="Arial" w:cs="Arial"/>
        </w:rPr>
      </w:pPr>
      <w:r w:rsidRPr="00782867">
        <w:rPr>
          <w:rFonts w:ascii="Arial" w:hAnsi="Arial" w:cs="Arial"/>
        </w:rPr>
        <w:t>Nivea is one of the most established and recognisable skincare brands in the global cosmetics industry</w:t>
      </w:r>
      <w:r w:rsidR="00013F44">
        <w:t xml:space="preserve">, </w:t>
      </w:r>
      <w:r w:rsidRPr="00782867">
        <w:rPr>
          <w:rFonts w:ascii="Arial" w:hAnsi="Arial" w:cs="Arial"/>
        </w:rPr>
        <w:t>with Nivea Crème serving as its flagship product for over a century</w:t>
      </w:r>
      <w:r w:rsidR="00C62EEE">
        <w:rPr>
          <w:rFonts w:ascii="Arial" w:hAnsi="Arial" w:cs="Arial"/>
        </w:rPr>
        <w:t xml:space="preserve"> </w:t>
      </w:r>
      <w:r w:rsidR="00C62EEE" w:rsidRPr="00C62EEE">
        <w:rPr>
          <w:rFonts w:ascii="Arial" w:hAnsi="Arial" w:cs="Arial"/>
        </w:rPr>
        <w:t>(Alberti, 2018)</w:t>
      </w:r>
      <w:r w:rsidRPr="00782867">
        <w:rPr>
          <w:rFonts w:ascii="Arial" w:hAnsi="Arial" w:cs="Arial"/>
        </w:rPr>
        <w:t>. Operating within an increasingly competitive and innovation</w:t>
      </w:r>
      <w:r w:rsidRPr="00782867">
        <w:rPr>
          <w:rFonts w:ascii="Cambria Math" w:hAnsi="Cambria Math" w:cs="Cambria Math"/>
        </w:rPr>
        <w:t>‑</w:t>
      </w:r>
      <w:r w:rsidRPr="00782867">
        <w:rPr>
          <w:rFonts w:ascii="Arial" w:hAnsi="Arial" w:cs="Arial"/>
        </w:rPr>
        <w:t>driven market, the brand faces both significant opportunities and mounting strategic challenges. Shifts in consumer behaviour, the rise of digital</w:t>
      </w:r>
      <w:r w:rsidRPr="00782867">
        <w:rPr>
          <w:rFonts w:ascii="Cambria Math" w:hAnsi="Cambria Math" w:cs="Cambria Math"/>
        </w:rPr>
        <w:t>‑</w:t>
      </w:r>
      <w:r w:rsidRPr="00782867">
        <w:rPr>
          <w:rFonts w:ascii="Arial" w:hAnsi="Arial" w:cs="Arial"/>
        </w:rPr>
        <w:t>first competitors, growing demand for natural and sustainable formulations</w:t>
      </w:r>
      <w:r w:rsidR="003A38A8">
        <w:rPr>
          <w:rFonts w:ascii="Arial" w:hAnsi="Arial" w:cs="Arial"/>
        </w:rPr>
        <w:t xml:space="preserve"> </w:t>
      </w:r>
      <w:r w:rsidR="00A53AAC">
        <w:rPr>
          <w:rFonts w:ascii="Arial" w:hAnsi="Arial" w:cs="Arial"/>
        </w:rPr>
        <w:t>(</w:t>
      </w:r>
      <w:r w:rsidR="00370223">
        <w:rPr>
          <w:rFonts w:ascii="Arial" w:hAnsi="Arial" w:cs="Arial"/>
        </w:rPr>
        <w:t>Fuciu</w:t>
      </w:r>
      <w:r w:rsidR="003A38A8" w:rsidRPr="003A38A8">
        <w:rPr>
          <w:rFonts w:ascii="Arial" w:hAnsi="Arial" w:cs="Arial"/>
        </w:rPr>
        <w:t>, Ș</w:t>
      </w:r>
      <w:r w:rsidR="00370223">
        <w:rPr>
          <w:rFonts w:ascii="Arial" w:hAnsi="Arial" w:cs="Arial"/>
        </w:rPr>
        <w:t>erban</w:t>
      </w:r>
      <w:r w:rsidR="00A53AAC">
        <w:rPr>
          <w:rFonts w:ascii="Arial" w:hAnsi="Arial" w:cs="Arial"/>
        </w:rPr>
        <w:t>,</w:t>
      </w:r>
      <w:r w:rsidR="003A38A8" w:rsidRPr="003A38A8">
        <w:rPr>
          <w:rFonts w:ascii="Arial" w:hAnsi="Arial" w:cs="Arial"/>
        </w:rPr>
        <w:t xml:space="preserve"> 2024</w:t>
      </w:r>
      <w:r w:rsidR="00A53AAC">
        <w:rPr>
          <w:rFonts w:ascii="Arial" w:hAnsi="Arial" w:cs="Arial"/>
        </w:rPr>
        <w:t>)</w:t>
      </w:r>
      <w:r w:rsidRPr="00782867">
        <w:rPr>
          <w:rFonts w:ascii="Arial" w:hAnsi="Arial" w:cs="Arial"/>
        </w:rPr>
        <w:t xml:space="preserve">, and intensifying price competition have all reshaped the competitive landscape in which Nivea must operate. </w:t>
      </w:r>
    </w:p>
    <w:p w14:paraId="44D1CE42" w14:textId="7105D957" w:rsidR="00782867" w:rsidRPr="00782867" w:rsidRDefault="00782867" w:rsidP="00190383">
      <w:pPr>
        <w:spacing w:line="360" w:lineRule="auto"/>
        <w:jc w:val="both"/>
        <w:rPr>
          <w:rFonts w:ascii="Arial" w:hAnsi="Arial" w:cs="Arial"/>
        </w:rPr>
      </w:pPr>
      <w:r w:rsidRPr="00782867">
        <w:rPr>
          <w:rFonts w:ascii="Arial" w:hAnsi="Arial" w:cs="Arial"/>
        </w:rPr>
        <w:t>This report critically evaluates Nivea’s strategic position with a particular focus on Nivea Crème. It examines the internal capabilities and resources that underpin the brand’s performance, as well as the external environmental forces influencing its strategic choices. To achieve this, the analysis draws on established strategic management frameworks, including PESTLE, Porter’s Five Forces, SWOT, and the VRIO model. These tools provide a structured approach to assessing Nivea’s strengths, weaknesses, opportunities, and threats, as well as the competitive pressures shaping the skincare sector.</w:t>
      </w:r>
    </w:p>
    <w:p w14:paraId="2DD23F2D" w14:textId="75CE6887" w:rsidR="00BF7654" w:rsidRPr="00E370A9" w:rsidRDefault="00782867" w:rsidP="00190383">
      <w:pPr>
        <w:spacing w:line="360" w:lineRule="auto"/>
        <w:jc w:val="both"/>
        <w:rPr>
          <w:rFonts w:ascii="Arial" w:hAnsi="Arial" w:cs="Arial"/>
        </w:rPr>
      </w:pPr>
      <w:r w:rsidRPr="00782867">
        <w:rPr>
          <w:rFonts w:ascii="Arial" w:hAnsi="Arial" w:cs="Arial"/>
        </w:rPr>
        <w:t>Based on the insights generated from this analysis, the report proposes strategic recommendations aimed at enhancing Nivea’s competitive advantage. These recommendations focus on opportunities for product innovation, brand repositioning, digital transformation, and sustainability</w:t>
      </w:r>
      <w:r w:rsidRPr="00782867">
        <w:rPr>
          <w:rFonts w:ascii="Cambria Math" w:hAnsi="Cambria Math" w:cs="Cambria Math"/>
        </w:rPr>
        <w:t>‑</w:t>
      </w:r>
      <w:r w:rsidRPr="00782867">
        <w:rPr>
          <w:rFonts w:ascii="Arial" w:hAnsi="Arial" w:cs="Arial"/>
        </w:rPr>
        <w:t>led differentiation. By aligning its strategic direction with evolving market expectations, Nivea can reinforce its position as a trusted global skincare leader while ensuring the continued success of Nivea Crème in a rapidly changing industry.</w:t>
      </w:r>
    </w:p>
    <w:p w14:paraId="5C38B6DC" w14:textId="77777777" w:rsidR="00BF7654" w:rsidRDefault="00BF7654" w:rsidP="00190383">
      <w:pPr>
        <w:suppressAutoHyphens w:val="0"/>
        <w:autoSpaceDN/>
        <w:spacing w:line="278" w:lineRule="auto"/>
        <w:jc w:val="both"/>
        <w:rPr>
          <w:rFonts w:ascii="Arial" w:hAnsi="Arial" w:cs="Arial"/>
          <w:b/>
          <w:bCs/>
        </w:rPr>
      </w:pPr>
      <w:r>
        <w:rPr>
          <w:rFonts w:ascii="Arial" w:hAnsi="Arial" w:cs="Arial"/>
          <w:b/>
          <w:bCs/>
        </w:rPr>
        <w:br w:type="page"/>
      </w:r>
    </w:p>
    <w:p w14:paraId="13D59BCD" w14:textId="7B5BC10D" w:rsidR="004B64BF" w:rsidRPr="007F7F35" w:rsidRDefault="0056130D" w:rsidP="00D037D9">
      <w:pPr>
        <w:pStyle w:val="Heading1"/>
      </w:pPr>
      <w:bookmarkStart w:id="1" w:name="_Toc235135085"/>
      <w:r w:rsidRPr="007F7F35">
        <w:lastRenderedPageBreak/>
        <w:t>CURRENT SITUATION</w:t>
      </w:r>
      <w:bookmarkEnd w:id="1"/>
    </w:p>
    <w:p w14:paraId="2E397123" w14:textId="77777777" w:rsidR="00BF7654" w:rsidRPr="007F7F35" w:rsidRDefault="00BF7654" w:rsidP="00D037D9">
      <w:pPr>
        <w:pStyle w:val="Heading1"/>
      </w:pPr>
      <w:bookmarkStart w:id="2" w:name="_Toc235135086"/>
      <w:r w:rsidRPr="007F7F35">
        <w:t>Vision</w:t>
      </w:r>
      <w:bookmarkEnd w:id="2"/>
    </w:p>
    <w:p w14:paraId="238F0177" w14:textId="120024AF" w:rsidR="00BF7654" w:rsidRPr="00BF7654" w:rsidRDefault="00BF7654" w:rsidP="00190383">
      <w:pPr>
        <w:spacing w:line="360" w:lineRule="auto"/>
        <w:jc w:val="both"/>
        <w:rPr>
          <w:rFonts w:ascii="Arial" w:hAnsi="Arial" w:cs="Arial"/>
        </w:rPr>
      </w:pPr>
      <w:r w:rsidRPr="00BF7654">
        <w:rPr>
          <w:rFonts w:ascii="Arial" w:hAnsi="Arial" w:cs="Arial"/>
        </w:rPr>
        <w:t>Beiersdorf, the parent company of Nivea, articulates a long</w:t>
      </w:r>
      <w:r w:rsidRPr="00BF7654">
        <w:rPr>
          <w:rFonts w:ascii="Cambria Math" w:hAnsi="Cambria Math" w:cs="Cambria Math"/>
        </w:rPr>
        <w:t>‑</w:t>
      </w:r>
      <w:r w:rsidRPr="00BF7654">
        <w:rPr>
          <w:rFonts w:ascii="Arial" w:hAnsi="Arial" w:cs="Arial"/>
        </w:rPr>
        <w:t>term vision centred on “care beyond skin”—a commitment to delivering high</w:t>
      </w:r>
      <w:r w:rsidRPr="00BF7654">
        <w:rPr>
          <w:rFonts w:ascii="Cambria Math" w:hAnsi="Cambria Math" w:cs="Cambria Math"/>
        </w:rPr>
        <w:t>‑</w:t>
      </w:r>
      <w:r w:rsidRPr="00BF7654">
        <w:rPr>
          <w:rFonts w:ascii="Arial" w:hAnsi="Arial" w:cs="Arial"/>
        </w:rPr>
        <w:t>quality skincare solutions that improve consumers’ wellbeing globally. The vision emphasises trust, scientific expertise, and long</w:t>
      </w:r>
      <w:r w:rsidRPr="00BF7654">
        <w:rPr>
          <w:rFonts w:ascii="Cambria Math" w:hAnsi="Cambria Math" w:cs="Cambria Math"/>
        </w:rPr>
        <w:t>‑</w:t>
      </w:r>
      <w:r w:rsidRPr="00BF7654">
        <w:rPr>
          <w:rFonts w:ascii="Arial" w:hAnsi="Arial" w:cs="Arial"/>
        </w:rPr>
        <w:t>term brand loyalty</w:t>
      </w:r>
      <w:r w:rsidR="00DD3187" w:rsidRPr="00DD3187">
        <w:rPr>
          <w:rFonts w:ascii="Arial" w:hAnsi="Arial" w:cs="Arial"/>
        </w:rPr>
        <w:t xml:space="preserve"> </w:t>
      </w:r>
      <w:r w:rsidR="007044CE">
        <w:rPr>
          <w:rFonts w:ascii="Arial" w:hAnsi="Arial" w:cs="Arial"/>
        </w:rPr>
        <w:t>(</w:t>
      </w:r>
      <w:r w:rsidR="00DD3187" w:rsidRPr="00E77993">
        <w:rPr>
          <w:rFonts w:ascii="Arial" w:hAnsi="Arial" w:cs="Arial"/>
        </w:rPr>
        <w:t>Amalancei, 2013)</w:t>
      </w:r>
      <w:r w:rsidRPr="00BF7654">
        <w:rPr>
          <w:rFonts w:ascii="Arial" w:hAnsi="Arial" w:cs="Arial"/>
        </w:rPr>
        <w:t>.</w:t>
      </w:r>
    </w:p>
    <w:p w14:paraId="40380015" w14:textId="77777777" w:rsidR="00BF7654" w:rsidRPr="00BF7654" w:rsidRDefault="00BF7654" w:rsidP="00D037D9">
      <w:pPr>
        <w:pStyle w:val="Heading1"/>
      </w:pPr>
      <w:bookmarkStart w:id="3" w:name="_Toc235135087"/>
      <w:r w:rsidRPr="00BF7654">
        <w:t>Mission</w:t>
      </w:r>
      <w:bookmarkEnd w:id="3"/>
    </w:p>
    <w:p w14:paraId="122B2281" w14:textId="229B3F46" w:rsidR="00BF7654" w:rsidRPr="00BF7654" w:rsidRDefault="00BF7654" w:rsidP="00190383">
      <w:pPr>
        <w:spacing w:line="360" w:lineRule="auto"/>
        <w:jc w:val="both"/>
        <w:rPr>
          <w:rFonts w:ascii="Arial" w:hAnsi="Arial" w:cs="Arial"/>
        </w:rPr>
      </w:pPr>
      <w:r w:rsidRPr="00BF7654">
        <w:rPr>
          <w:rFonts w:ascii="Arial" w:hAnsi="Arial" w:cs="Arial"/>
        </w:rPr>
        <w:t>Beiersdorf’s mission is to develop innovative, dermatologically tested skincare products that meet diverse consumer needs across global markets. For Nivea specifically, the mission focuses on providing accessible, reliable, and gentle skincare for everyday use, reinforcing its identity as a family</w:t>
      </w:r>
      <w:r w:rsidRPr="00BF7654">
        <w:rPr>
          <w:rFonts w:ascii="Cambria Math" w:hAnsi="Cambria Math" w:cs="Cambria Math"/>
        </w:rPr>
        <w:t>‑</w:t>
      </w:r>
      <w:r w:rsidRPr="00BF7654">
        <w:rPr>
          <w:rFonts w:ascii="Arial" w:hAnsi="Arial" w:cs="Arial"/>
        </w:rPr>
        <w:t>oriented, mass</w:t>
      </w:r>
      <w:r w:rsidRPr="00BF7654">
        <w:rPr>
          <w:rFonts w:ascii="Cambria Math" w:hAnsi="Cambria Math" w:cs="Cambria Math"/>
        </w:rPr>
        <w:t>‑</w:t>
      </w:r>
      <w:r w:rsidRPr="00BF7654">
        <w:rPr>
          <w:rFonts w:ascii="Arial" w:hAnsi="Arial" w:cs="Arial"/>
        </w:rPr>
        <w:t>market brand</w:t>
      </w:r>
      <w:r w:rsidR="00BD749C" w:rsidRPr="00BD749C">
        <w:t xml:space="preserve"> </w:t>
      </w:r>
      <w:r w:rsidR="00BD749C">
        <w:t>(</w:t>
      </w:r>
      <w:r w:rsidR="00BD749C" w:rsidRPr="00BD749C">
        <w:rPr>
          <w:rFonts w:ascii="Arial" w:hAnsi="Arial" w:cs="Arial"/>
        </w:rPr>
        <w:t>ARRUDA, 2013</w:t>
      </w:r>
      <w:r w:rsidR="00BD749C">
        <w:rPr>
          <w:rFonts w:ascii="Arial" w:hAnsi="Arial" w:cs="Arial"/>
        </w:rPr>
        <w:t>)</w:t>
      </w:r>
      <w:r w:rsidRPr="00BF7654">
        <w:rPr>
          <w:rFonts w:ascii="Arial" w:hAnsi="Arial" w:cs="Arial"/>
        </w:rPr>
        <w:t>.</w:t>
      </w:r>
    </w:p>
    <w:p w14:paraId="1BD76783" w14:textId="77777777" w:rsidR="00BF7654" w:rsidRPr="00BF7654" w:rsidRDefault="00BF7654" w:rsidP="00D037D9">
      <w:pPr>
        <w:pStyle w:val="Heading1"/>
      </w:pPr>
      <w:bookmarkStart w:id="4" w:name="_Toc235135088"/>
      <w:r w:rsidRPr="00BF7654">
        <w:t>Strategic Objectives</w:t>
      </w:r>
      <w:bookmarkEnd w:id="4"/>
    </w:p>
    <w:p w14:paraId="006E88A4" w14:textId="5589EE7E" w:rsidR="00BF7654" w:rsidRPr="00BD749C" w:rsidRDefault="00BF7654" w:rsidP="00190383">
      <w:pPr>
        <w:spacing w:line="360" w:lineRule="auto"/>
        <w:jc w:val="both"/>
        <w:rPr>
          <w:rFonts w:ascii="Arial" w:hAnsi="Arial" w:cs="Arial"/>
        </w:rPr>
      </w:pPr>
      <w:r w:rsidRPr="00BD749C">
        <w:rPr>
          <w:rFonts w:ascii="Arial" w:hAnsi="Arial" w:cs="Arial"/>
        </w:rPr>
        <w:t>Beiersdorf’s strategic objectives include:</w:t>
      </w:r>
    </w:p>
    <w:p w14:paraId="6B76A52F" w14:textId="3AF0E1CC" w:rsidR="00BF7654" w:rsidRP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Strengthening its position as a global leader in skincare</w:t>
      </w:r>
      <w:r w:rsidR="00327514">
        <w:rPr>
          <w:rFonts w:ascii="Arial" w:hAnsi="Arial" w:cs="Arial"/>
        </w:rPr>
        <w:t xml:space="preserve"> by focusing </w:t>
      </w:r>
      <w:r w:rsidR="00674DD0">
        <w:rPr>
          <w:rFonts w:ascii="Arial" w:hAnsi="Arial" w:cs="Arial"/>
        </w:rPr>
        <w:t xml:space="preserve">on skincare products </w:t>
      </w:r>
      <w:r w:rsidR="00CD6F3B">
        <w:rPr>
          <w:rFonts w:ascii="Arial" w:hAnsi="Arial" w:cs="Arial"/>
        </w:rPr>
        <w:t>that</w:t>
      </w:r>
      <w:r w:rsidR="00674DD0">
        <w:rPr>
          <w:rFonts w:ascii="Arial" w:hAnsi="Arial" w:cs="Arial"/>
        </w:rPr>
        <w:t xml:space="preserve"> </w:t>
      </w:r>
      <w:r w:rsidR="002C4549">
        <w:rPr>
          <w:rFonts w:ascii="Arial" w:hAnsi="Arial" w:cs="Arial"/>
        </w:rPr>
        <w:t xml:space="preserve">are </w:t>
      </w:r>
      <w:r w:rsidR="00215166">
        <w:rPr>
          <w:rFonts w:ascii="Arial" w:hAnsi="Arial" w:cs="Arial"/>
        </w:rPr>
        <w:t>simpler</w:t>
      </w:r>
      <w:r w:rsidR="002C4549">
        <w:rPr>
          <w:rFonts w:ascii="Arial" w:hAnsi="Arial" w:cs="Arial"/>
        </w:rPr>
        <w:t xml:space="preserve"> to</w:t>
      </w:r>
      <w:r w:rsidR="00674DD0">
        <w:rPr>
          <w:rFonts w:ascii="Arial" w:hAnsi="Arial" w:cs="Arial"/>
        </w:rPr>
        <w:t xml:space="preserve"> market</w:t>
      </w:r>
      <w:r w:rsidR="002C4549">
        <w:rPr>
          <w:rFonts w:ascii="Arial" w:hAnsi="Arial" w:cs="Arial"/>
        </w:rPr>
        <w:t xml:space="preserve"> </w:t>
      </w:r>
      <w:r w:rsidR="00215166">
        <w:rPr>
          <w:rFonts w:ascii="Arial" w:hAnsi="Arial" w:cs="Arial"/>
        </w:rPr>
        <w:t xml:space="preserve">globally </w:t>
      </w:r>
      <w:r w:rsidR="00215166" w:rsidRPr="00215166">
        <w:rPr>
          <w:rFonts w:ascii="Arial" w:hAnsi="Arial" w:cs="Arial"/>
        </w:rPr>
        <w:t>(Alberti, 2018).</w:t>
      </w:r>
    </w:p>
    <w:p w14:paraId="7D4659A8" w14:textId="36D2D9BD" w:rsidR="00BF7654" w:rsidRP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Driving sustainable and profitable growth across all product categories.</w:t>
      </w:r>
    </w:p>
    <w:p w14:paraId="556DAB4C" w14:textId="265317DB" w:rsidR="00BF7654" w:rsidRP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Expanding market share in emerging economies</w:t>
      </w:r>
      <w:r w:rsidR="00551A64">
        <w:rPr>
          <w:rFonts w:ascii="Arial" w:hAnsi="Arial" w:cs="Arial"/>
        </w:rPr>
        <w:t xml:space="preserve"> like hair care products</w:t>
      </w:r>
      <w:r w:rsidRPr="00BF7654">
        <w:rPr>
          <w:rFonts w:ascii="Arial" w:hAnsi="Arial" w:cs="Arial"/>
        </w:rPr>
        <w:t>.</w:t>
      </w:r>
    </w:p>
    <w:p w14:paraId="2FA167EB" w14:textId="3C5F43A3" w:rsidR="00BF7654" w:rsidRP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Accelerating digital transformation and e</w:t>
      </w:r>
      <w:r w:rsidRPr="00BF7654">
        <w:rPr>
          <w:rFonts w:ascii="Cambria Math" w:hAnsi="Cambria Math" w:cs="Cambria Math"/>
        </w:rPr>
        <w:t>‑</w:t>
      </w:r>
      <w:r w:rsidRPr="00BF7654">
        <w:rPr>
          <w:rFonts w:ascii="Arial" w:hAnsi="Arial" w:cs="Arial"/>
        </w:rPr>
        <w:t>commerce capabilities</w:t>
      </w:r>
      <w:r w:rsidR="00A73870">
        <w:rPr>
          <w:rFonts w:ascii="Arial" w:hAnsi="Arial" w:cs="Arial"/>
        </w:rPr>
        <w:t>,</w:t>
      </w:r>
      <w:r w:rsidR="00C149B4">
        <w:rPr>
          <w:rFonts w:ascii="Arial" w:hAnsi="Arial" w:cs="Arial"/>
        </w:rPr>
        <w:t xml:space="preserve"> </w:t>
      </w:r>
      <w:r w:rsidR="00A73870">
        <w:rPr>
          <w:rFonts w:ascii="Arial" w:hAnsi="Arial" w:cs="Arial"/>
        </w:rPr>
        <w:t>identifying trends</w:t>
      </w:r>
      <w:r w:rsidR="00F77422">
        <w:rPr>
          <w:rFonts w:ascii="Arial" w:hAnsi="Arial" w:cs="Arial"/>
        </w:rPr>
        <w:t xml:space="preserve"> through </w:t>
      </w:r>
      <w:r w:rsidR="00C149B4">
        <w:rPr>
          <w:rFonts w:ascii="Arial" w:hAnsi="Arial" w:cs="Arial"/>
        </w:rPr>
        <w:t>social media</w:t>
      </w:r>
      <w:r w:rsidR="00684F9D" w:rsidRPr="00684F9D">
        <w:t xml:space="preserve"> </w:t>
      </w:r>
      <w:r w:rsidR="00684F9D">
        <w:t>(</w:t>
      </w:r>
      <w:r w:rsidR="00684F9D" w:rsidRPr="00684F9D">
        <w:rPr>
          <w:rFonts w:ascii="Arial" w:hAnsi="Arial" w:cs="Arial"/>
        </w:rPr>
        <w:t>IEEE Systems and Information Engineering Design Symposium Charlottesville, 2018)</w:t>
      </w:r>
      <w:r w:rsidRPr="00BF7654">
        <w:rPr>
          <w:rFonts w:ascii="Arial" w:hAnsi="Arial" w:cs="Arial"/>
        </w:rPr>
        <w:t>.</w:t>
      </w:r>
    </w:p>
    <w:p w14:paraId="04F5BF61" w14:textId="4264BA75" w:rsidR="00BF7654" w:rsidRP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Enhancing sustainability through responsible sourcing, reduced emissions, and recyclable packaging.</w:t>
      </w:r>
    </w:p>
    <w:p w14:paraId="550768D7" w14:textId="5D72ABD7" w:rsidR="00BF7654" w:rsidRDefault="00BF7654" w:rsidP="00190383">
      <w:pPr>
        <w:pStyle w:val="ListParagraph"/>
        <w:numPr>
          <w:ilvl w:val="0"/>
          <w:numId w:val="3"/>
        </w:numPr>
        <w:spacing w:line="360" w:lineRule="auto"/>
        <w:jc w:val="both"/>
        <w:rPr>
          <w:rFonts w:ascii="Arial" w:hAnsi="Arial" w:cs="Arial"/>
        </w:rPr>
      </w:pPr>
      <w:r w:rsidRPr="00BF7654">
        <w:rPr>
          <w:rFonts w:ascii="Arial" w:hAnsi="Arial" w:cs="Arial"/>
        </w:rPr>
        <w:t>Investing in R&amp;D to support product innovation and dermatological expertise</w:t>
      </w:r>
      <w:r w:rsidR="00C149B4">
        <w:rPr>
          <w:rFonts w:ascii="Arial" w:hAnsi="Arial" w:cs="Arial"/>
        </w:rPr>
        <w:t xml:space="preserve"> </w:t>
      </w:r>
      <w:r w:rsidR="00D472EE" w:rsidRPr="00D472EE">
        <w:rPr>
          <w:rFonts w:ascii="Arial" w:hAnsi="Arial" w:cs="Arial"/>
        </w:rPr>
        <w:t>(Alberti, 2018).</w:t>
      </w:r>
    </w:p>
    <w:p w14:paraId="26019CFA" w14:textId="77777777" w:rsidR="00797064" w:rsidRPr="00BF7654" w:rsidRDefault="00797064" w:rsidP="00190383">
      <w:pPr>
        <w:pStyle w:val="ListParagraph"/>
        <w:numPr>
          <w:ilvl w:val="0"/>
          <w:numId w:val="3"/>
        </w:numPr>
        <w:spacing w:line="360" w:lineRule="auto"/>
        <w:jc w:val="both"/>
        <w:rPr>
          <w:rFonts w:ascii="Arial" w:hAnsi="Arial" w:cs="Arial"/>
        </w:rPr>
      </w:pPr>
    </w:p>
    <w:p w14:paraId="7C75D9A1" w14:textId="77777777" w:rsidR="00797064" w:rsidRDefault="00797064">
      <w:pPr>
        <w:suppressAutoHyphens w:val="0"/>
        <w:autoSpaceDN/>
        <w:spacing w:line="278" w:lineRule="auto"/>
        <w:rPr>
          <w:rFonts w:ascii="Arial" w:eastAsiaTheme="majorEastAsia" w:hAnsi="Arial" w:cstheme="majorBidi"/>
          <w:b/>
          <w:color w:val="000000" w:themeColor="text1"/>
          <w:szCs w:val="40"/>
          <w:u w:val="single"/>
        </w:rPr>
      </w:pPr>
      <w:r>
        <w:br w:type="page"/>
      </w:r>
    </w:p>
    <w:p w14:paraId="184DD201" w14:textId="7B36B2CA" w:rsidR="00BF7654" w:rsidRPr="00BF7654" w:rsidRDefault="00BF7654" w:rsidP="00D037D9">
      <w:pPr>
        <w:pStyle w:val="Heading1"/>
      </w:pPr>
      <w:bookmarkStart w:id="5" w:name="_Toc235135089"/>
      <w:r w:rsidRPr="00BF7654">
        <w:lastRenderedPageBreak/>
        <w:t>Ownership and Governance</w:t>
      </w:r>
      <w:bookmarkEnd w:id="5"/>
    </w:p>
    <w:p w14:paraId="7C7E384B" w14:textId="77777777" w:rsidR="00BF7654" w:rsidRPr="00BF7654" w:rsidRDefault="00BF7654" w:rsidP="00190383">
      <w:pPr>
        <w:spacing w:line="360" w:lineRule="auto"/>
        <w:jc w:val="both"/>
        <w:rPr>
          <w:rFonts w:ascii="Arial" w:hAnsi="Arial" w:cs="Arial"/>
        </w:rPr>
      </w:pPr>
      <w:r w:rsidRPr="00BF7654">
        <w:rPr>
          <w:rFonts w:ascii="Arial" w:hAnsi="Arial" w:cs="Arial"/>
        </w:rPr>
        <w:t>Beiersdorf AG is a publicly listed company headquartered in Hamburg, Germany.</w:t>
      </w:r>
    </w:p>
    <w:p w14:paraId="3ED457E9" w14:textId="3992550D" w:rsidR="00BF7654" w:rsidRPr="00BF7654" w:rsidRDefault="00BF7654" w:rsidP="00190383">
      <w:pPr>
        <w:spacing w:line="360" w:lineRule="auto"/>
        <w:jc w:val="both"/>
        <w:rPr>
          <w:rFonts w:ascii="Arial" w:hAnsi="Arial" w:cs="Arial"/>
        </w:rPr>
      </w:pPr>
      <w:r w:rsidRPr="00BF7654">
        <w:rPr>
          <w:rFonts w:ascii="Arial" w:hAnsi="Arial" w:cs="Arial"/>
        </w:rPr>
        <w:t>Key governance features include:</w:t>
      </w:r>
    </w:p>
    <w:p w14:paraId="11E727DB" w14:textId="54DA6699" w:rsidR="00BF7654" w:rsidRPr="00BF7654" w:rsidRDefault="00BF7654" w:rsidP="00190383">
      <w:pPr>
        <w:pStyle w:val="ListParagraph"/>
        <w:numPr>
          <w:ilvl w:val="0"/>
          <w:numId w:val="5"/>
        </w:numPr>
        <w:spacing w:line="360" w:lineRule="auto"/>
        <w:jc w:val="both"/>
        <w:rPr>
          <w:rFonts w:ascii="Arial" w:hAnsi="Arial" w:cs="Arial"/>
        </w:rPr>
      </w:pPr>
      <w:r w:rsidRPr="00BF7654">
        <w:rPr>
          <w:rFonts w:ascii="Arial" w:hAnsi="Arial" w:cs="Arial"/>
        </w:rPr>
        <w:t>A two</w:t>
      </w:r>
      <w:r w:rsidRPr="00BF7654">
        <w:rPr>
          <w:rFonts w:ascii="Cambria Math" w:hAnsi="Cambria Math" w:cs="Cambria Math"/>
        </w:rPr>
        <w:t>‑</w:t>
      </w:r>
      <w:r w:rsidRPr="00BF7654">
        <w:rPr>
          <w:rFonts w:ascii="Arial" w:hAnsi="Arial" w:cs="Arial"/>
        </w:rPr>
        <w:t xml:space="preserve">tier governance structure consisting of a Management Board </w:t>
      </w:r>
      <w:r w:rsidR="002A0201">
        <w:rPr>
          <w:rFonts w:ascii="Arial" w:hAnsi="Arial" w:cs="Arial"/>
        </w:rPr>
        <w:t>of</w:t>
      </w:r>
      <w:r w:rsidR="00CA1D9A">
        <w:rPr>
          <w:rFonts w:ascii="Arial" w:hAnsi="Arial" w:cs="Arial"/>
        </w:rPr>
        <w:t xml:space="preserve"> </w:t>
      </w:r>
      <w:r w:rsidRPr="00BF7654">
        <w:rPr>
          <w:rFonts w:ascii="Arial" w:hAnsi="Arial" w:cs="Arial"/>
        </w:rPr>
        <w:t>executive leadership</w:t>
      </w:r>
      <w:r w:rsidR="00602889">
        <w:rPr>
          <w:rFonts w:ascii="Arial" w:hAnsi="Arial" w:cs="Arial"/>
        </w:rPr>
        <w:t xml:space="preserve"> in charge of day-to-day functions</w:t>
      </w:r>
      <w:r w:rsidRPr="00BF7654">
        <w:rPr>
          <w:rFonts w:ascii="Arial" w:hAnsi="Arial" w:cs="Arial"/>
        </w:rPr>
        <w:t xml:space="preserve"> and a Supervisory Board </w:t>
      </w:r>
      <w:r w:rsidR="00CA1D9A">
        <w:rPr>
          <w:rFonts w:ascii="Arial" w:hAnsi="Arial" w:cs="Arial"/>
        </w:rPr>
        <w:t xml:space="preserve">with </w:t>
      </w:r>
      <w:r w:rsidRPr="00BF7654">
        <w:rPr>
          <w:rFonts w:ascii="Arial" w:hAnsi="Arial" w:cs="Arial"/>
        </w:rPr>
        <w:t>oversight and strategic guidance</w:t>
      </w:r>
      <w:r w:rsidR="002E46A4" w:rsidRPr="002E46A4">
        <w:t xml:space="preserve"> </w:t>
      </w:r>
      <w:r w:rsidR="002E46A4">
        <w:t>(</w:t>
      </w:r>
      <w:r w:rsidR="002E46A4" w:rsidRPr="002E46A4">
        <w:rPr>
          <w:rFonts w:ascii="Arial" w:hAnsi="Arial" w:cs="Arial"/>
        </w:rPr>
        <w:t>Bezemer, et al. 2014)</w:t>
      </w:r>
      <w:r w:rsidRPr="00BF7654">
        <w:rPr>
          <w:rFonts w:ascii="Arial" w:hAnsi="Arial" w:cs="Arial"/>
        </w:rPr>
        <w:t>.</w:t>
      </w:r>
    </w:p>
    <w:p w14:paraId="0BBAD9A7" w14:textId="79520CB7" w:rsidR="00BF7654" w:rsidRPr="00BF7654" w:rsidRDefault="00BF7654" w:rsidP="00190383">
      <w:pPr>
        <w:pStyle w:val="ListParagraph"/>
        <w:numPr>
          <w:ilvl w:val="0"/>
          <w:numId w:val="5"/>
        </w:numPr>
        <w:spacing w:line="360" w:lineRule="auto"/>
        <w:jc w:val="both"/>
        <w:rPr>
          <w:rFonts w:ascii="Arial" w:hAnsi="Arial" w:cs="Arial"/>
        </w:rPr>
      </w:pPr>
      <w:r w:rsidRPr="00BF7654">
        <w:rPr>
          <w:rFonts w:ascii="Arial" w:hAnsi="Arial" w:cs="Arial"/>
        </w:rPr>
        <w:t xml:space="preserve">The company’s largest shareholder is </w:t>
      </w:r>
      <w:r w:rsidR="00561F38">
        <w:rPr>
          <w:rFonts w:ascii="Arial" w:hAnsi="Arial" w:cs="Arial"/>
        </w:rPr>
        <w:t>M</w:t>
      </w:r>
      <w:r w:rsidRPr="00BF7654">
        <w:rPr>
          <w:rFonts w:ascii="Arial" w:hAnsi="Arial" w:cs="Arial"/>
        </w:rPr>
        <w:t>axingvest AG, holding a significant controlling stake.</w:t>
      </w:r>
    </w:p>
    <w:p w14:paraId="1FCDD5CE" w14:textId="4D59DC18" w:rsidR="00BF7654" w:rsidRDefault="00BF7654" w:rsidP="00190383">
      <w:pPr>
        <w:pStyle w:val="ListParagraph"/>
        <w:numPr>
          <w:ilvl w:val="0"/>
          <w:numId w:val="5"/>
        </w:numPr>
        <w:spacing w:line="360" w:lineRule="auto"/>
        <w:jc w:val="both"/>
        <w:rPr>
          <w:rFonts w:ascii="Arial" w:hAnsi="Arial" w:cs="Arial"/>
        </w:rPr>
      </w:pPr>
      <w:r w:rsidRPr="00BF7654">
        <w:rPr>
          <w:rFonts w:ascii="Arial" w:hAnsi="Arial" w:cs="Arial"/>
        </w:rPr>
        <w:t>Beiersdorf adheres to German Corporate Governance Code standards</w:t>
      </w:r>
      <w:r w:rsidR="00393E42" w:rsidRPr="00393E42">
        <w:t xml:space="preserve"> </w:t>
      </w:r>
      <w:r w:rsidR="00393E42">
        <w:t>(</w:t>
      </w:r>
      <w:r w:rsidR="00393E42" w:rsidRPr="00393E42">
        <w:rPr>
          <w:rFonts w:ascii="Arial" w:hAnsi="Arial" w:cs="Arial"/>
        </w:rPr>
        <w:t>Cromme, 2005)</w:t>
      </w:r>
      <w:r w:rsidRPr="00BF7654">
        <w:rPr>
          <w:rFonts w:ascii="Arial" w:hAnsi="Arial" w:cs="Arial"/>
        </w:rPr>
        <w:t>, ensuring transparency, accountability, and stakeholder engagement.</w:t>
      </w:r>
    </w:p>
    <w:p w14:paraId="51DF6B89" w14:textId="77777777" w:rsidR="00797064" w:rsidRPr="00A9050B" w:rsidRDefault="00797064" w:rsidP="00A9050B">
      <w:pPr>
        <w:spacing w:line="360" w:lineRule="auto"/>
        <w:jc w:val="both"/>
        <w:rPr>
          <w:rFonts w:ascii="Arial" w:hAnsi="Arial" w:cs="Arial"/>
        </w:rPr>
      </w:pPr>
    </w:p>
    <w:p w14:paraId="36900EBD" w14:textId="77777777" w:rsidR="00BF7654" w:rsidRPr="00BF7654" w:rsidRDefault="00BF7654" w:rsidP="00D037D9">
      <w:pPr>
        <w:pStyle w:val="Heading1"/>
      </w:pPr>
      <w:bookmarkStart w:id="6" w:name="_Toc235135090"/>
      <w:r w:rsidRPr="00BF7654">
        <w:t>Organisational Structure</w:t>
      </w:r>
      <w:bookmarkEnd w:id="6"/>
    </w:p>
    <w:p w14:paraId="4F922667" w14:textId="77777777" w:rsidR="00BF7654" w:rsidRPr="00BF7654" w:rsidRDefault="00BF7654" w:rsidP="00190383">
      <w:pPr>
        <w:spacing w:line="360" w:lineRule="auto"/>
        <w:jc w:val="both"/>
        <w:rPr>
          <w:rFonts w:ascii="Arial" w:hAnsi="Arial" w:cs="Arial"/>
        </w:rPr>
      </w:pPr>
      <w:r w:rsidRPr="00BF7654">
        <w:rPr>
          <w:rFonts w:ascii="Arial" w:hAnsi="Arial" w:cs="Arial"/>
        </w:rPr>
        <w:t>Beiersdorf operates through a divisional structure, with two main business segments:</w:t>
      </w:r>
    </w:p>
    <w:p w14:paraId="22B30C11" w14:textId="53496BDA" w:rsidR="00BF7654" w:rsidRPr="00BF7654" w:rsidRDefault="00BF7654" w:rsidP="00190383">
      <w:pPr>
        <w:pStyle w:val="ListParagraph"/>
        <w:numPr>
          <w:ilvl w:val="0"/>
          <w:numId w:val="4"/>
        </w:numPr>
        <w:spacing w:line="360" w:lineRule="auto"/>
        <w:jc w:val="both"/>
        <w:rPr>
          <w:rFonts w:ascii="Arial" w:hAnsi="Arial" w:cs="Arial"/>
        </w:rPr>
      </w:pPr>
      <w:r w:rsidRPr="00BF7654">
        <w:rPr>
          <w:rFonts w:ascii="Arial" w:hAnsi="Arial" w:cs="Arial"/>
        </w:rPr>
        <w:t>Consumer Business – includes global skincare brands such as Nivea, Eucerin, La Prairie, Labello, and Hansaplast.</w:t>
      </w:r>
    </w:p>
    <w:p w14:paraId="15CD8398" w14:textId="42BB7D96" w:rsidR="00BF7654" w:rsidRPr="00BF7654" w:rsidRDefault="00BF7654" w:rsidP="00190383">
      <w:pPr>
        <w:pStyle w:val="ListParagraph"/>
        <w:numPr>
          <w:ilvl w:val="0"/>
          <w:numId w:val="4"/>
        </w:numPr>
        <w:spacing w:line="360" w:lineRule="auto"/>
        <w:jc w:val="both"/>
        <w:rPr>
          <w:rFonts w:ascii="Arial" w:hAnsi="Arial" w:cs="Arial"/>
        </w:rPr>
      </w:pPr>
      <w:r w:rsidRPr="00BF7654">
        <w:rPr>
          <w:rFonts w:ascii="Arial" w:hAnsi="Arial" w:cs="Arial"/>
        </w:rPr>
        <w:t>tesa Business – focuses on adhesive technologies.</w:t>
      </w:r>
    </w:p>
    <w:p w14:paraId="4F7ED3BE" w14:textId="0E8F75D1" w:rsidR="00BF7654" w:rsidRDefault="00BF7654" w:rsidP="00190383">
      <w:pPr>
        <w:spacing w:line="360" w:lineRule="auto"/>
        <w:jc w:val="both"/>
        <w:rPr>
          <w:rFonts w:ascii="Arial" w:hAnsi="Arial" w:cs="Arial"/>
        </w:rPr>
      </w:pPr>
      <w:r w:rsidRPr="00BF7654">
        <w:rPr>
          <w:rFonts w:ascii="Arial" w:hAnsi="Arial" w:cs="Arial"/>
        </w:rPr>
        <w:t>Nivea sits within the Consumer Business division and is managed through global brand teams, regional subsidiaries, and local market units to ensure consistent brand identity while adapting to regional consumer needs</w:t>
      </w:r>
      <w:r w:rsidR="001B1FF5" w:rsidRPr="001B1FF5">
        <w:t xml:space="preserve"> </w:t>
      </w:r>
      <w:r w:rsidR="001B1FF5">
        <w:t>(</w:t>
      </w:r>
      <w:r w:rsidR="001B1FF5" w:rsidRPr="001B1FF5">
        <w:rPr>
          <w:rFonts w:ascii="Arial" w:hAnsi="Arial" w:cs="Arial"/>
        </w:rPr>
        <w:t>Olegario</w:t>
      </w:r>
      <w:r w:rsidR="001B1FF5">
        <w:rPr>
          <w:rFonts w:ascii="Arial" w:hAnsi="Arial" w:cs="Arial"/>
        </w:rPr>
        <w:t xml:space="preserve">, </w:t>
      </w:r>
      <w:r w:rsidR="001B1FF5" w:rsidRPr="001B1FF5">
        <w:rPr>
          <w:rFonts w:ascii="Arial" w:hAnsi="Arial" w:cs="Arial"/>
        </w:rPr>
        <w:t>2019)</w:t>
      </w:r>
      <w:r w:rsidRPr="00BF7654">
        <w:rPr>
          <w:rFonts w:ascii="Arial" w:hAnsi="Arial" w:cs="Arial"/>
        </w:rPr>
        <w:t>.</w:t>
      </w:r>
    </w:p>
    <w:p w14:paraId="7CFCF0D8" w14:textId="77777777" w:rsidR="00797064" w:rsidRPr="00BF7654" w:rsidRDefault="00797064" w:rsidP="00190383">
      <w:pPr>
        <w:spacing w:line="360" w:lineRule="auto"/>
        <w:jc w:val="both"/>
        <w:rPr>
          <w:rFonts w:ascii="Arial" w:hAnsi="Arial" w:cs="Arial"/>
        </w:rPr>
      </w:pPr>
    </w:p>
    <w:p w14:paraId="4F8DF8BD" w14:textId="77777777" w:rsidR="00BF7654" w:rsidRPr="00BF7654" w:rsidRDefault="00BF7654" w:rsidP="00D037D9">
      <w:pPr>
        <w:pStyle w:val="Heading1"/>
      </w:pPr>
      <w:bookmarkStart w:id="7" w:name="_Toc235135091"/>
      <w:r w:rsidRPr="00BF7654">
        <w:t>Industry</w:t>
      </w:r>
      <w:bookmarkEnd w:id="7"/>
    </w:p>
    <w:p w14:paraId="49BB7FA6" w14:textId="3CE6F17A" w:rsidR="00BF7654" w:rsidRPr="00DF646E" w:rsidRDefault="00BF7654" w:rsidP="00190383">
      <w:pPr>
        <w:spacing w:line="360" w:lineRule="auto"/>
        <w:jc w:val="both"/>
        <w:rPr>
          <w:rFonts w:ascii="Arial" w:hAnsi="Arial" w:cs="Arial"/>
        </w:rPr>
      </w:pPr>
      <w:r w:rsidRPr="0037680F">
        <w:rPr>
          <w:rFonts w:ascii="Arial" w:hAnsi="Arial" w:cs="Arial"/>
        </w:rPr>
        <w:t>Nivea operates in the global skincare and personal care industry, a sector characterised by</w:t>
      </w:r>
      <w:r w:rsidR="00622E75">
        <w:rPr>
          <w:rFonts w:ascii="Arial" w:hAnsi="Arial" w:cs="Arial"/>
        </w:rPr>
        <w:t xml:space="preserve"> </w:t>
      </w:r>
      <w:r w:rsidRPr="00622E75">
        <w:rPr>
          <w:rFonts w:ascii="Arial" w:hAnsi="Arial" w:cs="Arial"/>
        </w:rPr>
        <w:t>High levels of competition</w:t>
      </w:r>
      <w:r w:rsidR="00622E75">
        <w:rPr>
          <w:rFonts w:ascii="Arial" w:hAnsi="Arial" w:cs="Arial"/>
        </w:rPr>
        <w:t>, r</w:t>
      </w:r>
      <w:r w:rsidRPr="00622E75">
        <w:rPr>
          <w:rFonts w:ascii="Arial" w:hAnsi="Arial" w:cs="Arial"/>
        </w:rPr>
        <w:t>apid innovation cycles</w:t>
      </w:r>
      <w:r w:rsidR="00622E75">
        <w:rPr>
          <w:rFonts w:ascii="Arial" w:hAnsi="Arial" w:cs="Arial"/>
        </w:rPr>
        <w:t>, s</w:t>
      </w:r>
      <w:r w:rsidRPr="00622E75">
        <w:rPr>
          <w:rFonts w:ascii="Arial" w:hAnsi="Arial" w:cs="Arial"/>
        </w:rPr>
        <w:t xml:space="preserve">trong influence of consumer trends </w:t>
      </w:r>
      <w:r w:rsidR="001B1FF5" w:rsidRPr="00622E75">
        <w:rPr>
          <w:rFonts w:ascii="Arial" w:hAnsi="Arial" w:cs="Arial"/>
        </w:rPr>
        <w:t>like</w:t>
      </w:r>
      <w:r w:rsidRPr="00622E75">
        <w:rPr>
          <w:rFonts w:ascii="Arial" w:hAnsi="Arial" w:cs="Arial"/>
        </w:rPr>
        <w:t xml:space="preserve"> natural ingredients, sustainability, dermatological efficacy.</w:t>
      </w:r>
      <w:r w:rsidR="00DF646E">
        <w:rPr>
          <w:rFonts w:ascii="Arial" w:hAnsi="Arial" w:cs="Arial"/>
        </w:rPr>
        <w:t xml:space="preserve"> The industry has s</w:t>
      </w:r>
      <w:r w:rsidRPr="00DF2C13">
        <w:rPr>
          <w:rFonts w:ascii="Arial" w:hAnsi="Arial" w:cs="Arial"/>
        </w:rPr>
        <w:t>ignificant marketing and branding investment</w:t>
      </w:r>
      <w:r w:rsidR="00DF646E">
        <w:rPr>
          <w:rFonts w:ascii="Arial" w:hAnsi="Arial" w:cs="Arial"/>
        </w:rPr>
        <w:t>, with g</w:t>
      </w:r>
      <w:r w:rsidRPr="00DF646E">
        <w:rPr>
          <w:rFonts w:ascii="Arial" w:hAnsi="Arial" w:cs="Arial"/>
        </w:rPr>
        <w:t>rowth driven by emerging markets and digital retail channels.</w:t>
      </w:r>
    </w:p>
    <w:p w14:paraId="21ECB6AB" w14:textId="40CBD8EB" w:rsidR="00BF7654" w:rsidRPr="00BF7654" w:rsidRDefault="00BF7654" w:rsidP="00190383">
      <w:pPr>
        <w:spacing w:line="360" w:lineRule="auto"/>
        <w:jc w:val="both"/>
        <w:rPr>
          <w:rFonts w:ascii="Arial" w:hAnsi="Arial" w:cs="Arial"/>
        </w:rPr>
      </w:pPr>
      <w:r w:rsidRPr="00BF7654">
        <w:rPr>
          <w:rFonts w:ascii="Arial" w:hAnsi="Arial" w:cs="Arial"/>
        </w:rPr>
        <w:lastRenderedPageBreak/>
        <w:t>The industry includes mass</w:t>
      </w:r>
      <w:r w:rsidRPr="00BF7654">
        <w:rPr>
          <w:rFonts w:ascii="Cambria Math" w:hAnsi="Cambria Math" w:cs="Cambria Math"/>
        </w:rPr>
        <w:t>‑</w:t>
      </w:r>
      <w:r w:rsidRPr="00BF7654">
        <w:rPr>
          <w:rFonts w:ascii="Arial" w:hAnsi="Arial" w:cs="Arial"/>
        </w:rPr>
        <w:t>market, premium, and dermo cosmetic segments, with Nivea positioned primarily in the mass</w:t>
      </w:r>
      <w:r w:rsidRPr="00BF7654">
        <w:rPr>
          <w:rFonts w:ascii="Cambria Math" w:hAnsi="Cambria Math" w:cs="Cambria Math"/>
        </w:rPr>
        <w:t>‑</w:t>
      </w:r>
      <w:r w:rsidRPr="00BF7654">
        <w:rPr>
          <w:rFonts w:ascii="Arial" w:hAnsi="Arial" w:cs="Arial"/>
        </w:rPr>
        <w:t>market skincare category.</w:t>
      </w:r>
    </w:p>
    <w:p w14:paraId="11288DEC" w14:textId="77777777" w:rsidR="00BF7654" w:rsidRPr="00BF7654" w:rsidRDefault="00BF7654" w:rsidP="00D037D9">
      <w:pPr>
        <w:pStyle w:val="Heading1"/>
      </w:pPr>
      <w:bookmarkStart w:id="8" w:name="_Toc235135092"/>
      <w:r w:rsidRPr="00BF7654">
        <w:t>Products and Services</w:t>
      </w:r>
      <w:bookmarkEnd w:id="8"/>
    </w:p>
    <w:p w14:paraId="6189BFC4" w14:textId="0AAFE848" w:rsidR="00BF7654" w:rsidRPr="00BF7654" w:rsidRDefault="00BF7654" w:rsidP="00190383">
      <w:pPr>
        <w:spacing w:line="360" w:lineRule="auto"/>
        <w:jc w:val="both"/>
        <w:rPr>
          <w:rFonts w:ascii="Arial" w:hAnsi="Arial" w:cs="Arial"/>
        </w:rPr>
      </w:pPr>
      <w:r w:rsidRPr="00BF7654">
        <w:rPr>
          <w:rFonts w:ascii="Arial" w:hAnsi="Arial" w:cs="Arial"/>
        </w:rPr>
        <w:t>Nivea offers a broad portfolio of skincare products</w:t>
      </w:r>
      <w:r w:rsidR="005E7F4C" w:rsidRPr="005E7F4C">
        <w:t xml:space="preserve"> </w:t>
      </w:r>
      <w:r w:rsidR="005E7F4C">
        <w:t>(</w:t>
      </w:r>
      <w:r w:rsidR="005E7F4C" w:rsidRPr="005E7F4C">
        <w:rPr>
          <w:rFonts w:ascii="Arial" w:hAnsi="Arial" w:cs="Arial"/>
        </w:rPr>
        <w:t>Rogers</w:t>
      </w:r>
      <w:r w:rsidR="005E7F4C">
        <w:rPr>
          <w:rFonts w:ascii="Arial" w:hAnsi="Arial" w:cs="Arial"/>
        </w:rPr>
        <w:t xml:space="preserve">, </w:t>
      </w:r>
      <w:r w:rsidR="005E7F4C" w:rsidRPr="005E7F4C">
        <w:rPr>
          <w:rFonts w:ascii="Arial" w:hAnsi="Arial" w:cs="Arial"/>
        </w:rPr>
        <w:t>2021)</w:t>
      </w:r>
      <w:r w:rsidRPr="00BF7654">
        <w:rPr>
          <w:rFonts w:ascii="Arial" w:hAnsi="Arial" w:cs="Arial"/>
        </w:rPr>
        <w:t>, including</w:t>
      </w:r>
      <w:r w:rsidR="00070CA6">
        <w:rPr>
          <w:rFonts w:ascii="Arial" w:hAnsi="Arial" w:cs="Arial"/>
        </w:rPr>
        <w:t xml:space="preserve"> </w:t>
      </w:r>
      <w:r w:rsidRPr="00070CA6">
        <w:rPr>
          <w:rFonts w:ascii="Arial" w:hAnsi="Arial" w:cs="Arial"/>
        </w:rPr>
        <w:t>Nivea Crème (</w:t>
      </w:r>
      <w:r w:rsidR="00070CA6">
        <w:rPr>
          <w:rFonts w:ascii="Arial" w:hAnsi="Arial" w:cs="Arial"/>
        </w:rPr>
        <w:t>leading</w:t>
      </w:r>
      <w:r w:rsidRPr="00070CA6">
        <w:rPr>
          <w:rFonts w:ascii="Arial" w:hAnsi="Arial" w:cs="Arial"/>
        </w:rPr>
        <w:t xml:space="preserve"> moisturiser)</w:t>
      </w:r>
      <w:r w:rsidR="00070CA6">
        <w:rPr>
          <w:rFonts w:ascii="Arial" w:hAnsi="Arial" w:cs="Arial"/>
        </w:rPr>
        <w:t>, b</w:t>
      </w:r>
      <w:r w:rsidRPr="00070CA6">
        <w:rPr>
          <w:rFonts w:ascii="Arial" w:hAnsi="Arial" w:cs="Arial"/>
        </w:rPr>
        <w:t>ody lotions</w:t>
      </w:r>
      <w:r w:rsidR="006C35A2">
        <w:rPr>
          <w:rFonts w:ascii="Arial" w:hAnsi="Arial" w:cs="Arial"/>
        </w:rPr>
        <w:t>,</w:t>
      </w:r>
      <w:r w:rsidRPr="00070CA6">
        <w:rPr>
          <w:rFonts w:ascii="Arial" w:hAnsi="Arial" w:cs="Arial"/>
        </w:rPr>
        <w:t xml:space="preserve"> body </w:t>
      </w:r>
      <w:r w:rsidR="006C35A2">
        <w:rPr>
          <w:rFonts w:ascii="Arial" w:hAnsi="Arial" w:cs="Arial"/>
        </w:rPr>
        <w:t>deodorants, f</w:t>
      </w:r>
      <w:r w:rsidRPr="006C35A2">
        <w:rPr>
          <w:rFonts w:ascii="Arial" w:hAnsi="Arial" w:cs="Arial"/>
        </w:rPr>
        <w:t>acial skincare (cleansers, moisturisers, anti</w:t>
      </w:r>
      <w:r w:rsidRPr="006C35A2">
        <w:rPr>
          <w:rFonts w:ascii="Cambria Math" w:hAnsi="Cambria Math" w:cs="Cambria Math"/>
        </w:rPr>
        <w:t>‑</w:t>
      </w:r>
      <w:r w:rsidRPr="006C35A2">
        <w:rPr>
          <w:rFonts w:ascii="Arial" w:hAnsi="Arial" w:cs="Arial"/>
        </w:rPr>
        <w:t>ageing products)</w:t>
      </w:r>
      <w:r w:rsidR="00A86B44">
        <w:rPr>
          <w:rFonts w:ascii="Arial" w:hAnsi="Arial" w:cs="Arial"/>
        </w:rPr>
        <w:t xml:space="preserve">, </w:t>
      </w:r>
      <w:r w:rsidRPr="00BF7654">
        <w:rPr>
          <w:rFonts w:ascii="Arial" w:hAnsi="Arial" w:cs="Arial"/>
        </w:rPr>
        <w:t>Sun care (Nivea Sun)</w:t>
      </w:r>
      <w:r w:rsidR="00A86B44">
        <w:rPr>
          <w:rFonts w:ascii="Arial" w:hAnsi="Arial" w:cs="Arial"/>
        </w:rPr>
        <w:t>, m</w:t>
      </w:r>
      <w:r w:rsidRPr="00A86B44">
        <w:rPr>
          <w:rFonts w:ascii="Arial" w:hAnsi="Arial" w:cs="Arial"/>
        </w:rPr>
        <w:t>en’s grooming (Nivea Men)</w:t>
      </w:r>
      <w:r w:rsidR="006D18D4">
        <w:rPr>
          <w:rFonts w:ascii="Arial" w:hAnsi="Arial" w:cs="Arial"/>
        </w:rPr>
        <w:t>, s</w:t>
      </w:r>
      <w:r w:rsidRPr="00BF7654">
        <w:rPr>
          <w:rFonts w:ascii="Arial" w:hAnsi="Arial" w:cs="Arial"/>
        </w:rPr>
        <w:t>hower gels</w:t>
      </w:r>
      <w:r w:rsidR="006D18D4">
        <w:rPr>
          <w:rFonts w:ascii="Arial" w:hAnsi="Arial" w:cs="Arial"/>
        </w:rPr>
        <w:t xml:space="preserve"> and </w:t>
      </w:r>
      <w:r w:rsidRPr="00BF7654">
        <w:rPr>
          <w:rFonts w:ascii="Arial" w:hAnsi="Arial" w:cs="Arial"/>
        </w:rPr>
        <w:t>Lip care (Labello/Nivea Lip)</w:t>
      </w:r>
      <w:r w:rsidR="006D18D4">
        <w:rPr>
          <w:rFonts w:ascii="Arial" w:hAnsi="Arial" w:cs="Arial"/>
        </w:rPr>
        <w:t>.</w:t>
      </w:r>
    </w:p>
    <w:p w14:paraId="05BA6709" w14:textId="3E8C9390" w:rsidR="00BF7654" w:rsidRDefault="00BF7654" w:rsidP="00190383">
      <w:pPr>
        <w:spacing w:line="360" w:lineRule="auto"/>
        <w:jc w:val="both"/>
        <w:rPr>
          <w:rFonts w:ascii="Arial" w:hAnsi="Arial" w:cs="Arial"/>
        </w:rPr>
      </w:pPr>
      <w:r w:rsidRPr="00BF7654">
        <w:rPr>
          <w:rFonts w:ascii="Arial" w:hAnsi="Arial" w:cs="Arial"/>
        </w:rPr>
        <w:t>Nivea Crème remains the brand’s most iconic product, known for its distinctive blue tin and multi</w:t>
      </w:r>
      <w:r w:rsidRPr="00BF7654">
        <w:rPr>
          <w:rFonts w:ascii="Cambria Math" w:hAnsi="Cambria Math" w:cs="Cambria Math"/>
        </w:rPr>
        <w:t>‑</w:t>
      </w:r>
      <w:r w:rsidRPr="00BF7654">
        <w:rPr>
          <w:rFonts w:ascii="Arial" w:hAnsi="Arial" w:cs="Arial"/>
        </w:rPr>
        <w:t>purpose moisturising formula.</w:t>
      </w:r>
    </w:p>
    <w:p w14:paraId="64873238" w14:textId="77777777" w:rsidR="00797064" w:rsidRPr="001F53E9" w:rsidRDefault="00797064" w:rsidP="00190383">
      <w:pPr>
        <w:spacing w:line="360" w:lineRule="auto"/>
        <w:jc w:val="both"/>
        <w:rPr>
          <w:rFonts w:ascii="Arial" w:hAnsi="Arial" w:cs="Arial"/>
        </w:rPr>
      </w:pPr>
    </w:p>
    <w:p w14:paraId="5B0F6F5A" w14:textId="77777777" w:rsidR="00BF7654" w:rsidRPr="00BF7654" w:rsidRDefault="00BF7654" w:rsidP="00D037D9">
      <w:pPr>
        <w:pStyle w:val="Heading1"/>
      </w:pPr>
      <w:bookmarkStart w:id="9" w:name="_Toc235135093"/>
      <w:r w:rsidRPr="00BF7654">
        <w:t>Markets</w:t>
      </w:r>
      <w:bookmarkEnd w:id="9"/>
    </w:p>
    <w:p w14:paraId="2AF096A6" w14:textId="6B86370E" w:rsidR="00BF7654" w:rsidRDefault="00BF7654" w:rsidP="00190383">
      <w:pPr>
        <w:spacing w:line="360" w:lineRule="auto"/>
        <w:jc w:val="both"/>
        <w:rPr>
          <w:rFonts w:ascii="Arial" w:hAnsi="Arial" w:cs="Arial"/>
        </w:rPr>
      </w:pPr>
      <w:r w:rsidRPr="001F53E9">
        <w:rPr>
          <w:rFonts w:ascii="Arial" w:hAnsi="Arial" w:cs="Arial"/>
        </w:rPr>
        <w:t>Nivea is one of the world’s most widely distributed skincare brands</w:t>
      </w:r>
      <w:r w:rsidR="004D7403" w:rsidRPr="004D7403">
        <w:t xml:space="preserve"> </w:t>
      </w:r>
      <w:r w:rsidR="004D7403">
        <w:t>(</w:t>
      </w:r>
      <w:r w:rsidR="004D7403" w:rsidRPr="004D7403">
        <w:rPr>
          <w:rFonts w:ascii="Arial" w:hAnsi="Arial" w:cs="Arial"/>
        </w:rPr>
        <w:t>Rogers</w:t>
      </w:r>
      <w:r w:rsidR="004D7403">
        <w:rPr>
          <w:rFonts w:ascii="Arial" w:hAnsi="Arial" w:cs="Arial"/>
        </w:rPr>
        <w:t xml:space="preserve">, </w:t>
      </w:r>
      <w:r w:rsidR="004D7403" w:rsidRPr="004D7403">
        <w:rPr>
          <w:rFonts w:ascii="Arial" w:hAnsi="Arial" w:cs="Arial"/>
        </w:rPr>
        <w:t>2021)</w:t>
      </w:r>
      <w:r w:rsidRPr="001F53E9">
        <w:rPr>
          <w:rFonts w:ascii="Arial" w:hAnsi="Arial" w:cs="Arial"/>
        </w:rPr>
        <w:t>, operat</w:t>
      </w:r>
      <w:r w:rsidR="00181F05">
        <w:rPr>
          <w:rFonts w:ascii="Arial" w:hAnsi="Arial" w:cs="Arial"/>
        </w:rPr>
        <w:t>es in o</w:t>
      </w:r>
      <w:r w:rsidRPr="001F53E9">
        <w:rPr>
          <w:rFonts w:ascii="Arial" w:hAnsi="Arial" w:cs="Arial"/>
        </w:rPr>
        <w:t>ver 170 countries</w:t>
      </w:r>
      <w:r w:rsidR="00181F05">
        <w:rPr>
          <w:rFonts w:ascii="Arial" w:hAnsi="Arial" w:cs="Arial"/>
        </w:rPr>
        <w:t>, has a s</w:t>
      </w:r>
      <w:r w:rsidRPr="00181F05">
        <w:rPr>
          <w:rFonts w:ascii="Arial" w:hAnsi="Arial" w:cs="Arial"/>
        </w:rPr>
        <w:t>trong presence in Europe, Latin America, and Asia</w:t>
      </w:r>
      <w:r w:rsidR="00181F05">
        <w:rPr>
          <w:rFonts w:ascii="Arial" w:hAnsi="Arial" w:cs="Arial"/>
        </w:rPr>
        <w:t xml:space="preserve"> with</w:t>
      </w:r>
      <w:r w:rsidR="00AE6C5E">
        <w:rPr>
          <w:rFonts w:ascii="Arial" w:hAnsi="Arial" w:cs="Arial"/>
        </w:rPr>
        <w:t xml:space="preserve"> g</w:t>
      </w:r>
      <w:r w:rsidRPr="001F53E9">
        <w:rPr>
          <w:rFonts w:ascii="Arial" w:hAnsi="Arial" w:cs="Arial"/>
        </w:rPr>
        <w:t>rowing penetration in Africa and the Middle East</w:t>
      </w:r>
      <w:r w:rsidR="00AE6C5E">
        <w:rPr>
          <w:rFonts w:ascii="Arial" w:hAnsi="Arial" w:cs="Arial"/>
        </w:rPr>
        <w:t>. Nivea has m</w:t>
      </w:r>
      <w:r w:rsidRPr="001F53E9">
        <w:rPr>
          <w:rFonts w:ascii="Arial" w:hAnsi="Arial" w:cs="Arial"/>
        </w:rPr>
        <w:t>ulti</w:t>
      </w:r>
      <w:r w:rsidRPr="001F53E9">
        <w:rPr>
          <w:rFonts w:ascii="Cambria Math" w:hAnsi="Cambria Math" w:cs="Cambria Math"/>
        </w:rPr>
        <w:t>‑</w:t>
      </w:r>
      <w:r w:rsidRPr="001F53E9">
        <w:rPr>
          <w:rFonts w:ascii="Arial" w:hAnsi="Arial" w:cs="Arial"/>
        </w:rPr>
        <w:t>channel distribution including supermarkets, pharmacies, drugstores, online retailers, and direct</w:t>
      </w:r>
      <w:r w:rsidRPr="001F53E9">
        <w:rPr>
          <w:rFonts w:ascii="Cambria Math" w:hAnsi="Cambria Math" w:cs="Cambria Math"/>
        </w:rPr>
        <w:t>‑</w:t>
      </w:r>
      <w:r w:rsidRPr="001F53E9">
        <w:rPr>
          <w:rFonts w:ascii="Arial" w:hAnsi="Arial" w:cs="Arial"/>
        </w:rPr>
        <w:t>to</w:t>
      </w:r>
      <w:r w:rsidRPr="001F53E9">
        <w:rPr>
          <w:rFonts w:ascii="Cambria Math" w:hAnsi="Cambria Math" w:cs="Cambria Math"/>
        </w:rPr>
        <w:t>‑</w:t>
      </w:r>
      <w:r w:rsidRPr="001F53E9">
        <w:rPr>
          <w:rFonts w:ascii="Arial" w:hAnsi="Arial" w:cs="Arial"/>
        </w:rPr>
        <w:t>consumer platforms</w:t>
      </w:r>
      <w:r w:rsidR="00E62412">
        <w:rPr>
          <w:rFonts w:ascii="Arial" w:hAnsi="Arial" w:cs="Arial"/>
        </w:rPr>
        <w:t xml:space="preserve">. </w:t>
      </w:r>
      <w:r w:rsidRPr="001F53E9">
        <w:rPr>
          <w:rFonts w:ascii="Arial" w:hAnsi="Arial" w:cs="Arial"/>
        </w:rPr>
        <w:t>Its mass</w:t>
      </w:r>
      <w:r w:rsidRPr="001F53E9">
        <w:rPr>
          <w:rFonts w:ascii="Cambria Math" w:hAnsi="Cambria Math" w:cs="Cambria Math"/>
        </w:rPr>
        <w:t>‑</w:t>
      </w:r>
      <w:r w:rsidRPr="001F53E9">
        <w:rPr>
          <w:rFonts w:ascii="Arial" w:hAnsi="Arial" w:cs="Arial"/>
        </w:rPr>
        <w:t>market positioning allows it to target a broad demographic, from families to individual consumers seeking affordable</w:t>
      </w:r>
      <w:r w:rsidR="004244C1">
        <w:rPr>
          <w:rFonts w:ascii="Arial" w:hAnsi="Arial" w:cs="Arial"/>
        </w:rPr>
        <w:t xml:space="preserve"> and</w:t>
      </w:r>
      <w:r w:rsidRPr="001F53E9">
        <w:rPr>
          <w:rFonts w:ascii="Arial" w:hAnsi="Arial" w:cs="Arial"/>
        </w:rPr>
        <w:t xml:space="preserve"> reliable skincare.</w:t>
      </w:r>
    </w:p>
    <w:p w14:paraId="552D7CCD" w14:textId="77777777" w:rsidR="00797064" w:rsidRPr="001F53E9" w:rsidRDefault="00797064" w:rsidP="00190383">
      <w:pPr>
        <w:spacing w:line="360" w:lineRule="auto"/>
        <w:jc w:val="both"/>
        <w:rPr>
          <w:rFonts w:ascii="Arial" w:hAnsi="Arial" w:cs="Arial"/>
        </w:rPr>
      </w:pPr>
    </w:p>
    <w:p w14:paraId="6AD027F5" w14:textId="676C337B" w:rsidR="00BF7654" w:rsidRPr="0054198E" w:rsidRDefault="00331573" w:rsidP="00D037D9">
      <w:pPr>
        <w:pStyle w:val="Heading1"/>
      </w:pPr>
      <w:bookmarkStart w:id="10" w:name="_Toc235135094"/>
      <w:r w:rsidRPr="0054198E">
        <w:t>FINANCIAL POSITION</w:t>
      </w:r>
      <w:bookmarkEnd w:id="10"/>
    </w:p>
    <w:p w14:paraId="17AC261D" w14:textId="55387C57" w:rsidR="00BF7654" w:rsidRPr="001F53E9" w:rsidRDefault="00BF7654" w:rsidP="00190383">
      <w:pPr>
        <w:spacing w:line="360" w:lineRule="auto"/>
        <w:jc w:val="both"/>
        <w:rPr>
          <w:rFonts w:ascii="Arial" w:hAnsi="Arial" w:cs="Arial"/>
        </w:rPr>
      </w:pPr>
      <w:r w:rsidRPr="001F53E9">
        <w:rPr>
          <w:rFonts w:ascii="Arial" w:hAnsi="Arial" w:cs="Arial"/>
        </w:rPr>
        <w:t>Beiersdorf maintains a strong financial position characterised by</w:t>
      </w:r>
      <w:r w:rsidR="007F609D">
        <w:rPr>
          <w:rFonts w:ascii="Arial" w:hAnsi="Arial" w:cs="Arial"/>
        </w:rPr>
        <w:t xml:space="preserve"> c</w:t>
      </w:r>
      <w:r w:rsidRPr="001F53E9">
        <w:rPr>
          <w:rFonts w:ascii="Arial" w:hAnsi="Arial" w:cs="Arial"/>
        </w:rPr>
        <w:t>onsistent revenue growth driven by the Nivea, Eucerin, and La Prairie brands.</w:t>
      </w:r>
      <w:r w:rsidR="00FB672F">
        <w:rPr>
          <w:rFonts w:ascii="Arial" w:hAnsi="Arial" w:cs="Arial"/>
        </w:rPr>
        <w:t xml:space="preserve"> It has h</w:t>
      </w:r>
      <w:r w:rsidRPr="00FB672F">
        <w:rPr>
          <w:rFonts w:ascii="Arial" w:hAnsi="Arial" w:cs="Arial"/>
        </w:rPr>
        <w:t>igh levels of liquidity and low debt relative to competitors.</w:t>
      </w:r>
      <w:r w:rsidR="00F17C88">
        <w:rPr>
          <w:rFonts w:ascii="Arial" w:hAnsi="Arial" w:cs="Arial"/>
        </w:rPr>
        <w:t xml:space="preserve"> </w:t>
      </w:r>
      <w:r w:rsidRPr="00F17C88">
        <w:rPr>
          <w:rFonts w:ascii="Arial" w:hAnsi="Arial" w:cs="Arial"/>
        </w:rPr>
        <w:t>Significant annual investment in R&amp;D and marketing</w:t>
      </w:r>
      <w:r w:rsidR="00F17C88">
        <w:rPr>
          <w:rFonts w:ascii="Arial" w:hAnsi="Arial" w:cs="Arial"/>
        </w:rPr>
        <w:t xml:space="preserve"> allows </w:t>
      </w:r>
      <w:r w:rsidRPr="001F53E9">
        <w:rPr>
          <w:rFonts w:ascii="Arial" w:hAnsi="Arial" w:cs="Arial"/>
        </w:rPr>
        <w:t>Nivea</w:t>
      </w:r>
      <w:r w:rsidR="00355C6B">
        <w:rPr>
          <w:rFonts w:ascii="Arial" w:hAnsi="Arial" w:cs="Arial"/>
        </w:rPr>
        <w:t xml:space="preserve"> to</w:t>
      </w:r>
      <w:r w:rsidRPr="001F53E9">
        <w:rPr>
          <w:rFonts w:ascii="Arial" w:hAnsi="Arial" w:cs="Arial"/>
        </w:rPr>
        <w:t xml:space="preserve"> remain the company’s largest revenue</w:t>
      </w:r>
      <w:r w:rsidRPr="001F53E9">
        <w:rPr>
          <w:rFonts w:ascii="Cambria Math" w:hAnsi="Cambria Math" w:cs="Cambria Math"/>
        </w:rPr>
        <w:t>‑</w:t>
      </w:r>
      <w:r w:rsidRPr="001F53E9">
        <w:rPr>
          <w:rFonts w:ascii="Arial" w:hAnsi="Arial" w:cs="Arial"/>
        </w:rPr>
        <w:t>generating brand, contributing a substantial share of the Consumer Business segment’s sales</w:t>
      </w:r>
      <w:r w:rsidR="00C939F9" w:rsidRPr="00C939F9">
        <w:t xml:space="preserve"> </w:t>
      </w:r>
      <w:r w:rsidR="007E33FE">
        <w:t>(</w:t>
      </w:r>
      <w:r w:rsidR="00C939F9" w:rsidRPr="00C939F9">
        <w:rPr>
          <w:rFonts w:ascii="Arial" w:hAnsi="Arial" w:cs="Arial"/>
        </w:rPr>
        <w:t>Chu, Keh, 2006)</w:t>
      </w:r>
      <w:r w:rsidRPr="001F53E9">
        <w:rPr>
          <w:rFonts w:ascii="Arial" w:hAnsi="Arial" w:cs="Arial"/>
        </w:rPr>
        <w:t>.</w:t>
      </w:r>
    </w:p>
    <w:p w14:paraId="3092A85F" w14:textId="3B36E15C" w:rsidR="009D7D4B" w:rsidRDefault="001E4CCF" w:rsidP="009D7D4B">
      <w:pPr>
        <w:spacing w:after="0" w:line="360" w:lineRule="auto"/>
        <w:jc w:val="both"/>
        <w:rPr>
          <w:rFonts w:ascii="Arial" w:hAnsi="Arial" w:cs="Arial"/>
        </w:rPr>
      </w:pPr>
      <w:r>
        <w:rPr>
          <w:rFonts w:ascii="Arial" w:hAnsi="Arial" w:cs="Arial"/>
        </w:rPr>
        <w:t>Accor</w:t>
      </w:r>
      <w:r w:rsidR="00D1593F">
        <w:rPr>
          <w:rFonts w:ascii="Arial" w:hAnsi="Arial" w:cs="Arial"/>
        </w:rPr>
        <w:t>d</w:t>
      </w:r>
      <w:r>
        <w:rPr>
          <w:rFonts w:ascii="Arial" w:hAnsi="Arial" w:cs="Arial"/>
        </w:rPr>
        <w:t xml:space="preserve">ing to the below </w:t>
      </w:r>
      <w:r w:rsidR="00D1593F">
        <w:rPr>
          <w:rFonts w:ascii="Arial" w:hAnsi="Arial" w:cs="Arial"/>
        </w:rPr>
        <w:t>table</w:t>
      </w:r>
      <w:r w:rsidR="0030482E">
        <w:rPr>
          <w:rFonts w:ascii="Arial" w:hAnsi="Arial" w:cs="Arial"/>
        </w:rPr>
        <w:t>s</w:t>
      </w:r>
      <w:r w:rsidR="00CC3E6B">
        <w:rPr>
          <w:rFonts w:ascii="Arial" w:hAnsi="Arial" w:cs="Arial"/>
        </w:rPr>
        <w:t xml:space="preserve"> taken from the </w:t>
      </w:r>
      <w:r w:rsidR="000C2B49" w:rsidRPr="000C2B49">
        <w:rPr>
          <w:rFonts w:ascii="Arial" w:hAnsi="Arial" w:cs="Arial"/>
        </w:rPr>
        <w:t>Beiersdorf Annual Report 2025</w:t>
      </w:r>
      <w:r w:rsidR="00FE0E3B">
        <w:rPr>
          <w:rFonts w:ascii="Arial" w:hAnsi="Arial" w:cs="Arial"/>
        </w:rPr>
        <w:t>,</w:t>
      </w:r>
      <w:r w:rsidR="00D1593F">
        <w:rPr>
          <w:rFonts w:ascii="Arial" w:hAnsi="Arial" w:cs="Arial"/>
        </w:rPr>
        <w:t xml:space="preserve"> </w:t>
      </w:r>
      <w:r w:rsidR="00355C6B">
        <w:rPr>
          <w:rFonts w:ascii="Arial" w:hAnsi="Arial" w:cs="Arial"/>
        </w:rPr>
        <w:t>r</w:t>
      </w:r>
      <w:r w:rsidR="00BF7654" w:rsidRPr="00355C6B">
        <w:rPr>
          <w:rFonts w:ascii="Arial" w:hAnsi="Arial" w:cs="Arial"/>
        </w:rPr>
        <w:t>evenue exceed</w:t>
      </w:r>
      <w:r w:rsidR="001D77CF">
        <w:rPr>
          <w:rFonts w:ascii="Arial" w:hAnsi="Arial" w:cs="Arial"/>
        </w:rPr>
        <w:t>ed</w:t>
      </w:r>
      <w:r w:rsidR="00BF7654" w:rsidRPr="00355C6B">
        <w:rPr>
          <w:rFonts w:ascii="Arial" w:hAnsi="Arial" w:cs="Arial"/>
        </w:rPr>
        <w:t xml:space="preserve"> €9</w:t>
      </w:r>
      <w:r w:rsidR="00652813">
        <w:rPr>
          <w:rFonts w:ascii="Arial" w:hAnsi="Arial" w:cs="Arial"/>
        </w:rPr>
        <w:t>00</w:t>
      </w:r>
      <w:r w:rsidR="00BF7654" w:rsidRPr="00355C6B">
        <w:rPr>
          <w:rFonts w:ascii="Arial" w:hAnsi="Arial" w:cs="Arial"/>
        </w:rPr>
        <w:t xml:space="preserve"> </w:t>
      </w:r>
      <w:r>
        <w:rPr>
          <w:rFonts w:ascii="Arial" w:hAnsi="Arial" w:cs="Arial"/>
        </w:rPr>
        <w:t>m</w:t>
      </w:r>
      <w:r w:rsidR="00BF7654" w:rsidRPr="00355C6B">
        <w:rPr>
          <w:rFonts w:ascii="Arial" w:hAnsi="Arial" w:cs="Arial"/>
        </w:rPr>
        <w:t>illion across the group</w:t>
      </w:r>
      <w:r w:rsidR="00355C6B">
        <w:rPr>
          <w:rFonts w:ascii="Arial" w:hAnsi="Arial" w:cs="Arial"/>
        </w:rPr>
        <w:t xml:space="preserve">, </w:t>
      </w:r>
      <w:r w:rsidR="00C86A68">
        <w:rPr>
          <w:rFonts w:ascii="Arial" w:hAnsi="Arial" w:cs="Arial"/>
        </w:rPr>
        <w:t>like</w:t>
      </w:r>
      <w:r w:rsidR="00794598">
        <w:rPr>
          <w:rFonts w:ascii="Arial" w:hAnsi="Arial" w:cs="Arial"/>
        </w:rPr>
        <w:t xml:space="preserve"> the previous year</w:t>
      </w:r>
      <w:r w:rsidR="00C86A68">
        <w:rPr>
          <w:rFonts w:ascii="Arial" w:hAnsi="Arial" w:cs="Arial"/>
        </w:rPr>
        <w:t xml:space="preserve">. The group also </w:t>
      </w:r>
      <w:r w:rsidR="0092686B">
        <w:rPr>
          <w:rFonts w:ascii="Arial" w:hAnsi="Arial" w:cs="Arial"/>
        </w:rPr>
        <w:lastRenderedPageBreak/>
        <w:t xml:space="preserve">increased sales and </w:t>
      </w:r>
      <w:r w:rsidR="00F6366E">
        <w:rPr>
          <w:rFonts w:ascii="Arial" w:hAnsi="Arial" w:cs="Arial"/>
        </w:rPr>
        <w:t xml:space="preserve">delivered </w:t>
      </w:r>
      <w:r w:rsidR="0092686B">
        <w:rPr>
          <w:rFonts w:ascii="Arial" w:hAnsi="Arial" w:cs="Arial"/>
        </w:rPr>
        <w:t xml:space="preserve">a </w:t>
      </w:r>
      <w:r w:rsidR="00F6366E">
        <w:rPr>
          <w:rFonts w:ascii="Arial" w:hAnsi="Arial" w:cs="Arial"/>
        </w:rPr>
        <w:t>modest organic growth in Europe</w:t>
      </w:r>
      <w:r w:rsidR="002F1E39">
        <w:rPr>
          <w:rFonts w:ascii="Arial" w:hAnsi="Arial" w:cs="Arial"/>
        </w:rPr>
        <w:t xml:space="preserve"> (</w:t>
      </w:r>
      <w:r w:rsidR="00F761A4">
        <w:rPr>
          <w:rFonts w:ascii="Arial" w:hAnsi="Arial" w:cs="Arial"/>
        </w:rPr>
        <w:t>44.1</w:t>
      </w:r>
      <w:r w:rsidR="000D0CBA">
        <w:rPr>
          <w:rFonts w:ascii="Arial" w:hAnsi="Arial" w:cs="Arial"/>
        </w:rPr>
        <w:t>%)</w:t>
      </w:r>
      <w:r w:rsidR="00F6366E">
        <w:rPr>
          <w:rFonts w:ascii="Arial" w:hAnsi="Arial" w:cs="Arial"/>
        </w:rPr>
        <w:t xml:space="preserve"> </w:t>
      </w:r>
      <w:r w:rsidR="00432599">
        <w:rPr>
          <w:rFonts w:ascii="Arial" w:hAnsi="Arial" w:cs="Arial"/>
        </w:rPr>
        <w:t>and the Americas</w:t>
      </w:r>
      <w:r w:rsidR="000A39CB">
        <w:rPr>
          <w:rFonts w:ascii="Arial" w:hAnsi="Arial" w:cs="Arial"/>
        </w:rPr>
        <w:t xml:space="preserve"> (</w:t>
      </w:r>
      <w:r w:rsidR="00E87EFF">
        <w:rPr>
          <w:rFonts w:ascii="Arial" w:hAnsi="Arial" w:cs="Arial"/>
        </w:rPr>
        <w:t>25.4</w:t>
      </w:r>
      <w:r w:rsidR="0030482E">
        <w:rPr>
          <w:rFonts w:ascii="Arial" w:hAnsi="Arial" w:cs="Arial"/>
        </w:rPr>
        <w:t>%</w:t>
      </w:r>
      <w:r w:rsidR="00E87EFF">
        <w:rPr>
          <w:rFonts w:ascii="Arial" w:hAnsi="Arial" w:cs="Arial"/>
        </w:rPr>
        <w:t>)</w:t>
      </w:r>
      <w:r w:rsidR="00BE11DA">
        <w:rPr>
          <w:rFonts w:ascii="Arial" w:hAnsi="Arial" w:cs="Arial"/>
        </w:rPr>
        <w:t xml:space="preserve"> with strong</w:t>
      </w:r>
      <w:r w:rsidR="007A316D">
        <w:rPr>
          <w:rFonts w:ascii="Arial" w:hAnsi="Arial" w:cs="Arial"/>
        </w:rPr>
        <w:t xml:space="preserve"> growth in Asia</w:t>
      </w:r>
      <w:r w:rsidR="002F1E39">
        <w:rPr>
          <w:rFonts w:ascii="Arial" w:hAnsi="Arial" w:cs="Arial"/>
        </w:rPr>
        <w:t xml:space="preserve">, Africa and Australia </w:t>
      </w:r>
      <w:r w:rsidR="00F761A4">
        <w:rPr>
          <w:rFonts w:ascii="Arial" w:hAnsi="Arial" w:cs="Arial"/>
        </w:rPr>
        <w:t>(30.5</w:t>
      </w:r>
      <w:r w:rsidR="0030482E">
        <w:rPr>
          <w:rFonts w:ascii="Arial" w:hAnsi="Arial" w:cs="Arial"/>
        </w:rPr>
        <w:t>%</w:t>
      </w:r>
      <w:r w:rsidR="00F761A4">
        <w:rPr>
          <w:rFonts w:ascii="Arial" w:hAnsi="Arial" w:cs="Arial"/>
        </w:rPr>
        <w:t>)</w:t>
      </w:r>
      <w:r w:rsidR="000825ED">
        <w:rPr>
          <w:rFonts w:ascii="Arial" w:hAnsi="Arial" w:cs="Arial"/>
        </w:rPr>
        <w:t xml:space="preserve"> giving higher sales </w:t>
      </w:r>
      <w:r w:rsidR="00595E14">
        <w:rPr>
          <w:rFonts w:ascii="Arial" w:hAnsi="Arial" w:cs="Arial"/>
        </w:rPr>
        <w:t xml:space="preserve">by </w:t>
      </w:r>
      <w:r w:rsidR="00595E14" w:rsidRPr="00595E14">
        <w:rPr>
          <w:rFonts w:ascii="Arial" w:hAnsi="Arial" w:cs="Arial"/>
        </w:rPr>
        <w:t>€</w:t>
      </w:r>
      <w:r w:rsidR="00595E14">
        <w:rPr>
          <w:rFonts w:ascii="Arial" w:hAnsi="Arial" w:cs="Arial"/>
        </w:rPr>
        <w:t>3</w:t>
      </w:r>
      <w:r w:rsidR="002C5298">
        <w:rPr>
          <w:rFonts w:ascii="Arial" w:hAnsi="Arial" w:cs="Arial"/>
        </w:rPr>
        <w:t xml:space="preserve"> million for the year.</w:t>
      </w:r>
    </w:p>
    <w:p w14:paraId="39203ACB" w14:textId="77777777" w:rsidR="009D7D4B" w:rsidRDefault="00D30DA9" w:rsidP="009D7D4B">
      <w:pPr>
        <w:spacing w:line="360" w:lineRule="auto"/>
        <w:jc w:val="both"/>
        <w:rPr>
          <w:rFonts w:ascii="Arial" w:eastAsia="Times New Roman" w:hAnsi="Arial" w:cs="Arial"/>
          <w:color w:val="3356AB"/>
          <w:kern w:val="0"/>
          <w:sz w:val="30"/>
          <w:szCs w:val="30"/>
          <w:lang w:eastAsia="en-GB"/>
        </w:rPr>
      </w:pPr>
      <w:r w:rsidRPr="001C6389">
        <w:rPr>
          <w:rFonts w:ascii="Arial" w:eastAsia="Times New Roman" w:hAnsi="Arial" w:cs="Arial"/>
          <w:color w:val="3356AB"/>
          <w:kern w:val="0"/>
          <w:lang w:eastAsia="en-GB"/>
        </w:rPr>
        <w:t>Group Sales</w:t>
      </w:r>
      <w:r w:rsidR="001C6389" w:rsidRPr="001C6389">
        <w:rPr>
          <w:noProof/>
        </w:rPr>
        <w:t xml:space="preserve"> </w:t>
      </w:r>
      <w:r w:rsidR="001C6389" w:rsidRPr="001C6389">
        <w:rPr>
          <w:noProof/>
        </w:rPr>
        <mc:AlternateContent>
          <mc:Choice Requires="wps">
            <w:drawing>
              <wp:inline distT="0" distB="0" distL="0" distR="0" wp14:anchorId="20F2C760" wp14:editId="1CD782FF">
                <wp:extent cx="308610" cy="308610"/>
                <wp:effectExtent l="0" t="0" r="0" b="0"/>
                <wp:docPr id="439350098"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4539E3" id="AutoShape 3"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" filled="f" stroked="f">
                <o:lock v:ext="edit" aspectratio="t"/>
                <w10:anchorlock/>
              </v:rect>
            </w:pict>
          </mc:Fallback>
        </mc:AlternateContent>
      </w:r>
      <w:r w:rsidR="00AD3934" w:rsidRPr="00AD3934">
        <w:rPr>
          <w:rFonts w:ascii="Arial" w:eastAsia="Times New Roman" w:hAnsi="Arial" w:cs="Arial"/>
          <w:color w:val="3356AB"/>
          <w:kern w:val="0"/>
          <w:sz w:val="30"/>
          <w:szCs w:val="30"/>
          <w:lang w:eastAsia="en-GB"/>
        </w:rPr>
        <w:t xml:space="preserve"> </w:t>
      </w:r>
      <w:r w:rsidR="00AD3934">
        <w:rPr>
          <w:rFonts w:ascii="Arial" w:eastAsia="Times New Roman" w:hAnsi="Arial" w:cs="Arial"/>
          <w:color w:val="3356AB"/>
          <w:kern w:val="0"/>
          <w:sz w:val="30"/>
          <w:szCs w:val="30"/>
          <w:lang w:eastAsia="en-GB"/>
        </w:rPr>
        <w:tab/>
      </w:r>
      <w:r w:rsidR="00AD3934">
        <w:rPr>
          <w:rFonts w:ascii="Arial" w:eastAsia="Times New Roman" w:hAnsi="Arial" w:cs="Arial"/>
          <w:color w:val="3356AB"/>
          <w:kern w:val="0"/>
          <w:sz w:val="30"/>
          <w:szCs w:val="30"/>
          <w:lang w:eastAsia="en-GB"/>
        </w:rPr>
        <w:tab/>
      </w:r>
      <w:r w:rsidR="00AD3934">
        <w:rPr>
          <w:rFonts w:ascii="Arial" w:eastAsia="Times New Roman" w:hAnsi="Arial" w:cs="Arial"/>
          <w:color w:val="3356AB"/>
          <w:kern w:val="0"/>
          <w:sz w:val="30"/>
          <w:szCs w:val="30"/>
          <w:lang w:eastAsia="en-GB"/>
        </w:rPr>
        <w:tab/>
      </w:r>
      <w:r w:rsidR="00AD3934">
        <w:rPr>
          <w:rFonts w:ascii="Arial" w:eastAsia="Times New Roman" w:hAnsi="Arial" w:cs="Arial"/>
          <w:color w:val="3356AB"/>
          <w:kern w:val="0"/>
          <w:sz w:val="30"/>
          <w:szCs w:val="30"/>
          <w:lang w:eastAsia="en-GB"/>
        </w:rPr>
        <w:tab/>
      </w:r>
      <w:r w:rsidR="00AD3934">
        <w:rPr>
          <w:rFonts w:ascii="Arial" w:eastAsia="Times New Roman" w:hAnsi="Arial" w:cs="Arial"/>
          <w:color w:val="3356AB"/>
          <w:kern w:val="0"/>
          <w:sz w:val="30"/>
          <w:szCs w:val="30"/>
          <w:lang w:eastAsia="en-GB"/>
        </w:rPr>
        <w:tab/>
      </w:r>
      <w:r w:rsidR="00AD3934" w:rsidRPr="00AD3934">
        <w:rPr>
          <w:rFonts w:ascii="Arial" w:eastAsia="Times New Roman" w:hAnsi="Arial" w:cs="Arial"/>
          <w:color w:val="3356AB"/>
          <w:kern w:val="0"/>
          <w:lang w:eastAsia="en-GB"/>
        </w:rPr>
        <w:t>Group Sales by Regions 2025</w:t>
      </w:r>
    </w:p>
    <w:p w14:paraId="25279C0E" w14:textId="282BFB0D" w:rsidR="00D30DA9" w:rsidRPr="009D7D4B" w:rsidRDefault="00C8371D" w:rsidP="009D7D4B">
      <w:pPr>
        <w:spacing w:line="360" w:lineRule="auto"/>
        <w:jc w:val="both"/>
        <w:rPr>
          <w:rFonts w:ascii="Arial" w:eastAsia="Times New Roman" w:hAnsi="Arial" w:cs="Arial"/>
          <w:color w:val="3356AB"/>
          <w:kern w:val="0"/>
          <w:sz w:val="30"/>
          <w:szCs w:val="30"/>
          <w:lang w:eastAsia="en-GB"/>
        </w:rPr>
      </w:pPr>
      <w:r>
        <w:rPr>
          <w:rFonts w:ascii="Arial" w:hAnsi="Arial" w:cs="Arial"/>
          <w:noProof/>
        </w:rPr>
        <w:drawing>
          <wp:anchor distT="0" distB="0" distL="114300" distR="114300" simplePos="0" relativeHeight="251666432" behindDoc="1" locked="0" layoutInCell="1" allowOverlap="1" wp14:anchorId="1DCAB978" wp14:editId="5C2AA6B3">
            <wp:simplePos x="0" y="0"/>
            <wp:positionH relativeFrom="column">
              <wp:posOffset>3242310</wp:posOffset>
            </wp:positionH>
            <wp:positionV relativeFrom="paragraph">
              <wp:posOffset>213995</wp:posOffset>
            </wp:positionV>
            <wp:extent cx="2381250" cy="1715135"/>
            <wp:effectExtent l="0" t="0" r="0" b="0"/>
            <wp:wrapTight wrapText="bothSides">
              <wp:wrapPolygon edited="0">
                <wp:start x="0" y="1439"/>
                <wp:lineTo x="0" y="8157"/>
                <wp:lineTo x="5184" y="9596"/>
                <wp:lineTo x="0" y="10796"/>
                <wp:lineTo x="0" y="15834"/>
                <wp:lineTo x="6394" y="17274"/>
                <wp:lineTo x="6394" y="17753"/>
                <wp:lineTo x="10022" y="20153"/>
                <wp:lineTo x="11232" y="20153"/>
                <wp:lineTo x="12096" y="19673"/>
                <wp:lineTo x="15034" y="17753"/>
                <wp:lineTo x="15034" y="17274"/>
                <wp:lineTo x="21427" y="14155"/>
                <wp:lineTo x="21427" y="9117"/>
                <wp:lineTo x="19699" y="8397"/>
                <wp:lineTo x="14515" y="5038"/>
                <wp:lineTo x="11578" y="4078"/>
                <wp:lineTo x="3283" y="1439"/>
                <wp:lineTo x="0" y="1439"/>
              </wp:wrapPolygon>
            </wp:wrapTight>
            <wp:docPr id="942675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71513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5408" behindDoc="0" locked="0" layoutInCell="1" allowOverlap="1" wp14:anchorId="0F7C000A" wp14:editId="008A7198">
            <wp:simplePos x="0" y="0"/>
            <wp:positionH relativeFrom="margin">
              <wp:align>left</wp:align>
            </wp:positionH>
            <wp:positionV relativeFrom="paragraph">
              <wp:posOffset>339725</wp:posOffset>
            </wp:positionV>
            <wp:extent cx="2040890" cy="1470025"/>
            <wp:effectExtent l="0" t="0" r="0" b="0"/>
            <wp:wrapThrough wrapText="bothSides">
              <wp:wrapPolygon edited="0">
                <wp:start x="0" y="0"/>
                <wp:lineTo x="0" y="1400"/>
                <wp:lineTo x="6653" y="4479"/>
                <wp:lineTo x="4839" y="5038"/>
                <wp:lineTo x="605" y="6998"/>
                <wp:lineTo x="0" y="19594"/>
                <wp:lineTo x="0" y="20154"/>
                <wp:lineTo x="202" y="21273"/>
                <wp:lineTo x="21170" y="21273"/>
                <wp:lineTo x="21371" y="20154"/>
                <wp:lineTo x="21371" y="0"/>
                <wp:lineTo x="0" y="0"/>
              </wp:wrapPolygon>
            </wp:wrapThrough>
            <wp:docPr id="2041360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40890" cy="1470025"/>
                    </a:xfrm>
                    <a:prstGeom prst="rect">
                      <a:avLst/>
                    </a:prstGeom>
                    <a:noFill/>
                  </pic:spPr>
                </pic:pic>
              </a:graphicData>
            </a:graphic>
            <wp14:sizeRelH relativeFrom="margin">
              <wp14:pctWidth>0</wp14:pctWidth>
            </wp14:sizeRelH>
            <wp14:sizeRelV relativeFrom="margin">
              <wp14:pctHeight>0</wp14:pctHeight>
            </wp14:sizeRelV>
          </wp:anchor>
        </w:drawing>
      </w:r>
      <w:r w:rsidR="00D30DA9" w:rsidRPr="001C6389">
        <w:rPr>
          <w:rFonts w:ascii="Arial" w:eastAsia="Times New Roman" w:hAnsi="Arial" w:cs="Arial"/>
          <w:color w:val="69635F"/>
          <w:kern w:val="0"/>
          <w:sz w:val="22"/>
          <w:szCs w:val="22"/>
          <w:lang w:eastAsia="en-GB"/>
        </w:rPr>
        <w:t>(in € million)</w:t>
      </w:r>
      <w:r w:rsidR="00B1676B">
        <w:rPr>
          <w:rFonts w:ascii="Arial" w:eastAsia="Times New Roman" w:hAnsi="Arial" w:cs="Arial"/>
          <w:color w:val="69635F"/>
          <w:kern w:val="0"/>
          <w:sz w:val="22"/>
          <w:szCs w:val="22"/>
          <w:lang w:eastAsia="en-GB"/>
        </w:rPr>
        <w:tab/>
      </w:r>
      <w:r w:rsidR="00B1676B">
        <w:rPr>
          <w:rFonts w:ascii="Arial" w:eastAsia="Times New Roman" w:hAnsi="Arial" w:cs="Arial"/>
          <w:color w:val="69635F"/>
          <w:kern w:val="0"/>
          <w:sz w:val="22"/>
          <w:szCs w:val="22"/>
          <w:lang w:eastAsia="en-GB"/>
        </w:rPr>
        <w:tab/>
      </w:r>
      <w:r w:rsidR="00B1676B">
        <w:rPr>
          <w:rFonts w:ascii="Arial" w:eastAsia="Times New Roman" w:hAnsi="Arial" w:cs="Arial"/>
          <w:color w:val="69635F"/>
          <w:kern w:val="0"/>
          <w:sz w:val="22"/>
          <w:szCs w:val="22"/>
          <w:lang w:eastAsia="en-GB"/>
        </w:rPr>
        <w:tab/>
      </w:r>
      <w:r w:rsidR="00B1676B">
        <w:rPr>
          <w:rFonts w:ascii="Arial" w:eastAsia="Times New Roman" w:hAnsi="Arial" w:cs="Arial"/>
          <w:color w:val="69635F"/>
          <w:kern w:val="0"/>
          <w:sz w:val="22"/>
          <w:szCs w:val="22"/>
          <w:lang w:eastAsia="en-GB"/>
        </w:rPr>
        <w:tab/>
      </w:r>
      <w:r w:rsidR="00B1676B">
        <w:rPr>
          <w:rFonts w:ascii="Arial" w:eastAsia="Times New Roman" w:hAnsi="Arial" w:cs="Arial"/>
          <w:color w:val="69635F"/>
          <w:kern w:val="0"/>
          <w:sz w:val="22"/>
          <w:szCs w:val="22"/>
          <w:lang w:eastAsia="en-GB"/>
        </w:rPr>
        <w:tab/>
      </w:r>
      <w:r w:rsidR="00B1676B">
        <w:rPr>
          <w:rFonts w:ascii="Arial" w:eastAsia="Times New Roman" w:hAnsi="Arial" w:cs="Arial"/>
          <w:color w:val="69635F"/>
          <w:kern w:val="0"/>
          <w:sz w:val="22"/>
          <w:szCs w:val="22"/>
          <w:lang w:eastAsia="en-GB"/>
        </w:rPr>
        <w:tab/>
      </w:r>
      <w:r w:rsidR="00B1676B" w:rsidRPr="00B1676B">
        <w:rPr>
          <w:rFonts w:ascii="Arial" w:eastAsia="Times New Roman" w:hAnsi="Arial" w:cs="Arial"/>
          <w:color w:val="69635F"/>
          <w:kern w:val="0"/>
          <w:sz w:val="22"/>
          <w:szCs w:val="22"/>
          <w:lang w:eastAsia="en-GB"/>
        </w:rPr>
        <w:t>(in %)</w:t>
      </w:r>
      <w:r w:rsidR="00B1676B" w:rsidRPr="00B1676B">
        <w:rPr>
          <w:rFonts w:ascii="Arial" w:eastAsia="Times New Roman" w:hAnsi="Arial" w:cs="Arial"/>
          <w:color w:val="69635F"/>
          <w:kern w:val="0"/>
          <w:sz w:val="22"/>
          <w:szCs w:val="22"/>
          <w:lang w:eastAsia="en-GB"/>
        </w:rPr>
        <w:tab/>
      </w:r>
    </w:p>
    <w:p w14:paraId="48D5AD5F" w14:textId="3BCB69A5" w:rsidR="00817928" w:rsidRDefault="00D30DA9" w:rsidP="00190383">
      <w:pPr>
        <w:spacing w:line="360" w:lineRule="auto"/>
        <w:jc w:val="both"/>
        <w:rPr>
          <w:rFonts w:ascii="Arial" w:hAnsi="Arial" w:cs="Arial"/>
        </w:rPr>
      </w:pPr>
      <w:r>
        <w:rPr>
          <w:rFonts w:ascii="Arial" w:hAnsi="Arial" w:cs="Arial"/>
        </w:rPr>
        <w:t xml:space="preserve"> </w:t>
      </w:r>
    </w:p>
    <w:p w14:paraId="7CA7A1E2" w14:textId="77777777" w:rsidR="00817928" w:rsidRDefault="00817928" w:rsidP="00190383">
      <w:pPr>
        <w:spacing w:line="360" w:lineRule="auto"/>
        <w:jc w:val="both"/>
        <w:rPr>
          <w:rFonts w:ascii="Arial" w:hAnsi="Arial" w:cs="Arial"/>
        </w:rPr>
      </w:pPr>
    </w:p>
    <w:p w14:paraId="2D34F7A0" w14:textId="77777777" w:rsidR="00817928" w:rsidRDefault="00817928" w:rsidP="00190383">
      <w:pPr>
        <w:spacing w:line="360" w:lineRule="auto"/>
        <w:jc w:val="both"/>
        <w:rPr>
          <w:rFonts w:ascii="Arial" w:hAnsi="Arial" w:cs="Arial"/>
        </w:rPr>
      </w:pPr>
    </w:p>
    <w:p w14:paraId="4C210197" w14:textId="57264556" w:rsidR="00817928" w:rsidRDefault="009D7D4B" w:rsidP="00190383">
      <w:pPr>
        <w:spacing w:line="360" w:lineRule="auto"/>
        <w:jc w:val="both"/>
        <w:rPr>
          <w:rFonts w:ascii="Arial" w:hAnsi="Arial" w:cs="Arial"/>
        </w:rPr>
      </w:pPr>
      <w:r w:rsidRPr="009D7D4B">
        <w:rPr>
          <w:rFonts w:ascii="Arial" w:hAnsi="Arial" w:cs="Arial"/>
          <w:noProof/>
        </w:rPr>
        <mc:AlternateContent>
          <mc:Choice Requires="wps">
            <w:drawing>
              <wp:anchor distT="45720" distB="45720" distL="114300" distR="114300" simplePos="0" relativeHeight="251668480" behindDoc="1" locked="0" layoutInCell="1" allowOverlap="1" wp14:anchorId="723EDC04" wp14:editId="3FB1BA6A">
                <wp:simplePos x="0" y="0"/>
                <wp:positionH relativeFrom="margin">
                  <wp:align>center</wp:align>
                </wp:positionH>
                <wp:positionV relativeFrom="paragraph">
                  <wp:posOffset>457997</wp:posOffset>
                </wp:positionV>
                <wp:extent cx="6166883" cy="509905"/>
                <wp:effectExtent l="0" t="0" r="5715"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6883" cy="509905"/>
                        </a:xfrm>
                        <a:prstGeom prst="rect">
                          <a:avLst/>
                        </a:prstGeom>
                        <a:solidFill>
                          <a:srgbClr val="FFFFFF"/>
                        </a:solidFill>
                        <a:ln w="9525">
                          <a:noFill/>
                          <a:miter lim="800000"/>
                          <a:headEnd/>
                          <a:tailEnd/>
                        </a:ln>
                      </wps:spPr>
                      <wps:txbx>
                        <w:txbxContent>
                          <w:p w14:paraId="166CC56B" w14:textId="2B9670A4" w:rsidR="009D7D4B" w:rsidRPr="009D7D4B" w:rsidRDefault="006615E4">
                            <w:pPr>
                              <w:rPr>
                                <w:rFonts w:ascii="Arial" w:hAnsi="Arial" w:cs="Arial"/>
                              </w:rPr>
                            </w:pPr>
                            <w:r>
                              <w:rPr>
                                <w:rFonts w:ascii="Arial" w:hAnsi="Arial" w:cs="Arial"/>
                              </w:rPr>
                              <w:t>Group Sales</w:t>
                            </w:r>
                            <w:r w:rsidR="00D01527">
                              <w:rPr>
                                <w:rFonts w:ascii="Arial" w:hAnsi="Arial" w:cs="Arial"/>
                              </w:rPr>
                              <w:t xml:space="preserve"> (</w:t>
                            </w:r>
                            <w:r w:rsidR="00D01527" w:rsidRPr="00D01527">
                              <w:rPr>
                                <w:rFonts w:ascii="Arial" w:hAnsi="Arial" w:cs="Arial"/>
                              </w:rPr>
                              <w:t>Beiersdorf</w:t>
                            </w:r>
                            <w:r w:rsidR="00D01527">
                              <w:rPr>
                                <w:rFonts w:ascii="Arial" w:hAnsi="Arial" w:cs="Arial"/>
                              </w:rPr>
                              <w:t xml:space="preserve">, </w:t>
                            </w:r>
                            <w:r w:rsidR="00D01527" w:rsidRPr="00D01527">
                              <w:rPr>
                                <w:rFonts w:ascii="Arial" w:hAnsi="Arial" w:cs="Arial"/>
                              </w:rPr>
                              <w:t>2025</w:t>
                            </w:r>
                            <w:r w:rsidR="00D01527">
                              <w:rPr>
                                <w:rFonts w:ascii="Arial" w:hAnsi="Arial" w:cs="Arial"/>
                              </w:rPr>
                              <w:t>)</w:t>
                            </w:r>
                            <w:r w:rsidR="009D7D4B" w:rsidRPr="009D7D4B">
                              <w:rPr>
                                <w:rFonts w:ascii="Arial" w:hAnsi="Arial" w:cs="Arial"/>
                              </w:rPr>
                              <w:tab/>
                            </w:r>
                            <w:r w:rsidR="000E7BAF">
                              <w:rPr>
                                <w:rFonts w:ascii="Arial" w:hAnsi="Arial" w:cs="Arial"/>
                              </w:rPr>
                              <w:t xml:space="preserve">      </w:t>
                            </w:r>
                            <w:r w:rsidR="008B3150">
                              <w:rPr>
                                <w:rFonts w:ascii="Arial" w:hAnsi="Arial" w:cs="Arial"/>
                              </w:rPr>
                              <w:tab/>
                            </w:r>
                            <w:r>
                              <w:rPr>
                                <w:rFonts w:ascii="Arial" w:hAnsi="Arial" w:cs="Arial"/>
                              </w:rPr>
                              <w:tab/>
                            </w:r>
                            <w:r w:rsidR="00D01527">
                              <w:rPr>
                                <w:rFonts w:ascii="Arial" w:hAnsi="Arial" w:cs="Arial"/>
                              </w:rPr>
                              <w:t xml:space="preserve">Group Sale by Region </w:t>
                            </w:r>
                            <w:r w:rsidR="00D01527" w:rsidRPr="00D01527">
                              <w:rPr>
                                <w:rFonts w:ascii="Arial" w:hAnsi="Arial" w:cs="Arial"/>
                              </w:rPr>
                              <w:t>(Beiersdorf, 2025)</w:t>
                            </w:r>
                            <w:r w:rsidR="00D01527" w:rsidRPr="00D01527">
                              <w:rPr>
                                <w:rFonts w:ascii="Arial" w:hAnsi="Arial" w:cs="Arial"/>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3EDC04" id="_x0000_t202" coordsize="21600,21600" o:spt="202" path="m,l,21600r21600,l21600,xe">
                <v:stroke joinstyle="miter"/>
                <v:path gradientshapeok="t" o:connecttype="rect"/>
              </v:shapetype>
              <v:shape id="Text Box 2" o:spid="_x0000_s1026" type="#_x0000_t202" style="position:absolute;left:0;text-align:left;margin-left:0;margin-top:36.05pt;width:485.6pt;height:40.15pt;z-index:-2516480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" stroked="f">
                <v:textbox>
                  <w:txbxContent>
                    <w:p w14:paraId="166CC56B" w14:textId="2B9670A4" w:rsidR="009D7D4B" w:rsidRPr="009D7D4B" w:rsidRDefault="006615E4">
                      <w:pPr>
                        <w:rPr>
                          <w:rFonts w:ascii="Arial" w:hAnsi="Arial" w:cs="Arial"/>
                        </w:rPr>
                      </w:pPr>
                      <w:r>
                        <w:rPr>
                          <w:rFonts w:ascii="Arial" w:hAnsi="Arial" w:cs="Arial"/>
                        </w:rPr>
                        <w:t>Group Sales</w:t>
                      </w:r>
                      <w:r w:rsidR="00D01527">
                        <w:rPr>
                          <w:rFonts w:ascii="Arial" w:hAnsi="Arial" w:cs="Arial"/>
                        </w:rPr>
                        <w:t xml:space="preserve"> (</w:t>
                      </w:r>
                      <w:r w:rsidR="00D01527" w:rsidRPr="00D01527">
                        <w:rPr>
                          <w:rFonts w:ascii="Arial" w:hAnsi="Arial" w:cs="Arial"/>
                        </w:rPr>
                        <w:t>Beiersdorf</w:t>
                      </w:r>
                      <w:r w:rsidR="00D01527">
                        <w:rPr>
                          <w:rFonts w:ascii="Arial" w:hAnsi="Arial" w:cs="Arial"/>
                        </w:rPr>
                        <w:t xml:space="preserve">, </w:t>
                      </w:r>
                      <w:r w:rsidR="00D01527" w:rsidRPr="00D01527">
                        <w:rPr>
                          <w:rFonts w:ascii="Arial" w:hAnsi="Arial" w:cs="Arial"/>
                        </w:rPr>
                        <w:t>2025</w:t>
                      </w:r>
                      <w:r w:rsidR="00D01527">
                        <w:rPr>
                          <w:rFonts w:ascii="Arial" w:hAnsi="Arial" w:cs="Arial"/>
                        </w:rPr>
                        <w:t>)</w:t>
                      </w:r>
                      <w:r w:rsidR="009D7D4B" w:rsidRPr="009D7D4B">
                        <w:rPr>
                          <w:rFonts w:ascii="Arial" w:hAnsi="Arial" w:cs="Arial"/>
                        </w:rPr>
                        <w:tab/>
                      </w:r>
                      <w:r w:rsidR="000E7BAF">
                        <w:rPr>
                          <w:rFonts w:ascii="Arial" w:hAnsi="Arial" w:cs="Arial"/>
                        </w:rPr>
                        <w:t xml:space="preserve">      </w:t>
                      </w:r>
                      <w:r w:rsidR="008B3150">
                        <w:rPr>
                          <w:rFonts w:ascii="Arial" w:hAnsi="Arial" w:cs="Arial"/>
                        </w:rPr>
                        <w:tab/>
                      </w:r>
                      <w:r>
                        <w:rPr>
                          <w:rFonts w:ascii="Arial" w:hAnsi="Arial" w:cs="Arial"/>
                        </w:rPr>
                        <w:tab/>
                      </w:r>
                      <w:r w:rsidR="00D01527">
                        <w:rPr>
                          <w:rFonts w:ascii="Arial" w:hAnsi="Arial" w:cs="Arial"/>
                        </w:rPr>
                        <w:t xml:space="preserve">Group Sale by Region </w:t>
                      </w:r>
                      <w:r w:rsidR="00D01527" w:rsidRPr="00D01527">
                        <w:rPr>
                          <w:rFonts w:ascii="Arial" w:hAnsi="Arial" w:cs="Arial"/>
                        </w:rPr>
                        <w:t>(Beiersdorf, 2025)</w:t>
                      </w:r>
                      <w:r w:rsidR="00D01527" w:rsidRPr="00D01527">
                        <w:rPr>
                          <w:rFonts w:ascii="Arial" w:hAnsi="Arial" w:cs="Arial"/>
                        </w:rPr>
                        <w:tab/>
                      </w:r>
                    </w:p>
                  </w:txbxContent>
                </v:textbox>
                <w10:wrap anchorx="margin"/>
              </v:shape>
            </w:pict>
          </mc:Fallback>
        </mc:AlternateContent>
      </w:r>
    </w:p>
    <w:p w14:paraId="18A7F581" w14:textId="77777777" w:rsidR="00797064" w:rsidRDefault="00797064" w:rsidP="00D037D9">
      <w:pPr>
        <w:pStyle w:val="Heading1"/>
      </w:pPr>
    </w:p>
    <w:p w14:paraId="03D53500" w14:textId="502AE535" w:rsidR="004C130D" w:rsidRPr="0030482E" w:rsidRDefault="004C130D" w:rsidP="00D037D9">
      <w:pPr>
        <w:pStyle w:val="Heading1"/>
      </w:pPr>
      <w:bookmarkStart w:id="11" w:name="_Toc235135095"/>
      <w:r w:rsidRPr="0030482E">
        <w:t>Direct Competitors</w:t>
      </w:r>
      <w:bookmarkEnd w:id="11"/>
    </w:p>
    <w:p w14:paraId="0951144E" w14:textId="5CB9C1E1" w:rsidR="001904B8" w:rsidRPr="001904B8" w:rsidRDefault="001904B8" w:rsidP="00190383">
      <w:pPr>
        <w:spacing w:line="360" w:lineRule="auto"/>
        <w:jc w:val="both"/>
        <w:rPr>
          <w:rFonts w:ascii="Arial" w:hAnsi="Arial" w:cs="Arial"/>
        </w:rPr>
      </w:pPr>
      <w:r w:rsidRPr="001904B8">
        <w:rPr>
          <w:rFonts w:ascii="Arial" w:hAnsi="Arial" w:cs="Arial"/>
        </w:rPr>
        <w:t>These brands compete most closely with Nivea on price, distribution, and target audience.</w:t>
      </w:r>
    </w:p>
    <w:p w14:paraId="2C544F26" w14:textId="4CC7CD7B"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Vaseline (Unilever) – petroleum jelly and moisturisers.</w:t>
      </w:r>
    </w:p>
    <w:p w14:paraId="2A23CA00" w14:textId="563BBCD3"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Dove (Unilever) – body care, moisturisers, and cleansing products.</w:t>
      </w:r>
    </w:p>
    <w:p w14:paraId="0E46C46C" w14:textId="7F7F6B13"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Olay (Procter &amp; Gamble) – facial moisturisers and anti</w:t>
      </w:r>
      <w:r w:rsidRPr="001904B8">
        <w:rPr>
          <w:rFonts w:ascii="Cambria Math" w:hAnsi="Cambria Math" w:cs="Cambria Math"/>
        </w:rPr>
        <w:t>‑</w:t>
      </w:r>
      <w:r w:rsidRPr="001904B8">
        <w:rPr>
          <w:rFonts w:ascii="Arial" w:hAnsi="Arial" w:cs="Arial"/>
        </w:rPr>
        <w:t>ageing.</w:t>
      </w:r>
    </w:p>
    <w:p w14:paraId="6C7C2C8C" w14:textId="55CCD16C"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Garnier (L’Oréal) – skincare, body care, and sun care</w:t>
      </w:r>
      <w:r w:rsidR="005B2DA2">
        <w:rPr>
          <w:rFonts w:ascii="Arial" w:hAnsi="Arial" w:cs="Arial"/>
        </w:rPr>
        <w:t xml:space="preserve"> </w:t>
      </w:r>
      <w:r w:rsidR="005B2DA2" w:rsidRPr="005B2DA2">
        <w:rPr>
          <w:rFonts w:ascii="Arial" w:hAnsi="Arial" w:cs="Arial"/>
        </w:rPr>
        <w:t>(Amalancei, 2013).</w:t>
      </w:r>
    </w:p>
    <w:p w14:paraId="2F08B98B" w14:textId="78A96D43"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Johnson’s (Johnson &amp; Johnson) – family</w:t>
      </w:r>
      <w:r w:rsidRPr="001904B8">
        <w:rPr>
          <w:rFonts w:ascii="Cambria Math" w:hAnsi="Cambria Math" w:cs="Cambria Math"/>
        </w:rPr>
        <w:t>‑</w:t>
      </w:r>
      <w:r w:rsidRPr="001904B8">
        <w:rPr>
          <w:rFonts w:ascii="Arial" w:hAnsi="Arial" w:cs="Arial"/>
        </w:rPr>
        <w:t>oriented skincare and baby care.</w:t>
      </w:r>
    </w:p>
    <w:p w14:paraId="5B6FEDB9" w14:textId="619DAAAC"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Palmers – body lotions and moisturising products.</w:t>
      </w:r>
    </w:p>
    <w:p w14:paraId="414C7971" w14:textId="2A327705" w:rsidR="001904B8" w:rsidRPr="001904B8" w:rsidRDefault="001904B8" w:rsidP="00190383">
      <w:pPr>
        <w:pStyle w:val="ListParagraph"/>
        <w:numPr>
          <w:ilvl w:val="0"/>
          <w:numId w:val="11"/>
        </w:numPr>
        <w:spacing w:line="360" w:lineRule="auto"/>
        <w:jc w:val="both"/>
        <w:rPr>
          <w:rFonts w:ascii="Arial" w:hAnsi="Arial" w:cs="Arial"/>
        </w:rPr>
      </w:pPr>
      <w:r w:rsidRPr="001904B8">
        <w:rPr>
          <w:rFonts w:ascii="Arial" w:hAnsi="Arial" w:cs="Arial"/>
        </w:rPr>
        <w:t>Aveeno (Johnson &amp; Johnson) – natural</w:t>
      </w:r>
      <w:r w:rsidRPr="001904B8">
        <w:rPr>
          <w:rFonts w:ascii="Cambria Math" w:hAnsi="Cambria Math" w:cs="Cambria Math"/>
        </w:rPr>
        <w:t>‑</w:t>
      </w:r>
      <w:r w:rsidRPr="001904B8">
        <w:rPr>
          <w:rFonts w:ascii="Arial" w:hAnsi="Arial" w:cs="Arial"/>
        </w:rPr>
        <w:t>ingredient</w:t>
      </w:r>
      <w:r w:rsidRPr="001904B8">
        <w:rPr>
          <w:rFonts w:ascii="Cambria Math" w:hAnsi="Cambria Math" w:cs="Cambria Math"/>
        </w:rPr>
        <w:t>‑</w:t>
      </w:r>
      <w:r w:rsidRPr="001904B8">
        <w:rPr>
          <w:rFonts w:ascii="Arial" w:hAnsi="Arial" w:cs="Arial"/>
        </w:rPr>
        <w:t>based skincare</w:t>
      </w:r>
      <w:r w:rsidR="009B3B8A" w:rsidRPr="009B3B8A">
        <w:t xml:space="preserve"> </w:t>
      </w:r>
      <w:r w:rsidR="009B3B8A">
        <w:t>(</w:t>
      </w:r>
      <w:r w:rsidR="009B3B8A" w:rsidRPr="009B3B8A">
        <w:rPr>
          <w:rFonts w:ascii="Arial" w:hAnsi="Arial" w:cs="Arial"/>
        </w:rPr>
        <w:t>Išoraitė, Tvaronavičienė, 2015)</w:t>
      </w:r>
      <w:r w:rsidRPr="001904B8">
        <w:rPr>
          <w:rFonts w:ascii="Arial" w:hAnsi="Arial" w:cs="Arial"/>
        </w:rPr>
        <w:t>.</w:t>
      </w:r>
    </w:p>
    <w:p w14:paraId="05BE995A" w14:textId="2DDBBAE5" w:rsidR="004C130D" w:rsidRDefault="001904B8" w:rsidP="00190383">
      <w:pPr>
        <w:spacing w:line="360" w:lineRule="auto"/>
        <w:jc w:val="both"/>
        <w:rPr>
          <w:rFonts w:ascii="Arial" w:hAnsi="Arial" w:cs="Arial"/>
        </w:rPr>
      </w:pPr>
      <w:r w:rsidRPr="001904B8">
        <w:rPr>
          <w:rFonts w:ascii="Arial" w:hAnsi="Arial" w:cs="Arial"/>
        </w:rPr>
        <w:t>These brands compete directly with Nivea Crème in moisturisation, body care, and everyday skincare.</w:t>
      </w:r>
    </w:p>
    <w:p w14:paraId="4D3CA0E7" w14:textId="77777777" w:rsidR="00580C04" w:rsidRPr="00BB5872" w:rsidRDefault="00580C04" w:rsidP="00D037D9">
      <w:pPr>
        <w:pStyle w:val="Heading1"/>
      </w:pPr>
      <w:bookmarkStart w:id="12" w:name="_Toc235135096"/>
      <w:r w:rsidRPr="00BB5872">
        <w:t>Top Opportunities</w:t>
      </w:r>
      <w:bookmarkEnd w:id="12"/>
    </w:p>
    <w:p w14:paraId="44FAE3EC" w14:textId="639DFDD5" w:rsidR="00580C04" w:rsidRPr="00580C04" w:rsidRDefault="00580C04" w:rsidP="00190383">
      <w:pPr>
        <w:spacing w:line="360" w:lineRule="auto"/>
        <w:jc w:val="both"/>
        <w:rPr>
          <w:rFonts w:ascii="Arial" w:hAnsi="Arial" w:cs="Arial"/>
        </w:rPr>
      </w:pPr>
      <w:r w:rsidRPr="00580C04">
        <w:rPr>
          <w:rFonts w:ascii="Arial" w:hAnsi="Arial" w:cs="Arial"/>
        </w:rPr>
        <w:t xml:space="preserve">Growing demand for sustainable and natural skincare </w:t>
      </w:r>
      <w:r w:rsidR="003C7ADD">
        <w:rPr>
          <w:rFonts w:ascii="Arial" w:hAnsi="Arial" w:cs="Arial"/>
        </w:rPr>
        <w:t>offering the</w:t>
      </w:r>
      <w:r w:rsidRPr="00580C04">
        <w:rPr>
          <w:rFonts w:ascii="Arial" w:hAnsi="Arial" w:cs="Arial"/>
        </w:rPr>
        <w:t xml:space="preserve"> chance to innovate and reposition Nivea Crème.</w:t>
      </w:r>
      <w:r w:rsidR="003C7ADD">
        <w:rPr>
          <w:rFonts w:ascii="Arial" w:hAnsi="Arial" w:cs="Arial"/>
        </w:rPr>
        <w:t xml:space="preserve"> </w:t>
      </w:r>
      <w:r w:rsidRPr="00580C04">
        <w:rPr>
          <w:rFonts w:ascii="Arial" w:hAnsi="Arial" w:cs="Arial"/>
        </w:rPr>
        <w:t>Expansion in emerging markets with rising middle</w:t>
      </w:r>
      <w:r w:rsidRPr="00580C04">
        <w:rPr>
          <w:rFonts w:ascii="Cambria Math" w:hAnsi="Cambria Math" w:cs="Cambria Math"/>
        </w:rPr>
        <w:t>‑</w:t>
      </w:r>
      <w:r w:rsidRPr="00580C04">
        <w:rPr>
          <w:rFonts w:ascii="Arial" w:hAnsi="Arial" w:cs="Arial"/>
        </w:rPr>
        <w:t>class consumers.</w:t>
      </w:r>
      <w:r w:rsidR="00810BEE">
        <w:rPr>
          <w:rFonts w:ascii="Arial" w:hAnsi="Arial" w:cs="Arial"/>
        </w:rPr>
        <w:t xml:space="preserve"> </w:t>
      </w:r>
      <w:r w:rsidRPr="00580C04">
        <w:rPr>
          <w:rFonts w:ascii="Arial" w:hAnsi="Arial" w:cs="Arial"/>
        </w:rPr>
        <w:t>Growth of e</w:t>
      </w:r>
      <w:r w:rsidRPr="00580C04">
        <w:rPr>
          <w:rFonts w:ascii="Cambria Math" w:hAnsi="Cambria Math" w:cs="Cambria Math"/>
        </w:rPr>
        <w:t>‑</w:t>
      </w:r>
      <w:r w:rsidRPr="00580C04">
        <w:rPr>
          <w:rFonts w:ascii="Arial" w:hAnsi="Arial" w:cs="Arial"/>
        </w:rPr>
        <w:t xml:space="preserve">commerce and digital marketing enabling direct consumer </w:t>
      </w:r>
      <w:r w:rsidRPr="00580C04">
        <w:rPr>
          <w:rFonts w:ascii="Arial" w:hAnsi="Arial" w:cs="Arial"/>
        </w:rPr>
        <w:lastRenderedPageBreak/>
        <w:t>engagement</w:t>
      </w:r>
      <w:r w:rsidR="00C22B00">
        <w:rPr>
          <w:rFonts w:ascii="Arial" w:hAnsi="Arial" w:cs="Arial"/>
        </w:rPr>
        <w:t xml:space="preserve"> in product R&amp;D. </w:t>
      </w:r>
      <w:r w:rsidRPr="00580C04">
        <w:rPr>
          <w:rFonts w:ascii="Arial" w:hAnsi="Arial" w:cs="Arial"/>
        </w:rPr>
        <w:t>Increasing interest in men’s grooming supporting Nivea Men’s expansio</w:t>
      </w:r>
      <w:r w:rsidR="002A76EA">
        <w:rPr>
          <w:rFonts w:ascii="Arial" w:hAnsi="Arial" w:cs="Arial"/>
        </w:rPr>
        <w:t xml:space="preserve">n </w:t>
      </w:r>
      <w:r w:rsidR="002A76EA" w:rsidRPr="002A76EA">
        <w:rPr>
          <w:rFonts w:ascii="Arial" w:hAnsi="Arial" w:cs="Arial"/>
        </w:rPr>
        <w:t>(Išoraitė, Tvaronavičienė, 2015)</w:t>
      </w:r>
      <w:r w:rsidRPr="00580C04">
        <w:rPr>
          <w:rFonts w:ascii="Arial" w:hAnsi="Arial" w:cs="Arial"/>
        </w:rPr>
        <w:t>.</w:t>
      </w:r>
      <w:r w:rsidR="00C22B00">
        <w:rPr>
          <w:rFonts w:ascii="Arial" w:hAnsi="Arial" w:cs="Arial"/>
        </w:rPr>
        <w:t xml:space="preserve"> </w:t>
      </w:r>
      <w:r w:rsidRPr="00580C04">
        <w:rPr>
          <w:rFonts w:ascii="Arial" w:hAnsi="Arial" w:cs="Arial"/>
        </w:rPr>
        <w:t>Demand for affordable, reliable skincare during economic uncertainty aligns with Nivea’s brand identity.</w:t>
      </w:r>
    </w:p>
    <w:p w14:paraId="6806B7DD" w14:textId="77777777" w:rsidR="00580C04" w:rsidRPr="00BB5872" w:rsidRDefault="00580C04" w:rsidP="00D037D9">
      <w:pPr>
        <w:pStyle w:val="Heading1"/>
      </w:pPr>
      <w:bookmarkStart w:id="13" w:name="_Toc235135097"/>
      <w:r w:rsidRPr="00BB5872">
        <w:t>Top Threats</w:t>
      </w:r>
      <w:bookmarkEnd w:id="13"/>
    </w:p>
    <w:p w14:paraId="33D8310A" w14:textId="5FAD3357" w:rsidR="00580C04" w:rsidRDefault="00580C04" w:rsidP="00190383">
      <w:pPr>
        <w:spacing w:line="360" w:lineRule="auto"/>
        <w:jc w:val="both"/>
        <w:rPr>
          <w:rFonts w:ascii="Arial" w:hAnsi="Arial" w:cs="Arial"/>
        </w:rPr>
      </w:pPr>
      <w:r w:rsidRPr="00580C04">
        <w:rPr>
          <w:rFonts w:ascii="Arial" w:hAnsi="Arial" w:cs="Arial"/>
        </w:rPr>
        <w:t>Intensifying competition from digital</w:t>
      </w:r>
      <w:r w:rsidRPr="00580C04">
        <w:rPr>
          <w:rFonts w:ascii="Cambria Math" w:hAnsi="Cambria Math" w:cs="Cambria Math"/>
        </w:rPr>
        <w:t>‑</w:t>
      </w:r>
      <w:r w:rsidRPr="00580C04">
        <w:rPr>
          <w:rFonts w:ascii="Arial" w:hAnsi="Arial" w:cs="Arial"/>
        </w:rPr>
        <w:t>first brands (CeraVe, The Ordinary)</w:t>
      </w:r>
      <w:r w:rsidR="00655E15">
        <w:rPr>
          <w:rFonts w:ascii="Arial" w:hAnsi="Arial" w:cs="Arial"/>
        </w:rPr>
        <w:t>, r</w:t>
      </w:r>
      <w:r w:rsidRPr="00580C04">
        <w:rPr>
          <w:rFonts w:ascii="Arial" w:hAnsi="Arial" w:cs="Arial"/>
        </w:rPr>
        <w:t>ising raw material and production costs reducing profitability</w:t>
      </w:r>
      <w:r w:rsidR="00655E15">
        <w:rPr>
          <w:rFonts w:ascii="Arial" w:hAnsi="Arial" w:cs="Arial"/>
        </w:rPr>
        <w:t>, s</w:t>
      </w:r>
      <w:r w:rsidRPr="00580C04">
        <w:rPr>
          <w:rFonts w:ascii="Arial" w:hAnsi="Arial" w:cs="Arial"/>
        </w:rPr>
        <w:t>tricter environmental and chemical regulations requiring reformulation</w:t>
      </w:r>
      <w:r w:rsidR="00153A4E">
        <w:rPr>
          <w:rFonts w:ascii="Arial" w:hAnsi="Arial" w:cs="Arial"/>
        </w:rPr>
        <w:t>, r</w:t>
      </w:r>
      <w:r w:rsidRPr="00580C04">
        <w:rPr>
          <w:rFonts w:ascii="Arial" w:hAnsi="Arial" w:cs="Arial"/>
        </w:rPr>
        <w:t>eputation risks amplified by social media</w:t>
      </w:r>
      <w:r w:rsidR="00153A4E">
        <w:rPr>
          <w:rFonts w:ascii="Arial" w:hAnsi="Arial" w:cs="Arial"/>
        </w:rPr>
        <w:t xml:space="preserve"> and s</w:t>
      </w:r>
      <w:r w:rsidRPr="00580C04">
        <w:rPr>
          <w:rFonts w:ascii="Arial" w:hAnsi="Arial" w:cs="Arial"/>
        </w:rPr>
        <w:t>ustainability expectations</w:t>
      </w:r>
      <w:r w:rsidR="00153A4E">
        <w:rPr>
          <w:rFonts w:ascii="Arial" w:hAnsi="Arial" w:cs="Arial"/>
        </w:rPr>
        <w:t xml:space="preserve"> in a </w:t>
      </w:r>
      <w:r w:rsidRPr="00580C04">
        <w:rPr>
          <w:rFonts w:ascii="Arial" w:hAnsi="Arial" w:cs="Arial"/>
        </w:rPr>
        <w:t>failure to adapt could damage brand trust.</w:t>
      </w:r>
    </w:p>
    <w:p w14:paraId="7B2C4630" w14:textId="7751A95A" w:rsidR="00CE2D0A" w:rsidRPr="0082409C" w:rsidRDefault="005E1370" w:rsidP="00713620">
      <w:pPr>
        <w:pStyle w:val="Heading1"/>
      </w:pPr>
      <w:bookmarkStart w:id="14" w:name="_Toc235135098"/>
      <w:r w:rsidRPr="0082409C">
        <w:t>EXTERNAL ENVIRONMENT ANALYSIS</w:t>
      </w:r>
      <w:bookmarkEnd w:id="14"/>
    </w:p>
    <w:p w14:paraId="379233F2" w14:textId="07CDBF30" w:rsidR="00D2521C" w:rsidRDefault="00D2521C" w:rsidP="00D037D9">
      <w:pPr>
        <w:pStyle w:val="Heading1"/>
      </w:pPr>
      <w:bookmarkStart w:id="15" w:name="_Toc235135099"/>
      <w:r w:rsidRPr="00CE2D0A">
        <w:t>PESTEL Analysis</w:t>
      </w:r>
      <w:bookmarkEnd w:id="15"/>
      <w:r w:rsidR="009C57A1" w:rsidRPr="00CE2D0A">
        <w:t xml:space="preserve"> </w:t>
      </w:r>
    </w:p>
    <w:p w14:paraId="3B802813" w14:textId="77777777" w:rsidR="00E47ECE" w:rsidRPr="00E47ECE" w:rsidRDefault="00E47ECE" w:rsidP="00E47ECE"/>
    <w:tbl>
      <w:tblPr>
        <w:tblStyle w:val="TableGrid"/>
        <w:tblW w:w="8926" w:type="dxa"/>
        <w:tblLook w:val="04A0" w:firstRow="1" w:lastRow="0" w:firstColumn="1" w:lastColumn="0" w:noHBand="0" w:noVBand="1"/>
      </w:tblPr>
      <w:tblGrid>
        <w:gridCol w:w="1883"/>
        <w:gridCol w:w="3641"/>
        <w:gridCol w:w="3402"/>
      </w:tblGrid>
      <w:tr w:rsidR="004E527E" w14:paraId="74B47728" w14:textId="77777777" w:rsidTr="000D7EA4">
        <w:tc>
          <w:tcPr>
            <w:tcW w:w="1883" w:type="dxa"/>
            <w:shd w:val="clear" w:color="auto" w:fill="A5C9EB" w:themeFill="text2" w:themeFillTint="40"/>
          </w:tcPr>
          <w:p w14:paraId="15F35030" w14:textId="7D4D364E" w:rsidR="004E527E" w:rsidRDefault="004E527E" w:rsidP="00190383">
            <w:pPr>
              <w:suppressAutoHyphens w:val="0"/>
              <w:autoSpaceDN/>
              <w:spacing w:line="360" w:lineRule="auto"/>
              <w:jc w:val="both"/>
              <w:rPr>
                <w:rFonts w:ascii="Arial" w:hAnsi="Arial" w:cs="Arial"/>
                <w:b/>
                <w:bCs/>
              </w:rPr>
            </w:pPr>
            <w:r>
              <w:rPr>
                <w:rFonts w:ascii="Arial" w:hAnsi="Arial" w:cs="Arial"/>
                <w:b/>
                <w:bCs/>
              </w:rPr>
              <w:t>Factors</w:t>
            </w:r>
          </w:p>
        </w:tc>
        <w:tc>
          <w:tcPr>
            <w:tcW w:w="3641" w:type="dxa"/>
            <w:shd w:val="clear" w:color="auto" w:fill="A5C9EB" w:themeFill="text2" w:themeFillTint="40"/>
          </w:tcPr>
          <w:p w14:paraId="562F8687" w14:textId="52FAA307" w:rsidR="004E527E" w:rsidRPr="000D7EA4" w:rsidRDefault="004E527E" w:rsidP="00190383">
            <w:pPr>
              <w:suppressAutoHyphens w:val="0"/>
              <w:autoSpaceDN/>
              <w:spacing w:line="360" w:lineRule="auto"/>
              <w:jc w:val="both"/>
              <w:rPr>
                <w:rFonts w:ascii="Arial" w:hAnsi="Arial" w:cs="Arial"/>
                <w:b/>
                <w:bCs/>
              </w:rPr>
            </w:pPr>
            <w:r w:rsidRPr="000D7EA4">
              <w:rPr>
                <w:rFonts w:ascii="Arial" w:hAnsi="Arial" w:cs="Arial"/>
                <w:b/>
                <w:bCs/>
              </w:rPr>
              <w:t>Key Issues</w:t>
            </w:r>
          </w:p>
        </w:tc>
        <w:tc>
          <w:tcPr>
            <w:tcW w:w="3402" w:type="dxa"/>
            <w:shd w:val="clear" w:color="auto" w:fill="A5C9EB" w:themeFill="text2" w:themeFillTint="40"/>
          </w:tcPr>
          <w:p w14:paraId="3257FDE8" w14:textId="74D76128" w:rsidR="004E527E" w:rsidRPr="000D7EA4" w:rsidRDefault="008C67DA" w:rsidP="00190383">
            <w:pPr>
              <w:suppressAutoHyphens w:val="0"/>
              <w:autoSpaceDN/>
              <w:spacing w:line="360" w:lineRule="auto"/>
              <w:jc w:val="both"/>
              <w:rPr>
                <w:rFonts w:ascii="Arial" w:hAnsi="Arial" w:cs="Arial"/>
                <w:b/>
                <w:bCs/>
              </w:rPr>
            </w:pPr>
            <w:r w:rsidRPr="000D7EA4">
              <w:rPr>
                <w:rFonts w:ascii="Arial" w:hAnsi="Arial" w:cs="Arial"/>
                <w:b/>
                <w:bCs/>
              </w:rPr>
              <w:t>Strategic Impact</w:t>
            </w:r>
          </w:p>
        </w:tc>
      </w:tr>
      <w:tr w:rsidR="004E527E" w14:paraId="1DD21068" w14:textId="0A03212B" w:rsidTr="004E527E">
        <w:tc>
          <w:tcPr>
            <w:tcW w:w="1883" w:type="dxa"/>
            <w:shd w:val="clear" w:color="auto" w:fill="A5C9EB" w:themeFill="text2" w:themeFillTint="40"/>
          </w:tcPr>
          <w:p w14:paraId="00CEE072" w14:textId="77777777" w:rsidR="00BD1922" w:rsidRDefault="00BD1922" w:rsidP="00190383">
            <w:pPr>
              <w:suppressAutoHyphens w:val="0"/>
              <w:autoSpaceDN/>
              <w:spacing w:line="360" w:lineRule="auto"/>
              <w:jc w:val="both"/>
              <w:rPr>
                <w:rFonts w:ascii="Arial" w:hAnsi="Arial" w:cs="Arial"/>
                <w:b/>
                <w:bCs/>
              </w:rPr>
            </w:pPr>
          </w:p>
          <w:p w14:paraId="362C283A" w14:textId="7213E897" w:rsidR="004E527E" w:rsidRDefault="004E527E" w:rsidP="00190383">
            <w:pPr>
              <w:suppressAutoHyphens w:val="0"/>
              <w:autoSpaceDN/>
              <w:spacing w:line="360" w:lineRule="auto"/>
              <w:jc w:val="both"/>
              <w:rPr>
                <w:rFonts w:ascii="Arial" w:hAnsi="Arial" w:cs="Arial"/>
                <w:b/>
                <w:bCs/>
              </w:rPr>
            </w:pPr>
            <w:r>
              <w:rPr>
                <w:rFonts w:ascii="Arial" w:hAnsi="Arial" w:cs="Arial"/>
                <w:b/>
                <w:bCs/>
              </w:rPr>
              <w:t>Political</w:t>
            </w:r>
          </w:p>
        </w:tc>
        <w:tc>
          <w:tcPr>
            <w:tcW w:w="3641" w:type="dxa"/>
          </w:tcPr>
          <w:p w14:paraId="79EC1C42" w14:textId="2BD00FAB" w:rsidR="004E527E" w:rsidRPr="00343D39" w:rsidRDefault="000D7EA4" w:rsidP="000D7EA4">
            <w:pPr>
              <w:suppressAutoHyphens w:val="0"/>
              <w:autoSpaceDN/>
              <w:spacing w:line="360" w:lineRule="auto"/>
              <w:rPr>
                <w:rFonts w:ascii="Arial" w:hAnsi="Arial" w:cs="Arial"/>
              </w:rPr>
            </w:pPr>
            <w:r w:rsidRPr="000D7EA4">
              <w:rPr>
                <w:rFonts w:ascii="Arial" w:hAnsi="Arial" w:cs="Arial"/>
              </w:rPr>
              <w:t>Trade policies, geopolitical instability, sustainability regulations</w:t>
            </w:r>
          </w:p>
        </w:tc>
        <w:tc>
          <w:tcPr>
            <w:tcW w:w="3402" w:type="dxa"/>
          </w:tcPr>
          <w:p w14:paraId="57100D10" w14:textId="4ED26E00" w:rsidR="004E527E" w:rsidRPr="00343D39" w:rsidRDefault="008F789C" w:rsidP="008F789C">
            <w:pPr>
              <w:suppressAutoHyphens w:val="0"/>
              <w:autoSpaceDN/>
              <w:spacing w:line="360" w:lineRule="auto"/>
              <w:rPr>
                <w:rFonts w:ascii="Arial" w:hAnsi="Arial" w:cs="Arial"/>
              </w:rPr>
            </w:pPr>
            <w:r w:rsidRPr="008F789C">
              <w:rPr>
                <w:rFonts w:ascii="Arial" w:hAnsi="Arial" w:cs="Arial"/>
              </w:rPr>
              <w:t>Requires resilient supply chains and investment in sustainable operations.</w:t>
            </w:r>
          </w:p>
        </w:tc>
      </w:tr>
      <w:tr w:rsidR="004E527E" w14:paraId="50ADDF23" w14:textId="0FDAA52C" w:rsidTr="004E527E">
        <w:tc>
          <w:tcPr>
            <w:tcW w:w="1883" w:type="dxa"/>
            <w:shd w:val="clear" w:color="auto" w:fill="A5C9EB" w:themeFill="text2" w:themeFillTint="40"/>
          </w:tcPr>
          <w:p w14:paraId="5DE90B39" w14:textId="77777777" w:rsidR="00BD1922" w:rsidRDefault="00BD1922" w:rsidP="00190383">
            <w:pPr>
              <w:suppressAutoHyphens w:val="0"/>
              <w:autoSpaceDN/>
              <w:spacing w:line="360" w:lineRule="auto"/>
              <w:jc w:val="both"/>
              <w:rPr>
                <w:rFonts w:ascii="Arial" w:hAnsi="Arial" w:cs="Arial"/>
                <w:b/>
                <w:bCs/>
              </w:rPr>
            </w:pPr>
          </w:p>
          <w:p w14:paraId="1ECC2759" w14:textId="1B8524FF" w:rsidR="004E527E" w:rsidRDefault="004E527E" w:rsidP="00190383">
            <w:pPr>
              <w:suppressAutoHyphens w:val="0"/>
              <w:autoSpaceDN/>
              <w:spacing w:line="360" w:lineRule="auto"/>
              <w:jc w:val="both"/>
              <w:rPr>
                <w:rFonts w:ascii="Arial" w:hAnsi="Arial" w:cs="Arial"/>
                <w:b/>
                <w:bCs/>
              </w:rPr>
            </w:pPr>
            <w:r>
              <w:rPr>
                <w:rFonts w:ascii="Arial" w:hAnsi="Arial" w:cs="Arial"/>
                <w:b/>
                <w:bCs/>
              </w:rPr>
              <w:t>Economic</w:t>
            </w:r>
          </w:p>
        </w:tc>
        <w:tc>
          <w:tcPr>
            <w:tcW w:w="3641" w:type="dxa"/>
          </w:tcPr>
          <w:p w14:paraId="7A37464B" w14:textId="384D9283" w:rsidR="004E527E" w:rsidRPr="00831E8A" w:rsidRDefault="008F789C" w:rsidP="00766C3E">
            <w:pPr>
              <w:suppressAutoHyphens w:val="0"/>
              <w:autoSpaceDN/>
              <w:spacing w:line="360" w:lineRule="auto"/>
              <w:rPr>
                <w:rFonts w:ascii="Arial" w:hAnsi="Arial" w:cs="Arial"/>
              </w:rPr>
            </w:pPr>
            <w:r w:rsidRPr="008F789C">
              <w:rPr>
                <w:rFonts w:ascii="Arial" w:hAnsi="Arial" w:cs="Arial"/>
              </w:rPr>
              <w:t>Inflation, exchange rate fluctuations, rising production costs, consumer spending</w:t>
            </w:r>
          </w:p>
        </w:tc>
        <w:tc>
          <w:tcPr>
            <w:tcW w:w="3402" w:type="dxa"/>
          </w:tcPr>
          <w:p w14:paraId="190E3256" w14:textId="407B1EE9" w:rsidR="004E527E" w:rsidRPr="00831E8A" w:rsidRDefault="00F437C7" w:rsidP="00766C3E">
            <w:pPr>
              <w:suppressAutoHyphens w:val="0"/>
              <w:autoSpaceDN/>
              <w:spacing w:line="360" w:lineRule="auto"/>
              <w:rPr>
                <w:rFonts w:ascii="Arial" w:hAnsi="Arial" w:cs="Arial"/>
              </w:rPr>
            </w:pPr>
            <w:r w:rsidRPr="00F437C7">
              <w:rPr>
                <w:rFonts w:ascii="Arial" w:hAnsi="Arial" w:cs="Arial"/>
              </w:rPr>
              <w:t>Drives cost efficiency, pricing strategies, and market expansion decisions.</w:t>
            </w:r>
          </w:p>
        </w:tc>
      </w:tr>
      <w:tr w:rsidR="004E527E" w14:paraId="5AD0F184" w14:textId="0A92F7D8" w:rsidTr="004E527E">
        <w:tc>
          <w:tcPr>
            <w:tcW w:w="1883" w:type="dxa"/>
            <w:shd w:val="clear" w:color="auto" w:fill="A5C9EB" w:themeFill="text2" w:themeFillTint="40"/>
          </w:tcPr>
          <w:p w14:paraId="21DE19B3" w14:textId="77777777" w:rsidR="00BD1922" w:rsidRDefault="00BD1922" w:rsidP="00190383">
            <w:pPr>
              <w:suppressAutoHyphens w:val="0"/>
              <w:autoSpaceDN/>
              <w:spacing w:line="360" w:lineRule="auto"/>
              <w:jc w:val="both"/>
              <w:rPr>
                <w:rFonts w:ascii="Arial" w:hAnsi="Arial" w:cs="Arial"/>
                <w:b/>
                <w:bCs/>
              </w:rPr>
            </w:pPr>
          </w:p>
          <w:p w14:paraId="39563003" w14:textId="50608513" w:rsidR="004E527E" w:rsidRDefault="004E527E" w:rsidP="00190383">
            <w:pPr>
              <w:suppressAutoHyphens w:val="0"/>
              <w:autoSpaceDN/>
              <w:spacing w:line="360" w:lineRule="auto"/>
              <w:jc w:val="both"/>
              <w:rPr>
                <w:rFonts w:ascii="Arial" w:hAnsi="Arial" w:cs="Arial"/>
                <w:b/>
                <w:bCs/>
              </w:rPr>
            </w:pPr>
            <w:r>
              <w:rPr>
                <w:rFonts w:ascii="Arial" w:hAnsi="Arial" w:cs="Arial"/>
                <w:b/>
                <w:bCs/>
              </w:rPr>
              <w:t>Social</w:t>
            </w:r>
          </w:p>
        </w:tc>
        <w:tc>
          <w:tcPr>
            <w:tcW w:w="3641" w:type="dxa"/>
          </w:tcPr>
          <w:p w14:paraId="3EC6D9FB" w14:textId="3DBF6483" w:rsidR="004E527E" w:rsidRPr="00D2521C" w:rsidRDefault="00F437C7" w:rsidP="00766C3E">
            <w:pPr>
              <w:suppressAutoHyphens w:val="0"/>
              <w:autoSpaceDN/>
              <w:spacing w:line="360" w:lineRule="auto"/>
              <w:rPr>
                <w:rFonts w:ascii="Arial" w:hAnsi="Arial" w:cs="Arial"/>
              </w:rPr>
            </w:pPr>
            <w:r w:rsidRPr="00F437C7">
              <w:rPr>
                <w:rFonts w:ascii="Arial" w:hAnsi="Arial" w:cs="Arial"/>
              </w:rPr>
              <w:t>Demand for healthy, sustainable, and ethical skincare products</w:t>
            </w:r>
          </w:p>
        </w:tc>
        <w:tc>
          <w:tcPr>
            <w:tcW w:w="3402" w:type="dxa"/>
          </w:tcPr>
          <w:p w14:paraId="3A7CA4F4" w14:textId="55D260A8" w:rsidR="004E527E" w:rsidRPr="00343D39" w:rsidRDefault="00F437C7" w:rsidP="00766C3E">
            <w:pPr>
              <w:suppressAutoHyphens w:val="0"/>
              <w:autoSpaceDN/>
              <w:spacing w:line="360" w:lineRule="auto"/>
              <w:rPr>
                <w:rFonts w:ascii="Arial" w:hAnsi="Arial" w:cs="Arial"/>
              </w:rPr>
            </w:pPr>
            <w:r w:rsidRPr="00F437C7">
              <w:rPr>
                <w:rFonts w:ascii="Arial" w:hAnsi="Arial" w:cs="Arial"/>
              </w:rPr>
              <w:t>Supports product innovation, customer engagement, and sustainability initiatives.</w:t>
            </w:r>
          </w:p>
        </w:tc>
      </w:tr>
      <w:tr w:rsidR="004E527E" w14:paraId="6FEE1BD2" w14:textId="363F1201" w:rsidTr="004E527E">
        <w:tc>
          <w:tcPr>
            <w:tcW w:w="1883" w:type="dxa"/>
            <w:shd w:val="clear" w:color="auto" w:fill="A5C9EB" w:themeFill="text2" w:themeFillTint="40"/>
          </w:tcPr>
          <w:p w14:paraId="0D41F505" w14:textId="77777777" w:rsidR="00BD1922" w:rsidRDefault="00BD1922" w:rsidP="00190383">
            <w:pPr>
              <w:suppressAutoHyphens w:val="0"/>
              <w:autoSpaceDN/>
              <w:spacing w:line="360" w:lineRule="auto"/>
              <w:jc w:val="both"/>
              <w:rPr>
                <w:rFonts w:ascii="Arial" w:hAnsi="Arial" w:cs="Arial"/>
                <w:b/>
                <w:bCs/>
              </w:rPr>
            </w:pPr>
          </w:p>
          <w:p w14:paraId="17E037BF" w14:textId="608C9BCD" w:rsidR="004E527E" w:rsidRDefault="004E527E" w:rsidP="00190383">
            <w:pPr>
              <w:suppressAutoHyphens w:val="0"/>
              <w:autoSpaceDN/>
              <w:spacing w:line="360" w:lineRule="auto"/>
              <w:jc w:val="both"/>
              <w:rPr>
                <w:rFonts w:ascii="Arial" w:hAnsi="Arial" w:cs="Arial"/>
                <w:b/>
                <w:bCs/>
              </w:rPr>
            </w:pPr>
            <w:r>
              <w:rPr>
                <w:rFonts w:ascii="Arial" w:hAnsi="Arial" w:cs="Arial"/>
                <w:b/>
                <w:bCs/>
              </w:rPr>
              <w:t>Technological</w:t>
            </w:r>
          </w:p>
        </w:tc>
        <w:tc>
          <w:tcPr>
            <w:tcW w:w="3641" w:type="dxa"/>
          </w:tcPr>
          <w:p w14:paraId="344929B6" w14:textId="48A720F5" w:rsidR="004E527E" w:rsidRPr="00E84C91" w:rsidRDefault="004963A7" w:rsidP="00766C3E">
            <w:pPr>
              <w:suppressAutoHyphens w:val="0"/>
              <w:autoSpaceDN/>
              <w:spacing w:line="360" w:lineRule="auto"/>
              <w:rPr>
                <w:rFonts w:ascii="Arial" w:hAnsi="Arial" w:cs="Arial"/>
              </w:rPr>
            </w:pPr>
            <w:r w:rsidRPr="004963A7">
              <w:rPr>
                <w:rFonts w:ascii="Arial" w:hAnsi="Arial" w:cs="Arial"/>
              </w:rPr>
              <w:t>Digital transformation, R&amp;D, AI, e-commerce, manufacturing automation</w:t>
            </w:r>
          </w:p>
        </w:tc>
        <w:tc>
          <w:tcPr>
            <w:tcW w:w="3402" w:type="dxa"/>
          </w:tcPr>
          <w:p w14:paraId="0FC76804" w14:textId="106EF4BC" w:rsidR="004E527E" w:rsidRPr="00E84C91" w:rsidRDefault="004963A7" w:rsidP="00766C3E">
            <w:pPr>
              <w:suppressAutoHyphens w:val="0"/>
              <w:autoSpaceDN/>
              <w:spacing w:line="360" w:lineRule="auto"/>
              <w:rPr>
                <w:rFonts w:ascii="Arial" w:hAnsi="Arial" w:cs="Arial"/>
              </w:rPr>
            </w:pPr>
            <w:r w:rsidRPr="004963A7">
              <w:rPr>
                <w:rFonts w:ascii="Arial" w:hAnsi="Arial" w:cs="Arial"/>
              </w:rPr>
              <w:t>Improves innovation, operational efficiency, and customer experience.</w:t>
            </w:r>
          </w:p>
        </w:tc>
      </w:tr>
      <w:tr w:rsidR="004E527E" w14:paraId="2BE118ED" w14:textId="73B8952D" w:rsidTr="004E527E">
        <w:tc>
          <w:tcPr>
            <w:tcW w:w="1883" w:type="dxa"/>
            <w:shd w:val="clear" w:color="auto" w:fill="A5C9EB" w:themeFill="text2" w:themeFillTint="40"/>
          </w:tcPr>
          <w:p w14:paraId="56ED4DEE" w14:textId="77777777" w:rsidR="00BD1922" w:rsidRDefault="00BD1922" w:rsidP="00190383">
            <w:pPr>
              <w:suppressAutoHyphens w:val="0"/>
              <w:autoSpaceDN/>
              <w:spacing w:line="360" w:lineRule="auto"/>
              <w:jc w:val="both"/>
              <w:rPr>
                <w:rFonts w:ascii="Arial" w:hAnsi="Arial" w:cs="Arial"/>
                <w:b/>
                <w:bCs/>
              </w:rPr>
            </w:pPr>
          </w:p>
          <w:p w14:paraId="1CCE3CBB" w14:textId="366189B9" w:rsidR="004E527E" w:rsidRDefault="004E527E" w:rsidP="00190383">
            <w:pPr>
              <w:suppressAutoHyphens w:val="0"/>
              <w:autoSpaceDN/>
              <w:spacing w:line="360" w:lineRule="auto"/>
              <w:jc w:val="both"/>
              <w:rPr>
                <w:rFonts w:ascii="Arial" w:hAnsi="Arial" w:cs="Arial"/>
                <w:b/>
                <w:bCs/>
              </w:rPr>
            </w:pPr>
            <w:r>
              <w:rPr>
                <w:rFonts w:ascii="Arial" w:hAnsi="Arial" w:cs="Arial"/>
                <w:b/>
                <w:bCs/>
              </w:rPr>
              <w:t>Environmental</w:t>
            </w:r>
          </w:p>
        </w:tc>
        <w:tc>
          <w:tcPr>
            <w:tcW w:w="3641" w:type="dxa"/>
          </w:tcPr>
          <w:p w14:paraId="3B725C33" w14:textId="4E8A549A" w:rsidR="004E527E" w:rsidRPr="001C4A90" w:rsidRDefault="00DC07B0" w:rsidP="00766C3E">
            <w:pPr>
              <w:suppressAutoHyphens w:val="0"/>
              <w:autoSpaceDN/>
              <w:spacing w:line="360" w:lineRule="auto"/>
              <w:rPr>
                <w:rFonts w:ascii="Arial" w:hAnsi="Arial" w:cs="Arial"/>
              </w:rPr>
            </w:pPr>
            <w:r w:rsidRPr="00DC07B0">
              <w:rPr>
                <w:rFonts w:ascii="Arial" w:hAnsi="Arial" w:cs="Arial"/>
              </w:rPr>
              <w:t>Climate change, packaging regulations, carbon reduction, resource sustainability</w:t>
            </w:r>
          </w:p>
        </w:tc>
        <w:tc>
          <w:tcPr>
            <w:tcW w:w="3402" w:type="dxa"/>
          </w:tcPr>
          <w:p w14:paraId="2EFC9B5D" w14:textId="0A53FC50" w:rsidR="004E527E" w:rsidRPr="001C4A90" w:rsidRDefault="00DC07B0" w:rsidP="00766C3E">
            <w:pPr>
              <w:suppressAutoHyphens w:val="0"/>
              <w:autoSpaceDN/>
              <w:spacing w:line="360" w:lineRule="auto"/>
              <w:rPr>
                <w:rFonts w:ascii="Arial" w:hAnsi="Arial" w:cs="Arial"/>
              </w:rPr>
            </w:pPr>
            <w:r w:rsidRPr="00DC07B0">
              <w:rPr>
                <w:rFonts w:ascii="Arial" w:hAnsi="Arial" w:cs="Arial"/>
              </w:rPr>
              <w:t>Encourages sustainable business practices and product differentiation.</w:t>
            </w:r>
          </w:p>
        </w:tc>
      </w:tr>
      <w:tr w:rsidR="004E527E" w14:paraId="1BD87E00" w14:textId="02820495" w:rsidTr="004E527E">
        <w:tc>
          <w:tcPr>
            <w:tcW w:w="1883" w:type="dxa"/>
            <w:shd w:val="clear" w:color="auto" w:fill="A5C9EB" w:themeFill="text2" w:themeFillTint="40"/>
          </w:tcPr>
          <w:p w14:paraId="1601B30F" w14:textId="77777777" w:rsidR="00BD1922" w:rsidRDefault="00BD1922" w:rsidP="00190383">
            <w:pPr>
              <w:suppressAutoHyphens w:val="0"/>
              <w:autoSpaceDN/>
              <w:spacing w:line="360" w:lineRule="auto"/>
              <w:jc w:val="both"/>
              <w:rPr>
                <w:rFonts w:ascii="Arial" w:hAnsi="Arial" w:cs="Arial"/>
                <w:b/>
                <w:bCs/>
              </w:rPr>
            </w:pPr>
          </w:p>
          <w:p w14:paraId="0F58FB0C" w14:textId="68D3877D" w:rsidR="004E527E" w:rsidRDefault="004E527E" w:rsidP="00190383">
            <w:pPr>
              <w:suppressAutoHyphens w:val="0"/>
              <w:autoSpaceDN/>
              <w:spacing w:line="360" w:lineRule="auto"/>
              <w:jc w:val="both"/>
              <w:rPr>
                <w:rFonts w:ascii="Arial" w:hAnsi="Arial" w:cs="Arial"/>
                <w:b/>
                <w:bCs/>
              </w:rPr>
            </w:pPr>
            <w:r>
              <w:rPr>
                <w:rFonts w:ascii="Arial" w:hAnsi="Arial" w:cs="Arial"/>
                <w:b/>
                <w:bCs/>
              </w:rPr>
              <w:t>Legal</w:t>
            </w:r>
          </w:p>
        </w:tc>
        <w:tc>
          <w:tcPr>
            <w:tcW w:w="3641" w:type="dxa"/>
          </w:tcPr>
          <w:p w14:paraId="56155CA2" w14:textId="3BFDA1F6" w:rsidR="004E527E" w:rsidRPr="00343D39" w:rsidRDefault="00DC07B0" w:rsidP="00766C3E">
            <w:pPr>
              <w:suppressAutoHyphens w:val="0"/>
              <w:autoSpaceDN/>
              <w:spacing w:line="360" w:lineRule="auto"/>
              <w:rPr>
                <w:rFonts w:ascii="Arial" w:hAnsi="Arial" w:cs="Arial"/>
              </w:rPr>
            </w:pPr>
            <w:r w:rsidRPr="00DC07B0">
              <w:rPr>
                <w:rFonts w:ascii="Arial" w:hAnsi="Arial" w:cs="Arial"/>
              </w:rPr>
              <w:t>Product safety regulations, environmental legislation, data protection, intellectual property</w:t>
            </w:r>
          </w:p>
        </w:tc>
        <w:tc>
          <w:tcPr>
            <w:tcW w:w="3402" w:type="dxa"/>
          </w:tcPr>
          <w:p w14:paraId="63A3BEB8" w14:textId="521931DB" w:rsidR="004E527E" w:rsidRPr="00343D39" w:rsidRDefault="00766C3E" w:rsidP="00766C3E">
            <w:pPr>
              <w:suppressAutoHyphens w:val="0"/>
              <w:autoSpaceDN/>
              <w:spacing w:line="360" w:lineRule="auto"/>
              <w:rPr>
                <w:rFonts w:ascii="Arial" w:hAnsi="Arial" w:cs="Arial"/>
              </w:rPr>
            </w:pPr>
            <w:r w:rsidRPr="00766C3E">
              <w:rPr>
                <w:rFonts w:ascii="Arial" w:hAnsi="Arial" w:cs="Arial"/>
              </w:rPr>
              <w:t>Ensures compliance, protects reputation, and reduces legal risk.</w:t>
            </w:r>
          </w:p>
        </w:tc>
      </w:tr>
    </w:tbl>
    <w:p w14:paraId="29CDF9A1" w14:textId="2B29B64F" w:rsidR="004B64BF" w:rsidRPr="00713620" w:rsidRDefault="005E1370" w:rsidP="00713620">
      <w:pPr>
        <w:pStyle w:val="Heading1"/>
        <w:spacing w:after="0"/>
      </w:pPr>
      <w:bookmarkStart w:id="16" w:name="_Toc235135100"/>
      <w:r w:rsidRPr="00713620">
        <w:lastRenderedPageBreak/>
        <w:t>INTERNAL ENVIRONMENT ANALYSIS</w:t>
      </w:r>
      <w:bookmarkEnd w:id="16"/>
    </w:p>
    <w:p w14:paraId="0115DC45" w14:textId="182E6B6A" w:rsidR="00522445" w:rsidRDefault="00D20FB1" w:rsidP="00D037D9">
      <w:pPr>
        <w:pStyle w:val="Heading1"/>
      </w:pPr>
      <w:bookmarkStart w:id="17" w:name="_Toc235135101"/>
      <w:r>
        <w:t>Viro Framework</w:t>
      </w:r>
      <w:bookmarkEnd w:id="17"/>
    </w:p>
    <w:tbl>
      <w:tblPr>
        <w:tblStyle w:val="TableGrid"/>
        <w:tblW w:w="0" w:type="auto"/>
        <w:tblLook w:val="04A0" w:firstRow="1" w:lastRow="0" w:firstColumn="1" w:lastColumn="0" w:noHBand="0" w:noVBand="1"/>
      </w:tblPr>
      <w:tblGrid>
        <w:gridCol w:w="1950"/>
        <w:gridCol w:w="486"/>
        <w:gridCol w:w="487"/>
        <w:gridCol w:w="486"/>
        <w:gridCol w:w="488"/>
        <w:gridCol w:w="5119"/>
      </w:tblGrid>
      <w:tr w:rsidR="009C3752" w:rsidRPr="000A2024" w14:paraId="65FB032F" w14:textId="77777777" w:rsidTr="00055ED5">
        <w:tc>
          <w:tcPr>
            <w:tcW w:w="1817" w:type="dxa"/>
            <w:shd w:val="clear" w:color="auto" w:fill="FAE2D5" w:themeFill="accent2" w:themeFillTint="33"/>
          </w:tcPr>
          <w:p w14:paraId="7E6F7487" w14:textId="1FE2AE2F" w:rsidR="009C3752" w:rsidRPr="000A2024" w:rsidRDefault="009C3752"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Strategic Resource / Capability</w:t>
            </w:r>
          </w:p>
        </w:tc>
        <w:tc>
          <w:tcPr>
            <w:tcW w:w="490" w:type="dxa"/>
            <w:shd w:val="clear" w:color="auto" w:fill="FAE2D5" w:themeFill="accent2" w:themeFillTint="33"/>
          </w:tcPr>
          <w:p w14:paraId="14D64B2B" w14:textId="05FFF60B" w:rsidR="009C3752" w:rsidRPr="000A2024" w:rsidRDefault="009C3752"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V</w:t>
            </w:r>
          </w:p>
        </w:tc>
        <w:tc>
          <w:tcPr>
            <w:tcW w:w="490" w:type="dxa"/>
            <w:shd w:val="clear" w:color="auto" w:fill="FAE2D5" w:themeFill="accent2" w:themeFillTint="33"/>
          </w:tcPr>
          <w:p w14:paraId="7C0E684A" w14:textId="424353F8" w:rsidR="009C3752" w:rsidRPr="000A2024" w:rsidRDefault="000A2024"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R</w:t>
            </w:r>
          </w:p>
        </w:tc>
        <w:tc>
          <w:tcPr>
            <w:tcW w:w="490" w:type="dxa"/>
            <w:shd w:val="clear" w:color="auto" w:fill="FAE2D5" w:themeFill="accent2" w:themeFillTint="33"/>
          </w:tcPr>
          <w:p w14:paraId="4FC3DD83" w14:textId="79F898BA" w:rsidR="009C3752" w:rsidRPr="000A2024" w:rsidRDefault="000A2024"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I</w:t>
            </w:r>
          </w:p>
        </w:tc>
        <w:tc>
          <w:tcPr>
            <w:tcW w:w="491" w:type="dxa"/>
            <w:shd w:val="clear" w:color="auto" w:fill="FAE2D5" w:themeFill="accent2" w:themeFillTint="33"/>
          </w:tcPr>
          <w:p w14:paraId="2AD368D0" w14:textId="370FC8BF" w:rsidR="009C3752" w:rsidRPr="000A2024" w:rsidRDefault="000A2024"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O</w:t>
            </w:r>
          </w:p>
        </w:tc>
        <w:tc>
          <w:tcPr>
            <w:tcW w:w="5238" w:type="dxa"/>
            <w:shd w:val="clear" w:color="auto" w:fill="FAE2D5" w:themeFill="accent2" w:themeFillTint="33"/>
          </w:tcPr>
          <w:p w14:paraId="2815C388" w14:textId="7EF84BFB" w:rsidR="009C3752" w:rsidRPr="000A2024" w:rsidRDefault="000A2024" w:rsidP="00522445">
            <w:pPr>
              <w:suppressAutoHyphens w:val="0"/>
              <w:autoSpaceDN/>
              <w:spacing w:line="278" w:lineRule="auto"/>
              <w:rPr>
                <w:rFonts w:ascii="Arial" w:eastAsiaTheme="majorEastAsia" w:hAnsi="Arial" w:cstheme="majorBidi"/>
                <w:b/>
                <w:color w:val="000000" w:themeColor="text1"/>
                <w:szCs w:val="40"/>
              </w:rPr>
            </w:pPr>
            <w:r w:rsidRPr="000A2024">
              <w:rPr>
                <w:rFonts w:ascii="Arial" w:eastAsiaTheme="majorEastAsia" w:hAnsi="Arial" w:cstheme="majorBidi"/>
                <w:b/>
                <w:color w:val="000000" w:themeColor="text1"/>
                <w:szCs w:val="40"/>
              </w:rPr>
              <w:t>Evaluation</w:t>
            </w:r>
          </w:p>
        </w:tc>
      </w:tr>
      <w:tr w:rsidR="009C3752" w14:paraId="2B9B215B" w14:textId="77777777" w:rsidTr="00055ED5">
        <w:tc>
          <w:tcPr>
            <w:tcW w:w="1817" w:type="dxa"/>
            <w:shd w:val="clear" w:color="auto" w:fill="FAE2D5" w:themeFill="accent2" w:themeFillTint="33"/>
          </w:tcPr>
          <w:p w14:paraId="69B6068D" w14:textId="1DA710B2" w:rsidR="009C3752" w:rsidRPr="00BE4F90" w:rsidRDefault="00BE4F90" w:rsidP="00522445">
            <w:pPr>
              <w:suppressAutoHyphens w:val="0"/>
              <w:autoSpaceDN/>
              <w:spacing w:line="278" w:lineRule="auto"/>
              <w:rPr>
                <w:rFonts w:ascii="Arial" w:eastAsiaTheme="majorEastAsia" w:hAnsi="Arial" w:cstheme="majorBidi"/>
                <w:b/>
                <w:color w:val="000000" w:themeColor="text1"/>
                <w:szCs w:val="40"/>
              </w:rPr>
            </w:pPr>
            <w:r w:rsidRPr="00BE4F90">
              <w:rPr>
                <w:rFonts w:ascii="Arial" w:eastAsiaTheme="majorEastAsia" w:hAnsi="Arial" w:cstheme="majorBidi"/>
                <w:b/>
                <w:color w:val="000000" w:themeColor="text1"/>
                <w:szCs w:val="40"/>
              </w:rPr>
              <w:t>Global Brand Equity and Heritage</w:t>
            </w:r>
          </w:p>
        </w:tc>
        <w:tc>
          <w:tcPr>
            <w:tcW w:w="490" w:type="dxa"/>
          </w:tcPr>
          <w:p w14:paraId="07263F52" w14:textId="47B13CF6" w:rsidR="009C3752" w:rsidRPr="00EA2057" w:rsidRDefault="00055ED5" w:rsidP="00522445">
            <w:pPr>
              <w:suppressAutoHyphens w:val="0"/>
              <w:autoSpaceDN/>
              <w:spacing w:line="278" w:lineRule="auto"/>
              <w:rPr>
                <w:rFonts w:ascii="Arial" w:eastAsiaTheme="majorEastAsia" w:hAnsi="Arial" w:cstheme="majorBidi"/>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6157D613" w14:textId="4BD749C8" w:rsidR="009C3752" w:rsidRPr="00EA2057" w:rsidRDefault="00055ED5" w:rsidP="00522445">
            <w:pPr>
              <w:suppressAutoHyphens w:val="0"/>
              <w:autoSpaceDN/>
              <w:spacing w:line="278" w:lineRule="auto"/>
              <w:rPr>
                <w:rFonts w:ascii="Arial" w:eastAsiaTheme="majorEastAsia" w:hAnsi="Arial" w:cstheme="majorBidi"/>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01BC73F8" w14:textId="23EE1D25" w:rsidR="009C3752" w:rsidRPr="00EA2057" w:rsidRDefault="00055ED5" w:rsidP="00522445">
            <w:pPr>
              <w:suppressAutoHyphens w:val="0"/>
              <w:autoSpaceDN/>
              <w:spacing w:line="278" w:lineRule="auto"/>
              <w:rPr>
                <w:rFonts w:ascii="Arial" w:eastAsiaTheme="majorEastAsia" w:hAnsi="Arial" w:cstheme="majorBidi"/>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1" w:type="dxa"/>
          </w:tcPr>
          <w:p w14:paraId="0A69BEB0" w14:textId="1F16DEC6" w:rsidR="002206C9" w:rsidRPr="002206C9" w:rsidRDefault="00467F95" w:rsidP="00522445">
            <w:pPr>
              <w:suppressAutoHyphens w:val="0"/>
              <w:autoSpaceDN/>
              <w:spacing w:line="278" w:lineRule="auto"/>
              <w:rPr>
                <w:rFonts w:ascii="Arial" w:eastAsiaTheme="majorEastAsia" w:hAnsi="Arial" w:cstheme="majorBidi"/>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35B99523" w14:textId="30EC09F5" w:rsidR="009C3752" w:rsidRPr="00571A89" w:rsidRDefault="009331E9" w:rsidP="00522445">
            <w:pPr>
              <w:suppressAutoHyphens w:val="0"/>
              <w:autoSpaceDN/>
              <w:spacing w:line="278" w:lineRule="auto"/>
              <w:rPr>
                <w:rFonts w:ascii="Arial" w:eastAsiaTheme="majorEastAsia" w:hAnsi="Arial" w:cstheme="majorBidi"/>
                <w:bCs/>
                <w:color w:val="000000" w:themeColor="text1"/>
                <w:szCs w:val="40"/>
              </w:rPr>
            </w:pPr>
            <w:r w:rsidRPr="009331E9">
              <w:rPr>
                <w:rFonts w:ascii="Arial" w:eastAsiaTheme="majorEastAsia" w:hAnsi="Arial" w:cstheme="majorBidi"/>
                <w:b/>
                <w:color w:val="000000" w:themeColor="text1"/>
                <w:szCs w:val="40"/>
              </w:rPr>
              <w:t>Sustained Competitive Advantage</w:t>
            </w:r>
            <w:r>
              <w:rPr>
                <w:rFonts w:ascii="Arial" w:eastAsiaTheme="majorEastAsia" w:hAnsi="Arial" w:cstheme="majorBidi"/>
                <w:bCs/>
                <w:color w:val="000000" w:themeColor="text1"/>
                <w:szCs w:val="40"/>
              </w:rPr>
              <w:t xml:space="preserve"> - </w:t>
            </w:r>
            <w:r w:rsidR="00571A89" w:rsidRPr="00571A89">
              <w:rPr>
                <w:rFonts w:ascii="Arial" w:eastAsiaTheme="majorEastAsia" w:hAnsi="Arial" w:cstheme="majorBidi"/>
                <w:bCs/>
                <w:color w:val="000000" w:themeColor="text1"/>
                <w:szCs w:val="40"/>
              </w:rPr>
              <w:t>Nivea's brand has been developed over more than 110 years and represents one of Beiersdorf's most valuable intangible assets. High levels of consumer trust, brand recognition and emotional attachment reduce customer switching behaviour</w:t>
            </w:r>
            <w:r w:rsidR="00A10D87">
              <w:rPr>
                <w:rFonts w:ascii="Arial" w:eastAsiaTheme="majorEastAsia" w:hAnsi="Arial" w:cstheme="majorBidi"/>
                <w:bCs/>
                <w:color w:val="000000" w:themeColor="text1"/>
                <w:szCs w:val="40"/>
              </w:rPr>
              <w:t>.</w:t>
            </w:r>
          </w:p>
        </w:tc>
      </w:tr>
      <w:tr w:rsidR="009C3752" w14:paraId="264521B5" w14:textId="77777777" w:rsidTr="00055ED5">
        <w:tc>
          <w:tcPr>
            <w:tcW w:w="1817" w:type="dxa"/>
            <w:shd w:val="clear" w:color="auto" w:fill="FAE2D5" w:themeFill="accent2" w:themeFillTint="33"/>
          </w:tcPr>
          <w:p w14:paraId="795B6F08" w14:textId="318316FA" w:rsidR="009C3752" w:rsidRPr="00055ED5" w:rsidRDefault="00571A89" w:rsidP="00522445">
            <w:pPr>
              <w:suppressAutoHyphens w:val="0"/>
              <w:autoSpaceDN/>
              <w:spacing w:line="278" w:lineRule="auto"/>
              <w:rPr>
                <w:rFonts w:ascii="Arial" w:eastAsiaTheme="majorEastAsia" w:hAnsi="Arial" w:cstheme="majorBidi"/>
                <w:b/>
                <w:color w:val="000000" w:themeColor="text1"/>
                <w:szCs w:val="40"/>
              </w:rPr>
            </w:pPr>
            <w:r w:rsidRPr="00055ED5">
              <w:rPr>
                <w:rFonts w:ascii="Arial" w:eastAsiaTheme="majorEastAsia" w:hAnsi="Arial" w:cstheme="majorBidi"/>
                <w:b/>
                <w:color w:val="000000" w:themeColor="text1"/>
                <w:szCs w:val="40"/>
              </w:rPr>
              <w:t>Scientific Research and Dermatological Expertise</w:t>
            </w:r>
          </w:p>
        </w:tc>
        <w:tc>
          <w:tcPr>
            <w:tcW w:w="490" w:type="dxa"/>
          </w:tcPr>
          <w:p w14:paraId="43BF70FB" w14:textId="34ACFE04"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225E1664" w14:textId="03D93EC0"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0E8DBF91" w14:textId="49B3B9EB"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1" w:type="dxa"/>
          </w:tcPr>
          <w:p w14:paraId="3A321AEE" w14:textId="314CA81A"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6EFACADB" w14:textId="3AD7D823" w:rsidR="009C3752" w:rsidRPr="00BE4F90" w:rsidRDefault="00D9726D" w:rsidP="00522445">
            <w:pPr>
              <w:suppressAutoHyphens w:val="0"/>
              <w:autoSpaceDN/>
              <w:spacing w:line="278" w:lineRule="auto"/>
              <w:rPr>
                <w:rFonts w:ascii="Arial" w:eastAsiaTheme="majorEastAsia" w:hAnsi="Arial" w:cstheme="majorBidi"/>
                <w:bCs/>
                <w:color w:val="000000" w:themeColor="text1"/>
                <w:szCs w:val="40"/>
              </w:rPr>
            </w:pPr>
            <w:r w:rsidRPr="00D344D2">
              <w:rPr>
                <w:rFonts w:ascii="Arial" w:eastAsiaTheme="majorEastAsia" w:hAnsi="Arial" w:cstheme="majorBidi"/>
                <w:b/>
                <w:color w:val="000000" w:themeColor="text1"/>
                <w:szCs w:val="40"/>
              </w:rPr>
              <w:t>Sustained Competitive Advantage</w:t>
            </w:r>
            <w:r>
              <w:rPr>
                <w:rFonts w:ascii="Arial" w:eastAsiaTheme="majorEastAsia" w:hAnsi="Arial" w:cstheme="majorBidi"/>
                <w:bCs/>
                <w:color w:val="000000" w:themeColor="text1"/>
                <w:szCs w:val="40"/>
              </w:rPr>
              <w:t xml:space="preserve"> - </w:t>
            </w:r>
            <w:r w:rsidRPr="00D9726D">
              <w:rPr>
                <w:rFonts w:ascii="Arial" w:eastAsiaTheme="majorEastAsia" w:hAnsi="Arial" w:cstheme="majorBidi"/>
                <w:bCs/>
                <w:color w:val="000000" w:themeColor="text1"/>
                <w:szCs w:val="40"/>
              </w:rPr>
              <w:t>Beiersdorf's investment in dermatological research and innovation creates knowledge-based capabilities that underpin product quality and credibility. The combination of scientific expertise, intellectual capital and continuous R&amp;D investment is difficult to imitate</w:t>
            </w:r>
            <w:r w:rsidR="00A10D87">
              <w:rPr>
                <w:rFonts w:ascii="Arial" w:eastAsiaTheme="majorEastAsia" w:hAnsi="Arial" w:cstheme="majorBidi"/>
                <w:bCs/>
                <w:color w:val="000000" w:themeColor="text1"/>
                <w:szCs w:val="40"/>
              </w:rPr>
              <w:t>.</w:t>
            </w:r>
          </w:p>
        </w:tc>
      </w:tr>
      <w:tr w:rsidR="009C3752" w14:paraId="1D3626E1" w14:textId="77777777" w:rsidTr="00055ED5">
        <w:tc>
          <w:tcPr>
            <w:tcW w:w="1817" w:type="dxa"/>
            <w:shd w:val="clear" w:color="auto" w:fill="FAE2D5" w:themeFill="accent2" w:themeFillTint="33"/>
          </w:tcPr>
          <w:p w14:paraId="452AD0D4" w14:textId="71C8A63B" w:rsidR="009C3752" w:rsidRPr="00055ED5" w:rsidRDefault="007B6BB9" w:rsidP="00522445">
            <w:pPr>
              <w:suppressAutoHyphens w:val="0"/>
              <w:autoSpaceDN/>
              <w:spacing w:line="278" w:lineRule="auto"/>
              <w:rPr>
                <w:rFonts w:ascii="Arial" w:eastAsiaTheme="majorEastAsia" w:hAnsi="Arial" w:cstheme="majorBidi"/>
                <w:b/>
                <w:color w:val="000000" w:themeColor="text1"/>
                <w:szCs w:val="40"/>
              </w:rPr>
            </w:pPr>
            <w:r w:rsidRPr="007B6BB9">
              <w:rPr>
                <w:rFonts w:ascii="Arial" w:eastAsiaTheme="majorEastAsia" w:hAnsi="Arial" w:cstheme="majorBidi"/>
                <w:b/>
                <w:color w:val="000000" w:themeColor="text1"/>
                <w:szCs w:val="40"/>
              </w:rPr>
              <w:t>Global Distribution Network</w:t>
            </w:r>
          </w:p>
        </w:tc>
        <w:tc>
          <w:tcPr>
            <w:tcW w:w="490" w:type="dxa"/>
          </w:tcPr>
          <w:p w14:paraId="169A3813" w14:textId="117A104C"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3565E953" w14:textId="5022A329"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w:rPr>
                    <w:rFonts w:ascii="Cambria Math" w:eastAsiaTheme="majorEastAsia" w:hAnsi="Cambria Math" w:cstheme="majorBidi"/>
                    <w:color w:val="000000" w:themeColor="text1"/>
                    <w:szCs w:val="40"/>
                  </w:rPr>
                  <m:t>×</m:t>
                </m:r>
              </m:oMath>
            </m:oMathPara>
          </w:p>
        </w:tc>
        <w:tc>
          <w:tcPr>
            <w:tcW w:w="490" w:type="dxa"/>
          </w:tcPr>
          <w:p w14:paraId="21B4E660" w14:textId="5C5AC9D5"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1" w:type="dxa"/>
          </w:tcPr>
          <w:p w14:paraId="741E5D34" w14:textId="2054D73E"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33F6C6D2" w14:textId="1892BBF6" w:rsidR="009C3752" w:rsidRPr="00BE4F90" w:rsidRDefault="007B6BB9" w:rsidP="00522445">
            <w:pPr>
              <w:suppressAutoHyphens w:val="0"/>
              <w:autoSpaceDN/>
              <w:spacing w:line="278" w:lineRule="auto"/>
              <w:rPr>
                <w:rFonts w:ascii="Arial" w:eastAsiaTheme="majorEastAsia" w:hAnsi="Arial" w:cstheme="majorBidi"/>
                <w:bCs/>
                <w:color w:val="000000" w:themeColor="text1"/>
                <w:szCs w:val="40"/>
              </w:rPr>
            </w:pPr>
            <w:r w:rsidRPr="00DD0ED6">
              <w:rPr>
                <w:rFonts w:ascii="Arial" w:eastAsiaTheme="majorEastAsia" w:hAnsi="Arial" w:cstheme="majorBidi"/>
                <w:b/>
                <w:color w:val="000000" w:themeColor="text1"/>
                <w:szCs w:val="40"/>
              </w:rPr>
              <w:t>Competitive Parity</w:t>
            </w:r>
            <w:r>
              <w:rPr>
                <w:rFonts w:ascii="Arial" w:eastAsiaTheme="majorEastAsia" w:hAnsi="Arial" w:cstheme="majorBidi"/>
                <w:bCs/>
                <w:color w:val="000000" w:themeColor="text1"/>
                <w:szCs w:val="40"/>
              </w:rPr>
              <w:t xml:space="preserve"> - </w:t>
            </w:r>
            <w:r w:rsidR="00DD0ED6" w:rsidRPr="00DD0ED6">
              <w:rPr>
                <w:rFonts w:ascii="Arial" w:eastAsiaTheme="majorEastAsia" w:hAnsi="Arial" w:cstheme="majorBidi"/>
                <w:bCs/>
                <w:color w:val="000000" w:themeColor="text1"/>
                <w:szCs w:val="40"/>
              </w:rPr>
              <w:t xml:space="preserve">Although Nivea benefits from an extensive global distribution system across supermarkets, pharmacies, and digital channels, competitors such as L'Oréal, Unilever and Johnson &amp; Johnson possess similar international capabilities. </w:t>
            </w:r>
          </w:p>
        </w:tc>
      </w:tr>
      <w:tr w:rsidR="009C3752" w14:paraId="310E276B" w14:textId="77777777" w:rsidTr="00055ED5">
        <w:tc>
          <w:tcPr>
            <w:tcW w:w="1817" w:type="dxa"/>
            <w:shd w:val="clear" w:color="auto" w:fill="FAE2D5" w:themeFill="accent2" w:themeFillTint="33"/>
          </w:tcPr>
          <w:p w14:paraId="417E4F3E" w14:textId="0CC44653" w:rsidR="009C3752" w:rsidRPr="00055ED5" w:rsidRDefault="00DD0ED6" w:rsidP="00522445">
            <w:pPr>
              <w:suppressAutoHyphens w:val="0"/>
              <w:autoSpaceDN/>
              <w:spacing w:line="278" w:lineRule="auto"/>
              <w:rPr>
                <w:rFonts w:ascii="Arial" w:eastAsiaTheme="majorEastAsia" w:hAnsi="Arial" w:cstheme="majorBidi"/>
                <w:b/>
                <w:color w:val="000000" w:themeColor="text1"/>
                <w:szCs w:val="40"/>
              </w:rPr>
            </w:pPr>
            <w:r w:rsidRPr="00DD0ED6">
              <w:rPr>
                <w:rFonts w:ascii="Arial" w:eastAsiaTheme="majorEastAsia" w:hAnsi="Arial" w:cstheme="majorBidi"/>
                <w:b/>
                <w:color w:val="000000" w:themeColor="text1"/>
                <w:szCs w:val="40"/>
              </w:rPr>
              <w:t>Supply Chain and Manufacturing Capability</w:t>
            </w:r>
          </w:p>
        </w:tc>
        <w:tc>
          <w:tcPr>
            <w:tcW w:w="490" w:type="dxa"/>
          </w:tcPr>
          <w:p w14:paraId="25B2DEA2" w14:textId="260FCFEA"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5A13AFE9" w14:textId="2C93BCD4" w:rsidR="009C3752" w:rsidRPr="00BE4F90" w:rsidRDefault="003B0445" w:rsidP="00522445">
            <w:pPr>
              <w:suppressAutoHyphens w:val="0"/>
              <w:autoSpaceDN/>
              <w:spacing w:line="278" w:lineRule="auto"/>
              <w:rPr>
                <w:rFonts w:ascii="Arial" w:eastAsiaTheme="majorEastAsia" w:hAnsi="Arial" w:cstheme="majorBidi"/>
                <w:bCs/>
                <w:color w:val="000000" w:themeColor="text1"/>
                <w:szCs w:val="40"/>
              </w:rPr>
            </w:pPr>
            <m:oMathPara>
              <m:oMath>
                <m:r>
                  <w:rPr>
                    <w:rFonts w:ascii="Cambria Math" w:eastAsiaTheme="majorEastAsia" w:hAnsi="Cambria Math" w:cstheme="majorBidi"/>
                    <w:color w:val="000000" w:themeColor="text1"/>
                    <w:szCs w:val="40"/>
                  </w:rPr>
                  <m:t>×</m:t>
                </m:r>
              </m:oMath>
            </m:oMathPara>
          </w:p>
        </w:tc>
        <w:tc>
          <w:tcPr>
            <w:tcW w:w="490" w:type="dxa"/>
          </w:tcPr>
          <w:p w14:paraId="40506D4A" w14:textId="43BBA722" w:rsidR="009C3752" w:rsidRPr="00BE4F90" w:rsidRDefault="003B0445" w:rsidP="00522445">
            <w:pPr>
              <w:suppressAutoHyphens w:val="0"/>
              <w:autoSpaceDN/>
              <w:spacing w:line="278" w:lineRule="auto"/>
              <w:rPr>
                <w:rFonts w:ascii="Arial" w:eastAsiaTheme="majorEastAsia" w:hAnsi="Arial" w:cstheme="majorBidi"/>
                <w:bCs/>
                <w:color w:val="000000" w:themeColor="text1"/>
                <w:szCs w:val="40"/>
              </w:rPr>
            </w:pPr>
            <m:oMathPara>
              <m:oMath>
                <m:r>
                  <w:rPr>
                    <w:rFonts w:ascii="Cambria Math" w:eastAsiaTheme="majorEastAsia" w:hAnsi="Cambria Math" w:cstheme="majorBidi"/>
                    <w:color w:val="000000" w:themeColor="text1"/>
                    <w:szCs w:val="40"/>
                  </w:rPr>
                  <m:t>×</m:t>
                </m:r>
              </m:oMath>
            </m:oMathPara>
          </w:p>
        </w:tc>
        <w:tc>
          <w:tcPr>
            <w:tcW w:w="491" w:type="dxa"/>
          </w:tcPr>
          <w:p w14:paraId="365A9B12" w14:textId="3176A2B0" w:rsidR="009C3752" w:rsidRPr="00BE4F90" w:rsidRDefault="00055ED5" w:rsidP="0052244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687D7C15" w14:textId="504182FD" w:rsidR="009C3752" w:rsidRPr="00BE4F90" w:rsidRDefault="008B5714" w:rsidP="00522445">
            <w:pPr>
              <w:suppressAutoHyphens w:val="0"/>
              <w:autoSpaceDN/>
              <w:spacing w:line="278" w:lineRule="auto"/>
              <w:rPr>
                <w:rFonts w:ascii="Arial" w:eastAsiaTheme="majorEastAsia" w:hAnsi="Arial" w:cstheme="majorBidi"/>
                <w:bCs/>
                <w:color w:val="000000" w:themeColor="text1"/>
                <w:szCs w:val="40"/>
              </w:rPr>
            </w:pPr>
            <w:r w:rsidRPr="008B5714">
              <w:rPr>
                <w:rFonts w:ascii="Arial" w:eastAsiaTheme="majorEastAsia" w:hAnsi="Arial" w:cstheme="majorBidi"/>
                <w:b/>
                <w:color w:val="000000" w:themeColor="text1"/>
                <w:szCs w:val="40"/>
              </w:rPr>
              <w:t>Competitive Parity</w:t>
            </w:r>
            <w:r>
              <w:rPr>
                <w:rFonts w:ascii="Arial" w:eastAsiaTheme="majorEastAsia" w:hAnsi="Arial" w:cstheme="majorBidi"/>
                <w:bCs/>
                <w:color w:val="000000" w:themeColor="text1"/>
                <w:szCs w:val="40"/>
              </w:rPr>
              <w:t xml:space="preserve"> - </w:t>
            </w:r>
            <w:r w:rsidRPr="008B5714">
              <w:rPr>
                <w:rFonts w:ascii="Arial" w:eastAsiaTheme="majorEastAsia" w:hAnsi="Arial" w:cstheme="majorBidi"/>
                <w:bCs/>
                <w:color w:val="000000" w:themeColor="text1"/>
                <w:szCs w:val="40"/>
              </w:rPr>
              <w:t xml:space="preserve">Efficient manufacturing and procurement support cost efficiency and product consistency. </w:t>
            </w:r>
          </w:p>
        </w:tc>
      </w:tr>
      <w:tr w:rsidR="00055ED5" w14:paraId="4A17A094" w14:textId="77777777" w:rsidTr="00055ED5">
        <w:tc>
          <w:tcPr>
            <w:tcW w:w="1817" w:type="dxa"/>
            <w:shd w:val="clear" w:color="auto" w:fill="FAE2D5" w:themeFill="accent2" w:themeFillTint="33"/>
          </w:tcPr>
          <w:p w14:paraId="070AFC08" w14:textId="0510FA6D" w:rsidR="00055ED5" w:rsidRPr="00055ED5" w:rsidRDefault="00010EC6" w:rsidP="00055ED5">
            <w:pPr>
              <w:suppressAutoHyphens w:val="0"/>
              <w:autoSpaceDN/>
              <w:spacing w:line="278" w:lineRule="auto"/>
              <w:rPr>
                <w:rFonts w:ascii="Arial" w:eastAsiaTheme="majorEastAsia" w:hAnsi="Arial" w:cstheme="majorBidi"/>
                <w:b/>
                <w:color w:val="000000" w:themeColor="text1"/>
                <w:szCs w:val="40"/>
              </w:rPr>
            </w:pPr>
            <w:r w:rsidRPr="00010EC6">
              <w:rPr>
                <w:rFonts w:ascii="Arial" w:eastAsiaTheme="majorEastAsia" w:hAnsi="Arial" w:cstheme="majorBidi"/>
                <w:b/>
                <w:color w:val="000000" w:themeColor="text1"/>
                <w:szCs w:val="40"/>
              </w:rPr>
              <w:t>Consumer Trust and Brand Loyalty</w:t>
            </w:r>
          </w:p>
        </w:tc>
        <w:tc>
          <w:tcPr>
            <w:tcW w:w="490" w:type="dxa"/>
          </w:tcPr>
          <w:p w14:paraId="4B736F4F" w14:textId="10C87733" w:rsidR="00055ED5" w:rsidRPr="00BE4F90" w:rsidRDefault="00055ED5" w:rsidP="00055ED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26821094" w14:textId="6B2EF123" w:rsidR="00055ED5" w:rsidRPr="00BE4F90" w:rsidRDefault="00055ED5" w:rsidP="00055ED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66C2C04D" w14:textId="44FAC60C" w:rsidR="00055ED5" w:rsidRPr="00BE4F90" w:rsidRDefault="00055ED5" w:rsidP="00055ED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1" w:type="dxa"/>
          </w:tcPr>
          <w:p w14:paraId="5E03741B" w14:textId="25B65354" w:rsidR="00055ED5" w:rsidRPr="00BE4F90" w:rsidRDefault="00055ED5" w:rsidP="00055ED5">
            <w:pPr>
              <w:suppressAutoHyphens w:val="0"/>
              <w:autoSpaceDN/>
              <w:spacing w:line="278" w:lineRule="auto"/>
              <w:rPr>
                <w:rFonts w:ascii="Arial" w:eastAsiaTheme="majorEastAsia" w:hAnsi="Arial" w:cstheme="majorBidi"/>
                <w:bCs/>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58582F33" w14:textId="6E3AE458" w:rsidR="00055ED5" w:rsidRPr="00BE4F90" w:rsidRDefault="00010EC6" w:rsidP="00055ED5">
            <w:pPr>
              <w:suppressAutoHyphens w:val="0"/>
              <w:autoSpaceDN/>
              <w:spacing w:line="278" w:lineRule="auto"/>
              <w:rPr>
                <w:rFonts w:ascii="Arial" w:eastAsiaTheme="majorEastAsia" w:hAnsi="Arial" w:cstheme="majorBidi"/>
                <w:bCs/>
                <w:color w:val="000000" w:themeColor="text1"/>
                <w:szCs w:val="40"/>
              </w:rPr>
            </w:pPr>
            <w:r w:rsidRPr="00010EC6">
              <w:rPr>
                <w:rFonts w:ascii="Arial" w:eastAsiaTheme="majorEastAsia" w:hAnsi="Arial" w:cstheme="majorBidi"/>
                <w:b/>
                <w:color w:val="000000" w:themeColor="text1"/>
                <w:szCs w:val="40"/>
              </w:rPr>
              <w:t>Sustained Competitive Advantage</w:t>
            </w:r>
            <w:r>
              <w:rPr>
                <w:rFonts w:ascii="Arial" w:eastAsiaTheme="majorEastAsia" w:hAnsi="Arial" w:cstheme="majorBidi"/>
                <w:bCs/>
                <w:color w:val="000000" w:themeColor="text1"/>
                <w:szCs w:val="40"/>
              </w:rPr>
              <w:t xml:space="preserve"> - </w:t>
            </w:r>
            <w:r w:rsidRPr="00010EC6">
              <w:rPr>
                <w:rFonts w:ascii="Arial" w:eastAsiaTheme="majorEastAsia" w:hAnsi="Arial" w:cstheme="majorBidi"/>
                <w:bCs/>
                <w:color w:val="000000" w:themeColor="text1"/>
                <w:szCs w:val="40"/>
              </w:rPr>
              <w:t xml:space="preserve">Consumer trust has been built through consistent product quality, safety and reliability across generations. This reputation significantly lowers customer acquisition costs and strengthens repeat purchasing behaviour. </w:t>
            </w:r>
          </w:p>
        </w:tc>
      </w:tr>
      <w:tr w:rsidR="00010EC6" w14:paraId="17889C0E" w14:textId="77777777" w:rsidTr="00055ED5">
        <w:tc>
          <w:tcPr>
            <w:tcW w:w="1817" w:type="dxa"/>
            <w:shd w:val="clear" w:color="auto" w:fill="FAE2D5" w:themeFill="accent2" w:themeFillTint="33"/>
          </w:tcPr>
          <w:p w14:paraId="50A447C9" w14:textId="151775C5" w:rsidR="00010EC6" w:rsidRPr="00010EC6" w:rsidRDefault="001514CC" w:rsidP="00055ED5">
            <w:pPr>
              <w:suppressAutoHyphens w:val="0"/>
              <w:autoSpaceDN/>
              <w:spacing w:line="278" w:lineRule="auto"/>
              <w:rPr>
                <w:rFonts w:ascii="Arial" w:eastAsiaTheme="majorEastAsia" w:hAnsi="Arial" w:cstheme="majorBidi"/>
                <w:b/>
                <w:color w:val="000000" w:themeColor="text1"/>
                <w:szCs w:val="40"/>
              </w:rPr>
            </w:pPr>
            <w:r w:rsidRPr="001514CC">
              <w:rPr>
                <w:rFonts w:ascii="Arial" w:eastAsiaTheme="majorEastAsia" w:hAnsi="Arial" w:cstheme="majorBidi"/>
                <w:b/>
                <w:color w:val="000000" w:themeColor="text1"/>
                <w:szCs w:val="40"/>
              </w:rPr>
              <w:t>Sustainability Capability (Care Beyond Skin Strategy)</w:t>
            </w:r>
          </w:p>
        </w:tc>
        <w:tc>
          <w:tcPr>
            <w:tcW w:w="490" w:type="dxa"/>
          </w:tcPr>
          <w:p w14:paraId="4962DC36" w14:textId="07306DB0" w:rsidR="00010EC6" w:rsidRPr="000C6F89" w:rsidRDefault="00D0510E" w:rsidP="00055ED5">
            <w:pPr>
              <w:suppressAutoHyphens w:val="0"/>
              <w:autoSpaceDN/>
              <w:spacing w:line="278" w:lineRule="auto"/>
              <w:rPr>
                <w:rFonts w:ascii="Arial" w:eastAsia="Times New Roman" w:hAnsi="Arial"/>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70A6D68F" w14:textId="3694E44A" w:rsidR="00010EC6" w:rsidRPr="000C6F89" w:rsidRDefault="00D0510E" w:rsidP="00055ED5">
            <w:pPr>
              <w:suppressAutoHyphens w:val="0"/>
              <w:autoSpaceDN/>
              <w:spacing w:line="278" w:lineRule="auto"/>
              <w:rPr>
                <w:rFonts w:ascii="Arial" w:eastAsia="Times New Roman" w:hAnsi="Arial"/>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490" w:type="dxa"/>
          </w:tcPr>
          <w:p w14:paraId="4B822F13" w14:textId="303D8796" w:rsidR="00010EC6" w:rsidRPr="000C6F89" w:rsidRDefault="00D0510E" w:rsidP="00055ED5">
            <w:pPr>
              <w:suppressAutoHyphens w:val="0"/>
              <w:autoSpaceDN/>
              <w:spacing w:line="278" w:lineRule="auto"/>
              <w:rPr>
                <w:rFonts w:ascii="Arial" w:eastAsia="Times New Roman" w:hAnsi="Arial"/>
                <w:b/>
                <w:color w:val="000000" w:themeColor="text1"/>
                <w:szCs w:val="40"/>
              </w:rPr>
            </w:pPr>
            <m:oMathPara>
              <m:oMath>
                <m:r>
                  <m:rPr>
                    <m:sty m:val="bi"/>
                  </m:rPr>
                  <w:rPr>
                    <w:rFonts w:ascii="Cambria Math" w:eastAsia="Times New Roman" w:hAnsi="Cambria Math"/>
                    <w:color w:val="000000" w:themeColor="text1"/>
                    <w:szCs w:val="40"/>
                  </w:rPr>
                  <m:t>×</m:t>
                </m:r>
              </m:oMath>
            </m:oMathPara>
          </w:p>
        </w:tc>
        <w:tc>
          <w:tcPr>
            <w:tcW w:w="491" w:type="dxa"/>
          </w:tcPr>
          <w:p w14:paraId="5C54C0F2" w14:textId="44784A91" w:rsidR="00010EC6" w:rsidRPr="000C6F89" w:rsidRDefault="00D0510E" w:rsidP="00055ED5">
            <w:pPr>
              <w:suppressAutoHyphens w:val="0"/>
              <w:autoSpaceDN/>
              <w:spacing w:line="278" w:lineRule="auto"/>
              <w:rPr>
                <w:rFonts w:ascii="Arial" w:eastAsia="Times New Roman" w:hAnsi="Arial"/>
                <w:b/>
                <w:color w:val="000000" w:themeColor="text1"/>
                <w:szCs w:val="40"/>
              </w:rPr>
            </w:pPr>
            <m:oMathPara>
              <m:oMath>
                <m:r>
                  <m:rPr>
                    <m:sty m:val="bi"/>
                  </m:rPr>
                  <w:rPr>
                    <w:rFonts w:ascii="Cambria Math" w:eastAsiaTheme="majorEastAsia" w:hAnsi="Cambria Math" w:cstheme="majorBidi"/>
                    <w:color w:val="000000" w:themeColor="text1"/>
                    <w:szCs w:val="40"/>
                  </w:rPr>
                  <m:t>√</m:t>
                </m:r>
              </m:oMath>
            </m:oMathPara>
          </w:p>
        </w:tc>
        <w:tc>
          <w:tcPr>
            <w:tcW w:w="5238" w:type="dxa"/>
          </w:tcPr>
          <w:p w14:paraId="3A7AE3F9" w14:textId="6A46C8E1" w:rsidR="00010EC6" w:rsidRPr="00010EC6" w:rsidRDefault="001514CC" w:rsidP="00055ED5">
            <w:pPr>
              <w:suppressAutoHyphens w:val="0"/>
              <w:autoSpaceDN/>
              <w:spacing w:line="278" w:lineRule="auto"/>
              <w:rPr>
                <w:rFonts w:ascii="Arial" w:eastAsiaTheme="majorEastAsia" w:hAnsi="Arial" w:cstheme="majorBidi"/>
                <w:b/>
                <w:color w:val="000000" w:themeColor="text1"/>
                <w:szCs w:val="40"/>
              </w:rPr>
            </w:pPr>
            <w:r w:rsidRPr="001514CC">
              <w:rPr>
                <w:rFonts w:ascii="Arial" w:eastAsiaTheme="majorEastAsia" w:hAnsi="Arial" w:cstheme="majorBidi"/>
                <w:b/>
                <w:color w:val="000000" w:themeColor="text1"/>
                <w:szCs w:val="40"/>
              </w:rPr>
              <w:t>Temporary Competitive Advantage</w:t>
            </w:r>
            <w:r w:rsidR="00232F9B">
              <w:rPr>
                <w:rFonts w:ascii="Arial" w:eastAsiaTheme="majorEastAsia" w:hAnsi="Arial" w:cstheme="majorBidi"/>
                <w:b/>
                <w:color w:val="000000" w:themeColor="text1"/>
                <w:szCs w:val="40"/>
              </w:rPr>
              <w:t xml:space="preserve"> - </w:t>
            </w:r>
            <w:r w:rsidR="00232F9B" w:rsidRPr="00232F9B">
              <w:rPr>
                <w:rFonts w:ascii="Arial" w:eastAsiaTheme="majorEastAsia" w:hAnsi="Arial" w:cstheme="majorBidi"/>
                <w:bCs/>
                <w:color w:val="000000" w:themeColor="text1"/>
                <w:szCs w:val="40"/>
              </w:rPr>
              <w:t xml:space="preserve">Sustainability initiatives increasingly influence consumer purchasing decisions and strengthen corporate reputation. However, </w:t>
            </w:r>
            <w:r w:rsidR="00232F9B" w:rsidRPr="00232F9B">
              <w:rPr>
                <w:rFonts w:ascii="Arial" w:eastAsiaTheme="majorEastAsia" w:hAnsi="Arial" w:cstheme="majorBidi"/>
                <w:bCs/>
                <w:color w:val="000000" w:themeColor="text1"/>
                <w:szCs w:val="40"/>
              </w:rPr>
              <w:lastRenderedPageBreak/>
              <w:t xml:space="preserve">many multinational competitors are making similar investments in ESG initiatives. </w:t>
            </w:r>
          </w:p>
        </w:tc>
      </w:tr>
    </w:tbl>
    <w:p w14:paraId="588E81FA" w14:textId="3EAFE0F7" w:rsidR="00050B0D" w:rsidRPr="00A90812" w:rsidRDefault="00B8466A" w:rsidP="00D037D9">
      <w:pPr>
        <w:pStyle w:val="Heading1"/>
      </w:pPr>
      <w:bookmarkStart w:id="18" w:name="_Toc235135102"/>
      <w:r w:rsidRPr="005C57FF">
        <w:lastRenderedPageBreak/>
        <w:t>SWOT Analysis</w:t>
      </w:r>
      <w:bookmarkEnd w:id="18"/>
      <w:r w:rsidRPr="005C57FF">
        <w:t xml:space="preserve"> </w:t>
      </w:r>
    </w:p>
    <w:tbl>
      <w:tblPr>
        <w:tblStyle w:val="TableGrid"/>
        <w:tblW w:w="0" w:type="auto"/>
        <w:tblLook w:val="04A0" w:firstRow="1" w:lastRow="0" w:firstColumn="1" w:lastColumn="0" w:noHBand="0" w:noVBand="1"/>
      </w:tblPr>
      <w:tblGrid>
        <w:gridCol w:w="1590"/>
        <w:gridCol w:w="7426"/>
      </w:tblGrid>
      <w:tr w:rsidR="005232EF" w14:paraId="10762E72" w14:textId="77777777" w:rsidTr="002D45DA">
        <w:tc>
          <w:tcPr>
            <w:tcW w:w="1555" w:type="dxa"/>
            <w:shd w:val="clear" w:color="auto" w:fill="92D050"/>
          </w:tcPr>
          <w:p w14:paraId="21E5BCEA" w14:textId="50C8995A" w:rsidR="005232EF" w:rsidRPr="00E223C1" w:rsidRDefault="005232EF" w:rsidP="00190383">
            <w:pPr>
              <w:spacing w:line="360" w:lineRule="auto"/>
              <w:jc w:val="both"/>
              <w:rPr>
                <w:rFonts w:ascii="Arial" w:hAnsi="Arial" w:cs="Arial"/>
                <w:b/>
                <w:bCs/>
              </w:rPr>
            </w:pPr>
            <w:r w:rsidRPr="00E223C1">
              <w:rPr>
                <w:rFonts w:ascii="Arial" w:hAnsi="Arial" w:cs="Arial"/>
                <w:b/>
                <w:bCs/>
              </w:rPr>
              <w:t>Strength</w:t>
            </w:r>
          </w:p>
        </w:tc>
        <w:tc>
          <w:tcPr>
            <w:tcW w:w="7461" w:type="dxa"/>
          </w:tcPr>
          <w:p w14:paraId="058D1548" w14:textId="40C48BAD" w:rsidR="005232EF" w:rsidRDefault="001F1A52" w:rsidP="00190383">
            <w:pPr>
              <w:spacing w:line="360" w:lineRule="auto"/>
              <w:jc w:val="both"/>
              <w:rPr>
                <w:rFonts w:ascii="Arial" w:hAnsi="Arial" w:cs="Arial"/>
              </w:rPr>
            </w:pPr>
            <w:r>
              <w:rPr>
                <w:rFonts w:ascii="Arial" w:hAnsi="Arial" w:cs="Arial"/>
              </w:rPr>
              <w:t xml:space="preserve">Globally recognised, </w:t>
            </w:r>
            <w:r w:rsidR="004F1DC2">
              <w:rPr>
                <w:rFonts w:ascii="Arial" w:hAnsi="Arial" w:cs="Arial"/>
              </w:rPr>
              <w:t xml:space="preserve">strong brand loyalty, </w:t>
            </w:r>
            <w:r w:rsidR="002474F5">
              <w:rPr>
                <w:rFonts w:ascii="Arial" w:hAnsi="Arial" w:cs="Arial"/>
              </w:rPr>
              <w:t xml:space="preserve">extensive R&amp;D capabilities, </w:t>
            </w:r>
            <w:r w:rsidR="00F043C2">
              <w:rPr>
                <w:rFonts w:ascii="Arial" w:hAnsi="Arial" w:cs="Arial"/>
              </w:rPr>
              <w:t xml:space="preserve">efficient global supply chain, strong </w:t>
            </w:r>
            <w:r w:rsidR="00B42139">
              <w:rPr>
                <w:rFonts w:ascii="Arial" w:hAnsi="Arial" w:cs="Arial"/>
              </w:rPr>
              <w:t>financial resour</w:t>
            </w:r>
            <w:r w:rsidR="00AC794D">
              <w:rPr>
                <w:rFonts w:ascii="Arial" w:hAnsi="Arial" w:cs="Arial"/>
              </w:rPr>
              <w:t>c</w:t>
            </w:r>
            <w:r w:rsidR="00B42139">
              <w:rPr>
                <w:rFonts w:ascii="Arial" w:hAnsi="Arial" w:cs="Arial"/>
              </w:rPr>
              <w:t>es.</w:t>
            </w:r>
          </w:p>
        </w:tc>
      </w:tr>
      <w:tr w:rsidR="005232EF" w14:paraId="7FD67F8B" w14:textId="77777777" w:rsidTr="002D45DA">
        <w:tc>
          <w:tcPr>
            <w:tcW w:w="1555" w:type="dxa"/>
            <w:shd w:val="clear" w:color="auto" w:fill="92D050"/>
          </w:tcPr>
          <w:p w14:paraId="20E0833D" w14:textId="5B77D1FA" w:rsidR="005232EF" w:rsidRPr="00E223C1" w:rsidRDefault="005232EF" w:rsidP="00190383">
            <w:pPr>
              <w:spacing w:line="360" w:lineRule="auto"/>
              <w:jc w:val="both"/>
              <w:rPr>
                <w:rFonts w:ascii="Arial" w:hAnsi="Arial" w:cs="Arial"/>
                <w:b/>
                <w:bCs/>
              </w:rPr>
            </w:pPr>
            <w:r w:rsidRPr="00E223C1">
              <w:rPr>
                <w:rFonts w:ascii="Arial" w:hAnsi="Arial" w:cs="Arial"/>
                <w:b/>
                <w:bCs/>
              </w:rPr>
              <w:t>Weakness</w:t>
            </w:r>
          </w:p>
        </w:tc>
        <w:tc>
          <w:tcPr>
            <w:tcW w:w="7461" w:type="dxa"/>
          </w:tcPr>
          <w:p w14:paraId="60177AFF" w14:textId="4F56B4FA" w:rsidR="005232EF" w:rsidRDefault="00B42139" w:rsidP="00190383">
            <w:pPr>
              <w:spacing w:line="360" w:lineRule="auto"/>
              <w:jc w:val="both"/>
              <w:rPr>
                <w:rFonts w:ascii="Arial" w:hAnsi="Arial" w:cs="Arial"/>
              </w:rPr>
            </w:pPr>
            <w:r>
              <w:rPr>
                <w:rFonts w:ascii="Arial" w:hAnsi="Arial" w:cs="Arial"/>
              </w:rPr>
              <w:t>Heavy dependence on Nivea brand</w:t>
            </w:r>
            <w:r w:rsidR="00601225">
              <w:rPr>
                <w:rFonts w:ascii="Arial" w:hAnsi="Arial" w:cs="Arial"/>
              </w:rPr>
              <w:t>, increasing operating costs</w:t>
            </w:r>
            <w:r w:rsidR="00444D44">
              <w:rPr>
                <w:rFonts w:ascii="Arial" w:hAnsi="Arial" w:cs="Arial"/>
              </w:rPr>
              <w:t xml:space="preserve">, slower innovation compared to competitors, </w:t>
            </w:r>
            <w:r w:rsidR="00AC794D">
              <w:rPr>
                <w:rFonts w:ascii="Arial" w:hAnsi="Arial" w:cs="Arial"/>
              </w:rPr>
              <w:t>limited growth</w:t>
            </w:r>
            <w:r w:rsidR="00BB60CA">
              <w:rPr>
                <w:rFonts w:ascii="Arial" w:hAnsi="Arial" w:cs="Arial"/>
              </w:rPr>
              <w:t xml:space="preserve"> opportunities</w:t>
            </w:r>
            <w:r w:rsidR="00E16120">
              <w:rPr>
                <w:rFonts w:ascii="Arial" w:hAnsi="Arial" w:cs="Arial"/>
              </w:rPr>
              <w:t>.</w:t>
            </w:r>
          </w:p>
        </w:tc>
      </w:tr>
      <w:tr w:rsidR="005232EF" w14:paraId="3489C666" w14:textId="77777777" w:rsidTr="002D45DA">
        <w:tc>
          <w:tcPr>
            <w:tcW w:w="1555" w:type="dxa"/>
            <w:shd w:val="clear" w:color="auto" w:fill="92D050"/>
          </w:tcPr>
          <w:p w14:paraId="62E801D0" w14:textId="7432EB67" w:rsidR="005232EF" w:rsidRPr="00E223C1" w:rsidRDefault="005232EF" w:rsidP="00190383">
            <w:pPr>
              <w:spacing w:line="360" w:lineRule="auto"/>
              <w:jc w:val="both"/>
              <w:rPr>
                <w:rFonts w:ascii="Arial" w:hAnsi="Arial" w:cs="Arial"/>
                <w:b/>
                <w:bCs/>
              </w:rPr>
            </w:pPr>
            <w:r w:rsidRPr="00E223C1">
              <w:rPr>
                <w:rFonts w:ascii="Arial" w:hAnsi="Arial" w:cs="Arial"/>
                <w:b/>
                <w:bCs/>
              </w:rPr>
              <w:t>Opportunity</w:t>
            </w:r>
          </w:p>
        </w:tc>
        <w:tc>
          <w:tcPr>
            <w:tcW w:w="7461" w:type="dxa"/>
          </w:tcPr>
          <w:p w14:paraId="799A6E63" w14:textId="1FEF7768" w:rsidR="005232EF" w:rsidRDefault="00F87491" w:rsidP="00190383">
            <w:pPr>
              <w:spacing w:line="360" w:lineRule="auto"/>
              <w:jc w:val="both"/>
              <w:rPr>
                <w:rFonts w:ascii="Arial" w:hAnsi="Arial" w:cs="Arial"/>
              </w:rPr>
            </w:pPr>
            <w:r>
              <w:rPr>
                <w:rFonts w:ascii="Arial" w:hAnsi="Arial" w:cs="Arial"/>
              </w:rPr>
              <w:t xml:space="preserve">Growing demand for sustainable skincare, expansion in emerging markets, </w:t>
            </w:r>
            <w:r w:rsidR="00942FFF">
              <w:rPr>
                <w:rFonts w:ascii="Arial" w:hAnsi="Arial" w:cs="Arial"/>
              </w:rPr>
              <w:t xml:space="preserve">digital transformation and e-commerce, </w:t>
            </w:r>
            <w:r w:rsidR="00073C65">
              <w:rPr>
                <w:rFonts w:ascii="Arial" w:hAnsi="Arial" w:cs="Arial"/>
              </w:rPr>
              <w:t xml:space="preserve">demand for personalised and </w:t>
            </w:r>
            <w:r w:rsidR="00A91FB7">
              <w:rPr>
                <w:rFonts w:ascii="Arial" w:hAnsi="Arial" w:cs="Arial"/>
              </w:rPr>
              <w:t>science-based</w:t>
            </w:r>
            <w:r w:rsidR="00073C65">
              <w:rPr>
                <w:rFonts w:ascii="Arial" w:hAnsi="Arial" w:cs="Arial"/>
              </w:rPr>
              <w:t xml:space="preserve"> skincare, strategic partnerships and inn</w:t>
            </w:r>
            <w:r w:rsidR="00124445">
              <w:rPr>
                <w:rFonts w:ascii="Arial" w:hAnsi="Arial" w:cs="Arial"/>
              </w:rPr>
              <w:t>ovation</w:t>
            </w:r>
            <w:r w:rsidR="00E16120">
              <w:rPr>
                <w:rFonts w:ascii="Arial" w:hAnsi="Arial" w:cs="Arial"/>
              </w:rPr>
              <w:t>.</w:t>
            </w:r>
          </w:p>
        </w:tc>
      </w:tr>
      <w:tr w:rsidR="005232EF" w14:paraId="2E69849C" w14:textId="77777777" w:rsidTr="002D45DA">
        <w:tc>
          <w:tcPr>
            <w:tcW w:w="1555" w:type="dxa"/>
            <w:shd w:val="clear" w:color="auto" w:fill="92D050"/>
          </w:tcPr>
          <w:p w14:paraId="248D0967" w14:textId="14D5A5E9" w:rsidR="005232EF" w:rsidRPr="00E223C1" w:rsidRDefault="005232EF" w:rsidP="00190383">
            <w:pPr>
              <w:spacing w:line="360" w:lineRule="auto"/>
              <w:jc w:val="both"/>
              <w:rPr>
                <w:rFonts w:ascii="Arial" w:hAnsi="Arial" w:cs="Arial"/>
                <w:b/>
                <w:bCs/>
              </w:rPr>
            </w:pPr>
            <w:r w:rsidRPr="00E223C1">
              <w:rPr>
                <w:rFonts w:ascii="Arial" w:hAnsi="Arial" w:cs="Arial"/>
                <w:b/>
                <w:bCs/>
              </w:rPr>
              <w:t>Threats</w:t>
            </w:r>
          </w:p>
        </w:tc>
        <w:tc>
          <w:tcPr>
            <w:tcW w:w="7461" w:type="dxa"/>
          </w:tcPr>
          <w:p w14:paraId="51AE7FCC" w14:textId="4C8479C0" w:rsidR="005232EF" w:rsidRDefault="00A91FB7" w:rsidP="00190383">
            <w:pPr>
              <w:spacing w:line="360" w:lineRule="auto"/>
              <w:jc w:val="both"/>
              <w:rPr>
                <w:rFonts w:ascii="Arial" w:hAnsi="Arial" w:cs="Arial"/>
              </w:rPr>
            </w:pPr>
            <w:r>
              <w:rPr>
                <w:rFonts w:ascii="Arial" w:hAnsi="Arial" w:cs="Arial"/>
              </w:rPr>
              <w:t>I</w:t>
            </w:r>
            <w:r w:rsidR="00124445">
              <w:rPr>
                <w:rFonts w:ascii="Arial" w:hAnsi="Arial" w:cs="Arial"/>
              </w:rPr>
              <w:t>nt</w:t>
            </w:r>
            <w:r>
              <w:rPr>
                <w:rFonts w:ascii="Arial" w:hAnsi="Arial" w:cs="Arial"/>
              </w:rPr>
              <w:t>ense competitive rivalry, changing customer preferences, eco</w:t>
            </w:r>
            <w:r w:rsidR="00151A62">
              <w:rPr>
                <w:rFonts w:ascii="Arial" w:hAnsi="Arial" w:cs="Arial"/>
              </w:rPr>
              <w:t>nomic and inflation, supply chain disruption, increasing</w:t>
            </w:r>
            <w:r w:rsidR="00207A7C">
              <w:rPr>
                <w:rFonts w:ascii="Arial" w:hAnsi="Arial" w:cs="Arial"/>
              </w:rPr>
              <w:t xml:space="preserve"> regulatory requirements, </w:t>
            </w:r>
            <w:r w:rsidR="001A5071">
              <w:rPr>
                <w:rFonts w:ascii="Arial" w:hAnsi="Arial" w:cs="Arial"/>
              </w:rPr>
              <w:t>growth of niche brands</w:t>
            </w:r>
            <w:r w:rsidR="00E16120">
              <w:rPr>
                <w:rFonts w:ascii="Arial" w:hAnsi="Arial" w:cs="Arial"/>
              </w:rPr>
              <w:t>.</w:t>
            </w:r>
          </w:p>
        </w:tc>
      </w:tr>
    </w:tbl>
    <w:p w14:paraId="47FA28BE" w14:textId="77777777" w:rsidR="00162EBC" w:rsidRDefault="00162EBC" w:rsidP="00190383">
      <w:pPr>
        <w:spacing w:line="360" w:lineRule="auto"/>
        <w:jc w:val="both"/>
        <w:rPr>
          <w:rFonts w:ascii="Arial" w:hAnsi="Arial" w:cs="Arial"/>
        </w:rPr>
      </w:pPr>
    </w:p>
    <w:p w14:paraId="5438A634" w14:textId="157594A9" w:rsidR="00952A80" w:rsidRDefault="00952A80" w:rsidP="00190383">
      <w:pPr>
        <w:spacing w:line="360" w:lineRule="auto"/>
        <w:jc w:val="both"/>
        <w:rPr>
          <w:rFonts w:ascii="Arial" w:hAnsi="Arial" w:cs="Arial"/>
        </w:rPr>
      </w:pPr>
      <w:r w:rsidRPr="00952A80">
        <w:rPr>
          <w:rFonts w:ascii="Arial" w:hAnsi="Arial" w:cs="Arial"/>
        </w:rPr>
        <w:t xml:space="preserve">The </w:t>
      </w:r>
      <w:r w:rsidR="008F62B0" w:rsidRPr="00952A80">
        <w:rPr>
          <w:rFonts w:ascii="Arial" w:hAnsi="Arial" w:cs="Arial"/>
        </w:rPr>
        <w:t>analysis</w:t>
      </w:r>
      <w:r w:rsidR="008F62B0">
        <w:rPr>
          <w:rFonts w:ascii="Arial" w:hAnsi="Arial" w:cs="Arial"/>
        </w:rPr>
        <w:t>’s</w:t>
      </w:r>
      <w:r w:rsidRPr="00952A80">
        <w:rPr>
          <w:rFonts w:ascii="Arial" w:hAnsi="Arial" w:cs="Arial"/>
        </w:rPr>
        <w:t xml:space="preserve"> show that Nivea Creme's major internal strengths are its globally recognised brand, strong customer loyalty, efficient operations, extensive distribution network, and continuous innovation under Beiersdorf. However, key internal issues include the need to maintain product differentiation, invest in sustainable operations and packaging, adapt to changing consumer preferences, and manage rising operational costs. Addressing these issues will help Nivea Creme sustain its competitive advantage in the global skincare industry.</w:t>
      </w:r>
    </w:p>
    <w:p w14:paraId="5065C18D" w14:textId="77777777" w:rsidR="00727E64" w:rsidRDefault="00727E64" w:rsidP="00190383">
      <w:pPr>
        <w:spacing w:line="360" w:lineRule="auto"/>
        <w:jc w:val="both"/>
        <w:rPr>
          <w:rFonts w:ascii="Arial" w:hAnsi="Arial" w:cs="Arial"/>
        </w:rPr>
      </w:pPr>
    </w:p>
    <w:p w14:paraId="4301CD58" w14:textId="445AF8BE" w:rsidR="00727E64" w:rsidRPr="00140A0C" w:rsidRDefault="005E1370" w:rsidP="00D037D9">
      <w:pPr>
        <w:pStyle w:val="Heading1"/>
      </w:pPr>
      <w:bookmarkStart w:id="19" w:name="_Toc235135103"/>
      <w:r w:rsidRPr="00140A0C">
        <w:t>COMPREHENSIVE AND HOLISTIC VIEW OF NIVEA CRÈME</w:t>
      </w:r>
      <w:bookmarkEnd w:id="19"/>
    </w:p>
    <w:p w14:paraId="3655FF71" w14:textId="1476962F" w:rsidR="00727E64" w:rsidRPr="00140A0C" w:rsidRDefault="00140A0C" w:rsidP="00D037D9">
      <w:pPr>
        <w:pStyle w:val="Heading1"/>
      </w:pPr>
      <w:bookmarkStart w:id="20" w:name="_Toc235135104"/>
      <w:r w:rsidRPr="00140A0C">
        <w:t>Corporate Social Responsibility (CSR) Strategy and Alignment with Business Objectives</w:t>
      </w:r>
      <w:bookmarkEnd w:id="20"/>
    </w:p>
    <w:p w14:paraId="763BBC19" w14:textId="5EB24886" w:rsidR="000A007A" w:rsidRPr="000A007A" w:rsidRDefault="000A007A" w:rsidP="00190383">
      <w:pPr>
        <w:spacing w:line="360" w:lineRule="auto"/>
        <w:jc w:val="both"/>
        <w:rPr>
          <w:rFonts w:ascii="Arial" w:hAnsi="Arial" w:cs="Arial"/>
        </w:rPr>
      </w:pPr>
      <w:r w:rsidRPr="000A007A">
        <w:rPr>
          <w:rFonts w:ascii="Arial" w:hAnsi="Arial" w:cs="Arial"/>
        </w:rPr>
        <w:t xml:space="preserve">Corporate Social Responsibility (CSR) has become a strategic priority for organisations operating in the global skincare industry. Consumers increasingly expect companies to demonstrate ethical business practices, environmental responsibility, </w:t>
      </w:r>
      <w:r w:rsidRPr="000A007A">
        <w:rPr>
          <w:rFonts w:ascii="Arial" w:hAnsi="Arial" w:cs="Arial"/>
        </w:rPr>
        <w:lastRenderedPageBreak/>
        <w:t>and social commitment alongside delivering high-quality products</w:t>
      </w:r>
      <w:r w:rsidR="00F66736" w:rsidRPr="00F66736">
        <w:t xml:space="preserve"> </w:t>
      </w:r>
      <w:r w:rsidR="0069179E">
        <w:t>(</w:t>
      </w:r>
      <w:r w:rsidR="00F66736" w:rsidRPr="00F66736">
        <w:rPr>
          <w:rFonts w:ascii="Arial" w:hAnsi="Arial" w:cs="Arial"/>
        </w:rPr>
        <w:t>Safitri, Akbar, 2027)</w:t>
      </w:r>
      <w:r w:rsidRPr="000A007A">
        <w:rPr>
          <w:rFonts w:ascii="Arial" w:hAnsi="Arial" w:cs="Arial"/>
        </w:rPr>
        <w:t>. For Nivea Creme, manufactured by Beiersdorf, CSR is integrated into its long-term corporate strategy through sustainability, responsible sourcing, climate protection, and inclusive skincare innovation.</w:t>
      </w:r>
    </w:p>
    <w:p w14:paraId="155D5E2E" w14:textId="42245310" w:rsidR="00727E64" w:rsidRDefault="000A007A" w:rsidP="00190383">
      <w:pPr>
        <w:spacing w:line="360" w:lineRule="auto"/>
        <w:jc w:val="both"/>
        <w:rPr>
          <w:rFonts w:ascii="Arial" w:hAnsi="Arial" w:cs="Arial"/>
        </w:rPr>
      </w:pPr>
      <w:r w:rsidRPr="000A007A">
        <w:rPr>
          <w:rFonts w:ascii="Arial" w:hAnsi="Arial" w:cs="Arial"/>
        </w:rPr>
        <w:t>Beiersdorf's sustainability strategy, commonly referred to as Care Beyond Skin, focuses on creating long-term value for consumers, society, and the environment. The strategy aims to reduce environmental impacts while maintaining product quality and strengthening customer trust</w:t>
      </w:r>
      <w:r w:rsidR="00721AF3">
        <w:rPr>
          <w:rFonts w:ascii="Arial" w:hAnsi="Arial" w:cs="Arial"/>
        </w:rPr>
        <w:t xml:space="preserve"> (</w:t>
      </w:r>
      <w:r w:rsidR="00D23AC8" w:rsidRPr="00D23AC8">
        <w:rPr>
          <w:rFonts w:ascii="Arial" w:hAnsi="Arial" w:cs="Arial"/>
        </w:rPr>
        <w:t>Diller</w:t>
      </w:r>
      <w:r w:rsidR="00721AF3">
        <w:rPr>
          <w:rFonts w:ascii="Arial" w:hAnsi="Arial" w:cs="Arial"/>
        </w:rPr>
        <w:t xml:space="preserve">, </w:t>
      </w:r>
      <w:r w:rsidR="00D23AC8" w:rsidRPr="00D23AC8">
        <w:rPr>
          <w:rFonts w:ascii="Arial" w:hAnsi="Arial" w:cs="Arial"/>
        </w:rPr>
        <w:t>2010)</w:t>
      </w:r>
      <w:r w:rsidR="00721AF3">
        <w:rPr>
          <w:rFonts w:ascii="Arial" w:hAnsi="Arial" w:cs="Arial"/>
        </w:rPr>
        <w:t>.</w:t>
      </w:r>
      <w:r w:rsidR="00D23AC8" w:rsidRPr="00D23AC8">
        <w:rPr>
          <w:rFonts w:ascii="Arial" w:hAnsi="Arial" w:cs="Arial"/>
        </w:rPr>
        <w:t xml:space="preserve"> </w:t>
      </w:r>
      <w:r w:rsidRPr="000A007A">
        <w:rPr>
          <w:rFonts w:ascii="Arial" w:hAnsi="Arial" w:cs="Arial"/>
        </w:rPr>
        <w:t>Key priorities include reducing carbon emissions, improving sustainable packaging, ensuring responsible sourcing of raw materials, promoting diversity and inclusion, and supporting community health initiatives. These initiatives demonstrate that CSR is no longer viewed as a philanthropic activity but as a strategic capability that contributes to competitive advantage.</w:t>
      </w:r>
    </w:p>
    <w:p w14:paraId="6161F46E" w14:textId="2A151816" w:rsidR="000A007A" w:rsidRDefault="0081414A" w:rsidP="00190383">
      <w:pPr>
        <w:spacing w:line="360" w:lineRule="auto"/>
        <w:jc w:val="both"/>
        <w:rPr>
          <w:rFonts w:ascii="Arial" w:hAnsi="Arial" w:cs="Arial"/>
        </w:rPr>
      </w:pPr>
      <w:r w:rsidRPr="0081414A">
        <w:rPr>
          <w:rFonts w:ascii="Arial" w:hAnsi="Arial" w:cs="Arial"/>
        </w:rPr>
        <w:t xml:space="preserve">Beiersdorf has committed to reducing greenhouse gas emissions throughout its operations </w:t>
      </w:r>
      <w:r w:rsidR="00D73314">
        <w:rPr>
          <w:rFonts w:ascii="Arial" w:hAnsi="Arial" w:cs="Arial"/>
        </w:rPr>
        <w:t xml:space="preserve">and has </w:t>
      </w:r>
      <w:r w:rsidR="00450227">
        <w:rPr>
          <w:rFonts w:ascii="Arial" w:hAnsi="Arial" w:cs="Arial"/>
        </w:rPr>
        <w:t>committed to</w:t>
      </w:r>
      <w:r w:rsidR="00A732E6">
        <w:rPr>
          <w:rFonts w:ascii="Arial" w:hAnsi="Arial" w:cs="Arial"/>
        </w:rPr>
        <w:t xml:space="preserve"> </w:t>
      </w:r>
      <w:r w:rsidR="00EE5026">
        <w:rPr>
          <w:rFonts w:ascii="Arial" w:hAnsi="Arial" w:cs="Arial"/>
        </w:rPr>
        <w:t>being</w:t>
      </w:r>
      <w:r w:rsidR="008C6D93">
        <w:rPr>
          <w:rFonts w:ascii="Arial" w:hAnsi="Arial" w:cs="Arial"/>
        </w:rPr>
        <w:t xml:space="preserve"> </w:t>
      </w:r>
      <w:r w:rsidR="00660C38">
        <w:rPr>
          <w:rFonts w:ascii="Arial" w:hAnsi="Arial" w:cs="Arial"/>
        </w:rPr>
        <w:t>N</w:t>
      </w:r>
      <w:r w:rsidR="008C6D93">
        <w:rPr>
          <w:rFonts w:ascii="Arial" w:hAnsi="Arial" w:cs="Arial"/>
        </w:rPr>
        <w:t xml:space="preserve">et Zero </w:t>
      </w:r>
      <w:r w:rsidR="00B22D8D">
        <w:rPr>
          <w:rFonts w:ascii="Arial" w:hAnsi="Arial" w:cs="Arial"/>
        </w:rPr>
        <w:t>by 2045</w:t>
      </w:r>
      <w:r w:rsidR="00AC6D0F" w:rsidRPr="00AC6D0F">
        <w:t xml:space="preserve"> </w:t>
      </w:r>
      <w:r w:rsidR="00AC6D0F" w:rsidRPr="00AC6D0F">
        <w:rPr>
          <w:rFonts w:ascii="Arial" w:hAnsi="Arial" w:cs="Arial"/>
        </w:rPr>
        <w:t>(Beierdorf</w:t>
      </w:r>
      <w:r w:rsidR="00AC6D0F">
        <w:rPr>
          <w:rFonts w:ascii="Arial" w:hAnsi="Arial" w:cs="Arial"/>
        </w:rPr>
        <w:t>, 2025</w:t>
      </w:r>
      <w:r w:rsidR="00AC6D0F" w:rsidRPr="00AC6D0F">
        <w:rPr>
          <w:rFonts w:ascii="Arial" w:hAnsi="Arial" w:cs="Arial"/>
        </w:rPr>
        <w:t>)</w:t>
      </w:r>
      <w:r w:rsidR="00B22D8D">
        <w:rPr>
          <w:rFonts w:ascii="Arial" w:hAnsi="Arial" w:cs="Arial"/>
        </w:rPr>
        <w:t>.</w:t>
      </w:r>
      <w:r w:rsidR="00CF4642">
        <w:rPr>
          <w:rFonts w:ascii="Arial" w:hAnsi="Arial" w:cs="Arial"/>
        </w:rPr>
        <w:t xml:space="preserve"> </w:t>
      </w:r>
      <w:r w:rsidRPr="0081414A">
        <w:rPr>
          <w:rFonts w:ascii="Arial" w:hAnsi="Arial" w:cs="Arial"/>
        </w:rPr>
        <w:t xml:space="preserve"> The company is also investing in recyclable and reusable packaging to minimise plastic waste and improve circularity. Such initiatives respond directly to growing consumer concerns regarding environmental sustainability and increasing regulatory expectations within the European Union and international markets.</w:t>
      </w:r>
    </w:p>
    <w:p w14:paraId="3E9B8B40" w14:textId="26B54842" w:rsidR="004C103D" w:rsidRDefault="00EA437B" w:rsidP="00190383">
      <w:pPr>
        <w:spacing w:line="360" w:lineRule="auto"/>
        <w:jc w:val="both"/>
        <w:rPr>
          <w:rFonts w:ascii="Arial" w:hAnsi="Arial" w:cs="Arial"/>
        </w:rPr>
      </w:pPr>
      <w:r w:rsidRPr="00EA437B">
        <w:rPr>
          <w:rFonts w:ascii="Arial" w:hAnsi="Arial" w:cs="Arial"/>
        </w:rPr>
        <w:t>The company also demonstrates social responsibility through ethical sourcing practices, employee development programmes, and dermatological research that promotes healthy skin for diverse populations. Investments in scientific research enable Nivea Creme to develop products suitable for different skin types while maintaining high safety standards. These activities strengthen customer confidence and reinforce the company's reputation as a trusted skincare brand</w:t>
      </w:r>
      <w:r w:rsidR="00FF37E2" w:rsidRPr="00FF37E2">
        <w:t xml:space="preserve"> </w:t>
      </w:r>
      <w:r w:rsidR="00FF37E2">
        <w:t>(</w:t>
      </w:r>
      <w:r w:rsidR="00FF37E2" w:rsidRPr="00FF37E2">
        <w:rPr>
          <w:rFonts w:ascii="Arial" w:hAnsi="Arial" w:cs="Arial"/>
        </w:rPr>
        <w:t>Dimitrova</w:t>
      </w:r>
      <w:r w:rsidR="00FF37E2">
        <w:rPr>
          <w:rFonts w:ascii="Arial" w:hAnsi="Arial" w:cs="Arial"/>
        </w:rPr>
        <w:t xml:space="preserve">, </w:t>
      </w:r>
      <w:r w:rsidR="00FF37E2" w:rsidRPr="00FF37E2">
        <w:rPr>
          <w:rFonts w:ascii="Arial" w:hAnsi="Arial" w:cs="Arial"/>
        </w:rPr>
        <w:t>2024)</w:t>
      </w:r>
      <w:r w:rsidRPr="00EA437B">
        <w:rPr>
          <w:rFonts w:ascii="Arial" w:hAnsi="Arial" w:cs="Arial"/>
        </w:rPr>
        <w:t>.</w:t>
      </w:r>
    </w:p>
    <w:p w14:paraId="421D5593" w14:textId="77777777" w:rsidR="00F6611F" w:rsidRDefault="00F6611F" w:rsidP="00190383">
      <w:pPr>
        <w:spacing w:line="360" w:lineRule="auto"/>
        <w:jc w:val="both"/>
        <w:rPr>
          <w:rFonts w:ascii="Arial" w:hAnsi="Arial" w:cs="Arial"/>
        </w:rPr>
      </w:pPr>
    </w:p>
    <w:p w14:paraId="35824B7D" w14:textId="594547CB" w:rsidR="004B64BF" w:rsidRPr="00F24652" w:rsidRDefault="00AA73EE" w:rsidP="00D037D9">
      <w:pPr>
        <w:pStyle w:val="Heading1"/>
      </w:pPr>
      <w:bookmarkStart w:id="21" w:name="_Toc235135105"/>
      <w:r w:rsidRPr="00F24652">
        <w:t>Balanced Scorecard Analysis of Nivea Crème</w:t>
      </w:r>
      <w:bookmarkEnd w:id="21"/>
    </w:p>
    <w:p w14:paraId="79A43F98" w14:textId="4E75E4C7" w:rsidR="00AA73EE" w:rsidRDefault="00F24652" w:rsidP="00190383">
      <w:pPr>
        <w:spacing w:line="360" w:lineRule="auto"/>
        <w:jc w:val="both"/>
        <w:rPr>
          <w:rFonts w:ascii="Arial" w:hAnsi="Arial" w:cs="Arial"/>
        </w:rPr>
      </w:pPr>
      <w:r w:rsidRPr="00F24652">
        <w:rPr>
          <w:rFonts w:ascii="Arial" w:hAnsi="Arial" w:cs="Arial"/>
        </w:rPr>
        <w:t xml:space="preserve">The Balanced Scorecard, developed by Robert S. Kaplan and David P. Norton (1992), provides a comprehensive framework for measuring organisational performance beyond traditional financial indicators. It evaluates organisational success from four perspectives: Financial, Customer, Internal Business Processes, and Learning and </w:t>
      </w:r>
      <w:r w:rsidRPr="00F24652">
        <w:rPr>
          <w:rFonts w:ascii="Arial" w:hAnsi="Arial" w:cs="Arial"/>
        </w:rPr>
        <w:lastRenderedPageBreak/>
        <w:t>Growth. The framework enables organisations to translate strategic objectives into measurable performance indicators that support continuous improvement</w:t>
      </w:r>
      <w:r w:rsidR="00FA242B" w:rsidRPr="00FA242B">
        <w:t xml:space="preserve"> </w:t>
      </w:r>
      <w:r w:rsidR="00FA242B">
        <w:t>(</w:t>
      </w:r>
      <w:r w:rsidR="00FA242B" w:rsidRPr="00FA242B">
        <w:rPr>
          <w:rFonts w:ascii="Arial" w:hAnsi="Arial" w:cs="Arial"/>
        </w:rPr>
        <w:t>Kaplan</w:t>
      </w:r>
      <w:r w:rsidR="00FA242B">
        <w:rPr>
          <w:rFonts w:ascii="Arial" w:hAnsi="Arial" w:cs="Arial"/>
        </w:rPr>
        <w:t xml:space="preserve">, </w:t>
      </w:r>
      <w:r w:rsidR="00FA242B" w:rsidRPr="00FA242B">
        <w:rPr>
          <w:rFonts w:ascii="Arial" w:hAnsi="Arial" w:cs="Arial"/>
        </w:rPr>
        <w:t>2001)</w:t>
      </w:r>
      <w:r w:rsidRPr="00F24652">
        <w:rPr>
          <w:rFonts w:ascii="Arial" w:hAnsi="Arial" w:cs="Arial"/>
        </w:rPr>
        <w:t>.</w:t>
      </w:r>
    </w:p>
    <w:p w14:paraId="53D138A4" w14:textId="6C7457FA" w:rsidR="006F3A90" w:rsidRDefault="002C1865" w:rsidP="00190383">
      <w:pPr>
        <w:spacing w:line="360" w:lineRule="auto"/>
        <w:jc w:val="both"/>
        <w:rPr>
          <w:rFonts w:ascii="Arial" w:hAnsi="Arial" w:cs="Arial"/>
        </w:rPr>
      </w:pPr>
      <w:r w:rsidRPr="002C1865">
        <w:rPr>
          <w:rFonts w:ascii="Arial" w:hAnsi="Arial" w:cs="Arial"/>
        </w:rPr>
        <w:t>For Nivea Creme, the Balanced Scorecard aligns closely with Beiersdorf's mission of providing trusted, innovative, and sustainable skincare products while achieving long-term profitable growth</w:t>
      </w:r>
      <w:r w:rsidR="00021869">
        <w:rPr>
          <w:rFonts w:ascii="Arial" w:hAnsi="Arial" w:cs="Arial"/>
        </w:rPr>
        <w:t>.</w:t>
      </w:r>
    </w:p>
    <w:p w14:paraId="6EF67E0B" w14:textId="77777777" w:rsidR="00021869" w:rsidRPr="002C1865" w:rsidRDefault="00021869" w:rsidP="00190383">
      <w:pPr>
        <w:spacing w:line="360" w:lineRule="auto"/>
        <w:jc w:val="both"/>
        <w:rPr>
          <w:rFonts w:ascii="Arial" w:hAnsi="Arial" w:cs="Arial"/>
        </w:rPr>
      </w:pPr>
    </w:p>
    <w:p w14:paraId="5A65B041" w14:textId="4D562050" w:rsidR="002C1865" w:rsidRPr="007A7BC1" w:rsidRDefault="002C1865" w:rsidP="00D037D9">
      <w:pPr>
        <w:pStyle w:val="Heading1"/>
      </w:pPr>
      <w:bookmarkStart w:id="22" w:name="_Toc235135106"/>
      <w:r w:rsidRPr="007A7BC1">
        <w:t>Financial Perspective</w:t>
      </w:r>
      <w:bookmarkEnd w:id="22"/>
    </w:p>
    <w:p w14:paraId="1D5EBB72" w14:textId="4DA399AE" w:rsidR="00F24652" w:rsidRDefault="002C1865" w:rsidP="00190383">
      <w:pPr>
        <w:spacing w:line="360" w:lineRule="auto"/>
        <w:jc w:val="both"/>
        <w:rPr>
          <w:rFonts w:ascii="Arial" w:hAnsi="Arial" w:cs="Arial"/>
        </w:rPr>
      </w:pPr>
      <w:r w:rsidRPr="002C1865">
        <w:rPr>
          <w:rFonts w:ascii="Arial" w:hAnsi="Arial" w:cs="Arial"/>
        </w:rPr>
        <w:t>The financial perspective focuses on achieving sustainable profitability and delivering value to shareholders.</w:t>
      </w:r>
      <w:r w:rsidR="00C764BA">
        <w:rPr>
          <w:rFonts w:ascii="Arial" w:hAnsi="Arial" w:cs="Arial"/>
        </w:rPr>
        <w:t xml:space="preserve"> </w:t>
      </w:r>
      <w:r w:rsidRPr="002C1865">
        <w:rPr>
          <w:rFonts w:ascii="Arial" w:hAnsi="Arial" w:cs="Arial"/>
        </w:rPr>
        <w:t xml:space="preserve">Strategic </w:t>
      </w:r>
      <w:r w:rsidR="00C764BA">
        <w:rPr>
          <w:rFonts w:ascii="Arial" w:hAnsi="Arial" w:cs="Arial"/>
        </w:rPr>
        <w:t>o</w:t>
      </w:r>
      <w:r w:rsidRPr="002C1865">
        <w:rPr>
          <w:rFonts w:ascii="Arial" w:hAnsi="Arial" w:cs="Arial"/>
        </w:rPr>
        <w:t>bjectives</w:t>
      </w:r>
      <w:r w:rsidR="00070BEB">
        <w:rPr>
          <w:rFonts w:ascii="Arial" w:hAnsi="Arial" w:cs="Arial"/>
        </w:rPr>
        <w:t xml:space="preserve"> are to </w:t>
      </w:r>
      <w:r w:rsidR="00B80BC8">
        <w:rPr>
          <w:rFonts w:ascii="Arial" w:hAnsi="Arial" w:cs="Arial"/>
        </w:rPr>
        <w:t>i</w:t>
      </w:r>
      <w:r w:rsidRPr="002C1865">
        <w:rPr>
          <w:rFonts w:ascii="Arial" w:hAnsi="Arial" w:cs="Arial"/>
        </w:rPr>
        <w:t>ncrease global sales revenue</w:t>
      </w:r>
      <w:r w:rsidR="00B80BC8">
        <w:rPr>
          <w:rFonts w:ascii="Arial" w:hAnsi="Arial" w:cs="Arial"/>
        </w:rPr>
        <w:t>, i</w:t>
      </w:r>
      <w:r w:rsidRPr="002C1865">
        <w:rPr>
          <w:rFonts w:ascii="Arial" w:hAnsi="Arial" w:cs="Arial"/>
        </w:rPr>
        <w:t>mprove operating profit margins</w:t>
      </w:r>
      <w:r w:rsidR="009B4505">
        <w:rPr>
          <w:rFonts w:ascii="Arial" w:hAnsi="Arial" w:cs="Arial"/>
        </w:rPr>
        <w:t>, r</w:t>
      </w:r>
      <w:r w:rsidRPr="002C1865">
        <w:rPr>
          <w:rFonts w:ascii="Arial" w:hAnsi="Arial" w:cs="Arial"/>
        </w:rPr>
        <w:t>educe production and supply chain costs</w:t>
      </w:r>
      <w:r w:rsidR="009B4505">
        <w:rPr>
          <w:rFonts w:ascii="Arial" w:hAnsi="Arial" w:cs="Arial"/>
        </w:rPr>
        <w:t xml:space="preserve"> and a</w:t>
      </w:r>
      <w:r w:rsidRPr="002C1865">
        <w:rPr>
          <w:rFonts w:ascii="Arial" w:hAnsi="Arial" w:cs="Arial"/>
        </w:rPr>
        <w:t>chieve sustainable long-term growth</w:t>
      </w:r>
      <w:r w:rsidR="00CD17CF" w:rsidRPr="00CD17CF">
        <w:t xml:space="preserve"> </w:t>
      </w:r>
      <w:r w:rsidR="006C1CDE">
        <w:t>(</w:t>
      </w:r>
      <w:r w:rsidR="00CD17CF" w:rsidRPr="00CD17CF">
        <w:rPr>
          <w:rFonts w:ascii="Arial" w:hAnsi="Arial" w:cs="Arial"/>
        </w:rPr>
        <w:t>MEFFORD, 2011)</w:t>
      </w:r>
      <w:r w:rsidRPr="002C1865">
        <w:rPr>
          <w:rFonts w:ascii="Arial" w:hAnsi="Arial" w:cs="Arial"/>
        </w:rPr>
        <w:t>.</w:t>
      </w:r>
      <w:r w:rsidR="008211CF">
        <w:rPr>
          <w:rFonts w:ascii="Arial" w:hAnsi="Arial" w:cs="Arial"/>
        </w:rPr>
        <w:t xml:space="preserve"> </w:t>
      </w:r>
      <w:r w:rsidRPr="00C764BA">
        <w:rPr>
          <w:rFonts w:ascii="Arial" w:hAnsi="Arial" w:cs="Arial"/>
        </w:rPr>
        <w:t>Key Performance Indicators (KPIs)</w:t>
      </w:r>
      <w:r w:rsidR="006560BE">
        <w:rPr>
          <w:rFonts w:ascii="Arial" w:hAnsi="Arial" w:cs="Arial"/>
        </w:rPr>
        <w:t xml:space="preserve"> are a</w:t>
      </w:r>
      <w:r w:rsidRPr="002C1865">
        <w:rPr>
          <w:rFonts w:ascii="Arial" w:hAnsi="Arial" w:cs="Arial"/>
        </w:rPr>
        <w:t>nnual revenue</w:t>
      </w:r>
      <w:r w:rsidR="001A23ED">
        <w:rPr>
          <w:rFonts w:ascii="Arial" w:hAnsi="Arial" w:cs="Arial"/>
        </w:rPr>
        <w:t xml:space="preserve"> of</w:t>
      </w:r>
      <w:r w:rsidRPr="002C1865">
        <w:rPr>
          <w:rFonts w:ascii="Arial" w:hAnsi="Arial" w:cs="Arial"/>
        </w:rPr>
        <w:t xml:space="preserve"> growth</w:t>
      </w:r>
      <w:r w:rsidR="006560BE">
        <w:rPr>
          <w:rFonts w:ascii="Arial" w:hAnsi="Arial" w:cs="Arial"/>
        </w:rPr>
        <w:t>, o</w:t>
      </w:r>
      <w:r w:rsidRPr="002C1865">
        <w:rPr>
          <w:rFonts w:ascii="Arial" w:hAnsi="Arial" w:cs="Arial"/>
        </w:rPr>
        <w:t>perating profit margin</w:t>
      </w:r>
      <w:r w:rsidR="00CC2AFE">
        <w:rPr>
          <w:rFonts w:ascii="Arial" w:hAnsi="Arial" w:cs="Arial"/>
        </w:rPr>
        <w:t>, r</w:t>
      </w:r>
      <w:r w:rsidRPr="002C1865">
        <w:rPr>
          <w:rFonts w:ascii="Arial" w:hAnsi="Arial" w:cs="Arial"/>
        </w:rPr>
        <w:t>eturn on investment (ROI)</w:t>
      </w:r>
      <w:r w:rsidR="00CC2AFE">
        <w:rPr>
          <w:rFonts w:ascii="Arial" w:hAnsi="Arial" w:cs="Arial"/>
        </w:rPr>
        <w:t xml:space="preserve">, </w:t>
      </w:r>
      <w:r w:rsidR="007D78A4">
        <w:rPr>
          <w:rFonts w:ascii="Arial" w:hAnsi="Arial" w:cs="Arial"/>
        </w:rPr>
        <w:t>g</w:t>
      </w:r>
      <w:r w:rsidRPr="002C1865">
        <w:rPr>
          <w:rFonts w:ascii="Arial" w:hAnsi="Arial" w:cs="Arial"/>
        </w:rPr>
        <w:t>ross profit margin</w:t>
      </w:r>
      <w:r w:rsidR="007D78A4">
        <w:rPr>
          <w:rFonts w:ascii="Arial" w:hAnsi="Arial" w:cs="Arial"/>
        </w:rPr>
        <w:t xml:space="preserve"> and m</w:t>
      </w:r>
      <w:r w:rsidRPr="002C1865">
        <w:rPr>
          <w:rFonts w:ascii="Arial" w:hAnsi="Arial" w:cs="Arial"/>
        </w:rPr>
        <w:t>anufacturing cost per unit.</w:t>
      </w:r>
    </w:p>
    <w:p w14:paraId="5A7298C9" w14:textId="0F8E85E3" w:rsidR="001D4831" w:rsidRDefault="00FD727D" w:rsidP="00190383">
      <w:pPr>
        <w:spacing w:line="360" w:lineRule="auto"/>
        <w:jc w:val="both"/>
        <w:rPr>
          <w:rFonts w:ascii="Arial" w:hAnsi="Arial" w:cs="Arial"/>
        </w:rPr>
      </w:pPr>
      <w:r>
        <w:rPr>
          <w:rFonts w:ascii="Arial" w:hAnsi="Arial" w:cs="Arial"/>
        </w:rPr>
        <w:t xml:space="preserve">The </w:t>
      </w:r>
      <w:r w:rsidR="002275C6">
        <w:rPr>
          <w:rFonts w:ascii="Arial" w:hAnsi="Arial" w:cs="Arial"/>
        </w:rPr>
        <w:t xml:space="preserve">target </w:t>
      </w:r>
      <w:r>
        <w:rPr>
          <w:rFonts w:ascii="Arial" w:hAnsi="Arial" w:cs="Arial"/>
        </w:rPr>
        <w:t>is to a</w:t>
      </w:r>
      <w:r w:rsidR="005B6843" w:rsidRPr="005B6843">
        <w:rPr>
          <w:rFonts w:ascii="Arial" w:hAnsi="Arial" w:cs="Arial"/>
        </w:rPr>
        <w:t>chieve consistent annual revenue growth</w:t>
      </w:r>
      <w:r>
        <w:rPr>
          <w:rFonts w:ascii="Arial" w:hAnsi="Arial" w:cs="Arial"/>
        </w:rPr>
        <w:t>, imp</w:t>
      </w:r>
      <w:r w:rsidR="005B6843" w:rsidRPr="005B6843">
        <w:rPr>
          <w:rFonts w:ascii="Arial" w:hAnsi="Arial" w:cs="Arial"/>
        </w:rPr>
        <w:t>rove operating margins through operational efficiency</w:t>
      </w:r>
      <w:r>
        <w:rPr>
          <w:rFonts w:ascii="Arial" w:hAnsi="Arial" w:cs="Arial"/>
        </w:rPr>
        <w:t>, r</w:t>
      </w:r>
      <w:r w:rsidR="005B6843" w:rsidRPr="005B6843">
        <w:rPr>
          <w:rFonts w:ascii="Arial" w:hAnsi="Arial" w:cs="Arial"/>
        </w:rPr>
        <w:t>educe manufacturing costs via automation and sustainable production</w:t>
      </w:r>
      <w:r w:rsidR="008C33D5">
        <w:rPr>
          <w:rFonts w:ascii="Arial" w:hAnsi="Arial" w:cs="Arial"/>
        </w:rPr>
        <w:t xml:space="preserve"> and</w:t>
      </w:r>
      <w:r w:rsidR="00C60CB4">
        <w:rPr>
          <w:rFonts w:ascii="Arial" w:hAnsi="Arial" w:cs="Arial"/>
        </w:rPr>
        <w:t xml:space="preserve"> i</w:t>
      </w:r>
      <w:r w:rsidR="005B6843" w:rsidRPr="005B6843">
        <w:rPr>
          <w:rFonts w:ascii="Arial" w:hAnsi="Arial" w:cs="Arial"/>
        </w:rPr>
        <w:t>ncreas</w:t>
      </w:r>
      <w:r w:rsidR="00BA4594">
        <w:rPr>
          <w:rFonts w:ascii="Arial" w:hAnsi="Arial" w:cs="Arial"/>
        </w:rPr>
        <w:t>ing their</w:t>
      </w:r>
      <w:r w:rsidR="005B6843" w:rsidRPr="005B6843">
        <w:rPr>
          <w:rFonts w:ascii="Arial" w:hAnsi="Arial" w:cs="Arial"/>
        </w:rPr>
        <w:t xml:space="preserve"> market share in premium skincare categories</w:t>
      </w:r>
      <w:r w:rsidR="008C33D5">
        <w:rPr>
          <w:rFonts w:ascii="Arial" w:hAnsi="Arial" w:cs="Arial"/>
        </w:rPr>
        <w:t>. F</w:t>
      </w:r>
      <w:r w:rsidR="00426E61" w:rsidRPr="00426E61">
        <w:rPr>
          <w:rFonts w:ascii="Arial" w:hAnsi="Arial" w:cs="Arial"/>
        </w:rPr>
        <w:t>inancial success provides the resources necessary to fund research, sustainability programmes, and international market expansion.</w:t>
      </w:r>
      <w:r w:rsidR="00773776">
        <w:rPr>
          <w:rFonts w:ascii="Arial" w:hAnsi="Arial" w:cs="Arial"/>
        </w:rPr>
        <w:t xml:space="preserve"> </w:t>
      </w:r>
      <w:r w:rsidR="005B6843" w:rsidRPr="005B6843">
        <w:rPr>
          <w:rFonts w:ascii="Arial" w:hAnsi="Arial" w:cs="Arial"/>
        </w:rPr>
        <w:t xml:space="preserve">Strategic </w:t>
      </w:r>
      <w:r w:rsidR="00773776">
        <w:rPr>
          <w:rFonts w:ascii="Arial" w:hAnsi="Arial" w:cs="Arial"/>
        </w:rPr>
        <w:t>i</w:t>
      </w:r>
      <w:r w:rsidR="005B6843" w:rsidRPr="005B6843">
        <w:rPr>
          <w:rFonts w:ascii="Arial" w:hAnsi="Arial" w:cs="Arial"/>
        </w:rPr>
        <w:t>nitiatives</w:t>
      </w:r>
      <w:r w:rsidR="00036E30">
        <w:rPr>
          <w:rFonts w:ascii="Arial" w:hAnsi="Arial" w:cs="Arial"/>
        </w:rPr>
        <w:t xml:space="preserve"> are to e</w:t>
      </w:r>
      <w:r w:rsidR="005B6843" w:rsidRPr="005B6843">
        <w:rPr>
          <w:rFonts w:ascii="Arial" w:hAnsi="Arial" w:cs="Arial"/>
        </w:rPr>
        <w:t>xpand digital sales channels</w:t>
      </w:r>
      <w:r w:rsidR="006E30AB">
        <w:rPr>
          <w:rFonts w:ascii="Arial" w:hAnsi="Arial" w:cs="Arial"/>
        </w:rPr>
        <w:t xml:space="preserve">, </w:t>
      </w:r>
      <w:r w:rsidR="0074541C">
        <w:rPr>
          <w:rFonts w:ascii="Arial" w:hAnsi="Arial" w:cs="Arial"/>
        </w:rPr>
        <w:t xml:space="preserve">to </w:t>
      </w:r>
      <w:r w:rsidR="00773776">
        <w:rPr>
          <w:rFonts w:ascii="Arial" w:hAnsi="Arial" w:cs="Arial"/>
        </w:rPr>
        <w:t>i</w:t>
      </w:r>
      <w:r w:rsidR="005B6843" w:rsidRPr="005B6843">
        <w:rPr>
          <w:rFonts w:ascii="Arial" w:hAnsi="Arial" w:cs="Arial"/>
        </w:rPr>
        <w:t>mprove supply chain efficiency</w:t>
      </w:r>
      <w:r w:rsidR="003A0CC0">
        <w:rPr>
          <w:rFonts w:ascii="Arial" w:hAnsi="Arial" w:cs="Arial"/>
        </w:rPr>
        <w:t xml:space="preserve"> and i</w:t>
      </w:r>
      <w:r w:rsidR="005B6843" w:rsidRPr="005B6843">
        <w:rPr>
          <w:rFonts w:ascii="Arial" w:hAnsi="Arial" w:cs="Arial"/>
        </w:rPr>
        <w:t>ncrease investment in product innovation</w:t>
      </w:r>
      <w:r w:rsidR="002715DE">
        <w:rPr>
          <w:rFonts w:ascii="Arial" w:hAnsi="Arial" w:cs="Arial"/>
        </w:rPr>
        <w:t xml:space="preserve"> by </w:t>
      </w:r>
      <w:r w:rsidR="0035274D">
        <w:rPr>
          <w:rFonts w:ascii="Arial" w:hAnsi="Arial" w:cs="Arial"/>
        </w:rPr>
        <w:t>o</w:t>
      </w:r>
      <w:r w:rsidR="005B6843" w:rsidRPr="005B6843">
        <w:rPr>
          <w:rFonts w:ascii="Arial" w:hAnsi="Arial" w:cs="Arial"/>
        </w:rPr>
        <w:t>ptimis</w:t>
      </w:r>
      <w:r w:rsidR="0035274D">
        <w:rPr>
          <w:rFonts w:ascii="Arial" w:hAnsi="Arial" w:cs="Arial"/>
        </w:rPr>
        <w:t>ing</w:t>
      </w:r>
      <w:r w:rsidR="005B6843" w:rsidRPr="005B6843">
        <w:rPr>
          <w:rFonts w:ascii="Arial" w:hAnsi="Arial" w:cs="Arial"/>
        </w:rPr>
        <w:t xml:space="preserve"> manufacturing processes using renewable energy technologies.</w:t>
      </w:r>
      <w:r w:rsidR="0035274D">
        <w:rPr>
          <w:rFonts w:ascii="Arial" w:hAnsi="Arial" w:cs="Arial"/>
        </w:rPr>
        <w:t xml:space="preserve"> </w:t>
      </w:r>
    </w:p>
    <w:p w14:paraId="17E30F44" w14:textId="77777777" w:rsidR="003431F9" w:rsidRDefault="003431F9" w:rsidP="00190383">
      <w:pPr>
        <w:spacing w:line="360" w:lineRule="auto"/>
        <w:jc w:val="both"/>
        <w:rPr>
          <w:rFonts w:ascii="Arial" w:hAnsi="Arial" w:cs="Arial"/>
        </w:rPr>
      </w:pPr>
    </w:p>
    <w:p w14:paraId="514064F8" w14:textId="1039F449" w:rsidR="003A0CC0" w:rsidRPr="00C94D7E" w:rsidRDefault="003A0CC0" w:rsidP="00D037D9">
      <w:pPr>
        <w:pStyle w:val="Heading1"/>
      </w:pPr>
      <w:bookmarkStart w:id="23" w:name="_Toc235135107"/>
      <w:r w:rsidRPr="00C94D7E">
        <w:t>Customer Perspective</w:t>
      </w:r>
      <w:bookmarkEnd w:id="23"/>
    </w:p>
    <w:p w14:paraId="27A346AF" w14:textId="55FAD97C" w:rsidR="008B13F7" w:rsidRPr="008B13F7" w:rsidRDefault="008B13F7" w:rsidP="00190383">
      <w:pPr>
        <w:spacing w:line="360" w:lineRule="auto"/>
        <w:jc w:val="both"/>
        <w:rPr>
          <w:rFonts w:ascii="Arial" w:hAnsi="Arial" w:cs="Arial"/>
        </w:rPr>
      </w:pPr>
      <w:r w:rsidRPr="008B13F7">
        <w:rPr>
          <w:rFonts w:ascii="Arial" w:hAnsi="Arial" w:cs="Arial"/>
        </w:rPr>
        <w:t>Customer satisfaction is central to Nivea Creme's competitive strategy because trust and brand loyalty are critical determinants of repeat purchases</w:t>
      </w:r>
      <w:r w:rsidR="003F7829" w:rsidRPr="003F7829">
        <w:t xml:space="preserve"> </w:t>
      </w:r>
      <w:r w:rsidR="003F7829">
        <w:t>(</w:t>
      </w:r>
      <w:r w:rsidR="003F7829" w:rsidRPr="003F7829">
        <w:rPr>
          <w:rFonts w:ascii="Arial" w:hAnsi="Arial" w:cs="Arial"/>
        </w:rPr>
        <w:t>Kaplan, Norton, 1996)</w:t>
      </w:r>
      <w:r w:rsidRPr="008B13F7">
        <w:rPr>
          <w:rFonts w:ascii="Arial" w:hAnsi="Arial" w:cs="Arial"/>
        </w:rPr>
        <w:t>.</w:t>
      </w:r>
    </w:p>
    <w:p w14:paraId="655FF66F" w14:textId="15091D5C" w:rsidR="008B13F7" w:rsidRPr="008B13F7" w:rsidRDefault="008B13F7" w:rsidP="00190383">
      <w:pPr>
        <w:spacing w:line="360" w:lineRule="auto"/>
        <w:jc w:val="both"/>
        <w:rPr>
          <w:rFonts w:ascii="Arial" w:hAnsi="Arial" w:cs="Arial"/>
        </w:rPr>
      </w:pPr>
      <w:r w:rsidRPr="008B13F7">
        <w:rPr>
          <w:rFonts w:ascii="Arial" w:hAnsi="Arial" w:cs="Arial"/>
        </w:rPr>
        <w:t>Strategic Objectives</w:t>
      </w:r>
      <w:r w:rsidR="00BC0A81">
        <w:rPr>
          <w:rFonts w:ascii="Arial" w:hAnsi="Arial" w:cs="Arial"/>
        </w:rPr>
        <w:t xml:space="preserve"> are to i</w:t>
      </w:r>
      <w:r w:rsidRPr="008B13F7">
        <w:rPr>
          <w:rFonts w:ascii="Arial" w:hAnsi="Arial" w:cs="Arial"/>
        </w:rPr>
        <w:t>ncrease customer satisfaction</w:t>
      </w:r>
      <w:r w:rsidR="00B170E7">
        <w:rPr>
          <w:rFonts w:ascii="Arial" w:hAnsi="Arial" w:cs="Arial"/>
        </w:rPr>
        <w:t>, s</w:t>
      </w:r>
      <w:r w:rsidRPr="008B13F7">
        <w:rPr>
          <w:rFonts w:ascii="Arial" w:hAnsi="Arial" w:cs="Arial"/>
        </w:rPr>
        <w:t>trengthen global brand loyalty</w:t>
      </w:r>
      <w:r w:rsidR="00B170E7">
        <w:rPr>
          <w:rFonts w:ascii="Arial" w:hAnsi="Arial" w:cs="Arial"/>
        </w:rPr>
        <w:t>, i</w:t>
      </w:r>
      <w:r w:rsidRPr="008B13F7">
        <w:rPr>
          <w:rFonts w:ascii="Arial" w:hAnsi="Arial" w:cs="Arial"/>
        </w:rPr>
        <w:t>mprove customer experience across digital and physical channels</w:t>
      </w:r>
      <w:r w:rsidR="00B170E7">
        <w:rPr>
          <w:rFonts w:ascii="Arial" w:hAnsi="Arial" w:cs="Arial"/>
        </w:rPr>
        <w:t xml:space="preserve"> and e</w:t>
      </w:r>
      <w:r w:rsidRPr="008B13F7">
        <w:rPr>
          <w:rFonts w:ascii="Arial" w:hAnsi="Arial" w:cs="Arial"/>
        </w:rPr>
        <w:t>xpand customer base among younger consumers.</w:t>
      </w:r>
    </w:p>
    <w:p w14:paraId="7DFC84D0" w14:textId="10CEEF33" w:rsidR="00CA61F2" w:rsidRDefault="008B13F7" w:rsidP="00190383">
      <w:pPr>
        <w:spacing w:line="360" w:lineRule="auto"/>
        <w:jc w:val="both"/>
        <w:rPr>
          <w:rFonts w:ascii="Arial" w:hAnsi="Arial" w:cs="Arial"/>
        </w:rPr>
      </w:pPr>
      <w:r w:rsidRPr="008B13F7">
        <w:rPr>
          <w:rFonts w:ascii="Arial" w:hAnsi="Arial" w:cs="Arial"/>
        </w:rPr>
        <w:lastRenderedPageBreak/>
        <w:t>Key Performance Indicators (KPIs)</w:t>
      </w:r>
      <w:r w:rsidR="00D936E8">
        <w:rPr>
          <w:rFonts w:ascii="Arial" w:hAnsi="Arial" w:cs="Arial"/>
        </w:rPr>
        <w:t xml:space="preserve"> are c</w:t>
      </w:r>
      <w:r w:rsidRPr="008B13F7">
        <w:rPr>
          <w:rFonts w:ascii="Arial" w:hAnsi="Arial" w:cs="Arial"/>
        </w:rPr>
        <w:t>ustomer satisfaction scores</w:t>
      </w:r>
      <w:r w:rsidR="000D157E">
        <w:rPr>
          <w:rFonts w:ascii="Arial" w:hAnsi="Arial" w:cs="Arial"/>
        </w:rPr>
        <w:t>, n</w:t>
      </w:r>
      <w:r w:rsidRPr="008B13F7">
        <w:rPr>
          <w:rFonts w:ascii="Arial" w:hAnsi="Arial" w:cs="Arial"/>
        </w:rPr>
        <w:t xml:space="preserve">et </w:t>
      </w:r>
      <w:r w:rsidR="000D157E">
        <w:rPr>
          <w:rFonts w:ascii="Arial" w:hAnsi="Arial" w:cs="Arial"/>
        </w:rPr>
        <w:t>p</w:t>
      </w:r>
      <w:r w:rsidRPr="008B13F7">
        <w:rPr>
          <w:rFonts w:ascii="Arial" w:hAnsi="Arial" w:cs="Arial"/>
        </w:rPr>
        <w:t>romoter Score (NPS)</w:t>
      </w:r>
      <w:r w:rsidR="00B57BEF">
        <w:rPr>
          <w:rFonts w:ascii="Arial" w:hAnsi="Arial" w:cs="Arial"/>
        </w:rPr>
        <w:t>, c</w:t>
      </w:r>
      <w:r w:rsidRPr="008B13F7">
        <w:rPr>
          <w:rFonts w:ascii="Arial" w:hAnsi="Arial" w:cs="Arial"/>
        </w:rPr>
        <w:t>ustomer retention rate</w:t>
      </w:r>
      <w:r w:rsidR="00B57BEF">
        <w:rPr>
          <w:rFonts w:ascii="Arial" w:hAnsi="Arial" w:cs="Arial"/>
        </w:rPr>
        <w:t>, b</w:t>
      </w:r>
      <w:r w:rsidRPr="008B13F7">
        <w:rPr>
          <w:rFonts w:ascii="Arial" w:hAnsi="Arial" w:cs="Arial"/>
        </w:rPr>
        <w:t>rand awareness</w:t>
      </w:r>
      <w:r w:rsidR="00766A6C">
        <w:rPr>
          <w:rFonts w:ascii="Arial" w:hAnsi="Arial" w:cs="Arial"/>
        </w:rPr>
        <w:t xml:space="preserve"> and</w:t>
      </w:r>
      <w:r w:rsidR="00B57BEF">
        <w:rPr>
          <w:rFonts w:ascii="Arial" w:hAnsi="Arial" w:cs="Arial"/>
        </w:rPr>
        <w:t xml:space="preserve"> m</w:t>
      </w:r>
      <w:r w:rsidRPr="008B13F7">
        <w:rPr>
          <w:rFonts w:ascii="Arial" w:hAnsi="Arial" w:cs="Arial"/>
        </w:rPr>
        <w:t>arket share</w:t>
      </w:r>
      <w:r w:rsidR="00AD461A" w:rsidRPr="00AD461A">
        <w:t xml:space="preserve"> </w:t>
      </w:r>
      <w:r w:rsidR="00AD461A">
        <w:t>(</w:t>
      </w:r>
      <w:r w:rsidR="00AD461A" w:rsidRPr="00AD461A">
        <w:rPr>
          <w:rFonts w:ascii="Arial" w:hAnsi="Arial" w:cs="Arial"/>
        </w:rPr>
        <w:t>Rogers</w:t>
      </w:r>
      <w:r w:rsidR="00AD461A">
        <w:rPr>
          <w:rFonts w:ascii="Arial" w:hAnsi="Arial" w:cs="Arial"/>
        </w:rPr>
        <w:t xml:space="preserve">, </w:t>
      </w:r>
      <w:r w:rsidR="00AD461A" w:rsidRPr="00AD461A">
        <w:rPr>
          <w:rFonts w:ascii="Arial" w:hAnsi="Arial" w:cs="Arial"/>
        </w:rPr>
        <w:t>2021)</w:t>
      </w:r>
      <w:r w:rsidRPr="008B13F7">
        <w:rPr>
          <w:rFonts w:ascii="Arial" w:hAnsi="Arial" w:cs="Arial"/>
        </w:rPr>
        <w:t>.</w:t>
      </w:r>
      <w:r w:rsidR="00BC3C36">
        <w:rPr>
          <w:rFonts w:ascii="Arial" w:hAnsi="Arial" w:cs="Arial"/>
        </w:rPr>
        <w:t xml:space="preserve"> </w:t>
      </w:r>
      <w:r w:rsidRPr="008B13F7">
        <w:rPr>
          <w:rFonts w:ascii="Arial" w:hAnsi="Arial" w:cs="Arial"/>
        </w:rPr>
        <w:t>Target</w:t>
      </w:r>
      <w:r w:rsidR="00EF0F93">
        <w:rPr>
          <w:rFonts w:ascii="Arial" w:hAnsi="Arial" w:cs="Arial"/>
        </w:rPr>
        <w:t xml:space="preserve">ing </w:t>
      </w:r>
      <w:r w:rsidRPr="008B13F7">
        <w:rPr>
          <w:rFonts w:ascii="Arial" w:hAnsi="Arial" w:cs="Arial"/>
        </w:rPr>
        <w:t>high customer satisfaction ratings</w:t>
      </w:r>
      <w:r w:rsidR="00EF0F93">
        <w:rPr>
          <w:rFonts w:ascii="Arial" w:hAnsi="Arial" w:cs="Arial"/>
        </w:rPr>
        <w:t xml:space="preserve">, </w:t>
      </w:r>
      <w:r w:rsidRPr="008B13F7">
        <w:rPr>
          <w:rFonts w:ascii="Arial" w:hAnsi="Arial" w:cs="Arial"/>
        </w:rPr>
        <w:t>customer retention</w:t>
      </w:r>
      <w:r w:rsidR="00EF0F93">
        <w:rPr>
          <w:rFonts w:ascii="Arial" w:hAnsi="Arial" w:cs="Arial"/>
        </w:rPr>
        <w:t xml:space="preserve"> increase</w:t>
      </w:r>
      <w:r w:rsidR="00452DE0">
        <w:rPr>
          <w:rFonts w:ascii="Arial" w:hAnsi="Arial" w:cs="Arial"/>
        </w:rPr>
        <w:t xml:space="preserve">, </w:t>
      </w:r>
      <w:r w:rsidRPr="008B13F7">
        <w:rPr>
          <w:rFonts w:ascii="Arial" w:hAnsi="Arial" w:cs="Arial"/>
        </w:rPr>
        <w:t>online customer engagement</w:t>
      </w:r>
      <w:r w:rsidR="00452DE0">
        <w:rPr>
          <w:rFonts w:ascii="Arial" w:hAnsi="Arial" w:cs="Arial"/>
        </w:rPr>
        <w:t xml:space="preserve"> growth and</w:t>
      </w:r>
      <w:r w:rsidRPr="008B13F7">
        <w:rPr>
          <w:rFonts w:ascii="Arial" w:hAnsi="Arial" w:cs="Arial"/>
        </w:rPr>
        <w:t xml:space="preserve"> market penetration</w:t>
      </w:r>
      <w:r w:rsidR="00CE19F6">
        <w:rPr>
          <w:rFonts w:ascii="Arial" w:hAnsi="Arial" w:cs="Arial"/>
        </w:rPr>
        <w:t xml:space="preserve"> expansion</w:t>
      </w:r>
      <w:r w:rsidRPr="008B13F7">
        <w:rPr>
          <w:rFonts w:ascii="Arial" w:hAnsi="Arial" w:cs="Arial"/>
        </w:rPr>
        <w:t xml:space="preserve"> in emerging economies.</w:t>
      </w:r>
    </w:p>
    <w:p w14:paraId="5EBF6365" w14:textId="6F05235A" w:rsidR="00CA61F2" w:rsidRDefault="00CA61F2" w:rsidP="00190383">
      <w:pPr>
        <w:spacing w:line="360" w:lineRule="auto"/>
        <w:jc w:val="both"/>
        <w:rPr>
          <w:rFonts w:ascii="Arial" w:hAnsi="Arial" w:cs="Arial"/>
        </w:rPr>
      </w:pPr>
      <w:r>
        <w:rPr>
          <w:rFonts w:ascii="Arial" w:hAnsi="Arial" w:cs="Arial"/>
        </w:rPr>
        <w:t>S</w:t>
      </w:r>
      <w:r w:rsidRPr="00CA61F2">
        <w:rPr>
          <w:rFonts w:ascii="Arial" w:hAnsi="Arial" w:cs="Arial"/>
        </w:rPr>
        <w:t>trategic Initiatives</w:t>
      </w:r>
      <w:r w:rsidR="003E26D4">
        <w:rPr>
          <w:rFonts w:ascii="Arial" w:hAnsi="Arial" w:cs="Arial"/>
        </w:rPr>
        <w:t xml:space="preserve"> would be to </w:t>
      </w:r>
      <w:r w:rsidR="006C28C7">
        <w:rPr>
          <w:rFonts w:ascii="Arial" w:hAnsi="Arial" w:cs="Arial"/>
        </w:rPr>
        <w:t>p</w:t>
      </w:r>
      <w:r w:rsidRPr="00CA61F2">
        <w:rPr>
          <w:rFonts w:ascii="Arial" w:hAnsi="Arial" w:cs="Arial"/>
        </w:rPr>
        <w:t>ersonalise digital marketing campaigns</w:t>
      </w:r>
      <w:r w:rsidR="006C28C7">
        <w:rPr>
          <w:rFonts w:ascii="Arial" w:hAnsi="Arial" w:cs="Arial"/>
        </w:rPr>
        <w:t>, s</w:t>
      </w:r>
      <w:r w:rsidRPr="00CA61F2">
        <w:rPr>
          <w:rFonts w:ascii="Arial" w:hAnsi="Arial" w:cs="Arial"/>
        </w:rPr>
        <w:t>ocial media engagement</w:t>
      </w:r>
      <w:r w:rsidR="006C28C7">
        <w:rPr>
          <w:rFonts w:ascii="Arial" w:hAnsi="Arial" w:cs="Arial"/>
        </w:rPr>
        <w:t>, c</w:t>
      </w:r>
      <w:r w:rsidRPr="00CA61F2">
        <w:rPr>
          <w:rFonts w:ascii="Arial" w:hAnsi="Arial" w:cs="Arial"/>
        </w:rPr>
        <w:t>ontinuous product quality improvement</w:t>
      </w:r>
      <w:r w:rsidR="00A84697">
        <w:rPr>
          <w:rFonts w:ascii="Arial" w:hAnsi="Arial" w:cs="Arial"/>
        </w:rPr>
        <w:t xml:space="preserve"> and s</w:t>
      </w:r>
      <w:r w:rsidRPr="00CA61F2">
        <w:rPr>
          <w:rFonts w:ascii="Arial" w:hAnsi="Arial" w:cs="Arial"/>
        </w:rPr>
        <w:t>ustainable packaging that reflects consumer values.</w:t>
      </w:r>
      <w:r w:rsidR="00A84697">
        <w:rPr>
          <w:rFonts w:ascii="Arial" w:hAnsi="Arial" w:cs="Arial"/>
        </w:rPr>
        <w:t xml:space="preserve"> </w:t>
      </w:r>
      <w:r w:rsidRPr="00CA61F2">
        <w:rPr>
          <w:rFonts w:ascii="Arial" w:hAnsi="Arial" w:cs="Arial"/>
        </w:rPr>
        <w:t>Strong customer relationships enhance long-term profitability while protecting Nivea Creme's brand reputation.</w:t>
      </w:r>
    </w:p>
    <w:p w14:paraId="7978B953" w14:textId="77777777" w:rsidR="006F3A90" w:rsidRDefault="006F3A90" w:rsidP="00190383">
      <w:pPr>
        <w:spacing w:line="360" w:lineRule="auto"/>
        <w:jc w:val="both"/>
        <w:rPr>
          <w:rFonts w:ascii="Arial" w:hAnsi="Arial" w:cs="Arial"/>
        </w:rPr>
      </w:pPr>
    </w:p>
    <w:p w14:paraId="53B824A0" w14:textId="1D3A10DE" w:rsidR="0038713D" w:rsidRPr="00EA3A8A" w:rsidRDefault="00EA3A8A" w:rsidP="00D037D9">
      <w:pPr>
        <w:pStyle w:val="Heading1"/>
      </w:pPr>
      <w:bookmarkStart w:id="24" w:name="_Toc235135108"/>
      <w:r w:rsidRPr="00EA3A8A">
        <w:t>Internal Process Business Perspective</w:t>
      </w:r>
      <w:bookmarkEnd w:id="24"/>
    </w:p>
    <w:p w14:paraId="3CDB069A" w14:textId="0D05BBFE" w:rsidR="00CB4CAA" w:rsidRPr="00CB4CAA" w:rsidRDefault="00CB4CAA" w:rsidP="00190383">
      <w:pPr>
        <w:spacing w:line="360" w:lineRule="auto"/>
        <w:jc w:val="both"/>
        <w:rPr>
          <w:rFonts w:ascii="Arial" w:hAnsi="Arial" w:cs="Arial"/>
        </w:rPr>
      </w:pPr>
      <w:r w:rsidRPr="00CB4CAA">
        <w:rPr>
          <w:rFonts w:ascii="Arial" w:hAnsi="Arial" w:cs="Arial"/>
        </w:rPr>
        <w:t xml:space="preserve">Internal processes determine how efficiently </w:t>
      </w:r>
      <w:r w:rsidR="002A7BB5">
        <w:rPr>
          <w:rFonts w:ascii="Arial" w:hAnsi="Arial" w:cs="Arial"/>
        </w:rPr>
        <w:t>an</w:t>
      </w:r>
      <w:r w:rsidRPr="00CB4CAA">
        <w:rPr>
          <w:rFonts w:ascii="Arial" w:hAnsi="Arial" w:cs="Arial"/>
        </w:rPr>
        <w:t xml:space="preserve"> organisation delivers value to customer</w:t>
      </w:r>
      <w:r w:rsidR="00880391">
        <w:rPr>
          <w:rFonts w:ascii="Arial" w:hAnsi="Arial" w:cs="Arial"/>
        </w:rPr>
        <w:t xml:space="preserve">s through a </w:t>
      </w:r>
      <w:r w:rsidR="00AC6700">
        <w:rPr>
          <w:rFonts w:ascii="Arial" w:hAnsi="Arial" w:cs="Arial"/>
        </w:rPr>
        <w:t>group</w:t>
      </w:r>
      <w:r w:rsidR="00880391">
        <w:rPr>
          <w:rFonts w:ascii="Arial" w:hAnsi="Arial" w:cs="Arial"/>
        </w:rPr>
        <w:t xml:space="preserve"> of</w:t>
      </w:r>
      <w:r w:rsidR="004706B0">
        <w:rPr>
          <w:rFonts w:ascii="Arial" w:hAnsi="Arial" w:cs="Arial"/>
        </w:rPr>
        <w:t xml:space="preserve"> organised</w:t>
      </w:r>
      <w:r w:rsidR="00880391">
        <w:rPr>
          <w:rFonts w:ascii="Arial" w:hAnsi="Arial" w:cs="Arial"/>
        </w:rPr>
        <w:t xml:space="preserve"> </w:t>
      </w:r>
      <w:r w:rsidR="006C0251">
        <w:rPr>
          <w:rFonts w:ascii="Arial" w:hAnsi="Arial" w:cs="Arial"/>
        </w:rPr>
        <w:t>actions</w:t>
      </w:r>
      <w:r w:rsidR="00880391">
        <w:rPr>
          <w:rFonts w:ascii="Arial" w:hAnsi="Arial" w:cs="Arial"/>
        </w:rPr>
        <w:t xml:space="preserve"> </w:t>
      </w:r>
      <w:r w:rsidR="007A7CB7">
        <w:t>(</w:t>
      </w:r>
      <w:r w:rsidR="007A7CB7" w:rsidRPr="007A7CB7">
        <w:rPr>
          <w:rFonts w:ascii="Arial" w:hAnsi="Arial" w:cs="Arial"/>
        </w:rPr>
        <w:t>Vergidis, Turner, Tiwari, 2008)</w:t>
      </w:r>
      <w:r w:rsidRPr="00CB4CAA">
        <w:rPr>
          <w:rFonts w:ascii="Arial" w:hAnsi="Arial" w:cs="Arial"/>
        </w:rPr>
        <w:t>.</w:t>
      </w:r>
      <w:r w:rsidR="0038713D">
        <w:rPr>
          <w:rFonts w:ascii="Arial" w:hAnsi="Arial" w:cs="Arial"/>
        </w:rPr>
        <w:t xml:space="preserve"> </w:t>
      </w:r>
      <w:r w:rsidRPr="00CB4CAA">
        <w:rPr>
          <w:rFonts w:ascii="Arial" w:hAnsi="Arial" w:cs="Arial"/>
        </w:rPr>
        <w:t xml:space="preserve">Strategic </w:t>
      </w:r>
      <w:r w:rsidR="001C1067">
        <w:rPr>
          <w:rFonts w:ascii="Arial" w:hAnsi="Arial" w:cs="Arial"/>
        </w:rPr>
        <w:t>o</w:t>
      </w:r>
      <w:r w:rsidRPr="00CB4CAA">
        <w:rPr>
          <w:rFonts w:ascii="Arial" w:hAnsi="Arial" w:cs="Arial"/>
        </w:rPr>
        <w:t>bjectives</w:t>
      </w:r>
      <w:r w:rsidR="001C1067">
        <w:rPr>
          <w:rFonts w:ascii="Arial" w:hAnsi="Arial" w:cs="Arial"/>
        </w:rPr>
        <w:t xml:space="preserve"> to i</w:t>
      </w:r>
      <w:r w:rsidRPr="00CB4CAA">
        <w:rPr>
          <w:rFonts w:ascii="Arial" w:hAnsi="Arial" w:cs="Arial"/>
        </w:rPr>
        <w:t>mprove manufacturing efficiency</w:t>
      </w:r>
      <w:r w:rsidR="001C1067">
        <w:rPr>
          <w:rFonts w:ascii="Arial" w:hAnsi="Arial" w:cs="Arial"/>
        </w:rPr>
        <w:t>, s</w:t>
      </w:r>
      <w:r w:rsidRPr="00CB4CAA">
        <w:rPr>
          <w:rFonts w:ascii="Arial" w:hAnsi="Arial" w:cs="Arial"/>
        </w:rPr>
        <w:t>trengthen product innovation</w:t>
      </w:r>
      <w:r w:rsidR="001C59B4">
        <w:rPr>
          <w:rFonts w:ascii="Arial" w:hAnsi="Arial" w:cs="Arial"/>
        </w:rPr>
        <w:t>, e</w:t>
      </w:r>
      <w:r w:rsidRPr="00CB4CAA">
        <w:rPr>
          <w:rFonts w:ascii="Arial" w:hAnsi="Arial" w:cs="Arial"/>
        </w:rPr>
        <w:t>nhance supply chain resilience</w:t>
      </w:r>
      <w:r w:rsidR="001C59B4">
        <w:rPr>
          <w:rFonts w:ascii="Arial" w:hAnsi="Arial" w:cs="Arial"/>
        </w:rPr>
        <w:t xml:space="preserve"> and i</w:t>
      </w:r>
      <w:r w:rsidRPr="00CB4CAA">
        <w:rPr>
          <w:rFonts w:ascii="Arial" w:hAnsi="Arial" w:cs="Arial"/>
        </w:rPr>
        <w:t>mprove environmental sustainability throughout operations.</w:t>
      </w:r>
    </w:p>
    <w:p w14:paraId="716391C4" w14:textId="633E1D74" w:rsidR="00CB4CAA" w:rsidRPr="00CB4CAA" w:rsidRDefault="00CB4CAA" w:rsidP="00190383">
      <w:pPr>
        <w:spacing w:line="360" w:lineRule="auto"/>
        <w:jc w:val="both"/>
        <w:rPr>
          <w:rFonts w:ascii="Arial" w:hAnsi="Arial" w:cs="Arial"/>
        </w:rPr>
      </w:pPr>
      <w:r w:rsidRPr="00CB4CAA">
        <w:rPr>
          <w:rFonts w:ascii="Arial" w:hAnsi="Arial" w:cs="Arial"/>
        </w:rPr>
        <w:t>Key Performance Indicators (KPIs)</w:t>
      </w:r>
      <w:r w:rsidR="00F829CD">
        <w:rPr>
          <w:rFonts w:ascii="Arial" w:hAnsi="Arial" w:cs="Arial"/>
        </w:rPr>
        <w:t xml:space="preserve"> include m</w:t>
      </w:r>
      <w:r w:rsidRPr="00CB4CAA">
        <w:rPr>
          <w:rFonts w:ascii="Arial" w:hAnsi="Arial" w:cs="Arial"/>
        </w:rPr>
        <w:t>anufacturing cycle time</w:t>
      </w:r>
      <w:r w:rsidR="00F829CD">
        <w:rPr>
          <w:rFonts w:ascii="Arial" w:hAnsi="Arial" w:cs="Arial"/>
        </w:rPr>
        <w:t>, p</w:t>
      </w:r>
      <w:r w:rsidRPr="00CB4CAA">
        <w:rPr>
          <w:rFonts w:ascii="Arial" w:hAnsi="Arial" w:cs="Arial"/>
        </w:rPr>
        <w:t>roduct defect rate</w:t>
      </w:r>
      <w:r w:rsidR="00F829CD">
        <w:rPr>
          <w:rFonts w:ascii="Arial" w:hAnsi="Arial" w:cs="Arial"/>
        </w:rPr>
        <w:t>, r</w:t>
      </w:r>
      <w:r w:rsidRPr="00CB4CAA">
        <w:rPr>
          <w:rFonts w:ascii="Arial" w:hAnsi="Arial" w:cs="Arial"/>
        </w:rPr>
        <w:t>esearch and development investment</w:t>
      </w:r>
      <w:r w:rsidR="00F829CD">
        <w:rPr>
          <w:rFonts w:ascii="Arial" w:hAnsi="Arial" w:cs="Arial"/>
        </w:rPr>
        <w:t>, s</w:t>
      </w:r>
      <w:r w:rsidRPr="00CB4CAA">
        <w:rPr>
          <w:rFonts w:ascii="Arial" w:hAnsi="Arial" w:cs="Arial"/>
        </w:rPr>
        <w:t>upply chain delivery performance</w:t>
      </w:r>
      <w:r w:rsidR="005D18DC">
        <w:rPr>
          <w:rFonts w:ascii="Arial" w:hAnsi="Arial" w:cs="Arial"/>
        </w:rPr>
        <w:t xml:space="preserve"> and c</w:t>
      </w:r>
      <w:r w:rsidRPr="00CB4CAA">
        <w:rPr>
          <w:rFonts w:ascii="Arial" w:hAnsi="Arial" w:cs="Arial"/>
        </w:rPr>
        <w:t>arbon emissions per product.</w:t>
      </w:r>
      <w:r w:rsidR="00BC3C36">
        <w:rPr>
          <w:rFonts w:ascii="Arial" w:hAnsi="Arial" w:cs="Arial"/>
        </w:rPr>
        <w:t xml:space="preserve"> </w:t>
      </w:r>
      <w:r w:rsidRPr="00CB4CAA">
        <w:rPr>
          <w:rFonts w:ascii="Arial" w:hAnsi="Arial" w:cs="Arial"/>
        </w:rPr>
        <w:t>Target</w:t>
      </w:r>
      <w:r w:rsidR="005D18DC">
        <w:rPr>
          <w:rFonts w:ascii="Arial" w:hAnsi="Arial" w:cs="Arial"/>
        </w:rPr>
        <w:t>ing r</w:t>
      </w:r>
      <w:r w:rsidRPr="00CB4CAA">
        <w:rPr>
          <w:rFonts w:ascii="Arial" w:hAnsi="Arial" w:cs="Arial"/>
        </w:rPr>
        <w:t>educ</w:t>
      </w:r>
      <w:r w:rsidR="005D18DC">
        <w:rPr>
          <w:rFonts w:ascii="Arial" w:hAnsi="Arial" w:cs="Arial"/>
        </w:rPr>
        <w:t>ing</w:t>
      </w:r>
      <w:r w:rsidRPr="00CB4CAA">
        <w:rPr>
          <w:rFonts w:ascii="Arial" w:hAnsi="Arial" w:cs="Arial"/>
        </w:rPr>
        <w:t xml:space="preserve"> production lead times</w:t>
      </w:r>
      <w:r w:rsidR="00F5236B">
        <w:rPr>
          <w:rFonts w:ascii="Arial" w:hAnsi="Arial" w:cs="Arial"/>
        </w:rPr>
        <w:t>, m</w:t>
      </w:r>
      <w:r w:rsidRPr="00CB4CAA">
        <w:rPr>
          <w:rFonts w:ascii="Arial" w:hAnsi="Arial" w:cs="Arial"/>
        </w:rPr>
        <w:t>inimise product defects</w:t>
      </w:r>
      <w:r w:rsidR="00F5236B">
        <w:rPr>
          <w:rFonts w:ascii="Arial" w:hAnsi="Arial" w:cs="Arial"/>
        </w:rPr>
        <w:t>, i</w:t>
      </w:r>
      <w:r w:rsidRPr="00CB4CAA">
        <w:rPr>
          <w:rFonts w:ascii="Arial" w:hAnsi="Arial" w:cs="Arial"/>
        </w:rPr>
        <w:t>ncrease innovation output</w:t>
      </w:r>
      <w:r w:rsidR="00BC3C36">
        <w:rPr>
          <w:rFonts w:ascii="Arial" w:hAnsi="Arial" w:cs="Arial"/>
        </w:rPr>
        <w:t>, r</w:t>
      </w:r>
      <w:r w:rsidRPr="00CB4CAA">
        <w:rPr>
          <w:rFonts w:ascii="Arial" w:hAnsi="Arial" w:cs="Arial"/>
        </w:rPr>
        <w:t>educe carbon emissions across manufacturing facilities.</w:t>
      </w:r>
    </w:p>
    <w:p w14:paraId="5CA022CD" w14:textId="6A7539F2" w:rsidR="007E61E4" w:rsidRDefault="00CB4CAA" w:rsidP="00190383">
      <w:pPr>
        <w:spacing w:line="360" w:lineRule="auto"/>
        <w:jc w:val="both"/>
        <w:rPr>
          <w:rFonts w:ascii="Arial" w:hAnsi="Arial" w:cs="Arial"/>
        </w:rPr>
      </w:pPr>
      <w:r w:rsidRPr="00CB4CAA">
        <w:rPr>
          <w:rFonts w:ascii="Arial" w:hAnsi="Arial" w:cs="Arial"/>
        </w:rPr>
        <w:t>Strategic Initiatives</w:t>
      </w:r>
      <w:r w:rsidR="00EA2AEB">
        <w:rPr>
          <w:rFonts w:ascii="Arial" w:hAnsi="Arial" w:cs="Arial"/>
        </w:rPr>
        <w:t xml:space="preserve"> involve i</w:t>
      </w:r>
      <w:r w:rsidR="007E61E4" w:rsidRPr="007E61E4">
        <w:rPr>
          <w:rFonts w:ascii="Arial" w:hAnsi="Arial" w:cs="Arial"/>
        </w:rPr>
        <w:t>nvest</w:t>
      </w:r>
      <w:r w:rsidR="00EA2AEB">
        <w:rPr>
          <w:rFonts w:ascii="Arial" w:hAnsi="Arial" w:cs="Arial"/>
        </w:rPr>
        <w:t>ing</w:t>
      </w:r>
      <w:r w:rsidR="007E61E4" w:rsidRPr="007E61E4">
        <w:rPr>
          <w:rFonts w:ascii="Arial" w:hAnsi="Arial" w:cs="Arial"/>
        </w:rPr>
        <w:t xml:space="preserve"> in advanced manufacturing technologies</w:t>
      </w:r>
      <w:r w:rsidR="00EA2AEB">
        <w:rPr>
          <w:rFonts w:ascii="Arial" w:hAnsi="Arial" w:cs="Arial"/>
        </w:rPr>
        <w:t xml:space="preserve">, </w:t>
      </w:r>
      <w:r w:rsidR="00A73033">
        <w:rPr>
          <w:rFonts w:ascii="Arial" w:hAnsi="Arial" w:cs="Arial"/>
        </w:rPr>
        <w:t>e</w:t>
      </w:r>
      <w:r w:rsidR="007E61E4" w:rsidRPr="007E61E4">
        <w:rPr>
          <w:rFonts w:ascii="Arial" w:hAnsi="Arial" w:cs="Arial"/>
        </w:rPr>
        <w:t>xpand</w:t>
      </w:r>
      <w:r w:rsidR="00A73033">
        <w:rPr>
          <w:rFonts w:ascii="Arial" w:hAnsi="Arial" w:cs="Arial"/>
        </w:rPr>
        <w:t>ing</w:t>
      </w:r>
      <w:r w:rsidR="007E61E4" w:rsidRPr="007E61E4">
        <w:rPr>
          <w:rFonts w:ascii="Arial" w:hAnsi="Arial" w:cs="Arial"/>
        </w:rPr>
        <w:t xml:space="preserve"> automation</w:t>
      </w:r>
      <w:r w:rsidR="00A73033">
        <w:rPr>
          <w:rFonts w:ascii="Arial" w:hAnsi="Arial" w:cs="Arial"/>
        </w:rPr>
        <w:t>, i</w:t>
      </w:r>
      <w:r w:rsidR="007E61E4" w:rsidRPr="007E61E4">
        <w:rPr>
          <w:rFonts w:ascii="Arial" w:hAnsi="Arial" w:cs="Arial"/>
        </w:rPr>
        <w:t>mprove supplier collaboration</w:t>
      </w:r>
      <w:r w:rsidR="00A73033">
        <w:rPr>
          <w:rFonts w:ascii="Arial" w:hAnsi="Arial" w:cs="Arial"/>
        </w:rPr>
        <w:t>, i</w:t>
      </w:r>
      <w:r w:rsidR="007E61E4" w:rsidRPr="007E61E4">
        <w:rPr>
          <w:rFonts w:ascii="Arial" w:hAnsi="Arial" w:cs="Arial"/>
        </w:rPr>
        <w:t>ntroduce recyclable packaging</w:t>
      </w:r>
      <w:r w:rsidR="00A73033">
        <w:rPr>
          <w:rFonts w:ascii="Arial" w:hAnsi="Arial" w:cs="Arial"/>
        </w:rPr>
        <w:t xml:space="preserve"> and i</w:t>
      </w:r>
      <w:r w:rsidR="007E61E4" w:rsidRPr="007E61E4">
        <w:rPr>
          <w:rFonts w:ascii="Arial" w:hAnsi="Arial" w:cs="Arial"/>
        </w:rPr>
        <w:t xml:space="preserve">ncrease </w:t>
      </w:r>
      <w:r w:rsidR="00F670A4">
        <w:rPr>
          <w:rFonts w:ascii="Arial" w:hAnsi="Arial" w:cs="Arial"/>
        </w:rPr>
        <w:t xml:space="preserve">the use of </w:t>
      </w:r>
      <w:r w:rsidR="007E61E4" w:rsidRPr="007E61E4">
        <w:rPr>
          <w:rFonts w:ascii="Arial" w:hAnsi="Arial" w:cs="Arial"/>
        </w:rPr>
        <w:t>renewable energy.</w:t>
      </w:r>
      <w:r w:rsidR="00F670A4">
        <w:rPr>
          <w:rFonts w:ascii="Arial" w:hAnsi="Arial" w:cs="Arial"/>
        </w:rPr>
        <w:t xml:space="preserve"> </w:t>
      </w:r>
      <w:r w:rsidR="007E61E4" w:rsidRPr="007E61E4">
        <w:rPr>
          <w:rFonts w:ascii="Arial" w:hAnsi="Arial" w:cs="Arial"/>
        </w:rPr>
        <w:t>Efficient internal processes improve product quality, reduce costs, and strengthen environmental performance.</w:t>
      </w:r>
    </w:p>
    <w:p w14:paraId="40734FF3" w14:textId="77777777" w:rsidR="006F3A90" w:rsidRDefault="006F3A90" w:rsidP="00190383">
      <w:pPr>
        <w:spacing w:line="360" w:lineRule="auto"/>
        <w:jc w:val="both"/>
        <w:rPr>
          <w:rFonts w:ascii="Arial" w:hAnsi="Arial" w:cs="Arial"/>
        </w:rPr>
      </w:pPr>
    </w:p>
    <w:p w14:paraId="1F342081" w14:textId="70D1DEE7" w:rsidR="005A1BE6" w:rsidRPr="004C103D" w:rsidRDefault="005A1BE6" w:rsidP="00D037D9">
      <w:pPr>
        <w:pStyle w:val="Heading1"/>
      </w:pPr>
      <w:bookmarkStart w:id="25" w:name="_Toc235135109"/>
      <w:r w:rsidRPr="000B0132">
        <w:t>Learning and Growth Perspective</w:t>
      </w:r>
      <w:bookmarkEnd w:id="25"/>
    </w:p>
    <w:p w14:paraId="15E0DC18" w14:textId="152FB3CA" w:rsidR="005A1BE6" w:rsidRPr="005A1BE6" w:rsidRDefault="005A1BE6" w:rsidP="00190383">
      <w:pPr>
        <w:spacing w:line="360" w:lineRule="auto"/>
        <w:jc w:val="both"/>
        <w:rPr>
          <w:rFonts w:ascii="Arial" w:hAnsi="Arial" w:cs="Arial"/>
        </w:rPr>
      </w:pPr>
      <w:r w:rsidRPr="005A1BE6">
        <w:rPr>
          <w:rFonts w:ascii="Arial" w:hAnsi="Arial" w:cs="Arial"/>
        </w:rPr>
        <w:t>Long-term organisational success depends on employee capabilities, innovation, and organisational learning.</w:t>
      </w:r>
    </w:p>
    <w:p w14:paraId="1F574DFE" w14:textId="4B375E35" w:rsidR="005A1BE6" w:rsidRPr="005A1BE6" w:rsidRDefault="005A1BE6" w:rsidP="00190383">
      <w:pPr>
        <w:spacing w:line="360" w:lineRule="auto"/>
        <w:jc w:val="both"/>
        <w:rPr>
          <w:rFonts w:ascii="Arial" w:hAnsi="Arial" w:cs="Arial"/>
        </w:rPr>
      </w:pPr>
      <w:r w:rsidRPr="005A1BE6">
        <w:rPr>
          <w:rFonts w:ascii="Arial" w:hAnsi="Arial" w:cs="Arial"/>
        </w:rPr>
        <w:lastRenderedPageBreak/>
        <w:t>Strategic Objectives</w:t>
      </w:r>
      <w:r w:rsidR="000B0132">
        <w:rPr>
          <w:rFonts w:ascii="Arial" w:hAnsi="Arial" w:cs="Arial"/>
        </w:rPr>
        <w:t xml:space="preserve"> are to d</w:t>
      </w:r>
      <w:r w:rsidRPr="005A1BE6">
        <w:rPr>
          <w:rFonts w:ascii="Arial" w:hAnsi="Arial" w:cs="Arial"/>
        </w:rPr>
        <w:t>evelop employee skills</w:t>
      </w:r>
      <w:r w:rsidR="00CA2B78">
        <w:rPr>
          <w:rFonts w:ascii="Arial" w:hAnsi="Arial" w:cs="Arial"/>
        </w:rPr>
        <w:t xml:space="preserve">, </w:t>
      </w:r>
      <w:r w:rsidR="00AD1645">
        <w:rPr>
          <w:rFonts w:ascii="Arial" w:hAnsi="Arial" w:cs="Arial"/>
        </w:rPr>
        <w:t>f</w:t>
      </w:r>
      <w:r w:rsidRPr="005A1BE6">
        <w:rPr>
          <w:rFonts w:ascii="Arial" w:hAnsi="Arial" w:cs="Arial"/>
        </w:rPr>
        <w:t>oster innovation</w:t>
      </w:r>
      <w:r w:rsidR="00AD1645">
        <w:rPr>
          <w:rFonts w:ascii="Arial" w:hAnsi="Arial" w:cs="Arial"/>
        </w:rPr>
        <w:t>, p</w:t>
      </w:r>
      <w:r w:rsidRPr="005A1BE6">
        <w:rPr>
          <w:rFonts w:ascii="Arial" w:hAnsi="Arial" w:cs="Arial"/>
        </w:rPr>
        <w:t>romote diversity and inclusion</w:t>
      </w:r>
      <w:r w:rsidR="00CF26BF">
        <w:rPr>
          <w:rFonts w:ascii="Arial" w:hAnsi="Arial" w:cs="Arial"/>
        </w:rPr>
        <w:t xml:space="preserve"> and s</w:t>
      </w:r>
      <w:r w:rsidRPr="005A1BE6">
        <w:rPr>
          <w:rFonts w:ascii="Arial" w:hAnsi="Arial" w:cs="Arial"/>
        </w:rPr>
        <w:t>trengthen digital capabilities</w:t>
      </w:r>
      <w:r w:rsidR="004D2E65" w:rsidRPr="004D2E65">
        <w:t xml:space="preserve"> </w:t>
      </w:r>
      <w:r w:rsidR="006C5032">
        <w:t>(</w:t>
      </w:r>
      <w:r w:rsidR="004D2E65" w:rsidRPr="004D2E65">
        <w:rPr>
          <w:rFonts w:ascii="Arial" w:hAnsi="Arial" w:cs="Arial"/>
        </w:rPr>
        <w:t>Andoga, 2020)</w:t>
      </w:r>
      <w:r w:rsidRPr="005A1BE6">
        <w:rPr>
          <w:rFonts w:ascii="Arial" w:hAnsi="Arial" w:cs="Arial"/>
        </w:rPr>
        <w:t>.</w:t>
      </w:r>
      <w:r w:rsidR="00CF26BF">
        <w:rPr>
          <w:rFonts w:ascii="Arial" w:hAnsi="Arial" w:cs="Arial"/>
        </w:rPr>
        <w:t xml:space="preserve"> </w:t>
      </w:r>
      <w:r w:rsidRPr="005A1BE6">
        <w:rPr>
          <w:rFonts w:ascii="Arial" w:hAnsi="Arial" w:cs="Arial"/>
        </w:rPr>
        <w:t>Key Performance Indicators (KPIs)</w:t>
      </w:r>
      <w:r w:rsidR="00CF26BF">
        <w:rPr>
          <w:rFonts w:ascii="Arial" w:hAnsi="Arial" w:cs="Arial"/>
        </w:rPr>
        <w:t xml:space="preserve"> include </w:t>
      </w:r>
      <w:r w:rsidR="00CC06B8">
        <w:rPr>
          <w:rFonts w:ascii="Arial" w:hAnsi="Arial" w:cs="Arial"/>
        </w:rPr>
        <w:t>e</w:t>
      </w:r>
      <w:r w:rsidRPr="005A1BE6">
        <w:rPr>
          <w:rFonts w:ascii="Arial" w:hAnsi="Arial" w:cs="Arial"/>
        </w:rPr>
        <w:t>mployee engagement score</w:t>
      </w:r>
      <w:r w:rsidR="00CC06B8">
        <w:rPr>
          <w:rFonts w:ascii="Arial" w:hAnsi="Arial" w:cs="Arial"/>
        </w:rPr>
        <w:t>, e</w:t>
      </w:r>
      <w:r w:rsidRPr="005A1BE6">
        <w:rPr>
          <w:rFonts w:ascii="Arial" w:hAnsi="Arial" w:cs="Arial"/>
        </w:rPr>
        <w:t>mployee training hours</w:t>
      </w:r>
      <w:r w:rsidR="00CC06B8">
        <w:rPr>
          <w:rFonts w:ascii="Arial" w:hAnsi="Arial" w:cs="Arial"/>
        </w:rPr>
        <w:t>, i</w:t>
      </w:r>
      <w:r w:rsidRPr="005A1BE6">
        <w:rPr>
          <w:rFonts w:ascii="Arial" w:hAnsi="Arial" w:cs="Arial"/>
        </w:rPr>
        <w:t xml:space="preserve">nnovation rate </w:t>
      </w:r>
      <w:r w:rsidR="00354922">
        <w:rPr>
          <w:rFonts w:ascii="Arial" w:hAnsi="Arial" w:cs="Arial"/>
        </w:rPr>
        <w:t xml:space="preserve">with </w:t>
      </w:r>
      <w:r w:rsidRPr="005A1BE6">
        <w:rPr>
          <w:rFonts w:ascii="Arial" w:hAnsi="Arial" w:cs="Arial"/>
        </w:rPr>
        <w:t>new product launches</w:t>
      </w:r>
      <w:r w:rsidR="00354922">
        <w:rPr>
          <w:rFonts w:ascii="Arial" w:hAnsi="Arial" w:cs="Arial"/>
        </w:rPr>
        <w:t>, s</w:t>
      </w:r>
      <w:r w:rsidRPr="005A1BE6">
        <w:rPr>
          <w:rFonts w:ascii="Arial" w:hAnsi="Arial" w:cs="Arial"/>
        </w:rPr>
        <w:t>taff retention rat</w:t>
      </w:r>
      <w:r w:rsidR="00354922">
        <w:rPr>
          <w:rFonts w:ascii="Arial" w:hAnsi="Arial" w:cs="Arial"/>
        </w:rPr>
        <w:t>e and e</w:t>
      </w:r>
      <w:r w:rsidRPr="005A1BE6">
        <w:rPr>
          <w:rFonts w:ascii="Arial" w:hAnsi="Arial" w:cs="Arial"/>
        </w:rPr>
        <w:t>mployee productivity.</w:t>
      </w:r>
    </w:p>
    <w:p w14:paraId="6DA1DFFD" w14:textId="5EEC9796" w:rsidR="005A1BE6" w:rsidRPr="005A1BE6" w:rsidRDefault="005A1BE6" w:rsidP="00190383">
      <w:pPr>
        <w:spacing w:line="360" w:lineRule="auto"/>
        <w:jc w:val="both"/>
        <w:rPr>
          <w:rFonts w:ascii="Arial" w:hAnsi="Arial" w:cs="Arial"/>
        </w:rPr>
      </w:pPr>
      <w:r w:rsidRPr="005A1BE6">
        <w:rPr>
          <w:rFonts w:ascii="Arial" w:hAnsi="Arial" w:cs="Arial"/>
        </w:rPr>
        <w:t>Target</w:t>
      </w:r>
      <w:r w:rsidR="00A357C0">
        <w:rPr>
          <w:rFonts w:ascii="Arial" w:hAnsi="Arial" w:cs="Arial"/>
        </w:rPr>
        <w:t xml:space="preserve">ing </w:t>
      </w:r>
      <w:r w:rsidR="00C52C11">
        <w:rPr>
          <w:rFonts w:ascii="Arial" w:hAnsi="Arial" w:cs="Arial"/>
        </w:rPr>
        <w:t xml:space="preserve">annual </w:t>
      </w:r>
      <w:r w:rsidRPr="005A1BE6">
        <w:rPr>
          <w:rFonts w:ascii="Arial" w:hAnsi="Arial" w:cs="Arial"/>
        </w:rPr>
        <w:t xml:space="preserve">employee training </w:t>
      </w:r>
      <w:r w:rsidR="00C52C11">
        <w:rPr>
          <w:rFonts w:ascii="Arial" w:hAnsi="Arial" w:cs="Arial"/>
        </w:rPr>
        <w:t xml:space="preserve">increase, </w:t>
      </w:r>
      <w:r w:rsidR="00E2486D">
        <w:rPr>
          <w:rFonts w:ascii="Arial" w:hAnsi="Arial" w:cs="Arial"/>
        </w:rPr>
        <w:t>i</w:t>
      </w:r>
      <w:r w:rsidRPr="005A1BE6">
        <w:rPr>
          <w:rFonts w:ascii="Arial" w:hAnsi="Arial" w:cs="Arial"/>
        </w:rPr>
        <w:t>mprov</w:t>
      </w:r>
      <w:r w:rsidR="00E2486D">
        <w:rPr>
          <w:rFonts w:ascii="Arial" w:hAnsi="Arial" w:cs="Arial"/>
        </w:rPr>
        <w:t>ing</w:t>
      </w:r>
      <w:r w:rsidRPr="005A1BE6">
        <w:rPr>
          <w:rFonts w:ascii="Arial" w:hAnsi="Arial" w:cs="Arial"/>
        </w:rPr>
        <w:t xml:space="preserve"> employee engagement</w:t>
      </w:r>
      <w:r w:rsidR="00E2486D">
        <w:rPr>
          <w:rFonts w:ascii="Arial" w:hAnsi="Arial" w:cs="Arial"/>
        </w:rPr>
        <w:t>, a</w:t>
      </w:r>
      <w:r w:rsidRPr="005A1BE6">
        <w:rPr>
          <w:rFonts w:ascii="Arial" w:hAnsi="Arial" w:cs="Arial"/>
        </w:rPr>
        <w:t>ccelerate innovation cycles</w:t>
      </w:r>
      <w:r w:rsidR="00E2486D">
        <w:rPr>
          <w:rFonts w:ascii="Arial" w:hAnsi="Arial" w:cs="Arial"/>
        </w:rPr>
        <w:t xml:space="preserve"> and e</w:t>
      </w:r>
      <w:r w:rsidRPr="005A1BE6">
        <w:rPr>
          <w:rFonts w:ascii="Arial" w:hAnsi="Arial" w:cs="Arial"/>
        </w:rPr>
        <w:t>nhance digital competencies across the workforce</w:t>
      </w:r>
      <w:r w:rsidR="005A183C">
        <w:rPr>
          <w:rFonts w:ascii="Arial" w:hAnsi="Arial" w:cs="Arial"/>
        </w:rPr>
        <w:t xml:space="preserve"> </w:t>
      </w:r>
      <w:r w:rsidR="005A183C" w:rsidRPr="005A183C">
        <w:rPr>
          <w:rFonts w:ascii="Arial" w:hAnsi="Arial" w:cs="Arial"/>
        </w:rPr>
        <w:t>(Andoga, 2020).</w:t>
      </w:r>
      <w:r w:rsidR="00B54DB7">
        <w:rPr>
          <w:rFonts w:ascii="Arial" w:hAnsi="Arial" w:cs="Arial"/>
        </w:rPr>
        <w:t xml:space="preserve"> </w:t>
      </w:r>
      <w:r w:rsidRPr="005A1BE6">
        <w:rPr>
          <w:rFonts w:ascii="Arial" w:hAnsi="Arial" w:cs="Arial"/>
        </w:rPr>
        <w:t>Strategic Initiatives</w:t>
      </w:r>
      <w:r w:rsidR="00B54DB7">
        <w:rPr>
          <w:rFonts w:ascii="Arial" w:hAnsi="Arial" w:cs="Arial"/>
        </w:rPr>
        <w:t xml:space="preserve"> will include l</w:t>
      </w:r>
      <w:r w:rsidRPr="005A1BE6">
        <w:rPr>
          <w:rFonts w:ascii="Arial" w:hAnsi="Arial" w:cs="Arial"/>
        </w:rPr>
        <w:t>eadership development programmes</w:t>
      </w:r>
      <w:r w:rsidR="005D517A">
        <w:rPr>
          <w:rFonts w:ascii="Arial" w:hAnsi="Arial" w:cs="Arial"/>
        </w:rPr>
        <w:t>, c</w:t>
      </w:r>
      <w:r w:rsidRPr="005A1BE6">
        <w:rPr>
          <w:rFonts w:ascii="Arial" w:hAnsi="Arial" w:cs="Arial"/>
        </w:rPr>
        <w:t>ontinuous professional training</w:t>
      </w:r>
      <w:r w:rsidR="005D517A">
        <w:rPr>
          <w:rFonts w:ascii="Arial" w:hAnsi="Arial" w:cs="Arial"/>
        </w:rPr>
        <w:t>, i</w:t>
      </w:r>
      <w:r w:rsidRPr="005A1BE6">
        <w:rPr>
          <w:rFonts w:ascii="Arial" w:hAnsi="Arial" w:cs="Arial"/>
        </w:rPr>
        <w:t>nvestment in research and development</w:t>
      </w:r>
      <w:r w:rsidR="005D517A">
        <w:rPr>
          <w:rFonts w:ascii="Arial" w:hAnsi="Arial" w:cs="Arial"/>
        </w:rPr>
        <w:t>, d</w:t>
      </w:r>
      <w:r w:rsidRPr="005A1BE6">
        <w:rPr>
          <w:rFonts w:ascii="Arial" w:hAnsi="Arial" w:cs="Arial"/>
        </w:rPr>
        <w:t>igital transformation initiatives</w:t>
      </w:r>
      <w:r w:rsidR="005D517A">
        <w:rPr>
          <w:rFonts w:ascii="Arial" w:hAnsi="Arial" w:cs="Arial"/>
        </w:rPr>
        <w:t xml:space="preserve"> and d</w:t>
      </w:r>
      <w:r w:rsidRPr="005A1BE6">
        <w:rPr>
          <w:rFonts w:ascii="Arial" w:hAnsi="Arial" w:cs="Arial"/>
        </w:rPr>
        <w:t>iversity and inclusion programmes.</w:t>
      </w:r>
    </w:p>
    <w:p w14:paraId="7F32E3DE" w14:textId="77777777" w:rsidR="005A1BE6" w:rsidRPr="005A1BE6" w:rsidRDefault="005A1BE6" w:rsidP="00190383">
      <w:pPr>
        <w:spacing w:line="360" w:lineRule="auto"/>
        <w:jc w:val="both"/>
        <w:rPr>
          <w:rFonts w:ascii="Arial" w:hAnsi="Arial" w:cs="Arial"/>
        </w:rPr>
      </w:pPr>
      <w:r w:rsidRPr="005A1BE6">
        <w:rPr>
          <w:rFonts w:ascii="Arial" w:hAnsi="Arial" w:cs="Arial"/>
        </w:rPr>
        <w:t>A skilled and motivated workforce enables Beiersdorf to maintain product innovation while responding quickly to changing consumer preferences.</w:t>
      </w:r>
    </w:p>
    <w:p w14:paraId="5E5CC524" w14:textId="77777777" w:rsidR="005A1BE6" w:rsidRPr="005A1BE6" w:rsidRDefault="005A1BE6" w:rsidP="00190383">
      <w:pPr>
        <w:spacing w:line="360" w:lineRule="auto"/>
        <w:jc w:val="both"/>
        <w:rPr>
          <w:rFonts w:ascii="Arial" w:hAnsi="Arial" w:cs="Arial"/>
        </w:rPr>
      </w:pPr>
    </w:p>
    <w:p w14:paraId="3718275A" w14:textId="744C5200" w:rsidR="005A1BE6" w:rsidRPr="00147F8C" w:rsidRDefault="005A1BE6" w:rsidP="00D037D9">
      <w:pPr>
        <w:pStyle w:val="Heading1"/>
      </w:pPr>
      <w:bookmarkStart w:id="26" w:name="_Toc235135110"/>
      <w:r w:rsidRPr="00147F8C">
        <w:t>Critical Evaluation of the Balanced Scorecard</w:t>
      </w:r>
      <w:bookmarkEnd w:id="26"/>
    </w:p>
    <w:p w14:paraId="0B1303A3" w14:textId="3D464F6C" w:rsidR="005A1BE6" w:rsidRPr="005A1BE6" w:rsidRDefault="005A1BE6" w:rsidP="00190383">
      <w:pPr>
        <w:spacing w:line="360" w:lineRule="auto"/>
        <w:jc w:val="both"/>
        <w:rPr>
          <w:rFonts w:ascii="Arial" w:hAnsi="Arial" w:cs="Arial"/>
        </w:rPr>
      </w:pPr>
      <w:r w:rsidRPr="005A1BE6">
        <w:rPr>
          <w:rFonts w:ascii="Arial" w:hAnsi="Arial" w:cs="Arial"/>
        </w:rPr>
        <w:t>The Balanced Scorecard provides significant advantages because it integrates both financial and non-financial performance measures. Rather than focusing solely on profitability, it encourages managers to consider customer satisfaction, operational efficiency, employee development, and innovation simultaneously. For Nivea Creme, this holistic approach supports strategic alignment between sustainability objectives and commercial performance.</w:t>
      </w:r>
    </w:p>
    <w:p w14:paraId="7237D697" w14:textId="78EE7DAF" w:rsidR="005A1BE6" w:rsidRPr="005A1BE6" w:rsidRDefault="005A1BE6" w:rsidP="00190383">
      <w:pPr>
        <w:spacing w:line="360" w:lineRule="auto"/>
        <w:jc w:val="both"/>
        <w:rPr>
          <w:rFonts w:ascii="Arial" w:hAnsi="Arial" w:cs="Arial"/>
        </w:rPr>
      </w:pPr>
      <w:r w:rsidRPr="005A1BE6">
        <w:rPr>
          <w:rFonts w:ascii="Arial" w:hAnsi="Arial" w:cs="Arial"/>
        </w:rPr>
        <w:t>However, implementation also presents challenges. Selecting appropriate KPIs can be complex, particularly for intangible measures such as customer loyalty, innovation capability, and brand reputation. Additionally, sustainability initiatives often require substantial investment before financial benefits become visible, making short-term performance evaluation more difficult.</w:t>
      </w:r>
    </w:p>
    <w:p w14:paraId="50D87B10" w14:textId="77777777" w:rsidR="00C542EA" w:rsidRPr="005A1BE6" w:rsidRDefault="00C542EA" w:rsidP="00190383">
      <w:pPr>
        <w:spacing w:line="360" w:lineRule="auto"/>
        <w:jc w:val="both"/>
        <w:rPr>
          <w:rFonts w:ascii="Arial" w:hAnsi="Arial" w:cs="Arial"/>
        </w:rPr>
      </w:pPr>
    </w:p>
    <w:p w14:paraId="485225FD" w14:textId="73874365" w:rsidR="00C542EA" w:rsidRPr="009E5DB4" w:rsidRDefault="004C61CE" w:rsidP="00D037D9">
      <w:pPr>
        <w:pStyle w:val="Heading1"/>
      </w:pPr>
      <w:bookmarkStart w:id="27" w:name="_Toc235135111"/>
      <w:r w:rsidRPr="009E5DB4">
        <w:t>STRATEGIC CHOICES AVAILABLE TO NIVEA CRÈME</w:t>
      </w:r>
      <w:bookmarkEnd w:id="27"/>
      <w:r w:rsidRPr="009E5DB4">
        <w:t xml:space="preserve"> </w:t>
      </w:r>
    </w:p>
    <w:p w14:paraId="0F664E25" w14:textId="293F48B7" w:rsidR="008C5D81" w:rsidRDefault="008C5D81" w:rsidP="00190383">
      <w:pPr>
        <w:spacing w:line="360" w:lineRule="auto"/>
        <w:jc w:val="both"/>
        <w:rPr>
          <w:rFonts w:ascii="Arial" w:hAnsi="Arial" w:cs="Arial"/>
        </w:rPr>
      </w:pPr>
      <w:r w:rsidRPr="008C5D81">
        <w:rPr>
          <w:rFonts w:ascii="Arial" w:hAnsi="Arial" w:cs="Arial"/>
        </w:rPr>
        <w:t xml:space="preserve">Business-level strategy focuses on how an organisation competes successfully within its industry to achieve sustainable competitive advantage. For Nivea Creme, operating </w:t>
      </w:r>
      <w:r w:rsidRPr="008C5D81">
        <w:rPr>
          <w:rFonts w:ascii="Arial" w:hAnsi="Arial" w:cs="Arial"/>
        </w:rPr>
        <w:lastRenderedPageBreak/>
        <w:t>within the highly competitive global skincare market, the most relevant strategic choices are cost leadership and differentiation. While both strategies offer opportunities for growth, differentiation represents the company's primary source of competitive advantage</w:t>
      </w:r>
      <w:r w:rsidR="00554DA5" w:rsidRPr="00554DA5">
        <w:t xml:space="preserve"> </w:t>
      </w:r>
      <w:r w:rsidR="00554DA5">
        <w:t>(</w:t>
      </w:r>
      <w:r w:rsidR="00554DA5" w:rsidRPr="00554DA5">
        <w:rPr>
          <w:rFonts w:ascii="Arial" w:hAnsi="Arial" w:cs="Arial"/>
        </w:rPr>
        <w:t>Valipour</w:t>
      </w:r>
      <w:r w:rsidR="00554DA5">
        <w:rPr>
          <w:rFonts w:ascii="Arial" w:hAnsi="Arial" w:cs="Arial"/>
        </w:rPr>
        <w:t xml:space="preserve">, </w:t>
      </w:r>
      <w:r w:rsidR="00554DA5" w:rsidRPr="00554DA5">
        <w:rPr>
          <w:rFonts w:ascii="Arial" w:hAnsi="Arial" w:cs="Arial"/>
        </w:rPr>
        <w:t>2012)</w:t>
      </w:r>
      <w:r w:rsidRPr="008C5D81">
        <w:rPr>
          <w:rFonts w:ascii="Arial" w:hAnsi="Arial" w:cs="Arial"/>
        </w:rPr>
        <w:t>.</w:t>
      </w:r>
    </w:p>
    <w:p w14:paraId="799CCE22" w14:textId="2DD79A69" w:rsidR="008C5D81" w:rsidRPr="00E8324B" w:rsidRDefault="008C5D81" w:rsidP="00D037D9">
      <w:pPr>
        <w:pStyle w:val="Heading1"/>
      </w:pPr>
      <w:bookmarkStart w:id="28" w:name="_Toc235135112"/>
      <w:r w:rsidRPr="00E8324B">
        <w:t>Cost Leadership Strategy</w:t>
      </w:r>
      <w:bookmarkEnd w:id="28"/>
    </w:p>
    <w:p w14:paraId="51BB9432" w14:textId="65EF3779" w:rsidR="005A1BE6" w:rsidRDefault="008C5D81" w:rsidP="00190383">
      <w:pPr>
        <w:spacing w:line="360" w:lineRule="auto"/>
        <w:jc w:val="both"/>
        <w:rPr>
          <w:rFonts w:ascii="Arial" w:hAnsi="Arial" w:cs="Arial"/>
        </w:rPr>
      </w:pPr>
      <w:r w:rsidRPr="008C5D81">
        <w:rPr>
          <w:rFonts w:ascii="Arial" w:hAnsi="Arial" w:cs="Arial"/>
        </w:rPr>
        <w:t>A cost leadership strategy seeks to become the lowest-cost producer within an industry while maintaining acceptable product quality</w:t>
      </w:r>
      <w:r w:rsidR="0052378E" w:rsidRPr="0052378E">
        <w:t xml:space="preserve"> </w:t>
      </w:r>
      <w:r w:rsidR="0052378E">
        <w:t>(</w:t>
      </w:r>
      <w:r w:rsidR="0052378E" w:rsidRPr="0052378E">
        <w:rPr>
          <w:rFonts w:ascii="Arial" w:hAnsi="Arial" w:cs="Arial"/>
        </w:rPr>
        <w:t>Li, Li, 2008)</w:t>
      </w:r>
      <w:r w:rsidRPr="008C5D81">
        <w:rPr>
          <w:rFonts w:ascii="Arial" w:hAnsi="Arial" w:cs="Arial"/>
        </w:rPr>
        <w:t>. For Nivea Creme, this strategy can be achieved through economies of scale, efficient manufacturing processes, streamlined supply chains, and effective procurement practices. As part of Beiersdorf's global operations, Nivea benefits from large-scale production facilities, established supplier relationships, and extensive international distribution networks that reduce production and logistics costs.</w:t>
      </w:r>
    </w:p>
    <w:p w14:paraId="74B4C99C" w14:textId="4C296C18" w:rsidR="00BE4CFE" w:rsidRPr="00BE4CFE" w:rsidRDefault="00BE4CFE" w:rsidP="00190383">
      <w:pPr>
        <w:spacing w:line="360" w:lineRule="auto"/>
        <w:jc w:val="both"/>
        <w:rPr>
          <w:rFonts w:ascii="Arial" w:hAnsi="Arial" w:cs="Arial"/>
        </w:rPr>
      </w:pPr>
      <w:r w:rsidRPr="00BE4CFE">
        <w:rPr>
          <w:rFonts w:ascii="Arial" w:hAnsi="Arial" w:cs="Arial"/>
        </w:rPr>
        <w:t>Cost leadership enables Nivea Creme to offer affordable skincare products to a broad customer base while remaining profitable</w:t>
      </w:r>
      <w:r w:rsidR="00246F5C">
        <w:rPr>
          <w:rFonts w:ascii="Arial" w:hAnsi="Arial" w:cs="Arial"/>
        </w:rPr>
        <w:t xml:space="preserve"> </w:t>
      </w:r>
      <w:r w:rsidR="005335DD" w:rsidRPr="005335DD">
        <w:rPr>
          <w:rFonts w:ascii="Arial" w:hAnsi="Arial" w:cs="Arial"/>
        </w:rPr>
        <w:t>(Alberti, 2018)</w:t>
      </w:r>
      <w:r w:rsidRPr="00BE4CFE">
        <w:rPr>
          <w:rFonts w:ascii="Arial" w:hAnsi="Arial" w:cs="Arial"/>
        </w:rPr>
        <w:t xml:space="preserve">. Competitive pricing is particularly important in emerging markets, where consumers are more </w:t>
      </w:r>
      <w:r w:rsidR="00DF5510" w:rsidRPr="00BE4CFE">
        <w:rPr>
          <w:rFonts w:ascii="Arial" w:hAnsi="Arial" w:cs="Arial"/>
        </w:rPr>
        <w:t>price sensitive</w:t>
      </w:r>
      <w:r w:rsidRPr="00BE4CFE">
        <w:rPr>
          <w:rFonts w:ascii="Arial" w:hAnsi="Arial" w:cs="Arial"/>
        </w:rPr>
        <w:t>. In addition, operational efficiencies such as automation, digital supply chain management, and sustainable manufacturing practices help reduce costs while supporting environmental objectives.</w:t>
      </w:r>
    </w:p>
    <w:p w14:paraId="56A75F48" w14:textId="39AD5CB0" w:rsidR="00BE4CFE" w:rsidRPr="00BE4CFE" w:rsidRDefault="00BE4CFE" w:rsidP="00190383">
      <w:pPr>
        <w:spacing w:line="360" w:lineRule="auto"/>
        <w:jc w:val="both"/>
        <w:rPr>
          <w:rFonts w:ascii="Arial" w:hAnsi="Arial" w:cs="Arial"/>
        </w:rPr>
      </w:pPr>
      <w:r w:rsidRPr="00BE4CFE">
        <w:rPr>
          <w:rFonts w:ascii="Arial" w:hAnsi="Arial" w:cs="Arial"/>
        </w:rPr>
        <w:t>However, relying primarily on cost leadership presents several challenges. Aggressive price competition can reduce profit margins, while competitors such as Dove, Vaseline, and private-label brands may imitate cost-saving practices. Furthermore, excessive cost reduction could limit investment in research, product innovation, and marketing, potentially weakening the brand's long-term competitive position</w:t>
      </w:r>
      <w:r w:rsidR="009B2E40">
        <w:rPr>
          <w:rFonts w:ascii="Arial" w:hAnsi="Arial" w:cs="Arial"/>
        </w:rPr>
        <w:t xml:space="preserve"> as we have seen with Farmec</w:t>
      </w:r>
      <w:r w:rsidR="002F3060">
        <w:rPr>
          <w:rFonts w:ascii="Arial" w:hAnsi="Arial" w:cs="Arial"/>
        </w:rPr>
        <w:t xml:space="preserve"> </w:t>
      </w:r>
      <w:r w:rsidR="002F3060" w:rsidRPr="002F3060">
        <w:rPr>
          <w:rFonts w:ascii="Arial" w:hAnsi="Arial" w:cs="Arial"/>
        </w:rPr>
        <w:t>(Amalancei, 2013).</w:t>
      </w:r>
    </w:p>
    <w:p w14:paraId="6DFF1F80" w14:textId="77777777" w:rsidR="00BE4CFE" w:rsidRPr="00BE4CFE" w:rsidRDefault="00BE4CFE" w:rsidP="00190383">
      <w:pPr>
        <w:spacing w:line="360" w:lineRule="auto"/>
        <w:jc w:val="both"/>
        <w:rPr>
          <w:rFonts w:ascii="Arial" w:hAnsi="Arial" w:cs="Arial"/>
        </w:rPr>
      </w:pPr>
    </w:p>
    <w:p w14:paraId="12B4112D" w14:textId="3569D741" w:rsidR="00BE4CFE" w:rsidRPr="00E8324B" w:rsidRDefault="00BE4CFE" w:rsidP="00D037D9">
      <w:pPr>
        <w:pStyle w:val="Heading1"/>
      </w:pPr>
      <w:bookmarkStart w:id="29" w:name="_Toc235135113"/>
      <w:r w:rsidRPr="00E8324B">
        <w:t>Differentiation Strategy</w:t>
      </w:r>
      <w:bookmarkEnd w:id="29"/>
    </w:p>
    <w:p w14:paraId="42F1C8A0" w14:textId="5D1B2084" w:rsidR="00C542EA" w:rsidRDefault="00BE4CFE" w:rsidP="004D6BE6">
      <w:pPr>
        <w:spacing w:line="360" w:lineRule="auto"/>
        <w:jc w:val="both"/>
        <w:rPr>
          <w:rFonts w:ascii="Arial" w:hAnsi="Arial" w:cs="Arial"/>
        </w:rPr>
      </w:pPr>
      <w:r w:rsidRPr="00BE4CFE">
        <w:rPr>
          <w:rFonts w:ascii="Arial" w:hAnsi="Arial" w:cs="Arial"/>
        </w:rPr>
        <w:t>Differentiation is the strategy that most closely reflects Nivea Creme's current market position. This approach involves offering products that consumers perceive as unique and superior to those of competitors</w:t>
      </w:r>
      <w:r w:rsidR="004D6BE6">
        <w:rPr>
          <w:rFonts w:ascii="Arial" w:hAnsi="Arial" w:cs="Arial"/>
        </w:rPr>
        <w:t xml:space="preserve"> (</w:t>
      </w:r>
      <w:r w:rsidR="004D6BE6" w:rsidRPr="004D6BE6">
        <w:rPr>
          <w:rFonts w:ascii="Arial" w:hAnsi="Arial" w:cs="Arial"/>
        </w:rPr>
        <w:t>Arianpoor</w:t>
      </w:r>
      <w:r w:rsidR="004D6BE6">
        <w:rPr>
          <w:rFonts w:ascii="Arial" w:hAnsi="Arial" w:cs="Arial"/>
        </w:rPr>
        <w:t>,</w:t>
      </w:r>
      <w:r w:rsidR="004D6BE6" w:rsidRPr="004D6BE6">
        <w:rPr>
          <w:rFonts w:ascii="Arial" w:hAnsi="Arial" w:cs="Arial"/>
        </w:rPr>
        <w:t xml:space="preserve"> Moghaddampoor, 2024)</w:t>
      </w:r>
      <w:r w:rsidRPr="00BE4CFE">
        <w:rPr>
          <w:rFonts w:ascii="Arial" w:hAnsi="Arial" w:cs="Arial"/>
        </w:rPr>
        <w:t xml:space="preserve">. Nivea has successfully differentiated itself through its strong brand heritage, high product quality, </w:t>
      </w:r>
      <w:r w:rsidRPr="00BE4CFE">
        <w:rPr>
          <w:rFonts w:ascii="Arial" w:hAnsi="Arial" w:cs="Arial"/>
        </w:rPr>
        <w:lastRenderedPageBreak/>
        <w:t>dermatological expertise, trusted skincare solutions, and continuous product innovation.</w:t>
      </w:r>
    </w:p>
    <w:p w14:paraId="509BD6D8" w14:textId="65C43355" w:rsidR="00E8324B" w:rsidRPr="00E8324B" w:rsidRDefault="00E8324B" w:rsidP="00190383">
      <w:pPr>
        <w:spacing w:line="360" w:lineRule="auto"/>
        <w:jc w:val="both"/>
        <w:rPr>
          <w:rFonts w:ascii="Arial" w:hAnsi="Arial" w:cs="Arial"/>
        </w:rPr>
      </w:pPr>
      <w:r w:rsidRPr="00E8324B">
        <w:rPr>
          <w:rFonts w:ascii="Arial" w:hAnsi="Arial" w:cs="Arial"/>
        </w:rPr>
        <w:t>Brand reputation remains one of Nivea Creme's strongest competitive assets. Having served consumers for more than a century, the brand has established high levels of trust, reliability, and emotional attachment across multiple generations. This reputation allows Nivea to command customer loyalty despite intense market competition</w:t>
      </w:r>
      <w:r w:rsidR="008C2A56" w:rsidRPr="008C2A56">
        <w:t xml:space="preserve"> </w:t>
      </w:r>
      <w:r w:rsidR="00B964EF">
        <w:t>(</w:t>
      </w:r>
      <w:r w:rsidR="008C2A56" w:rsidRPr="008C2A56">
        <w:rPr>
          <w:rFonts w:ascii="Arial" w:hAnsi="Arial" w:cs="Arial"/>
        </w:rPr>
        <w:t>Rogers</w:t>
      </w:r>
      <w:r w:rsidR="00B964EF">
        <w:rPr>
          <w:rFonts w:ascii="Arial" w:hAnsi="Arial" w:cs="Arial"/>
        </w:rPr>
        <w:t>,</w:t>
      </w:r>
      <w:r w:rsidR="008C2A56" w:rsidRPr="008C2A56">
        <w:rPr>
          <w:rFonts w:ascii="Arial" w:hAnsi="Arial" w:cs="Arial"/>
        </w:rPr>
        <w:t xml:space="preserve"> 2021)</w:t>
      </w:r>
      <w:r w:rsidRPr="00E8324B">
        <w:rPr>
          <w:rFonts w:ascii="Arial" w:hAnsi="Arial" w:cs="Arial"/>
        </w:rPr>
        <w:t>.</w:t>
      </w:r>
    </w:p>
    <w:p w14:paraId="3528C41A" w14:textId="17DA6B8C" w:rsidR="00E8324B" w:rsidRPr="00E8324B" w:rsidRDefault="00E8324B" w:rsidP="00190383">
      <w:pPr>
        <w:spacing w:line="360" w:lineRule="auto"/>
        <w:jc w:val="both"/>
        <w:rPr>
          <w:rFonts w:ascii="Arial" w:hAnsi="Arial" w:cs="Arial"/>
        </w:rPr>
      </w:pPr>
      <w:r w:rsidRPr="00E8324B">
        <w:rPr>
          <w:rFonts w:ascii="Arial" w:hAnsi="Arial" w:cs="Arial"/>
        </w:rPr>
        <w:t>Innovation further strengthens differentiation. Continuous investment in research and development enables Beiersdorf to improve product formulations, introduce environmentally friendly packaging, and respond to changing consumer preferences for sustainable and skin-friendly products. Marketing campaigns that emphasise family care, skin health, and inclusivity further reinforce the brand's distinctive identity.</w:t>
      </w:r>
    </w:p>
    <w:p w14:paraId="7B7CC8DF" w14:textId="1BBC2836" w:rsidR="00E8324B" w:rsidRDefault="00E8324B" w:rsidP="00190383">
      <w:pPr>
        <w:spacing w:line="360" w:lineRule="auto"/>
        <w:jc w:val="both"/>
        <w:rPr>
          <w:rFonts w:ascii="Arial" w:hAnsi="Arial" w:cs="Arial"/>
        </w:rPr>
      </w:pPr>
      <w:r w:rsidRPr="00E8324B">
        <w:rPr>
          <w:rFonts w:ascii="Arial" w:hAnsi="Arial" w:cs="Arial"/>
        </w:rPr>
        <w:t xml:space="preserve">Differentiation also supports premium pricing in selected product categories because consumers are willing to pay more for </w:t>
      </w:r>
      <w:r w:rsidR="004C103D" w:rsidRPr="00E8324B">
        <w:rPr>
          <w:rFonts w:ascii="Arial" w:hAnsi="Arial" w:cs="Arial"/>
        </w:rPr>
        <w:t>products,</w:t>
      </w:r>
      <w:r w:rsidRPr="00E8324B">
        <w:rPr>
          <w:rFonts w:ascii="Arial" w:hAnsi="Arial" w:cs="Arial"/>
        </w:rPr>
        <w:t xml:space="preserve"> they perceive as safe, reliable, and effective. Nevertheless, sustaining differentiation requires continuous investment in innovation, branding, customer engagement, and sustainability initiatives. Consumer expectations evolve rapidly, requiring Nivea to continually adapt to market trends and technological developments</w:t>
      </w:r>
      <w:r w:rsidR="006D0D7B">
        <w:rPr>
          <w:rFonts w:ascii="Arial" w:hAnsi="Arial" w:cs="Arial"/>
        </w:rPr>
        <w:t xml:space="preserve"> </w:t>
      </w:r>
      <w:r w:rsidR="006D0D7B" w:rsidRPr="006D0D7B">
        <w:rPr>
          <w:rFonts w:ascii="Arial" w:hAnsi="Arial" w:cs="Arial"/>
        </w:rPr>
        <w:t>(Alberti, 2018)</w:t>
      </w:r>
      <w:r w:rsidRPr="00E8324B">
        <w:rPr>
          <w:rFonts w:ascii="Arial" w:hAnsi="Arial" w:cs="Arial"/>
        </w:rPr>
        <w:t>.</w:t>
      </w:r>
    </w:p>
    <w:p w14:paraId="31EB2977" w14:textId="77777777" w:rsidR="00205299" w:rsidRDefault="00205299" w:rsidP="00190383">
      <w:pPr>
        <w:spacing w:line="360" w:lineRule="auto"/>
        <w:jc w:val="both"/>
        <w:rPr>
          <w:rFonts w:ascii="Arial" w:hAnsi="Arial" w:cs="Arial"/>
        </w:rPr>
      </w:pPr>
    </w:p>
    <w:p w14:paraId="26FE4C98" w14:textId="04CD3079" w:rsidR="00DC7EC8" w:rsidRDefault="00E8324B" w:rsidP="00D037D9">
      <w:pPr>
        <w:pStyle w:val="Heading1"/>
      </w:pPr>
      <w:bookmarkStart w:id="30" w:name="_Toc235135114"/>
      <w:r w:rsidRPr="00E8324B">
        <w:t>Critical Evaluation of Strategic Choices</w:t>
      </w:r>
      <w:bookmarkEnd w:id="30"/>
    </w:p>
    <w:p w14:paraId="37376658" w14:textId="7D75504C" w:rsidR="00C542EA" w:rsidRPr="00DC7EC8" w:rsidRDefault="00E8324B" w:rsidP="00190383">
      <w:pPr>
        <w:spacing w:line="360" w:lineRule="auto"/>
        <w:jc w:val="both"/>
        <w:rPr>
          <w:rFonts w:ascii="Arial" w:hAnsi="Arial" w:cs="Arial"/>
          <w:b/>
          <w:bCs/>
        </w:rPr>
      </w:pPr>
      <w:r w:rsidRPr="00E8324B">
        <w:rPr>
          <w:rFonts w:ascii="Arial" w:hAnsi="Arial" w:cs="Arial"/>
        </w:rPr>
        <w:t>Cost leadership enables operational efficiency and competitive pricing, helping the company maintain strong market share across global markets. However, competing primarily on price is increasingly difficult due to intense competition from multinational companies and low-cost private-label brands.</w:t>
      </w:r>
    </w:p>
    <w:p w14:paraId="143D28A3" w14:textId="78D1E86A" w:rsidR="00273162" w:rsidRPr="00273162" w:rsidRDefault="00273162" w:rsidP="00190383">
      <w:pPr>
        <w:spacing w:line="360" w:lineRule="auto"/>
        <w:jc w:val="both"/>
        <w:rPr>
          <w:rFonts w:ascii="Arial" w:hAnsi="Arial" w:cs="Arial"/>
        </w:rPr>
      </w:pPr>
      <w:r w:rsidRPr="00273162">
        <w:rPr>
          <w:rFonts w:ascii="Arial" w:hAnsi="Arial" w:cs="Arial"/>
        </w:rPr>
        <w:t>Differentiation provides a more sustainable competitive advantage because it is supported by valuable intangible resources, including brand equity, customer trust, scientific expertise, and continuous innovation. These resources are difficult for competitors to replicate and align closely with the findings of the earlier VRIO analysis.</w:t>
      </w:r>
    </w:p>
    <w:p w14:paraId="50A0A7DB" w14:textId="094CB1AD" w:rsidR="00E8324B" w:rsidRDefault="00273162" w:rsidP="00190383">
      <w:pPr>
        <w:spacing w:line="360" w:lineRule="auto"/>
        <w:jc w:val="both"/>
        <w:rPr>
          <w:rFonts w:ascii="Arial" w:hAnsi="Arial" w:cs="Arial"/>
        </w:rPr>
      </w:pPr>
      <w:r w:rsidRPr="00273162">
        <w:rPr>
          <w:rFonts w:ascii="Arial" w:hAnsi="Arial" w:cs="Arial"/>
        </w:rPr>
        <w:t xml:space="preserve">Rather than pursuing a pure cost leadership strategy, Nivea effectively combines operational efficiency with product differentiation. This hybrid approach enables the </w:t>
      </w:r>
      <w:r w:rsidRPr="00273162">
        <w:rPr>
          <w:rFonts w:ascii="Arial" w:hAnsi="Arial" w:cs="Arial"/>
        </w:rPr>
        <w:lastRenderedPageBreak/>
        <w:t>company to offer high-quality skincare products at affordable prices while maintaining strong profitability and customer loyalty. Investments in sustainability, digital transformation, and product innovation further strengthen this competitive position by responding to changing consumer preferences and regulatory requirements.</w:t>
      </w:r>
    </w:p>
    <w:p w14:paraId="6FF24446" w14:textId="1F7CF6FE" w:rsidR="00502380" w:rsidRPr="00502380" w:rsidRDefault="00502380" w:rsidP="00D037D9">
      <w:pPr>
        <w:pStyle w:val="Heading1"/>
      </w:pPr>
      <w:bookmarkStart w:id="31" w:name="_Toc235135115"/>
      <w:r w:rsidRPr="00502380">
        <w:t>Recommended Business Strategy for Nivea Creme</w:t>
      </w:r>
      <w:bookmarkEnd w:id="31"/>
    </w:p>
    <w:p w14:paraId="557C05F7" w14:textId="15F0DEDD" w:rsidR="00E60235" w:rsidRDefault="00502380" w:rsidP="00E60235">
      <w:pPr>
        <w:spacing w:line="360" w:lineRule="auto"/>
        <w:jc w:val="both"/>
        <w:rPr>
          <w:rFonts w:ascii="Arial" w:hAnsi="Arial" w:cs="Arial"/>
          <w:b/>
          <w:bCs/>
        </w:rPr>
      </w:pPr>
      <w:r w:rsidRPr="00502380">
        <w:rPr>
          <w:rFonts w:ascii="Arial" w:hAnsi="Arial" w:cs="Arial"/>
        </w:rPr>
        <w:t>Following the evaluation of Nivea Creme's business-level strategic options, a differentiation strategy supported by operational cost efficiency is the most appropriate approach for sustaining long-term competitive advantage</w:t>
      </w:r>
      <w:r w:rsidR="00D675A9" w:rsidRPr="00D675A9">
        <w:t xml:space="preserve"> </w:t>
      </w:r>
      <w:r w:rsidR="00B84757">
        <w:rPr>
          <w:rFonts w:ascii="Arial" w:hAnsi="Arial" w:cs="Arial"/>
        </w:rPr>
        <w:t>(</w:t>
      </w:r>
      <w:r w:rsidR="00D675A9" w:rsidRPr="00D675A9">
        <w:rPr>
          <w:rFonts w:ascii="Arial" w:hAnsi="Arial" w:cs="Arial"/>
        </w:rPr>
        <w:t>Banker, Mashruwala</w:t>
      </w:r>
      <w:r w:rsidR="00D675A9">
        <w:rPr>
          <w:rFonts w:ascii="Arial" w:hAnsi="Arial" w:cs="Arial"/>
        </w:rPr>
        <w:t xml:space="preserve">, </w:t>
      </w:r>
      <w:r w:rsidR="00D675A9" w:rsidRPr="00D675A9">
        <w:rPr>
          <w:rFonts w:ascii="Arial" w:hAnsi="Arial" w:cs="Arial"/>
        </w:rPr>
        <w:t>Tripathy, 2014)</w:t>
      </w:r>
      <w:r w:rsidRPr="00502380">
        <w:rPr>
          <w:rFonts w:ascii="Arial" w:hAnsi="Arial" w:cs="Arial"/>
        </w:rPr>
        <w:t>. Although cost leadership enables Nivea to compete effectively in price-sensitive markets, differentiation better aligns with the company's brand heritage, innovation capabilities, customer expectations, and sustainability commitments. This recommendation is supported by Porter's Five Forces framework, which highlights the competitive pressures within the global skincare industry.</w:t>
      </w:r>
    </w:p>
    <w:p w14:paraId="388033BD" w14:textId="01FDD818" w:rsidR="008907F2" w:rsidRPr="008907F2" w:rsidRDefault="00502380" w:rsidP="00D037D9">
      <w:pPr>
        <w:pStyle w:val="Heading1"/>
      </w:pPr>
      <w:bookmarkStart w:id="32" w:name="_Toc235135116"/>
      <w:r w:rsidRPr="00E60235">
        <w:t>Evaluation Using Porter's Five Forces</w:t>
      </w:r>
      <w:bookmarkEnd w:id="32"/>
    </w:p>
    <w:p w14:paraId="44413BB3" w14:textId="552CF357" w:rsidR="00E8324B" w:rsidRDefault="002E5D98" w:rsidP="00190383">
      <w:pPr>
        <w:spacing w:line="360" w:lineRule="auto"/>
        <w:jc w:val="both"/>
        <w:rPr>
          <w:rFonts w:ascii="Arial" w:hAnsi="Arial" w:cs="Arial"/>
        </w:rPr>
      </w:pPr>
      <w:r>
        <w:rPr>
          <w:rFonts w:ascii="Arial" w:hAnsi="Arial" w:cs="Arial"/>
          <w:noProof/>
          <w14:ligatures w14:val="standardContextual"/>
        </w:rPr>
        <w:drawing>
          <wp:anchor distT="0" distB="0" distL="114300" distR="114300" simplePos="0" relativeHeight="251663360" behindDoc="0" locked="0" layoutInCell="1" allowOverlap="1" wp14:anchorId="3942266B" wp14:editId="643C87EA">
            <wp:simplePos x="0" y="0"/>
            <wp:positionH relativeFrom="column">
              <wp:posOffset>967563</wp:posOffset>
            </wp:positionH>
            <wp:positionV relativeFrom="paragraph">
              <wp:posOffset>634970</wp:posOffset>
            </wp:positionV>
            <wp:extent cx="3795395" cy="3075503"/>
            <wp:effectExtent l="0" t="0" r="0" b="0"/>
            <wp:wrapTopAndBottom/>
            <wp:docPr id="164060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06704" name="Picture 1"/>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795395" cy="3075503"/>
                    </a:xfrm>
                    <a:prstGeom prst="rect">
                      <a:avLst/>
                    </a:prstGeom>
                  </pic:spPr>
                </pic:pic>
              </a:graphicData>
            </a:graphic>
          </wp:anchor>
        </w:drawing>
      </w:r>
      <w:r w:rsidR="00502380" w:rsidRPr="00502380">
        <w:rPr>
          <w:rFonts w:ascii="Arial" w:hAnsi="Arial" w:cs="Arial"/>
        </w:rPr>
        <w:t>Porter's Five Forces provides a useful framework for evaluating industry attractiveness and determining the most suitable competitive strategy</w:t>
      </w:r>
      <w:r w:rsidR="005F46AA" w:rsidRPr="005F46AA">
        <w:t xml:space="preserve"> </w:t>
      </w:r>
      <w:r w:rsidR="005F46AA">
        <w:rPr>
          <w:rFonts w:ascii="Arial" w:hAnsi="Arial" w:cs="Arial"/>
        </w:rPr>
        <w:t>(</w:t>
      </w:r>
      <w:r w:rsidR="005F46AA" w:rsidRPr="005F46AA">
        <w:rPr>
          <w:rFonts w:ascii="Arial" w:hAnsi="Arial" w:cs="Arial"/>
        </w:rPr>
        <w:t>Dobbs, 2014)</w:t>
      </w:r>
      <w:r w:rsidR="00502380" w:rsidRPr="00502380">
        <w:rPr>
          <w:rFonts w:ascii="Arial" w:hAnsi="Arial" w:cs="Arial"/>
        </w:rPr>
        <w:t>.</w:t>
      </w:r>
    </w:p>
    <w:p w14:paraId="79730FA4" w14:textId="730B0C51" w:rsidR="004C103D" w:rsidRDefault="004C103D" w:rsidP="00190383">
      <w:pPr>
        <w:spacing w:line="360" w:lineRule="auto"/>
        <w:jc w:val="both"/>
        <w:rPr>
          <w:rFonts w:ascii="Arial" w:hAnsi="Arial" w:cs="Arial"/>
        </w:rPr>
      </w:pPr>
    </w:p>
    <w:p w14:paraId="302873D4" w14:textId="455682EE" w:rsidR="0063725A" w:rsidRPr="00D547EC" w:rsidRDefault="0063725A" w:rsidP="00D037D9">
      <w:pPr>
        <w:pStyle w:val="Heading1"/>
      </w:pPr>
      <w:bookmarkStart w:id="33" w:name="_Toc235135117"/>
      <w:r w:rsidRPr="00D547EC">
        <w:lastRenderedPageBreak/>
        <w:t>Threat of New Entrants – Moderate</w:t>
      </w:r>
      <w:bookmarkEnd w:id="33"/>
    </w:p>
    <w:p w14:paraId="10F3D197" w14:textId="1C4B2D74" w:rsidR="0063725A" w:rsidRDefault="0063725A" w:rsidP="00BE60B9">
      <w:pPr>
        <w:spacing w:line="360" w:lineRule="auto"/>
        <w:jc w:val="both"/>
        <w:rPr>
          <w:rFonts w:ascii="Arial" w:hAnsi="Arial" w:cs="Arial"/>
        </w:rPr>
      </w:pPr>
      <w:r w:rsidRPr="0063725A">
        <w:rPr>
          <w:rFonts w:ascii="Arial" w:hAnsi="Arial" w:cs="Arial"/>
        </w:rPr>
        <w:t>The skincare market continues to attract new entrants due to growing consumer demand and the expansion of e-commerce. However, building a globally recognised skincare brand requires significant investment in research and development, marketing, distribution networks, and regulatory compliance. Nivea's more than 100-year heritage, strong customer trust, and global presence create substantial barriers to entry. A differentiation strategy further strengthens these barriers by reinforcing customer loyalty and brand recognition.</w:t>
      </w:r>
    </w:p>
    <w:p w14:paraId="09FBB92F" w14:textId="77777777" w:rsidR="004C103D" w:rsidRPr="0063725A" w:rsidRDefault="004C103D" w:rsidP="00190383">
      <w:pPr>
        <w:spacing w:line="360" w:lineRule="auto"/>
        <w:jc w:val="both"/>
        <w:rPr>
          <w:rFonts w:ascii="Arial" w:hAnsi="Arial" w:cs="Arial"/>
        </w:rPr>
      </w:pPr>
    </w:p>
    <w:p w14:paraId="774832D9" w14:textId="3B2EBB68" w:rsidR="0063725A" w:rsidRPr="00D547EC" w:rsidRDefault="0063725A" w:rsidP="00D037D9">
      <w:pPr>
        <w:pStyle w:val="Heading1"/>
      </w:pPr>
      <w:bookmarkStart w:id="34" w:name="_Toc235135118"/>
      <w:r w:rsidRPr="00D547EC">
        <w:t>Bargaining Power of Suppliers – Low to Moderate</w:t>
      </w:r>
      <w:bookmarkEnd w:id="34"/>
    </w:p>
    <w:p w14:paraId="7BE6A0EE" w14:textId="743BF604" w:rsidR="0063725A" w:rsidRDefault="0063725A" w:rsidP="00190383">
      <w:pPr>
        <w:spacing w:line="360" w:lineRule="auto"/>
        <w:jc w:val="both"/>
        <w:rPr>
          <w:rFonts w:ascii="Arial" w:hAnsi="Arial" w:cs="Arial"/>
        </w:rPr>
      </w:pPr>
      <w:r w:rsidRPr="0063725A">
        <w:rPr>
          <w:rFonts w:ascii="Arial" w:hAnsi="Arial" w:cs="Arial"/>
        </w:rPr>
        <w:t>Beiersdorf sources raw materials from a diversified global supplier network, reducing dependence on individual suppliers. Nevertheless, increasing demand for sustainable and ethically sourced ingredients may increase supplier bargaining power and production costs. Through long-term supplier partnerships, strategic procurement, and investment in sustainable sourcing, the company can minimise supply chain risks while maintaining product quality.</w:t>
      </w:r>
    </w:p>
    <w:p w14:paraId="7E5B31E3" w14:textId="77777777" w:rsidR="004C103D" w:rsidRPr="0063725A" w:rsidRDefault="004C103D" w:rsidP="00190383">
      <w:pPr>
        <w:spacing w:line="360" w:lineRule="auto"/>
        <w:jc w:val="both"/>
        <w:rPr>
          <w:rFonts w:ascii="Arial" w:hAnsi="Arial" w:cs="Arial"/>
        </w:rPr>
      </w:pPr>
    </w:p>
    <w:p w14:paraId="224381EC" w14:textId="588BE313" w:rsidR="0063725A" w:rsidRPr="00D547EC" w:rsidRDefault="0063725A" w:rsidP="00D037D9">
      <w:pPr>
        <w:pStyle w:val="Heading1"/>
      </w:pPr>
      <w:bookmarkStart w:id="35" w:name="_Toc235135119"/>
      <w:r w:rsidRPr="00D547EC">
        <w:t>Bargaining Power of Buyers – High</w:t>
      </w:r>
      <w:bookmarkEnd w:id="35"/>
    </w:p>
    <w:p w14:paraId="31868B5A" w14:textId="12DBFE9F" w:rsidR="0063725A" w:rsidRDefault="0063725A" w:rsidP="00190383">
      <w:pPr>
        <w:spacing w:line="360" w:lineRule="auto"/>
        <w:jc w:val="both"/>
        <w:rPr>
          <w:rFonts w:ascii="Arial" w:hAnsi="Arial" w:cs="Arial"/>
        </w:rPr>
      </w:pPr>
      <w:r w:rsidRPr="0063725A">
        <w:rPr>
          <w:rFonts w:ascii="Arial" w:hAnsi="Arial" w:cs="Arial"/>
        </w:rPr>
        <w:t>Consumers have access to numerous skincare brands, including Dove, Vaseline, CeraVe, Neutrogena, and private-label alternatives. Low switching costs increase customer bargaining power, making product differentiation essential. Nivea's reputation for quality, safety, dermatological expertise, and reliable skincare solutions reduces customers' willingness to switch solely based on price. Continued innovation and superior customer experience therefore remain critical competitive advantages.</w:t>
      </w:r>
    </w:p>
    <w:p w14:paraId="7E3A8AAF" w14:textId="77777777" w:rsidR="008407DF" w:rsidRDefault="008407DF" w:rsidP="00190383">
      <w:pPr>
        <w:spacing w:line="360" w:lineRule="auto"/>
        <w:jc w:val="both"/>
        <w:rPr>
          <w:rFonts w:ascii="Arial" w:hAnsi="Arial" w:cs="Arial"/>
        </w:rPr>
      </w:pPr>
    </w:p>
    <w:p w14:paraId="5CA56010" w14:textId="48791EFA" w:rsidR="002769AF" w:rsidRPr="002769AF" w:rsidRDefault="002769AF" w:rsidP="00D037D9">
      <w:pPr>
        <w:pStyle w:val="Heading1"/>
      </w:pPr>
      <w:bookmarkStart w:id="36" w:name="_Toc235135120"/>
      <w:r w:rsidRPr="002769AF">
        <w:t>Threat of Substitute Products – High</w:t>
      </w:r>
      <w:bookmarkEnd w:id="36"/>
    </w:p>
    <w:p w14:paraId="2B0C80F5" w14:textId="22177904" w:rsidR="002769AF" w:rsidRDefault="002769AF" w:rsidP="00190383">
      <w:pPr>
        <w:spacing w:line="360" w:lineRule="auto"/>
        <w:jc w:val="both"/>
        <w:rPr>
          <w:rFonts w:ascii="Arial" w:hAnsi="Arial" w:cs="Arial"/>
        </w:rPr>
      </w:pPr>
      <w:r w:rsidRPr="002769AF">
        <w:rPr>
          <w:rFonts w:ascii="Arial" w:hAnsi="Arial" w:cs="Arial"/>
        </w:rPr>
        <w:t xml:space="preserve">Consumers can easily substitute Nivea Creme with alternative moisturisers, organic skincare products, cosmetic oils, or specialist dermatological creams. The increasing </w:t>
      </w:r>
      <w:r w:rsidRPr="002769AF">
        <w:rPr>
          <w:rFonts w:ascii="Arial" w:hAnsi="Arial" w:cs="Arial"/>
        </w:rPr>
        <w:lastRenderedPageBreak/>
        <w:t>popularity of natural and clean beauty products further intensifies substitution threats. Continuous investment in product innovation, environmentally friendly packaging, and scientifically validated skincare solutions enables Nivea to maintain consumer preference despite the availability of substitutes.</w:t>
      </w:r>
    </w:p>
    <w:p w14:paraId="25A942CE" w14:textId="77777777" w:rsidR="008407DF" w:rsidRPr="002769AF" w:rsidRDefault="008407DF" w:rsidP="00190383">
      <w:pPr>
        <w:spacing w:line="360" w:lineRule="auto"/>
        <w:jc w:val="both"/>
        <w:rPr>
          <w:rFonts w:ascii="Arial" w:hAnsi="Arial" w:cs="Arial"/>
        </w:rPr>
      </w:pPr>
    </w:p>
    <w:p w14:paraId="5F4C3B3A" w14:textId="10E887F6" w:rsidR="002769AF" w:rsidRPr="002769AF" w:rsidRDefault="002769AF" w:rsidP="00D037D9">
      <w:pPr>
        <w:pStyle w:val="Heading1"/>
      </w:pPr>
      <w:bookmarkStart w:id="37" w:name="_Toc235135121"/>
      <w:r w:rsidRPr="002769AF">
        <w:t>Competitive Rivalry – Very High</w:t>
      </w:r>
      <w:bookmarkEnd w:id="37"/>
    </w:p>
    <w:p w14:paraId="3C63CD44" w14:textId="77777777" w:rsidR="00C24926" w:rsidRDefault="002769AF" w:rsidP="00C24926">
      <w:pPr>
        <w:spacing w:line="360" w:lineRule="auto"/>
        <w:jc w:val="both"/>
        <w:rPr>
          <w:rFonts w:ascii="Arial" w:hAnsi="Arial" w:cs="Arial"/>
        </w:rPr>
      </w:pPr>
      <w:r w:rsidRPr="002769AF">
        <w:rPr>
          <w:rFonts w:ascii="Arial" w:hAnsi="Arial" w:cs="Arial"/>
        </w:rPr>
        <w:t>The global skincare industry is characterised by intense competition among multinational companies such as Unilever, L'Oréal, Johnson &amp; Johnson, Procter &amp; Gamble, and numerous regional brands. Competitors invest heavily in innovation, digital marketing, sustainability, and product development. Under these conditions, competing primarily on price would be difficult to sustain. Differentiation enables Nivea to compete on perceived value rather than cost, reducing direct price competition and strengthening long-term profitability.</w:t>
      </w:r>
    </w:p>
    <w:p w14:paraId="4077CABA" w14:textId="77777777" w:rsidR="00AC7AC3" w:rsidRDefault="00AC7AC3" w:rsidP="00C24926">
      <w:pPr>
        <w:spacing w:line="360" w:lineRule="auto"/>
        <w:jc w:val="both"/>
        <w:rPr>
          <w:rFonts w:ascii="Arial" w:hAnsi="Arial" w:cs="Arial"/>
        </w:rPr>
      </w:pPr>
    </w:p>
    <w:p w14:paraId="56D41B6B" w14:textId="5FB84CB6" w:rsidR="002769AF" w:rsidRPr="00C24926" w:rsidRDefault="002769AF" w:rsidP="00D037D9">
      <w:pPr>
        <w:pStyle w:val="Heading1"/>
      </w:pPr>
      <w:bookmarkStart w:id="38" w:name="_Toc235135122"/>
      <w:r w:rsidRPr="00C24926">
        <w:t>Why Differentiation is the Most Appropriate Strategy</w:t>
      </w:r>
      <w:bookmarkEnd w:id="38"/>
    </w:p>
    <w:p w14:paraId="625E60C6" w14:textId="77777777" w:rsidR="00D80707" w:rsidRPr="00D80707" w:rsidRDefault="00D80707" w:rsidP="00D80707">
      <w:pPr>
        <w:spacing w:line="360" w:lineRule="auto"/>
        <w:jc w:val="both"/>
        <w:rPr>
          <w:rFonts w:ascii="Arial" w:hAnsi="Arial" w:cs="Arial"/>
        </w:rPr>
      </w:pPr>
      <w:r w:rsidRPr="00D80707">
        <w:rPr>
          <w:rFonts w:ascii="Arial" w:hAnsi="Arial" w:cs="Arial"/>
        </w:rPr>
        <w:t>A differentiation strategy is the most appropriate business-level strategy for Nivea Creme because it enables the brand to create superior customer value while maintaining a sustainable competitive advantage in the highly competitive global skincare industry. Differentiation involves offering products that customers perceive as unique, allowing firms to compete on quality, innovation, and brand value rather than on price alone (Sharp, Dawes, 2001). For Nivea, this strategy aligns closely with its long-established brand reputation, scientific expertise, product quality, and commitment to sustainability.</w:t>
      </w:r>
    </w:p>
    <w:p w14:paraId="59B37940" w14:textId="77777777" w:rsidR="00D80707" w:rsidRPr="00D80707" w:rsidRDefault="00D80707" w:rsidP="00D80707">
      <w:pPr>
        <w:spacing w:line="360" w:lineRule="auto"/>
        <w:jc w:val="both"/>
        <w:rPr>
          <w:rFonts w:ascii="Arial" w:hAnsi="Arial" w:cs="Arial"/>
        </w:rPr>
      </w:pPr>
      <w:r w:rsidRPr="00D80707">
        <w:rPr>
          <w:rFonts w:ascii="Arial" w:hAnsi="Arial" w:cs="Arial"/>
        </w:rPr>
        <w:t>One of Nivea's greatest competitive strengths is its brand equity. With more than 110 years of heritage, Nivea has built a reputation for producing safe, reliable, and effective skincare products. This long-standing consumer trust has resulted in strong brand loyalty, making customers less likely to switch to competitors despite the availability of lower-priced alternatives. Unlike product formulations, which competitors can imitate, brand reputation is an intangible resource that has been developed over decades and therefore represents a significant barrier to imitation.</w:t>
      </w:r>
    </w:p>
    <w:p w14:paraId="553F669D" w14:textId="77777777" w:rsidR="00D80707" w:rsidRPr="00D80707" w:rsidRDefault="00D80707" w:rsidP="00D80707">
      <w:pPr>
        <w:spacing w:line="360" w:lineRule="auto"/>
        <w:jc w:val="both"/>
        <w:rPr>
          <w:rFonts w:ascii="Arial" w:hAnsi="Arial" w:cs="Arial"/>
        </w:rPr>
      </w:pPr>
      <w:r w:rsidRPr="00D80707">
        <w:rPr>
          <w:rFonts w:ascii="Arial" w:hAnsi="Arial" w:cs="Arial"/>
        </w:rPr>
        <w:lastRenderedPageBreak/>
        <w:t>Another key factor supporting differentiation is continuous innovation. Beiersdorf invests heavily in research and development to improve product formulations, develop dermatologically tested skincare products, and introduce more sustainable packaging solutions (Ray, 2013). These innovations enable Nivea to respond to evolving consumer preferences, particularly the increasing demand for environmentally responsible, scientifically proven, and skin-friendly products. Continuous innovation also helps maintain the brand's relevance in a rapidly changing market where consumer expectations are constantly evolving.</w:t>
      </w:r>
    </w:p>
    <w:p w14:paraId="7C50711E" w14:textId="77777777" w:rsidR="00D80707" w:rsidRPr="00D80707" w:rsidRDefault="00D80707" w:rsidP="00D80707">
      <w:pPr>
        <w:spacing w:line="360" w:lineRule="auto"/>
        <w:jc w:val="both"/>
        <w:rPr>
          <w:rFonts w:ascii="Arial" w:hAnsi="Arial" w:cs="Arial"/>
        </w:rPr>
      </w:pPr>
      <w:r w:rsidRPr="00D80707">
        <w:rPr>
          <w:rFonts w:ascii="Arial" w:hAnsi="Arial" w:cs="Arial"/>
        </w:rPr>
        <w:t>The recommendation is further supported by the VRIO Framework, which identifies Nivea's brand reputation, scientific expertise, and customer trust as valuable, rare, difficult to imitate, and effectively organised resources. These capabilities provide a sustained competitive advantage because they cannot be easily replicated by competitors. In contrast, operational capabilities such as manufacturing efficiency and distribution networks, while important, are widely shared across the cosmetics industry and therefore provide only competitive parity.</w:t>
      </w:r>
    </w:p>
    <w:p w14:paraId="3510952B" w14:textId="77777777" w:rsidR="00D80707" w:rsidRPr="00D80707" w:rsidRDefault="00D80707" w:rsidP="00D80707">
      <w:pPr>
        <w:spacing w:line="360" w:lineRule="auto"/>
        <w:jc w:val="both"/>
        <w:rPr>
          <w:rFonts w:ascii="Arial" w:hAnsi="Arial" w:cs="Arial"/>
        </w:rPr>
      </w:pPr>
      <w:r w:rsidRPr="00D80707">
        <w:rPr>
          <w:rFonts w:ascii="Arial" w:hAnsi="Arial" w:cs="Arial"/>
        </w:rPr>
        <w:t>Porter's Five Forces also reinforce the case for differentiation. The skincare market is characterised by intense competitive rivalry, high buyer bargaining power, and numerous substitute products. Under these conditions, competing primarily through cost leadership would expose Nivea to price wars and declining profit margins. By differentiating through trusted quality, innovation, scientific credibility, and sustainability, Nivea reduces customer price sensitivity and strengthens brand loyalty.</w:t>
      </w:r>
    </w:p>
    <w:p w14:paraId="2E961A0F" w14:textId="52AB0F9B" w:rsidR="0081074D" w:rsidRDefault="00D80707" w:rsidP="00D80707">
      <w:pPr>
        <w:spacing w:line="360" w:lineRule="auto"/>
        <w:jc w:val="both"/>
        <w:rPr>
          <w:rFonts w:ascii="Arial" w:hAnsi="Arial" w:cs="Arial"/>
        </w:rPr>
      </w:pPr>
      <w:r w:rsidRPr="00D80707">
        <w:rPr>
          <w:rFonts w:ascii="Arial" w:hAnsi="Arial" w:cs="Arial"/>
        </w:rPr>
        <w:t>Overall, differentiation enables Nivea Creme to leverage its unique resources, respond effectively to changing consumer expectations, and maintain a strong market position. Supported by continuous innovation, sustainability initiatives, and its globally recognised brand, this strategy provides the strongest foundation for achieving long-term competitive advantage and sustainable business growth</w:t>
      </w:r>
      <w:r w:rsidR="009C24DB" w:rsidRPr="009C24DB">
        <w:rPr>
          <w:rFonts w:ascii="Arial" w:hAnsi="Arial" w:cs="Arial"/>
        </w:rPr>
        <w:t>.</w:t>
      </w:r>
    </w:p>
    <w:p w14:paraId="473D0BF3" w14:textId="77777777" w:rsidR="00AC7AC3" w:rsidRPr="00D0361A" w:rsidRDefault="00AC7AC3" w:rsidP="00D80707">
      <w:pPr>
        <w:spacing w:line="360" w:lineRule="auto"/>
        <w:jc w:val="both"/>
        <w:rPr>
          <w:rFonts w:ascii="Arial" w:hAnsi="Arial" w:cs="Arial"/>
        </w:rPr>
      </w:pPr>
    </w:p>
    <w:p w14:paraId="3C0AF964" w14:textId="1CF33A64" w:rsidR="00D0361A" w:rsidRPr="008B52E9" w:rsidRDefault="00D0361A" w:rsidP="00D037D9">
      <w:pPr>
        <w:pStyle w:val="Heading1"/>
      </w:pPr>
      <w:bookmarkStart w:id="39" w:name="_Toc235135123"/>
      <w:r w:rsidRPr="008B52E9">
        <w:t>Real-World Evidence Supporting the Strategy</w:t>
      </w:r>
      <w:bookmarkEnd w:id="39"/>
    </w:p>
    <w:p w14:paraId="194FDA5A" w14:textId="1A4E6B69" w:rsidR="00D0361A" w:rsidRPr="00D0361A" w:rsidRDefault="00D0361A" w:rsidP="00BE60B9">
      <w:pPr>
        <w:spacing w:line="360" w:lineRule="auto"/>
        <w:jc w:val="both"/>
        <w:rPr>
          <w:rFonts w:ascii="Arial" w:hAnsi="Arial" w:cs="Arial"/>
        </w:rPr>
      </w:pPr>
      <w:r w:rsidRPr="00D0361A">
        <w:rPr>
          <w:rFonts w:ascii="Arial" w:hAnsi="Arial" w:cs="Arial"/>
        </w:rPr>
        <w:t>Beiersdorf has consistently invested in dermatological research, sustainable product development, and digital transformation to strengthen Nivea's market position</w:t>
      </w:r>
      <w:r w:rsidR="00E23183" w:rsidRPr="00E23183">
        <w:t xml:space="preserve"> </w:t>
      </w:r>
      <w:r w:rsidR="005632A1">
        <w:t>(</w:t>
      </w:r>
      <w:r w:rsidR="00E23183" w:rsidRPr="00E23183">
        <w:rPr>
          <w:rFonts w:ascii="Arial" w:hAnsi="Arial" w:cs="Arial"/>
        </w:rPr>
        <w:t>Prange,</w:t>
      </w:r>
      <w:r w:rsidR="005632A1">
        <w:rPr>
          <w:rFonts w:ascii="Arial" w:hAnsi="Arial" w:cs="Arial"/>
        </w:rPr>
        <w:t xml:space="preserve"> </w:t>
      </w:r>
      <w:r w:rsidR="00E23183" w:rsidRPr="00E23183">
        <w:rPr>
          <w:rFonts w:ascii="Arial" w:hAnsi="Arial" w:cs="Arial"/>
        </w:rPr>
        <w:t>Schlegelmilch, 2018)</w:t>
      </w:r>
      <w:r w:rsidRPr="00D0361A">
        <w:rPr>
          <w:rFonts w:ascii="Arial" w:hAnsi="Arial" w:cs="Arial"/>
        </w:rPr>
        <w:t xml:space="preserve">. Recent innovations include improvements in </w:t>
      </w:r>
      <w:r w:rsidRPr="00D0361A">
        <w:rPr>
          <w:rFonts w:ascii="Arial" w:hAnsi="Arial" w:cs="Arial"/>
        </w:rPr>
        <w:lastRenderedPageBreak/>
        <w:t>recyclable packaging, greater use of renewable materials, and increased investment in climate-neutral manufacturing processes. The company has also expanded digital marketing and e-commerce capabilities to improve customer engagement and respond to changing purchasing behaviours.</w:t>
      </w:r>
    </w:p>
    <w:p w14:paraId="6272025F" w14:textId="277860F9" w:rsidR="00B407EA" w:rsidRDefault="00D0361A" w:rsidP="00BE60B9">
      <w:pPr>
        <w:spacing w:line="360" w:lineRule="auto"/>
        <w:jc w:val="both"/>
        <w:rPr>
          <w:rFonts w:ascii="Arial" w:hAnsi="Arial" w:cs="Arial"/>
        </w:rPr>
      </w:pPr>
      <w:r w:rsidRPr="00D0361A">
        <w:rPr>
          <w:rFonts w:ascii="Arial" w:hAnsi="Arial" w:cs="Arial"/>
        </w:rPr>
        <w:t>These initiatives demonstrate that Nivea competes successfully by delivering superior value rather than engaging solely in price competition. Similar strategies have been adopted by premium skincare brands such as La Roche-Posay and CeraVe, which compete through scientific credibility, product quality, and consumer trust rather than low pricing.</w:t>
      </w:r>
    </w:p>
    <w:p w14:paraId="32DC71F8" w14:textId="77777777" w:rsidR="008407DF" w:rsidRDefault="008407DF" w:rsidP="00190383">
      <w:pPr>
        <w:spacing w:line="360" w:lineRule="auto"/>
        <w:jc w:val="both"/>
        <w:rPr>
          <w:rFonts w:ascii="Arial" w:hAnsi="Arial" w:cs="Arial"/>
        </w:rPr>
      </w:pPr>
    </w:p>
    <w:p w14:paraId="63AA6D7E" w14:textId="392E8CBB" w:rsidR="0094317B" w:rsidRPr="0094317B" w:rsidRDefault="0094317B" w:rsidP="00D037D9">
      <w:pPr>
        <w:pStyle w:val="Heading1"/>
      </w:pPr>
      <w:bookmarkStart w:id="40" w:name="_Toc235135124"/>
      <w:r w:rsidRPr="0094317B">
        <w:t>Potential Implementation Challenges and Mitigation Strategies</w:t>
      </w:r>
      <w:bookmarkEnd w:id="40"/>
    </w:p>
    <w:p w14:paraId="125F7514" w14:textId="1C21FAD5" w:rsidR="0094317B" w:rsidRPr="0094317B" w:rsidRDefault="0094317B" w:rsidP="00190383">
      <w:pPr>
        <w:spacing w:line="360" w:lineRule="auto"/>
        <w:jc w:val="both"/>
        <w:rPr>
          <w:rFonts w:ascii="Arial" w:hAnsi="Arial" w:cs="Arial"/>
        </w:rPr>
      </w:pPr>
      <w:r w:rsidRPr="0094317B">
        <w:rPr>
          <w:rFonts w:ascii="Arial" w:hAnsi="Arial" w:cs="Arial"/>
        </w:rPr>
        <w:t>Despite its advantages, implementing a differentiation strategy presents several challenges.</w:t>
      </w:r>
    </w:p>
    <w:p w14:paraId="09BF543D" w14:textId="731B4CB1" w:rsidR="0094317B" w:rsidRDefault="0094317B" w:rsidP="00190383">
      <w:pPr>
        <w:spacing w:line="360" w:lineRule="auto"/>
        <w:jc w:val="both"/>
        <w:rPr>
          <w:rFonts w:ascii="Arial" w:hAnsi="Arial" w:cs="Arial"/>
        </w:rPr>
      </w:pPr>
      <w:r w:rsidRPr="0094317B">
        <w:rPr>
          <w:rFonts w:ascii="Arial" w:hAnsi="Arial" w:cs="Arial"/>
        </w:rPr>
        <w:t>Rising innovation and sustainability costs may reduce short-term profitability because investments in research, environmentally friendly packaging, and renewable energy require significant financial resources. To address this challenge, Beiersdorf should continue improving operational efficiency, increase manufacturing automation, and prioritise high-impact sustainability projects that deliver both environmental and financial benefits.</w:t>
      </w:r>
    </w:p>
    <w:p w14:paraId="5845A967" w14:textId="6195F54A" w:rsidR="008B52E9" w:rsidRPr="008B52E9" w:rsidRDefault="008B52E9" w:rsidP="00190383">
      <w:pPr>
        <w:spacing w:line="360" w:lineRule="auto"/>
        <w:jc w:val="both"/>
        <w:rPr>
          <w:rFonts w:ascii="Arial" w:hAnsi="Arial" w:cs="Arial"/>
        </w:rPr>
      </w:pPr>
      <w:r w:rsidRPr="008B52E9">
        <w:rPr>
          <w:rFonts w:ascii="Arial" w:hAnsi="Arial" w:cs="Arial"/>
        </w:rPr>
        <w:t>Rapidly changing consumer preferences require continuous product innovation. Growing demand for natural ingredients, personalised skincare, and digital customer experiences increases pressure on product development. The company should strengthen consumer research, utilise data analytics to identify emerging trends, and accelerate research and development cycles.</w:t>
      </w:r>
    </w:p>
    <w:p w14:paraId="7C1F9AD5" w14:textId="730356CA" w:rsidR="008B52E9" w:rsidRPr="008B52E9" w:rsidRDefault="008B52E9" w:rsidP="00190383">
      <w:pPr>
        <w:spacing w:line="360" w:lineRule="auto"/>
        <w:jc w:val="both"/>
        <w:rPr>
          <w:rFonts w:ascii="Arial" w:hAnsi="Arial" w:cs="Arial"/>
        </w:rPr>
      </w:pPr>
      <w:r w:rsidRPr="008B52E9">
        <w:rPr>
          <w:rFonts w:ascii="Arial" w:hAnsi="Arial" w:cs="Arial"/>
        </w:rPr>
        <w:t>Intense global competition remains another significant challenge. Competitors continually introduce innovative products and invest heavily in marketing. Nivea should reinforce its competitive position by leveraging its strong brand heritage, expanding digital engagement, and further differentiating through scientific research and sustainability leadership</w:t>
      </w:r>
      <w:r>
        <w:rPr>
          <w:rFonts w:ascii="Arial" w:hAnsi="Arial" w:cs="Arial"/>
        </w:rPr>
        <w:t>.</w:t>
      </w:r>
    </w:p>
    <w:p w14:paraId="54FAED53" w14:textId="1AD301EE" w:rsidR="008B52E9" w:rsidRPr="008B52E9" w:rsidRDefault="008B52E9" w:rsidP="00190383">
      <w:pPr>
        <w:spacing w:line="360" w:lineRule="auto"/>
        <w:jc w:val="both"/>
        <w:rPr>
          <w:rFonts w:ascii="Arial" w:hAnsi="Arial" w:cs="Arial"/>
        </w:rPr>
      </w:pPr>
      <w:r w:rsidRPr="008B52E9">
        <w:rPr>
          <w:rFonts w:ascii="Arial" w:hAnsi="Arial" w:cs="Arial"/>
        </w:rPr>
        <w:lastRenderedPageBreak/>
        <w:t>Supply chain disruptions caused by geopolitical uncertainty, climate change, or raw material shortages may affect production efficiency. Diversifying suppliers, strengthening strategic partnerships, increasing local sourcing where appropriate, and investing in digital supply chain monitoring can improve resilience.</w:t>
      </w:r>
    </w:p>
    <w:p w14:paraId="4CDCAA4E" w14:textId="396F5E6C" w:rsidR="0094317B" w:rsidRDefault="008B52E9" w:rsidP="00190383">
      <w:pPr>
        <w:spacing w:line="360" w:lineRule="auto"/>
        <w:jc w:val="both"/>
        <w:rPr>
          <w:rFonts w:ascii="Arial" w:hAnsi="Arial" w:cs="Arial"/>
        </w:rPr>
      </w:pPr>
      <w:r w:rsidRPr="008B52E9">
        <w:rPr>
          <w:rFonts w:ascii="Arial" w:hAnsi="Arial" w:cs="Arial"/>
        </w:rPr>
        <w:t>Finally, maintaining global brand consistency while adapting to local markets requires careful strategic management. Although Nivea benefits from a globally recognised brand, consumer preferences vary across countries. Adopting a "global strategy with local adaptation" enables the company to maintain brand identity while tailoring products, marketing campaigns, and communication to regional consumer needs.</w:t>
      </w:r>
    </w:p>
    <w:p w14:paraId="6777852C" w14:textId="77777777" w:rsidR="008407DF" w:rsidRPr="005A1BE6" w:rsidRDefault="008407DF" w:rsidP="00190383">
      <w:pPr>
        <w:spacing w:line="360" w:lineRule="auto"/>
        <w:jc w:val="both"/>
        <w:rPr>
          <w:rFonts w:ascii="Arial" w:hAnsi="Arial" w:cs="Arial"/>
        </w:rPr>
      </w:pPr>
    </w:p>
    <w:p w14:paraId="04FD945F" w14:textId="5D0DDD5F" w:rsidR="00AD50DC" w:rsidRPr="00D3610D" w:rsidRDefault="00CF4040" w:rsidP="00D037D9">
      <w:pPr>
        <w:pStyle w:val="Heading1"/>
      </w:pPr>
      <w:bookmarkStart w:id="41" w:name="_Toc235135125"/>
      <w:r w:rsidRPr="00CF4040">
        <w:t>REFLECTIVE ACCOUNT USING GIBBS' REFLECTIVE CYCLE</w:t>
      </w:r>
      <w:bookmarkEnd w:id="41"/>
    </w:p>
    <w:p w14:paraId="06CB152E" w14:textId="22864FFD" w:rsidR="007F7F35" w:rsidRDefault="007F7F35" w:rsidP="00455CB9">
      <w:pPr>
        <w:spacing w:line="360" w:lineRule="auto"/>
        <w:jc w:val="both"/>
        <w:rPr>
          <w:rFonts w:ascii="Arial" w:hAnsi="Arial" w:cs="Arial"/>
          <w:b/>
          <w:bCs/>
        </w:rPr>
      </w:pPr>
      <w:r>
        <w:rPr>
          <w:rFonts w:ascii="Arial" w:hAnsi="Arial" w:cs="Arial"/>
          <w:b/>
          <w:bCs/>
          <w:noProof/>
        </w:rPr>
        <w:drawing>
          <wp:anchor distT="0" distB="0" distL="114300" distR="114300" simplePos="0" relativeHeight="251664384" behindDoc="0" locked="0" layoutInCell="1" allowOverlap="1" wp14:anchorId="5BD48260" wp14:editId="6B8A3AED">
            <wp:simplePos x="0" y="0"/>
            <wp:positionH relativeFrom="margin">
              <wp:posOffset>1071954</wp:posOffset>
            </wp:positionH>
            <wp:positionV relativeFrom="paragraph">
              <wp:posOffset>445046</wp:posOffset>
            </wp:positionV>
            <wp:extent cx="3157870" cy="2369249"/>
            <wp:effectExtent l="0" t="0" r="4445" b="0"/>
            <wp:wrapTopAndBottom/>
            <wp:docPr id="20984147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7870" cy="2369249"/>
                    </a:xfrm>
                    <a:prstGeom prst="rect">
                      <a:avLst/>
                    </a:prstGeom>
                    <a:noFill/>
                  </pic:spPr>
                </pic:pic>
              </a:graphicData>
            </a:graphic>
            <wp14:sizeRelH relativeFrom="page">
              <wp14:pctWidth>0</wp14:pctWidth>
            </wp14:sizeRelH>
            <wp14:sizeRelV relativeFrom="page">
              <wp14:pctHeight>0</wp14:pctHeight>
            </wp14:sizeRelV>
          </wp:anchor>
        </w:drawing>
      </w:r>
    </w:p>
    <w:p w14:paraId="4B295BEA" w14:textId="44DC52C1" w:rsidR="007F7F35" w:rsidRDefault="007F7F35" w:rsidP="00455CB9">
      <w:pPr>
        <w:spacing w:line="360" w:lineRule="auto"/>
        <w:jc w:val="both"/>
        <w:rPr>
          <w:rFonts w:ascii="Arial" w:hAnsi="Arial" w:cs="Arial"/>
          <w:b/>
          <w:bCs/>
        </w:rPr>
      </w:pPr>
    </w:p>
    <w:p w14:paraId="52656E48" w14:textId="7D899782" w:rsidR="00455CB9" w:rsidRPr="00871477" w:rsidRDefault="00455CB9" w:rsidP="00D037D9">
      <w:pPr>
        <w:pStyle w:val="Heading1"/>
      </w:pPr>
      <w:bookmarkStart w:id="42" w:name="_Toc235135126"/>
      <w:r w:rsidRPr="00F30E26">
        <w:t>Description</w:t>
      </w:r>
      <w:bookmarkEnd w:id="42"/>
    </w:p>
    <w:p w14:paraId="01714331" w14:textId="0EC676BB" w:rsidR="00B442A3" w:rsidRPr="00B442A3" w:rsidRDefault="00B442A3" w:rsidP="00BE60B9">
      <w:pPr>
        <w:spacing w:line="360" w:lineRule="auto"/>
        <w:jc w:val="both"/>
        <w:rPr>
          <w:rFonts w:ascii="Arial" w:hAnsi="Arial" w:cs="Arial"/>
        </w:rPr>
      </w:pPr>
      <w:r w:rsidRPr="00B442A3">
        <w:rPr>
          <w:rFonts w:ascii="Arial" w:hAnsi="Arial" w:cs="Arial"/>
        </w:rPr>
        <w:t>This assignment required me to carry out a strategic analysis of Nivea Creme by applying a range of strategic management theories and frameworks. Throughout the report, I examined the company's external and internal environments using tools such as PESTLE analysis, Porter's Five Forces, the VRIO Framework, Value Chain Analysis, the Balanced Scorecard, and Porter's Generic Strategies. I also evaluated Beiersdorf's Corporate Social Responsibility (CSR) strategy and recommended the most appropriate business-level strategy for Nivea Creme.</w:t>
      </w:r>
    </w:p>
    <w:p w14:paraId="46152DB4" w14:textId="712B6A97" w:rsidR="00A44F65" w:rsidRDefault="00B442A3" w:rsidP="00BE60B9">
      <w:pPr>
        <w:spacing w:line="360" w:lineRule="auto"/>
        <w:jc w:val="both"/>
        <w:rPr>
          <w:rFonts w:ascii="Arial" w:hAnsi="Arial" w:cs="Arial"/>
        </w:rPr>
      </w:pPr>
      <w:r w:rsidRPr="00B442A3">
        <w:rPr>
          <w:rFonts w:ascii="Arial" w:hAnsi="Arial" w:cs="Arial"/>
        </w:rPr>
        <w:lastRenderedPageBreak/>
        <w:t>To complete the report, I gathered information from a variety of sources, including academic books, journal articles, Beiersdorf's annual and sustainability reports, and other reliable business publications. I then analysed the information and linked it to the relevant strategic management theories to develop evidence-based conclusions and recommendations.</w:t>
      </w:r>
    </w:p>
    <w:p w14:paraId="43261AB7" w14:textId="77777777" w:rsidR="00AC7AC3" w:rsidRPr="00A44F65" w:rsidRDefault="00AC7AC3" w:rsidP="00BE60B9">
      <w:pPr>
        <w:spacing w:line="360" w:lineRule="auto"/>
        <w:jc w:val="both"/>
        <w:rPr>
          <w:rFonts w:ascii="Arial" w:hAnsi="Arial" w:cs="Arial"/>
        </w:rPr>
      </w:pPr>
    </w:p>
    <w:p w14:paraId="2CFD96FE" w14:textId="799CC5C7" w:rsidR="00A44F65" w:rsidRPr="00871477" w:rsidRDefault="00A44F65" w:rsidP="00D037D9">
      <w:pPr>
        <w:pStyle w:val="Heading1"/>
      </w:pPr>
      <w:bookmarkStart w:id="43" w:name="_Toc235135127"/>
      <w:r w:rsidRPr="00871477">
        <w:t>Feelings</w:t>
      </w:r>
      <w:bookmarkEnd w:id="43"/>
    </w:p>
    <w:p w14:paraId="18527FFB" w14:textId="11E7280A" w:rsidR="00B442A3" w:rsidRPr="00B442A3" w:rsidRDefault="00B442A3" w:rsidP="00B442A3">
      <w:pPr>
        <w:spacing w:line="360" w:lineRule="auto"/>
        <w:jc w:val="both"/>
        <w:rPr>
          <w:rFonts w:ascii="Arial" w:hAnsi="Arial" w:cs="Arial"/>
        </w:rPr>
      </w:pPr>
      <w:r w:rsidRPr="00B442A3">
        <w:rPr>
          <w:rFonts w:ascii="Arial" w:hAnsi="Arial" w:cs="Arial"/>
        </w:rPr>
        <w:t>When I first started the assignment, I felt quite confident about the individual strategic models because I had studied them during the module. However, I soon realised that understanding a framework and applying it effectively to a real organisation are two very different things. At times, I felt overwhelmed by the amount of information available and found it difficult to decide which points were most relevant to include.</w:t>
      </w:r>
    </w:p>
    <w:p w14:paraId="4EB4BA58" w14:textId="30046E0A" w:rsidR="00AD50DC" w:rsidRDefault="00B442A3" w:rsidP="00B442A3">
      <w:pPr>
        <w:spacing w:line="360" w:lineRule="auto"/>
        <w:jc w:val="both"/>
        <w:rPr>
          <w:rFonts w:ascii="Arial" w:hAnsi="Arial" w:cs="Arial"/>
        </w:rPr>
      </w:pPr>
      <w:r w:rsidRPr="00B442A3">
        <w:rPr>
          <w:rFonts w:ascii="Arial" w:hAnsi="Arial" w:cs="Arial"/>
        </w:rPr>
        <w:t>One of my biggest concerns was ensuring that the report was analytical rather than descriptive. I often found myself explaining what Nivea was doing instead of critically evaluating why those actions were strategically important. As I continued researching and revising my work, I became more confident in linking theory with practice. Seeing how different strategic frameworks complemented each other also made the report more meaningful and enjoyable to complete.</w:t>
      </w:r>
    </w:p>
    <w:p w14:paraId="667698CB" w14:textId="77777777" w:rsidR="00AC7AC3" w:rsidRDefault="00AC7AC3" w:rsidP="00B442A3">
      <w:pPr>
        <w:spacing w:line="360" w:lineRule="auto"/>
        <w:jc w:val="both"/>
        <w:rPr>
          <w:rFonts w:ascii="Arial" w:hAnsi="Arial" w:cs="Arial"/>
        </w:rPr>
      </w:pPr>
    </w:p>
    <w:p w14:paraId="29D361D8" w14:textId="065DB2E4" w:rsidR="00C91E08" w:rsidRPr="00F30E26" w:rsidRDefault="00C91E08" w:rsidP="00D037D9">
      <w:pPr>
        <w:pStyle w:val="Heading1"/>
      </w:pPr>
      <w:bookmarkStart w:id="44" w:name="_Toc235135128"/>
      <w:r w:rsidRPr="00F30E26">
        <w:t>Evaluation</w:t>
      </w:r>
      <w:bookmarkEnd w:id="44"/>
    </w:p>
    <w:p w14:paraId="4590619B" w14:textId="19E2BD43" w:rsidR="00FD4D94" w:rsidRPr="00FD4D94" w:rsidRDefault="00FD4D94" w:rsidP="00BE60B9">
      <w:pPr>
        <w:suppressAutoHyphens w:val="0"/>
        <w:autoSpaceDN/>
        <w:spacing w:line="360" w:lineRule="auto"/>
        <w:jc w:val="both"/>
        <w:rPr>
          <w:rFonts w:ascii="Arial" w:hAnsi="Arial" w:cs="Arial"/>
        </w:rPr>
      </w:pPr>
      <w:r w:rsidRPr="00FD4D94">
        <w:rPr>
          <w:rFonts w:ascii="Arial" w:hAnsi="Arial" w:cs="Arial"/>
        </w:rPr>
        <w:t>Looking back, I believe there were several aspects of the assignment that went well. I was able to use a wide range of academic sources and company reports to support my analysis, which strengthened the credibility of my arguments. I also found that using several strategic frameworks helped me develop a more balanced understanding of Nivea Creme's competitive position instead of relying on a single model.</w:t>
      </w:r>
    </w:p>
    <w:p w14:paraId="670DB140" w14:textId="02551E61" w:rsidR="00FD4D94" w:rsidRPr="00FD4D94" w:rsidRDefault="00FD4D94" w:rsidP="00BE60B9">
      <w:pPr>
        <w:suppressAutoHyphens w:val="0"/>
        <w:autoSpaceDN/>
        <w:spacing w:line="360" w:lineRule="auto"/>
        <w:jc w:val="both"/>
        <w:rPr>
          <w:rFonts w:ascii="Arial" w:hAnsi="Arial" w:cs="Arial"/>
        </w:rPr>
      </w:pPr>
      <w:r w:rsidRPr="00FD4D94">
        <w:rPr>
          <w:rFonts w:ascii="Arial" w:hAnsi="Arial" w:cs="Arial"/>
        </w:rPr>
        <w:t xml:space="preserve">Another positive aspect was recognising the connections between the different theories. For example, the strengths identified in the VRIO Framework helped justify why differentiation was the most suitable business strategy, while Porter's Five Forces explained the competitive pressures that made this strategy necessary. The Balanced </w:t>
      </w:r>
      <w:r w:rsidRPr="00FD4D94">
        <w:rPr>
          <w:rFonts w:ascii="Arial" w:hAnsi="Arial" w:cs="Arial"/>
        </w:rPr>
        <w:lastRenderedPageBreak/>
        <w:t>Scorecard then showed how the recommended strategy could be translated into measurable organisational performance.</w:t>
      </w:r>
    </w:p>
    <w:p w14:paraId="011EC7CF" w14:textId="77777777" w:rsidR="00C24926" w:rsidRDefault="00FD4D94" w:rsidP="00C24926">
      <w:pPr>
        <w:suppressAutoHyphens w:val="0"/>
        <w:autoSpaceDN/>
        <w:spacing w:line="360" w:lineRule="auto"/>
        <w:jc w:val="both"/>
        <w:rPr>
          <w:rFonts w:ascii="Arial" w:hAnsi="Arial" w:cs="Arial"/>
        </w:rPr>
      </w:pPr>
      <w:r w:rsidRPr="00FD4D94">
        <w:rPr>
          <w:rFonts w:ascii="Arial" w:hAnsi="Arial" w:cs="Arial"/>
        </w:rPr>
        <w:t>Despite these positives, there were also challenges. Some of the frameworks covered similar issues, and I found it difficult to avoid repeating the same points in different sections of the report. I also realised that not all online information was equally reliable, so I had to spend time checking company reports and academic sources to ensure that my evidence was accurate and up to date.</w:t>
      </w:r>
    </w:p>
    <w:p w14:paraId="6BBCDE88" w14:textId="77777777" w:rsidR="00C24926" w:rsidRDefault="00C24926" w:rsidP="00C24926">
      <w:pPr>
        <w:suppressAutoHyphens w:val="0"/>
        <w:autoSpaceDN/>
        <w:spacing w:line="360" w:lineRule="auto"/>
        <w:jc w:val="both"/>
        <w:rPr>
          <w:rFonts w:ascii="Arial" w:hAnsi="Arial" w:cs="Arial"/>
        </w:rPr>
      </w:pPr>
    </w:p>
    <w:p w14:paraId="2ED8E760" w14:textId="1F866008" w:rsidR="00C91E08" w:rsidRPr="00C24926" w:rsidRDefault="00C91E08" w:rsidP="00C24926">
      <w:pPr>
        <w:suppressAutoHyphens w:val="0"/>
        <w:autoSpaceDN/>
        <w:spacing w:after="0" w:line="360" w:lineRule="auto"/>
        <w:jc w:val="both"/>
        <w:rPr>
          <w:rFonts w:ascii="Arial" w:hAnsi="Arial" w:cs="Arial"/>
          <w:b/>
          <w:bCs/>
          <w:u w:val="single"/>
        </w:rPr>
      </w:pPr>
      <w:r w:rsidRPr="00C24926">
        <w:rPr>
          <w:rFonts w:ascii="Arial" w:hAnsi="Arial" w:cs="Arial"/>
          <w:b/>
          <w:bCs/>
          <w:u w:val="single"/>
        </w:rPr>
        <w:t>Analysis</w:t>
      </w:r>
    </w:p>
    <w:p w14:paraId="1BB91F2D" w14:textId="57D4BF10" w:rsidR="00E226E5" w:rsidRPr="00E226E5" w:rsidRDefault="00E226E5" w:rsidP="00C24926">
      <w:pPr>
        <w:spacing w:after="0" w:line="360" w:lineRule="auto"/>
        <w:jc w:val="both"/>
        <w:rPr>
          <w:rFonts w:ascii="Arial" w:hAnsi="Arial" w:cs="Arial"/>
        </w:rPr>
      </w:pPr>
      <w:r w:rsidRPr="00E226E5">
        <w:rPr>
          <w:rFonts w:ascii="Arial" w:hAnsi="Arial" w:cs="Arial"/>
        </w:rPr>
        <w:t>Completing this assignment helped me understand that strategic management is not simply about applying theoretical models independently. Instead, effective strategic analysis requires combining different frameworks to build a complete picture of an organisation's situation before making recommendations.</w:t>
      </w:r>
    </w:p>
    <w:p w14:paraId="652DA09A" w14:textId="7103F44A" w:rsidR="00E226E5" w:rsidRPr="00E226E5" w:rsidRDefault="00E226E5" w:rsidP="00E226E5">
      <w:pPr>
        <w:spacing w:line="360" w:lineRule="auto"/>
        <w:jc w:val="both"/>
        <w:rPr>
          <w:rFonts w:ascii="Arial" w:hAnsi="Arial" w:cs="Arial"/>
        </w:rPr>
      </w:pPr>
      <w:r w:rsidRPr="00E226E5">
        <w:rPr>
          <w:rFonts w:ascii="Arial" w:hAnsi="Arial" w:cs="Arial"/>
        </w:rPr>
        <w:t>I also realised the importance of supporting strategic decisions with evidence rather than opinion. For example, recommending a differentiation strategy for Nivea Creme became much stronger when I supported it with findings from the VRIO Framework, Porter's Five Forces, the Balanced Scorecard, and Beiersdorf's sustainability strategy. This made my recommendations more logical and convincing.</w:t>
      </w:r>
    </w:p>
    <w:p w14:paraId="6CCFBD98" w14:textId="22770E59" w:rsidR="00F30E26" w:rsidRDefault="00E226E5" w:rsidP="00E226E5">
      <w:pPr>
        <w:spacing w:line="360" w:lineRule="auto"/>
        <w:jc w:val="both"/>
        <w:rPr>
          <w:rFonts w:ascii="Arial" w:hAnsi="Arial" w:cs="Arial"/>
        </w:rPr>
      </w:pPr>
      <w:r w:rsidRPr="00E226E5">
        <w:rPr>
          <w:rFonts w:ascii="Arial" w:hAnsi="Arial" w:cs="Arial"/>
        </w:rPr>
        <w:t>Another important lesson was the value of critical thinking. Rather than accepting information from one source, I learned to compare different viewpoints, question the evidence, and think more carefully about how theory applies in practice. This helped me move beyond simply describing business activities and towards producing a more critical and balanced analysis.</w:t>
      </w:r>
    </w:p>
    <w:p w14:paraId="66701030" w14:textId="77777777" w:rsidR="00AC7AC3" w:rsidRPr="00E370A9" w:rsidRDefault="00AC7AC3" w:rsidP="00E226E5">
      <w:pPr>
        <w:spacing w:line="360" w:lineRule="auto"/>
        <w:jc w:val="both"/>
        <w:rPr>
          <w:rFonts w:ascii="Arial" w:hAnsi="Arial" w:cs="Arial"/>
        </w:rPr>
      </w:pPr>
    </w:p>
    <w:p w14:paraId="46A4E864" w14:textId="53A47E0A" w:rsidR="007A1E70" w:rsidRPr="00F30E26" w:rsidRDefault="007A1E70" w:rsidP="00D037D9">
      <w:pPr>
        <w:pStyle w:val="Heading1"/>
      </w:pPr>
      <w:bookmarkStart w:id="45" w:name="_Toc235135129"/>
      <w:r w:rsidRPr="00F30E26">
        <w:t>Conclusion</w:t>
      </w:r>
      <w:bookmarkEnd w:id="45"/>
    </w:p>
    <w:p w14:paraId="7AEFDAFE" w14:textId="4051BB43" w:rsidR="00D20851" w:rsidRPr="00D20851" w:rsidRDefault="00D20851" w:rsidP="00BE60B9">
      <w:pPr>
        <w:suppressAutoHyphens w:val="0"/>
        <w:autoSpaceDN/>
        <w:spacing w:line="360" w:lineRule="auto"/>
        <w:jc w:val="both"/>
        <w:rPr>
          <w:rFonts w:ascii="Arial" w:hAnsi="Arial" w:cs="Arial"/>
        </w:rPr>
      </w:pPr>
      <w:r w:rsidRPr="00D20851">
        <w:rPr>
          <w:rFonts w:ascii="Arial" w:hAnsi="Arial" w:cs="Arial"/>
        </w:rPr>
        <w:t xml:space="preserve">Overall, this assignment has significantly improved my understanding of strategic management and how different theories can be applied to analyse a real organisation. It has also strengthened my research, analytical, and academic writing skills. More importantly, it has shown me that successful strategic decision-making depends on </w:t>
      </w:r>
      <w:r w:rsidRPr="00D20851">
        <w:rPr>
          <w:rFonts w:ascii="Arial" w:hAnsi="Arial" w:cs="Arial"/>
        </w:rPr>
        <w:lastRenderedPageBreak/>
        <w:t>considering both internal capabilities and external market conditions rather than focusing on a single aspect of the business.</w:t>
      </w:r>
    </w:p>
    <w:p w14:paraId="55489CB0" w14:textId="5EB142C6" w:rsidR="007A1E70" w:rsidRDefault="00D20851" w:rsidP="00BE60B9">
      <w:pPr>
        <w:suppressAutoHyphens w:val="0"/>
        <w:autoSpaceDN/>
        <w:spacing w:line="360" w:lineRule="auto"/>
        <w:jc w:val="both"/>
        <w:rPr>
          <w:rFonts w:ascii="Arial" w:hAnsi="Arial" w:cs="Arial"/>
        </w:rPr>
      </w:pPr>
      <w:r w:rsidRPr="00D20851">
        <w:rPr>
          <w:rFonts w:ascii="Arial" w:hAnsi="Arial" w:cs="Arial"/>
        </w:rPr>
        <w:t>If I were to complete this report again, I would start my research earlier and spend more time planning the structure before beginning to write. I also think I could strengthen my analysis by comparing Nivea more extensively with its major competitors, which would provide additional evidence to support my conclusions.</w:t>
      </w:r>
    </w:p>
    <w:p w14:paraId="6837379C" w14:textId="77777777" w:rsidR="00AC7AC3" w:rsidRPr="007A1E70" w:rsidRDefault="00AC7AC3" w:rsidP="00BE60B9">
      <w:pPr>
        <w:suppressAutoHyphens w:val="0"/>
        <w:autoSpaceDN/>
        <w:spacing w:line="360" w:lineRule="auto"/>
        <w:jc w:val="both"/>
        <w:rPr>
          <w:rFonts w:ascii="Arial" w:hAnsi="Arial" w:cs="Arial"/>
        </w:rPr>
      </w:pPr>
    </w:p>
    <w:p w14:paraId="42310AC8" w14:textId="1ECF4078" w:rsidR="007A1E70" w:rsidRPr="00F30E26" w:rsidRDefault="007A1E70" w:rsidP="00D037D9">
      <w:pPr>
        <w:pStyle w:val="Heading1"/>
      </w:pPr>
      <w:bookmarkStart w:id="46" w:name="_Toc235135130"/>
      <w:r w:rsidRPr="00F30E26">
        <w:t>Action Plan</w:t>
      </w:r>
      <w:bookmarkEnd w:id="46"/>
    </w:p>
    <w:p w14:paraId="3383C97B" w14:textId="78AE4109" w:rsidR="00BE60B9" w:rsidRPr="00BE60B9" w:rsidRDefault="00BE60B9" w:rsidP="00BE60B9">
      <w:pPr>
        <w:suppressAutoHyphens w:val="0"/>
        <w:autoSpaceDN/>
        <w:spacing w:line="360" w:lineRule="auto"/>
        <w:rPr>
          <w:rFonts w:ascii="Arial" w:hAnsi="Arial" w:cs="Arial"/>
        </w:rPr>
      </w:pPr>
      <w:r w:rsidRPr="00BE60B9">
        <w:rPr>
          <w:rFonts w:ascii="Arial" w:hAnsi="Arial" w:cs="Arial"/>
        </w:rPr>
        <w:t>This experience has helped me identify several areas that I would like to improve in future assignments. Firstly, I want to continue developing my academic research skills by making greater use of peer-reviewed journal articles and industry reports. This will help me produce more evidence-based and critical discussions.</w:t>
      </w:r>
    </w:p>
    <w:p w14:paraId="4AE16F55" w14:textId="071B65A1" w:rsidR="00BE60B9" w:rsidRPr="00BE60B9" w:rsidRDefault="00BE60B9" w:rsidP="00BE60B9">
      <w:pPr>
        <w:suppressAutoHyphens w:val="0"/>
        <w:autoSpaceDN/>
        <w:spacing w:line="360" w:lineRule="auto"/>
        <w:rPr>
          <w:rFonts w:ascii="Arial" w:hAnsi="Arial" w:cs="Arial"/>
        </w:rPr>
      </w:pPr>
      <w:r w:rsidRPr="00BE60B9">
        <w:rPr>
          <w:rFonts w:ascii="Arial" w:hAnsi="Arial" w:cs="Arial"/>
        </w:rPr>
        <w:t>Secondly, I want to improve my ability to write more critically by evaluating different perspectives rather than simply explaining theories or describing organisational practices. I also intend to improve my time management by starting future assignments earlier, allowing more time for reading, reviewing, and editing my work.</w:t>
      </w:r>
    </w:p>
    <w:p w14:paraId="5F99F857" w14:textId="4578E3A6" w:rsidR="00EE4697" w:rsidRDefault="00BE60B9" w:rsidP="00BE60B9">
      <w:pPr>
        <w:suppressAutoHyphens w:val="0"/>
        <w:autoSpaceDN/>
        <w:spacing w:line="360" w:lineRule="auto"/>
        <w:rPr>
          <w:rFonts w:ascii="Arial" w:eastAsiaTheme="majorEastAsia" w:hAnsi="Arial" w:cstheme="majorBidi"/>
          <w:b/>
          <w:color w:val="000000" w:themeColor="text1"/>
          <w:szCs w:val="40"/>
          <w:u w:val="single"/>
        </w:rPr>
      </w:pPr>
      <w:r w:rsidRPr="00BE60B9">
        <w:rPr>
          <w:rFonts w:ascii="Arial" w:hAnsi="Arial" w:cs="Arial"/>
        </w:rPr>
        <w:t>Finally, I plan to continue using reflective practice throughout my studies. Reflecting on both my strengths and areas for improvement has helped me recognise how much I have learned during this assignment and has given me greater confidence in applying strategic management concepts to real business situations. I believe the knowledge and skills I have gained will be valuable not only in future academic work but also in my professional career.</w:t>
      </w:r>
      <w:r w:rsidR="00EE4697">
        <w:br w:type="page"/>
      </w:r>
    </w:p>
    <w:p w14:paraId="6296C5B6" w14:textId="6F0CF82E" w:rsidR="004B64BF" w:rsidRPr="00F24652" w:rsidRDefault="00607158" w:rsidP="00D037D9">
      <w:pPr>
        <w:pStyle w:val="Heading1"/>
      </w:pPr>
      <w:bookmarkStart w:id="47" w:name="_Toc235135131"/>
      <w:r w:rsidRPr="00F24652">
        <w:lastRenderedPageBreak/>
        <w:t>REFERENCES</w:t>
      </w:r>
      <w:bookmarkEnd w:id="47"/>
      <w:r w:rsidRPr="00F24652">
        <w:t xml:space="preserve"> </w:t>
      </w:r>
    </w:p>
    <w:p w14:paraId="5B105C78" w14:textId="65E6B19C" w:rsidR="00E77993" w:rsidRDefault="00E77993" w:rsidP="00E370A9">
      <w:pPr>
        <w:spacing w:line="360" w:lineRule="auto"/>
        <w:rPr>
          <w:rFonts w:ascii="Arial" w:hAnsi="Arial" w:cs="Arial"/>
        </w:rPr>
      </w:pPr>
      <w:r w:rsidRPr="00E77993">
        <w:rPr>
          <w:rFonts w:ascii="Arial" w:hAnsi="Arial" w:cs="Arial"/>
        </w:rPr>
        <w:t xml:space="preserve">Amalancei, B.-M. (2013) “New Trends in Brand Strategies,” </w:t>
      </w:r>
      <w:r w:rsidRPr="00E77993">
        <w:rPr>
          <w:rFonts w:ascii="Arial" w:hAnsi="Arial" w:cs="Arial"/>
          <w:i/>
          <w:iCs/>
        </w:rPr>
        <w:t>Procedia--social and behavioral sciences.</w:t>
      </w:r>
      <w:r w:rsidRPr="00E77993">
        <w:rPr>
          <w:rFonts w:ascii="Arial" w:hAnsi="Arial" w:cs="Arial"/>
        </w:rPr>
        <w:t xml:space="preserve">, 81, pp. 275–279. Available at: </w:t>
      </w:r>
      <w:hyperlink r:id="rId16" w:history="1">
        <w:r w:rsidRPr="00987922">
          <w:rPr>
            <w:rStyle w:val="Hyperlink"/>
            <w:rFonts w:ascii="Arial" w:hAnsi="Arial" w:cs="Arial"/>
          </w:rPr>
          <w:t>https://doi.org/10.1016/j.sbspro.2013.06.427</w:t>
        </w:r>
      </w:hyperlink>
      <w:r w:rsidRPr="00E77993">
        <w:rPr>
          <w:rFonts w:ascii="Arial" w:hAnsi="Arial" w:cs="Arial"/>
        </w:rPr>
        <w:t>.</w:t>
      </w:r>
      <w:r>
        <w:rPr>
          <w:rFonts w:ascii="Arial" w:hAnsi="Arial" w:cs="Arial"/>
        </w:rPr>
        <w:t xml:space="preserve"> Accessed </w:t>
      </w:r>
      <w:r w:rsidR="00DD3187">
        <w:rPr>
          <w:rFonts w:ascii="Arial" w:hAnsi="Arial" w:cs="Arial"/>
        </w:rPr>
        <w:t>30 June 2026</w:t>
      </w:r>
    </w:p>
    <w:p w14:paraId="1691EAB5" w14:textId="400ED62D" w:rsidR="004D2E65" w:rsidRDefault="004D2E65" w:rsidP="004D2E65">
      <w:pPr>
        <w:spacing w:line="360" w:lineRule="auto"/>
        <w:rPr>
          <w:rFonts w:ascii="Arial" w:hAnsi="Arial" w:cs="Arial"/>
        </w:rPr>
      </w:pPr>
      <w:r w:rsidRPr="004D2E65">
        <w:rPr>
          <w:rFonts w:ascii="Arial" w:hAnsi="Arial" w:cs="Arial"/>
        </w:rPr>
        <w:t>Andoga, R. (</w:t>
      </w:r>
      <w:r>
        <w:rPr>
          <w:rFonts w:ascii="Arial" w:hAnsi="Arial" w:cs="Arial"/>
        </w:rPr>
        <w:t>2020</w:t>
      </w:r>
      <w:r w:rsidRPr="004D2E65">
        <w:rPr>
          <w:rFonts w:ascii="Arial" w:hAnsi="Arial" w:cs="Arial"/>
        </w:rPr>
        <w:t xml:space="preserve">) “Learning and Growth Perspective in Balanced Scorecard,” 2020 New Trends in Aviation Development (NTAD) /. Piscataway, New Jersey : IEEE, pp. 126–178. Available at: </w:t>
      </w:r>
      <w:hyperlink r:id="rId17" w:history="1">
        <w:r w:rsidR="000630C9" w:rsidRPr="00F648DE">
          <w:rPr>
            <w:rStyle w:val="Hyperlink"/>
            <w:rFonts w:ascii="Arial" w:hAnsi="Arial" w:cs="Arial"/>
          </w:rPr>
          <w:t>https://doi.org/10.1109/NTAD51447.2020.9379091</w:t>
        </w:r>
      </w:hyperlink>
      <w:r w:rsidRPr="004D2E65">
        <w:rPr>
          <w:rFonts w:ascii="Arial" w:hAnsi="Arial" w:cs="Arial"/>
        </w:rPr>
        <w:t>.</w:t>
      </w:r>
      <w:r w:rsidR="000630C9">
        <w:rPr>
          <w:rFonts w:ascii="Arial" w:hAnsi="Arial" w:cs="Arial"/>
        </w:rPr>
        <w:t xml:space="preserve"> </w:t>
      </w:r>
      <w:r w:rsidR="00CD20E0" w:rsidRPr="00CD20E0">
        <w:rPr>
          <w:rFonts w:ascii="Arial" w:hAnsi="Arial" w:cs="Arial"/>
        </w:rPr>
        <w:t>Accessed 01 July 2026</w:t>
      </w:r>
    </w:p>
    <w:p w14:paraId="5F3E0D3F" w14:textId="6AEB2C53" w:rsidR="00213F53" w:rsidRDefault="00213F53" w:rsidP="00E370A9">
      <w:pPr>
        <w:spacing w:line="360" w:lineRule="auto"/>
        <w:rPr>
          <w:rFonts w:ascii="Arial" w:hAnsi="Arial" w:cs="Arial"/>
        </w:rPr>
      </w:pPr>
      <w:r w:rsidRPr="00213F53">
        <w:rPr>
          <w:rFonts w:ascii="Arial" w:hAnsi="Arial" w:cs="Arial"/>
        </w:rPr>
        <w:t>Alberti (2018) “A Proposed Brand Portfolio Strategy for Nivea to Gain Competitive Advantage,” Competition forum., 16(1).</w:t>
      </w:r>
      <w:r>
        <w:rPr>
          <w:rFonts w:ascii="Arial" w:hAnsi="Arial" w:cs="Arial"/>
        </w:rPr>
        <w:t xml:space="preserve"> Accessed </w:t>
      </w:r>
      <w:r w:rsidR="00CA788A">
        <w:rPr>
          <w:rFonts w:ascii="Arial" w:hAnsi="Arial" w:cs="Arial"/>
        </w:rPr>
        <w:t>28 Ju</w:t>
      </w:r>
      <w:r w:rsidR="007F4BBC">
        <w:rPr>
          <w:rFonts w:ascii="Arial" w:hAnsi="Arial" w:cs="Arial"/>
        </w:rPr>
        <w:t>ne</w:t>
      </w:r>
      <w:r w:rsidR="00CA788A">
        <w:rPr>
          <w:rFonts w:ascii="Arial" w:hAnsi="Arial" w:cs="Arial"/>
        </w:rPr>
        <w:t xml:space="preserve"> 2026</w:t>
      </w:r>
    </w:p>
    <w:p w14:paraId="09F48541" w14:textId="49559454" w:rsidR="00BC09D4" w:rsidRDefault="00BC09D4" w:rsidP="00E370A9">
      <w:pPr>
        <w:spacing w:line="360" w:lineRule="auto"/>
        <w:rPr>
          <w:rFonts w:ascii="Arial" w:hAnsi="Arial" w:cs="Arial"/>
        </w:rPr>
      </w:pPr>
      <w:r w:rsidRPr="00BC09D4">
        <w:rPr>
          <w:rFonts w:ascii="Arial" w:hAnsi="Arial" w:cs="Arial"/>
        </w:rPr>
        <w:t>ARRUDA, A., 2013. 100 Years Skincare for Life Analysis and Impact of Nivea’s Campaign in the Portuguese Market, Universidade Catolica Portuguesa (Portugal).</w:t>
      </w:r>
      <w:r w:rsidR="00CD20E0" w:rsidRPr="00CD20E0">
        <w:t xml:space="preserve"> </w:t>
      </w:r>
      <w:r w:rsidR="00CD20E0" w:rsidRPr="00CD20E0">
        <w:rPr>
          <w:rFonts w:ascii="Arial" w:hAnsi="Arial" w:cs="Arial"/>
        </w:rPr>
        <w:t>Accessed 10 July 2026</w:t>
      </w:r>
    </w:p>
    <w:p w14:paraId="5ADB0541" w14:textId="5EDACFD2" w:rsidR="002524EC" w:rsidRDefault="002524EC" w:rsidP="002524EC">
      <w:pPr>
        <w:spacing w:line="360" w:lineRule="auto"/>
        <w:rPr>
          <w:rFonts w:ascii="Arial" w:hAnsi="Arial" w:cs="Arial"/>
        </w:rPr>
      </w:pPr>
      <w:r w:rsidRPr="002524EC">
        <w:rPr>
          <w:rFonts w:ascii="Arial" w:hAnsi="Arial" w:cs="Arial"/>
        </w:rPr>
        <w:t>D Banker, R., Mashruwala, R. and Tripathy, A. (</w:t>
      </w:r>
      <w:r w:rsidR="007C5F92">
        <w:rPr>
          <w:rFonts w:ascii="Arial" w:hAnsi="Arial" w:cs="Arial"/>
        </w:rPr>
        <w:t>2014</w:t>
      </w:r>
      <w:r w:rsidRPr="002524EC">
        <w:rPr>
          <w:rFonts w:ascii="Arial" w:hAnsi="Arial" w:cs="Arial"/>
        </w:rPr>
        <w:t xml:space="preserve">) “Does a differentiation strategy lead to more sustainable financial performance than a cost leadership strategy?,” Management decision., 52(5), pp. 872–896. Available at: </w:t>
      </w:r>
      <w:hyperlink r:id="rId18" w:history="1">
        <w:r w:rsidRPr="003304E5">
          <w:rPr>
            <w:rStyle w:val="Hyperlink"/>
            <w:rFonts w:ascii="Arial" w:hAnsi="Arial" w:cs="Arial"/>
          </w:rPr>
          <w:t>https://doi.org/10.1108/MD-05-2013-0282</w:t>
        </w:r>
      </w:hyperlink>
      <w:r w:rsidRPr="002524EC">
        <w:rPr>
          <w:rFonts w:ascii="Arial" w:hAnsi="Arial" w:cs="Arial"/>
        </w:rPr>
        <w:t>.</w:t>
      </w:r>
      <w:r>
        <w:rPr>
          <w:rFonts w:ascii="Arial" w:hAnsi="Arial" w:cs="Arial"/>
        </w:rPr>
        <w:t xml:space="preserve"> Accessed 14 July 2026</w:t>
      </w:r>
    </w:p>
    <w:p w14:paraId="7BE586E8" w14:textId="037C095C" w:rsidR="004F53CC" w:rsidRDefault="008C57E4" w:rsidP="00E370A9">
      <w:pPr>
        <w:spacing w:line="360" w:lineRule="auto"/>
        <w:rPr>
          <w:rFonts w:ascii="Arial" w:hAnsi="Arial" w:cs="Arial"/>
        </w:rPr>
      </w:pPr>
      <w:r w:rsidRPr="008C57E4">
        <w:rPr>
          <w:rFonts w:ascii="Arial" w:hAnsi="Arial" w:cs="Arial"/>
        </w:rPr>
        <w:t xml:space="preserve">Beiersdorf </w:t>
      </w:r>
      <w:r w:rsidR="00B4658F">
        <w:rPr>
          <w:rFonts w:ascii="Arial" w:hAnsi="Arial" w:cs="Arial"/>
        </w:rPr>
        <w:t>(2025</w:t>
      </w:r>
      <w:r w:rsidR="0011173C">
        <w:rPr>
          <w:rFonts w:ascii="Arial" w:hAnsi="Arial" w:cs="Arial"/>
        </w:rPr>
        <w:t xml:space="preserve">) </w:t>
      </w:r>
      <w:r w:rsidR="0011173C" w:rsidRPr="0011173C">
        <w:rPr>
          <w:rFonts w:ascii="Arial" w:hAnsi="Arial" w:cs="Arial"/>
        </w:rPr>
        <w:t xml:space="preserve">Beiersdorf </w:t>
      </w:r>
      <w:r>
        <w:rPr>
          <w:rFonts w:ascii="Arial" w:hAnsi="Arial" w:cs="Arial"/>
        </w:rPr>
        <w:t>A</w:t>
      </w:r>
      <w:r w:rsidRPr="008C57E4">
        <w:rPr>
          <w:rFonts w:ascii="Arial" w:hAnsi="Arial" w:cs="Arial"/>
        </w:rPr>
        <w:t xml:space="preserve">nnual </w:t>
      </w:r>
      <w:r>
        <w:rPr>
          <w:rFonts w:ascii="Arial" w:hAnsi="Arial" w:cs="Arial"/>
        </w:rPr>
        <w:t>R</w:t>
      </w:r>
      <w:r w:rsidRPr="008C57E4">
        <w:rPr>
          <w:rFonts w:ascii="Arial" w:hAnsi="Arial" w:cs="Arial"/>
        </w:rPr>
        <w:t>eport 2025</w:t>
      </w:r>
      <w:r w:rsidR="00855001">
        <w:rPr>
          <w:rFonts w:ascii="Arial" w:hAnsi="Arial" w:cs="Arial"/>
        </w:rPr>
        <w:t>. Available at:</w:t>
      </w:r>
      <w:r w:rsidR="00EF72B3">
        <w:rPr>
          <w:rFonts w:ascii="Arial" w:hAnsi="Arial" w:cs="Arial"/>
        </w:rPr>
        <w:t xml:space="preserve"> </w:t>
      </w:r>
      <w:hyperlink r:id="rId19" w:history="1">
        <w:r w:rsidR="00BA2C3E" w:rsidRPr="00B52DB9">
          <w:rPr>
            <w:rStyle w:val="Hyperlink"/>
            <w:rFonts w:ascii="Arial" w:hAnsi="Arial" w:cs="Arial"/>
          </w:rPr>
          <w:t>https://reports.beiersdorf.com/annual-report/2025/combined-management-report/economic-report/results-of-operations/results-of-operations-group.html</w:t>
        </w:r>
      </w:hyperlink>
      <w:r w:rsidR="00BA2C3E">
        <w:rPr>
          <w:rFonts w:ascii="Arial" w:hAnsi="Arial" w:cs="Arial"/>
        </w:rPr>
        <w:t>. Accessed 12 July 2026</w:t>
      </w:r>
    </w:p>
    <w:p w14:paraId="4DA69D79" w14:textId="2EA5D96D" w:rsidR="00DD17FF" w:rsidRDefault="00AE62C8" w:rsidP="00E370A9">
      <w:pPr>
        <w:spacing w:line="360" w:lineRule="auto"/>
        <w:rPr>
          <w:rFonts w:ascii="Arial" w:hAnsi="Arial" w:cs="Arial"/>
        </w:rPr>
      </w:pPr>
      <w:r w:rsidRPr="00AE62C8">
        <w:rPr>
          <w:rFonts w:ascii="Arial" w:hAnsi="Arial" w:cs="Arial"/>
        </w:rPr>
        <w:t>Beiersdorf (2025) Beiersdorf Annual Report 2025</w:t>
      </w:r>
      <w:r>
        <w:rPr>
          <w:rFonts w:ascii="Arial" w:hAnsi="Arial" w:cs="Arial"/>
        </w:rPr>
        <w:t xml:space="preserve"> ‘Group Sales’</w:t>
      </w:r>
      <w:r w:rsidRPr="00AE62C8">
        <w:rPr>
          <w:rFonts w:ascii="Arial" w:hAnsi="Arial" w:cs="Arial"/>
        </w:rPr>
        <w:t xml:space="preserve">. Available at: </w:t>
      </w:r>
      <w:hyperlink r:id="rId20" w:history="1">
        <w:r w:rsidR="00296BE6" w:rsidRPr="00B52DB9">
          <w:rPr>
            <w:rStyle w:val="Hyperlink"/>
            <w:rFonts w:ascii="Arial" w:hAnsi="Arial" w:cs="Arial"/>
          </w:rPr>
          <w:t>https://reports.beiersdorf.com/annual-report/2025/combined-management-report/economic-report/results-of-operations/results-of-operations-group.html</w:t>
        </w:r>
      </w:hyperlink>
      <w:r w:rsidRPr="00AE62C8">
        <w:rPr>
          <w:rFonts w:ascii="Arial" w:hAnsi="Arial" w:cs="Arial"/>
        </w:rPr>
        <w:t>.</w:t>
      </w:r>
      <w:r w:rsidR="00296BE6">
        <w:rPr>
          <w:rFonts w:ascii="Arial" w:hAnsi="Arial" w:cs="Arial"/>
        </w:rPr>
        <w:t xml:space="preserve"> </w:t>
      </w:r>
      <w:r w:rsidRPr="00AE62C8">
        <w:rPr>
          <w:rFonts w:ascii="Arial" w:hAnsi="Arial" w:cs="Arial"/>
        </w:rPr>
        <w:t>Accessed 12 July 2026</w:t>
      </w:r>
    </w:p>
    <w:p w14:paraId="0CA40362" w14:textId="5D24950D" w:rsidR="00296BE6" w:rsidRDefault="00296BE6" w:rsidP="00E370A9">
      <w:pPr>
        <w:spacing w:line="360" w:lineRule="auto"/>
        <w:rPr>
          <w:rFonts w:ascii="Arial" w:hAnsi="Arial" w:cs="Arial"/>
        </w:rPr>
      </w:pPr>
      <w:r w:rsidRPr="00296BE6">
        <w:rPr>
          <w:rFonts w:ascii="Arial" w:hAnsi="Arial" w:cs="Arial"/>
        </w:rPr>
        <w:t>Beiersdorf (2025) Beiersdorf Annual Report 2025</w:t>
      </w:r>
      <w:r>
        <w:rPr>
          <w:rFonts w:ascii="Arial" w:hAnsi="Arial" w:cs="Arial"/>
        </w:rPr>
        <w:t xml:space="preserve"> ‘Group Sales by Re</w:t>
      </w:r>
      <w:r w:rsidR="009D455D">
        <w:rPr>
          <w:rFonts w:ascii="Arial" w:hAnsi="Arial" w:cs="Arial"/>
        </w:rPr>
        <w:t>gion’</w:t>
      </w:r>
      <w:r w:rsidRPr="00296BE6">
        <w:rPr>
          <w:rFonts w:ascii="Arial" w:hAnsi="Arial" w:cs="Arial"/>
        </w:rPr>
        <w:t xml:space="preserve">. Available at: </w:t>
      </w:r>
      <w:hyperlink r:id="rId21" w:history="1">
        <w:r w:rsidR="009D455D" w:rsidRPr="00B52DB9">
          <w:rPr>
            <w:rStyle w:val="Hyperlink"/>
            <w:rFonts w:ascii="Arial" w:hAnsi="Arial" w:cs="Arial"/>
          </w:rPr>
          <w:t>https://reports.beiersdorf.com/annual-report/2025/combined-management-report/economic-report/results-of-operations/results-of-operations-group.html</w:t>
        </w:r>
      </w:hyperlink>
      <w:r w:rsidRPr="00296BE6">
        <w:rPr>
          <w:rFonts w:ascii="Arial" w:hAnsi="Arial" w:cs="Arial"/>
        </w:rPr>
        <w:t>.</w:t>
      </w:r>
      <w:r w:rsidR="009D455D">
        <w:rPr>
          <w:rFonts w:ascii="Arial" w:hAnsi="Arial" w:cs="Arial"/>
        </w:rPr>
        <w:t xml:space="preserve"> </w:t>
      </w:r>
      <w:r w:rsidRPr="00296BE6">
        <w:rPr>
          <w:rFonts w:ascii="Arial" w:hAnsi="Arial" w:cs="Arial"/>
        </w:rPr>
        <w:t>Accessed 12 July 2026</w:t>
      </w:r>
    </w:p>
    <w:p w14:paraId="61295170" w14:textId="1067DF13" w:rsidR="00063772" w:rsidRDefault="00063772" w:rsidP="00E370A9">
      <w:pPr>
        <w:spacing w:line="360" w:lineRule="auto"/>
        <w:rPr>
          <w:rFonts w:ascii="Arial" w:hAnsi="Arial" w:cs="Arial"/>
        </w:rPr>
      </w:pPr>
      <w:r w:rsidRPr="00063772">
        <w:rPr>
          <w:rFonts w:ascii="Arial" w:hAnsi="Arial" w:cs="Arial"/>
        </w:rPr>
        <w:lastRenderedPageBreak/>
        <w:t>Beierdorf. “Climate Transition Plan.” Beiersdorf.Com, 2025, https://www.beiersdorf.com/responsibility-and-commitments/reporting/climate-transition-plan. Accessed 12 July 2026.</w:t>
      </w:r>
    </w:p>
    <w:p w14:paraId="7918F5EB" w14:textId="24BB25AF" w:rsidR="00344DAC" w:rsidRDefault="00390235" w:rsidP="00344DAC">
      <w:pPr>
        <w:spacing w:line="360" w:lineRule="auto"/>
        <w:rPr>
          <w:rFonts w:ascii="Arial" w:hAnsi="Arial" w:cs="Arial"/>
        </w:rPr>
      </w:pPr>
      <w:r w:rsidRPr="00390235">
        <w:rPr>
          <w:rFonts w:ascii="Arial" w:hAnsi="Arial" w:cs="Arial"/>
        </w:rPr>
        <w:t>Bezemer, P.-J. et al. (</w:t>
      </w:r>
      <w:r w:rsidR="002E46A4">
        <w:rPr>
          <w:rFonts w:ascii="Arial" w:hAnsi="Arial" w:cs="Arial"/>
        </w:rPr>
        <w:t>2014</w:t>
      </w:r>
      <w:r w:rsidRPr="00390235">
        <w:rPr>
          <w:rFonts w:ascii="Arial" w:hAnsi="Arial" w:cs="Arial"/>
        </w:rPr>
        <w:t xml:space="preserve">) “How two-tier boards can be more effective,” Corporate governance., 14(1), pp. 15–31. Available at: </w:t>
      </w:r>
      <w:hyperlink r:id="rId22" w:history="1">
        <w:r w:rsidR="00C939F9" w:rsidRPr="00F648DE">
          <w:rPr>
            <w:rStyle w:val="Hyperlink"/>
            <w:rFonts w:ascii="Arial" w:hAnsi="Arial" w:cs="Arial"/>
          </w:rPr>
          <w:t>https://doi.org/10.1108/CG-02-2013-0018</w:t>
        </w:r>
      </w:hyperlink>
      <w:r w:rsidRPr="00390235">
        <w:rPr>
          <w:rFonts w:ascii="Arial" w:hAnsi="Arial" w:cs="Arial"/>
        </w:rPr>
        <w:t>.</w:t>
      </w:r>
      <w:r w:rsidR="00CD20E0" w:rsidRPr="00CD20E0">
        <w:t xml:space="preserve"> </w:t>
      </w:r>
      <w:r w:rsidR="00CD20E0" w:rsidRPr="00CD20E0">
        <w:rPr>
          <w:rFonts w:ascii="Arial" w:hAnsi="Arial" w:cs="Arial"/>
        </w:rPr>
        <w:t xml:space="preserve">Accessed </w:t>
      </w:r>
      <w:r w:rsidR="00CD20E0">
        <w:rPr>
          <w:rFonts w:ascii="Arial" w:hAnsi="Arial" w:cs="Arial"/>
        </w:rPr>
        <w:t>10</w:t>
      </w:r>
      <w:r w:rsidR="00CD20E0" w:rsidRPr="00CD20E0">
        <w:rPr>
          <w:rFonts w:ascii="Arial" w:hAnsi="Arial" w:cs="Arial"/>
        </w:rPr>
        <w:t xml:space="preserve"> July 2026</w:t>
      </w:r>
    </w:p>
    <w:p w14:paraId="36E60FA9" w14:textId="6F95A4F3" w:rsidR="00C939F9" w:rsidRPr="00344DAC" w:rsidRDefault="00C939F9" w:rsidP="00C939F9">
      <w:pPr>
        <w:spacing w:line="360" w:lineRule="auto"/>
        <w:rPr>
          <w:rFonts w:ascii="Arial" w:hAnsi="Arial" w:cs="Arial"/>
        </w:rPr>
      </w:pPr>
      <w:r w:rsidRPr="00C939F9">
        <w:rPr>
          <w:rFonts w:ascii="Arial" w:hAnsi="Arial" w:cs="Arial"/>
        </w:rPr>
        <w:t xml:space="preserve">Chu, S. and Keh, H.T. (2006) “Brand value creation: Analysis of the Interbrand-Business Week brand value rankings,” Marketing letters., 17(4), pp. 323–331. Available at: </w:t>
      </w:r>
      <w:hyperlink r:id="rId23" w:history="1">
        <w:r w:rsidR="000630C9" w:rsidRPr="00F648DE">
          <w:rPr>
            <w:rStyle w:val="Hyperlink"/>
            <w:rFonts w:ascii="Arial" w:hAnsi="Arial" w:cs="Arial"/>
          </w:rPr>
          <w:t>https://doi.org/10.1007/s11002-006-9407-6</w:t>
        </w:r>
      </w:hyperlink>
      <w:r w:rsidRPr="00C939F9">
        <w:rPr>
          <w:rFonts w:ascii="Arial" w:hAnsi="Arial" w:cs="Arial"/>
        </w:rPr>
        <w:t>.</w:t>
      </w:r>
      <w:r w:rsidR="000630C9">
        <w:rPr>
          <w:rFonts w:ascii="Arial" w:hAnsi="Arial" w:cs="Arial"/>
        </w:rPr>
        <w:t xml:space="preserve"> </w:t>
      </w:r>
      <w:r w:rsidR="00CD20E0" w:rsidRPr="00CD20E0">
        <w:rPr>
          <w:rFonts w:ascii="Arial" w:hAnsi="Arial" w:cs="Arial"/>
        </w:rPr>
        <w:t>Accessed 03 July 2026</w:t>
      </w:r>
    </w:p>
    <w:p w14:paraId="0D14F212" w14:textId="0FD0AF80" w:rsidR="00354A55" w:rsidRDefault="00344DAC" w:rsidP="00354A55">
      <w:pPr>
        <w:spacing w:line="360" w:lineRule="auto"/>
        <w:rPr>
          <w:rFonts w:ascii="Arial" w:hAnsi="Arial" w:cs="Arial"/>
        </w:rPr>
      </w:pPr>
      <w:r w:rsidRPr="00344DAC">
        <w:rPr>
          <w:rFonts w:ascii="Arial" w:hAnsi="Arial" w:cs="Arial"/>
        </w:rPr>
        <w:t xml:space="preserve">Cromme, G. (2005) “Corporate Governance in Germany and the German Corporate Governance Code,” Corporate governance., 13(3), pp. 362–367. Available at: </w:t>
      </w:r>
      <w:hyperlink r:id="rId24" w:history="1">
        <w:r w:rsidR="00FF37E2" w:rsidRPr="00F648DE">
          <w:rPr>
            <w:rStyle w:val="Hyperlink"/>
            <w:rFonts w:ascii="Arial" w:hAnsi="Arial" w:cs="Arial"/>
          </w:rPr>
          <w:t>https://doi.org/10.1111/j.1467-8683.2005.00430.x</w:t>
        </w:r>
      </w:hyperlink>
      <w:r w:rsidRPr="00344DAC">
        <w:rPr>
          <w:rFonts w:ascii="Arial" w:hAnsi="Arial" w:cs="Arial"/>
        </w:rPr>
        <w:t>.</w:t>
      </w:r>
      <w:r w:rsidR="00CD20E0" w:rsidRPr="00CD20E0">
        <w:t xml:space="preserve"> </w:t>
      </w:r>
      <w:r w:rsidR="00CD20E0" w:rsidRPr="00CD20E0">
        <w:rPr>
          <w:rFonts w:ascii="Arial" w:hAnsi="Arial" w:cs="Arial"/>
        </w:rPr>
        <w:t>Accessed 1</w:t>
      </w:r>
      <w:r w:rsidR="00190383">
        <w:rPr>
          <w:rFonts w:ascii="Arial" w:hAnsi="Arial" w:cs="Arial"/>
        </w:rPr>
        <w:t>2</w:t>
      </w:r>
      <w:r w:rsidR="00CD20E0" w:rsidRPr="00CD20E0">
        <w:rPr>
          <w:rFonts w:ascii="Arial" w:hAnsi="Arial" w:cs="Arial"/>
        </w:rPr>
        <w:t xml:space="preserve"> July 2026</w:t>
      </w:r>
    </w:p>
    <w:p w14:paraId="352BA5C3" w14:textId="5D4460F9" w:rsidR="00FF37E2" w:rsidRDefault="00FF37E2" w:rsidP="00FF37E2">
      <w:pPr>
        <w:spacing w:line="360" w:lineRule="auto"/>
        <w:rPr>
          <w:rFonts w:ascii="Arial" w:hAnsi="Arial" w:cs="Arial"/>
        </w:rPr>
      </w:pPr>
      <w:r w:rsidRPr="00FF37E2">
        <w:rPr>
          <w:rFonts w:ascii="Arial" w:hAnsi="Arial" w:cs="Arial"/>
        </w:rPr>
        <w:t>Dimitrova (2024) “Ethical issues in cosmetic industry,” Izvestii︠a︡ na Sŭi︠u︡za na uchenite - Varna., 13(1).</w:t>
      </w:r>
      <w:r w:rsidR="00CD20E0" w:rsidRPr="00CD20E0">
        <w:t xml:space="preserve"> </w:t>
      </w:r>
      <w:r w:rsidR="00CD20E0" w:rsidRPr="00CD20E0">
        <w:rPr>
          <w:rFonts w:ascii="Arial" w:hAnsi="Arial" w:cs="Arial"/>
        </w:rPr>
        <w:t>Accessed 03 July 2026</w:t>
      </w:r>
    </w:p>
    <w:p w14:paraId="0455A1EC" w14:textId="4EC59E3C" w:rsidR="007D2D8A" w:rsidRDefault="007D2D8A" w:rsidP="007D2D8A">
      <w:pPr>
        <w:spacing w:line="360" w:lineRule="auto"/>
        <w:rPr>
          <w:rFonts w:ascii="Arial" w:hAnsi="Arial" w:cs="Arial"/>
        </w:rPr>
      </w:pPr>
      <w:r w:rsidRPr="007D2D8A">
        <w:rPr>
          <w:rFonts w:ascii="Arial" w:hAnsi="Arial" w:cs="Arial"/>
        </w:rPr>
        <w:t>Diller (2010) “MIR TALKS TO PIETER NOTA, EXECUTIVE BOARD MEMBER BEIERSDORF AG,” NIM Marketing Intelligence Review., 2(1).</w:t>
      </w:r>
      <w:r>
        <w:rPr>
          <w:rFonts w:ascii="Arial" w:hAnsi="Arial" w:cs="Arial"/>
        </w:rPr>
        <w:t xml:space="preserve"> Accessed </w:t>
      </w:r>
      <w:r w:rsidR="00F42C96">
        <w:rPr>
          <w:rFonts w:ascii="Arial" w:hAnsi="Arial" w:cs="Arial"/>
        </w:rPr>
        <w:t>10 July 2026</w:t>
      </w:r>
    </w:p>
    <w:p w14:paraId="7EF58FC2" w14:textId="129D0396" w:rsidR="00517862" w:rsidRPr="00354A55" w:rsidRDefault="00517862" w:rsidP="00FF37E2">
      <w:pPr>
        <w:spacing w:line="360" w:lineRule="auto"/>
        <w:rPr>
          <w:rFonts w:ascii="Arial" w:hAnsi="Arial" w:cs="Arial"/>
        </w:rPr>
      </w:pPr>
      <w:r w:rsidRPr="00517862">
        <w:rPr>
          <w:rFonts w:ascii="Arial" w:hAnsi="Arial" w:cs="Arial"/>
        </w:rPr>
        <w:t>Dobbs, M.</w:t>
      </w:r>
      <w:r w:rsidR="002E5D98">
        <w:rPr>
          <w:rFonts w:ascii="Arial" w:hAnsi="Arial" w:cs="Arial"/>
        </w:rPr>
        <w:t xml:space="preserve"> E.</w:t>
      </w:r>
      <w:r w:rsidRPr="00517862">
        <w:rPr>
          <w:rFonts w:ascii="Arial" w:hAnsi="Arial" w:cs="Arial"/>
        </w:rPr>
        <w:t xml:space="preserve"> (</w:t>
      </w:r>
      <w:r w:rsidR="008F3270">
        <w:rPr>
          <w:rFonts w:ascii="Arial" w:hAnsi="Arial" w:cs="Arial"/>
        </w:rPr>
        <w:t>2014</w:t>
      </w:r>
      <w:r w:rsidRPr="00517862">
        <w:rPr>
          <w:rFonts w:ascii="Arial" w:hAnsi="Arial" w:cs="Arial"/>
        </w:rPr>
        <w:t xml:space="preserve">) “Guidelines for applying Porter’s five forces framework: a set of industry analysis templates,” Competitiveness review., 24(1), pp. 32–45. Available at: </w:t>
      </w:r>
      <w:hyperlink r:id="rId25" w:history="1">
        <w:r w:rsidR="008F3270" w:rsidRPr="00F648DE">
          <w:rPr>
            <w:rStyle w:val="Hyperlink"/>
            <w:rFonts w:ascii="Arial" w:hAnsi="Arial" w:cs="Arial"/>
          </w:rPr>
          <w:t>https://doi.org/10.1108/CR-06-2013-0059</w:t>
        </w:r>
      </w:hyperlink>
      <w:r w:rsidRPr="00517862">
        <w:rPr>
          <w:rFonts w:ascii="Arial" w:hAnsi="Arial" w:cs="Arial"/>
        </w:rPr>
        <w:t>.</w:t>
      </w:r>
      <w:r w:rsidR="008F3270">
        <w:rPr>
          <w:rFonts w:ascii="Arial" w:hAnsi="Arial" w:cs="Arial"/>
        </w:rPr>
        <w:t xml:space="preserve"> Accessed 12 July 2026</w:t>
      </w:r>
    </w:p>
    <w:p w14:paraId="13281175" w14:textId="5506E737" w:rsidR="00354A55" w:rsidRDefault="00354A55" w:rsidP="00354A55">
      <w:pPr>
        <w:spacing w:line="360" w:lineRule="auto"/>
        <w:rPr>
          <w:rFonts w:ascii="Arial" w:hAnsi="Arial" w:cs="Arial"/>
        </w:rPr>
      </w:pPr>
      <w:r w:rsidRPr="00354A55">
        <w:rPr>
          <w:rFonts w:ascii="Arial" w:hAnsi="Arial" w:cs="Arial"/>
        </w:rPr>
        <w:t xml:space="preserve">IEEE Systems and Information Engineering Design Symposium Charlottesville, Va.) ( : (2018) “Social media in product development,” SIEDS: 2018 Systems and Information Engineering Design Symposium: University of Virginia, Charlottesville, Virginia, USA, 27 April 2018 /. Piscataway, New Jersey: Institute of Electrical and Electronics Engineers, pp. 34–93. Available at: </w:t>
      </w:r>
      <w:hyperlink r:id="rId26" w:history="1">
        <w:r w:rsidR="00CD20E0" w:rsidRPr="00F648DE">
          <w:rPr>
            <w:rStyle w:val="Hyperlink"/>
            <w:rFonts w:ascii="Arial" w:hAnsi="Arial" w:cs="Arial"/>
          </w:rPr>
          <w:t>https://doi.org/10.1109/SIEDS.2018.8374765</w:t>
        </w:r>
      </w:hyperlink>
      <w:r w:rsidR="00CD20E0" w:rsidRPr="00CD20E0">
        <w:rPr>
          <w:rFonts w:ascii="Arial" w:hAnsi="Arial" w:cs="Arial"/>
        </w:rPr>
        <w:t>.</w:t>
      </w:r>
      <w:r w:rsidR="00CD20E0">
        <w:rPr>
          <w:rFonts w:ascii="Arial" w:hAnsi="Arial" w:cs="Arial"/>
        </w:rPr>
        <w:t xml:space="preserve"> Accessed 01 July 2026</w:t>
      </w:r>
    </w:p>
    <w:p w14:paraId="3B7E09D1" w14:textId="692BE200" w:rsidR="00112836" w:rsidRDefault="00112836" w:rsidP="00112836">
      <w:pPr>
        <w:spacing w:line="360" w:lineRule="auto"/>
        <w:rPr>
          <w:rFonts w:ascii="Arial" w:hAnsi="Arial" w:cs="Arial"/>
        </w:rPr>
      </w:pPr>
      <w:r w:rsidRPr="00112836">
        <w:rPr>
          <w:rFonts w:ascii="Arial" w:hAnsi="Arial" w:cs="Arial"/>
        </w:rPr>
        <w:t xml:space="preserve">Išoraitė, M. and Tvaronavičienė, M. (2015) “Analysis of marketing mix: Nivea case study,” Entrepreneurship and sustainability issues, 3(2), pp. 173–185. Available at: </w:t>
      </w:r>
      <w:hyperlink r:id="rId27" w:history="1">
        <w:r w:rsidR="00337D4A" w:rsidRPr="00F648DE">
          <w:rPr>
            <w:rStyle w:val="Hyperlink"/>
            <w:rFonts w:ascii="Arial" w:hAnsi="Arial" w:cs="Arial"/>
          </w:rPr>
          <w:t>https://doi.org/10.9770/jesi.2015.3.2(5)</w:t>
        </w:r>
      </w:hyperlink>
      <w:r w:rsidRPr="00112836">
        <w:rPr>
          <w:rFonts w:ascii="Arial" w:hAnsi="Arial" w:cs="Arial"/>
        </w:rPr>
        <w:t>.</w:t>
      </w:r>
      <w:r w:rsidR="00337D4A">
        <w:rPr>
          <w:rFonts w:ascii="Arial" w:hAnsi="Arial" w:cs="Arial"/>
        </w:rPr>
        <w:t xml:space="preserve"> </w:t>
      </w:r>
      <w:r w:rsidR="00CD20E0" w:rsidRPr="00CD20E0">
        <w:rPr>
          <w:rFonts w:ascii="Arial" w:hAnsi="Arial" w:cs="Arial"/>
        </w:rPr>
        <w:t>Accessed 06 July 2026</w:t>
      </w:r>
    </w:p>
    <w:p w14:paraId="2FC1850F" w14:textId="38D939AF" w:rsidR="004032E7" w:rsidRDefault="003A38A8" w:rsidP="003A38A8">
      <w:pPr>
        <w:spacing w:line="360" w:lineRule="auto"/>
        <w:rPr>
          <w:rFonts w:ascii="Arial" w:hAnsi="Arial" w:cs="Arial"/>
        </w:rPr>
      </w:pPr>
      <w:r w:rsidRPr="003A38A8">
        <w:rPr>
          <w:rFonts w:ascii="Arial" w:hAnsi="Arial" w:cs="Arial"/>
        </w:rPr>
        <w:lastRenderedPageBreak/>
        <w:t xml:space="preserve">FUCIU, M. and ȘERBAN (SIMS), A. (2024) “SOME CONSIDERATIONS ABOUT THE CHANGE IN CONSUMER BEHAVIOUR OF THE LAST DECADE,” </w:t>
      </w:r>
      <w:r w:rsidRPr="003A38A8">
        <w:rPr>
          <w:rFonts w:ascii="Arial" w:hAnsi="Arial" w:cs="Arial"/>
          <w:i/>
          <w:iCs/>
        </w:rPr>
        <w:t>Revista economică : journal of economic-financial theory and practice.</w:t>
      </w:r>
      <w:r w:rsidRPr="003A38A8">
        <w:rPr>
          <w:rFonts w:ascii="Arial" w:hAnsi="Arial" w:cs="Arial"/>
        </w:rPr>
        <w:t xml:space="preserve">, 76(3), pp. 84–91. Available at: </w:t>
      </w:r>
      <w:hyperlink r:id="rId28" w:history="1">
        <w:r w:rsidR="00EE65EE" w:rsidRPr="00987922">
          <w:rPr>
            <w:rStyle w:val="Hyperlink"/>
            <w:rFonts w:ascii="Arial" w:hAnsi="Arial" w:cs="Arial"/>
          </w:rPr>
          <w:t>https://doi.org/10.56043/reveco-2024-0027</w:t>
        </w:r>
      </w:hyperlink>
      <w:r w:rsidRPr="003A38A8">
        <w:rPr>
          <w:rFonts w:ascii="Arial" w:hAnsi="Arial" w:cs="Arial"/>
        </w:rPr>
        <w:t>.</w:t>
      </w:r>
      <w:r w:rsidR="00EE65EE">
        <w:rPr>
          <w:rFonts w:ascii="Arial" w:hAnsi="Arial" w:cs="Arial"/>
        </w:rPr>
        <w:t xml:space="preserve"> Accessed 30 June 2026</w:t>
      </w:r>
    </w:p>
    <w:p w14:paraId="6A517C18" w14:textId="6025CA26" w:rsidR="003F7829" w:rsidRDefault="003F7829" w:rsidP="00603612">
      <w:pPr>
        <w:spacing w:line="360" w:lineRule="auto"/>
        <w:rPr>
          <w:rFonts w:ascii="Arial" w:hAnsi="Arial" w:cs="Arial"/>
        </w:rPr>
      </w:pPr>
      <w:r w:rsidRPr="003F7829">
        <w:rPr>
          <w:rFonts w:ascii="Arial" w:hAnsi="Arial" w:cs="Arial"/>
        </w:rPr>
        <w:t xml:space="preserve">Kaplan, R.S. and Norton, D.P. (1996) “Linking the Balanced Scorecard to Strategy,” California management review., 39(1), pp. 53–79. Available at: </w:t>
      </w:r>
      <w:hyperlink r:id="rId29" w:history="1">
        <w:r w:rsidRPr="00F648DE">
          <w:rPr>
            <w:rStyle w:val="Hyperlink"/>
            <w:rFonts w:ascii="Arial" w:hAnsi="Arial" w:cs="Arial"/>
          </w:rPr>
          <w:t>https://doi.org/10.2307/41165876</w:t>
        </w:r>
      </w:hyperlink>
      <w:r w:rsidRPr="003F7829">
        <w:rPr>
          <w:rFonts w:ascii="Arial" w:hAnsi="Arial" w:cs="Arial"/>
        </w:rPr>
        <w:t>.</w:t>
      </w:r>
      <w:r w:rsidR="00CD20E0" w:rsidRPr="00CD20E0">
        <w:t xml:space="preserve"> </w:t>
      </w:r>
      <w:r w:rsidR="00CD20E0" w:rsidRPr="00CD20E0">
        <w:rPr>
          <w:rFonts w:ascii="Arial" w:hAnsi="Arial" w:cs="Arial"/>
        </w:rPr>
        <w:t>Accessed 0</w:t>
      </w:r>
      <w:r w:rsidR="00CD20E0">
        <w:rPr>
          <w:rFonts w:ascii="Arial" w:hAnsi="Arial" w:cs="Arial"/>
        </w:rPr>
        <w:t>3</w:t>
      </w:r>
      <w:r w:rsidR="00CD20E0" w:rsidRPr="00CD20E0">
        <w:rPr>
          <w:rFonts w:ascii="Arial" w:hAnsi="Arial" w:cs="Arial"/>
        </w:rPr>
        <w:t xml:space="preserve"> July 2026</w:t>
      </w:r>
    </w:p>
    <w:p w14:paraId="37EF868B" w14:textId="1A24CE0D" w:rsidR="00F4476F" w:rsidRDefault="00F4476F" w:rsidP="00603612">
      <w:pPr>
        <w:spacing w:line="360" w:lineRule="auto"/>
        <w:rPr>
          <w:rFonts w:ascii="Arial" w:hAnsi="Arial" w:cs="Arial"/>
        </w:rPr>
      </w:pPr>
      <w:r w:rsidRPr="00F4476F">
        <w:rPr>
          <w:rFonts w:ascii="Arial" w:hAnsi="Arial" w:cs="Arial"/>
        </w:rPr>
        <w:t>Kaplan (2001) “Transforming the balanced scorecard from performance measurement to strategic management: Part 1,” Accounting horizons., 15(1).</w:t>
      </w:r>
      <w:r w:rsidR="00CD20E0" w:rsidRPr="00CD20E0">
        <w:t xml:space="preserve"> </w:t>
      </w:r>
      <w:r w:rsidR="00CD20E0" w:rsidRPr="00CD20E0">
        <w:rPr>
          <w:rFonts w:ascii="Arial" w:hAnsi="Arial" w:cs="Arial"/>
        </w:rPr>
        <w:t>Accessed 1</w:t>
      </w:r>
      <w:r w:rsidR="00CD20E0">
        <w:rPr>
          <w:rFonts w:ascii="Arial" w:hAnsi="Arial" w:cs="Arial"/>
        </w:rPr>
        <w:t>2</w:t>
      </w:r>
      <w:r w:rsidR="00CD20E0" w:rsidRPr="00CD20E0">
        <w:rPr>
          <w:rFonts w:ascii="Arial" w:hAnsi="Arial" w:cs="Arial"/>
        </w:rPr>
        <w:t xml:space="preserve"> July 2026</w:t>
      </w:r>
    </w:p>
    <w:p w14:paraId="53B49290" w14:textId="63014E05" w:rsidR="0052378E" w:rsidRDefault="0052378E" w:rsidP="0052378E">
      <w:pPr>
        <w:spacing w:line="360" w:lineRule="auto"/>
        <w:rPr>
          <w:rFonts w:ascii="Arial" w:hAnsi="Arial" w:cs="Arial"/>
        </w:rPr>
      </w:pPr>
      <w:r w:rsidRPr="0052378E">
        <w:rPr>
          <w:rFonts w:ascii="Arial" w:hAnsi="Arial" w:cs="Arial"/>
        </w:rPr>
        <w:t>Li, C.B. and Li, J.J. (2008) “Achieving Superior Financial Performance in China: Differentiation, Cost Leadership, or Both?,” Journal of international marketing., 16(3), pp. 1–22. Available at: https://doi.org/10.1509/jimk.16.3.1.</w:t>
      </w:r>
    </w:p>
    <w:p w14:paraId="59F03588" w14:textId="03C22DAB" w:rsidR="00CD17CF" w:rsidRDefault="00CD17CF" w:rsidP="00CD17CF">
      <w:pPr>
        <w:spacing w:line="360" w:lineRule="auto"/>
        <w:rPr>
          <w:rFonts w:ascii="Arial" w:hAnsi="Arial" w:cs="Arial"/>
        </w:rPr>
      </w:pPr>
      <w:r w:rsidRPr="00CD17CF">
        <w:rPr>
          <w:rFonts w:ascii="Arial" w:hAnsi="Arial" w:cs="Arial"/>
        </w:rPr>
        <w:t xml:space="preserve">MEFFORD, R.N. (2011) “The Economic Value of a Sustainable Supply Chain,” Business and society review., 116(1), pp. 109–143. Available at: </w:t>
      </w:r>
      <w:hyperlink r:id="rId30" w:history="1">
        <w:r w:rsidR="000630C9" w:rsidRPr="00F648DE">
          <w:rPr>
            <w:rStyle w:val="Hyperlink"/>
            <w:rFonts w:ascii="Arial" w:hAnsi="Arial" w:cs="Arial"/>
          </w:rPr>
          <w:t>https://doi.org/10.1111/j.1467-8594.2011.00379.x</w:t>
        </w:r>
      </w:hyperlink>
      <w:r w:rsidRPr="00CD17CF">
        <w:rPr>
          <w:rFonts w:ascii="Arial" w:hAnsi="Arial" w:cs="Arial"/>
        </w:rPr>
        <w:t>.</w:t>
      </w:r>
      <w:r w:rsidR="000630C9">
        <w:rPr>
          <w:rFonts w:ascii="Arial" w:hAnsi="Arial" w:cs="Arial"/>
        </w:rPr>
        <w:t xml:space="preserve"> </w:t>
      </w:r>
      <w:r w:rsidR="00CD20E0" w:rsidRPr="00CD20E0">
        <w:rPr>
          <w:rFonts w:ascii="Arial" w:hAnsi="Arial" w:cs="Arial"/>
        </w:rPr>
        <w:t>Accessed 10 July 2026</w:t>
      </w:r>
    </w:p>
    <w:p w14:paraId="389BE43F" w14:textId="252CB178" w:rsidR="001B1FF5" w:rsidRDefault="001B1FF5" w:rsidP="003A38A8">
      <w:pPr>
        <w:spacing w:line="360" w:lineRule="auto"/>
        <w:rPr>
          <w:rFonts w:ascii="Arial" w:hAnsi="Arial" w:cs="Arial"/>
        </w:rPr>
      </w:pPr>
      <w:r w:rsidRPr="001B1FF5">
        <w:rPr>
          <w:rFonts w:ascii="Arial" w:hAnsi="Arial" w:cs="Arial"/>
        </w:rPr>
        <w:t xml:space="preserve">Olegario, R. (2019) “Beiersdorf: The Company behind the Brands NIVEA, tesa, Hansaplast &amp; Co. By Alfred Reckendrees. Munich: C. H. Beck, 2018. 400 pp. Illustrations, photographs, figures, tables, bibliography, notes, index. Cloth, €29.95. ISBN: 978-3406728105.,” The business history review., 93(4), pp. 859–861. Available at: </w:t>
      </w:r>
      <w:hyperlink r:id="rId31" w:history="1">
        <w:r w:rsidR="00CF21E1" w:rsidRPr="003304E5">
          <w:rPr>
            <w:rStyle w:val="Hyperlink"/>
            <w:rFonts w:ascii="Arial" w:hAnsi="Arial" w:cs="Arial"/>
          </w:rPr>
          <w:t>https://doi.org/10.1017/S0007680519001442. Accessed 06 July 2026</w:t>
        </w:r>
      </w:hyperlink>
    </w:p>
    <w:p w14:paraId="4B68965C" w14:textId="7D70FAF4" w:rsidR="00CF21E1" w:rsidRDefault="00CF21E1" w:rsidP="00CF21E1">
      <w:pPr>
        <w:spacing w:line="360" w:lineRule="auto"/>
        <w:rPr>
          <w:rFonts w:ascii="Arial" w:hAnsi="Arial" w:cs="Arial"/>
        </w:rPr>
      </w:pPr>
      <w:r w:rsidRPr="00CF21E1">
        <w:rPr>
          <w:rFonts w:ascii="Arial" w:hAnsi="Arial" w:cs="Arial"/>
        </w:rPr>
        <w:t xml:space="preserve">Prange, C. and Schlegelmilch, B.B. (2018) “Managing innovation dilemmas: The cube solution,” Business horizons., 61(2), pp. 309–322. Available at: </w:t>
      </w:r>
      <w:hyperlink r:id="rId32" w:history="1">
        <w:r w:rsidRPr="003304E5">
          <w:rPr>
            <w:rStyle w:val="Hyperlink"/>
            <w:rFonts w:ascii="Arial" w:hAnsi="Arial" w:cs="Arial"/>
          </w:rPr>
          <w:t>https://doi.org/10.1016/j.bushor.2017.11.014</w:t>
        </w:r>
      </w:hyperlink>
      <w:r w:rsidRPr="00CF21E1">
        <w:rPr>
          <w:rFonts w:ascii="Arial" w:hAnsi="Arial" w:cs="Arial"/>
        </w:rPr>
        <w:t>.</w:t>
      </w:r>
      <w:r>
        <w:rPr>
          <w:rFonts w:ascii="Arial" w:hAnsi="Arial" w:cs="Arial"/>
        </w:rPr>
        <w:t xml:space="preserve"> Access</w:t>
      </w:r>
      <w:r w:rsidR="00AC557B">
        <w:rPr>
          <w:rFonts w:ascii="Arial" w:hAnsi="Arial" w:cs="Arial"/>
        </w:rPr>
        <w:t xml:space="preserve"> 14 July 2026</w:t>
      </w:r>
    </w:p>
    <w:p w14:paraId="13441582" w14:textId="0CDA6104" w:rsidR="00EA0E1A" w:rsidRPr="003A38A8" w:rsidRDefault="00EA0E1A" w:rsidP="00CF21E1">
      <w:pPr>
        <w:spacing w:line="360" w:lineRule="auto"/>
        <w:rPr>
          <w:rFonts w:ascii="Arial" w:hAnsi="Arial" w:cs="Arial"/>
        </w:rPr>
      </w:pPr>
      <w:r w:rsidRPr="00EA0E1A">
        <w:rPr>
          <w:rFonts w:ascii="Arial" w:hAnsi="Arial" w:cs="Arial"/>
        </w:rPr>
        <w:t xml:space="preserve">Ray Gehani, R. (2013) “Innovative Strategic Leader Transforming From a Low-Cost Strategy to Product Differentiation Strategy,” Journal of technology management &amp; innovation., 8(2), pp. 144–155. Available at: </w:t>
      </w:r>
      <w:hyperlink r:id="rId33" w:history="1">
        <w:r w:rsidRPr="003304E5">
          <w:rPr>
            <w:rStyle w:val="Hyperlink"/>
            <w:rFonts w:ascii="Arial" w:hAnsi="Arial" w:cs="Arial"/>
          </w:rPr>
          <w:t>https://doi.org/10.4067/S0718-27242013000200012</w:t>
        </w:r>
      </w:hyperlink>
      <w:r w:rsidRPr="00EA0E1A">
        <w:rPr>
          <w:rFonts w:ascii="Arial" w:hAnsi="Arial" w:cs="Arial"/>
        </w:rPr>
        <w:t>.</w:t>
      </w:r>
      <w:r>
        <w:rPr>
          <w:rFonts w:ascii="Arial" w:hAnsi="Arial" w:cs="Arial"/>
        </w:rPr>
        <w:t xml:space="preserve"> Access</w:t>
      </w:r>
      <w:r w:rsidR="00724945">
        <w:rPr>
          <w:rFonts w:ascii="Arial" w:hAnsi="Arial" w:cs="Arial"/>
        </w:rPr>
        <w:t>ed 14 July 2026</w:t>
      </w:r>
    </w:p>
    <w:p w14:paraId="26AFDFDB" w14:textId="177148F6" w:rsidR="00626C4B" w:rsidRDefault="00347F79" w:rsidP="00E370A9">
      <w:pPr>
        <w:spacing w:line="360" w:lineRule="auto"/>
        <w:rPr>
          <w:rFonts w:ascii="Arial" w:hAnsi="Arial" w:cs="Arial"/>
        </w:rPr>
      </w:pPr>
      <w:r w:rsidRPr="00347F79">
        <w:rPr>
          <w:rFonts w:ascii="Arial" w:hAnsi="Arial" w:cs="Arial"/>
        </w:rPr>
        <w:lastRenderedPageBreak/>
        <w:t>Rogers (2021) “IMPROVING THE GLOBAL COMPETITIVENESS OF BEIERSDORF GLOBAL AG WITH BRAND PORTFOLIO MANAGEMENT: A CASE STUDY.,” Competition forum., 19(1–2).</w:t>
      </w:r>
      <w:r w:rsidR="00CD20E0" w:rsidRPr="00CD20E0">
        <w:t xml:space="preserve"> </w:t>
      </w:r>
      <w:r w:rsidR="00CD20E0" w:rsidRPr="00CD20E0">
        <w:rPr>
          <w:rFonts w:ascii="Arial" w:hAnsi="Arial" w:cs="Arial"/>
        </w:rPr>
        <w:t>Accessed 06 July 2026</w:t>
      </w:r>
    </w:p>
    <w:p w14:paraId="5C83119B" w14:textId="3DFE666C" w:rsidR="004A5345" w:rsidRDefault="00F66736" w:rsidP="000630C9">
      <w:pPr>
        <w:spacing w:line="360" w:lineRule="auto"/>
        <w:rPr>
          <w:rFonts w:ascii="Arial" w:hAnsi="Arial" w:cs="Arial"/>
        </w:rPr>
      </w:pPr>
      <w:r w:rsidRPr="00F66736">
        <w:rPr>
          <w:rFonts w:ascii="Arial" w:hAnsi="Arial" w:cs="Arial"/>
        </w:rPr>
        <w:t xml:space="preserve">Safitri, Y. and Akbar, A. (2027) “The Influence of Green Marketing and Corporate Social Responsibility with Intervening Variable Brand Image on Purchase Intention of Local Skincare in Indonesia,” 2026 20th International Conference on Ubiquitous Information Management and Communication (IMCOM). IEEE, pp. 605–8. Available at: </w:t>
      </w:r>
      <w:hyperlink r:id="rId34" w:history="1">
        <w:r w:rsidR="000630C9" w:rsidRPr="00F648DE">
          <w:rPr>
            <w:rStyle w:val="Hyperlink"/>
            <w:rFonts w:ascii="Arial" w:hAnsi="Arial" w:cs="Arial"/>
          </w:rPr>
          <w:t>https://doi.org/10.1109/IMCOM69009.2026.11360922</w:t>
        </w:r>
      </w:hyperlink>
      <w:r w:rsidRPr="00F66736">
        <w:rPr>
          <w:rFonts w:ascii="Arial" w:hAnsi="Arial" w:cs="Arial"/>
        </w:rPr>
        <w:t>.</w:t>
      </w:r>
      <w:r w:rsidR="00CD20E0" w:rsidRPr="00CD20E0">
        <w:t xml:space="preserve"> </w:t>
      </w:r>
      <w:r w:rsidR="00CD20E0" w:rsidRPr="00CD20E0">
        <w:rPr>
          <w:rFonts w:ascii="Arial" w:hAnsi="Arial" w:cs="Arial"/>
        </w:rPr>
        <w:t>Accessed 1</w:t>
      </w:r>
      <w:r w:rsidR="00CD20E0">
        <w:rPr>
          <w:rFonts w:ascii="Arial" w:hAnsi="Arial" w:cs="Arial"/>
        </w:rPr>
        <w:t>2</w:t>
      </w:r>
      <w:r w:rsidR="00CD20E0" w:rsidRPr="00CD20E0">
        <w:rPr>
          <w:rFonts w:ascii="Arial" w:hAnsi="Arial" w:cs="Arial"/>
        </w:rPr>
        <w:t xml:space="preserve"> July 2026</w:t>
      </w:r>
    </w:p>
    <w:p w14:paraId="689DD4D6" w14:textId="5ADF2295" w:rsidR="004A5345" w:rsidRDefault="004A5345" w:rsidP="004A5345">
      <w:pPr>
        <w:spacing w:line="360" w:lineRule="auto"/>
        <w:rPr>
          <w:rFonts w:ascii="Arial" w:hAnsi="Arial" w:cs="Arial"/>
        </w:rPr>
      </w:pPr>
      <w:r w:rsidRPr="004A5345">
        <w:rPr>
          <w:rFonts w:ascii="Arial" w:hAnsi="Arial" w:cs="Arial"/>
        </w:rPr>
        <w:t xml:space="preserve">Sharp, B. and Dawes, J. (2001) “What is Differentiation and How Does it Work ?,” Journal of marketing management., 17(7–8), pp. 739–759. Available at: </w:t>
      </w:r>
      <w:hyperlink r:id="rId35" w:history="1">
        <w:r w:rsidRPr="003304E5">
          <w:rPr>
            <w:rStyle w:val="Hyperlink"/>
            <w:rFonts w:ascii="Arial" w:hAnsi="Arial" w:cs="Arial"/>
          </w:rPr>
          <w:t>https://doi.org/10.1362/026725701323366809</w:t>
        </w:r>
      </w:hyperlink>
      <w:r w:rsidRPr="004A5345">
        <w:rPr>
          <w:rFonts w:ascii="Arial" w:hAnsi="Arial" w:cs="Arial"/>
        </w:rPr>
        <w:t>.</w:t>
      </w:r>
      <w:r>
        <w:rPr>
          <w:rFonts w:ascii="Arial" w:hAnsi="Arial" w:cs="Arial"/>
        </w:rPr>
        <w:t xml:space="preserve"> Accessed</w:t>
      </w:r>
      <w:r w:rsidR="005C04A1">
        <w:rPr>
          <w:rFonts w:ascii="Arial" w:hAnsi="Arial" w:cs="Arial"/>
        </w:rPr>
        <w:t xml:space="preserve"> 14 July 2026</w:t>
      </w:r>
    </w:p>
    <w:p w14:paraId="1EF754FD" w14:textId="2B4747E5" w:rsidR="000630C9" w:rsidRDefault="000630C9" w:rsidP="000630C9">
      <w:pPr>
        <w:spacing w:line="360" w:lineRule="auto"/>
        <w:rPr>
          <w:rFonts w:ascii="Arial" w:hAnsi="Arial" w:cs="Arial"/>
        </w:rPr>
      </w:pPr>
      <w:r w:rsidRPr="000630C9">
        <w:rPr>
          <w:rFonts w:ascii="Arial" w:hAnsi="Arial" w:cs="Arial"/>
        </w:rPr>
        <w:t xml:space="preserve">Valipour (2012) “The effects of cost leadership strategy and product differentiation strategy on the performance of firms,” Journal of Asian business strategy., 2(1). Available at: </w:t>
      </w:r>
      <w:hyperlink r:id="rId36" w:history="1">
        <w:r w:rsidRPr="00F648DE">
          <w:rPr>
            <w:rStyle w:val="Hyperlink"/>
            <w:rFonts w:ascii="Arial" w:hAnsi="Arial" w:cs="Arial"/>
          </w:rPr>
          <w:t>https://doi.org/10.1016/jabs.20123.11.95</w:t>
        </w:r>
      </w:hyperlink>
      <w:r w:rsidRPr="000630C9">
        <w:rPr>
          <w:rFonts w:ascii="Arial" w:hAnsi="Arial" w:cs="Arial"/>
        </w:rPr>
        <w:t>.</w:t>
      </w:r>
      <w:r>
        <w:rPr>
          <w:rFonts w:ascii="Arial" w:hAnsi="Arial" w:cs="Arial"/>
        </w:rPr>
        <w:t xml:space="preserve"> </w:t>
      </w:r>
      <w:r w:rsidR="00CD20E0" w:rsidRPr="00CD20E0">
        <w:rPr>
          <w:rFonts w:ascii="Arial" w:hAnsi="Arial" w:cs="Arial"/>
        </w:rPr>
        <w:t>Accessed 06 July 2026</w:t>
      </w:r>
    </w:p>
    <w:p w14:paraId="649FA0E6" w14:textId="4128C527" w:rsidR="004B64BF" w:rsidRPr="00E370A9" w:rsidRDefault="008C5729" w:rsidP="00E370A9">
      <w:pPr>
        <w:spacing w:line="360" w:lineRule="auto"/>
        <w:rPr>
          <w:rFonts w:ascii="Arial" w:hAnsi="Arial" w:cs="Arial"/>
        </w:rPr>
      </w:pPr>
      <w:r w:rsidRPr="008C5729">
        <w:rPr>
          <w:rFonts w:ascii="Arial" w:hAnsi="Arial" w:cs="Arial"/>
        </w:rPr>
        <w:t xml:space="preserve">Vergidis, K., Turner, C. and Tiwari, A. (2008) “Business process perspectives: Theoretical developments vs. real-world practice,” International journal of production economics., 114(1), pp. 91–104. Available at: </w:t>
      </w:r>
      <w:hyperlink r:id="rId37" w:history="1">
        <w:r w:rsidRPr="00874F1E">
          <w:rPr>
            <w:rStyle w:val="Hyperlink"/>
            <w:rFonts w:ascii="Arial" w:hAnsi="Arial" w:cs="Arial"/>
          </w:rPr>
          <w:t>https://doi.org/10.1016/j.ijpe.2007.12.009</w:t>
        </w:r>
      </w:hyperlink>
      <w:r w:rsidRPr="008C5729">
        <w:rPr>
          <w:rFonts w:ascii="Arial" w:hAnsi="Arial" w:cs="Arial"/>
        </w:rPr>
        <w:t>.</w:t>
      </w:r>
      <w:r w:rsidR="00CD20E0" w:rsidRPr="00CD20E0">
        <w:t xml:space="preserve"> </w:t>
      </w:r>
      <w:r w:rsidR="00CD20E0" w:rsidRPr="00CD20E0">
        <w:rPr>
          <w:rFonts w:ascii="Arial" w:hAnsi="Arial" w:cs="Arial"/>
        </w:rPr>
        <w:t>Accessed 10 July 2026</w:t>
      </w:r>
    </w:p>
    <w:sectPr w:rsidR="004B64BF" w:rsidRPr="00E370A9">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7E263" w14:textId="77777777" w:rsidR="005708FD" w:rsidRDefault="005708FD" w:rsidP="00E370A9">
      <w:pPr>
        <w:spacing w:after="0" w:line="240" w:lineRule="auto"/>
      </w:pPr>
      <w:r>
        <w:separator/>
      </w:r>
    </w:p>
  </w:endnote>
  <w:endnote w:type="continuationSeparator" w:id="0">
    <w:p w14:paraId="6C08225D" w14:textId="77777777" w:rsidR="005708FD" w:rsidRDefault="005708FD" w:rsidP="00E37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325061"/>
      <w:docPartObj>
        <w:docPartGallery w:val="Page Numbers (Bottom of Page)"/>
        <w:docPartUnique/>
      </w:docPartObj>
    </w:sdtPr>
    <w:sdtEndPr>
      <w:rPr>
        <w:noProof/>
      </w:rPr>
    </w:sdtEndPr>
    <w:sdtContent>
      <w:p w14:paraId="3B75A8AB" w14:textId="09B52118" w:rsidR="00E370A9" w:rsidRDefault="00E370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754674" w14:textId="77777777" w:rsidR="00E370A9" w:rsidRDefault="00E37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757BA" w14:textId="77777777" w:rsidR="005708FD" w:rsidRDefault="005708FD" w:rsidP="00E370A9">
      <w:pPr>
        <w:spacing w:after="0" w:line="240" w:lineRule="auto"/>
      </w:pPr>
      <w:r>
        <w:separator/>
      </w:r>
    </w:p>
  </w:footnote>
  <w:footnote w:type="continuationSeparator" w:id="0">
    <w:p w14:paraId="52287B67" w14:textId="77777777" w:rsidR="005708FD" w:rsidRDefault="005708FD" w:rsidP="00E37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32C7D"/>
    <w:multiLevelType w:val="hybridMultilevel"/>
    <w:tmpl w:val="01AA3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C03B4"/>
    <w:multiLevelType w:val="hybridMultilevel"/>
    <w:tmpl w:val="7F648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0658F"/>
    <w:multiLevelType w:val="hybridMultilevel"/>
    <w:tmpl w:val="D0E8E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86D18"/>
    <w:multiLevelType w:val="hybridMultilevel"/>
    <w:tmpl w:val="DFBE2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A240B"/>
    <w:multiLevelType w:val="hybridMultilevel"/>
    <w:tmpl w:val="EF80C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4B58E2"/>
    <w:multiLevelType w:val="hybridMultilevel"/>
    <w:tmpl w:val="3BB03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725F4"/>
    <w:multiLevelType w:val="hybridMultilevel"/>
    <w:tmpl w:val="9050C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1D6948"/>
    <w:multiLevelType w:val="hybridMultilevel"/>
    <w:tmpl w:val="8D7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473DD1"/>
    <w:multiLevelType w:val="hybridMultilevel"/>
    <w:tmpl w:val="90AC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777EDC"/>
    <w:multiLevelType w:val="hybridMultilevel"/>
    <w:tmpl w:val="15A6F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7E3F1B"/>
    <w:multiLevelType w:val="hybridMultilevel"/>
    <w:tmpl w:val="3ACE3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AD03D3"/>
    <w:multiLevelType w:val="hybridMultilevel"/>
    <w:tmpl w:val="DC8C639C"/>
    <w:lvl w:ilvl="0" w:tplc="8410039C">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C4F5269"/>
    <w:multiLevelType w:val="hybridMultilevel"/>
    <w:tmpl w:val="86E80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E908AB"/>
    <w:multiLevelType w:val="hybridMultilevel"/>
    <w:tmpl w:val="94FAD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92DC9"/>
    <w:multiLevelType w:val="hybridMultilevel"/>
    <w:tmpl w:val="76C4A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521528">
    <w:abstractNumId w:val="11"/>
  </w:num>
  <w:num w:numId="2" w16cid:durableId="760297745">
    <w:abstractNumId w:val="11"/>
  </w:num>
  <w:num w:numId="3" w16cid:durableId="1816412311">
    <w:abstractNumId w:val="4"/>
  </w:num>
  <w:num w:numId="4" w16cid:durableId="412046384">
    <w:abstractNumId w:val="14"/>
  </w:num>
  <w:num w:numId="5" w16cid:durableId="2027323115">
    <w:abstractNumId w:val="9"/>
  </w:num>
  <w:num w:numId="6" w16cid:durableId="1232811822">
    <w:abstractNumId w:val="6"/>
  </w:num>
  <w:num w:numId="7" w16cid:durableId="975648016">
    <w:abstractNumId w:val="10"/>
  </w:num>
  <w:num w:numId="8" w16cid:durableId="510224443">
    <w:abstractNumId w:val="12"/>
  </w:num>
  <w:num w:numId="9" w16cid:durableId="1436831198">
    <w:abstractNumId w:val="3"/>
  </w:num>
  <w:num w:numId="10" w16cid:durableId="2118405432">
    <w:abstractNumId w:val="2"/>
  </w:num>
  <w:num w:numId="11" w16cid:durableId="352271383">
    <w:abstractNumId w:val="13"/>
  </w:num>
  <w:num w:numId="12" w16cid:durableId="511184543">
    <w:abstractNumId w:val="5"/>
  </w:num>
  <w:num w:numId="13" w16cid:durableId="196547651">
    <w:abstractNumId w:val="1"/>
  </w:num>
  <w:num w:numId="14" w16cid:durableId="2117165650">
    <w:abstractNumId w:val="8"/>
  </w:num>
  <w:num w:numId="15" w16cid:durableId="402139206">
    <w:abstractNumId w:val="7"/>
  </w:num>
  <w:num w:numId="16" w16cid:durableId="1357342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4BF"/>
    <w:rsid w:val="00004F15"/>
    <w:rsid w:val="000102E3"/>
    <w:rsid w:val="00010EC6"/>
    <w:rsid w:val="0001102D"/>
    <w:rsid w:val="00012592"/>
    <w:rsid w:val="00013F44"/>
    <w:rsid w:val="00016BEE"/>
    <w:rsid w:val="00020D0F"/>
    <w:rsid w:val="00020FC8"/>
    <w:rsid w:val="00021869"/>
    <w:rsid w:val="0002273C"/>
    <w:rsid w:val="000351B0"/>
    <w:rsid w:val="000365B0"/>
    <w:rsid w:val="00036E30"/>
    <w:rsid w:val="00040A47"/>
    <w:rsid w:val="00044E58"/>
    <w:rsid w:val="000467EF"/>
    <w:rsid w:val="000502E6"/>
    <w:rsid w:val="00050B0D"/>
    <w:rsid w:val="00053374"/>
    <w:rsid w:val="000555A8"/>
    <w:rsid w:val="00055ED5"/>
    <w:rsid w:val="000630C9"/>
    <w:rsid w:val="00063772"/>
    <w:rsid w:val="000642BB"/>
    <w:rsid w:val="0006463B"/>
    <w:rsid w:val="00066F59"/>
    <w:rsid w:val="00070BEB"/>
    <w:rsid w:val="00070CA6"/>
    <w:rsid w:val="00073C65"/>
    <w:rsid w:val="00076927"/>
    <w:rsid w:val="00080E8F"/>
    <w:rsid w:val="0008134F"/>
    <w:rsid w:val="000825ED"/>
    <w:rsid w:val="00085810"/>
    <w:rsid w:val="0008696F"/>
    <w:rsid w:val="00090750"/>
    <w:rsid w:val="00094F4D"/>
    <w:rsid w:val="000A007A"/>
    <w:rsid w:val="000A2024"/>
    <w:rsid w:val="000A39CB"/>
    <w:rsid w:val="000A3FE9"/>
    <w:rsid w:val="000B0132"/>
    <w:rsid w:val="000C0135"/>
    <w:rsid w:val="000C2B49"/>
    <w:rsid w:val="000C7579"/>
    <w:rsid w:val="000D0CBA"/>
    <w:rsid w:val="000D157E"/>
    <w:rsid w:val="000D1A3E"/>
    <w:rsid w:val="000D7B8F"/>
    <w:rsid w:val="000D7EA4"/>
    <w:rsid w:val="000E0A63"/>
    <w:rsid w:val="000E31CC"/>
    <w:rsid w:val="000E4B2E"/>
    <w:rsid w:val="000E7BAF"/>
    <w:rsid w:val="00100DCA"/>
    <w:rsid w:val="0010378A"/>
    <w:rsid w:val="0011173C"/>
    <w:rsid w:val="00112836"/>
    <w:rsid w:val="001224AE"/>
    <w:rsid w:val="00122E03"/>
    <w:rsid w:val="00124445"/>
    <w:rsid w:val="00124673"/>
    <w:rsid w:val="00140A0C"/>
    <w:rsid w:val="00145A03"/>
    <w:rsid w:val="00147F8C"/>
    <w:rsid w:val="00150393"/>
    <w:rsid w:val="001514CC"/>
    <w:rsid w:val="00151A62"/>
    <w:rsid w:val="00153A4E"/>
    <w:rsid w:val="00156576"/>
    <w:rsid w:val="00157962"/>
    <w:rsid w:val="00162EBC"/>
    <w:rsid w:val="00170660"/>
    <w:rsid w:val="00181F05"/>
    <w:rsid w:val="001854F1"/>
    <w:rsid w:val="00190383"/>
    <w:rsid w:val="001904B8"/>
    <w:rsid w:val="00197C7C"/>
    <w:rsid w:val="001A09B0"/>
    <w:rsid w:val="001A23ED"/>
    <w:rsid w:val="001A5071"/>
    <w:rsid w:val="001B1FF5"/>
    <w:rsid w:val="001C1067"/>
    <w:rsid w:val="001C4A90"/>
    <w:rsid w:val="001C59B4"/>
    <w:rsid w:val="001C5F15"/>
    <w:rsid w:val="001C6389"/>
    <w:rsid w:val="001D3F23"/>
    <w:rsid w:val="001D4831"/>
    <w:rsid w:val="001D6561"/>
    <w:rsid w:val="001D77CF"/>
    <w:rsid w:val="001E18D6"/>
    <w:rsid w:val="001E4CCF"/>
    <w:rsid w:val="001F1598"/>
    <w:rsid w:val="001F1A52"/>
    <w:rsid w:val="001F53E9"/>
    <w:rsid w:val="00205299"/>
    <w:rsid w:val="00207A7C"/>
    <w:rsid w:val="00213F53"/>
    <w:rsid w:val="00215166"/>
    <w:rsid w:val="00216214"/>
    <w:rsid w:val="00216879"/>
    <w:rsid w:val="00216E5B"/>
    <w:rsid w:val="002173E8"/>
    <w:rsid w:val="00220064"/>
    <w:rsid w:val="002206C9"/>
    <w:rsid w:val="00225EE4"/>
    <w:rsid w:val="002275C6"/>
    <w:rsid w:val="00232F9B"/>
    <w:rsid w:val="00246F5C"/>
    <w:rsid w:val="002474F5"/>
    <w:rsid w:val="0025087B"/>
    <w:rsid w:val="002524EC"/>
    <w:rsid w:val="00252A62"/>
    <w:rsid w:val="002715DE"/>
    <w:rsid w:val="00272522"/>
    <w:rsid w:val="00273162"/>
    <w:rsid w:val="00273E32"/>
    <w:rsid w:val="002769AF"/>
    <w:rsid w:val="00296BE6"/>
    <w:rsid w:val="002A0201"/>
    <w:rsid w:val="002A39EC"/>
    <w:rsid w:val="002A76EA"/>
    <w:rsid w:val="002A7BB5"/>
    <w:rsid w:val="002B02FC"/>
    <w:rsid w:val="002B62A5"/>
    <w:rsid w:val="002C1865"/>
    <w:rsid w:val="002C3ADD"/>
    <w:rsid w:val="002C4549"/>
    <w:rsid w:val="002C5298"/>
    <w:rsid w:val="002D2057"/>
    <w:rsid w:val="002D371A"/>
    <w:rsid w:val="002D45DA"/>
    <w:rsid w:val="002E3F69"/>
    <w:rsid w:val="002E46A4"/>
    <w:rsid w:val="002E5D98"/>
    <w:rsid w:val="002F1E39"/>
    <w:rsid w:val="002F3060"/>
    <w:rsid w:val="002F66AB"/>
    <w:rsid w:val="00302246"/>
    <w:rsid w:val="0030482E"/>
    <w:rsid w:val="003125D6"/>
    <w:rsid w:val="00327514"/>
    <w:rsid w:val="00331573"/>
    <w:rsid w:val="00337D4A"/>
    <w:rsid w:val="003431F9"/>
    <w:rsid w:val="00343D39"/>
    <w:rsid w:val="00344DAC"/>
    <w:rsid w:val="00345AEB"/>
    <w:rsid w:val="00347F79"/>
    <w:rsid w:val="0035274D"/>
    <w:rsid w:val="00354922"/>
    <w:rsid w:val="00354A55"/>
    <w:rsid w:val="00354CBE"/>
    <w:rsid w:val="00355C6B"/>
    <w:rsid w:val="00370223"/>
    <w:rsid w:val="0037085E"/>
    <w:rsid w:val="00370B49"/>
    <w:rsid w:val="0037382F"/>
    <w:rsid w:val="003750DE"/>
    <w:rsid w:val="0037530E"/>
    <w:rsid w:val="0037680F"/>
    <w:rsid w:val="0037717B"/>
    <w:rsid w:val="00381799"/>
    <w:rsid w:val="003834F6"/>
    <w:rsid w:val="00384C31"/>
    <w:rsid w:val="0038713D"/>
    <w:rsid w:val="00390235"/>
    <w:rsid w:val="00393E42"/>
    <w:rsid w:val="0039510A"/>
    <w:rsid w:val="003A0CC0"/>
    <w:rsid w:val="003A38A8"/>
    <w:rsid w:val="003B0445"/>
    <w:rsid w:val="003B5ABF"/>
    <w:rsid w:val="003C2E45"/>
    <w:rsid w:val="003C5C1F"/>
    <w:rsid w:val="003C7ADD"/>
    <w:rsid w:val="003E26D4"/>
    <w:rsid w:val="003E5365"/>
    <w:rsid w:val="003F7829"/>
    <w:rsid w:val="004007BF"/>
    <w:rsid w:val="004032E7"/>
    <w:rsid w:val="00403A4D"/>
    <w:rsid w:val="004057DB"/>
    <w:rsid w:val="0042013D"/>
    <w:rsid w:val="00423199"/>
    <w:rsid w:val="004244C1"/>
    <w:rsid w:val="004254DD"/>
    <w:rsid w:val="00426E61"/>
    <w:rsid w:val="00432599"/>
    <w:rsid w:val="00435B16"/>
    <w:rsid w:val="00437BE3"/>
    <w:rsid w:val="00440FE2"/>
    <w:rsid w:val="00444D44"/>
    <w:rsid w:val="00445C89"/>
    <w:rsid w:val="004469FF"/>
    <w:rsid w:val="00450227"/>
    <w:rsid w:val="00452DE0"/>
    <w:rsid w:val="00455CB9"/>
    <w:rsid w:val="00467F95"/>
    <w:rsid w:val="004706B0"/>
    <w:rsid w:val="00471000"/>
    <w:rsid w:val="00484645"/>
    <w:rsid w:val="00485C1F"/>
    <w:rsid w:val="004936F3"/>
    <w:rsid w:val="00494D48"/>
    <w:rsid w:val="00495987"/>
    <w:rsid w:val="004963A7"/>
    <w:rsid w:val="004A1044"/>
    <w:rsid w:val="004A5345"/>
    <w:rsid w:val="004B64BF"/>
    <w:rsid w:val="004C0002"/>
    <w:rsid w:val="004C103D"/>
    <w:rsid w:val="004C130D"/>
    <w:rsid w:val="004C41AF"/>
    <w:rsid w:val="004C61CE"/>
    <w:rsid w:val="004D0026"/>
    <w:rsid w:val="004D2E65"/>
    <w:rsid w:val="004D6BE6"/>
    <w:rsid w:val="004D7403"/>
    <w:rsid w:val="004E212B"/>
    <w:rsid w:val="004E527E"/>
    <w:rsid w:val="004E6CE1"/>
    <w:rsid w:val="004F0D70"/>
    <w:rsid w:val="004F1DC2"/>
    <w:rsid w:val="004F53CC"/>
    <w:rsid w:val="004F7469"/>
    <w:rsid w:val="00501748"/>
    <w:rsid w:val="00502380"/>
    <w:rsid w:val="00517862"/>
    <w:rsid w:val="00520633"/>
    <w:rsid w:val="00521CCC"/>
    <w:rsid w:val="00522445"/>
    <w:rsid w:val="005232EF"/>
    <w:rsid w:val="0052378E"/>
    <w:rsid w:val="005335DD"/>
    <w:rsid w:val="0054198E"/>
    <w:rsid w:val="00542B0C"/>
    <w:rsid w:val="0054555E"/>
    <w:rsid w:val="00551A64"/>
    <w:rsid w:val="005524FB"/>
    <w:rsid w:val="00553829"/>
    <w:rsid w:val="00554DA5"/>
    <w:rsid w:val="005601A0"/>
    <w:rsid w:val="0056130D"/>
    <w:rsid w:val="00561F38"/>
    <w:rsid w:val="005632A1"/>
    <w:rsid w:val="00565CBB"/>
    <w:rsid w:val="0056695E"/>
    <w:rsid w:val="005677A5"/>
    <w:rsid w:val="005708FD"/>
    <w:rsid w:val="00571A89"/>
    <w:rsid w:val="00580C04"/>
    <w:rsid w:val="005867D7"/>
    <w:rsid w:val="00595993"/>
    <w:rsid w:val="00595E14"/>
    <w:rsid w:val="005A183C"/>
    <w:rsid w:val="005A1BE6"/>
    <w:rsid w:val="005B2DA2"/>
    <w:rsid w:val="005B5B8B"/>
    <w:rsid w:val="005B6843"/>
    <w:rsid w:val="005C04A1"/>
    <w:rsid w:val="005C57FF"/>
    <w:rsid w:val="005C5AC6"/>
    <w:rsid w:val="005D18DC"/>
    <w:rsid w:val="005D517A"/>
    <w:rsid w:val="005D743E"/>
    <w:rsid w:val="005E1370"/>
    <w:rsid w:val="005E7F4C"/>
    <w:rsid w:val="005F46AA"/>
    <w:rsid w:val="005F7ED7"/>
    <w:rsid w:val="006007E5"/>
    <w:rsid w:val="00601225"/>
    <w:rsid w:val="00601498"/>
    <w:rsid w:val="00602889"/>
    <w:rsid w:val="00603612"/>
    <w:rsid w:val="0060464D"/>
    <w:rsid w:val="00607158"/>
    <w:rsid w:val="00607719"/>
    <w:rsid w:val="00610C1B"/>
    <w:rsid w:val="00622E75"/>
    <w:rsid w:val="00625D5E"/>
    <w:rsid w:val="00626C4B"/>
    <w:rsid w:val="006273B3"/>
    <w:rsid w:val="0063725A"/>
    <w:rsid w:val="00640488"/>
    <w:rsid w:val="00651962"/>
    <w:rsid w:val="00652813"/>
    <w:rsid w:val="0065355A"/>
    <w:rsid w:val="00655E15"/>
    <w:rsid w:val="006560BE"/>
    <w:rsid w:val="00660C38"/>
    <w:rsid w:val="006615E4"/>
    <w:rsid w:val="00674DD0"/>
    <w:rsid w:val="006765F3"/>
    <w:rsid w:val="00684F9D"/>
    <w:rsid w:val="0069179E"/>
    <w:rsid w:val="0069392E"/>
    <w:rsid w:val="00696281"/>
    <w:rsid w:val="006A341D"/>
    <w:rsid w:val="006B1987"/>
    <w:rsid w:val="006B5FAA"/>
    <w:rsid w:val="006C0251"/>
    <w:rsid w:val="006C1CDE"/>
    <w:rsid w:val="006C23E6"/>
    <w:rsid w:val="006C28C7"/>
    <w:rsid w:val="006C35A2"/>
    <w:rsid w:val="006C5032"/>
    <w:rsid w:val="006C702C"/>
    <w:rsid w:val="006D0D7B"/>
    <w:rsid w:val="006D18D4"/>
    <w:rsid w:val="006E30AB"/>
    <w:rsid w:val="006F16C9"/>
    <w:rsid w:val="006F3A90"/>
    <w:rsid w:val="006F3B3C"/>
    <w:rsid w:val="007044CE"/>
    <w:rsid w:val="0070593E"/>
    <w:rsid w:val="007104C3"/>
    <w:rsid w:val="00713620"/>
    <w:rsid w:val="007149F1"/>
    <w:rsid w:val="00720978"/>
    <w:rsid w:val="00721AF3"/>
    <w:rsid w:val="00722D08"/>
    <w:rsid w:val="00722E20"/>
    <w:rsid w:val="00724945"/>
    <w:rsid w:val="00727E64"/>
    <w:rsid w:val="007336E8"/>
    <w:rsid w:val="0073420E"/>
    <w:rsid w:val="007346AF"/>
    <w:rsid w:val="0074541C"/>
    <w:rsid w:val="00755C69"/>
    <w:rsid w:val="00764CCF"/>
    <w:rsid w:val="00766A6C"/>
    <w:rsid w:val="00766C3E"/>
    <w:rsid w:val="00773776"/>
    <w:rsid w:val="00782867"/>
    <w:rsid w:val="00794598"/>
    <w:rsid w:val="00796258"/>
    <w:rsid w:val="00796377"/>
    <w:rsid w:val="00797064"/>
    <w:rsid w:val="00797BF6"/>
    <w:rsid w:val="007A1499"/>
    <w:rsid w:val="007A1E70"/>
    <w:rsid w:val="007A316D"/>
    <w:rsid w:val="007A7BC1"/>
    <w:rsid w:val="007A7CB7"/>
    <w:rsid w:val="007B2F1C"/>
    <w:rsid w:val="007B6181"/>
    <w:rsid w:val="007B6BB9"/>
    <w:rsid w:val="007C5F92"/>
    <w:rsid w:val="007D1F7D"/>
    <w:rsid w:val="007D267D"/>
    <w:rsid w:val="007D2D8A"/>
    <w:rsid w:val="007D78A4"/>
    <w:rsid w:val="007D7E6C"/>
    <w:rsid w:val="007E33FE"/>
    <w:rsid w:val="007E61E4"/>
    <w:rsid w:val="007F4BBC"/>
    <w:rsid w:val="007F609D"/>
    <w:rsid w:val="007F7F35"/>
    <w:rsid w:val="0081074D"/>
    <w:rsid w:val="00810BEE"/>
    <w:rsid w:val="0081414A"/>
    <w:rsid w:val="00815086"/>
    <w:rsid w:val="00817928"/>
    <w:rsid w:val="0082069C"/>
    <w:rsid w:val="00820C06"/>
    <w:rsid w:val="008211CF"/>
    <w:rsid w:val="0082409C"/>
    <w:rsid w:val="00830692"/>
    <w:rsid w:val="00831E8A"/>
    <w:rsid w:val="00832C96"/>
    <w:rsid w:val="008344E6"/>
    <w:rsid w:val="00840251"/>
    <w:rsid w:val="008407DF"/>
    <w:rsid w:val="00841464"/>
    <w:rsid w:val="00842AE6"/>
    <w:rsid w:val="008431A5"/>
    <w:rsid w:val="00850F07"/>
    <w:rsid w:val="00851B5E"/>
    <w:rsid w:val="00855001"/>
    <w:rsid w:val="00861428"/>
    <w:rsid w:val="00871477"/>
    <w:rsid w:val="00880391"/>
    <w:rsid w:val="00883BD9"/>
    <w:rsid w:val="008907F2"/>
    <w:rsid w:val="008B13F7"/>
    <w:rsid w:val="008B3150"/>
    <w:rsid w:val="008B52E9"/>
    <w:rsid w:val="008B5714"/>
    <w:rsid w:val="008C2A56"/>
    <w:rsid w:val="008C33D5"/>
    <w:rsid w:val="008C5729"/>
    <w:rsid w:val="008C57E4"/>
    <w:rsid w:val="008C5D81"/>
    <w:rsid w:val="008C67DA"/>
    <w:rsid w:val="008C6D93"/>
    <w:rsid w:val="008D4D78"/>
    <w:rsid w:val="008F3270"/>
    <w:rsid w:val="008F62B0"/>
    <w:rsid w:val="008F789C"/>
    <w:rsid w:val="00905536"/>
    <w:rsid w:val="00923AAD"/>
    <w:rsid w:val="0092686B"/>
    <w:rsid w:val="009302F8"/>
    <w:rsid w:val="009331E9"/>
    <w:rsid w:val="009361BF"/>
    <w:rsid w:val="00942FFF"/>
    <w:rsid w:val="0094317B"/>
    <w:rsid w:val="00946531"/>
    <w:rsid w:val="00947E9F"/>
    <w:rsid w:val="00952A80"/>
    <w:rsid w:val="00957ADC"/>
    <w:rsid w:val="00965264"/>
    <w:rsid w:val="0097141F"/>
    <w:rsid w:val="00980DF5"/>
    <w:rsid w:val="009866C2"/>
    <w:rsid w:val="009866CB"/>
    <w:rsid w:val="00991406"/>
    <w:rsid w:val="009A7AC9"/>
    <w:rsid w:val="009B2E40"/>
    <w:rsid w:val="009B3B8A"/>
    <w:rsid w:val="009B4505"/>
    <w:rsid w:val="009B5AF3"/>
    <w:rsid w:val="009C24DB"/>
    <w:rsid w:val="009C3752"/>
    <w:rsid w:val="009C57A1"/>
    <w:rsid w:val="009D455D"/>
    <w:rsid w:val="009D51F1"/>
    <w:rsid w:val="009D67D2"/>
    <w:rsid w:val="009D7D4B"/>
    <w:rsid w:val="009E5601"/>
    <w:rsid w:val="009E5811"/>
    <w:rsid w:val="009E5DB4"/>
    <w:rsid w:val="009F3C25"/>
    <w:rsid w:val="00A05009"/>
    <w:rsid w:val="00A10D87"/>
    <w:rsid w:val="00A14044"/>
    <w:rsid w:val="00A30ACF"/>
    <w:rsid w:val="00A357C0"/>
    <w:rsid w:val="00A44F65"/>
    <w:rsid w:val="00A53AAC"/>
    <w:rsid w:val="00A57F9C"/>
    <w:rsid w:val="00A614E7"/>
    <w:rsid w:val="00A70A86"/>
    <w:rsid w:val="00A73033"/>
    <w:rsid w:val="00A732E6"/>
    <w:rsid w:val="00A73870"/>
    <w:rsid w:val="00A84697"/>
    <w:rsid w:val="00A86B44"/>
    <w:rsid w:val="00A9050B"/>
    <w:rsid w:val="00A90812"/>
    <w:rsid w:val="00A91FB7"/>
    <w:rsid w:val="00A95F34"/>
    <w:rsid w:val="00A96E1D"/>
    <w:rsid w:val="00AA11D6"/>
    <w:rsid w:val="00AA4650"/>
    <w:rsid w:val="00AA73EE"/>
    <w:rsid w:val="00AB18C6"/>
    <w:rsid w:val="00AB4FFC"/>
    <w:rsid w:val="00AC0604"/>
    <w:rsid w:val="00AC557B"/>
    <w:rsid w:val="00AC6700"/>
    <w:rsid w:val="00AC6D0F"/>
    <w:rsid w:val="00AC794D"/>
    <w:rsid w:val="00AC7AC3"/>
    <w:rsid w:val="00AD1645"/>
    <w:rsid w:val="00AD32A6"/>
    <w:rsid w:val="00AD3934"/>
    <w:rsid w:val="00AD461A"/>
    <w:rsid w:val="00AD49E1"/>
    <w:rsid w:val="00AD50DC"/>
    <w:rsid w:val="00AE28E7"/>
    <w:rsid w:val="00AE62C8"/>
    <w:rsid w:val="00AE6C5E"/>
    <w:rsid w:val="00B10504"/>
    <w:rsid w:val="00B134A7"/>
    <w:rsid w:val="00B1484F"/>
    <w:rsid w:val="00B1676B"/>
    <w:rsid w:val="00B170E7"/>
    <w:rsid w:val="00B22D8D"/>
    <w:rsid w:val="00B24208"/>
    <w:rsid w:val="00B26C02"/>
    <w:rsid w:val="00B407EA"/>
    <w:rsid w:val="00B42139"/>
    <w:rsid w:val="00B4269A"/>
    <w:rsid w:val="00B442A3"/>
    <w:rsid w:val="00B4658F"/>
    <w:rsid w:val="00B46C36"/>
    <w:rsid w:val="00B54DB7"/>
    <w:rsid w:val="00B570E7"/>
    <w:rsid w:val="00B57BEF"/>
    <w:rsid w:val="00B7178E"/>
    <w:rsid w:val="00B7668C"/>
    <w:rsid w:val="00B80BC8"/>
    <w:rsid w:val="00B8466A"/>
    <w:rsid w:val="00B84757"/>
    <w:rsid w:val="00B91541"/>
    <w:rsid w:val="00B964EF"/>
    <w:rsid w:val="00BA2C3E"/>
    <w:rsid w:val="00BA4594"/>
    <w:rsid w:val="00BA767D"/>
    <w:rsid w:val="00BB2EF6"/>
    <w:rsid w:val="00BB5872"/>
    <w:rsid w:val="00BB60CA"/>
    <w:rsid w:val="00BB6C8C"/>
    <w:rsid w:val="00BB7070"/>
    <w:rsid w:val="00BC09D4"/>
    <w:rsid w:val="00BC0A81"/>
    <w:rsid w:val="00BC3C36"/>
    <w:rsid w:val="00BC78D8"/>
    <w:rsid w:val="00BD1922"/>
    <w:rsid w:val="00BD63E2"/>
    <w:rsid w:val="00BD749C"/>
    <w:rsid w:val="00BE11DA"/>
    <w:rsid w:val="00BE4CFE"/>
    <w:rsid w:val="00BE4F90"/>
    <w:rsid w:val="00BE60B9"/>
    <w:rsid w:val="00BF7654"/>
    <w:rsid w:val="00C02477"/>
    <w:rsid w:val="00C03843"/>
    <w:rsid w:val="00C0629A"/>
    <w:rsid w:val="00C149B4"/>
    <w:rsid w:val="00C15459"/>
    <w:rsid w:val="00C15842"/>
    <w:rsid w:val="00C16714"/>
    <w:rsid w:val="00C22B00"/>
    <w:rsid w:val="00C24926"/>
    <w:rsid w:val="00C35D20"/>
    <w:rsid w:val="00C37BFC"/>
    <w:rsid w:val="00C515D0"/>
    <w:rsid w:val="00C5183E"/>
    <w:rsid w:val="00C52C11"/>
    <w:rsid w:val="00C542EA"/>
    <w:rsid w:val="00C60CB4"/>
    <w:rsid w:val="00C62EEE"/>
    <w:rsid w:val="00C712AB"/>
    <w:rsid w:val="00C764BA"/>
    <w:rsid w:val="00C82DAA"/>
    <w:rsid w:val="00C8371D"/>
    <w:rsid w:val="00C83CF0"/>
    <w:rsid w:val="00C8632D"/>
    <w:rsid w:val="00C86A68"/>
    <w:rsid w:val="00C91E08"/>
    <w:rsid w:val="00C939F9"/>
    <w:rsid w:val="00C94D7E"/>
    <w:rsid w:val="00CA1D9A"/>
    <w:rsid w:val="00CA266E"/>
    <w:rsid w:val="00CA2B78"/>
    <w:rsid w:val="00CA61F2"/>
    <w:rsid w:val="00CA788A"/>
    <w:rsid w:val="00CB0CA4"/>
    <w:rsid w:val="00CB1DF5"/>
    <w:rsid w:val="00CB4CAA"/>
    <w:rsid w:val="00CB5E6E"/>
    <w:rsid w:val="00CC06B8"/>
    <w:rsid w:val="00CC2AFE"/>
    <w:rsid w:val="00CC3E6B"/>
    <w:rsid w:val="00CD17CF"/>
    <w:rsid w:val="00CD20E0"/>
    <w:rsid w:val="00CD6F3B"/>
    <w:rsid w:val="00CD754E"/>
    <w:rsid w:val="00CE19F6"/>
    <w:rsid w:val="00CE2D0A"/>
    <w:rsid w:val="00CF21E1"/>
    <w:rsid w:val="00CF26BF"/>
    <w:rsid w:val="00CF4040"/>
    <w:rsid w:val="00CF4642"/>
    <w:rsid w:val="00D01527"/>
    <w:rsid w:val="00D03037"/>
    <w:rsid w:val="00D03399"/>
    <w:rsid w:val="00D0361A"/>
    <w:rsid w:val="00D037D9"/>
    <w:rsid w:val="00D0510E"/>
    <w:rsid w:val="00D1593F"/>
    <w:rsid w:val="00D163BD"/>
    <w:rsid w:val="00D20851"/>
    <w:rsid w:val="00D20FB1"/>
    <w:rsid w:val="00D22DB2"/>
    <w:rsid w:val="00D23AC8"/>
    <w:rsid w:val="00D2521C"/>
    <w:rsid w:val="00D26997"/>
    <w:rsid w:val="00D30DA9"/>
    <w:rsid w:val="00D30DF2"/>
    <w:rsid w:val="00D3179B"/>
    <w:rsid w:val="00D344D2"/>
    <w:rsid w:val="00D3610D"/>
    <w:rsid w:val="00D40866"/>
    <w:rsid w:val="00D41D1C"/>
    <w:rsid w:val="00D45BED"/>
    <w:rsid w:val="00D4616C"/>
    <w:rsid w:val="00D472EE"/>
    <w:rsid w:val="00D53D23"/>
    <w:rsid w:val="00D53DCA"/>
    <w:rsid w:val="00D547EC"/>
    <w:rsid w:val="00D66CD8"/>
    <w:rsid w:val="00D675A9"/>
    <w:rsid w:val="00D70052"/>
    <w:rsid w:val="00D717C3"/>
    <w:rsid w:val="00D73314"/>
    <w:rsid w:val="00D80707"/>
    <w:rsid w:val="00D810B4"/>
    <w:rsid w:val="00D936E8"/>
    <w:rsid w:val="00D9726D"/>
    <w:rsid w:val="00DB26D5"/>
    <w:rsid w:val="00DB7F29"/>
    <w:rsid w:val="00DC07B0"/>
    <w:rsid w:val="00DC0FCC"/>
    <w:rsid w:val="00DC219A"/>
    <w:rsid w:val="00DC7EC8"/>
    <w:rsid w:val="00DD0ED6"/>
    <w:rsid w:val="00DD17FF"/>
    <w:rsid w:val="00DD3187"/>
    <w:rsid w:val="00DE5FE2"/>
    <w:rsid w:val="00DF2C13"/>
    <w:rsid w:val="00DF4EBD"/>
    <w:rsid w:val="00DF5510"/>
    <w:rsid w:val="00DF646E"/>
    <w:rsid w:val="00DF7237"/>
    <w:rsid w:val="00E02770"/>
    <w:rsid w:val="00E06095"/>
    <w:rsid w:val="00E060DF"/>
    <w:rsid w:val="00E16120"/>
    <w:rsid w:val="00E2008A"/>
    <w:rsid w:val="00E223C1"/>
    <w:rsid w:val="00E226E5"/>
    <w:rsid w:val="00E23183"/>
    <w:rsid w:val="00E2486D"/>
    <w:rsid w:val="00E370A9"/>
    <w:rsid w:val="00E4028A"/>
    <w:rsid w:val="00E47ECE"/>
    <w:rsid w:val="00E5781C"/>
    <w:rsid w:val="00E60235"/>
    <w:rsid w:val="00E60F0E"/>
    <w:rsid w:val="00E62412"/>
    <w:rsid w:val="00E7180E"/>
    <w:rsid w:val="00E72B65"/>
    <w:rsid w:val="00E77993"/>
    <w:rsid w:val="00E8142E"/>
    <w:rsid w:val="00E8311B"/>
    <w:rsid w:val="00E8324B"/>
    <w:rsid w:val="00E84C91"/>
    <w:rsid w:val="00E87EFF"/>
    <w:rsid w:val="00E90EA2"/>
    <w:rsid w:val="00EA0028"/>
    <w:rsid w:val="00EA0E1A"/>
    <w:rsid w:val="00EA2057"/>
    <w:rsid w:val="00EA2AEB"/>
    <w:rsid w:val="00EA3A8A"/>
    <w:rsid w:val="00EA437B"/>
    <w:rsid w:val="00EB6032"/>
    <w:rsid w:val="00EB6408"/>
    <w:rsid w:val="00EB6B6C"/>
    <w:rsid w:val="00EB715B"/>
    <w:rsid w:val="00ED7EDE"/>
    <w:rsid w:val="00EE4697"/>
    <w:rsid w:val="00EE5026"/>
    <w:rsid w:val="00EE65EE"/>
    <w:rsid w:val="00EF0F89"/>
    <w:rsid w:val="00EF0F93"/>
    <w:rsid w:val="00EF1E66"/>
    <w:rsid w:val="00EF36DA"/>
    <w:rsid w:val="00EF42D3"/>
    <w:rsid w:val="00EF72B3"/>
    <w:rsid w:val="00F043C2"/>
    <w:rsid w:val="00F17C88"/>
    <w:rsid w:val="00F20D0E"/>
    <w:rsid w:val="00F24652"/>
    <w:rsid w:val="00F2561E"/>
    <w:rsid w:val="00F30E26"/>
    <w:rsid w:val="00F36012"/>
    <w:rsid w:val="00F41035"/>
    <w:rsid w:val="00F42C96"/>
    <w:rsid w:val="00F431BD"/>
    <w:rsid w:val="00F4326A"/>
    <w:rsid w:val="00F437C7"/>
    <w:rsid w:val="00F4476F"/>
    <w:rsid w:val="00F5236B"/>
    <w:rsid w:val="00F55E7D"/>
    <w:rsid w:val="00F57879"/>
    <w:rsid w:val="00F6366E"/>
    <w:rsid w:val="00F6611F"/>
    <w:rsid w:val="00F66736"/>
    <w:rsid w:val="00F670A4"/>
    <w:rsid w:val="00F761A4"/>
    <w:rsid w:val="00F77422"/>
    <w:rsid w:val="00F829CD"/>
    <w:rsid w:val="00F83F67"/>
    <w:rsid w:val="00F848A3"/>
    <w:rsid w:val="00F87207"/>
    <w:rsid w:val="00F87491"/>
    <w:rsid w:val="00F9356B"/>
    <w:rsid w:val="00F97DBB"/>
    <w:rsid w:val="00FA0C0A"/>
    <w:rsid w:val="00FA242B"/>
    <w:rsid w:val="00FA694D"/>
    <w:rsid w:val="00FB3678"/>
    <w:rsid w:val="00FB3DCF"/>
    <w:rsid w:val="00FB672F"/>
    <w:rsid w:val="00FD33F5"/>
    <w:rsid w:val="00FD4D94"/>
    <w:rsid w:val="00FD727D"/>
    <w:rsid w:val="00FE0C59"/>
    <w:rsid w:val="00FE0E3B"/>
    <w:rsid w:val="00FE1043"/>
    <w:rsid w:val="00FF37E2"/>
    <w:rsid w:val="00FF4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A5828"/>
  <w15:chartTrackingRefBased/>
  <w15:docId w15:val="{DCEBD983-72F7-4476-A9D5-1E7E8027E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55E"/>
    <w:pPr>
      <w:suppressAutoHyphens/>
      <w:autoSpaceDN w:val="0"/>
      <w:spacing w:line="276" w:lineRule="auto"/>
    </w:pPr>
    <w:rPr>
      <w:rFonts w:ascii="Calibri" w:eastAsia="Calibri" w:hAnsi="Calibri" w:cs="Times New Roman"/>
      <w:kern w:val="3"/>
      <w14:ligatures w14:val="none"/>
    </w:rPr>
  </w:style>
  <w:style w:type="paragraph" w:styleId="Heading1">
    <w:name w:val="heading 1"/>
    <w:basedOn w:val="Normal"/>
    <w:next w:val="Normal"/>
    <w:link w:val="Heading1Char"/>
    <w:autoRedefine/>
    <w:uiPriority w:val="9"/>
    <w:qFormat/>
    <w:rsid w:val="00D037D9"/>
    <w:pPr>
      <w:keepNext/>
      <w:keepLines/>
      <w:spacing w:before="360" w:after="240"/>
      <w:jc w:val="both"/>
      <w:outlineLvl w:val="0"/>
    </w:pPr>
    <w:rPr>
      <w:rFonts w:ascii="Arial" w:eastAsiaTheme="majorEastAsia" w:hAnsi="Arial" w:cstheme="majorBidi"/>
      <w:b/>
      <w:color w:val="000000" w:themeColor="text1"/>
      <w:szCs w:val="40"/>
      <w:u w:val="single"/>
    </w:rPr>
  </w:style>
  <w:style w:type="paragraph" w:styleId="Heading2">
    <w:name w:val="heading 2"/>
    <w:basedOn w:val="Normal"/>
    <w:next w:val="Normal"/>
    <w:link w:val="Heading2Char"/>
    <w:uiPriority w:val="9"/>
    <w:unhideWhenUsed/>
    <w:qFormat/>
    <w:rsid w:val="004B64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4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4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4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4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4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4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4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7D9"/>
    <w:rPr>
      <w:rFonts w:ascii="Arial" w:eastAsiaTheme="majorEastAsia" w:hAnsi="Arial" w:cstheme="majorBidi"/>
      <w:b/>
      <w:color w:val="000000" w:themeColor="text1"/>
      <w:kern w:val="3"/>
      <w:szCs w:val="40"/>
      <w:u w:val="single"/>
      <w14:ligatures w14:val="none"/>
    </w:rPr>
  </w:style>
  <w:style w:type="character" w:customStyle="1" w:styleId="Heading2Char">
    <w:name w:val="Heading 2 Char"/>
    <w:basedOn w:val="DefaultParagraphFont"/>
    <w:link w:val="Heading2"/>
    <w:uiPriority w:val="9"/>
    <w:rsid w:val="004B64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4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4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4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4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4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4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4BF"/>
    <w:rPr>
      <w:rFonts w:eastAsiaTheme="majorEastAsia" w:cstheme="majorBidi"/>
      <w:color w:val="272727" w:themeColor="text1" w:themeTint="D8"/>
    </w:rPr>
  </w:style>
  <w:style w:type="paragraph" w:styleId="Title">
    <w:name w:val="Title"/>
    <w:basedOn w:val="Normal"/>
    <w:next w:val="Normal"/>
    <w:link w:val="TitleChar"/>
    <w:uiPriority w:val="10"/>
    <w:qFormat/>
    <w:rsid w:val="004B64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4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4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4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4BF"/>
    <w:pPr>
      <w:spacing w:before="160"/>
      <w:jc w:val="center"/>
    </w:pPr>
    <w:rPr>
      <w:i/>
      <w:iCs/>
      <w:color w:val="404040" w:themeColor="text1" w:themeTint="BF"/>
    </w:rPr>
  </w:style>
  <w:style w:type="character" w:customStyle="1" w:styleId="QuoteChar">
    <w:name w:val="Quote Char"/>
    <w:basedOn w:val="DefaultParagraphFont"/>
    <w:link w:val="Quote"/>
    <w:uiPriority w:val="29"/>
    <w:rsid w:val="004B64BF"/>
    <w:rPr>
      <w:i/>
      <w:iCs/>
      <w:color w:val="404040" w:themeColor="text1" w:themeTint="BF"/>
    </w:rPr>
  </w:style>
  <w:style w:type="paragraph" w:styleId="ListParagraph">
    <w:name w:val="List Paragraph"/>
    <w:basedOn w:val="Normal"/>
    <w:uiPriority w:val="34"/>
    <w:qFormat/>
    <w:rsid w:val="004B64BF"/>
    <w:pPr>
      <w:ind w:left="720"/>
      <w:contextualSpacing/>
    </w:pPr>
  </w:style>
  <w:style w:type="character" w:styleId="IntenseEmphasis">
    <w:name w:val="Intense Emphasis"/>
    <w:basedOn w:val="DefaultParagraphFont"/>
    <w:uiPriority w:val="21"/>
    <w:qFormat/>
    <w:rsid w:val="004B64BF"/>
    <w:rPr>
      <w:i/>
      <w:iCs/>
      <w:color w:val="0F4761" w:themeColor="accent1" w:themeShade="BF"/>
    </w:rPr>
  </w:style>
  <w:style w:type="paragraph" w:styleId="IntenseQuote">
    <w:name w:val="Intense Quote"/>
    <w:basedOn w:val="Normal"/>
    <w:next w:val="Normal"/>
    <w:link w:val="IntenseQuoteChar"/>
    <w:uiPriority w:val="30"/>
    <w:qFormat/>
    <w:rsid w:val="004B64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4BF"/>
    <w:rPr>
      <w:i/>
      <w:iCs/>
      <w:color w:val="0F4761" w:themeColor="accent1" w:themeShade="BF"/>
    </w:rPr>
  </w:style>
  <w:style w:type="character" w:styleId="IntenseReference">
    <w:name w:val="Intense Reference"/>
    <w:basedOn w:val="DefaultParagraphFont"/>
    <w:uiPriority w:val="32"/>
    <w:qFormat/>
    <w:rsid w:val="004B64BF"/>
    <w:rPr>
      <w:b/>
      <w:bCs/>
      <w:smallCaps/>
      <w:color w:val="0F4761" w:themeColor="accent1" w:themeShade="BF"/>
      <w:spacing w:val="5"/>
    </w:rPr>
  </w:style>
  <w:style w:type="paragraph" w:styleId="Header">
    <w:name w:val="header"/>
    <w:basedOn w:val="Normal"/>
    <w:link w:val="HeaderChar"/>
    <w:uiPriority w:val="99"/>
    <w:unhideWhenUsed/>
    <w:rsid w:val="00E37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0A9"/>
    <w:rPr>
      <w:rFonts w:ascii="Calibri" w:eastAsia="Calibri" w:hAnsi="Calibri" w:cs="Times New Roman"/>
      <w:kern w:val="3"/>
      <w14:ligatures w14:val="none"/>
    </w:rPr>
  </w:style>
  <w:style w:type="paragraph" w:styleId="Footer">
    <w:name w:val="footer"/>
    <w:basedOn w:val="Normal"/>
    <w:link w:val="FooterChar"/>
    <w:uiPriority w:val="99"/>
    <w:unhideWhenUsed/>
    <w:rsid w:val="00E37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0A9"/>
    <w:rPr>
      <w:rFonts w:ascii="Calibri" w:eastAsia="Calibri" w:hAnsi="Calibri" w:cs="Times New Roman"/>
      <w:kern w:val="3"/>
      <w14:ligatures w14:val="none"/>
    </w:rPr>
  </w:style>
  <w:style w:type="character" w:styleId="Hyperlink">
    <w:name w:val="Hyperlink"/>
    <w:basedOn w:val="DefaultParagraphFont"/>
    <w:uiPriority w:val="99"/>
    <w:unhideWhenUsed/>
    <w:rsid w:val="001904B8"/>
    <w:rPr>
      <w:color w:val="467886" w:themeColor="hyperlink"/>
      <w:u w:val="single"/>
    </w:rPr>
  </w:style>
  <w:style w:type="character" w:styleId="UnresolvedMention">
    <w:name w:val="Unresolved Mention"/>
    <w:basedOn w:val="DefaultParagraphFont"/>
    <w:uiPriority w:val="99"/>
    <w:semiHidden/>
    <w:unhideWhenUsed/>
    <w:rsid w:val="001904B8"/>
    <w:rPr>
      <w:color w:val="605E5C"/>
      <w:shd w:val="clear" w:color="auto" w:fill="E1DFDD"/>
    </w:rPr>
  </w:style>
  <w:style w:type="table" w:styleId="TableGrid">
    <w:name w:val="Table Grid"/>
    <w:basedOn w:val="TableNormal"/>
    <w:uiPriority w:val="39"/>
    <w:rsid w:val="003834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31A5"/>
    <w:pPr>
      <w:suppressAutoHyphens w:val="0"/>
      <w:autoSpaceDN/>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8431A5"/>
    <w:pPr>
      <w:suppressAutoHyphens w:val="0"/>
      <w:autoSpaceDN/>
      <w:spacing w:after="100" w:line="259" w:lineRule="auto"/>
      <w:ind w:left="220"/>
    </w:pPr>
    <w:rPr>
      <w:rFonts w:asciiTheme="minorHAnsi" w:eastAsiaTheme="minorEastAsia" w:hAnsiTheme="minorHAnsi"/>
      <w:kern w:val="0"/>
      <w:sz w:val="22"/>
      <w:szCs w:val="22"/>
      <w:lang w:val="en-US"/>
    </w:rPr>
  </w:style>
  <w:style w:type="paragraph" w:styleId="TOC1">
    <w:name w:val="toc 1"/>
    <w:basedOn w:val="Normal"/>
    <w:next w:val="Normal"/>
    <w:autoRedefine/>
    <w:uiPriority w:val="39"/>
    <w:unhideWhenUsed/>
    <w:rsid w:val="008431A5"/>
    <w:pPr>
      <w:suppressAutoHyphens w:val="0"/>
      <w:autoSpaceDN/>
      <w:spacing w:after="100" w:line="259" w:lineRule="auto"/>
    </w:pPr>
    <w:rPr>
      <w:rFonts w:asciiTheme="minorHAnsi" w:eastAsiaTheme="minorEastAsia" w:hAnsiTheme="minorHAnsi"/>
      <w:kern w:val="0"/>
      <w:sz w:val="22"/>
      <w:szCs w:val="22"/>
      <w:lang w:val="en-US"/>
    </w:rPr>
  </w:style>
  <w:style w:type="paragraph" w:styleId="TOC3">
    <w:name w:val="toc 3"/>
    <w:basedOn w:val="Normal"/>
    <w:next w:val="Normal"/>
    <w:autoRedefine/>
    <w:uiPriority w:val="39"/>
    <w:unhideWhenUsed/>
    <w:rsid w:val="008431A5"/>
    <w:pPr>
      <w:suppressAutoHyphens w:val="0"/>
      <w:autoSpaceDN/>
      <w:spacing w:after="100" w:line="259" w:lineRule="auto"/>
      <w:ind w:left="440"/>
    </w:pPr>
    <w:rPr>
      <w:rFonts w:asciiTheme="minorHAnsi" w:eastAsiaTheme="minorEastAsia" w:hAnsiTheme="minorHAnsi"/>
      <w:kern w:val="0"/>
      <w:sz w:val="22"/>
      <w:szCs w:val="22"/>
      <w:lang w:val="en-US"/>
    </w:rPr>
  </w:style>
  <w:style w:type="character" w:styleId="PlaceholderText">
    <w:name w:val="Placeholder Text"/>
    <w:basedOn w:val="DefaultParagraphFont"/>
    <w:uiPriority w:val="99"/>
    <w:semiHidden/>
    <w:rsid w:val="0064048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doi.org/10.1108/MD-05-2013-0282" TargetMode="External"/><Relationship Id="rId26" Type="http://schemas.openxmlformats.org/officeDocument/2006/relationships/hyperlink" Target="https://doi.org/10.1109/SIEDS.2018.8374765" TargetMode="External"/><Relationship Id="rId39" Type="http://schemas.openxmlformats.org/officeDocument/2006/relationships/fontTable" Target="fontTable.xml"/><Relationship Id="rId21" Type="http://schemas.openxmlformats.org/officeDocument/2006/relationships/hyperlink" Target="https://reports.beiersdorf.com/annual-report/2025/combined-management-report/economic-report/results-of-operations/results-of-operations-group.html" TargetMode="External"/><Relationship Id="rId34" Type="http://schemas.openxmlformats.org/officeDocument/2006/relationships/hyperlink" Target="https://doi.org/10.1109/IMCOM69009.2026.1136092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109/NTAD51447.2020.9379091" TargetMode="External"/><Relationship Id="rId25" Type="http://schemas.openxmlformats.org/officeDocument/2006/relationships/hyperlink" Target="https://doi.org/10.1108/CR-06-2013-0059" TargetMode="External"/><Relationship Id="rId33" Type="http://schemas.openxmlformats.org/officeDocument/2006/relationships/hyperlink" Target="https://doi.org/10.4067/S0718-27242013000200012"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sbspro.2013.06.427" TargetMode="External"/><Relationship Id="rId20" Type="http://schemas.openxmlformats.org/officeDocument/2006/relationships/hyperlink" Target="https://reports.beiersdorf.com/annual-report/2025/combined-management-report/economic-report/results-of-operations/results-of-operations-group.html" TargetMode="External"/><Relationship Id="rId29" Type="http://schemas.openxmlformats.org/officeDocument/2006/relationships/hyperlink" Target="https://doi.org/10.2307/4116587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11/j.1467-8683.2005.00430.x" TargetMode="External"/><Relationship Id="rId32" Type="http://schemas.openxmlformats.org/officeDocument/2006/relationships/hyperlink" Target="https://doi.org/10.1016/j.bushor.2017.11.014" TargetMode="External"/><Relationship Id="rId37" Type="http://schemas.openxmlformats.org/officeDocument/2006/relationships/hyperlink" Target="https://doi.org/10.1016/j.ijpe.2007.12.009"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doi.org/10.1007/s11002-006-9407-6" TargetMode="External"/><Relationship Id="rId28" Type="http://schemas.openxmlformats.org/officeDocument/2006/relationships/hyperlink" Target="https://doi.org/10.56043/reveco-2024-0027" TargetMode="External"/><Relationship Id="rId36" Type="http://schemas.openxmlformats.org/officeDocument/2006/relationships/hyperlink" Target="https://doi.org/10.1016/jabs.20123.11.95" TargetMode="External"/><Relationship Id="rId10" Type="http://schemas.openxmlformats.org/officeDocument/2006/relationships/image" Target="media/image2.png"/><Relationship Id="rId19" Type="http://schemas.openxmlformats.org/officeDocument/2006/relationships/hyperlink" Target="https://reports.beiersdorf.com/annual-report/2025/combined-management-report/economic-report/results-of-operations/results-of-operations-group.html" TargetMode="External"/><Relationship Id="rId31" Type="http://schemas.openxmlformats.org/officeDocument/2006/relationships/hyperlink" Target="https://doi.org/10.1017/S0007680519001442.%20Accessed%2006%20July%202026" TargetMode="External"/><Relationship Id="rId4" Type="http://schemas.openxmlformats.org/officeDocument/2006/relationships/settings" Target="settings.xml"/><Relationship Id="rId9" Type="http://schemas.openxmlformats.org/officeDocument/2006/relationships/hyperlink" Target="https://lepotica.rs/preporucujemo/nivea-novogodisnji-setovi" TargetMode="External"/><Relationship Id="rId14" Type="http://schemas.openxmlformats.org/officeDocument/2006/relationships/hyperlink" Target="https://flatworldknowledge.lardbucket.org/books/online-marketing-essentials/s22-emarketing-strategy.html" TargetMode="External"/><Relationship Id="rId22" Type="http://schemas.openxmlformats.org/officeDocument/2006/relationships/hyperlink" Target="https://doi.org/10.1108/CG-02-2013-0018" TargetMode="External"/><Relationship Id="rId27" Type="http://schemas.openxmlformats.org/officeDocument/2006/relationships/hyperlink" Target="https://doi.org/10.9770/jesi.2015.3.2(5)" TargetMode="External"/><Relationship Id="rId30" Type="http://schemas.openxmlformats.org/officeDocument/2006/relationships/hyperlink" Target="https://doi.org/10.1111/j.1467-8594.2011.00379.x" TargetMode="External"/><Relationship Id="rId35" Type="http://schemas.openxmlformats.org/officeDocument/2006/relationships/hyperlink" Target="https://doi.org/10.1362/026725701323366809"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07AEB-F3C8-480F-BBC5-A38DCB45E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7450</TotalTime>
  <Pages>31</Pages>
  <Words>8363</Words>
  <Characters>47672</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Chambers</dc:creator>
  <cp:keywords/>
  <dc:description/>
  <cp:lastModifiedBy>Denise Chambers</cp:lastModifiedBy>
  <cp:revision>679</cp:revision>
  <dcterms:created xsi:type="dcterms:W3CDTF">2026-06-20T13:32:00Z</dcterms:created>
  <dcterms:modified xsi:type="dcterms:W3CDTF">2026-07-16T22:00:00Z</dcterms:modified>
</cp:coreProperties>
</file>