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ED17CD" w14:textId="5AD5D42F" w:rsidR="008679AE" w:rsidRPr="00D313BB" w:rsidRDefault="00D313BB" w:rsidP="00D313BB">
      <w:pPr>
        <w:spacing w:line="360" w:lineRule="auto"/>
        <w:rPr>
          <w:rFonts w:ascii="Arial" w:hAnsi="Arial" w:cs="Arial"/>
          <w:sz w:val="22"/>
          <w:lang w:val="en-US"/>
        </w:rPr>
      </w:pPr>
      <w:r w:rsidRPr="00D313BB">
        <w:rPr>
          <w:rFonts w:ascii="Arial" w:hAnsi="Arial" w:cs="Arial"/>
          <w:sz w:val="22"/>
          <w:lang w:val="en-US"/>
        </w:rPr>
        <w:t>Student name: Cristina-Elena Enache</w:t>
      </w:r>
    </w:p>
    <w:p w14:paraId="43AE67E4" w14:textId="18042DBC" w:rsidR="00D313BB" w:rsidRPr="00D313BB" w:rsidRDefault="00D313BB" w:rsidP="00D313BB">
      <w:pPr>
        <w:spacing w:line="360" w:lineRule="auto"/>
        <w:rPr>
          <w:rFonts w:ascii="Arial" w:hAnsi="Arial" w:cs="Arial"/>
          <w:sz w:val="22"/>
          <w:lang w:val="en-US"/>
        </w:rPr>
      </w:pPr>
      <w:r w:rsidRPr="00D313BB">
        <w:rPr>
          <w:rFonts w:ascii="Arial" w:hAnsi="Arial" w:cs="Arial"/>
          <w:sz w:val="22"/>
          <w:lang w:val="en-US"/>
        </w:rPr>
        <w:t>Student number: 2026057</w:t>
      </w:r>
    </w:p>
    <w:p w14:paraId="11BFA603" w14:textId="4DF53368" w:rsidR="00D313BB" w:rsidRPr="00D313BB" w:rsidRDefault="00D313BB" w:rsidP="00D313BB">
      <w:pPr>
        <w:spacing w:line="360" w:lineRule="auto"/>
        <w:rPr>
          <w:rFonts w:ascii="Arial" w:hAnsi="Arial" w:cs="Arial"/>
          <w:sz w:val="22"/>
          <w:lang w:val="en-US"/>
        </w:rPr>
      </w:pPr>
      <w:r w:rsidRPr="00D313BB">
        <w:rPr>
          <w:rFonts w:ascii="Arial" w:hAnsi="Arial" w:cs="Arial"/>
          <w:sz w:val="22"/>
          <w:lang w:val="en-US"/>
        </w:rPr>
        <w:t>Module code:</w:t>
      </w:r>
      <w:r w:rsidRPr="00D313BB">
        <w:rPr>
          <w:rFonts w:ascii="Arial" w:hAnsi="Arial" w:cs="Arial"/>
          <w:b/>
          <w:bCs/>
          <w:sz w:val="22"/>
        </w:rPr>
        <w:t xml:space="preserve"> </w:t>
      </w:r>
      <w:r w:rsidRPr="00D313BB">
        <w:rPr>
          <w:rFonts w:ascii="Arial" w:hAnsi="Arial" w:cs="Arial"/>
          <w:sz w:val="22"/>
        </w:rPr>
        <w:t>BMHP6021</w:t>
      </w:r>
    </w:p>
    <w:p w14:paraId="3F6C072C" w14:textId="5FAB3913" w:rsidR="00D313BB" w:rsidRPr="00D313BB" w:rsidRDefault="00D313BB" w:rsidP="00D313BB">
      <w:pPr>
        <w:spacing w:line="360" w:lineRule="auto"/>
        <w:rPr>
          <w:rFonts w:ascii="Arial" w:hAnsi="Arial" w:cs="Arial"/>
          <w:sz w:val="22"/>
          <w:lang w:val="en-US"/>
        </w:rPr>
      </w:pPr>
      <w:r w:rsidRPr="00D313BB">
        <w:rPr>
          <w:rFonts w:ascii="Arial" w:hAnsi="Arial" w:cs="Arial"/>
          <w:sz w:val="22"/>
          <w:lang w:val="en-US"/>
        </w:rPr>
        <w:t>Module name:</w:t>
      </w:r>
      <w:r w:rsidRPr="00D313BB">
        <w:rPr>
          <w:rFonts w:ascii="Arial" w:hAnsi="Arial" w:cs="Arial"/>
          <w:sz w:val="22"/>
        </w:rPr>
        <w:t xml:space="preserve"> </w:t>
      </w:r>
      <w:r w:rsidRPr="00D313BB">
        <w:rPr>
          <w:rFonts w:ascii="Arial" w:hAnsi="Arial" w:cs="Arial"/>
          <w:sz w:val="22"/>
        </w:rPr>
        <w:t>Health, Wellbeing and Sustainable Development</w:t>
      </w:r>
    </w:p>
    <w:p w14:paraId="0167D4CC" w14:textId="1FCCDAF5" w:rsidR="00D313BB" w:rsidRPr="00D313BB" w:rsidRDefault="00D313BB" w:rsidP="00D313BB">
      <w:pPr>
        <w:spacing w:line="360" w:lineRule="auto"/>
        <w:rPr>
          <w:rFonts w:ascii="Arial" w:hAnsi="Arial" w:cs="Arial"/>
          <w:sz w:val="22"/>
          <w:lang w:val="en-US"/>
        </w:rPr>
      </w:pPr>
      <w:r w:rsidRPr="00D313BB">
        <w:rPr>
          <w:rFonts w:ascii="Arial" w:hAnsi="Arial" w:cs="Arial"/>
          <w:sz w:val="22"/>
          <w:lang w:val="en-US"/>
        </w:rPr>
        <w:t>Lecturer name:</w:t>
      </w:r>
      <w:r w:rsidRPr="00D313BB">
        <w:rPr>
          <w:rFonts w:ascii="Arial" w:hAnsi="Arial" w:cs="Arial"/>
          <w:b/>
          <w:sz w:val="22"/>
        </w:rPr>
        <w:t xml:space="preserve"> </w:t>
      </w:r>
      <w:r w:rsidRPr="00D313BB">
        <w:rPr>
          <w:rFonts w:ascii="Arial" w:hAnsi="Arial" w:cs="Arial"/>
          <w:bCs/>
          <w:sz w:val="22"/>
        </w:rPr>
        <w:t>Joanne Davies</w:t>
      </w:r>
    </w:p>
    <w:p w14:paraId="7AB6E511" w14:textId="77777777" w:rsidR="008679AE" w:rsidRPr="00D313BB" w:rsidRDefault="008679AE" w:rsidP="00D313BB">
      <w:pPr>
        <w:spacing w:line="360" w:lineRule="auto"/>
        <w:rPr>
          <w:rFonts w:ascii="Arial" w:hAnsi="Arial" w:cs="Arial"/>
          <w:lang w:val="en-US"/>
        </w:rPr>
      </w:pPr>
    </w:p>
    <w:p w14:paraId="36150D5F" w14:textId="77777777" w:rsidR="00D313BB" w:rsidRPr="00D313BB" w:rsidRDefault="00D313BB" w:rsidP="00D313BB">
      <w:pPr>
        <w:spacing w:line="360" w:lineRule="auto"/>
        <w:rPr>
          <w:rFonts w:ascii="Arial" w:hAnsi="Arial" w:cs="Arial"/>
          <w:lang w:val="en-US"/>
        </w:rPr>
      </w:pPr>
    </w:p>
    <w:p w14:paraId="2BE2B20D" w14:textId="77777777" w:rsidR="00D313BB" w:rsidRPr="00D313BB" w:rsidRDefault="00D313BB" w:rsidP="00D313BB">
      <w:pPr>
        <w:spacing w:line="360" w:lineRule="auto"/>
        <w:rPr>
          <w:rFonts w:ascii="Arial" w:hAnsi="Arial" w:cs="Arial"/>
          <w:lang w:val="en-US"/>
        </w:rPr>
      </w:pPr>
    </w:p>
    <w:p w14:paraId="557EB5F6" w14:textId="77777777" w:rsidR="008679AE" w:rsidRDefault="008679AE" w:rsidP="00D313BB">
      <w:pPr>
        <w:spacing w:line="360" w:lineRule="auto"/>
        <w:rPr>
          <w:rFonts w:ascii="Arial" w:hAnsi="Arial" w:cs="Arial"/>
          <w:lang w:val="en-US"/>
        </w:rPr>
      </w:pPr>
    </w:p>
    <w:p w14:paraId="2D9D97E3" w14:textId="77777777" w:rsidR="004256FB" w:rsidRDefault="004256FB" w:rsidP="00D313BB">
      <w:pPr>
        <w:spacing w:line="360" w:lineRule="auto"/>
        <w:rPr>
          <w:rFonts w:ascii="Arial" w:hAnsi="Arial" w:cs="Arial"/>
          <w:lang w:val="en-US"/>
        </w:rPr>
      </w:pPr>
    </w:p>
    <w:p w14:paraId="3F6F97DB" w14:textId="77777777" w:rsidR="004256FB" w:rsidRDefault="004256FB" w:rsidP="00D313BB">
      <w:pPr>
        <w:spacing w:line="360" w:lineRule="auto"/>
        <w:rPr>
          <w:rFonts w:ascii="Arial" w:hAnsi="Arial" w:cs="Arial"/>
          <w:lang w:val="en-US"/>
        </w:rPr>
      </w:pPr>
    </w:p>
    <w:p w14:paraId="1DC036A0" w14:textId="77777777" w:rsidR="004256FB" w:rsidRDefault="004256FB" w:rsidP="00D313BB">
      <w:pPr>
        <w:spacing w:line="360" w:lineRule="auto"/>
        <w:rPr>
          <w:rFonts w:ascii="Arial" w:hAnsi="Arial" w:cs="Arial"/>
          <w:lang w:val="en-US"/>
        </w:rPr>
      </w:pPr>
    </w:p>
    <w:p w14:paraId="76A267FA" w14:textId="77777777" w:rsidR="004256FB" w:rsidRDefault="004256FB" w:rsidP="00D313BB">
      <w:pPr>
        <w:spacing w:line="360" w:lineRule="auto"/>
        <w:rPr>
          <w:rFonts w:ascii="Arial" w:hAnsi="Arial" w:cs="Arial"/>
          <w:lang w:val="en-US"/>
        </w:rPr>
      </w:pPr>
    </w:p>
    <w:p w14:paraId="5D58E069" w14:textId="77777777" w:rsidR="004256FB" w:rsidRDefault="004256FB" w:rsidP="00D313BB">
      <w:pPr>
        <w:spacing w:line="360" w:lineRule="auto"/>
        <w:rPr>
          <w:rFonts w:ascii="Arial" w:hAnsi="Arial" w:cs="Arial"/>
          <w:lang w:val="en-US"/>
        </w:rPr>
      </w:pPr>
    </w:p>
    <w:p w14:paraId="3C02A8E6" w14:textId="77777777" w:rsidR="004256FB" w:rsidRDefault="004256FB" w:rsidP="00D313BB">
      <w:pPr>
        <w:spacing w:line="360" w:lineRule="auto"/>
        <w:rPr>
          <w:rFonts w:ascii="Arial" w:hAnsi="Arial" w:cs="Arial"/>
          <w:lang w:val="en-US"/>
        </w:rPr>
      </w:pPr>
    </w:p>
    <w:p w14:paraId="6D002E68" w14:textId="77777777" w:rsidR="004256FB" w:rsidRDefault="004256FB" w:rsidP="00D313BB">
      <w:pPr>
        <w:spacing w:line="360" w:lineRule="auto"/>
        <w:rPr>
          <w:rFonts w:ascii="Arial" w:hAnsi="Arial" w:cs="Arial"/>
          <w:lang w:val="en-US"/>
        </w:rPr>
      </w:pPr>
    </w:p>
    <w:p w14:paraId="3712AAD1" w14:textId="77777777" w:rsidR="004256FB" w:rsidRDefault="004256FB" w:rsidP="00D313BB">
      <w:pPr>
        <w:spacing w:line="360" w:lineRule="auto"/>
        <w:rPr>
          <w:rFonts w:ascii="Arial" w:hAnsi="Arial" w:cs="Arial"/>
          <w:lang w:val="en-US"/>
        </w:rPr>
      </w:pPr>
    </w:p>
    <w:p w14:paraId="615185F0" w14:textId="77777777" w:rsidR="004256FB" w:rsidRDefault="004256FB" w:rsidP="00D313BB">
      <w:pPr>
        <w:spacing w:line="360" w:lineRule="auto"/>
        <w:rPr>
          <w:rFonts w:ascii="Arial" w:hAnsi="Arial" w:cs="Arial"/>
          <w:lang w:val="en-US"/>
        </w:rPr>
      </w:pPr>
    </w:p>
    <w:p w14:paraId="0FBA046E" w14:textId="77777777" w:rsidR="004256FB" w:rsidRDefault="004256FB" w:rsidP="00D313BB">
      <w:pPr>
        <w:spacing w:line="360" w:lineRule="auto"/>
        <w:rPr>
          <w:rFonts w:ascii="Arial" w:hAnsi="Arial" w:cs="Arial"/>
          <w:lang w:val="en-US"/>
        </w:rPr>
      </w:pPr>
    </w:p>
    <w:p w14:paraId="76E04CC2" w14:textId="77777777" w:rsidR="004256FB" w:rsidRDefault="004256FB" w:rsidP="00D313BB">
      <w:pPr>
        <w:spacing w:line="360" w:lineRule="auto"/>
        <w:rPr>
          <w:rFonts w:ascii="Arial" w:hAnsi="Arial" w:cs="Arial"/>
          <w:lang w:val="en-US"/>
        </w:rPr>
      </w:pPr>
    </w:p>
    <w:p w14:paraId="57F7761D" w14:textId="77777777" w:rsidR="004256FB" w:rsidRDefault="004256FB" w:rsidP="00D313BB">
      <w:pPr>
        <w:spacing w:line="360" w:lineRule="auto"/>
        <w:rPr>
          <w:rFonts w:ascii="Arial" w:hAnsi="Arial" w:cs="Arial"/>
          <w:lang w:val="en-US"/>
        </w:rPr>
      </w:pPr>
    </w:p>
    <w:p w14:paraId="4F60344F" w14:textId="77777777" w:rsidR="004256FB" w:rsidRDefault="004256FB" w:rsidP="00D313BB">
      <w:pPr>
        <w:spacing w:line="360" w:lineRule="auto"/>
        <w:rPr>
          <w:rFonts w:ascii="Arial" w:hAnsi="Arial" w:cs="Arial"/>
          <w:lang w:val="en-US"/>
        </w:rPr>
      </w:pPr>
    </w:p>
    <w:p w14:paraId="41B0691B" w14:textId="77777777" w:rsidR="004256FB" w:rsidRDefault="004256FB" w:rsidP="00D313BB">
      <w:pPr>
        <w:spacing w:line="360" w:lineRule="auto"/>
        <w:rPr>
          <w:rFonts w:ascii="Arial" w:hAnsi="Arial" w:cs="Arial"/>
          <w:lang w:val="en-US"/>
        </w:rPr>
      </w:pPr>
    </w:p>
    <w:p w14:paraId="1C9019FC" w14:textId="77777777" w:rsidR="004256FB" w:rsidRDefault="004256FB" w:rsidP="00D313BB">
      <w:pPr>
        <w:spacing w:line="360" w:lineRule="auto"/>
        <w:rPr>
          <w:rFonts w:ascii="Arial" w:hAnsi="Arial" w:cs="Arial"/>
          <w:lang w:val="en-US"/>
        </w:rPr>
      </w:pPr>
    </w:p>
    <w:p w14:paraId="72ED1998" w14:textId="77777777" w:rsidR="004256FB" w:rsidRDefault="004256FB" w:rsidP="00D313BB">
      <w:pPr>
        <w:spacing w:line="360" w:lineRule="auto"/>
        <w:rPr>
          <w:rFonts w:ascii="Arial" w:hAnsi="Arial" w:cs="Arial"/>
          <w:lang w:val="en-US"/>
        </w:rPr>
      </w:pPr>
    </w:p>
    <w:p w14:paraId="364F40E1" w14:textId="77777777" w:rsidR="004256FB" w:rsidRDefault="004256FB" w:rsidP="00D313BB">
      <w:pPr>
        <w:spacing w:line="360" w:lineRule="auto"/>
        <w:rPr>
          <w:rFonts w:ascii="Arial" w:hAnsi="Arial" w:cs="Arial"/>
          <w:lang w:val="en-US"/>
        </w:rPr>
      </w:pPr>
    </w:p>
    <w:p w14:paraId="4B0A0C91" w14:textId="77777777" w:rsidR="004256FB" w:rsidRDefault="004256FB" w:rsidP="00D313BB">
      <w:pPr>
        <w:spacing w:line="360" w:lineRule="auto"/>
        <w:rPr>
          <w:rFonts w:ascii="Arial" w:hAnsi="Arial" w:cs="Arial"/>
          <w:lang w:val="en-US"/>
        </w:rPr>
      </w:pPr>
    </w:p>
    <w:p w14:paraId="62F4A349" w14:textId="77777777" w:rsidR="004256FB" w:rsidRDefault="004256FB" w:rsidP="00D313BB">
      <w:pPr>
        <w:spacing w:line="360" w:lineRule="auto"/>
        <w:rPr>
          <w:rFonts w:ascii="Arial" w:hAnsi="Arial" w:cs="Arial"/>
          <w:lang w:val="en-US"/>
        </w:rPr>
      </w:pPr>
    </w:p>
    <w:p w14:paraId="6A50681D" w14:textId="77777777" w:rsidR="004256FB" w:rsidRDefault="004256FB" w:rsidP="00D313BB">
      <w:pPr>
        <w:spacing w:line="360" w:lineRule="auto"/>
        <w:rPr>
          <w:rFonts w:ascii="Arial" w:hAnsi="Arial" w:cs="Arial"/>
          <w:lang w:val="en-US"/>
        </w:rPr>
      </w:pPr>
    </w:p>
    <w:p w14:paraId="6C765D9F" w14:textId="77777777" w:rsidR="004256FB" w:rsidRDefault="004256FB" w:rsidP="00D313BB">
      <w:pPr>
        <w:spacing w:line="360" w:lineRule="auto"/>
        <w:rPr>
          <w:rFonts w:ascii="Arial" w:hAnsi="Arial" w:cs="Arial"/>
          <w:lang w:val="en-US"/>
        </w:rPr>
      </w:pPr>
    </w:p>
    <w:p w14:paraId="5B0CBD9D" w14:textId="77777777" w:rsidR="004256FB" w:rsidRDefault="004256FB" w:rsidP="00D313BB">
      <w:pPr>
        <w:spacing w:line="360" w:lineRule="auto"/>
        <w:rPr>
          <w:rFonts w:ascii="Arial" w:hAnsi="Arial" w:cs="Arial"/>
          <w:lang w:val="en-US"/>
        </w:rPr>
      </w:pPr>
    </w:p>
    <w:p w14:paraId="48FD1C35" w14:textId="77777777" w:rsidR="004256FB" w:rsidRDefault="004256FB" w:rsidP="00D313BB">
      <w:pPr>
        <w:spacing w:line="360" w:lineRule="auto"/>
        <w:rPr>
          <w:rFonts w:ascii="Arial" w:hAnsi="Arial" w:cs="Arial"/>
          <w:lang w:val="en-US"/>
        </w:rPr>
      </w:pPr>
    </w:p>
    <w:p w14:paraId="15B1A1B7" w14:textId="77777777" w:rsidR="004256FB" w:rsidRDefault="004256FB" w:rsidP="00D313BB">
      <w:pPr>
        <w:spacing w:line="360" w:lineRule="auto"/>
        <w:rPr>
          <w:rFonts w:ascii="Arial" w:hAnsi="Arial" w:cs="Arial"/>
          <w:lang w:val="en-US"/>
        </w:rPr>
      </w:pPr>
    </w:p>
    <w:p w14:paraId="3BA732AA" w14:textId="77777777" w:rsidR="004256FB" w:rsidRDefault="004256FB" w:rsidP="00D313BB">
      <w:pPr>
        <w:spacing w:line="360" w:lineRule="auto"/>
        <w:rPr>
          <w:rFonts w:ascii="Arial" w:hAnsi="Arial" w:cs="Arial"/>
          <w:lang w:val="en-US"/>
        </w:rPr>
      </w:pPr>
    </w:p>
    <w:p w14:paraId="3B0E19B7" w14:textId="77777777" w:rsidR="004256FB" w:rsidRDefault="004256FB" w:rsidP="00D313BB">
      <w:pPr>
        <w:spacing w:line="360" w:lineRule="auto"/>
        <w:rPr>
          <w:rFonts w:ascii="Arial" w:hAnsi="Arial" w:cs="Arial"/>
          <w:lang w:val="en-US"/>
        </w:rPr>
      </w:pPr>
    </w:p>
    <w:p w14:paraId="5DB6EC37" w14:textId="77777777" w:rsidR="004256FB" w:rsidRDefault="004256FB" w:rsidP="00D313BB">
      <w:pPr>
        <w:spacing w:line="360" w:lineRule="auto"/>
        <w:rPr>
          <w:rFonts w:ascii="Arial" w:hAnsi="Arial" w:cs="Arial"/>
          <w:lang w:val="en-US"/>
        </w:rPr>
      </w:pPr>
    </w:p>
    <w:p w14:paraId="48404F48" w14:textId="77777777" w:rsidR="004256FB" w:rsidRDefault="004256FB" w:rsidP="00D313BB">
      <w:pPr>
        <w:spacing w:line="360" w:lineRule="auto"/>
        <w:rPr>
          <w:rFonts w:ascii="Arial" w:hAnsi="Arial" w:cs="Arial"/>
          <w:lang w:val="en-US"/>
        </w:rPr>
      </w:pPr>
    </w:p>
    <w:p w14:paraId="18738157" w14:textId="77777777" w:rsidR="004256FB" w:rsidRPr="00D313BB" w:rsidRDefault="004256FB" w:rsidP="00D313BB">
      <w:pPr>
        <w:spacing w:line="360" w:lineRule="auto"/>
        <w:rPr>
          <w:rFonts w:ascii="Arial" w:hAnsi="Arial" w:cs="Arial"/>
          <w:lang w:val="en-US"/>
        </w:rPr>
      </w:pPr>
    </w:p>
    <w:p w14:paraId="791770B6" w14:textId="77777777" w:rsidR="008679AE" w:rsidRPr="00D313BB" w:rsidRDefault="008679AE" w:rsidP="00D313BB">
      <w:pPr>
        <w:spacing w:line="360" w:lineRule="auto"/>
        <w:rPr>
          <w:rFonts w:ascii="Arial" w:hAnsi="Arial" w:cs="Arial"/>
          <w:lang w:val="en-US"/>
        </w:rPr>
      </w:pPr>
    </w:p>
    <w:p w14:paraId="134BE7DD" w14:textId="77777777" w:rsidR="000809F4" w:rsidRPr="00D313BB" w:rsidRDefault="008679AE" w:rsidP="00D313BB">
      <w:pPr>
        <w:spacing w:line="360" w:lineRule="auto"/>
        <w:jc w:val="center"/>
        <w:rPr>
          <w:rFonts w:ascii="Arial" w:hAnsi="Arial" w:cs="Arial"/>
          <w:b/>
          <w:bCs/>
          <w:sz w:val="32"/>
          <w:szCs w:val="28"/>
          <w:lang w:val="en-US"/>
        </w:rPr>
      </w:pPr>
      <w:r w:rsidRPr="00D313BB">
        <w:rPr>
          <w:rFonts w:ascii="Arial" w:hAnsi="Arial" w:cs="Arial"/>
          <w:b/>
          <w:bCs/>
          <w:sz w:val="32"/>
          <w:szCs w:val="28"/>
          <w:lang w:val="en-US"/>
        </w:rPr>
        <w:t>Progress on Sustainable Development Goals in the UK</w:t>
      </w:r>
    </w:p>
    <w:p w14:paraId="620AB292" w14:textId="77777777" w:rsidR="008679AE" w:rsidRPr="00D313BB" w:rsidRDefault="008679AE" w:rsidP="00D313BB">
      <w:pPr>
        <w:spacing w:line="360" w:lineRule="auto"/>
        <w:jc w:val="center"/>
        <w:rPr>
          <w:rFonts w:ascii="Arial" w:hAnsi="Arial" w:cs="Arial"/>
          <w:szCs w:val="24"/>
          <w:lang w:val="en-US"/>
        </w:rPr>
      </w:pPr>
    </w:p>
    <w:p w14:paraId="713DF8DB" w14:textId="77777777" w:rsidR="000809F4" w:rsidRPr="00D313BB" w:rsidRDefault="000809F4" w:rsidP="00D313BB">
      <w:pPr>
        <w:spacing w:line="360" w:lineRule="auto"/>
        <w:rPr>
          <w:rFonts w:ascii="Arial" w:eastAsiaTheme="majorEastAsia" w:hAnsi="Arial" w:cs="Arial"/>
          <w:color w:val="2F5496" w:themeColor="accent1" w:themeShade="BF"/>
          <w:szCs w:val="24"/>
          <w:lang w:val="en-US"/>
        </w:rPr>
      </w:pPr>
      <w:r w:rsidRPr="00D313BB">
        <w:rPr>
          <w:rFonts w:ascii="Arial" w:hAnsi="Arial" w:cs="Arial"/>
          <w:szCs w:val="24"/>
          <w:lang w:val="en-US"/>
        </w:rPr>
        <w:br w:type="page"/>
      </w:r>
    </w:p>
    <w:sdt>
      <w:sdtPr>
        <w:rPr>
          <w:rFonts w:ascii="Arial" w:eastAsiaTheme="minorHAnsi" w:hAnsi="Arial" w:cs="Arial"/>
          <w:color w:val="auto"/>
          <w:sz w:val="24"/>
          <w:szCs w:val="24"/>
          <w:lang/>
        </w:rPr>
        <w:id w:val="902099698"/>
        <w:docPartObj>
          <w:docPartGallery w:val="Table of Contents"/>
          <w:docPartUnique/>
        </w:docPartObj>
      </w:sdtPr>
      <w:sdtEndPr>
        <w:rPr>
          <w:b/>
          <w:bCs/>
          <w:noProof/>
        </w:rPr>
      </w:sdtEndPr>
      <w:sdtContent>
        <w:p w14:paraId="7180EE8E" w14:textId="77777777" w:rsidR="000809F4" w:rsidRPr="00392C8C" w:rsidRDefault="000809F4" w:rsidP="00F36C92">
          <w:pPr>
            <w:pStyle w:val="TOCHeading"/>
            <w:spacing w:line="360" w:lineRule="auto"/>
            <w:jc w:val="both"/>
            <w:rPr>
              <w:rFonts w:ascii="Arial" w:hAnsi="Arial" w:cs="Arial"/>
              <w:sz w:val="24"/>
              <w:szCs w:val="24"/>
            </w:rPr>
          </w:pPr>
          <w:r w:rsidRPr="00392C8C">
            <w:rPr>
              <w:rFonts w:ascii="Arial" w:hAnsi="Arial" w:cs="Arial"/>
              <w:sz w:val="24"/>
              <w:szCs w:val="24"/>
            </w:rPr>
            <w:t>Contents</w:t>
          </w:r>
        </w:p>
        <w:p w14:paraId="6BF1C855" w14:textId="4427A33A" w:rsidR="00F36C92" w:rsidRDefault="000809F4"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r w:rsidRPr="00392C8C">
            <w:rPr>
              <w:rFonts w:ascii="Arial" w:hAnsi="Arial" w:cs="Arial"/>
              <w:szCs w:val="24"/>
            </w:rPr>
            <w:fldChar w:fldCharType="begin"/>
          </w:r>
          <w:r w:rsidRPr="00392C8C">
            <w:rPr>
              <w:rFonts w:ascii="Arial" w:hAnsi="Arial" w:cs="Arial"/>
              <w:szCs w:val="24"/>
            </w:rPr>
            <w:instrText xml:space="preserve"> TOC \o "1-3" \h \z \u </w:instrText>
          </w:r>
          <w:r w:rsidRPr="00392C8C">
            <w:rPr>
              <w:rFonts w:ascii="Arial" w:hAnsi="Arial" w:cs="Arial"/>
              <w:szCs w:val="24"/>
            </w:rPr>
            <w:fldChar w:fldCharType="separate"/>
          </w:r>
          <w:hyperlink w:anchor="_Toc152268708" w:history="1">
            <w:r w:rsidR="00F36C92" w:rsidRPr="004F59EB">
              <w:rPr>
                <w:rStyle w:val="Hyperlink"/>
                <w:rFonts w:ascii="Arial" w:hAnsi="Arial" w:cs="Arial"/>
                <w:noProof/>
                <w:lang w:val="en-US"/>
              </w:rPr>
              <w:t>Summary</w:t>
            </w:r>
            <w:r w:rsidR="00F36C92">
              <w:rPr>
                <w:noProof/>
                <w:webHidden/>
              </w:rPr>
              <w:tab/>
            </w:r>
            <w:r w:rsidR="00F36C92">
              <w:rPr>
                <w:noProof/>
                <w:webHidden/>
              </w:rPr>
              <w:fldChar w:fldCharType="begin"/>
            </w:r>
            <w:r w:rsidR="00F36C92">
              <w:rPr>
                <w:noProof/>
                <w:webHidden/>
              </w:rPr>
              <w:instrText xml:space="preserve"> PAGEREF _Toc152268708 \h </w:instrText>
            </w:r>
            <w:r w:rsidR="00F36C92">
              <w:rPr>
                <w:noProof/>
                <w:webHidden/>
              </w:rPr>
            </w:r>
            <w:r w:rsidR="00F36C92">
              <w:rPr>
                <w:noProof/>
                <w:webHidden/>
              </w:rPr>
              <w:fldChar w:fldCharType="separate"/>
            </w:r>
            <w:r w:rsidR="00F36C92">
              <w:rPr>
                <w:noProof/>
                <w:webHidden/>
              </w:rPr>
              <w:t>4</w:t>
            </w:r>
            <w:r w:rsidR="00F36C92">
              <w:rPr>
                <w:noProof/>
                <w:webHidden/>
              </w:rPr>
              <w:fldChar w:fldCharType="end"/>
            </w:r>
          </w:hyperlink>
        </w:p>
        <w:p w14:paraId="359F6695" w14:textId="318A6A37"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09" w:history="1">
            <w:r w:rsidRPr="004F59EB">
              <w:rPr>
                <w:rStyle w:val="Hyperlink"/>
                <w:rFonts w:ascii="Arial" w:hAnsi="Arial" w:cs="Arial"/>
                <w:noProof/>
              </w:rPr>
              <w:t>Introductio</w:t>
            </w:r>
            <w:r w:rsidRPr="004F59EB">
              <w:rPr>
                <w:rStyle w:val="Hyperlink"/>
                <w:rFonts w:ascii="Arial" w:hAnsi="Arial" w:cs="Arial"/>
                <w:noProof/>
                <w:lang w:val="en-GB"/>
              </w:rPr>
              <w:t>n</w:t>
            </w:r>
            <w:r>
              <w:rPr>
                <w:noProof/>
                <w:webHidden/>
              </w:rPr>
              <w:tab/>
            </w:r>
            <w:r>
              <w:rPr>
                <w:noProof/>
                <w:webHidden/>
              </w:rPr>
              <w:fldChar w:fldCharType="begin"/>
            </w:r>
            <w:r>
              <w:rPr>
                <w:noProof/>
                <w:webHidden/>
              </w:rPr>
              <w:instrText xml:space="preserve"> PAGEREF _Toc152268709 \h </w:instrText>
            </w:r>
            <w:r>
              <w:rPr>
                <w:noProof/>
                <w:webHidden/>
              </w:rPr>
            </w:r>
            <w:r>
              <w:rPr>
                <w:noProof/>
                <w:webHidden/>
              </w:rPr>
              <w:fldChar w:fldCharType="separate"/>
            </w:r>
            <w:r>
              <w:rPr>
                <w:noProof/>
                <w:webHidden/>
              </w:rPr>
              <w:t>5</w:t>
            </w:r>
            <w:r>
              <w:rPr>
                <w:noProof/>
                <w:webHidden/>
              </w:rPr>
              <w:fldChar w:fldCharType="end"/>
            </w:r>
          </w:hyperlink>
        </w:p>
        <w:p w14:paraId="3F2F25CA" w14:textId="694DA9A5"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0" w:history="1">
            <w:r w:rsidRPr="004F59EB">
              <w:rPr>
                <w:rStyle w:val="Hyperlink"/>
                <w:rFonts w:ascii="Arial" w:hAnsi="Arial" w:cs="Arial"/>
                <w:noProof/>
              </w:rPr>
              <w:t>Introduction</w:t>
            </w:r>
            <w:r w:rsidRPr="004F59EB">
              <w:rPr>
                <w:rStyle w:val="Hyperlink"/>
                <w:rFonts w:ascii="Arial" w:hAnsi="Arial" w:cs="Arial"/>
                <w:noProof/>
                <w:lang w:val="en-US"/>
              </w:rPr>
              <w:t xml:space="preserve"> to concepts</w:t>
            </w:r>
            <w:r>
              <w:rPr>
                <w:noProof/>
                <w:webHidden/>
              </w:rPr>
              <w:tab/>
            </w:r>
            <w:r>
              <w:rPr>
                <w:noProof/>
                <w:webHidden/>
              </w:rPr>
              <w:fldChar w:fldCharType="begin"/>
            </w:r>
            <w:r>
              <w:rPr>
                <w:noProof/>
                <w:webHidden/>
              </w:rPr>
              <w:instrText xml:space="preserve"> PAGEREF _Toc152268710 \h </w:instrText>
            </w:r>
            <w:r>
              <w:rPr>
                <w:noProof/>
                <w:webHidden/>
              </w:rPr>
            </w:r>
            <w:r>
              <w:rPr>
                <w:noProof/>
                <w:webHidden/>
              </w:rPr>
              <w:fldChar w:fldCharType="separate"/>
            </w:r>
            <w:r>
              <w:rPr>
                <w:noProof/>
                <w:webHidden/>
              </w:rPr>
              <w:t>7</w:t>
            </w:r>
            <w:r>
              <w:rPr>
                <w:noProof/>
                <w:webHidden/>
              </w:rPr>
              <w:fldChar w:fldCharType="end"/>
            </w:r>
          </w:hyperlink>
        </w:p>
        <w:p w14:paraId="0EC9910D" w14:textId="095BD56A"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1" w:history="1">
            <w:r w:rsidRPr="004F59EB">
              <w:rPr>
                <w:rStyle w:val="Hyperlink"/>
                <w:rFonts w:ascii="Arial" w:hAnsi="Arial" w:cs="Arial"/>
                <w:noProof/>
              </w:rPr>
              <w:t>Well-being, Sustainable Development, Health, and the SDGs: Interconnections</w:t>
            </w:r>
            <w:r>
              <w:rPr>
                <w:noProof/>
                <w:webHidden/>
              </w:rPr>
              <w:tab/>
            </w:r>
            <w:r>
              <w:rPr>
                <w:noProof/>
                <w:webHidden/>
              </w:rPr>
              <w:fldChar w:fldCharType="begin"/>
            </w:r>
            <w:r>
              <w:rPr>
                <w:noProof/>
                <w:webHidden/>
              </w:rPr>
              <w:instrText xml:space="preserve"> PAGEREF _Toc152268711 \h </w:instrText>
            </w:r>
            <w:r>
              <w:rPr>
                <w:noProof/>
                <w:webHidden/>
              </w:rPr>
            </w:r>
            <w:r>
              <w:rPr>
                <w:noProof/>
                <w:webHidden/>
              </w:rPr>
              <w:fldChar w:fldCharType="separate"/>
            </w:r>
            <w:r>
              <w:rPr>
                <w:noProof/>
                <w:webHidden/>
              </w:rPr>
              <w:t>8</w:t>
            </w:r>
            <w:r>
              <w:rPr>
                <w:noProof/>
                <w:webHidden/>
              </w:rPr>
              <w:fldChar w:fldCharType="end"/>
            </w:r>
          </w:hyperlink>
        </w:p>
        <w:p w14:paraId="65CE4AF4" w14:textId="4E37F91B"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2" w:history="1">
            <w:r w:rsidRPr="004F59EB">
              <w:rPr>
                <w:rStyle w:val="Hyperlink"/>
                <w:rFonts w:ascii="Arial" w:hAnsi="Arial" w:cs="Arial"/>
                <w:noProof/>
              </w:rPr>
              <w:t>Addressing the Intersections</w:t>
            </w:r>
            <w:r>
              <w:rPr>
                <w:noProof/>
                <w:webHidden/>
              </w:rPr>
              <w:tab/>
            </w:r>
            <w:r>
              <w:rPr>
                <w:noProof/>
                <w:webHidden/>
              </w:rPr>
              <w:fldChar w:fldCharType="begin"/>
            </w:r>
            <w:r>
              <w:rPr>
                <w:noProof/>
                <w:webHidden/>
              </w:rPr>
              <w:instrText xml:space="preserve"> PAGEREF _Toc152268712 \h </w:instrText>
            </w:r>
            <w:r>
              <w:rPr>
                <w:noProof/>
                <w:webHidden/>
              </w:rPr>
            </w:r>
            <w:r>
              <w:rPr>
                <w:noProof/>
                <w:webHidden/>
              </w:rPr>
              <w:fldChar w:fldCharType="separate"/>
            </w:r>
            <w:r>
              <w:rPr>
                <w:noProof/>
                <w:webHidden/>
              </w:rPr>
              <w:t>9</w:t>
            </w:r>
            <w:r>
              <w:rPr>
                <w:noProof/>
                <w:webHidden/>
              </w:rPr>
              <w:fldChar w:fldCharType="end"/>
            </w:r>
          </w:hyperlink>
        </w:p>
        <w:p w14:paraId="361E6B6D" w14:textId="424D380B"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3" w:history="1">
            <w:r w:rsidRPr="004F59EB">
              <w:rPr>
                <w:rStyle w:val="Hyperlink"/>
                <w:rFonts w:ascii="Arial" w:hAnsi="Arial" w:cs="Arial"/>
                <w:noProof/>
                <w:lang w:val="en-US"/>
              </w:rPr>
              <w:t xml:space="preserve">Goal 3: </w:t>
            </w:r>
            <w:r w:rsidRPr="004F59EB">
              <w:rPr>
                <w:rStyle w:val="Hyperlink"/>
                <w:rFonts w:ascii="Arial" w:hAnsi="Arial" w:cs="Arial"/>
                <w:noProof/>
              </w:rPr>
              <w:t>Ensuring Healthy Lives and Well-being</w:t>
            </w:r>
            <w:r>
              <w:rPr>
                <w:noProof/>
                <w:webHidden/>
              </w:rPr>
              <w:tab/>
            </w:r>
            <w:r>
              <w:rPr>
                <w:noProof/>
                <w:webHidden/>
              </w:rPr>
              <w:fldChar w:fldCharType="begin"/>
            </w:r>
            <w:r>
              <w:rPr>
                <w:noProof/>
                <w:webHidden/>
              </w:rPr>
              <w:instrText xml:space="preserve"> PAGEREF _Toc152268713 \h </w:instrText>
            </w:r>
            <w:r>
              <w:rPr>
                <w:noProof/>
                <w:webHidden/>
              </w:rPr>
            </w:r>
            <w:r>
              <w:rPr>
                <w:noProof/>
                <w:webHidden/>
              </w:rPr>
              <w:fldChar w:fldCharType="separate"/>
            </w:r>
            <w:r>
              <w:rPr>
                <w:noProof/>
                <w:webHidden/>
              </w:rPr>
              <w:t>9</w:t>
            </w:r>
            <w:r>
              <w:rPr>
                <w:noProof/>
                <w:webHidden/>
              </w:rPr>
              <w:fldChar w:fldCharType="end"/>
            </w:r>
          </w:hyperlink>
        </w:p>
        <w:p w14:paraId="480C06F2" w14:textId="4F85A4C7"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4" w:history="1">
            <w:r w:rsidRPr="004F59EB">
              <w:rPr>
                <w:rStyle w:val="Hyperlink"/>
                <w:rFonts w:ascii="Arial" w:hAnsi="Arial" w:cs="Arial"/>
                <w:noProof/>
              </w:rPr>
              <w:t>Goal 4: Quality Education for All</w:t>
            </w:r>
            <w:r>
              <w:rPr>
                <w:noProof/>
                <w:webHidden/>
              </w:rPr>
              <w:tab/>
            </w:r>
            <w:r>
              <w:rPr>
                <w:noProof/>
                <w:webHidden/>
              </w:rPr>
              <w:fldChar w:fldCharType="begin"/>
            </w:r>
            <w:r>
              <w:rPr>
                <w:noProof/>
                <w:webHidden/>
              </w:rPr>
              <w:instrText xml:space="preserve"> PAGEREF _Toc152268714 \h </w:instrText>
            </w:r>
            <w:r>
              <w:rPr>
                <w:noProof/>
                <w:webHidden/>
              </w:rPr>
            </w:r>
            <w:r>
              <w:rPr>
                <w:noProof/>
                <w:webHidden/>
              </w:rPr>
              <w:fldChar w:fldCharType="separate"/>
            </w:r>
            <w:r>
              <w:rPr>
                <w:noProof/>
                <w:webHidden/>
              </w:rPr>
              <w:t>12</w:t>
            </w:r>
            <w:r>
              <w:rPr>
                <w:noProof/>
                <w:webHidden/>
              </w:rPr>
              <w:fldChar w:fldCharType="end"/>
            </w:r>
          </w:hyperlink>
        </w:p>
        <w:p w14:paraId="10733D4C" w14:textId="765DB4C8"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5" w:history="1">
            <w:r w:rsidRPr="004F59EB">
              <w:rPr>
                <w:rStyle w:val="Hyperlink"/>
                <w:rFonts w:ascii="Arial" w:hAnsi="Arial" w:cs="Arial"/>
                <w:noProof/>
              </w:rPr>
              <w:t>UK Strategies/Programmes for Goal 4:</w:t>
            </w:r>
            <w:r>
              <w:rPr>
                <w:noProof/>
                <w:webHidden/>
              </w:rPr>
              <w:tab/>
            </w:r>
            <w:r>
              <w:rPr>
                <w:noProof/>
                <w:webHidden/>
              </w:rPr>
              <w:fldChar w:fldCharType="begin"/>
            </w:r>
            <w:r>
              <w:rPr>
                <w:noProof/>
                <w:webHidden/>
              </w:rPr>
              <w:instrText xml:space="preserve"> PAGEREF _Toc152268715 \h </w:instrText>
            </w:r>
            <w:r>
              <w:rPr>
                <w:noProof/>
                <w:webHidden/>
              </w:rPr>
            </w:r>
            <w:r>
              <w:rPr>
                <w:noProof/>
                <w:webHidden/>
              </w:rPr>
              <w:fldChar w:fldCharType="separate"/>
            </w:r>
            <w:r>
              <w:rPr>
                <w:noProof/>
                <w:webHidden/>
              </w:rPr>
              <w:t>13</w:t>
            </w:r>
            <w:r>
              <w:rPr>
                <w:noProof/>
                <w:webHidden/>
              </w:rPr>
              <w:fldChar w:fldCharType="end"/>
            </w:r>
          </w:hyperlink>
        </w:p>
        <w:p w14:paraId="300335BF" w14:textId="5E57CC65"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6" w:history="1">
            <w:r w:rsidRPr="004F59EB">
              <w:rPr>
                <w:rStyle w:val="Hyperlink"/>
                <w:rFonts w:ascii="Arial" w:hAnsi="Arial" w:cs="Arial"/>
                <w:noProof/>
              </w:rPr>
              <w:t>Critical Review of Strategies/Programmes for Goal 4</w:t>
            </w:r>
            <w:r>
              <w:rPr>
                <w:noProof/>
                <w:webHidden/>
              </w:rPr>
              <w:tab/>
            </w:r>
            <w:r>
              <w:rPr>
                <w:noProof/>
                <w:webHidden/>
              </w:rPr>
              <w:fldChar w:fldCharType="begin"/>
            </w:r>
            <w:r>
              <w:rPr>
                <w:noProof/>
                <w:webHidden/>
              </w:rPr>
              <w:instrText xml:space="preserve"> PAGEREF _Toc152268716 \h </w:instrText>
            </w:r>
            <w:r>
              <w:rPr>
                <w:noProof/>
                <w:webHidden/>
              </w:rPr>
            </w:r>
            <w:r>
              <w:rPr>
                <w:noProof/>
                <w:webHidden/>
              </w:rPr>
              <w:fldChar w:fldCharType="separate"/>
            </w:r>
            <w:r>
              <w:rPr>
                <w:noProof/>
                <w:webHidden/>
              </w:rPr>
              <w:t>13</w:t>
            </w:r>
            <w:r>
              <w:rPr>
                <w:noProof/>
                <w:webHidden/>
              </w:rPr>
              <w:fldChar w:fldCharType="end"/>
            </w:r>
          </w:hyperlink>
        </w:p>
        <w:p w14:paraId="0631AF84" w14:textId="79DF39E3"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7" w:history="1">
            <w:r w:rsidRPr="004F59EB">
              <w:rPr>
                <w:rStyle w:val="Hyperlink"/>
                <w:rFonts w:ascii="Arial" w:hAnsi="Arial" w:cs="Arial"/>
                <w:noProof/>
              </w:rPr>
              <w:t>Progress on Goal 4 in the UK</w:t>
            </w:r>
            <w:r>
              <w:rPr>
                <w:noProof/>
                <w:webHidden/>
              </w:rPr>
              <w:tab/>
            </w:r>
            <w:r>
              <w:rPr>
                <w:noProof/>
                <w:webHidden/>
              </w:rPr>
              <w:fldChar w:fldCharType="begin"/>
            </w:r>
            <w:r>
              <w:rPr>
                <w:noProof/>
                <w:webHidden/>
              </w:rPr>
              <w:instrText xml:space="preserve"> PAGEREF _Toc152268717 \h </w:instrText>
            </w:r>
            <w:r>
              <w:rPr>
                <w:noProof/>
                <w:webHidden/>
              </w:rPr>
            </w:r>
            <w:r>
              <w:rPr>
                <w:noProof/>
                <w:webHidden/>
              </w:rPr>
              <w:fldChar w:fldCharType="separate"/>
            </w:r>
            <w:r>
              <w:rPr>
                <w:noProof/>
                <w:webHidden/>
              </w:rPr>
              <w:t>14</w:t>
            </w:r>
            <w:r>
              <w:rPr>
                <w:noProof/>
                <w:webHidden/>
              </w:rPr>
              <w:fldChar w:fldCharType="end"/>
            </w:r>
          </w:hyperlink>
        </w:p>
        <w:p w14:paraId="3B27073D" w14:textId="411920EA"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8" w:history="1">
            <w:r w:rsidRPr="004F59EB">
              <w:rPr>
                <w:rStyle w:val="Hyperlink"/>
                <w:rFonts w:ascii="Arial" w:hAnsi="Arial" w:cs="Arial"/>
                <w:noProof/>
              </w:rPr>
              <w:t>Impact of Goal 4 on Health, Well-being, and Sustainable Development</w:t>
            </w:r>
            <w:r>
              <w:rPr>
                <w:noProof/>
                <w:webHidden/>
              </w:rPr>
              <w:tab/>
            </w:r>
            <w:r>
              <w:rPr>
                <w:noProof/>
                <w:webHidden/>
              </w:rPr>
              <w:fldChar w:fldCharType="begin"/>
            </w:r>
            <w:r>
              <w:rPr>
                <w:noProof/>
                <w:webHidden/>
              </w:rPr>
              <w:instrText xml:space="preserve"> PAGEREF _Toc152268718 \h </w:instrText>
            </w:r>
            <w:r>
              <w:rPr>
                <w:noProof/>
                <w:webHidden/>
              </w:rPr>
            </w:r>
            <w:r>
              <w:rPr>
                <w:noProof/>
                <w:webHidden/>
              </w:rPr>
              <w:fldChar w:fldCharType="separate"/>
            </w:r>
            <w:r>
              <w:rPr>
                <w:noProof/>
                <w:webHidden/>
              </w:rPr>
              <w:t>14</w:t>
            </w:r>
            <w:r>
              <w:rPr>
                <w:noProof/>
                <w:webHidden/>
              </w:rPr>
              <w:fldChar w:fldCharType="end"/>
            </w:r>
          </w:hyperlink>
        </w:p>
        <w:p w14:paraId="634D700C" w14:textId="156B5B66" w:rsidR="00F36C92" w:rsidRDefault="00F36C92" w:rsidP="00F36C92">
          <w:pPr>
            <w:pStyle w:val="TOC2"/>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19" w:history="1">
            <w:r w:rsidRPr="004F59EB">
              <w:rPr>
                <w:rStyle w:val="Hyperlink"/>
                <w:rFonts w:ascii="Arial" w:hAnsi="Arial" w:cs="Arial"/>
                <w:noProof/>
              </w:rPr>
              <w:t>Challenges in Implementing Goal 4</w:t>
            </w:r>
            <w:r>
              <w:rPr>
                <w:noProof/>
                <w:webHidden/>
              </w:rPr>
              <w:tab/>
            </w:r>
            <w:r>
              <w:rPr>
                <w:noProof/>
                <w:webHidden/>
              </w:rPr>
              <w:fldChar w:fldCharType="begin"/>
            </w:r>
            <w:r>
              <w:rPr>
                <w:noProof/>
                <w:webHidden/>
              </w:rPr>
              <w:instrText xml:space="preserve"> PAGEREF _Toc152268719 \h </w:instrText>
            </w:r>
            <w:r>
              <w:rPr>
                <w:noProof/>
                <w:webHidden/>
              </w:rPr>
            </w:r>
            <w:r>
              <w:rPr>
                <w:noProof/>
                <w:webHidden/>
              </w:rPr>
              <w:fldChar w:fldCharType="separate"/>
            </w:r>
            <w:r>
              <w:rPr>
                <w:noProof/>
                <w:webHidden/>
              </w:rPr>
              <w:t>15</w:t>
            </w:r>
            <w:r>
              <w:rPr>
                <w:noProof/>
                <w:webHidden/>
              </w:rPr>
              <w:fldChar w:fldCharType="end"/>
            </w:r>
          </w:hyperlink>
        </w:p>
        <w:p w14:paraId="2CD061BD" w14:textId="11084E45"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20" w:history="1">
            <w:r w:rsidRPr="004F59EB">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_Toc152268720 \h </w:instrText>
            </w:r>
            <w:r>
              <w:rPr>
                <w:noProof/>
                <w:webHidden/>
              </w:rPr>
            </w:r>
            <w:r>
              <w:rPr>
                <w:noProof/>
                <w:webHidden/>
              </w:rPr>
              <w:fldChar w:fldCharType="separate"/>
            </w:r>
            <w:r>
              <w:rPr>
                <w:noProof/>
                <w:webHidden/>
              </w:rPr>
              <w:t>16</w:t>
            </w:r>
            <w:r>
              <w:rPr>
                <w:noProof/>
                <w:webHidden/>
              </w:rPr>
              <w:fldChar w:fldCharType="end"/>
            </w:r>
          </w:hyperlink>
        </w:p>
        <w:p w14:paraId="51426048" w14:textId="26875606" w:rsidR="00F36C92" w:rsidRDefault="00F36C92" w:rsidP="00F36C92">
          <w:pPr>
            <w:pStyle w:val="TOC1"/>
            <w:tabs>
              <w:tab w:val="right" w:leader="dot" w:pos="9350"/>
            </w:tabs>
            <w:jc w:val="both"/>
            <w:rPr>
              <w:rFonts w:asciiTheme="minorHAnsi" w:eastAsiaTheme="minorEastAsia" w:hAnsiTheme="minorHAnsi"/>
              <w:noProof/>
              <w:kern w:val="2"/>
              <w:sz w:val="22"/>
              <w:lang w:val="en-GB" w:eastAsia="en-GB"/>
              <w14:ligatures w14:val="standardContextual"/>
            </w:rPr>
          </w:pPr>
          <w:hyperlink w:anchor="_Toc152268721" w:history="1">
            <w:r w:rsidRPr="004F59EB">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_Toc152268721 \h </w:instrText>
            </w:r>
            <w:r>
              <w:rPr>
                <w:noProof/>
                <w:webHidden/>
              </w:rPr>
            </w:r>
            <w:r>
              <w:rPr>
                <w:noProof/>
                <w:webHidden/>
              </w:rPr>
              <w:fldChar w:fldCharType="separate"/>
            </w:r>
            <w:r>
              <w:rPr>
                <w:noProof/>
                <w:webHidden/>
              </w:rPr>
              <w:t>18</w:t>
            </w:r>
            <w:r>
              <w:rPr>
                <w:noProof/>
                <w:webHidden/>
              </w:rPr>
              <w:fldChar w:fldCharType="end"/>
            </w:r>
          </w:hyperlink>
        </w:p>
        <w:p w14:paraId="2361EB6E" w14:textId="7A749513" w:rsidR="000809F4" w:rsidRPr="00392C8C" w:rsidRDefault="000809F4" w:rsidP="00F36C92">
          <w:pPr>
            <w:spacing w:line="360" w:lineRule="auto"/>
            <w:jc w:val="both"/>
            <w:rPr>
              <w:rFonts w:ascii="Arial" w:hAnsi="Arial" w:cs="Arial"/>
              <w:szCs w:val="24"/>
            </w:rPr>
          </w:pPr>
          <w:r w:rsidRPr="00392C8C">
            <w:rPr>
              <w:rFonts w:ascii="Arial" w:hAnsi="Arial" w:cs="Arial"/>
              <w:b/>
              <w:bCs/>
              <w:noProof/>
              <w:szCs w:val="24"/>
            </w:rPr>
            <w:fldChar w:fldCharType="end"/>
          </w:r>
        </w:p>
      </w:sdtContent>
    </w:sdt>
    <w:p w14:paraId="7E919EEB" w14:textId="77777777" w:rsidR="000809F4" w:rsidRPr="00392C8C" w:rsidRDefault="000809F4" w:rsidP="00FB45B2">
      <w:pPr>
        <w:pStyle w:val="Heading1"/>
        <w:spacing w:line="360" w:lineRule="auto"/>
        <w:rPr>
          <w:rFonts w:ascii="Arial" w:hAnsi="Arial" w:cs="Arial"/>
          <w:sz w:val="24"/>
          <w:szCs w:val="24"/>
          <w:lang w:val="en-US"/>
        </w:rPr>
      </w:pPr>
    </w:p>
    <w:p w14:paraId="60ACB053" w14:textId="24F5D05A" w:rsidR="004B4485" w:rsidRPr="004B4485" w:rsidRDefault="000809F4" w:rsidP="004B4485">
      <w:pPr>
        <w:spacing w:line="360" w:lineRule="auto"/>
        <w:rPr>
          <w:rFonts w:ascii="Arial" w:eastAsiaTheme="majorEastAsia" w:hAnsi="Arial" w:cs="Arial"/>
          <w:color w:val="2F5496" w:themeColor="accent1" w:themeShade="BF"/>
          <w:szCs w:val="24"/>
          <w:lang w:val="en-US"/>
        </w:rPr>
      </w:pPr>
      <w:r w:rsidRPr="00392C8C">
        <w:rPr>
          <w:rFonts w:ascii="Arial" w:hAnsi="Arial" w:cs="Arial"/>
          <w:szCs w:val="24"/>
          <w:lang w:val="en-US"/>
        </w:rPr>
        <w:br w:type="page"/>
      </w:r>
    </w:p>
    <w:p w14:paraId="47585B55" w14:textId="4909F824" w:rsidR="004B4485" w:rsidRPr="004B4485" w:rsidRDefault="000809F4" w:rsidP="004B4485">
      <w:pPr>
        <w:pStyle w:val="Heading1"/>
        <w:spacing w:line="360" w:lineRule="auto"/>
        <w:jc w:val="center"/>
        <w:rPr>
          <w:rFonts w:ascii="Arial" w:hAnsi="Arial" w:cs="Arial"/>
          <w:sz w:val="22"/>
          <w:szCs w:val="22"/>
          <w:lang w:val="en-US"/>
        </w:rPr>
      </w:pPr>
      <w:r w:rsidRPr="004B4485">
        <w:rPr>
          <w:rFonts w:ascii="Arial" w:hAnsi="Arial" w:cs="Arial"/>
          <w:sz w:val="22"/>
          <w:szCs w:val="22"/>
          <w:lang w:val="en-US"/>
        </w:rPr>
        <w:lastRenderedPageBreak/>
        <w:t xml:space="preserve"> </w:t>
      </w:r>
      <w:bookmarkStart w:id="0" w:name="_Toc152268708"/>
      <w:r w:rsidR="00D313BB" w:rsidRPr="004B4485">
        <w:rPr>
          <w:rFonts w:ascii="Arial" w:hAnsi="Arial" w:cs="Arial"/>
          <w:sz w:val="22"/>
          <w:szCs w:val="22"/>
          <w:lang w:val="en-US"/>
        </w:rPr>
        <w:t>S</w:t>
      </w:r>
      <w:r w:rsidRPr="004B4485">
        <w:rPr>
          <w:rFonts w:ascii="Arial" w:hAnsi="Arial" w:cs="Arial"/>
          <w:sz w:val="22"/>
          <w:szCs w:val="22"/>
          <w:lang w:val="en-US"/>
        </w:rPr>
        <w:t>ummary</w:t>
      </w:r>
      <w:bookmarkEnd w:id="0"/>
    </w:p>
    <w:p w14:paraId="62384D2E" w14:textId="77777777" w:rsidR="004B4485" w:rsidRPr="004B4485" w:rsidRDefault="004B4485" w:rsidP="004B4485">
      <w:pPr>
        <w:spacing w:line="360" w:lineRule="auto"/>
        <w:rPr>
          <w:rFonts w:ascii="Arial" w:hAnsi="Arial" w:cs="Arial"/>
          <w:sz w:val="22"/>
          <w:lang w:val="en-US"/>
        </w:rPr>
      </w:pPr>
    </w:p>
    <w:p w14:paraId="02373024" w14:textId="77777777" w:rsidR="000809F4" w:rsidRPr="004B4485" w:rsidRDefault="000809F4" w:rsidP="004B4485">
      <w:pPr>
        <w:spacing w:line="360" w:lineRule="auto"/>
        <w:ind w:firstLine="720"/>
        <w:rPr>
          <w:rFonts w:ascii="Arial" w:hAnsi="Arial" w:cs="Arial"/>
          <w:sz w:val="22"/>
        </w:rPr>
      </w:pPr>
      <w:r w:rsidRPr="004B4485">
        <w:rPr>
          <w:rFonts w:ascii="Arial" w:hAnsi="Arial" w:cs="Arial"/>
          <w:sz w:val="22"/>
        </w:rPr>
        <w:t xml:space="preserve">The report examines the United Kingdom's progress in attaining Sustainable Development Goals (SDGs) 3 and 4, which emphasize health, well-being, and quality education. It assesses the goals, strategies, progress, impact, challenges, and offers recommendations for each. The significance of these goals in enhancing the UK's health, well-being, and sustainable development is </w:t>
      </w:r>
      <w:r w:rsidR="004476DE" w:rsidRPr="004B4485">
        <w:rPr>
          <w:rFonts w:ascii="Arial" w:hAnsi="Arial" w:cs="Arial"/>
          <w:sz w:val="22"/>
        </w:rPr>
        <w:t>underscored. The</w:t>
      </w:r>
      <w:r w:rsidRPr="004B4485">
        <w:rPr>
          <w:rFonts w:ascii="Arial" w:hAnsi="Arial" w:cs="Arial"/>
          <w:sz w:val="22"/>
        </w:rPr>
        <w:t xml:space="preserve"> report </w:t>
      </w:r>
      <w:r w:rsidR="004476DE" w:rsidRPr="004B4485">
        <w:rPr>
          <w:rFonts w:ascii="Arial" w:hAnsi="Arial" w:cs="Arial"/>
          <w:sz w:val="22"/>
        </w:rPr>
        <w:t>analyses</w:t>
      </w:r>
      <w:r w:rsidRPr="004B4485">
        <w:rPr>
          <w:rFonts w:ascii="Arial" w:hAnsi="Arial" w:cs="Arial"/>
          <w:sz w:val="22"/>
        </w:rPr>
        <w:t xml:space="preserve"> SDG 3, which aims to ensure healthy lives and well-being for all. It acknowledges the UK's commendable advancements in healthcare, including the universal access to quality services provided by the National Health Service (NHS). However, it also highlights the need to address mental health issues and promote healthier lifestyles. Recommendations include expanding mental health support services and implementing preventive measures for lifestyle-related diseases.</w:t>
      </w:r>
    </w:p>
    <w:p w14:paraId="1A3E9119" w14:textId="77777777" w:rsidR="000809F4" w:rsidRPr="004B4485" w:rsidRDefault="000809F4" w:rsidP="004B4485">
      <w:pPr>
        <w:spacing w:line="360" w:lineRule="auto"/>
        <w:ind w:firstLine="720"/>
        <w:rPr>
          <w:rFonts w:ascii="Arial" w:hAnsi="Arial" w:cs="Arial"/>
          <w:sz w:val="22"/>
        </w:rPr>
      </w:pPr>
      <w:r w:rsidRPr="004B4485">
        <w:rPr>
          <w:rFonts w:ascii="Arial" w:hAnsi="Arial" w:cs="Arial"/>
          <w:sz w:val="22"/>
        </w:rPr>
        <w:t xml:space="preserve">SDG 4, focused on inclusive and equitable quality education, is also evaluated. The report recognizes the UK's robust education system but notes disparities in access and quality, particularly among vulnerable groups. The recommendations emphasize the importance of providing equal opportunities for all children, regardless of socio-economic background or ability. Additionally, enhancing vocational training programs to equip individuals with relevant skills is </w:t>
      </w:r>
      <w:r w:rsidR="004476DE" w:rsidRPr="004B4485">
        <w:rPr>
          <w:rFonts w:ascii="Arial" w:hAnsi="Arial" w:cs="Arial"/>
          <w:sz w:val="22"/>
        </w:rPr>
        <w:t>advised. To</w:t>
      </w:r>
      <w:r w:rsidRPr="004B4485">
        <w:rPr>
          <w:rFonts w:ascii="Arial" w:hAnsi="Arial" w:cs="Arial"/>
          <w:sz w:val="22"/>
        </w:rPr>
        <w:t xml:space="preserve"> effectively achieve these goals, the report suggests a multi-sectoral approach involving collaboration between government agencies, civil society organizations, and private sector stakeholders. Adequate financial resources should be allocated to support targeted programs and initiatives. Strengthening data collection and monitoring systems is essential for tracking progress and making informed decisions. Raising public awareness about the importance of these goals is also highlighted.</w:t>
      </w:r>
    </w:p>
    <w:p w14:paraId="6D513284" w14:textId="77777777" w:rsidR="000809F4" w:rsidRPr="004B4485" w:rsidRDefault="000809F4" w:rsidP="004B4485">
      <w:pPr>
        <w:spacing w:line="360" w:lineRule="auto"/>
        <w:rPr>
          <w:rFonts w:ascii="Arial" w:eastAsiaTheme="majorEastAsia" w:hAnsi="Arial" w:cs="Arial"/>
          <w:color w:val="2F5496" w:themeColor="accent1" w:themeShade="BF"/>
          <w:sz w:val="22"/>
        </w:rPr>
      </w:pPr>
      <w:r w:rsidRPr="004B4485">
        <w:rPr>
          <w:rFonts w:ascii="Arial" w:hAnsi="Arial" w:cs="Arial"/>
          <w:sz w:val="22"/>
        </w:rPr>
        <w:br w:type="page"/>
      </w:r>
    </w:p>
    <w:p w14:paraId="0B82AD65" w14:textId="32B0F093" w:rsidR="004B4485" w:rsidRPr="004B4485" w:rsidRDefault="009D63FF" w:rsidP="004B4485">
      <w:pPr>
        <w:pStyle w:val="Heading1"/>
        <w:spacing w:line="360" w:lineRule="auto"/>
        <w:jc w:val="center"/>
        <w:rPr>
          <w:rFonts w:ascii="Arial" w:hAnsi="Arial" w:cs="Arial"/>
          <w:sz w:val="22"/>
          <w:szCs w:val="22"/>
          <w:lang w:val="en-GB"/>
        </w:rPr>
      </w:pPr>
      <w:bookmarkStart w:id="1" w:name="_Toc152268709"/>
      <w:r w:rsidRPr="004B4485">
        <w:rPr>
          <w:rFonts w:ascii="Arial" w:hAnsi="Arial" w:cs="Arial"/>
          <w:sz w:val="22"/>
          <w:szCs w:val="22"/>
        </w:rPr>
        <w:lastRenderedPageBreak/>
        <w:t>Introductio</w:t>
      </w:r>
      <w:r w:rsidR="004B4485">
        <w:rPr>
          <w:rFonts w:ascii="Arial" w:hAnsi="Arial" w:cs="Arial"/>
          <w:sz w:val="22"/>
          <w:szCs w:val="22"/>
          <w:lang w:val="en-GB"/>
        </w:rPr>
        <w:t>n</w:t>
      </w:r>
      <w:bookmarkEnd w:id="1"/>
    </w:p>
    <w:p w14:paraId="397C11FE" w14:textId="77777777" w:rsidR="00D313BB" w:rsidRPr="004B4485" w:rsidRDefault="00D313BB" w:rsidP="004B4485">
      <w:pPr>
        <w:spacing w:line="360" w:lineRule="auto"/>
        <w:rPr>
          <w:rFonts w:ascii="Arial" w:hAnsi="Arial" w:cs="Arial"/>
          <w:sz w:val="22"/>
        </w:rPr>
      </w:pPr>
    </w:p>
    <w:p w14:paraId="648D05EF" w14:textId="77777777" w:rsidR="009D63FF" w:rsidRPr="004B4485" w:rsidRDefault="009D63FF" w:rsidP="004B4485">
      <w:pPr>
        <w:spacing w:line="360" w:lineRule="auto"/>
        <w:ind w:firstLine="720"/>
        <w:rPr>
          <w:rFonts w:ascii="Arial" w:hAnsi="Arial" w:cs="Arial"/>
          <w:sz w:val="22"/>
        </w:rPr>
      </w:pPr>
      <w:r w:rsidRPr="004B4485">
        <w:rPr>
          <w:rFonts w:ascii="Arial" w:hAnsi="Arial" w:cs="Arial"/>
          <w:sz w:val="22"/>
        </w:rPr>
        <w:t>This report is dedicated to evaluating the United Kingdom's advancements in attaining Sustainable Development Goals (SDGs) 3 and 4, with a particular emphasis on their influence on health, well-being, and sustainable development. As nations around the world strive to address an array of complex global challenges, the UN's 2030 Agenda for Sustainable Development has emerged as a guiding framework</w:t>
      </w:r>
      <w:r w:rsidR="001366CF" w:rsidRPr="004B4485">
        <w:rPr>
          <w:rFonts w:ascii="Arial" w:hAnsi="Arial" w:cs="Arial"/>
          <w:sz w:val="22"/>
        </w:rPr>
        <w:t xml:space="preserve"> (Henry and Abdullah, 2015)</w:t>
      </w:r>
      <w:r w:rsidRPr="004B4485">
        <w:rPr>
          <w:rFonts w:ascii="Arial" w:hAnsi="Arial" w:cs="Arial"/>
          <w:sz w:val="22"/>
        </w:rPr>
        <w:t>. Central to this agenda are the 17 Sustainable Development Goals, each designed to address specific issues such as poverty, inequality, climate change, and access to quality education and healthcare.</w:t>
      </w:r>
    </w:p>
    <w:p w14:paraId="112990DF" w14:textId="77777777" w:rsidR="009D63FF" w:rsidRPr="004B4485" w:rsidRDefault="009D63FF" w:rsidP="004B4485">
      <w:pPr>
        <w:spacing w:line="360" w:lineRule="auto"/>
        <w:ind w:firstLine="720"/>
        <w:rPr>
          <w:rFonts w:ascii="Arial" w:hAnsi="Arial" w:cs="Arial"/>
          <w:sz w:val="22"/>
        </w:rPr>
      </w:pPr>
      <w:r w:rsidRPr="004B4485">
        <w:rPr>
          <w:rFonts w:ascii="Arial" w:hAnsi="Arial" w:cs="Arial"/>
          <w:sz w:val="22"/>
        </w:rPr>
        <w:t>SDG 3, "Good Health and Well-being," and SDG 4, "Quality Education," are two of these critical goals. They hold profound implications for the welfare and sustainable future of not only the UK but the entire global community. SDG 3 aims to ensure healthy lives and promote well-being for all at all ages, while SDG 4 seeks to provide inclusive, equitable, and quality education for all. These interconnected goals touch upon fundamental aspects of human existence and offer a framework for achieving a better and more equitable world</w:t>
      </w:r>
      <w:r w:rsidR="001366CF" w:rsidRPr="004B4485">
        <w:rPr>
          <w:rFonts w:ascii="Arial" w:hAnsi="Arial" w:cs="Arial"/>
          <w:sz w:val="22"/>
        </w:rPr>
        <w:t xml:space="preserve"> (Telleria, 2021)</w:t>
      </w:r>
      <w:r w:rsidRPr="004B4485">
        <w:rPr>
          <w:rFonts w:ascii="Arial" w:hAnsi="Arial" w:cs="Arial"/>
          <w:sz w:val="22"/>
        </w:rPr>
        <w:t>.</w:t>
      </w:r>
    </w:p>
    <w:p w14:paraId="02A775D6" w14:textId="77777777" w:rsidR="009D63FF" w:rsidRPr="004B4485" w:rsidRDefault="009D63FF" w:rsidP="004B4485">
      <w:pPr>
        <w:spacing w:line="360" w:lineRule="auto"/>
        <w:ind w:firstLine="720"/>
        <w:rPr>
          <w:rFonts w:ascii="Arial" w:hAnsi="Arial" w:cs="Arial"/>
          <w:sz w:val="22"/>
        </w:rPr>
      </w:pPr>
      <w:r w:rsidRPr="004B4485">
        <w:rPr>
          <w:rFonts w:ascii="Arial" w:hAnsi="Arial" w:cs="Arial"/>
          <w:sz w:val="22"/>
        </w:rPr>
        <w:t>The significance of SDG 3 and 4 in the context of the UK cannot be overstated. The state of health and education in a society has far-reaching consequences that extend beyond individual well-being. A population's health determines its productivity, economic potential, and overall quality of life. Similarly, education is the cornerstone of societal progress, driving innovation, human capital development, and societal cohesion. Therefore, assessing the UK's progress in these domains is essential to understanding its commitment to the global pursuit of sustainable development</w:t>
      </w:r>
      <w:r w:rsidR="001366CF" w:rsidRPr="004B4485">
        <w:rPr>
          <w:rFonts w:ascii="Arial" w:hAnsi="Arial" w:cs="Arial"/>
          <w:sz w:val="22"/>
        </w:rPr>
        <w:t xml:space="preserve"> (Estoque et al., 2021)</w:t>
      </w:r>
      <w:r w:rsidRPr="004B4485">
        <w:rPr>
          <w:rFonts w:ascii="Arial" w:hAnsi="Arial" w:cs="Arial"/>
          <w:sz w:val="22"/>
        </w:rPr>
        <w:t>.</w:t>
      </w:r>
    </w:p>
    <w:p w14:paraId="6D603668" w14:textId="77777777" w:rsidR="009D63FF" w:rsidRPr="004B4485" w:rsidRDefault="009D63FF" w:rsidP="004B4485">
      <w:pPr>
        <w:spacing w:line="360" w:lineRule="auto"/>
        <w:ind w:firstLine="720"/>
        <w:rPr>
          <w:rFonts w:ascii="Arial" w:hAnsi="Arial" w:cs="Arial"/>
          <w:sz w:val="22"/>
        </w:rPr>
      </w:pPr>
      <w:r w:rsidRPr="004B4485">
        <w:rPr>
          <w:rFonts w:ascii="Arial" w:hAnsi="Arial" w:cs="Arial"/>
          <w:sz w:val="22"/>
        </w:rPr>
        <w:t>The interconnectedness of these goals is evident when considering their influence on health and well-being. Quality education, as emphasized by SDG 4, equips individuals with the knowledge and skills needed to make informed decisions about their health and lifestyles. Access to quality healthcare, as promoted by SDG 3, is essential to prevent, treat, and manage health issues effectively. Moreover, health and education are intrinsically linked, as healthy students are more likely to attend school regularly and learn effectively, while educated individuals are better equipped to make health-conscious choices</w:t>
      </w:r>
      <w:r w:rsidR="001366CF" w:rsidRPr="004B4485">
        <w:rPr>
          <w:rFonts w:ascii="Arial" w:hAnsi="Arial" w:cs="Arial"/>
          <w:sz w:val="22"/>
        </w:rPr>
        <w:t xml:space="preserve"> (Tsalis et al., 2020)</w:t>
      </w:r>
      <w:r w:rsidRPr="004B4485">
        <w:rPr>
          <w:rFonts w:ascii="Arial" w:hAnsi="Arial" w:cs="Arial"/>
          <w:sz w:val="22"/>
        </w:rPr>
        <w:t>.</w:t>
      </w:r>
    </w:p>
    <w:p w14:paraId="1F141F4F" w14:textId="77777777" w:rsidR="009014D6" w:rsidRDefault="009D63FF" w:rsidP="004B4485">
      <w:pPr>
        <w:spacing w:line="360" w:lineRule="auto"/>
        <w:ind w:firstLine="720"/>
        <w:rPr>
          <w:rFonts w:ascii="Arial" w:hAnsi="Arial" w:cs="Arial"/>
          <w:sz w:val="22"/>
        </w:rPr>
      </w:pPr>
      <w:r w:rsidRPr="004B4485">
        <w:rPr>
          <w:rFonts w:ascii="Arial" w:hAnsi="Arial" w:cs="Arial"/>
          <w:sz w:val="22"/>
        </w:rPr>
        <w:t xml:space="preserve">Furthermore, sustainable development, a central theme of the 2030 Agenda, hinges on the progress made in health and education. A healthy, educated population is more likely to engage in sustainable practices, support equitable economic growth, and contribute to social and environmental stability. By assessing the UK's performance in these areas, we gain insights </w:t>
      </w:r>
      <w:r w:rsidRPr="004B4485">
        <w:rPr>
          <w:rFonts w:ascii="Arial" w:hAnsi="Arial" w:cs="Arial"/>
          <w:sz w:val="22"/>
        </w:rPr>
        <w:lastRenderedPageBreak/>
        <w:t>into the nation's commitment to sustainable development, which extends to environmental responsibility, economic stability, and social equity</w:t>
      </w:r>
      <w:r w:rsidR="001366CF" w:rsidRPr="004B4485">
        <w:rPr>
          <w:rFonts w:ascii="Arial" w:hAnsi="Arial" w:cs="Arial"/>
          <w:sz w:val="22"/>
        </w:rPr>
        <w:t xml:space="preserve"> (Boluk et al., 2019)</w:t>
      </w:r>
      <w:r w:rsidRPr="004B4485">
        <w:rPr>
          <w:rFonts w:ascii="Arial" w:hAnsi="Arial" w:cs="Arial"/>
          <w:sz w:val="22"/>
        </w:rPr>
        <w:t>.</w:t>
      </w:r>
    </w:p>
    <w:p w14:paraId="62944B2E" w14:textId="77777777" w:rsidR="004B4485" w:rsidRDefault="004B4485" w:rsidP="004B4485">
      <w:pPr>
        <w:spacing w:line="360" w:lineRule="auto"/>
        <w:ind w:firstLine="720"/>
        <w:rPr>
          <w:rFonts w:ascii="Arial" w:hAnsi="Arial" w:cs="Arial"/>
          <w:sz w:val="22"/>
        </w:rPr>
      </w:pPr>
    </w:p>
    <w:p w14:paraId="38C27FB4" w14:textId="77777777" w:rsidR="004B4485" w:rsidRDefault="004B4485" w:rsidP="004B4485">
      <w:pPr>
        <w:spacing w:line="360" w:lineRule="auto"/>
        <w:ind w:firstLine="720"/>
        <w:rPr>
          <w:rFonts w:ascii="Arial" w:hAnsi="Arial" w:cs="Arial"/>
          <w:sz w:val="22"/>
        </w:rPr>
      </w:pPr>
    </w:p>
    <w:p w14:paraId="7AE93624" w14:textId="77777777" w:rsidR="004B4485" w:rsidRDefault="004B4485" w:rsidP="004B4485">
      <w:pPr>
        <w:spacing w:line="360" w:lineRule="auto"/>
        <w:ind w:firstLine="720"/>
        <w:rPr>
          <w:rFonts w:ascii="Arial" w:hAnsi="Arial" w:cs="Arial"/>
          <w:sz w:val="22"/>
        </w:rPr>
      </w:pPr>
    </w:p>
    <w:p w14:paraId="502B640E" w14:textId="77777777" w:rsidR="004B4485" w:rsidRDefault="004B4485" w:rsidP="004B4485">
      <w:pPr>
        <w:spacing w:line="360" w:lineRule="auto"/>
        <w:ind w:firstLine="720"/>
        <w:rPr>
          <w:rFonts w:ascii="Arial" w:hAnsi="Arial" w:cs="Arial"/>
          <w:sz w:val="22"/>
        </w:rPr>
      </w:pPr>
    </w:p>
    <w:p w14:paraId="719FF93B" w14:textId="77777777" w:rsidR="004B4485" w:rsidRDefault="004B4485" w:rsidP="004B4485">
      <w:pPr>
        <w:spacing w:line="360" w:lineRule="auto"/>
        <w:ind w:firstLine="720"/>
        <w:rPr>
          <w:rFonts w:ascii="Arial" w:hAnsi="Arial" w:cs="Arial"/>
          <w:sz w:val="22"/>
        </w:rPr>
      </w:pPr>
    </w:p>
    <w:p w14:paraId="788989D7" w14:textId="77777777" w:rsidR="004B4485" w:rsidRDefault="004B4485" w:rsidP="004B4485">
      <w:pPr>
        <w:spacing w:line="360" w:lineRule="auto"/>
        <w:ind w:firstLine="720"/>
        <w:rPr>
          <w:rFonts w:ascii="Arial" w:hAnsi="Arial" w:cs="Arial"/>
          <w:sz w:val="22"/>
        </w:rPr>
      </w:pPr>
    </w:p>
    <w:p w14:paraId="2CF1AE3D" w14:textId="77777777" w:rsidR="004B4485" w:rsidRDefault="004B4485" w:rsidP="004B4485">
      <w:pPr>
        <w:spacing w:line="360" w:lineRule="auto"/>
        <w:ind w:firstLine="720"/>
        <w:rPr>
          <w:rFonts w:ascii="Arial" w:hAnsi="Arial" w:cs="Arial"/>
          <w:sz w:val="22"/>
        </w:rPr>
      </w:pPr>
    </w:p>
    <w:p w14:paraId="6339FDE2" w14:textId="77777777" w:rsidR="004B4485" w:rsidRDefault="004B4485" w:rsidP="004B4485">
      <w:pPr>
        <w:spacing w:line="360" w:lineRule="auto"/>
        <w:ind w:firstLine="720"/>
        <w:rPr>
          <w:rFonts w:ascii="Arial" w:hAnsi="Arial" w:cs="Arial"/>
          <w:sz w:val="22"/>
        </w:rPr>
      </w:pPr>
    </w:p>
    <w:p w14:paraId="5F413965" w14:textId="77777777" w:rsidR="004B4485" w:rsidRDefault="004B4485" w:rsidP="004B4485">
      <w:pPr>
        <w:spacing w:line="360" w:lineRule="auto"/>
        <w:ind w:firstLine="720"/>
        <w:rPr>
          <w:rFonts w:ascii="Arial" w:hAnsi="Arial" w:cs="Arial"/>
          <w:sz w:val="22"/>
        </w:rPr>
      </w:pPr>
    </w:p>
    <w:p w14:paraId="79A0947D" w14:textId="77777777" w:rsidR="004B4485" w:rsidRDefault="004B4485" w:rsidP="004B4485">
      <w:pPr>
        <w:spacing w:line="360" w:lineRule="auto"/>
        <w:ind w:firstLine="720"/>
        <w:rPr>
          <w:rFonts w:ascii="Arial" w:hAnsi="Arial" w:cs="Arial"/>
          <w:sz w:val="22"/>
        </w:rPr>
      </w:pPr>
    </w:p>
    <w:p w14:paraId="6F7B2006" w14:textId="77777777" w:rsidR="004B4485" w:rsidRDefault="004B4485" w:rsidP="004B4485">
      <w:pPr>
        <w:spacing w:line="360" w:lineRule="auto"/>
        <w:ind w:firstLine="720"/>
        <w:rPr>
          <w:rFonts w:ascii="Arial" w:hAnsi="Arial" w:cs="Arial"/>
          <w:sz w:val="22"/>
        </w:rPr>
      </w:pPr>
    </w:p>
    <w:p w14:paraId="300C0E12" w14:textId="77777777" w:rsidR="004B4485" w:rsidRDefault="004B4485" w:rsidP="004B4485">
      <w:pPr>
        <w:spacing w:line="360" w:lineRule="auto"/>
        <w:ind w:firstLine="720"/>
        <w:rPr>
          <w:rFonts w:ascii="Arial" w:hAnsi="Arial" w:cs="Arial"/>
          <w:sz w:val="22"/>
        </w:rPr>
      </w:pPr>
    </w:p>
    <w:p w14:paraId="77CF2684" w14:textId="77777777" w:rsidR="004B4485" w:rsidRDefault="004B4485" w:rsidP="004B4485">
      <w:pPr>
        <w:spacing w:line="360" w:lineRule="auto"/>
        <w:ind w:firstLine="720"/>
        <w:rPr>
          <w:rFonts w:ascii="Arial" w:hAnsi="Arial" w:cs="Arial"/>
          <w:sz w:val="22"/>
        </w:rPr>
      </w:pPr>
    </w:p>
    <w:p w14:paraId="51C572C0" w14:textId="77777777" w:rsidR="004B4485" w:rsidRDefault="004B4485" w:rsidP="004B4485">
      <w:pPr>
        <w:spacing w:line="360" w:lineRule="auto"/>
        <w:ind w:firstLine="720"/>
        <w:rPr>
          <w:rFonts w:ascii="Arial" w:hAnsi="Arial" w:cs="Arial"/>
          <w:sz w:val="22"/>
        </w:rPr>
      </w:pPr>
    </w:p>
    <w:p w14:paraId="11F46C88" w14:textId="77777777" w:rsidR="004B4485" w:rsidRDefault="004B4485" w:rsidP="004B4485">
      <w:pPr>
        <w:spacing w:line="360" w:lineRule="auto"/>
        <w:ind w:firstLine="720"/>
        <w:rPr>
          <w:rFonts w:ascii="Arial" w:hAnsi="Arial" w:cs="Arial"/>
          <w:sz w:val="22"/>
        </w:rPr>
      </w:pPr>
    </w:p>
    <w:p w14:paraId="72AB5F55" w14:textId="77777777" w:rsidR="004B4485" w:rsidRDefault="004B4485" w:rsidP="004B4485">
      <w:pPr>
        <w:spacing w:line="360" w:lineRule="auto"/>
        <w:ind w:firstLine="720"/>
        <w:rPr>
          <w:rFonts w:ascii="Arial" w:hAnsi="Arial" w:cs="Arial"/>
          <w:sz w:val="22"/>
        </w:rPr>
      </w:pPr>
    </w:p>
    <w:p w14:paraId="11A9FFDA" w14:textId="77777777" w:rsidR="004B4485" w:rsidRDefault="004B4485" w:rsidP="004B4485">
      <w:pPr>
        <w:spacing w:line="360" w:lineRule="auto"/>
        <w:ind w:firstLine="720"/>
        <w:rPr>
          <w:rFonts w:ascii="Arial" w:hAnsi="Arial" w:cs="Arial"/>
          <w:sz w:val="22"/>
        </w:rPr>
      </w:pPr>
    </w:p>
    <w:p w14:paraId="5BEE5896" w14:textId="77777777" w:rsidR="004B4485" w:rsidRDefault="004B4485" w:rsidP="004B4485">
      <w:pPr>
        <w:spacing w:line="360" w:lineRule="auto"/>
        <w:ind w:firstLine="720"/>
        <w:rPr>
          <w:rFonts w:ascii="Arial" w:hAnsi="Arial" w:cs="Arial"/>
          <w:sz w:val="22"/>
        </w:rPr>
      </w:pPr>
    </w:p>
    <w:p w14:paraId="13AD33E7" w14:textId="77777777" w:rsidR="004B4485" w:rsidRDefault="004B4485" w:rsidP="004B4485">
      <w:pPr>
        <w:spacing w:line="360" w:lineRule="auto"/>
        <w:ind w:firstLine="720"/>
        <w:rPr>
          <w:rFonts w:ascii="Arial" w:hAnsi="Arial" w:cs="Arial"/>
          <w:sz w:val="22"/>
        </w:rPr>
      </w:pPr>
    </w:p>
    <w:p w14:paraId="09D76160" w14:textId="77777777" w:rsidR="004B4485" w:rsidRDefault="004B4485" w:rsidP="004B4485">
      <w:pPr>
        <w:spacing w:line="360" w:lineRule="auto"/>
        <w:ind w:firstLine="720"/>
        <w:rPr>
          <w:rFonts w:ascii="Arial" w:hAnsi="Arial" w:cs="Arial"/>
          <w:sz w:val="22"/>
        </w:rPr>
      </w:pPr>
    </w:p>
    <w:p w14:paraId="3A6B20F7" w14:textId="77777777" w:rsidR="004B4485" w:rsidRDefault="004B4485" w:rsidP="004B4485">
      <w:pPr>
        <w:spacing w:line="360" w:lineRule="auto"/>
        <w:ind w:firstLine="720"/>
        <w:rPr>
          <w:rFonts w:ascii="Arial" w:hAnsi="Arial" w:cs="Arial"/>
          <w:sz w:val="22"/>
        </w:rPr>
      </w:pPr>
    </w:p>
    <w:p w14:paraId="6A403C3E" w14:textId="77777777" w:rsidR="004B4485" w:rsidRDefault="004B4485" w:rsidP="004B4485">
      <w:pPr>
        <w:spacing w:line="360" w:lineRule="auto"/>
        <w:ind w:firstLine="720"/>
        <w:rPr>
          <w:rFonts w:ascii="Arial" w:hAnsi="Arial" w:cs="Arial"/>
          <w:sz w:val="22"/>
        </w:rPr>
      </w:pPr>
    </w:p>
    <w:p w14:paraId="06787378" w14:textId="77777777" w:rsidR="004B4485" w:rsidRDefault="004B4485" w:rsidP="004B4485">
      <w:pPr>
        <w:spacing w:line="360" w:lineRule="auto"/>
        <w:ind w:firstLine="720"/>
        <w:rPr>
          <w:rFonts w:ascii="Arial" w:hAnsi="Arial" w:cs="Arial"/>
          <w:sz w:val="22"/>
        </w:rPr>
      </w:pPr>
    </w:p>
    <w:p w14:paraId="1BD4EAEA" w14:textId="77777777" w:rsidR="004B4485" w:rsidRDefault="004B4485" w:rsidP="004B4485">
      <w:pPr>
        <w:spacing w:line="360" w:lineRule="auto"/>
        <w:ind w:firstLine="720"/>
        <w:rPr>
          <w:rFonts w:ascii="Arial" w:hAnsi="Arial" w:cs="Arial"/>
          <w:sz w:val="22"/>
        </w:rPr>
      </w:pPr>
    </w:p>
    <w:p w14:paraId="1E0EB4BA" w14:textId="77777777" w:rsidR="004B4485" w:rsidRDefault="004B4485" w:rsidP="004B4485">
      <w:pPr>
        <w:spacing w:line="360" w:lineRule="auto"/>
        <w:ind w:firstLine="720"/>
        <w:rPr>
          <w:rFonts w:ascii="Arial" w:hAnsi="Arial" w:cs="Arial"/>
          <w:sz w:val="22"/>
        </w:rPr>
      </w:pPr>
    </w:p>
    <w:p w14:paraId="5EA06858" w14:textId="77777777" w:rsidR="004B4485" w:rsidRDefault="004B4485" w:rsidP="004B4485">
      <w:pPr>
        <w:spacing w:line="360" w:lineRule="auto"/>
        <w:ind w:firstLine="720"/>
        <w:rPr>
          <w:rFonts w:ascii="Arial" w:hAnsi="Arial" w:cs="Arial"/>
          <w:sz w:val="22"/>
        </w:rPr>
      </w:pPr>
    </w:p>
    <w:p w14:paraId="0CCE87DB" w14:textId="77777777" w:rsidR="004B4485" w:rsidRDefault="004B4485" w:rsidP="004B4485">
      <w:pPr>
        <w:spacing w:line="360" w:lineRule="auto"/>
        <w:ind w:firstLine="720"/>
        <w:rPr>
          <w:rFonts w:ascii="Arial" w:hAnsi="Arial" w:cs="Arial"/>
          <w:sz w:val="22"/>
        </w:rPr>
      </w:pPr>
    </w:p>
    <w:p w14:paraId="4B1C8202" w14:textId="77777777" w:rsidR="004B4485" w:rsidRDefault="004B4485" w:rsidP="004B4485">
      <w:pPr>
        <w:spacing w:line="360" w:lineRule="auto"/>
        <w:ind w:firstLine="720"/>
        <w:rPr>
          <w:rFonts w:ascii="Arial" w:hAnsi="Arial" w:cs="Arial"/>
          <w:sz w:val="22"/>
        </w:rPr>
      </w:pPr>
    </w:p>
    <w:p w14:paraId="0E422B49" w14:textId="77777777" w:rsidR="004B4485" w:rsidRDefault="004B4485" w:rsidP="004B4485">
      <w:pPr>
        <w:spacing w:line="360" w:lineRule="auto"/>
        <w:ind w:firstLine="720"/>
        <w:rPr>
          <w:rFonts w:ascii="Arial" w:hAnsi="Arial" w:cs="Arial"/>
          <w:sz w:val="22"/>
        </w:rPr>
      </w:pPr>
    </w:p>
    <w:p w14:paraId="7EAAB187" w14:textId="77777777" w:rsidR="004B4485" w:rsidRPr="004B4485" w:rsidRDefault="004B4485" w:rsidP="004B4485">
      <w:pPr>
        <w:spacing w:line="360" w:lineRule="auto"/>
        <w:ind w:firstLine="720"/>
        <w:rPr>
          <w:rFonts w:ascii="Arial" w:hAnsi="Arial" w:cs="Arial"/>
          <w:sz w:val="22"/>
        </w:rPr>
      </w:pPr>
    </w:p>
    <w:p w14:paraId="6201D6EA" w14:textId="77777777" w:rsidR="008539AF" w:rsidRPr="004B4485" w:rsidRDefault="008539AF" w:rsidP="004B4485">
      <w:pPr>
        <w:pStyle w:val="Heading1"/>
        <w:spacing w:line="360" w:lineRule="auto"/>
        <w:jc w:val="center"/>
        <w:rPr>
          <w:rFonts w:ascii="Arial" w:hAnsi="Arial" w:cs="Arial"/>
          <w:sz w:val="22"/>
          <w:szCs w:val="22"/>
          <w:lang w:val="en-US"/>
        </w:rPr>
      </w:pPr>
      <w:bookmarkStart w:id="2" w:name="_Toc152268710"/>
      <w:r w:rsidRPr="004B4485">
        <w:rPr>
          <w:rFonts w:ascii="Arial" w:hAnsi="Arial" w:cs="Arial"/>
          <w:sz w:val="22"/>
          <w:szCs w:val="22"/>
        </w:rPr>
        <w:lastRenderedPageBreak/>
        <w:t>Introduction</w:t>
      </w:r>
      <w:r w:rsidRPr="004B4485">
        <w:rPr>
          <w:rFonts w:ascii="Arial" w:hAnsi="Arial" w:cs="Arial"/>
          <w:sz w:val="22"/>
          <w:szCs w:val="22"/>
          <w:lang w:val="en-US"/>
        </w:rPr>
        <w:t xml:space="preserve"> to concepts</w:t>
      </w:r>
      <w:bookmarkEnd w:id="2"/>
    </w:p>
    <w:p w14:paraId="7511A767" w14:textId="77777777" w:rsidR="00D313BB" w:rsidRPr="004B4485" w:rsidRDefault="00D313BB" w:rsidP="004B4485">
      <w:pPr>
        <w:spacing w:line="360" w:lineRule="auto"/>
        <w:rPr>
          <w:rFonts w:ascii="Arial" w:hAnsi="Arial" w:cs="Arial"/>
          <w:sz w:val="22"/>
          <w:lang w:val="en-US"/>
        </w:rPr>
      </w:pPr>
    </w:p>
    <w:p w14:paraId="7B9EB834"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In t</w:t>
      </w:r>
      <w:r w:rsidRPr="004B4485">
        <w:rPr>
          <w:rFonts w:ascii="Arial" w:hAnsi="Arial" w:cs="Arial"/>
          <w:sz w:val="22"/>
          <w:lang w:val="en-US"/>
        </w:rPr>
        <w:t xml:space="preserve">he case </w:t>
      </w:r>
      <w:r w:rsidRPr="004B4485">
        <w:rPr>
          <w:rFonts w:ascii="Arial" w:hAnsi="Arial" w:cs="Arial"/>
          <w:sz w:val="22"/>
        </w:rPr>
        <w:t>of global progress and societal advancement, there exist several fundamental concepts that serve as the building blocks for understanding and addressing complex challenges. This comprehensive exploration delves into four pivotal concepts</w:t>
      </w:r>
      <w:r w:rsidRPr="004B4485">
        <w:rPr>
          <w:rFonts w:ascii="Arial" w:hAnsi="Arial" w:cs="Arial"/>
          <w:sz w:val="22"/>
          <w:lang w:val="en-US"/>
        </w:rPr>
        <w:t xml:space="preserve">, that is, </w:t>
      </w:r>
      <w:r w:rsidRPr="004B4485">
        <w:rPr>
          <w:rFonts w:ascii="Arial" w:hAnsi="Arial" w:cs="Arial"/>
          <w:sz w:val="22"/>
        </w:rPr>
        <w:t>well-being, sustainable development, health, and Sustainable Development Goals (SDGs). By dissecting these ideas, we aim to establish a solid foundation for subsequent analyses and discussions.</w:t>
      </w:r>
    </w:p>
    <w:p w14:paraId="130DA3FF"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Well-being, often regarded as the ultimate goal of human existence, encompasses the overall quality of life and happiness experienced by individuals and communities. It is not merely the absence of illness or adversity, but a holistic state of physical, mental, and emotional flourishing (Enhancing clinical and translational research in Africa: a comprehensive exploration of challenges and opportunities for advancement, 2023). Well-being extends beyond personal contentment to include a broader sense of prosperity, encompassing social and environmental dimensions. It is crucial to recognize that well-being is not a fixed destination but a dynamic state influenced by various factors, including health, economic security, education, and social connections. The pursuit of well-being is central to personal and collective fulfillment and serves as a fundamental concept underpinning many societal endeavours.</w:t>
      </w:r>
    </w:p>
    <w:p w14:paraId="0D591FEB"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lang w:val="en-US"/>
        </w:rPr>
        <w:t>On the other side,</w:t>
      </w:r>
      <w:r w:rsidRPr="004B4485">
        <w:rPr>
          <w:rFonts w:ascii="Arial" w:hAnsi="Arial" w:cs="Arial"/>
          <w:b/>
          <w:sz w:val="22"/>
          <w:lang w:val="en-US"/>
        </w:rPr>
        <w:t xml:space="preserve"> </w:t>
      </w:r>
      <w:r w:rsidRPr="004B4485">
        <w:rPr>
          <w:rFonts w:ascii="Arial" w:hAnsi="Arial" w:cs="Arial"/>
          <w:sz w:val="22"/>
        </w:rPr>
        <w:t>Sustainable development is an interdisciplinary approach that seeks to harmonize economic, social, and environmental considerations to ensure the long-term well-being of current and future generations (Feola, 2014). This concept acknowledges the finite nature of Earth's resources and aims to strike a balance between human progress and environmental preservation. Sustainable development encourages responsible resource utilization, equitable access to opportunities, and the mitigation of adverse environmental impacts. It emphasizes the interconnectedness of economic growth, social equity, and environmental protection, emphasizing the need for a holistic and systemic approach. Achieving sustainable development requires thoughtful planning, innovation, and collaboration among governments, businesses, and civil society to meet the needs of the present without compromising the ability of future generations to meet their own needs (Linden and Lederman, 2011).</w:t>
      </w:r>
    </w:p>
    <w:p w14:paraId="2F2A2947"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lang w:val="en-US"/>
        </w:rPr>
        <w:t>Also,</w:t>
      </w:r>
      <w:r w:rsidRPr="004B4485">
        <w:rPr>
          <w:rFonts w:ascii="Arial" w:hAnsi="Arial" w:cs="Arial"/>
          <w:b/>
          <w:sz w:val="22"/>
          <w:lang w:val="en-US"/>
        </w:rPr>
        <w:t xml:space="preserve"> </w:t>
      </w:r>
      <w:r w:rsidRPr="004B4485">
        <w:rPr>
          <w:rFonts w:ascii="Arial" w:hAnsi="Arial" w:cs="Arial"/>
          <w:sz w:val="22"/>
        </w:rPr>
        <w:t xml:space="preserve">Health, a fundamental component of well-being, is a state of complete physical, mental, and social well-being, not merely the absence of disease or infirmity, as defined by the World Health Organization (WHO). This holistic perspective of health recognizes that well-being cannot be achieved without addressing not only physical ailments but also mental and social </w:t>
      </w:r>
      <w:r w:rsidRPr="004B4485">
        <w:rPr>
          <w:rFonts w:ascii="Arial" w:hAnsi="Arial" w:cs="Arial"/>
          <w:sz w:val="22"/>
        </w:rPr>
        <w:lastRenderedPageBreak/>
        <w:t>aspects. Health encompasses physical fitness, mental resilience, and social inclusion. It is influenced by numerous determinants, including genetics, access to healthcare, education, social and economic conditions, and environmental factors (Basri and Abdullah, 2020). Furthermore, health is not a static condition but a dynamic one that evolves throughout a person's life. Promoting health requires multifaceted efforts, including preventive measures, access to healthcare, and the elimination of health disparities, aiming to ensure that individuals can achieve their full potential and lead fulfilling lives.</w:t>
      </w:r>
    </w:p>
    <w:p w14:paraId="7F7E5764"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lang w:val="en-US"/>
        </w:rPr>
        <w:t>In addition,</w:t>
      </w:r>
      <w:r w:rsidRPr="004B4485">
        <w:rPr>
          <w:rFonts w:ascii="Arial" w:hAnsi="Arial" w:cs="Arial"/>
          <w:b/>
          <w:sz w:val="22"/>
          <w:lang w:val="en-US"/>
        </w:rPr>
        <w:t xml:space="preserve"> </w:t>
      </w:r>
      <w:r w:rsidRPr="004B4485">
        <w:rPr>
          <w:rFonts w:ascii="Arial" w:hAnsi="Arial" w:cs="Arial"/>
          <w:sz w:val="22"/>
        </w:rPr>
        <w:t>The Sustainable Development Goals (SDGs) are a set of 17 interconnected and ambitious global targets established by the United Nations in 2015 as part of the 2030 Agenda for Sustainable Development. The SDGs serve as a universal call to action to end poverty, protect the planet, and ensure prosperity for all. These goals encompass a wide range of objectives, including eradicating poverty, ensuring access to quality education, promoting gender equality, and combating climate change (Hacker, 2019). The SDGs aim to address the multifaceted challenges facing the world by providing a comprehensive framework for global cooperation and development efforts. They highlight the interconnectedness of global issues, recognizing that progress in one area often depends on progress in others. The SDGs are designed to guide governments, businesses, and civil society in their efforts to build a more sustainable and equitable world by 2030.</w:t>
      </w:r>
    </w:p>
    <w:p w14:paraId="380903B8" w14:textId="77777777" w:rsidR="00D313BB" w:rsidRPr="004B4485" w:rsidRDefault="00D313BB" w:rsidP="004B4485">
      <w:pPr>
        <w:spacing w:line="360" w:lineRule="auto"/>
        <w:ind w:firstLine="720"/>
        <w:rPr>
          <w:rFonts w:ascii="Arial" w:hAnsi="Arial" w:cs="Arial"/>
          <w:sz w:val="22"/>
        </w:rPr>
      </w:pPr>
    </w:p>
    <w:p w14:paraId="5D453571" w14:textId="43201774" w:rsidR="00D313BB" w:rsidRPr="004B4485" w:rsidRDefault="008539AF" w:rsidP="004B4485">
      <w:pPr>
        <w:pStyle w:val="Heading2"/>
        <w:spacing w:line="360" w:lineRule="auto"/>
        <w:rPr>
          <w:rFonts w:ascii="Arial" w:hAnsi="Arial" w:cs="Arial"/>
          <w:sz w:val="22"/>
          <w:szCs w:val="22"/>
        </w:rPr>
      </w:pPr>
      <w:bookmarkStart w:id="3" w:name="_Toc152268711"/>
      <w:r w:rsidRPr="004B4485">
        <w:rPr>
          <w:rFonts w:ascii="Arial" w:hAnsi="Arial" w:cs="Arial"/>
          <w:sz w:val="22"/>
          <w:szCs w:val="22"/>
        </w:rPr>
        <w:t>Well-being, Sustainable Development, Health, and the SDGs: Interconnections</w:t>
      </w:r>
      <w:bookmarkEnd w:id="3"/>
    </w:p>
    <w:p w14:paraId="627D8C78"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The concepts of well-being, sustainable development, health, and the SDGs are intricately linked, each influencing and reinforcing the others. Firstly, well-being is at the heart of sustainable development and is the ultimate objective of the SDGs. Sustainable development seeks to ensure the well-being of current and future generations by promoting economic growth that is equitable and environmentally responsible (Hacker, 2019). It emphasizes the importance of addressing social and environmental determinants that impact well-being, such as access to clean water, education, and healthcare.</w:t>
      </w:r>
    </w:p>
    <w:p w14:paraId="0582BA5A"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Health, as an integral component of well-being, plays a pivotal role in achieving sustainable development. Access to quality healthcare, disease prevention, and mental well-being are vital to human development and directly contribute to overall well-being. When people are healthy, they can actively participate in economic and social activities, contributing to sustainable development goals such as reducing poverty and promoting economic growth.</w:t>
      </w:r>
      <w:r w:rsidRPr="004B4485">
        <w:rPr>
          <w:rFonts w:ascii="Arial" w:hAnsi="Arial" w:cs="Arial"/>
          <w:sz w:val="22"/>
          <w:lang w:val="en-US"/>
        </w:rPr>
        <w:t xml:space="preserve"> </w:t>
      </w:r>
      <w:r w:rsidRPr="004B4485">
        <w:rPr>
          <w:rFonts w:ascii="Arial" w:hAnsi="Arial" w:cs="Arial"/>
          <w:sz w:val="22"/>
        </w:rPr>
        <w:t xml:space="preserve">Conversely, well-being can also be seen as a driver of sustainable development. A population that experiences high well-being is more likely to be engaged in productive activities and </w:t>
      </w:r>
      <w:r w:rsidRPr="004B4485">
        <w:rPr>
          <w:rFonts w:ascii="Arial" w:hAnsi="Arial" w:cs="Arial"/>
          <w:sz w:val="22"/>
        </w:rPr>
        <w:lastRenderedPageBreak/>
        <w:t>participate in community development, contributing to overall progress. High levels of well-being can also lead to greater environmental consciousness, furthering the cause of environmental sustainability (Gregory and Stenzel, 2012).</w:t>
      </w:r>
    </w:p>
    <w:p w14:paraId="0333D19C"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The SDGs, on the other hand, serve as a comprehensive roadmap for achieving well-being and sustainable development. They provide a clear and universally accepted framework for addressing key global challenges, from poverty and hunger to climate change and gender inequality. The SDGs recognize that health and well-being are interconnected with various other aspects of development and outline specific targets and indicators to measure progress in these areas (Gregory and Stenzel, 2012).</w:t>
      </w:r>
    </w:p>
    <w:p w14:paraId="75FD0903" w14:textId="77777777" w:rsidR="008539AF" w:rsidRPr="004B4485" w:rsidRDefault="008539AF" w:rsidP="004B4485">
      <w:pPr>
        <w:pStyle w:val="Heading2"/>
        <w:spacing w:line="360" w:lineRule="auto"/>
        <w:rPr>
          <w:rFonts w:ascii="Arial" w:hAnsi="Arial" w:cs="Arial"/>
          <w:sz w:val="22"/>
          <w:szCs w:val="22"/>
        </w:rPr>
      </w:pPr>
      <w:bookmarkStart w:id="4" w:name="_Toc152268712"/>
      <w:r w:rsidRPr="004B4485">
        <w:rPr>
          <w:rFonts w:ascii="Arial" w:hAnsi="Arial" w:cs="Arial"/>
          <w:sz w:val="22"/>
          <w:szCs w:val="22"/>
        </w:rPr>
        <w:t>Addressing the Intersections</w:t>
      </w:r>
      <w:bookmarkEnd w:id="4"/>
    </w:p>
    <w:p w14:paraId="074FB2E7"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rPr>
        <w:t>To fully understand and address these concepts, it is essential to recognize the intersections between them and the implications for policy and action.</w:t>
      </w:r>
      <w:r w:rsidRPr="004B4485">
        <w:rPr>
          <w:rFonts w:ascii="Arial" w:hAnsi="Arial" w:cs="Arial"/>
          <w:sz w:val="22"/>
          <w:lang w:val="en-US"/>
        </w:rPr>
        <w:t xml:space="preserve"> </w:t>
      </w:r>
      <w:r w:rsidRPr="004B4485">
        <w:rPr>
          <w:rFonts w:ascii="Arial" w:hAnsi="Arial" w:cs="Arial"/>
          <w:sz w:val="22"/>
        </w:rPr>
        <w:t xml:space="preserve">Ensuring access to quality healthcare is not only a goal in itself but also an enabler of sustainable development. Addressing health disparities, promoting preventive healthcare, and improving mental health services contribute to a healthier and more productive population, which, in turn, supports economic growth and social development (Kickelbick, 2003). </w:t>
      </w:r>
    </w:p>
    <w:p w14:paraId="178F073C" w14:textId="77777777" w:rsidR="008539AF" w:rsidRPr="004B4485" w:rsidRDefault="008539AF" w:rsidP="004B4485">
      <w:pPr>
        <w:spacing w:line="360" w:lineRule="auto"/>
        <w:ind w:firstLine="720"/>
        <w:rPr>
          <w:rFonts w:ascii="Arial" w:hAnsi="Arial" w:cs="Arial"/>
          <w:sz w:val="22"/>
          <w:lang w:val="en-US"/>
        </w:rPr>
      </w:pPr>
      <w:r w:rsidRPr="004B4485">
        <w:rPr>
          <w:rFonts w:ascii="Arial" w:hAnsi="Arial" w:cs="Arial"/>
          <w:sz w:val="22"/>
        </w:rPr>
        <w:t>Additionally, a focus on health systems strengthening can enhance a nation's resilience in the face of health crises and natural disasters, aligning with the principles of sustainability.</w:t>
      </w:r>
      <w:r w:rsidRPr="004B4485">
        <w:rPr>
          <w:rFonts w:ascii="Arial" w:hAnsi="Arial" w:cs="Arial"/>
          <w:sz w:val="22"/>
          <w:lang w:val="en-US"/>
        </w:rPr>
        <w:t xml:space="preserve"> Secondly, </w:t>
      </w:r>
      <w:r w:rsidRPr="004B4485">
        <w:rPr>
          <w:rFonts w:ascii="Arial" w:hAnsi="Arial" w:cs="Arial"/>
          <w:sz w:val="22"/>
        </w:rPr>
        <w:t>A holistic approach to sustainable development involves addressing the well-being of all individuals and communities. This includes promoting social inclusion, reducing income inequality, and ensuring access to essential services like education and clean water. Such measures not only improve well-being but also foster the conditions necessary for sustainable development (Kickelbick, 2003). When well-being is a central consideration, development policies become more people-centric and responsive to the needs of society.</w:t>
      </w:r>
      <w:r w:rsidRPr="004B4485">
        <w:rPr>
          <w:rFonts w:ascii="Arial" w:hAnsi="Arial" w:cs="Arial"/>
          <w:sz w:val="22"/>
          <w:lang w:val="en-US"/>
        </w:rPr>
        <w:t xml:space="preserve"> </w:t>
      </w:r>
    </w:p>
    <w:p w14:paraId="65154EEE" w14:textId="77777777" w:rsidR="008539AF" w:rsidRPr="004B4485" w:rsidRDefault="008539AF" w:rsidP="004B4485">
      <w:pPr>
        <w:spacing w:line="360" w:lineRule="auto"/>
        <w:ind w:firstLine="720"/>
        <w:rPr>
          <w:rFonts w:ascii="Arial" w:hAnsi="Arial" w:cs="Arial"/>
          <w:sz w:val="22"/>
        </w:rPr>
      </w:pPr>
      <w:r w:rsidRPr="004B4485">
        <w:rPr>
          <w:rFonts w:ascii="Arial" w:hAnsi="Arial" w:cs="Arial"/>
          <w:sz w:val="22"/>
          <w:lang w:val="en-US"/>
        </w:rPr>
        <w:t xml:space="preserve">Lastly, </w:t>
      </w:r>
      <w:r w:rsidRPr="004B4485">
        <w:rPr>
          <w:rFonts w:ascii="Arial" w:hAnsi="Arial" w:cs="Arial"/>
          <w:sz w:val="22"/>
        </w:rPr>
        <w:t>the pursuit of well-being is deeply intertwined with sustainable development and the realization of the SDGs. The SDGs provide a structured framework for achieving sustainable well-being on a global scale. By addressing poverty, inequality, and environmental sustainability, the SDGs promote the overall quality of life for individuals and communities, aligning with the principles of sustainable development (Agbolaghi et al., 2018).</w:t>
      </w:r>
    </w:p>
    <w:p w14:paraId="0FAF63B4" w14:textId="77777777" w:rsidR="00D313BB" w:rsidRPr="004B4485" w:rsidRDefault="00D313BB" w:rsidP="004B4485">
      <w:pPr>
        <w:spacing w:line="360" w:lineRule="auto"/>
        <w:ind w:firstLine="720"/>
        <w:rPr>
          <w:rFonts w:ascii="Arial" w:hAnsi="Arial" w:cs="Arial"/>
          <w:sz w:val="22"/>
        </w:rPr>
      </w:pPr>
    </w:p>
    <w:p w14:paraId="7D81DAE5" w14:textId="77777777" w:rsidR="009F53F9" w:rsidRPr="004B4485" w:rsidRDefault="004028C3" w:rsidP="004B4485">
      <w:pPr>
        <w:pStyle w:val="Heading1"/>
        <w:spacing w:line="360" w:lineRule="auto"/>
        <w:rPr>
          <w:rFonts w:ascii="Arial" w:hAnsi="Arial" w:cs="Arial"/>
          <w:sz w:val="22"/>
          <w:szCs w:val="22"/>
        </w:rPr>
      </w:pPr>
      <w:bookmarkStart w:id="5" w:name="_Toc152268713"/>
      <w:r w:rsidRPr="004B4485">
        <w:rPr>
          <w:rFonts w:ascii="Arial" w:hAnsi="Arial" w:cs="Arial"/>
          <w:sz w:val="22"/>
          <w:szCs w:val="22"/>
          <w:lang w:val="en-US"/>
        </w:rPr>
        <w:t xml:space="preserve">Goal 3: </w:t>
      </w:r>
      <w:r w:rsidR="009F53F9" w:rsidRPr="004B4485">
        <w:rPr>
          <w:rFonts w:ascii="Arial" w:hAnsi="Arial" w:cs="Arial"/>
          <w:sz w:val="22"/>
          <w:szCs w:val="22"/>
        </w:rPr>
        <w:t>Ensuring Healthy Lives and Well-being</w:t>
      </w:r>
      <w:bookmarkEnd w:id="5"/>
    </w:p>
    <w:p w14:paraId="79B78C9B"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 xml:space="preserve">Goal 3 of the Sustainable Development Goals (SDGs) is a vital commitment to ensure healthy lives and well-being for all, transcending geographical boundaries and socioeconomic </w:t>
      </w:r>
      <w:r w:rsidRPr="004B4485">
        <w:rPr>
          <w:rFonts w:ascii="Arial" w:hAnsi="Arial" w:cs="Arial"/>
          <w:sz w:val="22"/>
        </w:rPr>
        <w:lastRenderedPageBreak/>
        <w:t>disparities. This goal, officially known as "Good Health and Well-being," serves as a cornerstone in the global agenda for sustainable development, aiming to tackle various health challenges, promote well-being, and provide universal access to healthcare. The significance of Goal 3 lies in its potential to alleviate suffering, reduce inequalities, and foster the conditions for sustainable development (The Ways HR Professionals are Making Their Contributions in Achieving Sustainable Development Goals (SDGs), 2022). we will provide a detailed explanation of SDG 3, emphasizing its importance and evaluate its significance in improving health and well-being.</w:t>
      </w:r>
    </w:p>
    <w:p w14:paraId="119A1B9C"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The United Kingdom has adopted a range of strategies and programs to achieve SDG 3. Two noteworthy initiatives are the National Health Service (NHS) and the "Healthy Lives, Healthy People" program. The NHS, as a cornerstone of the UK's healthcare system, plays a crucial role in delivering accessible and equitable healthcare services to its citizens. "Healthy Lives, Healthy People" is a government program that focuses on addressing various health issues, including obesity, smoking, and alcohol consumption (Jariwala, 2017). These strategies demonstrate the UK's commitment to achieving Goal 3, but their effectiveness and implementation warrant critical examination.</w:t>
      </w:r>
    </w:p>
    <w:p w14:paraId="6021E88A"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A critical review of the NHS and "Healthy Lives, Healthy People" programs reveals both successes and challenges. The NHS, while providing comprehensive healthcare services, faces issues related to funding, workforce shortages, and healthcare inequalities. The "Healthy Lives, Healthy People" program has shown positive outcomes in reducing smoking rates but may need further evaluation regarding its impact on obesity and alcohol consumption. Therefore, it is essential to critically assess the effectiveness and implementation of these strategies to better understand their contribution to SDG 3 (Song and Jang, 2023).</w:t>
      </w:r>
    </w:p>
    <w:p w14:paraId="0FE2F12B"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 xml:space="preserve">Evaluating the progress made by the UK government in implementing Goal 3 is paramount to assessing the nation's commitment to improving health and well-being. The UK has indeed made substantial advancements in critical areas such as increasing life expectancy, reducing child mortality, and effectively controlling infectious diseases. These achievements reflect the government's dedication to improving the overall health of its population. However, it is crucial to recognize that challenges persis (Role of Accountants in Achieving the Sustainable Development Goals (SDGS): Do Accountants Really Matter for Sustainable Development </w:t>
      </w:r>
      <w:r w:rsidR="00633B78" w:rsidRPr="004B4485">
        <w:rPr>
          <w:rFonts w:ascii="Arial" w:hAnsi="Arial" w:cs="Arial"/>
          <w:sz w:val="22"/>
        </w:rPr>
        <w:t>Goals,</w:t>
      </w:r>
      <w:r w:rsidRPr="004B4485">
        <w:rPr>
          <w:rFonts w:ascii="Arial" w:hAnsi="Arial" w:cs="Arial"/>
          <w:sz w:val="22"/>
        </w:rPr>
        <w:t xml:space="preserve"> 2023). Non-communicable diseases, such as cardiovascular disease, diabetes, and obesity, continue to pose significant public health threats. Health inequalities persist, as certain segments of the population still face barriers in accessing healthcare and experiencing disparities in health outcomes. Mental health issues, an increasingly pressing concern, require further attention and investment (Sweileh, 2020). A comprehensive evaluation of the UK's </w:t>
      </w:r>
      <w:r w:rsidRPr="004B4485">
        <w:rPr>
          <w:rFonts w:ascii="Arial" w:hAnsi="Arial" w:cs="Arial"/>
          <w:sz w:val="22"/>
        </w:rPr>
        <w:lastRenderedPageBreak/>
        <w:t>progress on Goal 3 is necessary to gauge the nation's success in improving health and well-being and to identify areas where further action is needed to ensure that all citizens can enjoy a high level of health and well-being.</w:t>
      </w:r>
    </w:p>
    <w:p w14:paraId="104ABBD7"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The impact of Goal 3 on health, well-being, and sustainable development within the UK is profound. Achieving this goal results in healthier populations, increased productivity, and reduced healthcare costs. It also fosters social cohesion and reduces disparities, contributing to a more equitable society. Moreover, addressing health and well-being is intrinsically linked to sustainable development, as healthier populations are better equipped to participate in economic activities, education, and environmental conservation, ensuring a more prosperous and sustainable future (Sweileh, 2020).</w:t>
      </w:r>
    </w:p>
    <w:p w14:paraId="1E14E9F2"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However, implementing Goal 3 is not without its challenges. The UK faces obstacles such as healthcare funding issues, workforce shortages, and the prevalence of unhealthy behaviors. The rising burden of non-communicable diseases and mental health conditions also presents significant challenges (Sweileh, 2020). Addressing these hurdles is essential for realizing the full potential of Goal 3. Achieving Sustainable Development Goal 3, which focuses on ensuring healthy lives and promoting well-being for all at all ages, is indeed a complex task for the United Kingdom. Healthcare funding issues continue to strain the National Health Service (NHS), resulting in longer waiting times and limited access to specialized treatments. Workforce shortages in the healthcare sector, especially in critical roles like nursing and general practice, create additional stress on the system. The prevalence of unhealthy behaviors, such as smoking, excessive alcohol consumption, and poor diet, contributes to the growing burden of preventable diseases.</w:t>
      </w:r>
    </w:p>
    <w:p w14:paraId="235F9D4B"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Non-communicable diseases (NCDs) like heart disease, diabetes, and cancer are on the rise, demanding more resources and strategies for prevention and treatment. Mental health conditions are also a critical concern, with increasing rates of depression and anxiety disorders. To overcome these challenges, the UK must prioritize funding and resource allocation to support its healthcare system. It should invest in education and training to address workforce shortages and implement public health campaigns to encourage healthier lifestyles (Salmela-Aro, 2010). Tackling NCDs and mental</w:t>
      </w:r>
    </w:p>
    <w:p w14:paraId="2621F873"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rPr>
        <w:t xml:space="preserve">To overcome these challenges and effectively achieve Goal 3, several recommendations can be put forward. Firstly, the UK should continue to invest in its healthcare system, ensuring sufficient funding and addressing workforce shortages to maintain high-quality care. Additionally, there should be an increased focus on preventive measures, such as public health campaigns, to combat unhealthy behaviors (D’Alessandro and Zulu, 2016). Addressing health </w:t>
      </w:r>
      <w:r w:rsidRPr="004B4485">
        <w:rPr>
          <w:rFonts w:ascii="Arial" w:hAnsi="Arial" w:cs="Arial"/>
          <w:sz w:val="22"/>
        </w:rPr>
        <w:lastRenderedPageBreak/>
        <w:t>inequalities through targeted policies and interventions is also crucial. Finally, the UK should prioritize mental health services and research to address the growing burden of mental health issues. In addition to the recommendations mentioned above, it is important for the UK to prioritize the integration of technology in healthcare. Embracing digital health solutions can greatly improve efficiency, accessibility, and patient outcomes. Implementing electronic health records (EHRs) can streamline communication and information sharing among healthcare providers, ensuring continuity of care. Telemedicine and remote monitoring can also play a significant role in improving access to healthcare, especially in rural or underserved areas. By leveraging technology, the UK can enhance healthcare delivery and empower patients to take an active role in managing their health.</w:t>
      </w:r>
    </w:p>
    <w:p w14:paraId="00452215" w14:textId="77777777" w:rsidR="009F53F9" w:rsidRPr="004B4485" w:rsidRDefault="009F53F9" w:rsidP="004B4485">
      <w:pPr>
        <w:spacing w:line="360" w:lineRule="auto"/>
        <w:ind w:firstLine="720"/>
        <w:rPr>
          <w:rFonts w:ascii="Arial" w:hAnsi="Arial" w:cs="Arial"/>
          <w:sz w:val="22"/>
        </w:rPr>
      </w:pPr>
      <w:r w:rsidRPr="004B4485">
        <w:rPr>
          <w:rFonts w:ascii="Arial" w:hAnsi="Arial" w:cs="Arial"/>
          <w:sz w:val="22"/>
          <w:lang w:val="en-US"/>
        </w:rPr>
        <w:t>Thus</w:t>
      </w:r>
      <w:r w:rsidRPr="004B4485">
        <w:rPr>
          <w:rFonts w:ascii="Arial" w:hAnsi="Arial" w:cs="Arial"/>
          <w:sz w:val="22"/>
        </w:rPr>
        <w:t>, Goal 3 of the Sustainable Development Goals is a pivotal commitment that aims to ensure healthy lives and well-being for all. The United Kingdom has adopted strategies and programs, such as the NHS and "Healthy Lives, Healthy People," to achieve this goal. While progress has been made, challenges remain in addressing issues like healthcare funding, workforce shortages, and health inequalities. Nevertheless, the impact of Goal 3 on health, well-being, and sustainable development in the UK is significant, contributing to a healthier, more equitable, and sustainable future. By implementing the recommended measures and addressing the challenges, the UK can further its commitment to achieving Goal 3 and improving the well-being of its citizens.</w:t>
      </w:r>
    </w:p>
    <w:p w14:paraId="0963855D" w14:textId="77777777" w:rsidR="00D313BB" w:rsidRPr="004B4485" w:rsidRDefault="00D313BB" w:rsidP="004B4485">
      <w:pPr>
        <w:spacing w:line="360" w:lineRule="auto"/>
        <w:ind w:firstLine="720"/>
        <w:rPr>
          <w:rFonts w:ascii="Arial" w:hAnsi="Arial" w:cs="Arial"/>
          <w:sz w:val="22"/>
        </w:rPr>
      </w:pPr>
    </w:p>
    <w:p w14:paraId="77392BFC" w14:textId="77777777" w:rsidR="00910051" w:rsidRPr="004B4485" w:rsidRDefault="00910051" w:rsidP="004B4485">
      <w:pPr>
        <w:pStyle w:val="Heading1"/>
        <w:spacing w:line="360" w:lineRule="auto"/>
        <w:rPr>
          <w:rFonts w:ascii="Arial" w:hAnsi="Arial" w:cs="Arial"/>
          <w:sz w:val="22"/>
          <w:szCs w:val="22"/>
        </w:rPr>
      </w:pPr>
      <w:bookmarkStart w:id="6" w:name="_Toc152268714"/>
      <w:r w:rsidRPr="004B4485">
        <w:rPr>
          <w:rFonts w:ascii="Arial" w:hAnsi="Arial" w:cs="Arial"/>
          <w:sz w:val="22"/>
          <w:szCs w:val="22"/>
        </w:rPr>
        <w:t>Goal 4: Quality Education for All</w:t>
      </w:r>
      <w:bookmarkEnd w:id="6"/>
    </w:p>
    <w:p w14:paraId="675950C4"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Sustainable Development Goal 4 (SDG 4), "Quality Education," is one of the 17 goals established by the United Nations in the 2030 Agenda for Sustainable Development. It holds paramount significance in promoting inclusive, equitable, and quality education for all. This goal is essential because education is not just a fundamental human right, but also a powerful catalyst for achieving numerous other sustainable development goals. Education has the potential to transform lives, reduce inequalities, and foster economic growth (Asongu and Odhiambo, 2018). SDG 4 seeks to ensure that everyone has access to a quality education, from early childhood through to adulthood, irrespective of their background, income, or location.</w:t>
      </w:r>
    </w:p>
    <w:p w14:paraId="687C5EEB"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 xml:space="preserve">Quality education plays a pivotal role in breaking the cycle of poverty, empowering individuals to lead healthy and fulfilling lives, and promoting sustainable development. It equips people with the knowledge and skills needed to make informed decisions, engage actively in their communities, and contribute to the betterment of society. Therefore, the significance of </w:t>
      </w:r>
      <w:r w:rsidRPr="004B4485">
        <w:rPr>
          <w:rFonts w:ascii="Arial" w:hAnsi="Arial" w:cs="Arial"/>
          <w:sz w:val="22"/>
        </w:rPr>
        <w:lastRenderedPageBreak/>
        <w:t>SDG 4 goes beyond providing basic education; it aims to offer inclusive, equitable, and lifelong learning opportunities.</w:t>
      </w:r>
    </w:p>
    <w:p w14:paraId="065256E9"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The importance of SDG 4 is underscored by its interlinkages with other SDGs. For instance, it directly contributes to the achievement of SDG 1 (No Poverty) by providing individuals with the means to secure a better future, and to SDG 3 (Good Health and Well-being) by raising awareness about health and hygiene practices. Moreover, quality education is integral to addressing gender equality (SDG 5) and reducing inequalities (SDG 10), as it ensures that marginalized and disadvantaged groups have equal access to opportunities.</w:t>
      </w:r>
    </w:p>
    <w:p w14:paraId="1FDCCD96"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Evaluating the significance of Goal 4 reveals that its successful implementation can lead to a host of social, economic, and environmental benefits. These include reducing unemployment, enhancing productivity, and fostering sustainable consumption and production (Marianovych, 2019)</w:t>
      </w:r>
      <w:r w:rsidRPr="004B4485">
        <w:rPr>
          <w:rFonts w:ascii="Arial" w:hAnsi="Arial" w:cs="Arial"/>
          <w:sz w:val="22"/>
          <w:lang w:val="en-US"/>
        </w:rPr>
        <w:t>.</w:t>
      </w:r>
      <w:r w:rsidRPr="004B4485">
        <w:rPr>
          <w:rFonts w:ascii="Arial" w:hAnsi="Arial" w:cs="Arial"/>
          <w:sz w:val="22"/>
        </w:rPr>
        <w:t xml:space="preserve"> Furthermore, quality education can create informed citizens who are better equipped to address environmental challenges (SDG 13: Climate Action) and promote peace, justice, and strong institutions (SDG 16). In summary, the importance of SDG 4 is evident in its potential to drive progress across multiple dimensions of sustainable development.</w:t>
      </w:r>
    </w:p>
    <w:p w14:paraId="74C7BC05" w14:textId="77777777" w:rsidR="00910051" w:rsidRPr="004B4485" w:rsidRDefault="00910051" w:rsidP="004B4485">
      <w:pPr>
        <w:pStyle w:val="Heading2"/>
        <w:spacing w:line="360" w:lineRule="auto"/>
        <w:rPr>
          <w:rFonts w:ascii="Arial" w:hAnsi="Arial" w:cs="Arial"/>
          <w:sz w:val="22"/>
          <w:szCs w:val="22"/>
        </w:rPr>
      </w:pPr>
      <w:bookmarkStart w:id="7" w:name="_Toc152268715"/>
      <w:r w:rsidRPr="004B4485">
        <w:rPr>
          <w:rFonts w:ascii="Arial" w:hAnsi="Arial" w:cs="Arial"/>
          <w:sz w:val="22"/>
          <w:szCs w:val="22"/>
        </w:rPr>
        <w:t>UK Strategies/Programmes for Goal 4:</w:t>
      </w:r>
      <w:bookmarkEnd w:id="7"/>
    </w:p>
    <w:p w14:paraId="2D85056D"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The United Kingdom has shown a strong commitment to achieving SDG 4 through various strategies and programs. Two noteworthy initiatives are the "Education for All" campaign and the "Pupil Premium" scheme.</w:t>
      </w:r>
      <w:r w:rsidRPr="004B4485">
        <w:rPr>
          <w:rFonts w:ascii="Arial" w:hAnsi="Arial" w:cs="Arial"/>
          <w:sz w:val="22"/>
          <w:lang w:val="en-US"/>
        </w:rPr>
        <w:t xml:space="preserve"> </w:t>
      </w:r>
      <w:r w:rsidRPr="004B4485">
        <w:rPr>
          <w:rFonts w:ascii="Arial" w:hAnsi="Arial" w:cs="Arial"/>
          <w:sz w:val="22"/>
        </w:rPr>
        <w:t>The "Education for All" campaign aims to ensure that every child in the UK has access to quality education, regardless of their background. It recognizes the importance of inclusive education and promotes diversity within classrooms. The campaign includes measures to reduce the educational attainment gap between students from different socio-economic backgrounds (Kvamme, 2022). By focusing on inclusive policies, it aligns with the principles of SDG 4, particularly in terms of reducing inequalities in education.</w:t>
      </w:r>
    </w:p>
    <w:p w14:paraId="632DF8F1"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The "Pupil Premium" scheme is another significant program in the UK's approach to SDG 4. It provides additional funding to schools to support the education of disadvantaged students. This financial support helps schools address the specific needs of students from economically disadvantaged backgrounds, thereby improving their access to quality education. The program targets the most vulnerable and marginalized groups, contributing to the inclusivity aspect of SDG 4.</w:t>
      </w:r>
    </w:p>
    <w:p w14:paraId="7A1CAD96" w14:textId="77777777" w:rsidR="00D313BB" w:rsidRPr="004B4485" w:rsidRDefault="00D313BB" w:rsidP="004B4485">
      <w:pPr>
        <w:spacing w:line="360" w:lineRule="auto"/>
        <w:ind w:firstLine="720"/>
        <w:rPr>
          <w:rFonts w:ascii="Arial" w:hAnsi="Arial" w:cs="Arial"/>
          <w:sz w:val="22"/>
        </w:rPr>
      </w:pPr>
    </w:p>
    <w:p w14:paraId="75B4274A" w14:textId="77777777" w:rsidR="00910051" w:rsidRPr="004B4485" w:rsidRDefault="00910051" w:rsidP="004B4485">
      <w:pPr>
        <w:pStyle w:val="Heading2"/>
        <w:spacing w:line="360" w:lineRule="auto"/>
        <w:rPr>
          <w:rFonts w:ascii="Arial" w:hAnsi="Arial" w:cs="Arial"/>
          <w:sz w:val="22"/>
          <w:szCs w:val="22"/>
        </w:rPr>
      </w:pPr>
      <w:bookmarkStart w:id="8" w:name="_Toc152268716"/>
      <w:r w:rsidRPr="004B4485">
        <w:rPr>
          <w:rFonts w:ascii="Arial" w:hAnsi="Arial" w:cs="Arial"/>
          <w:sz w:val="22"/>
          <w:szCs w:val="22"/>
        </w:rPr>
        <w:t>Critical Review of Strategies/Programmes for Goal 4</w:t>
      </w:r>
      <w:bookmarkEnd w:id="8"/>
    </w:p>
    <w:p w14:paraId="1B5437BF"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While the UK's "Education for All" campaign and the "Pupil Premium" scheme are laudable initiatives, there are areas that warrant critical assessment.</w:t>
      </w:r>
      <w:r w:rsidRPr="004B4485">
        <w:rPr>
          <w:rFonts w:ascii="Arial" w:hAnsi="Arial" w:cs="Arial"/>
          <w:sz w:val="22"/>
          <w:lang w:val="en-US"/>
        </w:rPr>
        <w:t xml:space="preserve"> </w:t>
      </w:r>
      <w:r w:rsidRPr="004B4485">
        <w:rPr>
          <w:rFonts w:ascii="Arial" w:hAnsi="Arial" w:cs="Arial"/>
          <w:sz w:val="22"/>
        </w:rPr>
        <w:t xml:space="preserve">Firstly, the "Education for </w:t>
      </w:r>
      <w:r w:rsidRPr="004B4485">
        <w:rPr>
          <w:rFonts w:ascii="Arial" w:hAnsi="Arial" w:cs="Arial"/>
          <w:sz w:val="22"/>
        </w:rPr>
        <w:lastRenderedPageBreak/>
        <w:t>All" campaign, despite its inclusive rhetoric, faces challenges in terms of practical implementation. In some cases, access to quality education remains unequal, with disadvantaged students still experiencing disparities in educational outcomes. There is a need for further evaluation to ensure that the campaign's goals are met effectively.</w:t>
      </w:r>
      <w:r w:rsidRPr="004B4485">
        <w:rPr>
          <w:rFonts w:ascii="Arial" w:hAnsi="Arial" w:cs="Arial"/>
          <w:sz w:val="22"/>
          <w:lang w:val="en-US"/>
        </w:rPr>
        <w:t xml:space="preserve"> </w:t>
      </w:r>
      <w:r w:rsidRPr="004B4485">
        <w:rPr>
          <w:rFonts w:ascii="Arial" w:hAnsi="Arial" w:cs="Arial"/>
          <w:sz w:val="22"/>
        </w:rPr>
        <w:t>The "Pupil Premium" scheme, on the other hand, has been criticized for not achieving its intended impact. Concerns have been raised about how the additional funding is allocated and whether it consistently reaches the students who need it most. There is a need for better monitoring and evaluation to ensure that the scheme effectively addresses the educational inequalities it aims to tackle.</w:t>
      </w:r>
    </w:p>
    <w:p w14:paraId="08EB6997" w14:textId="77777777" w:rsidR="00910051" w:rsidRPr="004B4485" w:rsidRDefault="00910051" w:rsidP="004B4485">
      <w:pPr>
        <w:pStyle w:val="Heading2"/>
        <w:spacing w:line="360" w:lineRule="auto"/>
        <w:rPr>
          <w:rFonts w:ascii="Arial" w:hAnsi="Arial" w:cs="Arial"/>
          <w:sz w:val="22"/>
          <w:szCs w:val="22"/>
        </w:rPr>
      </w:pPr>
      <w:bookmarkStart w:id="9" w:name="_Toc152268717"/>
      <w:r w:rsidRPr="004B4485">
        <w:rPr>
          <w:rFonts w:ascii="Arial" w:hAnsi="Arial" w:cs="Arial"/>
          <w:sz w:val="22"/>
          <w:szCs w:val="22"/>
        </w:rPr>
        <w:t>Progress on Goal 4 in the UK</w:t>
      </w:r>
      <w:bookmarkEnd w:id="9"/>
    </w:p>
    <w:p w14:paraId="4A3E791B"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The UK government has made notable progress in implementing SDG 4. It has taken significant steps to ensure that education is accessible and of high quality. Key achievements include increased enrolment rates in primary and secondary education, improved access to early childhood education, and a focus on inclusive education practices. The government's investment in teacher training and curriculum development has contributed to enhancing the quality of education.</w:t>
      </w:r>
      <w:r w:rsidRPr="004B4485">
        <w:rPr>
          <w:rFonts w:ascii="Arial" w:hAnsi="Arial" w:cs="Arial"/>
          <w:sz w:val="22"/>
          <w:lang w:val="en-US"/>
        </w:rPr>
        <w:t xml:space="preserve"> </w:t>
      </w:r>
      <w:r w:rsidRPr="004B4485">
        <w:rPr>
          <w:rFonts w:ascii="Arial" w:hAnsi="Arial" w:cs="Arial"/>
          <w:sz w:val="22"/>
        </w:rPr>
        <w:t>Additionally, the UK has demonstrated its commitment to lifelong learning and skills development through various adult education programs and vocational training initiatives. These efforts align with the broader vision of SDG 4, which emphasizes education throughout one's life (Boluk et al., 2019).</w:t>
      </w:r>
      <w:r w:rsidRPr="004B4485">
        <w:rPr>
          <w:rFonts w:ascii="Arial" w:hAnsi="Arial" w:cs="Arial"/>
          <w:sz w:val="22"/>
          <w:lang w:val="en-US"/>
        </w:rPr>
        <w:t xml:space="preserve"> </w:t>
      </w:r>
      <w:r w:rsidRPr="004B4485">
        <w:rPr>
          <w:rFonts w:ascii="Arial" w:hAnsi="Arial" w:cs="Arial"/>
          <w:sz w:val="22"/>
        </w:rPr>
        <w:t>However, it is important to acknowledge that challenges persist, particularly in addressing the educational disparities that exist among different socioeconomic groups. More needs to be done to reduce inequalities and ensure that every child has an equal opportunity to access quality education.</w:t>
      </w:r>
    </w:p>
    <w:p w14:paraId="2D4AD9DB" w14:textId="77777777" w:rsidR="00D313BB" w:rsidRPr="004B4485" w:rsidRDefault="00D313BB" w:rsidP="004B4485">
      <w:pPr>
        <w:spacing w:line="360" w:lineRule="auto"/>
        <w:ind w:firstLine="720"/>
        <w:rPr>
          <w:rFonts w:ascii="Arial" w:hAnsi="Arial" w:cs="Arial"/>
          <w:sz w:val="22"/>
        </w:rPr>
      </w:pPr>
    </w:p>
    <w:p w14:paraId="59B8E3F0" w14:textId="77777777" w:rsidR="00910051" w:rsidRPr="004B4485" w:rsidRDefault="00910051" w:rsidP="004B4485">
      <w:pPr>
        <w:pStyle w:val="Heading2"/>
        <w:spacing w:line="360" w:lineRule="auto"/>
        <w:rPr>
          <w:rFonts w:ascii="Arial" w:hAnsi="Arial" w:cs="Arial"/>
          <w:sz w:val="22"/>
          <w:szCs w:val="22"/>
        </w:rPr>
      </w:pPr>
      <w:bookmarkStart w:id="10" w:name="_Toc152268718"/>
      <w:r w:rsidRPr="004B4485">
        <w:rPr>
          <w:rFonts w:ascii="Arial" w:hAnsi="Arial" w:cs="Arial"/>
          <w:sz w:val="22"/>
          <w:szCs w:val="22"/>
        </w:rPr>
        <w:t>Impact of Goal 4 on Health, Well-being, and Sustainable Development</w:t>
      </w:r>
      <w:bookmarkEnd w:id="10"/>
    </w:p>
    <w:p w14:paraId="250D53F1"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SDG 4 has a significant impact on health, well-being, and sustainable development in the UK. Quality education is a critical factor in improving health outcomes, as it promotes knowledge of healthy behaviours and provides the skills needed for employment in the healthcare sector. Furthermore, educated individuals are more likely to make informed decisions about their well-being, leading to healthier lifestyles (Boluk et al., 2019).In terms of sustainable development, quality education equips people with the knowledge and skills to address environmental challenges, such as climate change and resource management. It also fosters a sense of responsibility for sustainable consumption and production practices. In this way, SDG 4 contributes to the broader sustainability agenda, including goals related to climate action and responsible consumption and production.</w:t>
      </w:r>
    </w:p>
    <w:p w14:paraId="301A83A0" w14:textId="77777777" w:rsidR="00D313BB" w:rsidRPr="004B4485" w:rsidRDefault="00D313BB" w:rsidP="004B4485">
      <w:pPr>
        <w:spacing w:line="360" w:lineRule="auto"/>
        <w:ind w:firstLine="720"/>
        <w:rPr>
          <w:rFonts w:ascii="Arial" w:hAnsi="Arial" w:cs="Arial"/>
          <w:sz w:val="22"/>
        </w:rPr>
      </w:pPr>
    </w:p>
    <w:p w14:paraId="0B5A11A8" w14:textId="77777777" w:rsidR="00910051" w:rsidRPr="004B4485" w:rsidRDefault="00910051" w:rsidP="004B4485">
      <w:pPr>
        <w:pStyle w:val="Heading2"/>
        <w:spacing w:line="360" w:lineRule="auto"/>
        <w:rPr>
          <w:rFonts w:ascii="Arial" w:hAnsi="Arial" w:cs="Arial"/>
          <w:sz w:val="22"/>
          <w:szCs w:val="22"/>
        </w:rPr>
      </w:pPr>
      <w:bookmarkStart w:id="11" w:name="_Toc152268719"/>
      <w:r w:rsidRPr="004B4485">
        <w:rPr>
          <w:rFonts w:ascii="Arial" w:hAnsi="Arial" w:cs="Arial"/>
          <w:sz w:val="22"/>
          <w:szCs w:val="22"/>
        </w:rPr>
        <w:t>Challenges in Implementing Goal 4</w:t>
      </w:r>
      <w:bookmarkEnd w:id="11"/>
    </w:p>
    <w:p w14:paraId="196409FD" w14:textId="77777777" w:rsidR="00910051" w:rsidRPr="004B4485" w:rsidRDefault="00910051" w:rsidP="004B4485">
      <w:pPr>
        <w:spacing w:line="360" w:lineRule="auto"/>
        <w:ind w:firstLine="720"/>
        <w:rPr>
          <w:rFonts w:ascii="Arial" w:hAnsi="Arial" w:cs="Arial"/>
          <w:sz w:val="22"/>
        </w:rPr>
      </w:pPr>
      <w:r w:rsidRPr="004B4485">
        <w:rPr>
          <w:rFonts w:ascii="Arial" w:hAnsi="Arial" w:cs="Arial"/>
          <w:sz w:val="22"/>
        </w:rPr>
        <w:t>Despite the progress made in implementing SDG 4 in the UK, several challenges persist. One of the foremost challenges is addressing educational inequalities. Disadvantaged groups, including those from low-income families, ethnic minorities, and individuals with disabilities, continue to face barriers in accessing quality education. Tackling these disparities requires a multifaceted approach, including targeted policies and additional resources (</w:t>
      </w:r>
      <w:r w:rsidR="00755571" w:rsidRPr="004B4485">
        <w:rPr>
          <w:rFonts w:ascii="Arial" w:hAnsi="Arial" w:cs="Arial"/>
          <w:sz w:val="22"/>
        </w:rPr>
        <w:t>Boerne</w:t>
      </w:r>
      <w:r w:rsidRPr="004B4485">
        <w:rPr>
          <w:rFonts w:ascii="Arial" w:hAnsi="Arial" w:cs="Arial"/>
          <w:sz w:val="22"/>
        </w:rPr>
        <w:t>, 2019).</w:t>
      </w:r>
      <w:r w:rsidRPr="004B4485">
        <w:rPr>
          <w:rFonts w:ascii="Arial" w:hAnsi="Arial" w:cs="Arial"/>
          <w:sz w:val="22"/>
          <w:lang w:val="en-US"/>
        </w:rPr>
        <w:t xml:space="preserve"> </w:t>
      </w:r>
      <w:r w:rsidRPr="004B4485">
        <w:rPr>
          <w:rFonts w:ascii="Arial" w:hAnsi="Arial" w:cs="Arial"/>
          <w:sz w:val="22"/>
        </w:rPr>
        <w:t>Another challenge is the need to adapt education systems to the evolving demands of the 21st century. This includes integrating digital literacy, critical thinking, and problem-solving skills into curricula to prepare students for a rapidly changing world. Additionally, the COVID-19 pandemic has highlighted the importance of resilient and adaptable education systems, requiring investments in technology and teacher training.</w:t>
      </w:r>
      <w:r w:rsidRPr="004B4485">
        <w:rPr>
          <w:rFonts w:ascii="Arial" w:hAnsi="Arial" w:cs="Arial"/>
          <w:sz w:val="22"/>
          <w:lang w:val="en-US"/>
        </w:rPr>
        <w:t xml:space="preserve"> </w:t>
      </w:r>
      <w:r w:rsidRPr="004B4485">
        <w:rPr>
          <w:rFonts w:ascii="Arial" w:hAnsi="Arial" w:cs="Arial"/>
          <w:sz w:val="22"/>
        </w:rPr>
        <w:t>The UK also faces challenges in ensuring that education is environmentally sustainable. This involves not only reducing the environmental impact of educational institutions but also fostering a sense of environmental stewardship among students. It requires curricular changes and sustainable infrastructure investments (M Raman and Ghoshal, 2021).</w:t>
      </w:r>
    </w:p>
    <w:p w14:paraId="070FC4D7" w14:textId="77777777" w:rsidR="00D313BB" w:rsidRPr="004B4485" w:rsidRDefault="00D313BB" w:rsidP="004B4485">
      <w:pPr>
        <w:spacing w:line="360" w:lineRule="auto"/>
        <w:rPr>
          <w:rFonts w:ascii="Arial" w:hAnsi="Arial" w:cs="Arial"/>
          <w:sz w:val="22"/>
        </w:rPr>
      </w:pPr>
    </w:p>
    <w:p w14:paraId="2952002A" w14:textId="77777777" w:rsidR="00D313BB" w:rsidRDefault="00D313BB" w:rsidP="004B4485">
      <w:pPr>
        <w:spacing w:line="360" w:lineRule="auto"/>
        <w:rPr>
          <w:rFonts w:ascii="Arial" w:hAnsi="Arial" w:cs="Arial"/>
          <w:sz w:val="22"/>
        </w:rPr>
      </w:pPr>
    </w:p>
    <w:p w14:paraId="52F1213A" w14:textId="77777777" w:rsidR="004B4485" w:rsidRDefault="004B4485" w:rsidP="004B4485">
      <w:pPr>
        <w:spacing w:line="360" w:lineRule="auto"/>
        <w:rPr>
          <w:rFonts w:ascii="Arial" w:hAnsi="Arial" w:cs="Arial"/>
          <w:sz w:val="22"/>
        </w:rPr>
      </w:pPr>
    </w:p>
    <w:p w14:paraId="685CC53F" w14:textId="77777777" w:rsidR="004B4485" w:rsidRDefault="004B4485" w:rsidP="004B4485">
      <w:pPr>
        <w:spacing w:line="360" w:lineRule="auto"/>
        <w:rPr>
          <w:rFonts w:ascii="Arial" w:hAnsi="Arial" w:cs="Arial"/>
          <w:sz w:val="22"/>
        </w:rPr>
      </w:pPr>
    </w:p>
    <w:p w14:paraId="2C11EE66" w14:textId="77777777" w:rsidR="004B4485" w:rsidRDefault="004B4485" w:rsidP="004B4485">
      <w:pPr>
        <w:spacing w:line="360" w:lineRule="auto"/>
        <w:rPr>
          <w:rFonts w:ascii="Arial" w:hAnsi="Arial" w:cs="Arial"/>
          <w:sz w:val="22"/>
        </w:rPr>
      </w:pPr>
    </w:p>
    <w:p w14:paraId="056F1238" w14:textId="77777777" w:rsidR="004B4485" w:rsidRDefault="004B4485" w:rsidP="004B4485">
      <w:pPr>
        <w:spacing w:line="360" w:lineRule="auto"/>
        <w:rPr>
          <w:rFonts w:ascii="Arial" w:hAnsi="Arial" w:cs="Arial"/>
          <w:sz w:val="22"/>
        </w:rPr>
      </w:pPr>
    </w:p>
    <w:p w14:paraId="458B094A" w14:textId="77777777" w:rsidR="004B4485" w:rsidRDefault="004B4485" w:rsidP="004B4485">
      <w:pPr>
        <w:spacing w:line="360" w:lineRule="auto"/>
        <w:rPr>
          <w:rFonts w:ascii="Arial" w:hAnsi="Arial" w:cs="Arial"/>
          <w:sz w:val="22"/>
        </w:rPr>
      </w:pPr>
    </w:p>
    <w:p w14:paraId="76D6D10D" w14:textId="77777777" w:rsidR="004B4485" w:rsidRDefault="004B4485" w:rsidP="004B4485">
      <w:pPr>
        <w:spacing w:line="360" w:lineRule="auto"/>
        <w:rPr>
          <w:rFonts w:ascii="Arial" w:hAnsi="Arial" w:cs="Arial"/>
          <w:sz w:val="22"/>
        </w:rPr>
      </w:pPr>
    </w:p>
    <w:p w14:paraId="79655F1A" w14:textId="77777777" w:rsidR="004B4485" w:rsidRDefault="004B4485" w:rsidP="004B4485">
      <w:pPr>
        <w:spacing w:line="360" w:lineRule="auto"/>
        <w:rPr>
          <w:rFonts w:ascii="Arial" w:hAnsi="Arial" w:cs="Arial"/>
          <w:sz w:val="22"/>
        </w:rPr>
      </w:pPr>
    </w:p>
    <w:p w14:paraId="35B4C1DF" w14:textId="77777777" w:rsidR="004B4485" w:rsidRDefault="004B4485" w:rsidP="004B4485">
      <w:pPr>
        <w:spacing w:line="360" w:lineRule="auto"/>
        <w:rPr>
          <w:rFonts w:ascii="Arial" w:hAnsi="Arial" w:cs="Arial"/>
          <w:sz w:val="22"/>
        </w:rPr>
      </w:pPr>
    </w:p>
    <w:p w14:paraId="28E922BB" w14:textId="77777777" w:rsidR="004B4485" w:rsidRDefault="004B4485" w:rsidP="004B4485">
      <w:pPr>
        <w:spacing w:line="360" w:lineRule="auto"/>
        <w:rPr>
          <w:rFonts w:ascii="Arial" w:hAnsi="Arial" w:cs="Arial"/>
          <w:sz w:val="22"/>
        </w:rPr>
      </w:pPr>
    </w:p>
    <w:p w14:paraId="59DD3B66" w14:textId="77777777" w:rsidR="004B4485" w:rsidRDefault="004B4485" w:rsidP="004B4485">
      <w:pPr>
        <w:spacing w:line="360" w:lineRule="auto"/>
        <w:rPr>
          <w:rFonts w:ascii="Arial" w:hAnsi="Arial" w:cs="Arial"/>
          <w:sz w:val="22"/>
        </w:rPr>
      </w:pPr>
    </w:p>
    <w:p w14:paraId="08D599F4" w14:textId="77777777" w:rsidR="004B4485" w:rsidRDefault="004B4485" w:rsidP="004B4485">
      <w:pPr>
        <w:spacing w:line="360" w:lineRule="auto"/>
        <w:rPr>
          <w:rFonts w:ascii="Arial" w:hAnsi="Arial" w:cs="Arial"/>
          <w:sz w:val="22"/>
        </w:rPr>
      </w:pPr>
    </w:p>
    <w:p w14:paraId="16D58D43" w14:textId="77777777" w:rsidR="004B4485" w:rsidRDefault="004B4485" w:rsidP="004B4485">
      <w:pPr>
        <w:spacing w:line="360" w:lineRule="auto"/>
        <w:rPr>
          <w:rFonts w:ascii="Arial" w:hAnsi="Arial" w:cs="Arial"/>
          <w:sz w:val="22"/>
        </w:rPr>
      </w:pPr>
    </w:p>
    <w:p w14:paraId="1B10CF4F" w14:textId="77777777" w:rsidR="004B4485" w:rsidRPr="004B4485" w:rsidRDefault="004B4485" w:rsidP="004B4485">
      <w:pPr>
        <w:spacing w:line="360" w:lineRule="auto"/>
        <w:rPr>
          <w:rFonts w:ascii="Arial" w:hAnsi="Arial" w:cs="Arial"/>
          <w:sz w:val="22"/>
        </w:rPr>
      </w:pPr>
    </w:p>
    <w:p w14:paraId="14CF9A37" w14:textId="77777777" w:rsidR="00D313BB" w:rsidRPr="004B4485" w:rsidRDefault="00D313BB" w:rsidP="004B4485">
      <w:pPr>
        <w:spacing w:line="360" w:lineRule="auto"/>
        <w:rPr>
          <w:rFonts w:ascii="Arial" w:hAnsi="Arial" w:cs="Arial"/>
          <w:sz w:val="22"/>
        </w:rPr>
      </w:pPr>
    </w:p>
    <w:p w14:paraId="2DDFEBFA" w14:textId="77777777" w:rsidR="00B660EC" w:rsidRPr="004B4485" w:rsidRDefault="00B660EC" w:rsidP="004B4485">
      <w:pPr>
        <w:pStyle w:val="Heading1"/>
        <w:spacing w:line="360" w:lineRule="auto"/>
        <w:jc w:val="center"/>
        <w:rPr>
          <w:rFonts w:ascii="Arial" w:hAnsi="Arial" w:cs="Arial"/>
          <w:sz w:val="22"/>
          <w:szCs w:val="22"/>
          <w:lang w:val="en-US"/>
        </w:rPr>
      </w:pPr>
      <w:bookmarkStart w:id="12" w:name="_Toc152268720"/>
      <w:r w:rsidRPr="004B4485">
        <w:rPr>
          <w:rFonts w:ascii="Arial" w:hAnsi="Arial" w:cs="Arial"/>
          <w:sz w:val="22"/>
          <w:szCs w:val="22"/>
          <w:lang w:val="en-US"/>
        </w:rPr>
        <w:lastRenderedPageBreak/>
        <w:t>Conclusion</w:t>
      </w:r>
      <w:bookmarkEnd w:id="12"/>
    </w:p>
    <w:p w14:paraId="33A72031" w14:textId="77777777" w:rsidR="004B4485" w:rsidRDefault="004B4485" w:rsidP="004B4485">
      <w:pPr>
        <w:spacing w:line="360" w:lineRule="auto"/>
        <w:ind w:firstLine="720"/>
        <w:rPr>
          <w:rFonts w:ascii="Arial" w:hAnsi="Arial" w:cs="Arial"/>
          <w:sz w:val="22"/>
        </w:rPr>
      </w:pPr>
    </w:p>
    <w:p w14:paraId="3DF5FC27" w14:textId="77777777" w:rsidR="004B4485" w:rsidRDefault="004B4485" w:rsidP="004B4485">
      <w:pPr>
        <w:spacing w:line="360" w:lineRule="auto"/>
        <w:ind w:firstLine="720"/>
        <w:rPr>
          <w:rFonts w:ascii="Arial" w:hAnsi="Arial" w:cs="Arial"/>
          <w:sz w:val="22"/>
        </w:rPr>
      </w:pPr>
    </w:p>
    <w:p w14:paraId="026CB116" w14:textId="2D8AB95D" w:rsidR="00B660EC" w:rsidRPr="004B4485" w:rsidRDefault="00B660EC" w:rsidP="004B4485">
      <w:pPr>
        <w:spacing w:line="360" w:lineRule="auto"/>
        <w:ind w:firstLine="720"/>
        <w:rPr>
          <w:rFonts w:ascii="Arial" w:hAnsi="Arial" w:cs="Arial"/>
          <w:sz w:val="22"/>
        </w:rPr>
      </w:pPr>
      <w:r w:rsidRPr="004B4485">
        <w:rPr>
          <w:rFonts w:ascii="Arial" w:hAnsi="Arial" w:cs="Arial"/>
          <w:sz w:val="22"/>
        </w:rPr>
        <w:t>In conclusion, the analysis of Sustainable Development Goals (SDGs) 3 and 4 in the UK has highlighted the significance of prioritizing health, well-being, and sustainable development. These goals are crucial for ensuring the overall progress and prosperity of the nation. Through a comprehensive examination of various indicators and factors, several key findings have emerged.</w:t>
      </w:r>
      <w:r w:rsidRPr="004B4485">
        <w:rPr>
          <w:rFonts w:ascii="Arial" w:hAnsi="Arial" w:cs="Arial"/>
          <w:sz w:val="22"/>
          <w:lang w:val="en-US"/>
        </w:rPr>
        <w:t xml:space="preserve"> </w:t>
      </w:r>
      <w:r w:rsidRPr="004B4485">
        <w:rPr>
          <w:rFonts w:ascii="Arial" w:hAnsi="Arial" w:cs="Arial"/>
          <w:sz w:val="22"/>
        </w:rPr>
        <w:t>Firstly, it is evident that the UK has made commendable progress in achieving SDG 3, which focuses on ensuring healthy lives and promoting well-being for all at all ages. The country has a well-established healthcare system that provides universal access to quality healthcare services. Additionally, initiatives such as the National Health Service (NHS) have played a pivotal role in improving healthcare outcomes and reducing health inequalities. However, challenges remain, particularly in addressing mental health issues and promoting healthy lifestyles. Efforts should be directed towards increasing mental health support services and implementing effective preventive measures to tackle lifestyle-related diseases.</w:t>
      </w:r>
    </w:p>
    <w:p w14:paraId="1ED2559D" w14:textId="77777777" w:rsidR="00B660EC" w:rsidRPr="004B4485" w:rsidRDefault="00B660EC" w:rsidP="004B4485">
      <w:pPr>
        <w:spacing w:line="360" w:lineRule="auto"/>
        <w:ind w:firstLine="720"/>
        <w:rPr>
          <w:rFonts w:ascii="Arial" w:hAnsi="Arial" w:cs="Arial"/>
          <w:sz w:val="22"/>
        </w:rPr>
      </w:pPr>
      <w:r w:rsidRPr="004B4485">
        <w:rPr>
          <w:rFonts w:ascii="Arial" w:hAnsi="Arial" w:cs="Arial"/>
          <w:sz w:val="22"/>
        </w:rPr>
        <w:t>Secondly, the analysis reveals that there is room for improvement in achieving SDG 4, which aims to ensure inclusive and equitable quality education and promote lifelong learning opportunities for all. While the UK has a robust education system, disparities exist in terms of access and quality of education. Vulnerable and marginalized groups, including children from low-income backgrounds and those with disabilities, face barriers to accessing quality education. To address this, targeted interventions should be implemented to provide equal opportunities for all children, regardless of their socio-economic background or ability. Furthermore, there is a need to enhance vocational training programs to equip individuals with relevant skills for the changing job market.</w:t>
      </w:r>
    </w:p>
    <w:p w14:paraId="062B197E" w14:textId="77777777" w:rsidR="008539AF" w:rsidRPr="004B4485" w:rsidRDefault="00B660EC" w:rsidP="004B4485">
      <w:pPr>
        <w:spacing w:line="360" w:lineRule="auto"/>
        <w:ind w:firstLine="720"/>
        <w:rPr>
          <w:rFonts w:ascii="Arial" w:hAnsi="Arial" w:cs="Arial"/>
          <w:sz w:val="22"/>
        </w:rPr>
      </w:pPr>
      <w:r w:rsidRPr="004B4485">
        <w:rPr>
          <w:rFonts w:ascii="Arial" w:hAnsi="Arial" w:cs="Arial"/>
          <w:sz w:val="22"/>
        </w:rPr>
        <w:t>To achieve these goals effectively, several recommendations have been identified. Firstly, a multi-sectoral approach is crucial, involving collaboration between government agencies, civil society organizations, and private sector stakeholders. This will ensure a coordinated effort towards achieving the SDGs and maximize the impact of interventions. Secondly, adequate financial resources should be allocated to support the implementation of targeted programs and initiatives. This includes investing in healthcare infrastructure, expanding mental health services, and improving educational facilities.</w:t>
      </w:r>
      <w:r w:rsidRPr="004B4485">
        <w:rPr>
          <w:rFonts w:ascii="Arial" w:hAnsi="Arial" w:cs="Arial"/>
          <w:sz w:val="22"/>
          <w:lang w:val="en-US"/>
        </w:rPr>
        <w:t xml:space="preserve"> </w:t>
      </w:r>
      <w:r w:rsidRPr="004B4485">
        <w:rPr>
          <w:rFonts w:ascii="Arial" w:hAnsi="Arial" w:cs="Arial"/>
          <w:sz w:val="22"/>
        </w:rPr>
        <w:t xml:space="preserve">Furthermore, data collection and monitoring systems need to be strengthened to track progress and identify areas that require further attention. Regular evaluation and reporting will enable policymakers to make informed decisions and adjust strategies accordingly. Additionally, raising awareness among the general </w:t>
      </w:r>
      <w:r w:rsidRPr="004B4485">
        <w:rPr>
          <w:rFonts w:ascii="Arial" w:hAnsi="Arial" w:cs="Arial"/>
          <w:sz w:val="22"/>
        </w:rPr>
        <w:lastRenderedPageBreak/>
        <w:t>public about the importance of these goals is essential in garnering support and fostering a sense of responsibility among individuals.</w:t>
      </w:r>
      <w:r w:rsidR="008539AF" w:rsidRPr="004B4485">
        <w:rPr>
          <w:rFonts w:ascii="Arial" w:hAnsi="Arial" w:cs="Arial"/>
          <w:b/>
          <w:sz w:val="22"/>
          <w:lang w:val="en-US"/>
        </w:rPr>
        <w:br w:type="page"/>
      </w:r>
    </w:p>
    <w:p w14:paraId="3E7DBCC2" w14:textId="77777777" w:rsidR="008539AF" w:rsidRPr="004B4485" w:rsidRDefault="008539AF" w:rsidP="004B4485">
      <w:pPr>
        <w:pStyle w:val="Heading1"/>
        <w:spacing w:line="360" w:lineRule="auto"/>
        <w:jc w:val="center"/>
        <w:rPr>
          <w:rFonts w:ascii="Arial" w:hAnsi="Arial" w:cs="Arial"/>
          <w:sz w:val="22"/>
          <w:szCs w:val="22"/>
          <w:lang w:val="en-US"/>
        </w:rPr>
      </w:pPr>
      <w:bookmarkStart w:id="13" w:name="_Toc152268721"/>
      <w:r w:rsidRPr="004B4485">
        <w:rPr>
          <w:rFonts w:ascii="Arial" w:hAnsi="Arial" w:cs="Arial"/>
          <w:sz w:val="22"/>
          <w:szCs w:val="22"/>
          <w:lang w:val="en-US"/>
        </w:rPr>
        <w:lastRenderedPageBreak/>
        <w:t>References</w:t>
      </w:r>
      <w:bookmarkEnd w:id="13"/>
    </w:p>
    <w:p w14:paraId="7F2EAA61" w14:textId="77777777" w:rsidR="00D313BB" w:rsidRPr="004B4485" w:rsidRDefault="00D313BB" w:rsidP="004B4485">
      <w:pPr>
        <w:spacing w:line="360" w:lineRule="auto"/>
        <w:rPr>
          <w:rFonts w:ascii="Arial" w:hAnsi="Arial" w:cs="Arial"/>
          <w:sz w:val="22"/>
          <w:lang w:val="en-US"/>
        </w:rPr>
      </w:pPr>
    </w:p>
    <w:p w14:paraId="78BF2AFA" w14:textId="4611EE07" w:rsidR="004D5F72" w:rsidRPr="002C5CC6" w:rsidRDefault="004D5F72" w:rsidP="002C5CC6">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Agbolaghi</w:t>
      </w:r>
      <w:proofErr w:type="spellEnd"/>
      <w:r w:rsidRPr="004B4485">
        <w:rPr>
          <w:rFonts w:ascii="Arial" w:hAnsi="Arial" w:cs="Arial"/>
          <w:sz w:val="22"/>
          <w:lang w:val="en-US"/>
        </w:rPr>
        <w:t xml:space="preserve">, S., </w:t>
      </w:r>
      <w:proofErr w:type="spellStart"/>
      <w:r w:rsidRPr="004B4485">
        <w:rPr>
          <w:rFonts w:ascii="Arial" w:hAnsi="Arial" w:cs="Arial"/>
          <w:sz w:val="22"/>
          <w:lang w:val="en-US"/>
        </w:rPr>
        <w:t>Abbaspoor</w:t>
      </w:r>
      <w:proofErr w:type="spellEnd"/>
      <w:r w:rsidRPr="004B4485">
        <w:rPr>
          <w:rFonts w:ascii="Arial" w:hAnsi="Arial" w:cs="Arial"/>
          <w:sz w:val="22"/>
          <w:lang w:val="en-US"/>
        </w:rPr>
        <w:t>, S. and Abbasi, F. (2018) A comprehensive review on polymer single crystals—From fundamental concepts to applications. Progress in Polymer Science, 81</w:t>
      </w:r>
      <w:r w:rsidR="003826E7" w:rsidRPr="004B4485">
        <w:rPr>
          <w:rFonts w:ascii="Arial" w:hAnsi="Arial" w:cs="Arial"/>
          <w:sz w:val="22"/>
          <w:lang w:val="en-US"/>
        </w:rPr>
        <w:t xml:space="preserve">, pp </w:t>
      </w:r>
      <w:r w:rsidRPr="004B4485">
        <w:rPr>
          <w:rFonts w:ascii="Arial" w:hAnsi="Arial" w:cs="Arial"/>
          <w:sz w:val="22"/>
          <w:lang w:val="en-US"/>
        </w:rPr>
        <w:t>22–79.</w:t>
      </w:r>
      <w:r w:rsidR="003826E7" w:rsidRPr="004B4485">
        <w:rPr>
          <w:rFonts w:ascii="Arial" w:hAnsi="Arial" w:cs="Arial"/>
          <w:sz w:val="22"/>
          <w:lang w:val="en-US"/>
        </w:rPr>
        <w:t xml:space="preserve"> </w:t>
      </w:r>
      <w:r w:rsidR="003826E7" w:rsidRPr="002C5CC6">
        <w:rPr>
          <w:rFonts w:ascii="Arial" w:hAnsi="Arial" w:cs="Arial"/>
          <w:sz w:val="22"/>
          <w:lang w:val="en-US"/>
        </w:rPr>
        <w:t xml:space="preserve">Available at: </w:t>
      </w:r>
      <w:hyperlink r:id="rId11" w:history="1">
        <w:r w:rsidR="003826E7" w:rsidRPr="002C5CC6">
          <w:rPr>
            <w:rStyle w:val="Hyperlink"/>
            <w:rFonts w:ascii="Arial" w:hAnsi="Arial" w:cs="Arial"/>
            <w:sz w:val="22"/>
            <w:lang w:val="en-US"/>
          </w:rPr>
          <w:t>https://www.sciencedirect.com/journal/progress-in-polymer-science</w:t>
        </w:r>
      </w:hyperlink>
      <w:r w:rsidR="00FE5071">
        <w:rPr>
          <w:rFonts w:ascii="Arial" w:hAnsi="Arial" w:cs="Arial"/>
          <w:sz w:val="22"/>
          <w:lang w:val="en-US"/>
        </w:rPr>
        <w:t>.</w:t>
      </w:r>
      <w:r w:rsidR="003826E7" w:rsidRPr="002C5CC6">
        <w:rPr>
          <w:rFonts w:ascii="Arial" w:hAnsi="Arial" w:cs="Arial"/>
          <w:sz w:val="22"/>
          <w:lang w:val="en-US"/>
        </w:rPr>
        <w:t xml:space="preserve"> Accessed: 12 October 2023</w:t>
      </w:r>
    </w:p>
    <w:p w14:paraId="2A8CCF00" w14:textId="0385FB9A" w:rsidR="003826E7" w:rsidRPr="002C5CC6" w:rsidRDefault="004D5F72" w:rsidP="002C5CC6">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Arredondo, A., </w:t>
      </w:r>
      <w:proofErr w:type="spellStart"/>
      <w:r w:rsidRPr="004B4485">
        <w:rPr>
          <w:rFonts w:ascii="Arial" w:hAnsi="Arial" w:cs="Arial"/>
          <w:sz w:val="22"/>
          <w:lang w:val="en-US"/>
        </w:rPr>
        <w:t>Recamán</w:t>
      </w:r>
      <w:proofErr w:type="spellEnd"/>
      <w:r w:rsidRPr="004B4485">
        <w:rPr>
          <w:rFonts w:ascii="Arial" w:hAnsi="Arial" w:cs="Arial"/>
          <w:sz w:val="22"/>
          <w:lang w:val="en-US"/>
        </w:rPr>
        <w:t xml:space="preserve">, A.L. and </w:t>
      </w:r>
      <w:proofErr w:type="spellStart"/>
      <w:r w:rsidRPr="004B4485">
        <w:rPr>
          <w:rFonts w:ascii="Arial" w:hAnsi="Arial" w:cs="Arial"/>
          <w:sz w:val="22"/>
          <w:lang w:val="en-US"/>
        </w:rPr>
        <w:t>Castrejón</w:t>
      </w:r>
      <w:proofErr w:type="spellEnd"/>
      <w:r w:rsidRPr="004B4485">
        <w:rPr>
          <w:rFonts w:ascii="Arial" w:hAnsi="Arial" w:cs="Arial"/>
          <w:sz w:val="22"/>
          <w:lang w:val="en-US"/>
        </w:rPr>
        <w:t>, B. (2020) Universal health coverage in the framework of the 2030 global agenda for sustainable development: agreements and challenges. Journal of Global Health, 10 (1).</w:t>
      </w:r>
      <w:r w:rsidR="002C5CC6">
        <w:rPr>
          <w:rFonts w:ascii="Arial" w:hAnsi="Arial" w:cs="Arial"/>
          <w:sz w:val="22"/>
          <w:lang w:val="en-US"/>
        </w:rPr>
        <w:t xml:space="preserve"> </w:t>
      </w:r>
      <w:r w:rsidR="003826E7" w:rsidRPr="002C5CC6">
        <w:rPr>
          <w:rFonts w:ascii="Arial" w:hAnsi="Arial" w:cs="Arial"/>
          <w:sz w:val="22"/>
          <w:lang w:val="en-US"/>
        </w:rPr>
        <w:t xml:space="preserve">Available at: </w:t>
      </w:r>
      <w:hyperlink r:id="rId12" w:history="1">
        <w:r w:rsidR="003826E7" w:rsidRPr="002C5CC6">
          <w:rPr>
            <w:rStyle w:val="Hyperlink"/>
            <w:rFonts w:ascii="Arial" w:hAnsi="Arial" w:cs="Arial"/>
            <w:sz w:val="22"/>
            <w:lang w:val="en-US"/>
          </w:rPr>
          <w:t>https://www.jogh.org/documents/issue202001/jogh-10-010316.pdf</w:t>
        </w:r>
      </w:hyperlink>
      <w:r w:rsidR="00FE5071">
        <w:rPr>
          <w:rFonts w:ascii="Arial" w:hAnsi="Arial" w:cs="Arial"/>
          <w:sz w:val="22"/>
          <w:lang w:val="en-US"/>
        </w:rPr>
        <w:t xml:space="preserve">. </w:t>
      </w:r>
      <w:r w:rsidR="003826E7" w:rsidRPr="002C5CC6">
        <w:rPr>
          <w:rFonts w:ascii="Arial" w:hAnsi="Arial" w:cs="Arial"/>
          <w:sz w:val="22"/>
          <w:lang w:val="en-US"/>
        </w:rPr>
        <w:t>Accessed: 12 October 2023</w:t>
      </w:r>
    </w:p>
    <w:p w14:paraId="7A7EFEC5" w14:textId="7FCE28AA" w:rsidR="003826E7" w:rsidRPr="00FE5071"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Asongu</w:t>
      </w:r>
      <w:proofErr w:type="spellEnd"/>
      <w:r w:rsidRPr="004B4485">
        <w:rPr>
          <w:rFonts w:ascii="Arial" w:hAnsi="Arial" w:cs="Arial"/>
          <w:sz w:val="22"/>
          <w:lang w:val="en-US"/>
        </w:rPr>
        <w:t>, S.A. and Odhiambo, N.M. (2018) Basic formal education quality, information technology, and inclusive human development in sub</w:t>
      </w:r>
      <w:r w:rsidRPr="004B4485">
        <w:rPr>
          <w:rFonts w:ascii="Cambria Math" w:hAnsi="Cambria Math" w:cs="Cambria Math"/>
          <w:sz w:val="22"/>
          <w:lang w:val="en-US"/>
        </w:rPr>
        <w:t>‐</w:t>
      </w:r>
      <w:r w:rsidRPr="004B4485">
        <w:rPr>
          <w:rFonts w:ascii="Arial" w:hAnsi="Arial" w:cs="Arial"/>
          <w:sz w:val="22"/>
          <w:lang w:val="en-US"/>
        </w:rPr>
        <w:t>Saharan Africa. Sustainable Development, 27 (3)</w:t>
      </w:r>
      <w:r w:rsidR="003826E7" w:rsidRPr="004B4485">
        <w:rPr>
          <w:rFonts w:ascii="Arial" w:hAnsi="Arial" w:cs="Arial"/>
          <w:sz w:val="22"/>
          <w:lang w:val="en-US"/>
        </w:rPr>
        <w:t xml:space="preserve">, pp </w:t>
      </w:r>
      <w:r w:rsidRPr="004B4485">
        <w:rPr>
          <w:rFonts w:ascii="Arial" w:hAnsi="Arial" w:cs="Arial"/>
          <w:sz w:val="22"/>
          <w:lang w:val="en-US"/>
        </w:rPr>
        <w:t xml:space="preserve">419–428. </w:t>
      </w:r>
      <w:r w:rsidR="003826E7" w:rsidRPr="00FE5071">
        <w:rPr>
          <w:rFonts w:ascii="Arial" w:hAnsi="Arial" w:cs="Arial"/>
          <w:sz w:val="22"/>
          <w:lang w:val="en-US"/>
        </w:rPr>
        <w:t xml:space="preserve">Available at: </w:t>
      </w:r>
      <w:hyperlink r:id="rId13" w:history="1">
        <w:r w:rsidR="003826E7" w:rsidRPr="00FE5071">
          <w:rPr>
            <w:rStyle w:val="Hyperlink"/>
            <w:rFonts w:ascii="Arial" w:hAnsi="Arial" w:cs="Arial"/>
            <w:sz w:val="22"/>
            <w:lang w:val="en-US"/>
          </w:rPr>
          <w:t>https://onlinelibrary.wiley.com/doi/10.1002/sd.1914</w:t>
        </w:r>
      </w:hyperlink>
      <w:r w:rsidR="00FE5071">
        <w:rPr>
          <w:rFonts w:ascii="Arial" w:hAnsi="Arial" w:cs="Arial"/>
          <w:sz w:val="22"/>
          <w:lang w:val="en-US"/>
        </w:rPr>
        <w:t xml:space="preserve">. </w:t>
      </w:r>
      <w:r w:rsidR="003826E7" w:rsidRPr="00FE5071">
        <w:rPr>
          <w:rFonts w:ascii="Arial" w:hAnsi="Arial" w:cs="Arial"/>
          <w:sz w:val="22"/>
          <w:lang w:val="en-US"/>
        </w:rPr>
        <w:t>Accessed: 14 October 2023</w:t>
      </w:r>
    </w:p>
    <w:p w14:paraId="57500841" w14:textId="7FD02B2E" w:rsidR="003826E7" w:rsidRPr="00FE5071"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Basri, S. and Abdullah, M.S. (2020) Level of Understanding and Alternative Frameworks in Genetics Fundamental Concepts among Form Four Biology Students in Sabah, Malaysia. International Journal of Academic Research in Business and Social Sciences, 10 (9).</w:t>
      </w:r>
      <w:r w:rsidR="00FE5071">
        <w:rPr>
          <w:rFonts w:ascii="Arial" w:hAnsi="Arial" w:cs="Arial"/>
          <w:sz w:val="22"/>
          <w:lang w:val="en-US"/>
        </w:rPr>
        <w:t xml:space="preserve"> </w:t>
      </w:r>
      <w:r w:rsidR="003826E7" w:rsidRPr="00FE5071">
        <w:rPr>
          <w:rFonts w:ascii="Arial" w:hAnsi="Arial" w:cs="Arial"/>
          <w:sz w:val="22"/>
          <w:lang w:val="en-US"/>
        </w:rPr>
        <w:t xml:space="preserve">Available at: </w:t>
      </w:r>
      <w:hyperlink r:id="rId14" w:history="1">
        <w:r w:rsidR="003826E7" w:rsidRPr="00FE5071">
          <w:rPr>
            <w:rStyle w:val="Hyperlink"/>
            <w:rFonts w:ascii="Arial" w:hAnsi="Arial" w:cs="Arial"/>
            <w:sz w:val="22"/>
            <w:lang w:val="en-US"/>
          </w:rPr>
          <w:t>https://hrmars.com/papers_submitted/7830/level-of-understanding-and-alternative-frameworks-in-genetics-fundamental-concepts-among-form-four-biology-students-in-sabah-malaysia.pdf</w:t>
        </w:r>
      </w:hyperlink>
      <w:r w:rsidR="00FE5071">
        <w:rPr>
          <w:rFonts w:ascii="Arial" w:hAnsi="Arial" w:cs="Arial"/>
          <w:sz w:val="22"/>
          <w:lang w:val="en-US"/>
        </w:rPr>
        <w:t xml:space="preserve">. </w:t>
      </w:r>
      <w:r w:rsidR="003826E7" w:rsidRPr="00FE5071">
        <w:rPr>
          <w:rFonts w:ascii="Arial" w:hAnsi="Arial" w:cs="Arial"/>
          <w:sz w:val="22"/>
          <w:lang w:val="en-US"/>
        </w:rPr>
        <w:t>Accessed: 14 October 2023</w:t>
      </w:r>
    </w:p>
    <w:p w14:paraId="5A52BC36" w14:textId="2ED7C3CB" w:rsidR="003826E7" w:rsidRPr="00FE5071"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Boeren, E. (2019) Understanding Sustainable Development Goal (SDG) 4 on “quality education” from micro, meso and macro perspectives. International Review of Education, 65 (2)</w:t>
      </w:r>
      <w:r w:rsidR="003826E7" w:rsidRPr="004B4485">
        <w:rPr>
          <w:rFonts w:ascii="Arial" w:hAnsi="Arial" w:cs="Arial"/>
          <w:sz w:val="22"/>
          <w:lang w:val="en-US"/>
        </w:rPr>
        <w:t>, pp</w:t>
      </w:r>
      <w:r w:rsidRPr="004B4485">
        <w:rPr>
          <w:rFonts w:ascii="Arial" w:hAnsi="Arial" w:cs="Arial"/>
          <w:sz w:val="22"/>
          <w:lang w:val="en-US"/>
        </w:rPr>
        <w:t>277–294.</w:t>
      </w:r>
      <w:r w:rsidR="00FE5071">
        <w:rPr>
          <w:rFonts w:ascii="Arial" w:hAnsi="Arial" w:cs="Arial"/>
          <w:sz w:val="22"/>
          <w:lang w:val="en-US"/>
        </w:rPr>
        <w:t xml:space="preserve"> </w:t>
      </w:r>
      <w:r w:rsidR="003826E7" w:rsidRPr="00FE5071">
        <w:rPr>
          <w:rFonts w:ascii="Arial" w:hAnsi="Arial" w:cs="Arial"/>
          <w:sz w:val="22"/>
          <w:lang w:val="en-US"/>
        </w:rPr>
        <w:t xml:space="preserve">Available at: </w:t>
      </w:r>
      <w:hyperlink r:id="rId15" w:history="1">
        <w:r w:rsidR="003826E7" w:rsidRPr="00FE5071">
          <w:rPr>
            <w:rStyle w:val="Hyperlink"/>
            <w:rFonts w:ascii="Arial" w:hAnsi="Arial" w:cs="Arial"/>
            <w:sz w:val="22"/>
            <w:lang w:val="en-US"/>
          </w:rPr>
          <w:t>https://link.springer.com/article/10.1007/s11159-019-09772-7</w:t>
        </w:r>
      </w:hyperlink>
      <w:r w:rsidR="00FE5071">
        <w:rPr>
          <w:rFonts w:ascii="Arial" w:hAnsi="Arial" w:cs="Arial"/>
          <w:sz w:val="22"/>
          <w:lang w:val="en-US"/>
        </w:rPr>
        <w:t xml:space="preserve">. </w:t>
      </w:r>
      <w:r w:rsidR="003826E7" w:rsidRPr="00FE5071">
        <w:rPr>
          <w:rFonts w:ascii="Arial" w:hAnsi="Arial" w:cs="Arial"/>
          <w:sz w:val="22"/>
          <w:lang w:val="en-US"/>
        </w:rPr>
        <w:t>Accessed: 14 October 2023</w:t>
      </w:r>
    </w:p>
    <w:p w14:paraId="55EF2EA2" w14:textId="0CC49D89" w:rsidR="003826E7" w:rsidRPr="00FE5071"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Boluk</w:t>
      </w:r>
      <w:proofErr w:type="spellEnd"/>
      <w:r w:rsidRPr="004B4485">
        <w:rPr>
          <w:rFonts w:ascii="Arial" w:hAnsi="Arial" w:cs="Arial"/>
          <w:sz w:val="22"/>
          <w:lang w:val="en-US"/>
        </w:rPr>
        <w:t>, K.A., Cavaliere, C.T. and Higgins-</w:t>
      </w:r>
      <w:proofErr w:type="spellStart"/>
      <w:r w:rsidRPr="004B4485">
        <w:rPr>
          <w:rFonts w:ascii="Arial" w:hAnsi="Arial" w:cs="Arial"/>
          <w:sz w:val="22"/>
          <w:lang w:val="en-US"/>
        </w:rPr>
        <w:t>Desbiolles</w:t>
      </w:r>
      <w:proofErr w:type="spellEnd"/>
      <w:r w:rsidRPr="004B4485">
        <w:rPr>
          <w:rFonts w:ascii="Arial" w:hAnsi="Arial" w:cs="Arial"/>
          <w:sz w:val="22"/>
          <w:lang w:val="en-US"/>
        </w:rPr>
        <w:t>, F. (2019) A critical framework for interrogating the United Nations Sustainable Development Goals 2030 Agenda in tourism. Journal of Sustainable Tourism, 27 (7)</w:t>
      </w:r>
      <w:r w:rsidR="003826E7" w:rsidRPr="004B4485">
        <w:rPr>
          <w:rFonts w:ascii="Arial" w:hAnsi="Arial" w:cs="Arial"/>
          <w:sz w:val="22"/>
          <w:lang w:val="en-US"/>
        </w:rPr>
        <w:t>,</w:t>
      </w:r>
      <w:r w:rsidRPr="004B4485">
        <w:rPr>
          <w:rFonts w:ascii="Arial" w:hAnsi="Arial" w:cs="Arial"/>
          <w:sz w:val="22"/>
          <w:lang w:val="en-US"/>
        </w:rPr>
        <w:t xml:space="preserve"> </w:t>
      </w:r>
      <w:r w:rsidR="003826E7" w:rsidRPr="004B4485">
        <w:rPr>
          <w:rFonts w:ascii="Arial" w:hAnsi="Arial" w:cs="Arial"/>
          <w:sz w:val="22"/>
          <w:lang w:val="en-US"/>
        </w:rPr>
        <w:t xml:space="preserve">pp </w:t>
      </w:r>
      <w:r w:rsidRPr="004B4485">
        <w:rPr>
          <w:rFonts w:ascii="Arial" w:hAnsi="Arial" w:cs="Arial"/>
          <w:sz w:val="22"/>
          <w:lang w:val="en-US"/>
        </w:rPr>
        <w:t>847–864.</w:t>
      </w:r>
      <w:r w:rsidR="00FE5071">
        <w:rPr>
          <w:rFonts w:ascii="Arial" w:hAnsi="Arial" w:cs="Arial"/>
          <w:sz w:val="22"/>
          <w:lang w:val="en-US"/>
        </w:rPr>
        <w:t xml:space="preserve"> </w:t>
      </w:r>
      <w:r w:rsidR="003826E7" w:rsidRPr="00FE5071">
        <w:rPr>
          <w:rFonts w:ascii="Arial" w:hAnsi="Arial" w:cs="Arial"/>
          <w:sz w:val="22"/>
          <w:lang w:val="en-US"/>
        </w:rPr>
        <w:t xml:space="preserve">Available at: </w:t>
      </w:r>
      <w:hyperlink r:id="rId16" w:history="1">
        <w:r w:rsidR="003826E7" w:rsidRPr="00FE5071">
          <w:rPr>
            <w:rStyle w:val="Hyperlink"/>
            <w:rFonts w:ascii="Arial" w:hAnsi="Arial" w:cs="Arial"/>
            <w:sz w:val="22"/>
            <w:lang w:val="en-US"/>
          </w:rPr>
          <w:t>https://www.tandfonline.com/doi/full/10.1080/09669582.2019.1619748</w:t>
        </w:r>
      </w:hyperlink>
      <w:r w:rsidR="00FE5071">
        <w:rPr>
          <w:rFonts w:ascii="Arial" w:hAnsi="Arial" w:cs="Arial"/>
          <w:sz w:val="22"/>
          <w:lang w:val="en-US"/>
        </w:rPr>
        <w:t xml:space="preserve">. </w:t>
      </w:r>
      <w:r w:rsidR="003826E7" w:rsidRPr="00FE5071">
        <w:rPr>
          <w:rFonts w:ascii="Arial" w:hAnsi="Arial" w:cs="Arial"/>
          <w:sz w:val="22"/>
          <w:lang w:val="en-US"/>
        </w:rPr>
        <w:t>Accessed: 15 October 2023</w:t>
      </w:r>
    </w:p>
    <w:p w14:paraId="1BC95BD6" w14:textId="54E9556A" w:rsidR="003826E7" w:rsidRPr="00FE5071"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Boluk</w:t>
      </w:r>
      <w:proofErr w:type="spellEnd"/>
      <w:r w:rsidRPr="004B4485">
        <w:rPr>
          <w:rFonts w:ascii="Arial" w:hAnsi="Arial" w:cs="Arial"/>
          <w:sz w:val="22"/>
          <w:lang w:val="en-US"/>
        </w:rPr>
        <w:t>, K.A., Cavaliere, C.T. and Higgins-</w:t>
      </w:r>
      <w:proofErr w:type="spellStart"/>
      <w:r w:rsidRPr="004B4485">
        <w:rPr>
          <w:rFonts w:ascii="Arial" w:hAnsi="Arial" w:cs="Arial"/>
          <w:sz w:val="22"/>
          <w:lang w:val="en-US"/>
        </w:rPr>
        <w:t>Desbiolles</w:t>
      </w:r>
      <w:proofErr w:type="spellEnd"/>
      <w:r w:rsidRPr="004B4485">
        <w:rPr>
          <w:rFonts w:ascii="Arial" w:hAnsi="Arial" w:cs="Arial"/>
          <w:sz w:val="22"/>
          <w:lang w:val="en-US"/>
        </w:rPr>
        <w:t>, F. (2019) A critical framework for interrogating the United Nations Sustainable Development Goals 2030 Agenda in tourism. Journal of Sustainable Tourism, 27 (7)</w:t>
      </w:r>
      <w:r w:rsidR="003826E7" w:rsidRPr="004B4485">
        <w:rPr>
          <w:rFonts w:ascii="Arial" w:hAnsi="Arial" w:cs="Arial"/>
          <w:sz w:val="22"/>
          <w:lang w:val="en-US"/>
        </w:rPr>
        <w:t xml:space="preserve">, pp </w:t>
      </w:r>
      <w:r w:rsidRPr="004B4485">
        <w:rPr>
          <w:rFonts w:ascii="Arial" w:hAnsi="Arial" w:cs="Arial"/>
          <w:sz w:val="22"/>
          <w:lang w:val="en-US"/>
        </w:rPr>
        <w:t xml:space="preserve">847–864. </w:t>
      </w:r>
      <w:r w:rsidR="003826E7" w:rsidRPr="00FE5071">
        <w:rPr>
          <w:rFonts w:ascii="Arial" w:hAnsi="Arial" w:cs="Arial"/>
          <w:sz w:val="22"/>
          <w:lang w:val="en-US"/>
        </w:rPr>
        <w:t xml:space="preserve">Available at: </w:t>
      </w:r>
      <w:hyperlink r:id="rId17" w:history="1">
        <w:r w:rsidR="003826E7" w:rsidRPr="00FE5071">
          <w:rPr>
            <w:rStyle w:val="Hyperlink"/>
            <w:rFonts w:ascii="Arial" w:hAnsi="Arial" w:cs="Arial"/>
            <w:sz w:val="22"/>
            <w:lang w:val="en-US"/>
          </w:rPr>
          <w:t>https://www.tandfonline.com/doi/full/10.1080/09669582.2019.1619748</w:t>
        </w:r>
      </w:hyperlink>
      <w:r w:rsidR="00FE5071">
        <w:rPr>
          <w:rFonts w:ascii="Arial" w:hAnsi="Arial" w:cs="Arial"/>
          <w:sz w:val="22"/>
          <w:lang w:val="en-US"/>
        </w:rPr>
        <w:t xml:space="preserve">. </w:t>
      </w:r>
      <w:r w:rsidR="003826E7" w:rsidRPr="00FE5071">
        <w:rPr>
          <w:rFonts w:ascii="Arial" w:hAnsi="Arial" w:cs="Arial"/>
          <w:sz w:val="22"/>
          <w:lang w:val="en-US"/>
        </w:rPr>
        <w:t>Accessed: 15 October 2023</w:t>
      </w:r>
    </w:p>
    <w:p w14:paraId="32F9BDEC" w14:textId="1D376574" w:rsidR="003826E7" w:rsidRPr="00FE5071"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D’Alessandro, C. and Zulu, L.C. (2016) From the Millennium Development Goals (MDGs) to the Sustainable Development Goals (SDGs): Africa in the post-2015 development Agenda. A geographical perspective. African Geographical Review, 36 (1)</w:t>
      </w:r>
      <w:r w:rsidR="003826E7" w:rsidRPr="004B4485">
        <w:rPr>
          <w:rFonts w:ascii="Arial" w:hAnsi="Arial" w:cs="Arial"/>
          <w:sz w:val="22"/>
          <w:lang w:val="en-US"/>
        </w:rPr>
        <w:t xml:space="preserve">, pp </w:t>
      </w:r>
      <w:r w:rsidRPr="004B4485">
        <w:rPr>
          <w:rFonts w:ascii="Arial" w:hAnsi="Arial" w:cs="Arial"/>
          <w:sz w:val="22"/>
          <w:lang w:val="en-US"/>
        </w:rPr>
        <w:t xml:space="preserve">1–18. </w:t>
      </w:r>
      <w:r w:rsidR="003826E7" w:rsidRPr="00FE5071">
        <w:rPr>
          <w:rFonts w:ascii="Arial" w:hAnsi="Arial" w:cs="Arial"/>
          <w:sz w:val="22"/>
          <w:lang w:val="en-US"/>
        </w:rPr>
        <w:t xml:space="preserve">Available at: </w:t>
      </w:r>
      <w:hyperlink r:id="rId18" w:history="1">
        <w:r w:rsidR="003826E7" w:rsidRPr="00FE5071">
          <w:rPr>
            <w:rStyle w:val="Hyperlink"/>
            <w:rFonts w:ascii="Arial" w:hAnsi="Arial" w:cs="Arial"/>
            <w:sz w:val="22"/>
            <w:lang w:val="en-US"/>
          </w:rPr>
          <w:t>https://www.tandfonline.com/doi/abs/10.1080/19376812.2016.1253490</w:t>
        </w:r>
      </w:hyperlink>
      <w:r w:rsidR="00FE5071">
        <w:rPr>
          <w:rFonts w:ascii="Arial" w:hAnsi="Arial" w:cs="Arial"/>
          <w:sz w:val="22"/>
          <w:lang w:val="en-US"/>
        </w:rPr>
        <w:t xml:space="preserve">. </w:t>
      </w:r>
      <w:r w:rsidR="003826E7" w:rsidRPr="00FE5071">
        <w:rPr>
          <w:rFonts w:ascii="Arial" w:hAnsi="Arial" w:cs="Arial"/>
          <w:sz w:val="22"/>
          <w:lang w:val="en-US"/>
        </w:rPr>
        <w:t xml:space="preserve">Accessed: 15 October 2023 </w:t>
      </w:r>
    </w:p>
    <w:p w14:paraId="6150F522" w14:textId="03B89106" w:rsidR="003826E7" w:rsidRPr="00E5706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Enhancing clinical and translational research in Africa: a comprehensive exploration of challenges and opportunities for advancement (2023). Journal of Clinical and Translational Research. </w:t>
      </w:r>
      <w:r w:rsidR="003826E7" w:rsidRPr="00E5706B">
        <w:rPr>
          <w:rFonts w:ascii="Arial" w:hAnsi="Arial" w:cs="Arial"/>
          <w:sz w:val="22"/>
          <w:lang w:val="en-US"/>
        </w:rPr>
        <w:t xml:space="preserve">Available at: </w:t>
      </w:r>
      <w:hyperlink r:id="rId19" w:history="1">
        <w:r w:rsidR="003826E7" w:rsidRPr="00E5706B">
          <w:rPr>
            <w:rStyle w:val="Hyperlink"/>
            <w:rFonts w:ascii="Arial" w:hAnsi="Arial" w:cs="Arial"/>
            <w:sz w:val="22"/>
            <w:lang w:val="en-US"/>
          </w:rPr>
          <w:t>https://www.jctres.com/media/downloads/jctres0920230523-00079/jctres.09.202305.23-00079.pdf</w:t>
        </w:r>
      </w:hyperlink>
      <w:r w:rsidR="00E5706B">
        <w:rPr>
          <w:rFonts w:ascii="Arial" w:hAnsi="Arial" w:cs="Arial"/>
          <w:sz w:val="22"/>
          <w:lang w:val="en-US"/>
        </w:rPr>
        <w:t xml:space="preserve">. </w:t>
      </w:r>
      <w:r w:rsidR="003826E7" w:rsidRPr="00E5706B">
        <w:rPr>
          <w:rFonts w:ascii="Arial" w:hAnsi="Arial" w:cs="Arial"/>
          <w:sz w:val="22"/>
          <w:lang w:val="en-US"/>
        </w:rPr>
        <w:t xml:space="preserve">Accessed: 15 October 2023 </w:t>
      </w:r>
    </w:p>
    <w:p w14:paraId="3EB4B72A" w14:textId="468ABBE6" w:rsidR="003826E7" w:rsidRPr="00E5706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Estoque, R.C., Ooba, M., </w:t>
      </w:r>
      <w:proofErr w:type="spellStart"/>
      <w:r w:rsidRPr="004B4485">
        <w:rPr>
          <w:rFonts w:ascii="Arial" w:hAnsi="Arial" w:cs="Arial"/>
          <w:sz w:val="22"/>
          <w:lang w:val="en-US"/>
        </w:rPr>
        <w:t>Togawa</w:t>
      </w:r>
      <w:proofErr w:type="spellEnd"/>
      <w:r w:rsidRPr="004B4485">
        <w:rPr>
          <w:rFonts w:ascii="Arial" w:hAnsi="Arial" w:cs="Arial"/>
          <w:sz w:val="22"/>
          <w:lang w:val="en-US"/>
        </w:rPr>
        <w:t>, T., et al. (2021) Monitoring global land-use efficiency in the context of the UN 2030 Agenda for Sustainable Development. Habitat International, 115: 102403.</w:t>
      </w:r>
      <w:r w:rsidR="00E5706B">
        <w:rPr>
          <w:rFonts w:ascii="Arial" w:hAnsi="Arial" w:cs="Arial"/>
          <w:sz w:val="22"/>
          <w:lang w:val="en-US"/>
        </w:rPr>
        <w:t xml:space="preserve"> </w:t>
      </w:r>
      <w:r w:rsidR="003826E7" w:rsidRPr="00E5706B">
        <w:rPr>
          <w:rFonts w:ascii="Arial" w:hAnsi="Arial" w:cs="Arial"/>
          <w:sz w:val="22"/>
          <w:lang w:val="en-US"/>
        </w:rPr>
        <w:t xml:space="preserve">Available at: </w:t>
      </w:r>
      <w:hyperlink r:id="rId20" w:history="1">
        <w:r w:rsidR="003826E7" w:rsidRPr="00E5706B">
          <w:rPr>
            <w:rStyle w:val="Hyperlink"/>
            <w:rFonts w:ascii="Arial" w:hAnsi="Arial" w:cs="Arial"/>
            <w:sz w:val="22"/>
            <w:lang w:val="en-US"/>
          </w:rPr>
          <w:t>https://www.semanticscholar.org/paper/Monitoring-global-land-use-efficiency-in-the-of-the-Estoque-Ooba/4ec9e5044dcfce4d7e413988a4bf4f89de9aeec2</w:t>
        </w:r>
      </w:hyperlink>
      <w:r w:rsidR="00E5706B">
        <w:rPr>
          <w:rFonts w:ascii="Arial" w:hAnsi="Arial" w:cs="Arial"/>
          <w:sz w:val="22"/>
          <w:lang w:val="en-US"/>
        </w:rPr>
        <w:t xml:space="preserve">. </w:t>
      </w:r>
      <w:r w:rsidR="003826E7" w:rsidRPr="00E5706B">
        <w:rPr>
          <w:rFonts w:ascii="Arial" w:hAnsi="Arial" w:cs="Arial"/>
          <w:sz w:val="22"/>
          <w:lang w:val="en-US"/>
        </w:rPr>
        <w:t>Accessed: 16 October 2023</w:t>
      </w:r>
    </w:p>
    <w:p w14:paraId="0C1FF1BB" w14:textId="3E528B71" w:rsidR="003826E7" w:rsidRPr="00E5706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Feola, G. (201</w:t>
      </w:r>
      <w:r w:rsidR="003826E7" w:rsidRPr="004B4485">
        <w:rPr>
          <w:rFonts w:ascii="Arial" w:hAnsi="Arial" w:cs="Arial"/>
          <w:sz w:val="22"/>
          <w:lang w:val="en-US"/>
        </w:rPr>
        <w:t>5</w:t>
      </w:r>
      <w:r w:rsidRPr="004B4485">
        <w:rPr>
          <w:rFonts w:ascii="Arial" w:hAnsi="Arial" w:cs="Arial"/>
          <w:sz w:val="22"/>
          <w:lang w:val="en-US"/>
        </w:rPr>
        <w:t xml:space="preserve">) Societal transformation in response to global environmental change: A review of emerging concepts. </w:t>
      </w:r>
      <w:proofErr w:type="spellStart"/>
      <w:r w:rsidRPr="004B4485">
        <w:rPr>
          <w:rFonts w:ascii="Arial" w:hAnsi="Arial" w:cs="Arial"/>
          <w:sz w:val="22"/>
          <w:lang w:val="en-US"/>
        </w:rPr>
        <w:t>Ambio</w:t>
      </w:r>
      <w:proofErr w:type="spellEnd"/>
      <w:r w:rsidRPr="004B4485">
        <w:rPr>
          <w:rFonts w:ascii="Arial" w:hAnsi="Arial" w:cs="Arial"/>
          <w:sz w:val="22"/>
          <w:lang w:val="en-US"/>
        </w:rPr>
        <w:t>, 44 (5)</w:t>
      </w:r>
      <w:r w:rsidR="003826E7" w:rsidRPr="004B4485">
        <w:rPr>
          <w:rFonts w:ascii="Arial" w:hAnsi="Arial" w:cs="Arial"/>
          <w:sz w:val="22"/>
          <w:lang w:val="en-US"/>
        </w:rPr>
        <w:t xml:space="preserve">, pp </w:t>
      </w:r>
      <w:r w:rsidRPr="004B4485">
        <w:rPr>
          <w:rFonts w:ascii="Arial" w:hAnsi="Arial" w:cs="Arial"/>
          <w:sz w:val="22"/>
          <w:lang w:val="en-US"/>
        </w:rPr>
        <w:t xml:space="preserve">376–390. </w:t>
      </w:r>
      <w:r w:rsidR="003826E7" w:rsidRPr="00E5706B">
        <w:rPr>
          <w:rFonts w:ascii="Arial" w:hAnsi="Arial" w:cs="Arial"/>
          <w:sz w:val="22"/>
          <w:lang w:val="en-US"/>
        </w:rPr>
        <w:t xml:space="preserve">Available at: </w:t>
      </w:r>
      <w:hyperlink r:id="rId21" w:history="1">
        <w:r w:rsidR="003826E7" w:rsidRPr="00E5706B">
          <w:rPr>
            <w:rStyle w:val="Hyperlink"/>
            <w:rFonts w:ascii="Arial" w:hAnsi="Arial" w:cs="Arial"/>
            <w:sz w:val="22"/>
            <w:lang w:val="en-US"/>
          </w:rPr>
          <w:t>https://link.springer.com/article/10.1007/s13280-014-0582-z</w:t>
        </w:r>
      </w:hyperlink>
      <w:r w:rsidR="00E5706B">
        <w:rPr>
          <w:rFonts w:ascii="Arial" w:hAnsi="Arial" w:cs="Arial"/>
          <w:sz w:val="22"/>
          <w:lang w:val="en-US"/>
        </w:rPr>
        <w:t xml:space="preserve">. </w:t>
      </w:r>
      <w:r w:rsidR="003826E7" w:rsidRPr="00E5706B">
        <w:rPr>
          <w:rFonts w:ascii="Arial" w:hAnsi="Arial" w:cs="Arial"/>
          <w:sz w:val="22"/>
          <w:lang w:val="en-US"/>
        </w:rPr>
        <w:t>Accessed: 17 October 2023</w:t>
      </w:r>
    </w:p>
    <w:p w14:paraId="1BA8AC7C" w14:textId="45AC0307" w:rsidR="003826E7" w:rsidRPr="00A90447"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Gregory, A. and Stenzel, M.H. (2012) Complex polymer architectures via RAFT polymerization: From fundamental process to extending the scope using click chemistry and nature’s building blocks. Progress in Polymer Science, 37 (1)</w:t>
      </w:r>
      <w:r w:rsidR="003826E7" w:rsidRPr="004B4485">
        <w:rPr>
          <w:rFonts w:ascii="Arial" w:hAnsi="Arial" w:cs="Arial"/>
          <w:sz w:val="22"/>
          <w:lang w:val="en-US"/>
        </w:rPr>
        <w:t xml:space="preserve">, pp </w:t>
      </w:r>
      <w:r w:rsidRPr="004B4485">
        <w:rPr>
          <w:rFonts w:ascii="Arial" w:hAnsi="Arial" w:cs="Arial"/>
          <w:sz w:val="22"/>
          <w:lang w:val="en-US"/>
        </w:rPr>
        <w:t xml:space="preserve">38–105. </w:t>
      </w:r>
      <w:r w:rsidR="003826E7" w:rsidRPr="00A90447">
        <w:rPr>
          <w:rFonts w:ascii="Arial" w:hAnsi="Arial" w:cs="Arial"/>
          <w:sz w:val="22"/>
          <w:lang w:val="en-US"/>
        </w:rPr>
        <w:t xml:space="preserve">Available at: </w:t>
      </w:r>
      <w:hyperlink r:id="rId22" w:history="1">
        <w:r w:rsidR="003826E7" w:rsidRPr="00A90447">
          <w:rPr>
            <w:rStyle w:val="Hyperlink"/>
            <w:rFonts w:ascii="Arial" w:hAnsi="Arial" w:cs="Arial"/>
            <w:sz w:val="22"/>
            <w:lang w:val="en-US"/>
          </w:rPr>
          <w:t>https://www.sciencedirect.com/journal/progress-in-polymer-science</w:t>
        </w:r>
      </w:hyperlink>
      <w:r w:rsidR="00A90447">
        <w:rPr>
          <w:rFonts w:ascii="Arial" w:hAnsi="Arial" w:cs="Arial"/>
          <w:sz w:val="22"/>
          <w:lang w:val="en-US"/>
        </w:rPr>
        <w:t xml:space="preserve">. </w:t>
      </w:r>
      <w:r w:rsidR="003826E7" w:rsidRPr="00A90447">
        <w:rPr>
          <w:rFonts w:ascii="Arial" w:hAnsi="Arial" w:cs="Arial"/>
          <w:sz w:val="22"/>
          <w:lang w:val="en-US"/>
        </w:rPr>
        <w:t>Accessed: 17 October 2023</w:t>
      </w:r>
    </w:p>
    <w:p w14:paraId="3EA0D14F" w14:textId="04B084D8" w:rsidR="003826E7" w:rsidRPr="00A90447"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Hacker, J. (2019) Addressing the Complex and Pressing Societal Issue of Air Pollution and Health. Annals of Global Health, 85 (1). </w:t>
      </w:r>
      <w:r w:rsidR="003826E7" w:rsidRPr="00A90447">
        <w:rPr>
          <w:rFonts w:ascii="Arial" w:hAnsi="Arial" w:cs="Arial"/>
          <w:sz w:val="22"/>
          <w:lang w:val="en-US"/>
        </w:rPr>
        <w:t xml:space="preserve">Available at: </w:t>
      </w:r>
      <w:hyperlink r:id="rId23" w:history="1">
        <w:r w:rsidR="003826E7" w:rsidRPr="00A90447">
          <w:rPr>
            <w:rStyle w:val="Hyperlink"/>
            <w:rFonts w:ascii="Arial" w:hAnsi="Arial" w:cs="Arial"/>
            <w:sz w:val="22"/>
            <w:lang w:val="en-US"/>
          </w:rPr>
          <w:t>https://www.bing.com/search?q=doi%3A10.5334%2Faogh.2672&amp;cvid=43af2af0798c42cca8a4e371b496c52e&amp;gs_lcrp=EgZjaHJvbWUyBggAEEUYOTIGCAEQRRg60gEHNjE5ajBqNKgCALACAA&amp;FORM=ANAB01&amp;PC=HCTS</w:t>
        </w:r>
      </w:hyperlink>
      <w:r w:rsidR="00A90447">
        <w:rPr>
          <w:rFonts w:ascii="Arial" w:hAnsi="Arial" w:cs="Arial"/>
          <w:sz w:val="22"/>
          <w:lang w:val="en-US"/>
        </w:rPr>
        <w:t xml:space="preserve">. </w:t>
      </w:r>
      <w:r w:rsidR="003826E7" w:rsidRPr="00A90447">
        <w:rPr>
          <w:rFonts w:ascii="Arial" w:hAnsi="Arial" w:cs="Arial"/>
          <w:sz w:val="22"/>
          <w:lang w:val="en-US"/>
        </w:rPr>
        <w:t>Accessed: 17 October 2023</w:t>
      </w:r>
    </w:p>
    <w:p w14:paraId="6207CE6A" w14:textId="0443014C" w:rsidR="003826E7" w:rsidRPr="00A90447"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Henry, J.A. and Abdullah, F. (2015) Global Surgical Care in the UN Post-2015 Sustainable Development Agenda. World Journal of Surgery, 40 (1): 1–5. </w:t>
      </w:r>
      <w:r w:rsidR="003826E7" w:rsidRPr="00A90447">
        <w:rPr>
          <w:rFonts w:ascii="Arial" w:hAnsi="Arial" w:cs="Arial"/>
          <w:sz w:val="22"/>
          <w:lang w:val="en-US"/>
        </w:rPr>
        <w:t xml:space="preserve">Available at: </w:t>
      </w:r>
      <w:hyperlink r:id="rId24" w:history="1">
        <w:r w:rsidR="003826E7" w:rsidRPr="00A90447">
          <w:rPr>
            <w:rStyle w:val="Hyperlink"/>
            <w:rFonts w:ascii="Arial" w:hAnsi="Arial" w:cs="Arial"/>
            <w:sz w:val="22"/>
            <w:lang w:val="en-US"/>
          </w:rPr>
          <w:t>https://link.springer.com/article/10.1007/s00268-015-3249-4</w:t>
        </w:r>
      </w:hyperlink>
      <w:r w:rsidR="00A90447">
        <w:rPr>
          <w:rFonts w:ascii="Arial" w:hAnsi="Arial" w:cs="Arial"/>
          <w:sz w:val="22"/>
          <w:lang w:val="en-US"/>
        </w:rPr>
        <w:t xml:space="preserve">. </w:t>
      </w:r>
      <w:r w:rsidR="003826E7" w:rsidRPr="00A90447">
        <w:rPr>
          <w:rFonts w:ascii="Arial" w:hAnsi="Arial" w:cs="Arial"/>
          <w:sz w:val="22"/>
          <w:lang w:val="en-US"/>
        </w:rPr>
        <w:t>Accessed: 19 October 2023</w:t>
      </w:r>
    </w:p>
    <w:p w14:paraId="60AF29FF" w14:textId="6115DE8F" w:rsidR="003826E7" w:rsidRPr="005F037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Jariwala, V. (2017) Marching Towards Millennium Development Goals (MDGs) to Sustainable Development Goals (SDGs) in Indian Context. SSRN Electronic Journal.</w:t>
      </w:r>
      <w:r w:rsidR="00A90447">
        <w:rPr>
          <w:rFonts w:ascii="Arial" w:hAnsi="Arial" w:cs="Arial"/>
          <w:sz w:val="22"/>
          <w:lang w:val="en-US"/>
        </w:rPr>
        <w:t xml:space="preserve"> </w:t>
      </w:r>
      <w:r w:rsidR="003826E7" w:rsidRPr="00A90447">
        <w:rPr>
          <w:rFonts w:ascii="Arial" w:hAnsi="Arial" w:cs="Arial"/>
          <w:sz w:val="22"/>
          <w:lang w:val="en-US"/>
        </w:rPr>
        <w:t xml:space="preserve">Available at: </w:t>
      </w:r>
      <w:hyperlink r:id="rId25" w:history="1">
        <w:r w:rsidR="003826E7" w:rsidRPr="00A90447">
          <w:rPr>
            <w:rStyle w:val="Hyperlink"/>
            <w:rFonts w:ascii="Arial" w:hAnsi="Arial" w:cs="Arial"/>
            <w:sz w:val="22"/>
            <w:lang w:val="en-US"/>
          </w:rPr>
          <w:t>https://papers.ssrn.com/sol3/papers.cfm?abstract_id=3069427</w:t>
        </w:r>
      </w:hyperlink>
      <w:r w:rsidR="005F037B">
        <w:rPr>
          <w:rFonts w:ascii="Arial" w:hAnsi="Arial" w:cs="Arial"/>
          <w:sz w:val="22"/>
          <w:lang w:val="en-US"/>
        </w:rPr>
        <w:t xml:space="preserve">. </w:t>
      </w:r>
      <w:r w:rsidR="003826E7" w:rsidRPr="005F037B">
        <w:rPr>
          <w:rFonts w:ascii="Arial" w:hAnsi="Arial" w:cs="Arial"/>
          <w:sz w:val="22"/>
          <w:lang w:val="en-US"/>
        </w:rPr>
        <w:t>Accessed: 19 October 2023</w:t>
      </w:r>
    </w:p>
    <w:p w14:paraId="1DD2D794" w14:textId="01B50F75" w:rsidR="003826E7" w:rsidRPr="005F037B"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Kickelbick</w:t>
      </w:r>
      <w:proofErr w:type="spellEnd"/>
      <w:r w:rsidRPr="004B4485">
        <w:rPr>
          <w:rFonts w:ascii="Arial" w:hAnsi="Arial" w:cs="Arial"/>
          <w:sz w:val="22"/>
          <w:lang w:val="en-US"/>
        </w:rPr>
        <w:t>, G. (2003) Concepts for the incorporation of inorganic building blocks into organic polymers on a nanoscale. Progress in Polymer Science, 28 (1)</w:t>
      </w:r>
      <w:r w:rsidR="003826E7" w:rsidRPr="004B4485">
        <w:rPr>
          <w:rFonts w:ascii="Arial" w:hAnsi="Arial" w:cs="Arial"/>
          <w:sz w:val="22"/>
          <w:lang w:val="en-US"/>
        </w:rPr>
        <w:t xml:space="preserve">, pp </w:t>
      </w:r>
      <w:r w:rsidRPr="004B4485">
        <w:rPr>
          <w:rFonts w:ascii="Arial" w:hAnsi="Arial" w:cs="Arial"/>
          <w:sz w:val="22"/>
          <w:lang w:val="en-US"/>
        </w:rPr>
        <w:t xml:space="preserve">83–114. </w:t>
      </w:r>
      <w:r w:rsidR="003826E7" w:rsidRPr="005F037B">
        <w:rPr>
          <w:rFonts w:ascii="Arial" w:hAnsi="Arial" w:cs="Arial"/>
          <w:sz w:val="22"/>
          <w:lang w:val="en-US"/>
        </w:rPr>
        <w:t xml:space="preserve">Available at: </w:t>
      </w:r>
      <w:hyperlink r:id="rId26" w:history="1">
        <w:r w:rsidR="003826E7" w:rsidRPr="005F037B">
          <w:rPr>
            <w:rStyle w:val="Hyperlink"/>
            <w:rFonts w:ascii="Arial" w:hAnsi="Arial" w:cs="Arial"/>
            <w:sz w:val="22"/>
            <w:lang w:val="en-US"/>
          </w:rPr>
          <w:t>https://www.sciencedirect.com/science/article/abs/pii/S0079670002000199</w:t>
        </w:r>
      </w:hyperlink>
      <w:r w:rsidR="00627CC9">
        <w:rPr>
          <w:rFonts w:ascii="Arial" w:hAnsi="Arial" w:cs="Arial"/>
          <w:sz w:val="22"/>
          <w:lang w:val="en-US"/>
        </w:rPr>
        <w:t xml:space="preserve">. </w:t>
      </w:r>
      <w:r w:rsidR="003826E7" w:rsidRPr="005F037B">
        <w:rPr>
          <w:rFonts w:ascii="Arial" w:hAnsi="Arial" w:cs="Arial"/>
          <w:sz w:val="22"/>
          <w:lang w:val="en-US"/>
        </w:rPr>
        <w:t>Accessed: 20 October 2023</w:t>
      </w:r>
    </w:p>
    <w:p w14:paraId="7D4C8F53" w14:textId="22756CDD" w:rsidR="003826E7" w:rsidRPr="00627CC9"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Kvamme, O.A. (2022) Facets of justice in education: a petroleum nation addressing United Nations sustainable development agenda. Ethics and Education, 17 (2)</w:t>
      </w:r>
      <w:r w:rsidR="003826E7" w:rsidRPr="004B4485">
        <w:rPr>
          <w:rFonts w:ascii="Arial" w:hAnsi="Arial" w:cs="Arial"/>
          <w:sz w:val="22"/>
          <w:lang w:val="en-US"/>
        </w:rPr>
        <w:t xml:space="preserve">, pp </w:t>
      </w:r>
      <w:r w:rsidRPr="004B4485">
        <w:rPr>
          <w:rFonts w:ascii="Arial" w:hAnsi="Arial" w:cs="Arial"/>
          <w:sz w:val="22"/>
          <w:lang w:val="en-US"/>
        </w:rPr>
        <w:t xml:space="preserve">163–182. </w:t>
      </w:r>
      <w:r w:rsidR="003826E7" w:rsidRPr="00627CC9">
        <w:rPr>
          <w:rFonts w:ascii="Arial" w:hAnsi="Arial" w:cs="Arial"/>
          <w:sz w:val="22"/>
          <w:lang w:val="en-US"/>
        </w:rPr>
        <w:t xml:space="preserve">Available at: </w:t>
      </w:r>
      <w:hyperlink r:id="rId27" w:history="1">
        <w:r w:rsidR="003826E7" w:rsidRPr="00627CC9">
          <w:rPr>
            <w:rStyle w:val="Hyperlink"/>
            <w:rFonts w:ascii="Arial" w:hAnsi="Arial" w:cs="Arial"/>
            <w:sz w:val="22"/>
            <w:lang w:val="en-US"/>
          </w:rPr>
          <w:t>https://www.tandfonline.com/doi/pdf/10.1080/17449642.2022.2054540</w:t>
        </w:r>
      </w:hyperlink>
      <w:r w:rsidR="00627CC9">
        <w:rPr>
          <w:rFonts w:ascii="Arial" w:hAnsi="Arial" w:cs="Arial"/>
          <w:sz w:val="22"/>
          <w:lang w:val="en-US"/>
        </w:rPr>
        <w:t xml:space="preserve">. </w:t>
      </w:r>
      <w:r w:rsidR="003826E7" w:rsidRPr="00627CC9">
        <w:rPr>
          <w:rFonts w:ascii="Arial" w:hAnsi="Arial" w:cs="Arial"/>
          <w:sz w:val="22"/>
          <w:lang w:val="en-US"/>
        </w:rPr>
        <w:t>Accessed: 20 October 2023</w:t>
      </w:r>
    </w:p>
    <w:p w14:paraId="3C50BD87" w14:textId="3A649D0D" w:rsidR="003826E7" w:rsidRPr="00627CC9"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Lee, M.-S. (2018) Global health promotion efforts for achieving the UN 2030 agenda for Sustainable Development. Korean Journal of Health Education and Promotion, 35 (4)</w:t>
      </w:r>
      <w:r w:rsidR="003826E7" w:rsidRPr="004B4485">
        <w:rPr>
          <w:rFonts w:ascii="Arial" w:hAnsi="Arial" w:cs="Arial"/>
          <w:sz w:val="22"/>
          <w:lang w:val="en-US"/>
        </w:rPr>
        <w:t xml:space="preserve">, pp </w:t>
      </w:r>
      <w:r w:rsidRPr="004B4485">
        <w:rPr>
          <w:rFonts w:ascii="Arial" w:hAnsi="Arial" w:cs="Arial"/>
          <w:sz w:val="22"/>
          <w:lang w:val="en-US"/>
        </w:rPr>
        <w:t xml:space="preserve">1–18. </w:t>
      </w:r>
      <w:r w:rsidR="003826E7" w:rsidRPr="00627CC9">
        <w:rPr>
          <w:rFonts w:ascii="Arial" w:hAnsi="Arial" w:cs="Arial"/>
          <w:sz w:val="22"/>
          <w:lang w:val="en-US"/>
        </w:rPr>
        <w:t xml:space="preserve">Available at: </w:t>
      </w:r>
      <w:hyperlink r:id="rId28" w:history="1">
        <w:r w:rsidR="003826E7" w:rsidRPr="00627CC9">
          <w:rPr>
            <w:rStyle w:val="Hyperlink"/>
            <w:rFonts w:ascii="Arial" w:hAnsi="Arial" w:cs="Arial"/>
            <w:sz w:val="22"/>
            <w:lang w:val="en-US"/>
          </w:rPr>
          <w:t>https://www.researchgate.net/publication/328639311_Global_health_promotion_efforts_for_achieving_the_UN_2030_agenda_for_Sustainable_Development</w:t>
        </w:r>
      </w:hyperlink>
      <w:r w:rsidR="00627CC9">
        <w:rPr>
          <w:rFonts w:ascii="Arial" w:hAnsi="Arial" w:cs="Arial"/>
          <w:sz w:val="22"/>
          <w:lang w:val="en-US"/>
        </w:rPr>
        <w:t xml:space="preserve">. </w:t>
      </w:r>
      <w:r w:rsidR="003826E7" w:rsidRPr="00627CC9">
        <w:rPr>
          <w:rFonts w:ascii="Arial" w:hAnsi="Arial" w:cs="Arial"/>
          <w:sz w:val="22"/>
          <w:lang w:val="en-US"/>
        </w:rPr>
        <w:t>Accessed: 20 October 2023</w:t>
      </w:r>
    </w:p>
    <w:p w14:paraId="204D0100" w14:textId="06036817" w:rsidR="003826E7" w:rsidRPr="00627CC9"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Linden, T. and Lederman, R. (2011) Creating Visualizations from Multimedia Building Blocks: A Simple Approach to Teaching Programming Concepts. SSRN Electronic Journal. </w:t>
      </w:r>
      <w:r w:rsidR="003826E7" w:rsidRPr="00627CC9">
        <w:rPr>
          <w:rFonts w:ascii="Arial" w:hAnsi="Arial" w:cs="Arial"/>
          <w:sz w:val="22"/>
          <w:lang w:val="en-US"/>
        </w:rPr>
        <w:t xml:space="preserve">Available at: </w:t>
      </w:r>
      <w:hyperlink r:id="rId29" w:history="1">
        <w:r w:rsidR="003826E7" w:rsidRPr="00627CC9">
          <w:rPr>
            <w:rStyle w:val="Hyperlink"/>
            <w:rFonts w:ascii="Arial" w:hAnsi="Arial" w:cs="Arial"/>
            <w:sz w:val="22"/>
            <w:lang w:val="en-US"/>
          </w:rPr>
          <w:t>https://papers.ssrn.com/sol3/papers.cfm?abstract_id=2559026</w:t>
        </w:r>
      </w:hyperlink>
      <w:r w:rsidR="00627CC9">
        <w:rPr>
          <w:rFonts w:ascii="Arial" w:hAnsi="Arial" w:cs="Arial"/>
          <w:sz w:val="22"/>
          <w:lang w:val="en-US"/>
        </w:rPr>
        <w:t xml:space="preserve">. </w:t>
      </w:r>
      <w:r w:rsidR="003826E7" w:rsidRPr="00627CC9">
        <w:rPr>
          <w:rFonts w:ascii="Arial" w:hAnsi="Arial" w:cs="Arial"/>
          <w:sz w:val="22"/>
          <w:lang w:val="en-US"/>
        </w:rPr>
        <w:t>Accessed: 26 October 2023</w:t>
      </w:r>
    </w:p>
    <w:p w14:paraId="38037B0A" w14:textId="12EA8391" w:rsidR="003826E7" w:rsidRPr="00944350"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Lynch, T. (2016) United Nations Sustainable Development Goals: Promoting health and well-being through physical education partnerships Boylan, M. (ed.). Cogent Education, 3 (1)</w:t>
      </w:r>
      <w:r w:rsidR="003826E7" w:rsidRPr="004B4485">
        <w:rPr>
          <w:rFonts w:ascii="Arial" w:hAnsi="Arial" w:cs="Arial"/>
          <w:sz w:val="22"/>
          <w:lang w:val="en-US"/>
        </w:rPr>
        <w:t>.</w:t>
      </w:r>
      <w:r w:rsidR="00944350">
        <w:rPr>
          <w:rFonts w:ascii="Arial" w:hAnsi="Arial" w:cs="Arial"/>
          <w:sz w:val="22"/>
          <w:lang w:val="en-US"/>
        </w:rPr>
        <w:t xml:space="preserve"> </w:t>
      </w:r>
      <w:r w:rsidR="003826E7" w:rsidRPr="00944350">
        <w:rPr>
          <w:rFonts w:ascii="Arial" w:hAnsi="Arial" w:cs="Arial"/>
          <w:sz w:val="22"/>
          <w:lang w:val="en-US"/>
        </w:rPr>
        <w:t xml:space="preserve">Available at: </w:t>
      </w:r>
      <w:hyperlink r:id="rId30" w:history="1">
        <w:r w:rsidR="003826E7" w:rsidRPr="00944350">
          <w:rPr>
            <w:rStyle w:val="Hyperlink"/>
            <w:rFonts w:ascii="Arial" w:hAnsi="Arial" w:cs="Arial"/>
            <w:sz w:val="22"/>
            <w:lang w:val="en-US"/>
          </w:rPr>
          <w:t>https://www.tandfonline.com/doi/full/10.1080/2331186X.2016.1188469</w:t>
        </w:r>
      </w:hyperlink>
      <w:r w:rsidR="00944350">
        <w:rPr>
          <w:rFonts w:ascii="Arial" w:hAnsi="Arial" w:cs="Arial"/>
          <w:sz w:val="22"/>
          <w:lang w:val="en-US"/>
        </w:rPr>
        <w:t xml:space="preserve">. </w:t>
      </w:r>
      <w:r w:rsidR="003826E7" w:rsidRPr="00944350">
        <w:rPr>
          <w:rFonts w:ascii="Arial" w:hAnsi="Arial" w:cs="Arial"/>
          <w:sz w:val="22"/>
          <w:lang w:val="en-US"/>
        </w:rPr>
        <w:t>Accessed: 27 October 2023</w:t>
      </w:r>
    </w:p>
    <w:p w14:paraId="7F84F672" w14:textId="3AAB591C" w:rsidR="003826E7" w:rsidRPr="00944350"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M Raman, N. and Ghoshal, S. (2021) New Education Policy-2020 of India is in line with Goal 4 of the United Nations Sustainable Development Goals (SDG 2030). DELHI BUSINESS REVIEW, 22 (2)</w:t>
      </w:r>
      <w:r w:rsidR="003826E7" w:rsidRPr="004B4485">
        <w:rPr>
          <w:rFonts w:ascii="Arial" w:hAnsi="Arial" w:cs="Arial"/>
          <w:sz w:val="22"/>
          <w:lang w:val="en-US"/>
        </w:rPr>
        <w:t xml:space="preserve">, pp </w:t>
      </w:r>
      <w:r w:rsidRPr="004B4485">
        <w:rPr>
          <w:rFonts w:ascii="Arial" w:hAnsi="Arial" w:cs="Arial"/>
          <w:sz w:val="22"/>
          <w:lang w:val="en-US"/>
        </w:rPr>
        <w:t xml:space="preserve">75–84. </w:t>
      </w:r>
      <w:r w:rsidR="003826E7" w:rsidRPr="00944350">
        <w:rPr>
          <w:rFonts w:ascii="Arial" w:hAnsi="Arial" w:cs="Arial"/>
          <w:sz w:val="22"/>
          <w:lang w:val="en-US"/>
        </w:rPr>
        <w:t xml:space="preserve">Available at: </w:t>
      </w:r>
      <w:hyperlink r:id="rId31" w:history="1">
        <w:r w:rsidR="003826E7" w:rsidRPr="00944350">
          <w:rPr>
            <w:rStyle w:val="Hyperlink"/>
            <w:rFonts w:ascii="Arial" w:hAnsi="Arial" w:cs="Arial"/>
            <w:sz w:val="22"/>
            <w:lang w:val="en-US"/>
          </w:rPr>
          <w:t>https://www.science.org/doi/10.1126/science.abf6655</w:t>
        </w:r>
      </w:hyperlink>
      <w:r w:rsidR="00944350">
        <w:rPr>
          <w:rFonts w:ascii="Arial" w:hAnsi="Arial" w:cs="Arial"/>
          <w:sz w:val="22"/>
          <w:lang w:val="en-US"/>
        </w:rPr>
        <w:t xml:space="preserve">. </w:t>
      </w:r>
      <w:r w:rsidR="003826E7" w:rsidRPr="00944350">
        <w:rPr>
          <w:rFonts w:ascii="Arial" w:hAnsi="Arial" w:cs="Arial"/>
          <w:sz w:val="22"/>
          <w:lang w:val="en-US"/>
        </w:rPr>
        <w:t>Accessed: 30 October 2023</w:t>
      </w:r>
    </w:p>
    <w:p w14:paraId="0492DC71" w14:textId="6D549973" w:rsidR="003826E7" w:rsidRPr="00B95CCB"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lastRenderedPageBreak/>
        <w:t>Marianovych</w:t>
      </w:r>
      <w:proofErr w:type="spellEnd"/>
      <w:r w:rsidRPr="004B4485">
        <w:rPr>
          <w:rFonts w:ascii="Arial" w:hAnsi="Arial" w:cs="Arial"/>
          <w:sz w:val="22"/>
          <w:lang w:val="en-US"/>
        </w:rPr>
        <w:t>, M. (2019) National indicators of achieving the sustainable development goals and their roles in the United Nations Agenda by 2030. INNOVATIVE ECONOMY, (5–6)</w:t>
      </w:r>
      <w:r w:rsidR="003826E7" w:rsidRPr="004B4485">
        <w:rPr>
          <w:rFonts w:ascii="Arial" w:hAnsi="Arial" w:cs="Arial"/>
          <w:sz w:val="22"/>
          <w:lang w:val="en-US"/>
        </w:rPr>
        <w:t xml:space="preserve">, pp </w:t>
      </w:r>
      <w:r w:rsidRPr="004B4485">
        <w:rPr>
          <w:rFonts w:ascii="Arial" w:hAnsi="Arial" w:cs="Arial"/>
          <w:sz w:val="22"/>
          <w:lang w:val="en-US"/>
        </w:rPr>
        <w:t>133–138.</w:t>
      </w:r>
      <w:r w:rsidR="00B95CCB">
        <w:rPr>
          <w:rFonts w:ascii="Arial" w:hAnsi="Arial" w:cs="Arial"/>
          <w:sz w:val="22"/>
          <w:lang w:val="en-US"/>
        </w:rPr>
        <w:t xml:space="preserve"> </w:t>
      </w:r>
      <w:r w:rsidR="003826E7" w:rsidRPr="00B95CCB">
        <w:rPr>
          <w:rFonts w:ascii="Arial" w:hAnsi="Arial" w:cs="Arial"/>
          <w:sz w:val="22"/>
          <w:lang w:val="en-US"/>
        </w:rPr>
        <w:t xml:space="preserve">Available at: </w:t>
      </w:r>
      <w:hyperlink r:id="rId32" w:history="1">
        <w:r w:rsidR="003826E7" w:rsidRPr="00B95CCB">
          <w:rPr>
            <w:rStyle w:val="Hyperlink"/>
            <w:rFonts w:ascii="Arial" w:hAnsi="Arial" w:cs="Arial"/>
            <w:sz w:val="22"/>
            <w:lang w:val="en-US"/>
          </w:rPr>
          <w:t>https://www.semanticscholar.org/paper/National-indicators-of-achieving-the-sustainable-in-Marianovych/b58a9927a553157238577b5bb003302aaf6a9441</w:t>
        </w:r>
      </w:hyperlink>
      <w:r w:rsidR="00B95CCB">
        <w:rPr>
          <w:rFonts w:ascii="Arial" w:hAnsi="Arial" w:cs="Arial"/>
          <w:sz w:val="22"/>
          <w:lang w:val="en-US"/>
        </w:rPr>
        <w:t xml:space="preserve">. </w:t>
      </w:r>
      <w:r w:rsidR="003826E7" w:rsidRPr="00B95CCB">
        <w:rPr>
          <w:rFonts w:ascii="Arial" w:hAnsi="Arial" w:cs="Arial"/>
          <w:sz w:val="22"/>
          <w:lang w:val="en-US"/>
        </w:rPr>
        <w:t>Accessed: 2 November 2023</w:t>
      </w:r>
    </w:p>
    <w:p w14:paraId="68B616CA" w14:textId="6868D9A3" w:rsidR="004D5F72" w:rsidRPr="004B4485"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Mohammed, A.J. and Ghebreyesus, T.A. (2018) Healthy living, well-being and the sustainable development goals. Bulletin of the World Health Organization, 96 (9)</w:t>
      </w:r>
      <w:r w:rsidR="003826E7" w:rsidRPr="004B4485">
        <w:rPr>
          <w:rFonts w:ascii="Arial" w:hAnsi="Arial" w:cs="Arial"/>
          <w:sz w:val="22"/>
          <w:lang w:val="en-US"/>
        </w:rPr>
        <w:t xml:space="preserve">, pp </w:t>
      </w:r>
      <w:r w:rsidRPr="004B4485">
        <w:rPr>
          <w:rFonts w:ascii="Arial" w:hAnsi="Arial" w:cs="Arial"/>
          <w:sz w:val="22"/>
          <w:lang w:val="en-US"/>
        </w:rPr>
        <w:t xml:space="preserve">590-590A. </w:t>
      </w:r>
    </w:p>
    <w:p w14:paraId="4E4B617A" w14:textId="3B464E86" w:rsidR="003826E7" w:rsidRPr="004B4485" w:rsidRDefault="003826E7" w:rsidP="004B4485">
      <w:pPr>
        <w:spacing w:line="360" w:lineRule="auto"/>
        <w:rPr>
          <w:rFonts w:ascii="Arial" w:hAnsi="Arial" w:cs="Arial"/>
          <w:sz w:val="22"/>
          <w:lang w:val="en-US"/>
        </w:rPr>
      </w:pPr>
      <w:r w:rsidRPr="004B4485">
        <w:rPr>
          <w:rFonts w:ascii="Arial" w:hAnsi="Arial" w:cs="Arial"/>
          <w:sz w:val="22"/>
          <w:lang w:val="en-US"/>
        </w:rPr>
        <w:t xml:space="preserve">Available at: </w:t>
      </w:r>
      <w:hyperlink r:id="rId33" w:history="1">
        <w:r w:rsidRPr="004B4485">
          <w:rPr>
            <w:rStyle w:val="Hyperlink"/>
            <w:rFonts w:ascii="Arial" w:hAnsi="Arial" w:cs="Arial"/>
            <w:sz w:val="22"/>
            <w:lang w:val="en-US"/>
          </w:rPr>
          <w:t>https://pubmed.ncbi.nlm.nih.gov/30262935/</w:t>
        </w:r>
      </w:hyperlink>
      <w:r w:rsidRPr="004B4485">
        <w:rPr>
          <w:rFonts w:ascii="Arial" w:hAnsi="Arial" w:cs="Arial"/>
          <w:sz w:val="22"/>
          <w:lang w:val="en-US"/>
        </w:rPr>
        <w:t xml:space="preserve"> </w:t>
      </w:r>
    </w:p>
    <w:p w14:paraId="537302E6" w14:textId="7AC470C2" w:rsidR="003826E7" w:rsidRPr="004B4485" w:rsidRDefault="003826E7" w:rsidP="004B4485">
      <w:pPr>
        <w:spacing w:line="360" w:lineRule="auto"/>
        <w:rPr>
          <w:rFonts w:ascii="Arial" w:hAnsi="Arial" w:cs="Arial"/>
          <w:sz w:val="22"/>
          <w:lang w:val="en-US"/>
        </w:rPr>
      </w:pPr>
      <w:r w:rsidRPr="004B4485">
        <w:rPr>
          <w:rFonts w:ascii="Arial" w:hAnsi="Arial" w:cs="Arial"/>
          <w:sz w:val="22"/>
          <w:lang w:val="en-US"/>
        </w:rPr>
        <w:t>Accessed: 4 November 2023</w:t>
      </w:r>
    </w:p>
    <w:p w14:paraId="1DB26D09" w14:textId="00B782F7" w:rsidR="003826E7" w:rsidRPr="00B95CCB"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Popoveniuc</w:t>
      </w:r>
      <w:proofErr w:type="spellEnd"/>
      <w:r w:rsidRPr="004B4485">
        <w:rPr>
          <w:rFonts w:ascii="Arial" w:hAnsi="Arial" w:cs="Arial"/>
          <w:sz w:val="22"/>
          <w:lang w:val="en-US"/>
        </w:rPr>
        <w:t>, B. (2021) Moral Competence and Foundations of Moral Judgment. An Empirical Exploration of Concepts and New Possibilities for Understanding. ETHICS IN PROGRESS, 12 (1)</w:t>
      </w:r>
      <w:r w:rsidR="003826E7" w:rsidRPr="004B4485">
        <w:rPr>
          <w:rFonts w:ascii="Arial" w:hAnsi="Arial" w:cs="Arial"/>
          <w:sz w:val="22"/>
          <w:lang w:val="en-US"/>
        </w:rPr>
        <w:t xml:space="preserve">, pp </w:t>
      </w:r>
      <w:r w:rsidRPr="004B4485">
        <w:rPr>
          <w:rFonts w:ascii="Arial" w:hAnsi="Arial" w:cs="Arial"/>
          <w:sz w:val="22"/>
          <w:lang w:val="en-US"/>
        </w:rPr>
        <w:t xml:space="preserve">39–58. </w:t>
      </w:r>
      <w:r w:rsidR="003826E7" w:rsidRPr="00B95CCB">
        <w:rPr>
          <w:rFonts w:ascii="Arial" w:hAnsi="Arial" w:cs="Arial"/>
          <w:sz w:val="22"/>
          <w:lang w:val="en-US"/>
        </w:rPr>
        <w:t xml:space="preserve">Available at: </w:t>
      </w:r>
      <w:hyperlink r:id="rId34" w:history="1">
        <w:r w:rsidR="003826E7" w:rsidRPr="00B95CCB">
          <w:rPr>
            <w:rStyle w:val="Hyperlink"/>
            <w:rFonts w:ascii="Arial" w:hAnsi="Arial" w:cs="Arial"/>
            <w:sz w:val="22"/>
            <w:lang w:val="en-US"/>
          </w:rPr>
          <w:t>https://www.researchgate.net/publication/353587670_Moral_Competence_and_Foundations_of_Moral_Judgment_An_Empirical_Exploration_of_Concepts_and_New_Possibilities_for_Understanding</w:t>
        </w:r>
      </w:hyperlink>
      <w:r w:rsidR="00B95CCB">
        <w:rPr>
          <w:rFonts w:ascii="Arial" w:hAnsi="Arial" w:cs="Arial"/>
          <w:sz w:val="22"/>
          <w:lang w:val="en-US"/>
        </w:rPr>
        <w:t xml:space="preserve">. </w:t>
      </w:r>
      <w:r w:rsidR="003826E7" w:rsidRPr="00B95CCB">
        <w:rPr>
          <w:rFonts w:ascii="Arial" w:hAnsi="Arial" w:cs="Arial"/>
          <w:sz w:val="22"/>
          <w:lang w:val="en-US"/>
        </w:rPr>
        <w:t>Accessed: 5 November 2023</w:t>
      </w:r>
    </w:p>
    <w:p w14:paraId="10F159F3" w14:textId="4E7A91FA" w:rsidR="003826E7" w:rsidRPr="00B95CC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Role of </w:t>
      </w:r>
      <w:proofErr w:type="spellStart"/>
      <w:r w:rsidRPr="004B4485">
        <w:rPr>
          <w:rFonts w:ascii="Arial" w:hAnsi="Arial" w:cs="Arial"/>
          <w:sz w:val="22"/>
          <w:lang w:val="en-US"/>
        </w:rPr>
        <w:t>Accounta</w:t>
      </w:r>
      <w:proofErr w:type="spellEnd"/>
      <w:r w:rsidR="003826E7" w:rsidRPr="004B4485">
        <w:rPr>
          <w:rFonts w:ascii="Arial" w:hAnsi="Arial" w:cs="Arial"/>
          <w:sz w:val="22"/>
          <w:lang w:val="en-US"/>
        </w:rPr>
        <w:t xml:space="preserve"> </w:t>
      </w:r>
      <w:proofErr w:type="spellStart"/>
      <w:r w:rsidRPr="004B4485">
        <w:rPr>
          <w:rFonts w:ascii="Arial" w:hAnsi="Arial" w:cs="Arial"/>
          <w:sz w:val="22"/>
          <w:lang w:val="en-US"/>
        </w:rPr>
        <w:t>nts</w:t>
      </w:r>
      <w:proofErr w:type="spellEnd"/>
      <w:r w:rsidRPr="004B4485">
        <w:rPr>
          <w:rFonts w:ascii="Arial" w:hAnsi="Arial" w:cs="Arial"/>
          <w:sz w:val="22"/>
          <w:lang w:val="en-US"/>
        </w:rPr>
        <w:t xml:space="preserve"> in Achieving the Sustainable Development Goals (SDGS): </w:t>
      </w:r>
      <w:r w:rsidR="003826E7" w:rsidRPr="004B4485">
        <w:rPr>
          <w:rFonts w:ascii="Arial" w:hAnsi="Arial" w:cs="Arial"/>
          <w:sz w:val="22"/>
          <w:lang w:val="en-US"/>
        </w:rPr>
        <w:t xml:space="preserve"> </w:t>
      </w:r>
      <w:r w:rsidRPr="004B4485">
        <w:rPr>
          <w:rFonts w:ascii="Arial" w:hAnsi="Arial" w:cs="Arial"/>
          <w:sz w:val="22"/>
          <w:lang w:val="en-US"/>
        </w:rPr>
        <w:t xml:space="preserve">Do Accountants Really Matter for Sustainable Development Goals? (2023). European Journal of Business and Management. </w:t>
      </w:r>
      <w:r w:rsidR="003826E7" w:rsidRPr="00B95CCB">
        <w:rPr>
          <w:rFonts w:ascii="Arial" w:hAnsi="Arial" w:cs="Arial"/>
          <w:sz w:val="22"/>
          <w:lang w:val="en-US"/>
        </w:rPr>
        <w:t xml:space="preserve">Available at: </w:t>
      </w:r>
      <w:hyperlink r:id="rId35" w:history="1">
        <w:r w:rsidR="003826E7" w:rsidRPr="00B95CCB">
          <w:rPr>
            <w:rStyle w:val="Hyperlink"/>
            <w:rFonts w:ascii="Arial" w:hAnsi="Arial" w:cs="Arial"/>
            <w:sz w:val="22"/>
            <w:lang w:val="en-US"/>
          </w:rPr>
          <w:t>https://www.researchgate.net/publication/368403184_Role_of_Accountants_in_Achieving_the_Sustainable_Development_Goals_SDGS_Do_Accountants_Really_Matter_for_Sustainable_Development_Goals</w:t>
        </w:r>
      </w:hyperlink>
      <w:r w:rsidR="00B95CCB">
        <w:rPr>
          <w:rFonts w:ascii="Arial" w:hAnsi="Arial" w:cs="Arial"/>
          <w:sz w:val="22"/>
          <w:lang w:val="en-US"/>
        </w:rPr>
        <w:t xml:space="preserve">. </w:t>
      </w:r>
      <w:r w:rsidR="003826E7" w:rsidRPr="00B95CCB">
        <w:rPr>
          <w:rFonts w:ascii="Arial" w:hAnsi="Arial" w:cs="Arial"/>
          <w:sz w:val="22"/>
          <w:lang w:val="en-US"/>
        </w:rPr>
        <w:t>Accessed: 7 November 2023</w:t>
      </w:r>
    </w:p>
    <w:p w14:paraId="7D7D2CBF" w14:textId="410E659F" w:rsidR="003826E7" w:rsidRPr="00B95CC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Salmela-Aro, K. (2010) Personal goals and well-being: How do young people navigate their lives? New Directions for Child and Adolescent Development, 2010 (130)</w:t>
      </w:r>
      <w:r w:rsidR="003826E7" w:rsidRPr="004B4485">
        <w:rPr>
          <w:rFonts w:ascii="Arial" w:hAnsi="Arial" w:cs="Arial"/>
          <w:sz w:val="22"/>
          <w:lang w:val="en-US"/>
        </w:rPr>
        <w:t xml:space="preserve">, pp </w:t>
      </w:r>
      <w:r w:rsidRPr="004B4485">
        <w:rPr>
          <w:rFonts w:ascii="Arial" w:hAnsi="Arial" w:cs="Arial"/>
          <w:sz w:val="22"/>
          <w:lang w:val="en-US"/>
        </w:rPr>
        <w:t xml:space="preserve">13–26. </w:t>
      </w:r>
      <w:r w:rsidR="003826E7" w:rsidRPr="00B95CCB">
        <w:rPr>
          <w:rFonts w:ascii="Arial" w:hAnsi="Arial" w:cs="Arial"/>
          <w:sz w:val="22"/>
          <w:lang w:val="en-US"/>
        </w:rPr>
        <w:t xml:space="preserve">Available at: </w:t>
      </w:r>
      <w:hyperlink r:id="rId36" w:history="1">
        <w:r w:rsidR="003826E7" w:rsidRPr="00B95CCB">
          <w:rPr>
            <w:rStyle w:val="Hyperlink"/>
            <w:rFonts w:ascii="Arial" w:hAnsi="Arial" w:cs="Arial"/>
            <w:sz w:val="22"/>
            <w:lang w:val="en-US"/>
          </w:rPr>
          <w:t>https://pubmed.ncbi.nlm.nih.gov/21154828/</w:t>
        </w:r>
      </w:hyperlink>
      <w:r w:rsidR="00B95CCB">
        <w:rPr>
          <w:rFonts w:ascii="Arial" w:hAnsi="Arial" w:cs="Arial"/>
          <w:sz w:val="22"/>
          <w:lang w:val="en-US"/>
        </w:rPr>
        <w:t xml:space="preserve">. </w:t>
      </w:r>
      <w:r w:rsidR="003826E7" w:rsidRPr="00B95CCB">
        <w:rPr>
          <w:rFonts w:ascii="Arial" w:hAnsi="Arial" w:cs="Arial"/>
          <w:sz w:val="22"/>
          <w:lang w:val="en-US"/>
        </w:rPr>
        <w:t>Accessed: 10 November 2023</w:t>
      </w:r>
    </w:p>
    <w:p w14:paraId="245C2323" w14:textId="49CB614A" w:rsidR="003826E7" w:rsidRPr="00B95CC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Song, J. and Jang, C. (2023) Unpacking the sustainable development goals (SDGs) interlinkages: A semantic network analysis of the SDGs targets. Sustainable Development, 31 (4)</w:t>
      </w:r>
      <w:r w:rsidR="003826E7" w:rsidRPr="004B4485">
        <w:rPr>
          <w:rFonts w:ascii="Arial" w:hAnsi="Arial" w:cs="Arial"/>
          <w:sz w:val="22"/>
          <w:lang w:val="en-US"/>
        </w:rPr>
        <w:t xml:space="preserve">, pp </w:t>
      </w:r>
      <w:r w:rsidRPr="004B4485">
        <w:rPr>
          <w:rFonts w:ascii="Arial" w:hAnsi="Arial" w:cs="Arial"/>
          <w:sz w:val="22"/>
          <w:lang w:val="en-US"/>
        </w:rPr>
        <w:t xml:space="preserve">2784–2796. </w:t>
      </w:r>
      <w:r w:rsidR="003826E7" w:rsidRPr="00B95CCB">
        <w:rPr>
          <w:rFonts w:ascii="Arial" w:hAnsi="Arial" w:cs="Arial"/>
          <w:sz w:val="22"/>
          <w:lang w:val="en-US"/>
        </w:rPr>
        <w:t xml:space="preserve">Available at: </w:t>
      </w:r>
      <w:hyperlink r:id="rId37" w:history="1">
        <w:r w:rsidR="003826E7" w:rsidRPr="00B95CCB">
          <w:rPr>
            <w:rStyle w:val="Hyperlink"/>
            <w:rFonts w:ascii="Arial" w:hAnsi="Arial" w:cs="Arial"/>
            <w:sz w:val="22"/>
            <w:lang w:val="en-US"/>
          </w:rPr>
          <w:t>https://onlinelibrary.wiley.com/doi/10.1002/sd.2547</w:t>
        </w:r>
      </w:hyperlink>
      <w:r w:rsidR="00B95CCB">
        <w:rPr>
          <w:rFonts w:ascii="Arial" w:hAnsi="Arial" w:cs="Arial"/>
          <w:sz w:val="22"/>
          <w:lang w:val="en-US"/>
        </w:rPr>
        <w:t xml:space="preserve">. </w:t>
      </w:r>
      <w:r w:rsidR="003826E7" w:rsidRPr="00B95CCB">
        <w:rPr>
          <w:rFonts w:ascii="Arial" w:hAnsi="Arial" w:cs="Arial"/>
          <w:sz w:val="22"/>
          <w:lang w:val="en-US"/>
        </w:rPr>
        <w:t>Accessed: 11 November 2023</w:t>
      </w:r>
    </w:p>
    <w:p w14:paraId="29511600" w14:textId="4EAD2AC5" w:rsidR="003826E7" w:rsidRPr="00B95CCB"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Sweileh, W.M. (2020) Bibliometric analysis of scientific publications on “sustainable development goals” with emphasis on “good health and well-being” goal (2015–2019). </w:t>
      </w:r>
      <w:r w:rsidRPr="004B4485">
        <w:rPr>
          <w:rFonts w:ascii="Arial" w:hAnsi="Arial" w:cs="Arial"/>
          <w:sz w:val="22"/>
          <w:lang w:val="en-US"/>
        </w:rPr>
        <w:lastRenderedPageBreak/>
        <w:t xml:space="preserve">Globalization and Health, 16 (1). </w:t>
      </w:r>
      <w:r w:rsidR="003826E7" w:rsidRPr="00B95CCB">
        <w:rPr>
          <w:rFonts w:ascii="Arial" w:hAnsi="Arial" w:cs="Arial"/>
          <w:sz w:val="22"/>
          <w:lang w:val="en-US"/>
        </w:rPr>
        <w:t xml:space="preserve">Available at: </w:t>
      </w:r>
      <w:hyperlink r:id="rId38" w:history="1">
        <w:r w:rsidR="003826E7" w:rsidRPr="00B95CCB">
          <w:rPr>
            <w:rStyle w:val="Hyperlink"/>
            <w:rFonts w:ascii="Arial" w:hAnsi="Arial" w:cs="Arial"/>
            <w:sz w:val="22"/>
            <w:lang w:val="en-US"/>
          </w:rPr>
          <w:t>https://pubmed.ncbi.nlm.nih.gov/32723366/</w:t>
        </w:r>
      </w:hyperlink>
      <w:r w:rsidR="00B95CCB">
        <w:rPr>
          <w:rFonts w:ascii="Arial" w:hAnsi="Arial" w:cs="Arial"/>
          <w:sz w:val="22"/>
          <w:lang w:val="en-US"/>
        </w:rPr>
        <w:t xml:space="preserve">. </w:t>
      </w:r>
      <w:r w:rsidR="003826E7" w:rsidRPr="00B95CCB">
        <w:rPr>
          <w:rFonts w:ascii="Arial" w:hAnsi="Arial" w:cs="Arial"/>
          <w:sz w:val="22"/>
          <w:lang w:val="en-US"/>
        </w:rPr>
        <w:t>Accessed: 15 November 2023</w:t>
      </w:r>
    </w:p>
    <w:p w14:paraId="5BA9A41B" w14:textId="3D0116D3" w:rsidR="003826E7" w:rsidRPr="006B310E"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Taves, A. (2015) Reverse Engineering Complex Cultural Concepts: Identifying Building Blocks of “Religion.” Journal of Cognition and Culture, 15 (1–2)</w:t>
      </w:r>
      <w:r w:rsidR="003826E7" w:rsidRPr="004B4485">
        <w:rPr>
          <w:rFonts w:ascii="Arial" w:hAnsi="Arial" w:cs="Arial"/>
          <w:sz w:val="22"/>
          <w:lang w:val="en-US"/>
        </w:rPr>
        <w:t xml:space="preserve">, pp </w:t>
      </w:r>
      <w:r w:rsidRPr="004B4485">
        <w:rPr>
          <w:rFonts w:ascii="Arial" w:hAnsi="Arial" w:cs="Arial"/>
          <w:sz w:val="22"/>
          <w:lang w:val="en-US"/>
        </w:rPr>
        <w:t xml:space="preserve">191–216. </w:t>
      </w:r>
      <w:r w:rsidR="003826E7" w:rsidRPr="00B95CCB">
        <w:rPr>
          <w:rFonts w:ascii="Arial" w:hAnsi="Arial" w:cs="Arial"/>
          <w:sz w:val="22"/>
          <w:lang w:val="en-US"/>
        </w:rPr>
        <w:t xml:space="preserve">Available at: </w:t>
      </w:r>
      <w:hyperlink r:id="rId39" w:history="1">
        <w:r w:rsidR="003826E7" w:rsidRPr="00B95CCB">
          <w:rPr>
            <w:rStyle w:val="Hyperlink"/>
            <w:rFonts w:ascii="Arial" w:hAnsi="Arial" w:cs="Arial"/>
            <w:sz w:val="22"/>
            <w:lang w:val="en-US"/>
          </w:rPr>
          <w:t>https://brill.com/view/journals/jocc/15/1-2/article-p191_10.xml?language=en</w:t>
        </w:r>
      </w:hyperlink>
      <w:r w:rsidR="006B310E">
        <w:rPr>
          <w:rFonts w:ascii="Arial" w:hAnsi="Arial" w:cs="Arial"/>
          <w:sz w:val="22"/>
          <w:lang w:val="en-US"/>
        </w:rPr>
        <w:t xml:space="preserve">. </w:t>
      </w:r>
      <w:r w:rsidR="003826E7" w:rsidRPr="006B310E">
        <w:rPr>
          <w:rFonts w:ascii="Arial" w:hAnsi="Arial" w:cs="Arial"/>
          <w:sz w:val="22"/>
          <w:lang w:val="en-US"/>
        </w:rPr>
        <w:t>Accessed: 16 November 2023</w:t>
      </w:r>
    </w:p>
    <w:p w14:paraId="2DB638F9" w14:textId="4141223D" w:rsidR="004B4485" w:rsidRPr="00711928"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Telleria, J. (2021) Diversity vs the 2030 agenda. A deconstructive reading of the United Nations agenda for sustainable development. Critical Social Policy, 42 (4)</w:t>
      </w:r>
      <w:r w:rsidR="004B4485" w:rsidRPr="004B4485">
        <w:rPr>
          <w:rFonts w:ascii="Arial" w:hAnsi="Arial" w:cs="Arial"/>
          <w:sz w:val="22"/>
          <w:lang w:val="en-US"/>
        </w:rPr>
        <w:t xml:space="preserve">, pp </w:t>
      </w:r>
      <w:r w:rsidRPr="004B4485">
        <w:rPr>
          <w:rFonts w:ascii="Arial" w:hAnsi="Arial" w:cs="Arial"/>
          <w:sz w:val="22"/>
          <w:lang w:val="en-US"/>
        </w:rPr>
        <w:t>607–625.</w:t>
      </w:r>
      <w:r w:rsidR="00711928">
        <w:rPr>
          <w:rFonts w:ascii="Arial" w:hAnsi="Arial" w:cs="Arial"/>
          <w:sz w:val="22"/>
          <w:lang w:val="en-US"/>
        </w:rPr>
        <w:t xml:space="preserve"> </w:t>
      </w:r>
      <w:r w:rsidR="004B4485" w:rsidRPr="006B310E">
        <w:rPr>
          <w:rFonts w:ascii="Arial" w:hAnsi="Arial" w:cs="Arial"/>
          <w:sz w:val="22"/>
          <w:lang w:val="en-US"/>
        </w:rPr>
        <w:t xml:space="preserve">Available at: </w:t>
      </w:r>
      <w:hyperlink r:id="rId40" w:history="1">
        <w:r w:rsidR="004B4485" w:rsidRPr="006B310E">
          <w:rPr>
            <w:rStyle w:val="Hyperlink"/>
            <w:rFonts w:ascii="Arial" w:hAnsi="Arial" w:cs="Arial"/>
            <w:sz w:val="22"/>
            <w:lang w:val="en-US"/>
          </w:rPr>
          <w:t>https://journals.sagepub.com/doi/abs/10.1177/02610183211065699</w:t>
        </w:r>
      </w:hyperlink>
      <w:r w:rsidR="00711928">
        <w:rPr>
          <w:rFonts w:ascii="Arial" w:hAnsi="Arial" w:cs="Arial"/>
          <w:sz w:val="22"/>
          <w:lang w:val="en-US"/>
        </w:rPr>
        <w:t xml:space="preserve">. </w:t>
      </w:r>
      <w:r w:rsidR="004B4485" w:rsidRPr="00711928">
        <w:rPr>
          <w:rFonts w:ascii="Arial" w:hAnsi="Arial" w:cs="Arial"/>
          <w:sz w:val="22"/>
          <w:lang w:val="en-US"/>
        </w:rPr>
        <w:t>Accessed: 17 November 2023</w:t>
      </w:r>
    </w:p>
    <w:p w14:paraId="065E7CC4" w14:textId="6B8CE738" w:rsidR="004B4485" w:rsidRPr="00711928" w:rsidRDefault="004D5F72" w:rsidP="004B4485">
      <w:pPr>
        <w:pStyle w:val="ListParagraph"/>
        <w:numPr>
          <w:ilvl w:val="0"/>
          <w:numId w:val="1"/>
        </w:numPr>
        <w:spacing w:line="360" w:lineRule="auto"/>
        <w:rPr>
          <w:rFonts w:ascii="Arial" w:hAnsi="Arial" w:cs="Arial"/>
          <w:sz w:val="22"/>
          <w:lang w:val="en-US"/>
        </w:rPr>
      </w:pPr>
      <w:r w:rsidRPr="004B4485">
        <w:rPr>
          <w:rFonts w:ascii="Arial" w:hAnsi="Arial" w:cs="Arial"/>
          <w:sz w:val="22"/>
          <w:lang w:val="en-US"/>
        </w:rPr>
        <w:t xml:space="preserve">The Ways HR Professionals are Making Their Contributions in Achieving Sustainable Development Goals (SDGs) (2022). Journal of Economics and Sustainable Development. </w:t>
      </w:r>
      <w:r w:rsidR="004B4485" w:rsidRPr="00711928">
        <w:rPr>
          <w:rFonts w:ascii="Arial" w:hAnsi="Arial" w:cs="Arial"/>
          <w:sz w:val="22"/>
          <w:lang w:val="en-US"/>
        </w:rPr>
        <w:t xml:space="preserve">Available at: </w:t>
      </w:r>
      <w:hyperlink r:id="rId41" w:history="1">
        <w:r w:rsidR="004B4485" w:rsidRPr="00711928">
          <w:rPr>
            <w:rStyle w:val="Hyperlink"/>
            <w:rFonts w:ascii="Arial" w:hAnsi="Arial" w:cs="Arial"/>
            <w:sz w:val="22"/>
            <w:lang w:val="en-US"/>
          </w:rPr>
          <w:t>https://www.researchgate.net/publication/364226323_The_Ways_HR_Professionals_are_Making_Their_Contributions_in_Achieving_Sustainable_Development_Goals_SDGs</w:t>
        </w:r>
      </w:hyperlink>
      <w:r w:rsidR="00711928">
        <w:rPr>
          <w:rFonts w:ascii="Arial" w:hAnsi="Arial" w:cs="Arial"/>
          <w:sz w:val="22"/>
          <w:lang w:val="en-US"/>
        </w:rPr>
        <w:t xml:space="preserve">. </w:t>
      </w:r>
      <w:r w:rsidR="004B4485" w:rsidRPr="00711928">
        <w:rPr>
          <w:rFonts w:ascii="Arial" w:hAnsi="Arial" w:cs="Arial"/>
          <w:sz w:val="22"/>
          <w:lang w:val="en-US"/>
        </w:rPr>
        <w:t>Accessed: 20 November 2023</w:t>
      </w:r>
    </w:p>
    <w:p w14:paraId="5DA59C94" w14:textId="2E618B0E" w:rsidR="004B4485" w:rsidRPr="00711928" w:rsidRDefault="004D5F72" w:rsidP="004B4485">
      <w:pPr>
        <w:pStyle w:val="ListParagraph"/>
        <w:numPr>
          <w:ilvl w:val="0"/>
          <w:numId w:val="1"/>
        </w:numPr>
        <w:spacing w:line="360" w:lineRule="auto"/>
        <w:rPr>
          <w:rFonts w:ascii="Arial" w:hAnsi="Arial" w:cs="Arial"/>
          <w:sz w:val="22"/>
          <w:lang w:val="en-US"/>
        </w:rPr>
      </w:pPr>
      <w:proofErr w:type="spellStart"/>
      <w:r w:rsidRPr="004B4485">
        <w:rPr>
          <w:rFonts w:ascii="Arial" w:hAnsi="Arial" w:cs="Arial"/>
          <w:sz w:val="22"/>
          <w:lang w:val="en-US"/>
        </w:rPr>
        <w:t>Tsalis</w:t>
      </w:r>
      <w:proofErr w:type="spellEnd"/>
      <w:r w:rsidRPr="004B4485">
        <w:rPr>
          <w:rFonts w:ascii="Arial" w:hAnsi="Arial" w:cs="Arial"/>
          <w:sz w:val="22"/>
          <w:lang w:val="en-US"/>
        </w:rPr>
        <w:t xml:space="preserve">, T.A., </w:t>
      </w:r>
      <w:proofErr w:type="spellStart"/>
      <w:r w:rsidRPr="004B4485">
        <w:rPr>
          <w:rFonts w:ascii="Arial" w:hAnsi="Arial" w:cs="Arial"/>
          <w:sz w:val="22"/>
          <w:lang w:val="en-US"/>
        </w:rPr>
        <w:t>Malamateniou</w:t>
      </w:r>
      <w:proofErr w:type="spellEnd"/>
      <w:r w:rsidRPr="004B4485">
        <w:rPr>
          <w:rFonts w:ascii="Arial" w:hAnsi="Arial" w:cs="Arial"/>
          <w:sz w:val="22"/>
          <w:lang w:val="en-US"/>
        </w:rPr>
        <w:t>, K.E., Koulouriotis, D., et al. (2020) New challenges for corporate sustainability reporting: United Nations’ 2030 Agenda for sustainable development and the sustainable development goals. Corporate Social Responsibility and Environmental Management, 27 (4)</w:t>
      </w:r>
      <w:r w:rsidR="004B4485" w:rsidRPr="004B4485">
        <w:rPr>
          <w:rFonts w:ascii="Arial" w:hAnsi="Arial" w:cs="Arial"/>
          <w:sz w:val="22"/>
          <w:lang w:val="en-US"/>
        </w:rPr>
        <w:t xml:space="preserve">, pp </w:t>
      </w:r>
      <w:r w:rsidRPr="004B4485">
        <w:rPr>
          <w:rFonts w:ascii="Arial" w:hAnsi="Arial" w:cs="Arial"/>
          <w:sz w:val="22"/>
          <w:lang w:val="en-US"/>
        </w:rPr>
        <w:t xml:space="preserve">1617–1629. </w:t>
      </w:r>
      <w:r w:rsidR="004B4485" w:rsidRPr="00711928">
        <w:rPr>
          <w:rFonts w:ascii="Arial" w:hAnsi="Arial" w:cs="Arial"/>
          <w:sz w:val="22"/>
          <w:lang w:val="en-US"/>
        </w:rPr>
        <w:t xml:space="preserve">Available at: </w:t>
      </w:r>
      <w:hyperlink r:id="rId42" w:history="1">
        <w:r w:rsidR="004B4485" w:rsidRPr="00711928">
          <w:rPr>
            <w:rStyle w:val="Hyperlink"/>
            <w:rFonts w:ascii="Arial" w:hAnsi="Arial" w:cs="Arial"/>
            <w:sz w:val="22"/>
            <w:lang w:val="en-US"/>
          </w:rPr>
          <w:t>https://onlinelibrary.wiley.com/doi/abs/10.1002/csr.1910</w:t>
        </w:r>
      </w:hyperlink>
      <w:r w:rsidR="00711928">
        <w:rPr>
          <w:rFonts w:ascii="Arial" w:hAnsi="Arial" w:cs="Arial"/>
          <w:sz w:val="22"/>
          <w:lang w:val="en-US"/>
        </w:rPr>
        <w:t xml:space="preserve">. </w:t>
      </w:r>
      <w:r w:rsidR="004B4485" w:rsidRPr="00711928">
        <w:rPr>
          <w:rFonts w:ascii="Arial" w:hAnsi="Arial" w:cs="Arial"/>
          <w:sz w:val="22"/>
          <w:lang w:val="en-US"/>
        </w:rPr>
        <w:t>Accessed: 22 November 2023</w:t>
      </w:r>
    </w:p>
    <w:p w14:paraId="518B3E6E" w14:textId="77777777" w:rsidR="009F53F9" w:rsidRPr="004B4485" w:rsidRDefault="009F53F9" w:rsidP="004B4485">
      <w:pPr>
        <w:spacing w:line="360" w:lineRule="auto"/>
        <w:ind w:left="720" w:hanging="720"/>
        <w:rPr>
          <w:rFonts w:ascii="Arial" w:hAnsi="Arial" w:cs="Arial"/>
          <w:sz w:val="22"/>
          <w:lang w:val="en-US"/>
        </w:rPr>
      </w:pPr>
    </w:p>
    <w:p w14:paraId="65E6EF81" w14:textId="77777777" w:rsidR="008539AF" w:rsidRPr="004B4485" w:rsidRDefault="008539AF" w:rsidP="004B4485">
      <w:pPr>
        <w:spacing w:line="360" w:lineRule="auto"/>
        <w:rPr>
          <w:rFonts w:ascii="Arial" w:hAnsi="Arial" w:cs="Arial"/>
          <w:sz w:val="22"/>
          <w:lang w:val="en-US"/>
        </w:rPr>
      </w:pPr>
    </w:p>
    <w:sectPr w:rsidR="008539AF" w:rsidRPr="004B4485" w:rsidSect="0052000F">
      <w:headerReference w:type="default" r:id="rId43"/>
      <w:headerReference w:type="first" r:id="rId44"/>
      <w:pgSz w:w="12240" w:h="15840"/>
      <w:pgMar w:top="1440"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B9543" w14:textId="77777777" w:rsidR="00D02CBD" w:rsidRDefault="00D02CBD" w:rsidP="000809F4">
      <w:pPr>
        <w:spacing w:line="240" w:lineRule="auto"/>
      </w:pPr>
      <w:r>
        <w:separator/>
      </w:r>
    </w:p>
  </w:endnote>
  <w:endnote w:type="continuationSeparator" w:id="0">
    <w:p w14:paraId="0EA8B820" w14:textId="77777777" w:rsidR="00D02CBD" w:rsidRDefault="00D02CBD" w:rsidP="000809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DFAA7" w14:textId="77777777" w:rsidR="00D02CBD" w:rsidRDefault="00D02CBD" w:rsidP="000809F4">
      <w:pPr>
        <w:spacing w:line="240" w:lineRule="auto"/>
      </w:pPr>
      <w:r>
        <w:separator/>
      </w:r>
    </w:p>
  </w:footnote>
  <w:footnote w:type="continuationSeparator" w:id="0">
    <w:p w14:paraId="34F615E2" w14:textId="77777777" w:rsidR="00D02CBD" w:rsidRDefault="00D02CBD" w:rsidP="000809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770CE" w14:textId="77777777" w:rsidR="008679AE" w:rsidRDefault="008679AE">
    <w:pPr>
      <w:pStyle w:val="Header"/>
    </w:pPr>
    <w:r>
      <w:tab/>
    </w:r>
    <w:r>
      <w:tab/>
    </w:r>
    <w:r>
      <w:fldChar w:fldCharType="begin"/>
    </w:r>
    <w:r>
      <w:instrText xml:space="preserve"> PAGE   \* MERGEFORMAT </w:instrText>
    </w:r>
    <w:r>
      <w:fldChar w:fldCharType="separate"/>
    </w:r>
    <w:r>
      <w:rPr>
        <w:noProof/>
      </w:rPr>
      <w:t>1</w:t>
    </w:r>
    <w:r>
      <w:rPr>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261164"/>
      <w:docPartObj>
        <w:docPartGallery w:val="Page Numbers (Top of Page)"/>
        <w:docPartUnique/>
      </w:docPartObj>
    </w:sdtPr>
    <w:sdtEndPr>
      <w:rPr>
        <w:noProof/>
      </w:rPr>
    </w:sdtEndPr>
    <w:sdtContent>
      <w:p w14:paraId="65DAF9D8" w14:textId="3F399572" w:rsidR="004256FB" w:rsidRDefault="004256F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896496C" w14:textId="04A26A77" w:rsidR="008679AE" w:rsidRDefault="008679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51347"/>
    <w:multiLevelType w:val="hybridMultilevel"/>
    <w:tmpl w:val="985EE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66947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3FF"/>
    <w:rsid w:val="000809F4"/>
    <w:rsid w:val="00083605"/>
    <w:rsid w:val="000F6DF1"/>
    <w:rsid w:val="00110742"/>
    <w:rsid w:val="001366CF"/>
    <w:rsid w:val="0018692F"/>
    <w:rsid w:val="00211CCC"/>
    <w:rsid w:val="00250B35"/>
    <w:rsid w:val="002C5CC6"/>
    <w:rsid w:val="003826E7"/>
    <w:rsid w:val="00392C8C"/>
    <w:rsid w:val="003B565F"/>
    <w:rsid w:val="004028C3"/>
    <w:rsid w:val="004256FB"/>
    <w:rsid w:val="004476DE"/>
    <w:rsid w:val="004B4485"/>
    <w:rsid w:val="004D5F72"/>
    <w:rsid w:val="0052000F"/>
    <w:rsid w:val="005F037B"/>
    <w:rsid w:val="005F691D"/>
    <w:rsid w:val="00627CC9"/>
    <w:rsid w:val="00633B78"/>
    <w:rsid w:val="006B310E"/>
    <w:rsid w:val="006F7501"/>
    <w:rsid w:val="00711928"/>
    <w:rsid w:val="007302B6"/>
    <w:rsid w:val="00755571"/>
    <w:rsid w:val="00814338"/>
    <w:rsid w:val="008539AF"/>
    <w:rsid w:val="008679AE"/>
    <w:rsid w:val="009014D6"/>
    <w:rsid w:val="00910051"/>
    <w:rsid w:val="00944350"/>
    <w:rsid w:val="009D63FF"/>
    <w:rsid w:val="009F53F9"/>
    <w:rsid w:val="00A176D2"/>
    <w:rsid w:val="00A90447"/>
    <w:rsid w:val="00B660EC"/>
    <w:rsid w:val="00B95CCB"/>
    <w:rsid w:val="00BB02DC"/>
    <w:rsid w:val="00BC792E"/>
    <w:rsid w:val="00D02CBD"/>
    <w:rsid w:val="00D313BB"/>
    <w:rsid w:val="00E5706B"/>
    <w:rsid w:val="00F11161"/>
    <w:rsid w:val="00F36C92"/>
    <w:rsid w:val="00F66BC1"/>
    <w:rsid w:val="00FB45B2"/>
    <w:rsid w:val="00FE5071"/>
    <w:rsid w:val="00FF5B7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5B71E"/>
  <w15:chartTrackingRefBased/>
  <w15:docId w15:val="{7B0A8A0F-5026-429A-A527-B1A3BB8969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02D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B02DC"/>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02D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B02DC"/>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809F4"/>
    <w:pPr>
      <w:spacing w:line="259" w:lineRule="auto"/>
      <w:outlineLvl w:val="9"/>
    </w:pPr>
    <w:rPr>
      <w:lang w:val="en-US"/>
    </w:rPr>
  </w:style>
  <w:style w:type="paragraph" w:styleId="TOC1">
    <w:name w:val="toc 1"/>
    <w:basedOn w:val="Normal"/>
    <w:next w:val="Normal"/>
    <w:autoRedefine/>
    <w:uiPriority w:val="39"/>
    <w:unhideWhenUsed/>
    <w:rsid w:val="000809F4"/>
    <w:pPr>
      <w:spacing w:after="100"/>
    </w:pPr>
  </w:style>
  <w:style w:type="paragraph" w:styleId="TOC2">
    <w:name w:val="toc 2"/>
    <w:basedOn w:val="Normal"/>
    <w:next w:val="Normal"/>
    <w:autoRedefine/>
    <w:uiPriority w:val="39"/>
    <w:unhideWhenUsed/>
    <w:rsid w:val="000809F4"/>
    <w:pPr>
      <w:spacing w:after="100"/>
      <w:ind w:left="240"/>
    </w:pPr>
  </w:style>
  <w:style w:type="character" w:styleId="Hyperlink">
    <w:name w:val="Hyperlink"/>
    <w:basedOn w:val="DefaultParagraphFont"/>
    <w:uiPriority w:val="99"/>
    <w:unhideWhenUsed/>
    <w:rsid w:val="000809F4"/>
    <w:rPr>
      <w:color w:val="0563C1" w:themeColor="hyperlink"/>
      <w:u w:val="single"/>
    </w:rPr>
  </w:style>
  <w:style w:type="paragraph" w:styleId="Header">
    <w:name w:val="header"/>
    <w:basedOn w:val="Normal"/>
    <w:link w:val="HeaderChar"/>
    <w:uiPriority w:val="99"/>
    <w:unhideWhenUsed/>
    <w:rsid w:val="000809F4"/>
    <w:pPr>
      <w:tabs>
        <w:tab w:val="center" w:pos="4513"/>
        <w:tab w:val="right" w:pos="9026"/>
      </w:tabs>
      <w:spacing w:line="240" w:lineRule="auto"/>
    </w:pPr>
  </w:style>
  <w:style w:type="character" w:customStyle="1" w:styleId="HeaderChar">
    <w:name w:val="Header Char"/>
    <w:basedOn w:val="DefaultParagraphFont"/>
    <w:link w:val="Header"/>
    <w:uiPriority w:val="99"/>
    <w:rsid w:val="000809F4"/>
  </w:style>
  <w:style w:type="paragraph" w:styleId="Footer">
    <w:name w:val="footer"/>
    <w:basedOn w:val="Normal"/>
    <w:link w:val="FooterChar"/>
    <w:uiPriority w:val="99"/>
    <w:unhideWhenUsed/>
    <w:rsid w:val="000809F4"/>
    <w:pPr>
      <w:tabs>
        <w:tab w:val="center" w:pos="4513"/>
        <w:tab w:val="right" w:pos="9026"/>
      </w:tabs>
      <w:spacing w:line="240" w:lineRule="auto"/>
    </w:pPr>
  </w:style>
  <w:style w:type="character" w:customStyle="1" w:styleId="FooterChar">
    <w:name w:val="Footer Char"/>
    <w:basedOn w:val="DefaultParagraphFont"/>
    <w:link w:val="Footer"/>
    <w:uiPriority w:val="99"/>
    <w:rsid w:val="000809F4"/>
  </w:style>
  <w:style w:type="character" w:styleId="UnresolvedMention">
    <w:name w:val="Unresolved Mention"/>
    <w:basedOn w:val="DefaultParagraphFont"/>
    <w:uiPriority w:val="99"/>
    <w:semiHidden/>
    <w:unhideWhenUsed/>
    <w:rsid w:val="003826E7"/>
    <w:rPr>
      <w:color w:val="605E5C"/>
      <w:shd w:val="clear" w:color="auto" w:fill="E1DFDD"/>
    </w:rPr>
  </w:style>
  <w:style w:type="paragraph" w:styleId="ListParagraph">
    <w:name w:val="List Paragraph"/>
    <w:basedOn w:val="Normal"/>
    <w:uiPriority w:val="34"/>
    <w:qFormat/>
    <w:rsid w:val="003826E7"/>
    <w:pPr>
      <w:ind w:left="720"/>
      <w:contextualSpacing/>
    </w:pPr>
  </w:style>
  <w:style w:type="character" w:styleId="FollowedHyperlink">
    <w:name w:val="FollowedHyperlink"/>
    <w:basedOn w:val="DefaultParagraphFont"/>
    <w:uiPriority w:val="99"/>
    <w:semiHidden/>
    <w:unhideWhenUsed/>
    <w:rsid w:val="003826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1896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10.1002/sd.1914" TargetMode="External"/><Relationship Id="rId18" Type="http://schemas.openxmlformats.org/officeDocument/2006/relationships/hyperlink" Target="https://www.tandfonline.com/doi/abs/10.1080/19376812.2016.1253490" TargetMode="External"/><Relationship Id="rId26" Type="http://schemas.openxmlformats.org/officeDocument/2006/relationships/hyperlink" Target="https://www.sciencedirect.com/science/article/abs/pii/S0079670002000199" TargetMode="External"/><Relationship Id="rId39" Type="http://schemas.openxmlformats.org/officeDocument/2006/relationships/hyperlink" Target="https://brill.com/view/journals/jocc/15/1-2/article-p191_10.xml?language=en" TargetMode="External"/><Relationship Id="rId21" Type="http://schemas.openxmlformats.org/officeDocument/2006/relationships/hyperlink" Target="https://link.springer.com/article/10.1007/s13280-014-0582-z" TargetMode="External"/><Relationship Id="rId34" Type="http://schemas.openxmlformats.org/officeDocument/2006/relationships/hyperlink" Target="https://www.researchgate.net/publication/353587670_Moral_Competence_and_Foundations_of_Moral_Judgment_An_Empirical_Exploration_of_Concepts_and_New_Possibilities_for_Understanding" TargetMode="External"/><Relationship Id="rId42" Type="http://schemas.openxmlformats.org/officeDocument/2006/relationships/hyperlink" Target="https://onlinelibrary.wiley.com/doi/abs/10.1002/csr.1910"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tandfonline.com/doi/full/10.1080/09669582.2019.1619748" TargetMode="External"/><Relationship Id="rId29" Type="http://schemas.openxmlformats.org/officeDocument/2006/relationships/hyperlink" Target="https://papers.ssrn.com/sol3/papers.cfm?abstract_id=255902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ciencedirect.com/journal/progress-in-polymer-science" TargetMode="External"/><Relationship Id="rId24" Type="http://schemas.openxmlformats.org/officeDocument/2006/relationships/hyperlink" Target="https://link.springer.com/article/10.1007/s00268-015-3249-4" TargetMode="External"/><Relationship Id="rId32" Type="http://schemas.openxmlformats.org/officeDocument/2006/relationships/hyperlink" Target="https://www.semanticscholar.org/paper/National-indicators-of-achieving-the-sustainable-in-Marianovych/b58a9927a553157238577b5bb003302aaf6a9441" TargetMode="External"/><Relationship Id="rId37" Type="http://schemas.openxmlformats.org/officeDocument/2006/relationships/hyperlink" Target="https://onlinelibrary.wiley.com/doi/10.1002/sd.2547" TargetMode="External"/><Relationship Id="rId40" Type="http://schemas.openxmlformats.org/officeDocument/2006/relationships/hyperlink" Target="https://journals.sagepub.com/doi/abs/10.1177/02610183211065699"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link.springer.com/article/10.1007/s11159-019-09772-7" TargetMode="External"/><Relationship Id="rId23" Type="http://schemas.openxmlformats.org/officeDocument/2006/relationships/hyperlink" Target="https://www.bing.com/search?q=doi%3A10.5334%2Faogh.2672&amp;cvid=43af2af0798c42cca8a4e371b496c52e&amp;gs_lcrp=EgZjaHJvbWUyBggAEEUYOTIGCAEQRRg60gEHNjE5ajBqNKgCALACAA&amp;FORM=ANAB01&amp;PC=HCTS" TargetMode="External"/><Relationship Id="rId28" Type="http://schemas.openxmlformats.org/officeDocument/2006/relationships/hyperlink" Target="https://www.researchgate.net/publication/328639311_Global_health_promotion_efforts_for_achieving_the_UN_2030_agenda_for_Sustainable_Development" TargetMode="External"/><Relationship Id="rId36" Type="http://schemas.openxmlformats.org/officeDocument/2006/relationships/hyperlink" Target="https://pubmed.ncbi.nlm.nih.gov/21154828/" TargetMode="External"/><Relationship Id="rId10" Type="http://schemas.openxmlformats.org/officeDocument/2006/relationships/endnotes" Target="endnotes.xml"/><Relationship Id="rId19" Type="http://schemas.openxmlformats.org/officeDocument/2006/relationships/hyperlink" Target="https://www.jctres.com/media/downloads/jctres0920230523-00079/jctres.09.202305.23-00079.pdf" TargetMode="External"/><Relationship Id="rId31" Type="http://schemas.openxmlformats.org/officeDocument/2006/relationships/hyperlink" Target="https://www.science.org/doi/10.1126/science.abf6655" TargetMode="External"/><Relationship Id="rId44"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rmars.com/papers_submitted/7830/level-of-understanding-and-alternative-frameworks-in-genetics-fundamental-concepts-among-form-four-biology-students-in-sabah-malaysia.pdf" TargetMode="External"/><Relationship Id="rId22" Type="http://schemas.openxmlformats.org/officeDocument/2006/relationships/hyperlink" Target="https://www.sciencedirect.com/journal/progress-in-polymer-science" TargetMode="External"/><Relationship Id="rId27" Type="http://schemas.openxmlformats.org/officeDocument/2006/relationships/hyperlink" Target="https://www.tandfonline.com/doi/pdf/10.1080/17449642.2022.2054540" TargetMode="External"/><Relationship Id="rId30" Type="http://schemas.openxmlformats.org/officeDocument/2006/relationships/hyperlink" Target="https://www.tandfonline.com/doi/full/10.1080/2331186X.2016.1188469" TargetMode="External"/><Relationship Id="rId35" Type="http://schemas.openxmlformats.org/officeDocument/2006/relationships/hyperlink" Target="https://www.researchgate.net/publication/368403184_Role_of_Accountants_in_Achieving_the_Sustainable_Development_Goals_SDGS_Do_Accountants_Really_Matter_for_Sustainable_Development_Goals"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jogh.org/documents/issue202001/jogh-10-010316.pdf" TargetMode="External"/><Relationship Id="rId17" Type="http://schemas.openxmlformats.org/officeDocument/2006/relationships/hyperlink" Target="https://www.tandfonline.com/doi/full/10.1080/09669582.2019.1619748" TargetMode="External"/><Relationship Id="rId25" Type="http://schemas.openxmlformats.org/officeDocument/2006/relationships/hyperlink" Target="https://papers.ssrn.com/sol3/papers.cfm?abstract_id=3069427" TargetMode="External"/><Relationship Id="rId33" Type="http://schemas.openxmlformats.org/officeDocument/2006/relationships/hyperlink" Target="https://pubmed.ncbi.nlm.nih.gov/30262935/" TargetMode="External"/><Relationship Id="rId38" Type="http://schemas.openxmlformats.org/officeDocument/2006/relationships/hyperlink" Target="https://pubmed.ncbi.nlm.nih.gov/32723366/" TargetMode="External"/><Relationship Id="rId46" Type="http://schemas.openxmlformats.org/officeDocument/2006/relationships/theme" Target="theme/theme1.xml"/><Relationship Id="rId20" Type="http://schemas.openxmlformats.org/officeDocument/2006/relationships/hyperlink" Target="https://www.semanticscholar.org/paper/Monitoring-global-land-use-efficiency-in-the-of-the-Estoque-Ooba/4ec9e5044dcfce4d7e413988a4bf4f89de9aeec2" TargetMode="External"/><Relationship Id="rId41" Type="http://schemas.openxmlformats.org/officeDocument/2006/relationships/hyperlink" Target="https://www.researchgate.net/publication/364226323_The_Ways_HR_Professionals_are_Making_Their_Contributions_in_Achieving_Sustainable_Development_Goals_SD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10" ma:contentTypeDescription="Create a new document." ma:contentTypeScope="" ma:versionID="61dede5892e7e425770d6a95fd107fb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6d34079989dfd6ccd77773ed6ea12d60"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340dd18-0450-4afb-b5d1-97b484958e7b" xsi:nil="true"/>
  </documentManagement>
</p:properties>
</file>

<file path=customXml/itemProps1.xml><?xml version="1.0" encoding="utf-8"?>
<ds:datastoreItem xmlns:ds="http://schemas.openxmlformats.org/officeDocument/2006/customXml" ds:itemID="{079AA724-20B4-4EEB-A175-5B99BF23B437}">
  <ds:schemaRefs>
    <ds:schemaRef ds:uri="http://schemas.openxmlformats.org/officeDocument/2006/bibliography"/>
  </ds:schemaRefs>
</ds:datastoreItem>
</file>

<file path=customXml/itemProps2.xml><?xml version="1.0" encoding="utf-8"?>
<ds:datastoreItem xmlns:ds="http://schemas.openxmlformats.org/officeDocument/2006/customXml" ds:itemID="{07EE2FD1-1270-4AEB-AAC1-C67550AE97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6021F8-08E0-43F4-909C-1028254145F8}">
  <ds:schemaRefs>
    <ds:schemaRef ds:uri="http://schemas.microsoft.com/sharepoint/v3/contenttype/forms"/>
  </ds:schemaRefs>
</ds:datastoreItem>
</file>

<file path=customXml/itemProps4.xml><?xml version="1.0" encoding="utf-8"?>
<ds:datastoreItem xmlns:ds="http://schemas.openxmlformats.org/officeDocument/2006/customXml" ds:itemID="{30C85255-9086-4A10-87A4-C67550FE529B}">
  <ds:schemaRefs>
    <ds:schemaRef ds:uri="http://schemas.microsoft.com/office/2006/metadata/properties"/>
    <ds:schemaRef ds:uri="http://schemas.microsoft.com/office/infopath/2007/PartnerControls"/>
    <ds:schemaRef ds:uri="0340dd18-0450-4afb-b5d1-97b484958e7b"/>
  </ds:schemaRefs>
</ds:datastoreItem>
</file>

<file path=docProps/app.xml><?xml version="1.0" encoding="utf-8"?>
<Properties xmlns="http://schemas.openxmlformats.org/officeDocument/2006/extended-properties" xmlns:vt="http://schemas.openxmlformats.org/officeDocument/2006/docPropsVTypes">
  <Template>Normal</Template>
  <TotalTime>4407</TotalTime>
  <Pages>22</Pages>
  <Words>6974</Words>
  <Characters>39753</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Cristina Enache (2026057)</cp:lastModifiedBy>
  <cp:revision>22</cp:revision>
  <dcterms:created xsi:type="dcterms:W3CDTF">2023-11-27T19:10:00Z</dcterms:created>
  <dcterms:modified xsi:type="dcterms:W3CDTF">2023-11-30T20:32:00Z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