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A22047" w14:textId="77777777" w:rsidR="00781F99" w:rsidRPr="00781F99" w:rsidRDefault="00781F99" w:rsidP="00781F99">
      <w:pPr>
        <w:spacing w:after="0" w:line="360" w:lineRule="auto"/>
        <w:contextualSpacing/>
        <w:rPr>
          <w:rFonts w:ascii="Times New Roman" w:hAnsi="Times New Roman" w:cs="Times New Roman"/>
          <w:sz w:val="24"/>
          <w:szCs w:val="24"/>
        </w:rPr>
      </w:pPr>
    </w:p>
    <w:p w14:paraId="69BD3C33" w14:textId="77777777" w:rsidR="00781F99" w:rsidRPr="00781F99" w:rsidRDefault="00781F99" w:rsidP="00781F99">
      <w:pPr>
        <w:spacing w:after="0" w:line="360" w:lineRule="auto"/>
        <w:contextualSpacing/>
        <w:rPr>
          <w:rFonts w:ascii="Times New Roman" w:hAnsi="Times New Roman" w:cs="Times New Roman"/>
          <w:sz w:val="24"/>
          <w:szCs w:val="24"/>
        </w:rPr>
      </w:pPr>
    </w:p>
    <w:p w14:paraId="1BBB6CC3" w14:textId="77777777" w:rsidR="00781F99" w:rsidRPr="00781F99" w:rsidRDefault="00781F99" w:rsidP="00781F99">
      <w:pPr>
        <w:spacing w:after="0" w:line="360" w:lineRule="auto"/>
        <w:contextualSpacing/>
        <w:rPr>
          <w:rFonts w:ascii="Times New Roman" w:hAnsi="Times New Roman" w:cs="Times New Roman"/>
          <w:sz w:val="24"/>
          <w:szCs w:val="24"/>
        </w:rPr>
      </w:pPr>
    </w:p>
    <w:p w14:paraId="00482E77" w14:textId="77777777" w:rsidR="00781F99" w:rsidRPr="00781F99" w:rsidRDefault="00781F99" w:rsidP="00781F99">
      <w:pPr>
        <w:spacing w:after="0" w:line="360" w:lineRule="auto"/>
        <w:contextualSpacing/>
        <w:rPr>
          <w:rFonts w:ascii="Times New Roman" w:hAnsi="Times New Roman" w:cs="Times New Roman"/>
          <w:sz w:val="24"/>
          <w:szCs w:val="24"/>
        </w:rPr>
      </w:pPr>
    </w:p>
    <w:p w14:paraId="6C2B327E" w14:textId="77777777" w:rsidR="00781F99" w:rsidRPr="00781F99" w:rsidRDefault="00781F99" w:rsidP="00781F99">
      <w:pPr>
        <w:spacing w:after="0" w:line="360" w:lineRule="auto"/>
        <w:contextualSpacing/>
        <w:rPr>
          <w:rFonts w:ascii="Times New Roman" w:hAnsi="Times New Roman" w:cs="Times New Roman"/>
          <w:sz w:val="24"/>
          <w:szCs w:val="24"/>
        </w:rPr>
      </w:pPr>
    </w:p>
    <w:p w14:paraId="503CEC82" w14:textId="77777777" w:rsidR="00781F99" w:rsidRPr="00781F99" w:rsidRDefault="00781F99" w:rsidP="00781F99">
      <w:pPr>
        <w:spacing w:after="0" w:line="360" w:lineRule="auto"/>
        <w:contextualSpacing/>
        <w:rPr>
          <w:rFonts w:ascii="Times New Roman" w:hAnsi="Times New Roman" w:cs="Times New Roman"/>
          <w:sz w:val="24"/>
          <w:szCs w:val="24"/>
        </w:rPr>
      </w:pPr>
    </w:p>
    <w:p w14:paraId="4C4A0C45" w14:textId="77777777" w:rsidR="00781F99" w:rsidRPr="00781F99" w:rsidRDefault="00781F99" w:rsidP="00781F99">
      <w:pPr>
        <w:spacing w:after="0" w:line="360" w:lineRule="auto"/>
        <w:contextualSpacing/>
        <w:rPr>
          <w:rFonts w:ascii="Times New Roman" w:hAnsi="Times New Roman" w:cs="Times New Roman"/>
          <w:sz w:val="24"/>
          <w:szCs w:val="24"/>
        </w:rPr>
      </w:pPr>
    </w:p>
    <w:p w14:paraId="4FC59320" w14:textId="77777777" w:rsidR="00781F99" w:rsidRPr="00781F99" w:rsidRDefault="00781F99" w:rsidP="00781F99">
      <w:pPr>
        <w:spacing w:after="0" w:line="360" w:lineRule="auto"/>
        <w:contextualSpacing/>
        <w:rPr>
          <w:rFonts w:ascii="Times New Roman" w:hAnsi="Times New Roman" w:cs="Times New Roman"/>
          <w:sz w:val="24"/>
          <w:szCs w:val="24"/>
        </w:rPr>
      </w:pPr>
    </w:p>
    <w:p w14:paraId="69AA0738" w14:textId="77777777" w:rsidR="00781F99" w:rsidRPr="00781F99" w:rsidRDefault="00781F99" w:rsidP="00781F99">
      <w:pPr>
        <w:spacing w:after="0" w:line="360" w:lineRule="auto"/>
        <w:contextualSpacing/>
        <w:rPr>
          <w:rFonts w:ascii="Times New Roman" w:hAnsi="Times New Roman" w:cs="Times New Roman"/>
          <w:sz w:val="24"/>
          <w:szCs w:val="24"/>
        </w:rPr>
      </w:pPr>
    </w:p>
    <w:p w14:paraId="3AE3CBF5" w14:textId="278F0D5C" w:rsidR="00781F99" w:rsidRPr="00777FA4" w:rsidRDefault="00777FA4" w:rsidP="00781F99">
      <w:pPr>
        <w:spacing w:after="0" w:line="360" w:lineRule="auto"/>
        <w:contextualSpacing/>
        <w:rPr>
          <w:rFonts w:ascii="Times New Roman" w:hAnsi="Times New Roman" w:cs="Times New Roman"/>
          <w:b/>
          <w:bCs/>
          <w:sz w:val="24"/>
          <w:szCs w:val="24"/>
        </w:rPr>
      </w:pPr>
      <w:r w:rsidRPr="00777FA4">
        <w:rPr>
          <w:rFonts w:ascii="Times New Roman" w:hAnsi="Times New Roman" w:cs="Times New Roman"/>
          <w:b/>
          <w:bCs/>
          <w:sz w:val="24"/>
          <w:szCs w:val="24"/>
        </w:rPr>
        <w:t>BMLW4OO1</w:t>
      </w:r>
    </w:p>
    <w:p w14:paraId="50143CF6" w14:textId="77777777" w:rsidR="00781F99" w:rsidRPr="00781F99" w:rsidRDefault="00781F99" w:rsidP="00781F99">
      <w:pPr>
        <w:spacing w:after="0" w:line="360" w:lineRule="auto"/>
        <w:contextualSpacing/>
        <w:rPr>
          <w:rFonts w:ascii="Times New Roman" w:hAnsi="Times New Roman" w:cs="Times New Roman"/>
          <w:sz w:val="24"/>
          <w:szCs w:val="24"/>
        </w:rPr>
      </w:pPr>
    </w:p>
    <w:p w14:paraId="337383BB" w14:textId="77777777" w:rsidR="00781F99" w:rsidRPr="00781F99" w:rsidRDefault="00781F99" w:rsidP="00781F99">
      <w:pPr>
        <w:spacing w:after="0" w:line="360" w:lineRule="auto"/>
        <w:contextualSpacing/>
        <w:rPr>
          <w:rFonts w:ascii="Times New Roman" w:hAnsi="Times New Roman" w:cs="Times New Roman"/>
          <w:sz w:val="24"/>
          <w:szCs w:val="24"/>
        </w:rPr>
      </w:pPr>
    </w:p>
    <w:p w14:paraId="71917905" w14:textId="77777777" w:rsidR="00781F99" w:rsidRPr="00781F99" w:rsidRDefault="00781F99" w:rsidP="00781F99">
      <w:pPr>
        <w:spacing w:after="0" w:line="360" w:lineRule="auto"/>
        <w:contextualSpacing/>
        <w:rPr>
          <w:rFonts w:ascii="Times New Roman" w:hAnsi="Times New Roman" w:cs="Times New Roman"/>
          <w:sz w:val="24"/>
          <w:szCs w:val="24"/>
        </w:rPr>
      </w:pPr>
    </w:p>
    <w:p w14:paraId="74DC97B8" w14:textId="77777777" w:rsidR="00781F99" w:rsidRPr="00777FA4" w:rsidRDefault="00000000" w:rsidP="00781F99">
      <w:pPr>
        <w:spacing w:after="0" w:line="360" w:lineRule="auto"/>
        <w:contextualSpacing/>
        <w:jc w:val="center"/>
        <w:rPr>
          <w:rFonts w:ascii="Times New Roman" w:hAnsi="Times New Roman" w:cs="Times New Roman"/>
          <w:b/>
          <w:bCs/>
          <w:sz w:val="28"/>
          <w:szCs w:val="28"/>
        </w:rPr>
      </w:pPr>
      <w:r w:rsidRPr="00777FA4">
        <w:rPr>
          <w:rFonts w:ascii="Times New Roman" w:hAnsi="Times New Roman" w:cs="Times New Roman"/>
          <w:b/>
          <w:bCs/>
          <w:sz w:val="28"/>
          <w:szCs w:val="28"/>
        </w:rPr>
        <w:t>Assignment 2 – Equality and Diversity</w:t>
      </w:r>
    </w:p>
    <w:p w14:paraId="4DB5650E" w14:textId="172A0B34" w:rsidR="00781F99" w:rsidRPr="00777FA4" w:rsidRDefault="00000000" w:rsidP="00781F99">
      <w:pPr>
        <w:spacing w:after="0" w:line="360" w:lineRule="auto"/>
        <w:contextualSpacing/>
        <w:jc w:val="center"/>
        <w:rPr>
          <w:rFonts w:ascii="Times New Roman" w:hAnsi="Times New Roman" w:cs="Times New Roman"/>
          <w:b/>
          <w:bCs/>
          <w:sz w:val="24"/>
          <w:szCs w:val="24"/>
        </w:rPr>
      </w:pPr>
      <w:r w:rsidRPr="00777FA4">
        <w:rPr>
          <w:rFonts w:ascii="Times New Roman" w:hAnsi="Times New Roman" w:cs="Times New Roman"/>
          <w:b/>
          <w:bCs/>
          <w:sz w:val="24"/>
          <w:szCs w:val="24"/>
        </w:rPr>
        <w:t>Name</w:t>
      </w:r>
      <w:r w:rsidR="00777FA4" w:rsidRPr="00777FA4">
        <w:rPr>
          <w:rFonts w:ascii="Times New Roman" w:hAnsi="Times New Roman" w:cs="Times New Roman"/>
          <w:b/>
          <w:bCs/>
          <w:sz w:val="24"/>
          <w:szCs w:val="24"/>
        </w:rPr>
        <w:t>: NASSON MSONI</w:t>
      </w:r>
    </w:p>
    <w:p w14:paraId="42F2A3A0" w14:textId="11804BC0" w:rsidR="00781F99" w:rsidRPr="00777FA4" w:rsidRDefault="00000000" w:rsidP="00781F99">
      <w:pPr>
        <w:spacing w:after="0" w:line="360" w:lineRule="auto"/>
        <w:contextualSpacing/>
        <w:jc w:val="center"/>
        <w:rPr>
          <w:rFonts w:ascii="Times New Roman" w:hAnsi="Times New Roman" w:cs="Times New Roman"/>
          <w:b/>
          <w:bCs/>
          <w:sz w:val="24"/>
          <w:szCs w:val="24"/>
        </w:rPr>
      </w:pPr>
      <w:r w:rsidRPr="00777FA4">
        <w:rPr>
          <w:rFonts w:ascii="Times New Roman" w:hAnsi="Times New Roman" w:cs="Times New Roman"/>
          <w:b/>
          <w:bCs/>
          <w:sz w:val="24"/>
          <w:szCs w:val="24"/>
        </w:rPr>
        <w:t>Date</w:t>
      </w:r>
      <w:r w:rsidR="00777FA4" w:rsidRPr="00777FA4">
        <w:rPr>
          <w:rFonts w:ascii="Times New Roman" w:hAnsi="Times New Roman" w:cs="Times New Roman"/>
          <w:b/>
          <w:bCs/>
          <w:sz w:val="24"/>
          <w:szCs w:val="24"/>
        </w:rPr>
        <w:t xml:space="preserve"> 03/12/2023</w:t>
      </w:r>
    </w:p>
    <w:p w14:paraId="717C0D49" w14:textId="77777777" w:rsidR="00781F99" w:rsidRPr="00781F99" w:rsidRDefault="00000000" w:rsidP="00781F99">
      <w:pPr>
        <w:spacing w:after="0" w:line="360" w:lineRule="auto"/>
        <w:contextualSpacing/>
        <w:rPr>
          <w:rFonts w:ascii="Times New Roman" w:hAnsi="Times New Roman" w:cs="Times New Roman"/>
          <w:sz w:val="24"/>
          <w:szCs w:val="24"/>
        </w:rPr>
      </w:pPr>
      <w:r w:rsidRPr="00781F99">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06233511"/>
        <w:docPartObj>
          <w:docPartGallery w:val="Table of Contents"/>
          <w:docPartUnique/>
        </w:docPartObj>
      </w:sdtPr>
      <w:sdtEndPr>
        <w:rPr>
          <w:b/>
          <w:bCs/>
          <w:noProof/>
        </w:rPr>
      </w:sdtEndPr>
      <w:sdtContent>
        <w:p w14:paraId="3F169365" w14:textId="77777777" w:rsidR="00781F99" w:rsidRPr="00781F99" w:rsidRDefault="00000000" w:rsidP="00781F99">
          <w:pPr>
            <w:pStyle w:val="TOCHeading"/>
            <w:spacing w:before="0" w:line="360" w:lineRule="auto"/>
            <w:contextualSpacing/>
            <w:jc w:val="center"/>
            <w:rPr>
              <w:rFonts w:ascii="Times New Roman" w:hAnsi="Times New Roman" w:cs="Times New Roman"/>
              <w:color w:val="auto"/>
              <w:sz w:val="24"/>
              <w:szCs w:val="24"/>
            </w:rPr>
          </w:pPr>
          <w:r w:rsidRPr="00781F99">
            <w:rPr>
              <w:rFonts w:ascii="Times New Roman" w:hAnsi="Times New Roman" w:cs="Times New Roman"/>
              <w:color w:val="auto"/>
              <w:sz w:val="24"/>
              <w:szCs w:val="24"/>
            </w:rPr>
            <w:t>Table of Contents</w:t>
          </w:r>
        </w:p>
        <w:p w14:paraId="6021567E" w14:textId="77777777" w:rsidR="00781F99" w:rsidRPr="00781F99" w:rsidRDefault="00000000" w:rsidP="00781F99">
          <w:pPr>
            <w:pStyle w:val="TOC1"/>
            <w:tabs>
              <w:tab w:val="right" w:leader="dot" w:pos="9350"/>
            </w:tabs>
            <w:spacing w:after="0" w:line="360" w:lineRule="auto"/>
            <w:contextualSpacing/>
            <w:rPr>
              <w:rFonts w:ascii="Times New Roman" w:hAnsi="Times New Roman" w:cs="Times New Roman"/>
              <w:noProof/>
              <w:sz w:val="24"/>
              <w:szCs w:val="24"/>
            </w:rPr>
          </w:pPr>
          <w:r w:rsidRPr="00781F99">
            <w:rPr>
              <w:rFonts w:ascii="Times New Roman" w:hAnsi="Times New Roman" w:cs="Times New Roman"/>
              <w:b/>
              <w:bCs/>
              <w:noProof/>
              <w:sz w:val="24"/>
              <w:szCs w:val="24"/>
            </w:rPr>
            <w:fldChar w:fldCharType="begin"/>
          </w:r>
          <w:r w:rsidRPr="00781F99">
            <w:rPr>
              <w:rFonts w:ascii="Times New Roman" w:hAnsi="Times New Roman" w:cs="Times New Roman"/>
              <w:b/>
              <w:bCs/>
              <w:noProof/>
              <w:sz w:val="24"/>
              <w:szCs w:val="24"/>
            </w:rPr>
            <w:instrText xml:space="preserve"> TOC \o "1-3" \h \z \u </w:instrText>
          </w:r>
          <w:r w:rsidRPr="00781F99">
            <w:rPr>
              <w:rFonts w:ascii="Times New Roman" w:hAnsi="Times New Roman" w:cs="Times New Roman"/>
              <w:b/>
              <w:bCs/>
              <w:noProof/>
              <w:sz w:val="24"/>
              <w:szCs w:val="24"/>
            </w:rPr>
            <w:fldChar w:fldCharType="separate"/>
          </w:r>
          <w:hyperlink w:anchor="_Toc152356416" w:history="1">
            <w:r w:rsidRPr="00781F99">
              <w:rPr>
                <w:rStyle w:val="Hyperlink"/>
                <w:rFonts w:ascii="Times New Roman" w:hAnsi="Times New Roman" w:cs="Times New Roman"/>
                <w:noProof/>
                <w:color w:val="auto"/>
                <w:sz w:val="24"/>
                <w:szCs w:val="24"/>
              </w:rPr>
              <w:t>Introduction</w:t>
            </w:r>
            <w:r w:rsidRPr="00781F99">
              <w:rPr>
                <w:rFonts w:ascii="Times New Roman" w:hAnsi="Times New Roman" w:cs="Times New Roman"/>
                <w:noProof/>
                <w:webHidden/>
                <w:sz w:val="24"/>
                <w:szCs w:val="24"/>
              </w:rPr>
              <w:tab/>
            </w:r>
            <w:r w:rsidRPr="00781F99">
              <w:rPr>
                <w:rFonts w:ascii="Times New Roman" w:hAnsi="Times New Roman" w:cs="Times New Roman"/>
                <w:noProof/>
                <w:webHidden/>
                <w:sz w:val="24"/>
                <w:szCs w:val="24"/>
              </w:rPr>
              <w:fldChar w:fldCharType="begin"/>
            </w:r>
            <w:r w:rsidRPr="00781F99">
              <w:rPr>
                <w:rFonts w:ascii="Times New Roman" w:hAnsi="Times New Roman" w:cs="Times New Roman"/>
                <w:noProof/>
                <w:webHidden/>
                <w:sz w:val="24"/>
                <w:szCs w:val="24"/>
              </w:rPr>
              <w:instrText xml:space="preserve"> PAGEREF _Toc152356416 \h </w:instrText>
            </w:r>
            <w:r w:rsidRPr="00781F99">
              <w:rPr>
                <w:rFonts w:ascii="Times New Roman" w:hAnsi="Times New Roman" w:cs="Times New Roman"/>
                <w:noProof/>
                <w:webHidden/>
                <w:sz w:val="24"/>
                <w:szCs w:val="24"/>
              </w:rPr>
            </w:r>
            <w:r w:rsidRPr="00781F99">
              <w:rPr>
                <w:rFonts w:ascii="Times New Roman" w:hAnsi="Times New Roman" w:cs="Times New Roman"/>
                <w:noProof/>
                <w:webHidden/>
                <w:sz w:val="24"/>
                <w:szCs w:val="24"/>
              </w:rPr>
              <w:fldChar w:fldCharType="separate"/>
            </w:r>
            <w:r w:rsidRPr="00781F99">
              <w:rPr>
                <w:rFonts w:ascii="Times New Roman" w:hAnsi="Times New Roman" w:cs="Times New Roman"/>
                <w:noProof/>
                <w:webHidden/>
                <w:sz w:val="24"/>
                <w:szCs w:val="24"/>
              </w:rPr>
              <w:t>3</w:t>
            </w:r>
            <w:r w:rsidRPr="00781F99">
              <w:rPr>
                <w:rFonts w:ascii="Times New Roman" w:hAnsi="Times New Roman" w:cs="Times New Roman"/>
                <w:noProof/>
                <w:webHidden/>
                <w:sz w:val="24"/>
                <w:szCs w:val="24"/>
              </w:rPr>
              <w:fldChar w:fldCharType="end"/>
            </w:r>
          </w:hyperlink>
        </w:p>
        <w:p w14:paraId="7A000094" w14:textId="77777777" w:rsidR="00781F99" w:rsidRPr="00781F99" w:rsidRDefault="00000000" w:rsidP="00781F99">
          <w:pPr>
            <w:pStyle w:val="TOC1"/>
            <w:tabs>
              <w:tab w:val="right" w:leader="dot" w:pos="9350"/>
            </w:tabs>
            <w:spacing w:after="0" w:line="360" w:lineRule="auto"/>
            <w:contextualSpacing/>
            <w:rPr>
              <w:rFonts w:ascii="Times New Roman" w:hAnsi="Times New Roman" w:cs="Times New Roman"/>
              <w:noProof/>
              <w:sz w:val="24"/>
              <w:szCs w:val="24"/>
            </w:rPr>
          </w:pPr>
          <w:hyperlink w:anchor="_Toc152356417" w:history="1">
            <w:r w:rsidRPr="00781F99">
              <w:rPr>
                <w:rStyle w:val="Hyperlink"/>
                <w:rFonts w:ascii="Times New Roman" w:hAnsi="Times New Roman" w:cs="Times New Roman"/>
                <w:noProof/>
                <w:color w:val="auto"/>
                <w:sz w:val="24"/>
                <w:szCs w:val="24"/>
              </w:rPr>
              <w:t>Body</w:t>
            </w:r>
            <w:r w:rsidRPr="00781F99">
              <w:rPr>
                <w:rFonts w:ascii="Times New Roman" w:hAnsi="Times New Roman" w:cs="Times New Roman"/>
                <w:noProof/>
                <w:webHidden/>
                <w:sz w:val="24"/>
                <w:szCs w:val="24"/>
              </w:rPr>
              <w:tab/>
            </w:r>
            <w:r w:rsidRPr="00781F99">
              <w:rPr>
                <w:rFonts w:ascii="Times New Roman" w:hAnsi="Times New Roman" w:cs="Times New Roman"/>
                <w:noProof/>
                <w:webHidden/>
                <w:sz w:val="24"/>
                <w:szCs w:val="24"/>
              </w:rPr>
              <w:fldChar w:fldCharType="begin"/>
            </w:r>
            <w:r w:rsidRPr="00781F99">
              <w:rPr>
                <w:rFonts w:ascii="Times New Roman" w:hAnsi="Times New Roman" w:cs="Times New Roman"/>
                <w:noProof/>
                <w:webHidden/>
                <w:sz w:val="24"/>
                <w:szCs w:val="24"/>
              </w:rPr>
              <w:instrText xml:space="preserve"> PAGEREF _Toc152356417 \h </w:instrText>
            </w:r>
            <w:r w:rsidRPr="00781F99">
              <w:rPr>
                <w:rFonts w:ascii="Times New Roman" w:hAnsi="Times New Roman" w:cs="Times New Roman"/>
                <w:noProof/>
                <w:webHidden/>
                <w:sz w:val="24"/>
                <w:szCs w:val="24"/>
              </w:rPr>
            </w:r>
            <w:r w:rsidRPr="00781F99">
              <w:rPr>
                <w:rFonts w:ascii="Times New Roman" w:hAnsi="Times New Roman" w:cs="Times New Roman"/>
                <w:noProof/>
                <w:webHidden/>
                <w:sz w:val="24"/>
                <w:szCs w:val="24"/>
              </w:rPr>
              <w:fldChar w:fldCharType="separate"/>
            </w:r>
            <w:r w:rsidRPr="00781F99">
              <w:rPr>
                <w:rFonts w:ascii="Times New Roman" w:hAnsi="Times New Roman" w:cs="Times New Roman"/>
                <w:noProof/>
                <w:webHidden/>
                <w:sz w:val="24"/>
                <w:szCs w:val="24"/>
              </w:rPr>
              <w:t>3</w:t>
            </w:r>
            <w:r w:rsidRPr="00781F99">
              <w:rPr>
                <w:rFonts w:ascii="Times New Roman" w:hAnsi="Times New Roman" w:cs="Times New Roman"/>
                <w:noProof/>
                <w:webHidden/>
                <w:sz w:val="24"/>
                <w:szCs w:val="24"/>
              </w:rPr>
              <w:fldChar w:fldCharType="end"/>
            </w:r>
          </w:hyperlink>
        </w:p>
        <w:p w14:paraId="6D2321AD" w14:textId="77777777" w:rsidR="00781F99" w:rsidRPr="00781F99" w:rsidRDefault="00000000" w:rsidP="00781F99">
          <w:pPr>
            <w:pStyle w:val="TOC1"/>
            <w:tabs>
              <w:tab w:val="right" w:leader="dot" w:pos="9350"/>
            </w:tabs>
            <w:spacing w:after="0" w:line="360" w:lineRule="auto"/>
            <w:contextualSpacing/>
            <w:rPr>
              <w:rFonts w:ascii="Times New Roman" w:hAnsi="Times New Roman" w:cs="Times New Roman"/>
              <w:noProof/>
              <w:sz w:val="24"/>
              <w:szCs w:val="24"/>
            </w:rPr>
          </w:pPr>
          <w:hyperlink w:anchor="_Toc152356418" w:history="1">
            <w:r w:rsidRPr="00781F99">
              <w:rPr>
                <w:rStyle w:val="Hyperlink"/>
                <w:rFonts w:ascii="Times New Roman" w:hAnsi="Times New Roman" w:cs="Times New Roman"/>
                <w:noProof/>
                <w:color w:val="auto"/>
                <w:sz w:val="24"/>
                <w:szCs w:val="24"/>
              </w:rPr>
              <w:t>Conclusion</w:t>
            </w:r>
            <w:r w:rsidRPr="00781F99">
              <w:rPr>
                <w:rFonts w:ascii="Times New Roman" w:hAnsi="Times New Roman" w:cs="Times New Roman"/>
                <w:noProof/>
                <w:webHidden/>
                <w:sz w:val="24"/>
                <w:szCs w:val="24"/>
              </w:rPr>
              <w:tab/>
            </w:r>
            <w:r w:rsidRPr="00781F99">
              <w:rPr>
                <w:rFonts w:ascii="Times New Roman" w:hAnsi="Times New Roman" w:cs="Times New Roman"/>
                <w:noProof/>
                <w:webHidden/>
                <w:sz w:val="24"/>
                <w:szCs w:val="24"/>
              </w:rPr>
              <w:fldChar w:fldCharType="begin"/>
            </w:r>
            <w:r w:rsidRPr="00781F99">
              <w:rPr>
                <w:rFonts w:ascii="Times New Roman" w:hAnsi="Times New Roman" w:cs="Times New Roman"/>
                <w:noProof/>
                <w:webHidden/>
                <w:sz w:val="24"/>
                <w:szCs w:val="24"/>
              </w:rPr>
              <w:instrText xml:space="preserve"> PAGEREF _Toc152356418 \h </w:instrText>
            </w:r>
            <w:r w:rsidRPr="00781F99">
              <w:rPr>
                <w:rFonts w:ascii="Times New Roman" w:hAnsi="Times New Roman" w:cs="Times New Roman"/>
                <w:noProof/>
                <w:webHidden/>
                <w:sz w:val="24"/>
                <w:szCs w:val="24"/>
              </w:rPr>
            </w:r>
            <w:r w:rsidRPr="00781F99">
              <w:rPr>
                <w:rFonts w:ascii="Times New Roman" w:hAnsi="Times New Roman" w:cs="Times New Roman"/>
                <w:noProof/>
                <w:webHidden/>
                <w:sz w:val="24"/>
                <w:szCs w:val="24"/>
              </w:rPr>
              <w:fldChar w:fldCharType="separate"/>
            </w:r>
            <w:r w:rsidRPr="00781F99">
              <w:rPr>
                <w:rFonts w:ascii="Times New Roman" w:hAnsi="Times New Roman" w:cs="Times New Roman"/>
                <w:noProof/>
                <w:webHidden/>
                <w:sz w:val="24"/>
                <w:szCs w:val="24"/>
              </w:rPr>
              <w:t>7</w:t>
            </w:r>
            <w:r w:rsidRPr="00781F99">
              <w:rPr>
                <w:rFonts w:ascii="Times New Roman" w:hAnsi="Times New Roman" w:cs="Times New Roman"/>
                <w:noProof/>
                <w:webHidden/>
                <w:sz w:val="24"/>
                <w:szCs w:val="24"/>
              </w:rPr>
              <w:fldChar w:fldCharType="end"/>
            </w:r>
          </w:hyperlink>
        </w:p>
        <w:p w14:paraId="77CFEA0C" w14:textId="77777777" w:rsidR="00781F99" w:rsidRPr="00781F99" w:rsidRDefault="00000000" w:rsidP="00781F99">
          <w:pPr>
            <w:pStyle w:val="TOC1"/>
            <w:tabs>
              <w:tab w:val="right" w:leader="dot" w:pos="9350"/>
            </w:tabs>
            <w:spacing w:after="0" w:line="360" w:lineRule="auto"/>
            <w:contextualSpacing/>
            <w:rPr>
              <w:rFonts w:ascii="Times New Roman" w:hAnsi="Times New Roman" w:cs="Times New Roman"/>
              <w:noProof/>
              <w:sz w:val="24"/>
              <w:szCs w:val="24"/>
            </w:rPr>
          </w:pPr>
          <w:hyperlink w:anchor="_Toc152356419" w:history="1">
            <w:r w:rsidRPr="00781F99">
              <w:rPr>
                <w:rStyle w:val="Hyperlink"/>
                <w:rFonts w:ascii="Times New Roman" w:hAnsi="Times New Roman" w:cs="Times New Roman"/>
                <w:noProof/>
                <w:color w:val="auto"/>
                <w:sz w:val="24"/>
                <w:szCs w:val="24"/>
              </w:rPr>
              <w:t>References</w:t>
            </w:r>
            <w:r w:rsidRPr="00781F99">
              <w:rPr>
                <w:rFonts w:ascii="Times New Roman" w:hAnsi="Times New Roman" w:cs="Times New Roman"/>
                <w:noProof/>
                <w:webHidden/>
                <w:sz w:val="24"/>
                <w:szCs w:val="24"/>
              </w:rPr>
              <w:tab/>
            </w:r>
            <w:r w:rsidRPr="00781F99">
              <w:rPr>
                <w:rFonts w:ascii="Times New Roman" w:hAnsi="Times New Roman" w:cs="Times New Roman"/>
                <w:noProof/>
                <w:webHidden/>
                <w:sz w:val="24"/>
                <w:szCs w:val="24"/>
              </w:rPr>
              <w:fldChar w:fldCharType="begin"/>
            </w:r>
            <w:r w:rsidRPr="00781F99">
              <w:rPr>
                <w:rFonts w:ascii="Times New Roman" w:hAnsi="Times New Roman" w:cs="Times New Roman"/>
                <w:noProof/>
                <w:webHidden/>
                <w:sz w:val="24"/>
                <w:szCs w:val="24"/>
              </w:rPr>
              <w:instrText xml:space="preserve"> PAGEREF _Toc152356419 \h </w:instrText>
            </w:r>
            <w:r w:rsidRPr="00781F99">
              <w:rPr>
                <w:rFonts w:ascii="Times New Roman" w:hAnsi="Times New Roman" w:cs="Times New Roman"/>
                <w:noProof/>
                <w:webHidden/>
                <w:sz w:val="24"/>
                <w:szCs w:val="24"/>
              </w:rPr>
            </w:r>
            <w:r w:rsidRPr="00781F99">
              <w:rPr>
                <w:rFonts w:ascii="Times New Roman" w:hAnsi="Times New Roman" w:cs="Times New Roman"/>
                <w:noProof/>
                <w:webHidden/>
                <w:sz w:val="24"/>
                <w:szCs w:val="24"/>
              </w:rPr>
              <w:fldChar w:fldCharType="separate"/>
            </w:r>
            <w:r w:rsidRPr="00781F99">
              <w:rPr>
                <w:rFonts w:ascii="Times New Roman" w:hAnsi="Times New Roman" w:cs="Times New Roman"/>
                <w:noProof/>
                <w:webHidden/>
                <w:sz w:val="24"/>
                <w:szCs w:val="24"/>
              </w:rPr>
              <w:t>8</w:t>
            </w:r>
            <w:r w:rsidRPr="00781F99">
              <w:rPr>
                <w:rFonts w:ascii="Times New Roman" w:hAnsi="Times New Roman" w:cs="Times New Roman"/>
                <w:noProof/>
                <w:webHidden/>
                <w:sz w:val="24"/>
                <w:szCs w:val="24"/>
              </w:rPr>
              <w:fldChar w:fldCharType="end"/>
            </w:r>
          </w:hyperlink>
        </w:p>
        <w:p w14:paraId="7E52C677" w14:textId="77777777" w:rsidR="00781F99" w:rsidRPr="00781F99" w:rsidRDefault="00000000" w:rsidP="00781F99">
          <w:pPr>
            <w:spacing w:after="0" w:line="360" w:lineRule="auto"/>
            <w:contextualSpacing/>
            <w:rPr>
              <w:rFonts w:ascii="Times New Roman" w:hAnsi="Times New Roman" w:cs="Times New Roman"/>
              <w:sz w:val="24"/>
              <w:szCs w:val="24"/>
            </w:rPr>
          </w:pPr>
          <w:r w:rsidRPr="00781F99">
            <w:rPr>
              <w:rFonts w:ascii="Times New Roman" w:hAnsi="Times New Roman" w:cs="Times New Roman"/>
              <w:b/>
              <w:bCs/>
              <w:noProof/>
              <w:sz w:val="24"/>
              <w:szCs w:val="24"/>
            </w:rPr>
            <w:fldChar w:fldCharType="end"/>
          </w:r>
        </w:p>
      </w:sdtContent>
    </w:sdt>
    <w:p w14:paraId="4894CA07" w14:textId="77777777" w:rsidR="00360E7B" w:rsidRPr="00781F99" w:rsidRDefault="00000000" w:rsidP="00781F99">
      <w:pPr>
        <w:spacing w:after="0" w:line="360" w:lineRule="auto"/>
        <w:contextualSpacing/>
        <w:jc w:val="center"/>
        <w:rPr>
          <w:rFonts w:ascii="Times New Roman" w:hAnsi="Times New Roman" w:cs="Times New Roman"/>
          <w:sz w:val="24"/>
          <w:szCs w:val="24"/>
        </w:rPr>
      </w:pPr>
      <w:r w:rsidRPr="00781F99">
        <w:rPr>
          <w:rFonts w:ascii="Times New Roman" w:hAnsi="Times New Roman" w:cs="Times New Roman"/>
          <w:sz w:val="24"/>
          <w:szCs w:val="24"/>
        </w:rPr>
        <w:br w:type="page"/>
      </w:r>
    </w:p>
    <w:p w14:paraId="0F173FB2" w14:textId="77777777" w:rsidR="000A4CC6" w:rsidRPr="00781F99" w:rsidRDefault="00000000" w:rsidP="00781F99">
      <w:pPr>
        <w:pStyle w:val="Heading1"/>
        <w:jc w:val="both"/>
        <w:rPr>
          <w:rFonts w:cs="Times New Roman"/>
          <w:szCs w:val="24"/>
        </w:rPr>
      </w:pPr>
      <w:bookmarkStart w:id="0" w:name="_Toc152356416"/>
      <w:r w:rsidRPr="00781F99">
        <w:rPr>
          <w:rFonts w:cs="Times New Roman"/>
          <w:szCs w:val="24"/>
        </w:rPr>
        <w:lastRenderedPageBreak/>
        <w:t>Introduction</w:t>
      </w:r>
      <w:bookmarkEnd w:id="0"/>
    </w:p>
    <w:p w14:paraId="09F33847" w14:textId="77777777" w:rsidR="000A4CC6" w:rsidRPr="00781F99" w:rsidRDefault="00000000" w:rsidP="00781F99">
      <w:pPr>
        <w:spacing w:after="0" w:line="360" w:lineRule="auto"/>
        <w:ind w:firstLine="720"/>
        <w:contextualSpacing/>
        <w:jc w:val="both"/>
        <w:rPr>
          <w:rFonts w:ascii="Times New Roman" w:hAnsi="Times New Roman" w:cs="Times New Roman"/>
          <w:sz w:val="24"/>
          <w:szCs w:val="24"/>
        </w:rPr>
      </w:pPr>
      <w:r w:rsidRPr="00781F99">
        <w:rPr>
          <w:rFonts w:ascii="Times New Roman" w:hAnsi="Times New Roman" w:cs="Times New Roman"/>
          <w:sz w:val="24"/>
          <w:szCs w:val="24"/>
        </w:rPr>
        <w:t>Promoting equality is a fundamental principle endorsed by regulatory bodies and laws in various legal fields. The commitment to fostering diversity in this domain is exemplified by the stringent laws and statutes that are enforced</w:t>
      </w:r>
      <w:r w:rsidR="00B16048">
        <w:rPr>
          <w:rFonts w:ascii="Times New Roman" w:hAnsi="Times New Roman" w:cs="Times New Roman"/>
          <w:sz w:val="24"/>
          <w:szCs w:val="24"/>
        </w:rPr>
        <w:t xml:space="preserve"> </w:t>
      </w:r>
      <w:r w:rsidR="00B16048" w:rsidRPr="00781F99">
        <w:rPr>
          <w:rFonts w:ascii="Times New Roman" w:hAnsi="Times New Roman" w:cs="Times New Roman"/>
          <w:sz w:val="24"/>
          <w:szCs w:val="24"/>
        </w:rPr>
        <w:t>(Webley, 2014)</w:t>
      </w:r>
      <w:r w:rsidRPr="00781F99">
        <w:rPr>
          <w:rFonts w:ascii="Times New Roman" w:hAnsi="Times New Roman" w:cs="Times New Roman"/>
          <w:sz w:val="24"/>
          <w:szCs w:val="24"/>
        </w:rPr>
        <w:t>. These methods aim to eradicate prejudice, emphasising the need for equitable treatment of individuals and clients within the legal profession. Regulatory authorities emphasise eliminating prejudice and ensuring fairness in the legal sector by developing norms and rules of conduct</w:t>
      </w:r>
      <w:r w:rsidR="00B16048">
        <w:rPr>
          <w:rFonts w:ascii="Times New Roman" w:hAnsi="Times New Roman" w:cs="Times New Roman"/>
          <w:sz w:val="24"/>
          <w:szCs w:val="24"/>
        </w:rPr>
        <w:t xml:space="preserve"> </w:t>
      </w:r>
      <w:r w:rsidR="00B16048" w:rsidRPr="00781F99">
        <w:rPr>
          <w:rFonts w:ascii="Times New Roman" w:hAnsi="Times New Roman" w:cs="Times New Roman"/>
          <w:sz w:val="24"/>
          <w:szCs w:val="24"/>
        </w:rPr>
        <w:t>(Mason, 2020)</w:t>
      </w:r>
      <w:r w:rsidRPr="00781F99">
        <w:rPr>
          <w:rFonts w:ascii="Times New Roman" w:hAnsi="Times New Roman" w:cs="Times New Roman"/>
          <w:sz w:val="24"/>
          <w:szCs w:val="24"/>
        </w:rPr>
        <w:t>. The interdependence of regulatory mandates and legislative frameworks benefits legal practitioners and individuals seeking their services, ensuring the provision of justice. Understanding these processes clarifies the strategies that regulatory agencies and legislative frameworks employ to enhance equality and diversity, fortifying the basis of the legal profession and the delivery of legal services.</w:t>
      </w:r>
    </w:p>
    <w:p w14:paraId="52C2C080" w14:textId="77777777" w:rsidR="000A4CC6" w:rsidRPr="00781F99" w:rsidRDefault="00000000" w:rsidP="00781F99">
      <w:pPr>
        <w:pStyle w:val="Heading1"/>
        <w:jc w:val="both"/>
        <w:rPr>
          <w:rFonts w:cs="Times New Roman"/>
          <w:szCs w:val="24"/>
        </w:rPr>
      </w:pPr>
      <w:bookmarkStart w:id="1" w:name="_Toc152356417"/>
      <w:r w:rsidRPr="00781F99">
        <w:rPr>
          <w:rFonts w:cs="Times New Roman"/>
          <w:szCs w:val="24"/>
        </w:rPr>
        <w:t>Body</w:t>
      </w:r>
      <w:bookmarkEnd w:id="1"/>
    </w:p>
    <w:p w14:paraId="145FDDFF" w14:textId="77777777" w:rsidR="000A4CC6" w:rsidRPr="00781F99" w:rsidRDefault="00000000" w:rsidP="00781F99">
      <w:pPr>
        <w:spacing w:after="0" w:line="360" w:lineRule="auto"/>
        <w:ind w:firstLine="720"/>
        <w:contextualSpacing/>
        <w:jc w:val="both"/>
        <w:rPr>
          <w:rFonts w:ascii="Times New Roman" w:hAnsi="Times New Roman" w:cs="Times New Roman"/>
          <w:sz w:val="24"/>
          <w:szCs w:val="24"/>
        </w:rPr>
      </w:pPr>
      <w:r w:rsidRPr="00781F99">
        <w:rPr>
          <w:rFonts w:ascii="Times New Roman" w:hAnsi="Times New Roman" w:cs="Times New Roman"/>
          <w:sz w:val="24"/>
          <w:szCs w:val="24"/>
        </w:rPr>
        <w:t>Aiming to establish a more accessible and inclusive environment, the Legal Services</w:t>
      </w:r>
      <w:r w:rsidR="00465FB9" w:rsidRPr="00781F99">
        <w:rPr>
          <w:rFonts w:ascii="Times New Roman" w:hAnsi="Times New Roman" w:cs="Times New Roman"/>
          <w:sz w:val="24"/>
          <w:szCs w:val="24"/>
        </w:rPr>
        <w:t xml:space="preserve"> Act </w:t>
      </w:r>
      <w:r w:rsidR="00E42011" w:rsidRPr="00781F99">
        <w:rPr>
          <w:rFonts w:ascii="Times New Roman" w:hAnsi="Times New Roman" w:cs="Times New Roman"/>
          <w:sz w:val="24"/>
          <w:szCs w:val="24"/>
        </w:rPr>
        <w:t>(</w:t>
      </w:r>
      <w:r w:rsidRPr="00781F99">
        <w:rPr>
          <w:rFonts w:ascii="Times New Roman" w:hAnsi="Times New Roman" w:cs="Times New Roman"/>
          <w:sz w:val="24"/>
          <w:szCs w:val="24"/>
        </w:rPr>
        <w:t>2007</w:t>
      </w:r>
      <w:r w:rsidR="00E42011" w:rsidRPr="00781F99">
        <w:rPr>
          <w:rFonts w:ascii="Times New Roman" w:hAnsi="Times New Roman" w:cs="Times New Roman"/>
          <w:sz w:val="24"/>
          <w:szCs w:val="24"/>
        </w:rPr>
        <w:t>)</w:t>
      </w:r>
      <w:r w:rsidRPr="00781F99">
        <w:rPr>
          <w:rFonts w:ascii="Times New Roman" w:hAnsi="Times New Roman" w:cs="Times New Roman"/>
          <w:sz w:val="24"/>
          <w:szCs w:val="24"/>
        </w:rPr>
        <w:t xml:space="preserve"> represented a substantial change in the approach to the legal sector. It broke with the conventional wisdom of the legal profession by emphasising diversity and inclusion</w:t>
      </w:r>
      <w:r w:rsidR="00653F22" w:rsidRPr="00781F99">
        <w:rPr>
          <w:rFonts w:ascii="Times New Roman" w:hAnsi="Times New Roman" w:cs="Times New Roman"/>
          <w:sz w:val="24"/>
          <w:szCs w:val="24"/>
        </w:rPr>
        <w:t xml:space="preserve"> (Legislation.gov.uk. 2020)</w:t>
      </w:r>
      <w:r w:rsidRPr="00781F99">
        <w:rPr>
          <w:rFonts w:ascii="Times New Roman" w:hAnsi="Times New Roman" w:cs="Times New Roman"/>
          <w:sz w:val="24"/>
          <w:szCs w:val="24"/>
        </w:rPr>
        <w:t xml:space="preserve">. The significance of ensuring that people from all walks of life and income levels have equal access to legal services was acknowledged by this legislation. Assuring diverse representation in the legal profession was a primary goal of the Act. It recognised that to meet clients' unique demands, a team of solicitors must provide legal services with various backgrounds and skills. The </w:t>
      </w:r>
      <w:r w:rsidR="00465FB9" w:rsidRPr="00781F99">
        <w:rPr>
          <w:rFonts w:ascii="Times New Roman" w:hAnsi="Times New Roman" w:cs="Times New Roman"/>
          <w:sz w:val="24"/>
          <w:szCs w:val="24"/>
        </w:rPr>
        <w:t>Legal Services Act (2007)</w:t>
      </w:r>
      <w:r w:rsidRPr="00781F99">
        <w:rPr>
          <w:rFonts w:ascii="Times New Roman" w:hAnsi="Times New Roman" w:cs="Times New Roman"/>
          <w:sz w:val="24"/>
          <w:szCs w:val="24"/>
        </w:rPr>
        <w:t xml:space="preserve"> established the groundwork for a more diverse and inclusive legal community by advocating for an atmosphere that values and promotes the participation, contribution, and excellence of legal professionals from all backgrounds</w:t>
      </w:r>
      <w:r w:rsidR="00653F22" w:rsidRPr="00781F99">
        <w:rPr>
          <w:rFonts w:ascii="Times New Roman" w:hAnsi="Times New Roman" w:cs="Times New Roman"/>
          <w:sz w:val="24"/>
          <w:szCs w:val="24"/>
        </w:rPr>
        <w:t xml:space="preserve"> </w:t>
      </w:r>
      <w:r w:rsidR="005E11BB" w:rsidRPr="00781F99">
        <w:rPr>
          <w:rFonts w:ascii="Times New Roman" w:hAnsi="Times New Roman" w:cs="Times New Roman"/>
          <w:sz w:val="24"/>
          <w:szCs w:val="24"/>
        </w:rPr>
        <w:t xml:space="preserve">(Legislation.gov.uk. </w:t>
      </w:r>
      <w:r w:rsidR="00653F22" w:rsidRPr="00781F99">
        <w:rPr>
          <w:rFonts w:ascii="Times New Roman" w:hAnsi="Times New Roman" w:cs="Times New Roman"/>
          <w:sz w:val="24"/>
          <w:szCs w:val="24"/>
        </w:rPr>
        <w:t>2020)</w:t>
      </w:r>
      <w:r w:rsidRPr="00781F99">
        <w:rPr>
          <w:rFonts w:ascii="Times New Roman" w:hAnsi="Times New Roman" w:cs="Times New Roman"/>
          <w:sz w:val="24"/>
          <w:szCs w:val="24"/>
        </w:rPr>
        <w:t>. Accessibility was also a primary focus of the Act. Its goal was to remove obstacles that prevented many people from seeking or receiving legal aid. Efforts were made to expand access to legal services for all members of society, ensuring everyone could afford and comprehend the legal representation they needed</w:t>
      </w:r>
      <w:r w:rsidR="005E11BB" w:rsidRPr="00781F99">
        <w:rPr>
          <w:rFonts w:ascii="Times New Roman" w:hAnsi="Times New Roman" w:cs="Times New Roman"/>
          <w:sz w:val="24"/>
          <w:szCs w:val="24"/>
        </w:rPr>
        <w:t xml:space="preserve"> (Legislation.gov.uk. 2020)</w:t>
      </w:r>
      <w:r w:rsidRPr="00781F99">
        <w:rPr>
          <w:rFonts w:ascii="Times New Roman" w:hAnsi="Times New Roman" w:cs="Times New Roman"/>
          <w:sz w:val="24"/>
          <w:szCs w:val="24"/>
        </w:rPr>
        <w:t>.</w:t>
      </w:r>
    </w:p>
    <w:p w14:paraId="3CD43DE7" w14:textId="77777777" w:rsidR="000A4CC6" w:rsidRPr="00781F99" w:rsidRDefault="00000000" w:rsidP="00781F99">
      <w:pPr>
        <w:spacing w:after="0" w:line="360" w:lineRule="auto"/>
        <w:ind w:firstLine="720"/>
        <w:contextualSpacing/>
        <w:jc w:val="both"/>
        <w:rPr>
          <w:rFonts w:ascii="Times New Roman" w:hAnsi="Times New Roman" w:cs="Times New Roman"/>
          <w:sz w:val="24"/>
          <w:szCs w:val="24"/>
        </w:rPr>
      </w:pPr>
      <w:r w:rsidRPr="00781F99">
        <w:rPr>
          <w:rFonts w:ascii="Times New Roman" w:hAnsi="Times New Roman" w:cs="Times New Roman"/>
          <w:sz w:val="24"/>
          <w:szCs w:val="24"/>
        </w:rPr>
        <w:t>An extensive and far-reaching law, the Equality Act</w:t>
      </w:r>
      <w:r w:rsidR="00E42011" w:rsidRPr="00781F99">
        <w:rPr>
          <w:rFonts w:ascii="Times New Roman" w:hAnsi="Times New Roman" w:cs="Times New Roman"/>
          <w:sz w:val="24"/>
          <w:szCs w:val="24"/>
        </w:rPr>
        <w:t xml:space="preserve"> (</w:t>
      </w:r>
      <w:r w:rsidRPr="00781F99">
        <w:rPr>
          <w:rFonts w:ascii="Times New Roman" w:hAnsi="Times New Roman" w:cs="Times New Roman"/>
          <w:sz w:val="24"/>
          <w:szCs w:val="24"/>
        </w:rPr>
        <w:t>2010</w:t>
      </w:r>
      <w:r w:rsidR="00E42011" w:rsidRPr="00781F99">
        <w:rPr>
          <w:rFonts w:ascii="Times New Roman" w:hAnsi="Times New Roman" w:cs="Times New Roman"/>
          <w:sz w:val="24"/>
          <w:szCs w:val="24"/>
        </w:rPr>
        <w:t>)</w:t>
      </w:r>
      <w:r w:rsidRPr="00781F99">
        <w:rPr>
          <w:rFonts w:ascii="Times New Roman" w:hAnsi="Times New Roman" w:cs="Times New Roman"/>
          <w:sz w:val="24"/>
          <w:szCs w:val="24"/>
        </w:rPr>
        <w:t xml:space="preserve"> seeks to eradicate prejudice and promote equality in various fields, including the legal profession</w:t>
      </w:r>
      <w:r w:rsidR="000D4395" w:rsidRPr="00781F99">
        <w:rPr>
          <w:rFonts w:ascii="Times New Roman" w:hAnsi="Times New Roman" w:cs="Times New Roman"/>
          <w:sz w:val="24"/>
          <w:szCs w:val="24"/>
        </w:rPr>
        <w:t xml:space="preserve"> (Legislation.gov.uk. 2010)</w:t>
      </w:r>
      <w:r w:rsidRPr="00781F99">
        <w:rPr>
          <w:rFonts w:ascii="Times New Roman" w:hAnsi="Times New Roman" w:cs="Times New Roman"/>
          <w:sz w:val="24"/>
          <w:szCs w:val="24"/>
        </w:rPr>
        <w:t xml:space="preserve">. The fundamental goal of this law is to prevent discrimination so that all people, regardless of who they are or where they come from, can be treated fairly and equally. Age, handicap, gender reassignment, marital status, maternity, race, religion or belief, sex, and sexual orientation are the </w:t>
      </w:r>
      <w:r w:rsidRPr="00781F99">
        <w:rPr>
          <w:rFonts w:ascii="Times New Roman" w:hAnsi="Times New Roman" w:cs="Times New Roman"/>
          <w:sz w:val="24"/>
          <w:szCs w:val="24"/>
        </w:rPr>
        <w:lastRenderedPageBreak/>
        <w:t>nine protected characteristics that the Act forbids in the context of legal services</w:t>
      </w:r>
      <w:r w:rsidR="00616B81" w:rsidRPr="00781F99">
        <w:rPr>
          <w:rFonts w:ascii="Times New Roman" w:hAnsi="Times New Roman" w:cs="Times New Roman"/>
          <w:sz w:val="24"/>
          <w:szCs w:val="24"/>
        </w:rPr>
        <w:t xml:space="preserve"> (Legislation.gov.uk. 2010)</w:t>
      </w:r>
      <w:r w:rsidRPr="00781F99">
        <w:rPr>
          <w:rFonts w:ascii="Times New Roman" w:hAnsi="Times New Roman" w:cs="Times New Roman"/>
          <w:sz w:val="24"/>
          <w:szCs w:val="24"/>
        </w:rPr>
        <w:t>. The Act establishes a robust legal framework that protects individuals from discrimination in the legal field by clearly defining these protected qualities</w:t>
      </w:r>
      <w:r w:rsidR="00FD66A3" w:rsidRPr="00781F99">
        <w:rPr>
          <w:rFonts w:ascii="Times New Roman" w:hAnsi="Times New Roman" w:cs="Times New Roman"/>
          <w:sz w:val="24"/>
          <w:szCs w:val="24"/>
        </w:rPr>
        <w:t xml:space="preserve"> (Mason, 2020)</w:t>
      </w:r>
      <w:r w:rsidRPr="00781F99">
        <w:rPr>
          <w:rFonts w:ascii="Times New Roman" w:hAnsi="Times New Roman" w:cs="Times New Roman"/>
          <w:sz w:val="24"/>
          <w:szCs w:val="24"/>
        </w:rPr>
        <w:t>.</w:t>
      </w:r>
    </w:p>
    <w:p w14:paraId="35579E96" w14:textId="77777777" w:rsidR="000A4CC6" w:rsidRPr="00781F99" w:rsidRDefault="00000000" w:rsidP="00781F99">
      <w:pPr>
        <w:spacing w:after="0" w:line="360" w:lineRule="auto"/>
        <w:ind w:firstLine="720"/>
        <w:contextualSpacing/>
        <w:jc w:val="both"/>
        <w:rPr>
          <w:rFonts w:ascii="Times New Roman" w:hAnsi="Times New Roman" w:cs="Times New Roman"/>
          <w:sz w:val="24"/>
          <w:szCs w:val="24"/>
        </w:rPr>
      </w:pPr>
      <w:r w:rsidRPr="00781F99">
        <w:rPr>
          <w:rFonts w:ascii="Times New Roman" w:hAnsi="Times New Roman" w:cs="Times New Roman"/>
          <w:sz w:val="24"/>
          <w:szCs w:val="24"/>
        </w:rPr>
        <w:t xml:space="preserve"> The Public Sector Equality Duty (PSED) was established as one of the significant contributions of the Act. As part of this responsibility, government agencies and other legally recognised organisations must consider the effects of their policies and actions on individuals regarding equality</w:t>
      </w:r>
      <w:r w:rsidR="00C07593" w:rsidRPr="00781F99">
        <w:rPr>
          <w:rFonts w:ascii="Times New Roman" w:hAnsi="Times New Roman" w:cs="Times New Roman"/>
          <w:sz w:val="24"/>
          <w:szCs w:val="24"/>
        </w:rPr>
        <w:t xml:space="preserve"> (GOV.UK. 2013)</w:t>
      </w:r>
      <w:r w:rsidRPr="00781F99">
        <w:rPr>
          <w:rFonts w:ascii="Times New Roman" w:hAnsi="Times New Roman" w:cs="Times New Roman"/>
          <w:sz w:val="24"/>
          <w:szCs w:val="24"/>
        </w:rPr>
        <w:t xml:space="preserve">. The bill calls on these organisations to do more to end prejudice, promote equality, and help people with different protected characteristics get along. Lawyers must also maintain these standards in their work, as stated in the Act. Legal practitioners must consider and maintain the values of equality and justice when providing legal services to clients since they shape their behaviour and </w:t>
      </w:r>
      <w:r w:rsidR="00C07593" w:rsidRPr="00781F99">
        <w:rPr>
          <w:rFonts w:ascii="Times New Roman" w:hAnsi="Times New Roman" w:cs="Times New Roman"/>
          <w:sz w:val="24"/>
          <w:szCs w:val="24"/>
        </w:rPr>
        <w:t>practices ‌(GOV.UK. 2013)</w:t>
      </w:r>
      <w:r w:rsidRPr="00781F99">
        <w:rPr>
          <w:rFonts w:ascii="Times New Roman" w:hAnsi="Times New Roman" w:cs="Times New Roman"/>
          <w:sz w:val="24"/>
          <w:szCs w:val="24"/>
        </w:rPr>
        <w:t xml:space="preserve">. Equality and diversity are ingrained in the regulatory framework of the Solicitors Regulation Authority (SRA), a significant regulatory organisation that oversees solicitors in England and Wales. Legal professionals are responsible for acting reasonably and indiscriminately at all times, as outlined in the </w:t>
      </w:r>
      <w:r w:rsidR="00AD4E93" w:rsidRPr="00781F99">
        <w:rPr>
          <w:rFonts w:ascii="Times New Roman" w:hAnsi="Times New Roman" w:cs="Times New Roman"/>
          <w:sz w:val="24"/>
          <w:szCs w:val="24"/>
        </w:rPr>
        <w:t>SRA</w:t>
      </w:r>
      <w:r w:rsidR="00C07593" w:rsidRPr="00781F99">
        <w:rPr>
          <w:rFonts w:ascii="Times New Roman" w:hAnsi="Times New Roman" w:cs="Times New Roman"/>
          <w:sz w:val="24"/>
          <w:szCs w:val="24"/>
        </w:rPr>
        <w:t xml:space="preserve"> (2019)</w:t>
      </w:r>
      <w:r w:rsidRPr="00781F99">
        <w:rPr>
          <w:rFonts w:ascii="Times New Roman" w:hAnsi="Times New Roman" w:cs="Times New Roman"/>
          <w:sz w:val="24"/>
          <w:szCs w:val="24"/>
        </w:rPr>
        <w:t xml:space="preserve">. It says that lawyers must support diversity and inclusion in the workplace and advocate for equal opportunity for all clients. In addition, the </w:t>
      </w:r>
      <w:r w:rsidR="00AD4E93" w:rsidRPr="00781F99">
        <w:rPr>
          <w:rFonts w:ascii="Times New Roman" w:hAnsi="Times New Roman" w:cs="Times New Roman"/>
          <w:sz w:val="24"/>
          <w:szCs w:val="24"/>
        </w:rPr>
        <w:t>SRA</w:t>
      </w:r>
      <w:r w:rsidR="00C07593" w:rsidRPr="00781F99">
        <w:rPr>
          <w:rFonts w:ascii="Times New Roman" w:hAnsi="Times New Roman" w:cs="Times New Roman"/>
          <w:sz w:val="24"/>
          <w:szCs w:val="24"/>
        </w:rPr>
        <w:t xml:space="preserve"> (2019)</w:t>
      </w:r>
      <w:r w:rsidRPr="00781F99">
        <w:rPr>
          <w:rFonts w:ascii="Times New Roman" w:hAnsi="Times New Roman" w:cs="Times New Roman"/>
          <w:sz w:val="24"/>
          <w:szCs w:val="24"/>
        </w:rPr>
        <w:t xml:space="preserve"> mandates that legal companies keep and disclose diversity statistics, which promotes openness and responsibility in doing something about inequalities in the legal industry.</w:t>
      </w:r>
    </w:p>
    <w:p w14:paraId="7D6BA7E5" w14:textId="77777777" w:rsidR="000A4CC6" w:rsidRPr="00781F99" w:rsidRDefault="00000000" w:rsidP="00781F99">
      <w:pPr>
        <w:spacing w:after="0" w:line="360" w:lineRule="auto"/>
        <w:ind w:firstLine="720"/>
        <w:contextualSpacing/>
        <w:jc w:val="both"/>
        <w:rPr>
          <w:rFonts w:ascii="Times New Roman" w:hAnsi="Times New Roman" w:cs="Times New Roman"/>
          <w:sz w:val="24"/>
          <w:szCs w:val="24"/>
        </w:rPr>
      </w:pPr>
      <w:r w:rsidRPr="00781F99">
        <w:rPr>
          <w:rFonts w:ascii="Times New Roman" w:hAnsi="Times New Roman" w:cs="Times New Roman"/>
          <w:sz w:val="24"/>
          <w:szCs w:val="24"/>
        </w:rPr>
        <w:t>Similarly, the Handbook of the Bar Standards Board (BSB), which regulates barristers in the United Kingdom, contains stringent requirements on diversity and equality. In order to promote equality of opportunity, eliminate prejudice, and ensure fair treatment for all, the BSB Handbook offers regulations and instructions that barristers are expected to follow</w:t>
      </w:r>
      <w:r w:rsidR="008564EF" w:rsidRPr="00781F99">
        <w:rPr>
          <w:rFonts w:ascii="Times New Roman" w:hAnsi="Times New Roman" w:cs="Times New Roman"/>
          <w:sz w:val="24"/>
          <w:szCs w:val="24"/>
        </w:rPr>
        <w:t xml:space="preserve"> (BSB, 2018)</w:t>
      </w:r>
      <w:r w:rsidRPr="00781F99">
        <w:rPr>
          <w:rFonts w:ascii="Times New Roman" w:hAnsi="Times New Roman" w:cs="Times New Roman"/>
          <w:sz w:val="24"/>
          <w:szCs w:val="24"/>
        </w:rPr>
        <w:t>. Barristers are expected to maintain high standards of professional conduct, including acting with integrity and refraining from discriminatory behaviour. If inequalities are present within the barrister profession, the BSB will find and fix them through equality monitoring</w:t>
      </w:r>
      <w:r w:rsidR="00AD4E93" w:rsidRPr="00781F99">
        <w:rPr>
          <w:rFonts w:ascii="Times New Roman" w:hAnsi="Times New Roman" w:cs="Times New Roman"/>
          <w:sz w:val="24"/>
          <w:szCs w:val="24"/>
        </w:rPr>
        <w:t xml:space="preserve"> (BSB, 2018)</w:t>
      </w:r>
      <w:r w:rsidRPr="00781F99">
        <w:rPr>
          <w:rFonts w:ascii="Times New Roman" w:hAnsi="Times New Roman" w:cs="Times New Roman"/>
          <w:sz w:val="24"/>
          <w:szCs w:val="24"/>
        </w:rPr>
        <w:t>. Legal executives and practitioners in England and Wales are overseen by CILEX Regulation, emphasising diversity and equality within its regulatory framework. Executives in the legal field must treat all people with resp</w:t>
      </w:r>
      <w:r w:rsidR="00AD4E93" w:rsidRPr="00781F99">
        <w:rPr>
          <w:rFonts w:ascii="Times New Roman" w:hAnsi="Times New Roman" w:cs="Times New Roman"/>
          <w:sz w:val="24"/>
          <w:szCs w:val="24"/>
        </w:rPr>
        <w:t>ect and dignity according to</w:t>
      </w:r>
      <w:r w:rsidRPr="00781F99">
        <w:rPr>
          <w:rFonts w:ascii="Times New Roman" w:hAnsi="Times New Roman" w:cs="Times New Roman"/>
          <w:sz w:val="24"/>
          <w:szCs w:val="24"/>
        </w:rPr>
        <w:t xml:space="preserve"> </w:t>
      </w:r>
      <w:r w:rsidR="00AD4E93" w:rsidRPr="00781F99">
        <w:rPr>
          <w:rFonts w:ascii="Times New Roman" w:hAnsi="Times New Roman" w:cs="Times New Roman"/>
          <w:sz w:val="24"/>
          <w:szCs w:val="24"/>
        </w:rPr>
        <w:t>www.cilex.org.uk (n.d.)</w:t>
      </w:r>
      <w:r w:rsidRPr="00781F99">
        <w:rPr>
          <w:rFonts w:ascii="Times New Roman" w:hAnsi="Times New Roman" w:cs="Times New Roman"/>
          <w:sz w:val="24"/>
          <w:szCs w:val="24"/>
        </w:rPr>
        <w:t xml:space="preserve"> guidelines. Regarding providing legal services, it prioritises fostering an inclusive atmosphere and honouring diversity. Members of CILEX Regulation are also obligated to participate in CPD, which could involve courses on diversity and inclusion</w:t>
      </w:r>
      <w:r w:rsidR="00AD4E93" w:rsidRPr="00781F99">
        <w:rPr>
          <w:rFonts w:ascii="Times New Roman" w:hAnsi="Times New Roman" w:cs="Times New Roman"/>
          <w:sz w:val="24"/>
          <w:szCs w:val="24"/>
        </w:rPr>
        <w:t xml:space="preserve"> (www.cilex.org.uk, n.d.)</w:t>
      </w:r>
      <w:r w:rsidRPr="00781F99">
        <w:rPr>
          <w:rFonts w:ascii="Times New Roman" w:hAnsi="Times New Roman" w:cs="Times New Roman"/>
          <w:sz w:val="24"/>
          <w:szCs w:val="24"/>
        </w:rPr>
        <w:t>.</w:t>
      </w:r>
    </w:p>
    <w:p w14:paraId="2615005E" w14:textId="77777777" w:rsidR="000A4CC6" w:rsidRPr="00781F99" w:rsidRDefault="00000000" w:rsidP="00781F99">
      <w:pPr>
        <w:spacing w:after="0" w:line="360" w:lineRule="auto"/>
        <w:ind w:firstLine="720"/>
        <w:contextualSpacing/>
        <w:jc w:val="both"/>
        <w:rPr>
          <w:rFonts w:ascii="Times New Roman" w:hAnsi="Times New Roman" w:cs="Times New Roman"/>
          <w:sz w:val="24"/>
          <w:szCs w:val="24"/>
        </w:rPr>
      </w:pPr>
      <w:r w:rsidRPr="00781F99">
        <w:rPr>
          <w:rFonts w:ascii="Times New Roman" w:hAnsi="Times New Roman" w:cs="Times New Roman"/>
          <w:sz w:val="24"/>
          <w:szCs w:val="24"/>
        </w:rPr>
        <w:lastRenderedPageBreak/>
        <w:t>The SRA Code of Conduct highlights the importance of non-discrimination, diversity, and equality as a foundational concept for ethical behaviour in the legal profession. As a result of their pervasiveness in the SRA's rules, these principles serve as practical guidelines for solicitors in their work</w:t>
      </w:r>
      <w:r w:rsidR="00AD4E93" w:rsidRPr="00781F99">
        <w:rPr>
          <w:rFonts w:ascii="Times New Roman" w:hAnsi="Times New Roman" w:cs="Times New Roman"/>
          <w:sz w:val="24"/>
          <w:szCs w:val="24"/>
        </w:rPr>
        <w:t xml:space="preserve"> (SRA, 2019)</w:t>
      </w:r>
      <w:r w:rsidRPr="00781F99">
        <w:rPr>
          <w:rFonts w:ascii="Times New Roman" w:hAnsi="Times New Roman" w:cs="Times New Roman"/>
          <w:sz w:val="24"/>
          <w:szCs w:val="24"/>
        </w:rPr>
        <w:t>. The code emphasises the need for lawyers to work towards a more equitable and diverse legal system by establishing a feeling of duty to advance justice and inclusion. The insertion of continual training and education guidelines into the Code of Conduct also shows that the legal profession is taking the initiative to promote a growth mindset among its members</w:t>
      </w:r>
      <w:r w:rsidR="00C60B2D" w:rsidRPr="00781F99">
        <w:rPr>
          <w:rFonts w:ascii="Times New Roman" w:hAnsi="Times New Roman" w:cs="Times New Roman"/>
          <w:sz w:val="24"/>
          <w:szCs w:val="24"/>
        </w:rPr>
        <w:t xml:space="preserve"> (Boon, 2023)</w:t>
      </w:r>
      <w:r w:rsidRPr="00781F99">
        <w:rPr>
          <w:rFonts w:ascii="Times New Roman" w:hAnsi="Times New Roman" w:cs="Times New Roman"/>
          <w:sz w:val="24"/>
          <w:szCs w:val="24"/>
        </w:rPr>
        <w:t>. Legal professionals are better able to handle difficult situations with compassion and integrity when they regularly participate in training and education programmes that help them keep up with the ever-changing diversity concerns</w:t>
      </w:r>
      <w:r w:rsidR="00AD4E93" w:rsidRPr="00781F99">
        <w:rPr>
          <w:rFonts w:ascii="Times New Roman" w:hAnsi="Times New Roman" w:cs="Times New Roman"/>
          <w:sz w:val="24"/>
          <w:szCs w:val="24"/>
        </w:rPr>
        <w:t xml:space="preserve"> (SRA, 2019)</w:t>
      </w:r>
      <w:r w:rsidRPr="00781F99">
        <w:rPr>
          <w:rFonts w:ascii="Times New Roman" w:hAnsi="Times New Roman" w:cs="Times New Roman"/>
          <w:sz w:val="24"/>
          <w:szCs w:val="24"/>
        </w:rPr>
        <w:t>.</w:t>
      </w:r>
    </w:p>
    <w:p w14:paraId="0EBBD983" w14:textId="77777777" w:rsidR="000A4CC6" w:rsidRPr="00781F99" w:rsidRDefault="00000000" w:rsidP="00781F99">
      <w:pPr>
        <w:spacing w:after="0" w:line="360" w:lineRule="auto"/>
        <w:ind w:firstLine="720"/>
        <w:contextualSpacing/>
        <w:jc w:val="both"/>
        <w:rPr>
          <w:rFonts w:ascii="Times New Roman" w:hAnsi="Times New Roman" w:cs="Times New Roman"/>
          <w:sz w:val="24"/>
          <w:szCs w:val="24"/>
        </w:rPr>
      </w:pPr>
      <w:r w:rsidRPr="00781F99">
        <w:rPr>
          <w:rFonts w:ascii="Times New Roman" w:hAnsi="Times New Roman" w:cs="Times New Roman"/>
          <w:sz w:val="24"/>
          <w:szCs w:val="24"/>
        </w:rPr>
        <w:t>The legal profession faces complex and interrelated issues when establishing and maintaining diversity and inclusion policies. Embedded attitudes or historical practices inside legal institutions may impede the acceptability or effective execution of equality measures, which is a significant challenge. Another impediment is cultural opposition</w:t>
      </w:r>
      <w:r w:rsidR="00C60B2D" w:rsidRPr="00781F99">
        <w:rPr>
          <w:rFonts w:ascii="Times New Roman" w:hAnsi="Times New Roman" w:cs="Times New Roman"/>
          <w:sz w:val="24"/>
          <w:szCs w:val="24"/>
        </w:rPr>
        <w:t xml:space="preserve"> (Collier, 2019)</w:t>
      </w:r>
      <w:r w:rsidRPr="00781F99">
        <w:rPr>
          <w:rFonts w:ascii="Times New Roman" w:hAnsi="Times New Roman" w:cs="Times New Roman"/>
          <w:sz w:val="24"/>
          <w:szCs w:val="24"/>
        </w:rPr>
        <w:t>. Cultural norms that go deep can keep prejudices alive and prevent the development of more inclusive policies and procedures. The problem is that legal organisations' top positions need to be more represented in diversity</w:t>
      </w:r>
      <w:r w:rsidR="00C60B2D" w:rsidRPr="00781F99">
        <w:rPr>
          <w:rFonts w:ascii="Times New Roman" w:hAnsi="Times New Roman" w:cs="Times New Roman"/>
          <w:sz w:val="24"/>
          <w:szCs w:val="24"/>
        </w:rPr>
        <w:t xml:space="preserve"> (Rab, 2021)</w:t>
      </w:r>
      <w:r w:rsidRPr="00781F99">
        <w:rPr>
          <w:rFonts w:ascii="Times New Roman" w:hAnsi="Times New Roman" w:cs="Times New Roman"/>
          <w:sz w:val="24"/>
          <w:szCs w:val="24"/>
        </w:rPr>
        <w:t>. The opinions and demands of marginalised groups need to be sufficiently considered in decision-making processes when leadership teams lack diversity. The lack of various voices in the leadership may hinder effective measures to promote equality and diversity</w:t>
      </w:r>
      <w:r w:rsidR="00C60B2D" w:rsidRPr="00781F99">
        <w:rPr>
          <w:rFonts w:ascii="Times New Roman" w:hAnsi="Times New Roman" w:cs="Times New Roman"/>
          <w:sz w:val="24"/>
          <w:szCs w:val="24"/>
        </w:rPr>
        <w:t xml:space="preserve"> (Mason, 2020)</w:t>
      </w:r>
      <w:r w:rsidRPr="00781F99">
        <w:rPr>
          <w:rFonts w:ascii="Times New Roman" w:hAnsi="Times New Roman" w:cs="Times New Roman"/>
          <w:sz w:val="24"/>
          <w:szCs w:val="24"/>
        </w:rPr>
        <w:t>.</w:t>
      </w:r>
    </w:p>
    <w:p w14:paraId="57943561" w14:textId="77777777" w:rsidR="000A4CC6" w:rsidRPr="00781F99" w:rsidRDefault="00000000" w:rsidP="00781F99">
      <w:pPr>
        <w:spacing w:after="0" w:line="360" w:lineRule="auto"/>
        <w:ind w:firstLine="720"/>
        <w:contextualSpacing/>
        <w:jc w:val="both"/>
        <w:rPr>
          <w:rFonts w:ascii="Times New Roman" w:hAnsi="Times New Roman" w:cs="Times New Roman"/>
          <w:sz w:val="24"/>
          <w:szCs w:val="24"/>
        </w:rPr>
      </w:pPr>
      <w:r w:rsidRPr="00781F99">
        <w:rPr>
          <w:rFonts w:ascii="Times New Roman" w:hAnsi="Times New Roman" w:cs="Times New Roman"/>
          <w:sz w:val="24"/>
          <w:szCs w:val="24"/>
        </w:rPr>
        <w:t>Further complicating matters is the pervasive bias that permeates the very fabric of our judicial systems. Disparities in opportunity and treatment based on factors like race, gender, or socio-economic background can be exacerbated by these biases</w:t>
      </w:r>
      <w:r w:rsidR="00FD66A3" w:rsidRPr="00781F99">
        <w:rPr>
          <w:rFonts w:ascii="Times New Roman" w:hAnsi="Times New Roman" w:cs="Times New Roman"/>
          <w:sz w:val="24"/>
          <w:szCs w:val="24"/>
        </w:rPr>
        <w:t xml:space="preserve"> (Boon, 2023)</w:t>
      </w:r>
      <w:r w:rsidRPr="00781F99">
        <w:rPr>
          <w:rFonts w:ascii="Times New Roman" w:hAnsi="Times New Roman" w:cs="Times New Roman"/>
          <w:sz w:val="24"/>
          <w:szCs w:val="24"/>
        </w:rPr>
        <w:t>, which can be present in recruiting, promotion, and retention practices, whether they are conscious or unconscious. In order to address these difficulties and promote a more inclusive legal profession, future policies must incorporate diverse methods</w:t>
      </w:r>
      <w:r w:rsidR="00FD66A3" w:rsidRPr="00781F99">
        <w:rPr>
          <w:rFonts w:ascii="Times New Roman" w:hAnsi="Times New Roman" w:cs="Times New Roman"/>
          <w:sz w:val="24"/>
          <w:szCs w:val="24"/>
        </w:rPr>
        <w:t xml:space="preserve"> (Dunne, 2021)</w:t>
      </w:r>
      <w:r w:rsidRPr="00781F99">
        <w:rPr>
          <w:rFonts w:ascii="Times New Roman" w:hAnsi="Times New Roman" w:cs="Times New Roman"/>
          <w:sz w:val="24"/>
          <w:szCs w:val="24"/>
        </w:rPr>
        <w:t>. Unconscious biases significantly influence decision-making, so it is important to implement training programmes that help people recognise this. Legal professionals might benefit from these training programmes by learning to identify and address bias in their practice</w:t>
      </w:r>
      <w:r w:rsidR="00FD66A3" w:rsidRPr="00781F99">
        <w:rPr>
          <w:rFonts w:ascii="Times New Roman" w:hAnsi="Times New Roman" w:cs="Times New Roman"/>
          <w:sz w:val="24"/>
          <w:szCs w:val="24"/>
        </w:rPr>
        <w:t xml:space="preserve"> (Mason, 2020)</w:t>
      </w:r>
      <w:r w:rsidRPr="00781F99">
        <w:rPr>
          <w:rFonts w:ascii="Times New Roman" w:hAnsi="Times New Roman" w:cs="Times New Roman"/>
          <w:sz w:val="24"/>
          <w:szCs w:val="24"/>
        </w:rPr>
        <w:t>.</w:t>
      </w:r>
      <w:r w:rsidR="00FD66A3" w:rsidRPr="00781F99">
        <w:rPr>
          <w:rFonts w:ascii="Times New Roman" w:hAnsi="Times New Roman" w:cs="Times New Roman"/>
          <w:sz w:val="24"/>
          <w:szCs w:val="24"/>
        </w:rPr>
        <w:t xml:space="preserve"> </w:t>
      </w:r>
      <w:r w:rsidRPr="00781F99">
        <w:rPr>
          <w:rFonts w:ascii="Times New Roman" w:hAnsi="Times New Roman" w:cs="Times New Roman"/>
          <w:sz w:val="24"/>
          <w:szCs w:val="24"/>
        </w:rPr>
        <w:t>Additionally, mentorship programmes targeting underrepresented group members can effectively remove obstacles</w:t>
      </w:r>
      <w:r w:rsidR="00FD66A3" w:rsidRPr="00781F99">
        <w:rPr>
          <w:rFonts w:ascii="Times New Roman" w:hAnsi="Times New Roman" w:cs="Times New Roman"/>
          <w:sz w:val="24"/>
          <w:szCs w:val="24"/>
        </w:rPr>
        <w:t xml:space="preserve"> (Muzio and Flood, 2012)</w:t>
      </w:r>
      <w:r w:rsidRPr="00781F99">
        <w:rPr>
          <w:rFonts w:ascii="Times New Roman" w:hAnsi="Times New Roman" w:cs="Times New Roman"/>
          <w:sz w:val="24"/>
          <w:szCs w:val="24"/>
        </w:rPr>
        <w:t xml:space="preserve">. A more diverse leadership pipeline can be achieved by matching junior legal professionals </w:t>
      </w:r>
      <w:r w:rsidRPr="00781F99">
        <w:rPr>
          <w:rFonts w:ascii="Times New Roman" w:hAnsi="Times New Roman" w:cs="Times New Roman"/>
          <w:sz w:val="24"/>
          <w:szCs w:val="24"/>
        </w:rPr>
        <w:lastRenderedPageBreak/>
        <w:t>with experienced mentors who are advocates for diversity. The mentors can offer guidance, support, and chances for career progress, while the mentees can benefit from these encounters</w:t>
      </w:r>
      <w:r w:rsidR="00FD66A3" w:rsidRPr="00781F99">
        <w:rPr>
          <w:rFonts w:ascii="Times New Roman" w:hAnsi="Times New Roman" w:cs="Times New Roman"/>
          <w:sz w:val="24"/>
          <w:szCs w:val="24"/>
        </w:rPr>
        <w:t xml:space="preserve"> (Mason, 2020)</w:t>
      </w:r>
      <w:r w:rsidRPr="00781F99">
        <w:rPr>
          <w:rFonts w:ascii="Times New Roman" w:hAnsi="Times New Roman" w:cs="Times New Roman"/>
          <w:sz w:val="24"/>
          <w:szCs w:val="24"/>
        </w:rPr>
        <w:t>.</w:t>
      </w:r>
    </w:p>
    <w:p w14:paraId="6BD0AC51" w14:textId="77777777" w:rsidR="000A4CC6" w:rsidRPr="00781F99" w:rsidRDefault="00000000" w:rsidP="00781F99">
      <w:pPr>
        <w:spacing w:after="0" w:line="360" w:lineRule="auto"/>
        <w:ind w:firstLine="720"/>
        <w:contextualSpacing/>
        <w:jc w:val="both"/>
        <w:rPr>
          <w:rFonts w:ascii="Times New Roman" w:hAnsi="Times New Roman" w:cs="Times New Roman"/>
          <w:sz w:val="24"/>
          <w:szCs w:val="24"/>
        </w:rPr>
      </w:pPr>
      <w:r w:rsidRPr="00781F99">
        <w:rPr>
          <w:rFonts w:ascii="Times New Roman" w:hAnsi="Times New Roman" w:cs="Times New Roman"/>
          <w:sz w:val="24"/>
          <w:szCs w:val="24"/>
        </w:rPr>
        <w:t>Equally important are policy initiatives that seek to weave diversity and inclusion into the very fabric of legal organisations</w:t>
      </w:r>
      <w:r w:rsidR="00FD66A3" w:rsidRPr="00781F99">
        <w:rPr>
          <w:rFonts w:ascii="Times New Roman" w:hAnsi="Times New Roman" w:cs="Times New Roman"/>
          <w:sz w:val="24"/>
          <w:szCs w:val="24"/>
        </w:rPr>
        <w:t xml:space="preserve"> (Webley, 2014)</w:t>
      </w:r>
      <w:r w:rsidRPr="00781F99">
        <w:rPr>
          <w:rFonts w:ascii="Times New Roman" w:hAnsi="Times New Roman" w:cs="Times New Roman"/>
          <w:sz w:val="24"/>
          <w:szCs w:val="24"/>
        </w:rPr>
        <w:t>. To combat prejudice and make the legal profession more inclusive, it is essential to establish transparent and legally binding policies that encourage diversity in hiring, level the playing field in terms of promotion prospects, and foster an inclusive work environment for all employees</w:t>
      </w:r>
      <w:r w:rsidR="00FD66A3" w:rsidRPr="00781F99">
        <w:rPr>
          <w:rFonts w:ascii="Times New Roman" w:hAnsi="Times New Roman" w:cs="Times New Roman"/>
          <w:sz w:val="24"/>
          <w:szCs w:val="24"/>
        </w:rPr>
        <w:t xml:space="preserve"> (Gov.UK, 2016)</w:t>
      </w:r>
      <w:r w:rsidRPr="00781F99">
        <w:rPr>
          <w:rFonts w:ascii="Times New Roman" w:hAnsi="Times New Roman" w:cs="Times New Roman"/>
          <w:sz w:val="24"/>
          <w:szCs w:val="24"/>
        </w:rPr>
        <w:t>. In order to create a fairer legal profession, it is critical to tackle these issues with comprehensive tactics</w:t>
      </w:r>
      <w:r w:rsidR="00FD66A3" w:rsidRPr="00781F99">
        <w:rPr>
          <w:rFonts w:ascii="Times New Roman" w:hAnsi="Times New Roman" w:cs="Times New Roman"/>
          <w:sz w:val="24"/>
          <w:szCs w:val="24"/>
        </w:rPr>
        <w:t xml:space="preserve"> (Rab, 2021)</w:t>
      </w:r>
      <w:r w:rsidRPr="00781F99">
        <w:rPr>
          <w:rFonts w:ascii="Times New Roman" w:hAnsi="Times New Roman" w:cs="Times New Roman"/>
          <w:sz w:val="24"/>
          <w:szCs w:val="24"/>
        </w:rPr>
        <w:t>. We can establish an environment that supports equality, embraces diversity, and ensures fair treatment for all individuals involved by overcoming cultural resistance, increasing diverse representation in leadership roles, and combating systematic prejudices through proactive efforts</w:t>
      </w:r>
      <w:r w:rsidR="00FD66A3" w:rsidRPr="00781F99">
        <w:rPr>
          <w:rFonts w:ascii="Times New Roman" w:hAnsi="Times New Roman" w:cs="Times New Roman"/>
          <w:sz w:val="24"/>
          <w:szCs w:val="24"/>
        </w:rPr>
        <w:t xml:space="preserve"> (Muzio and Flood, 2012)</w:t>
      </w:r>
      <w:r w:rsidRPr="00781F99">
        <w:rPr>
          <w:rFonts w:ascii="Times New Roman" w:hAnsi="Times New Roman" w:cs="Times New Roman"/>
          <w:sz w:val="24"/>
          <w:szCs w:val="24"/>
        </w:rPr>
        <w:t>.</w:t>
      </w:r>
    </w:p>
    <w:p w14:paraId="3F6F96B6" w14:textId="77777777" w:rsidR="000A4CC6" w:rsidRPr="00781F99" w:rsidRDefault="00000000" w:rsidP="00781F99">
      <w:pPr>
        <w:spacing w:after="0" w:line="360" w:lineRule="auto"/>
        <w:ind w:firstLine="720"/>
        <w:contextualSpacing/>
        <w:jc w:val="both"/>
        <w:rPr>
          <w:rFonts w:ascii="Times New Roman" w:hAnsi="Times New Roman" w:cs="Times New Roman"/>
          <w:sz w:val="24"/>
          <w:szCs w:val="24"/>
        </w:rPr>
      </w:pPr>
      <w:r w:rsidRPr="00781F99">
        <w:rPr>
          <w:rFonts w:ascii="Times New Roman" w:hAnsi="Times New Roman" w:cs="Times New Roman"/>
          <w:sz w:val="24"/>
          <w:szCs w:val="24"/>
        </w:rPr>
        <w:t>A critical perspective that must be considered to assess equality and diversity within the legal field is intersectionality</w:t>
      </w:r>
      <w:r w:rsidR="00FD66A3" w:rsidRPr="00781F99">
        <w:rPr>
          <w:rFonts w:ascii="Times New Roman" w:hAnsi="Times New Roman" w:cs="Times New Roman"/>
          <w:sz w:val="24"/>
          <w:szCs w:val="24"/>
        </w:rPr>
        <w:t xml:space="preserve"> (Gov.UK, 2016)</w:t>
      </w:r>
      <w:r w:rsidRPr="00781F99">
        <w:rPr>
          <w:rFonts w:ascii="Times New Roman" w:hAnsi="Times New Roman" w:cs="Times New Roman"/>
          <w:sz w:val="24"/>
          <w:szCs w:val="24"/>
        </w:rPr>
        <w:t>. A complex strategy is required for full inclusion due to the interconnected nature of gender, race, ethnicity, sexual orientation, disability, and socio-economic status. Promoting equality and diversity in the legal services sector substantially impacts client experiences, trust, and access to justice; hence, it is critical to think about clients from their point of view</w:t>
      </w:r>
      <w:r w:rsidR="00FD66A3" w:rsidRPr="00781F99">
        <w:rPr>
          <w:rFonts w:ascii="Times New Roman" w:hAnsi="Times New Roman" w:cs="Times New Roman"/>
          <w:sz w:val="24"/>
          <w:szCs w:val="24"/>
        </w:rPr>
        <w:t xml:space="preserve"> (Dunne, 2021)</w:t>
      </w:r>
      <w:r w:rsidRPr="00781F99">
        <w:rPr>
          <w:rFonts w:ascii="Times New Roman" w:hAnsi="Times New Roman" w:cs="Times New Roman"/>
          <w:sz w:val="24"/>
          <w:szCs w:val="24"/>
        </w:rPr>
        <w:t>. Initiatives that have substantially helped advance diversity and inclusion in the legal profession can be vividly illustrated through real-world examples or case studies. The examples provided here illustrate the real-world effects of regulations or personal efforts, providing helpful information about what works and what does not regarding advancing diversity and inclusion in the legal field</w:t>
      </w:r>
      <w:r w:rsidR="00FD66A3" w:rsidRPr="00781F99">
        <w:rPr>
          <w:rFonts w:ascii="Times New Roman" w:hAnsi="Times New Roman" w:cs="Times New Roman"/>
          <w:sz w:val="24"/>
          <w:szCs w:val="24"/>
        </w:rPr>
        <w:t xml:space="preserve"> (Webley, 2014)</w:t>
      </w:r>
      <w:r w:rsidRPr="00781F99">
        <w:rPr>
          <w:rFonts w:ascii="Times New Roman" w:hAnsi="Times New Roman" w:cs="Times New Roman"/>
          <w:sz w:val="24"/>
          <w:szCs w:val="24"/>
        </w:rPr>
        <w:t>.</w:t>
      </w:r>
    </w:p>
    <w:p w14:paraId="36F5A48D" w14:textId="77777777" w:rsidR="000A4CC6" w:rsidRPr="00781F99" w:rsidRDefault="00000000" w:rsidP="00781F99">
      <w:pPr>
        <w:pStyle w:val="Heading1"/>
        <w:jc w:val="both"/>
        <w:rPr>
          <w:rFonts w:cs="Times New Roman"/>
          <w:szCs w:val="24"/>
        </w:rPr>
      </w:pPr>
      <w:bookmarkStart w:id="2" w:name="_Toc152356418"/>
      <w:r w:rsidRPr="00781F99">
        <w:rPr>
          <w:rFonts w:cs="Times New Roman"/>
          <w:szCs w:val="24"/>
        </w:rPr>
        <w:t>Conclusion</w:t>
      </w:r>
      <w:bookmarkEnd w:id="2"/>
    </w:p>
    <w:p w14:paraId="08B6864C" w14:textId="77777777" w:rsidR="00C07593" w:rsidRPr="00781F99" w:rsidRDefault="00000000" w:rsidP="00781F99">
      <w:pPr>
        <w:spacing w:after="0" w:line="360" w:lineRule="auto"/>
        <w:ind w:firstLine="720"/>
        <w:contextualSpacing/>
        <w:jc w:val="both"/>
        <w:rPr>
          <w:rFonts w:ascii="Times New Roman" w:hAnsi="Times New Roman" w:cs="Times New Roman"/>
          <w:sz w:val="24"/>
          <w:szCs w:val="24"/>
        </w:rPr>
      </w:pPr>
      <w:r w:rsidRPr="00781F99">
        <w:rPr>
          <w:rFonts w:ascii="Times New Roman" w:hAnsi="Times New Roman" w:cs="Times New Roman"/>
          <w:sz w:val="24"/>
          <w:szCs w:val="24"/>
        </w:rPr>
        <w:t>In conclusion, d</w:t>
      </w:r>
      <w:r w:rsidR="000A4CC6" w:rsidRPr="00781F99">
        <w:rPr>
          <w:rFonts w:ascii="Times New Roman" w:hAnsi="Times New Roman" w:cs="Times New Roman"/>
          <w:sz w:val="24"/>
          <w:szCs w:val="24"/>
        </w:rPr>
        <w:t xml:space="preserve">iversity and inclusion are ethical and professional goals in law. Many rules and regulations have created an inclusive culture of equality and non-discrimination in the legal profession. However, obstacles prevent these concepts from being fully realised. Cultural differences, leadership shortages, and institutional biases cause problems. Inclusive legislation, mentorship programmes, and extensive training are needed to overcome these challenges. Actively embracing diverse ideas and committing oneself to learning are crucial. To improve diversity and equity in the legal profession, acknowledge and incorporate these problems and execute </w:t>
      </w:r>
      <w:r w:rsidR="000A4CC6" w:rsidRPr="00781F99">
        <w:rPr>
          <w:rFonts w:ascii="Times New Roman" w:hAnsi="Times New Roman" w:cs="Times New Roman"/>
          <w:sz w:val="24"/>
          <w:szCs w:val="24"/>
        </w:rPr>
        <w:lastRenderedPageBreak/>
        <w:t>comprehensive solutions. This modification also guarantees all parties fairness, justice, and ethical standards. Making diversity a legal norm improves the legal system and makes society fairer and more inclusive. Continuous learning and diversity practice are essential. The legal industry may improve equity and diversity by recognising these challenges and executing comprehensive strategies. While improving ethics and justice, this shift ensures fairness and equal opportunity for all. A unified commitment to diversity serves the legal profession considerably. This dedication helps create a more egalitarian and inclusive society.</w:t>
      </w:r>
    </w:p>
    <w:p w14:paraId="5D4AD99D" w14:textId="77777777" w:rsidR="00C07593" w:rsidRPr="00781F99" w:rsidRDefault="00000000" w:rsidP="00781F99">
      <w:pPr>
        <w:spacing w:after="0" w:line="360" w:lineRule="auto"/>
        <w:contextualSpacing/>
        <w:jc w:val="both"/>
        <w:rPr>
          <w:rFonts w:ascii="Times New Roman" w:hAnsi="Times New Roman" w:cs="Times New Roman"/>
          <w:sz w:val="24"/>
          <w:szCs w:val="24"/>
        </w:rPr>
      </w:pPr>
      <w:r w:rsidRPr="00781F99">
        <w:rPr>
          <w:rFonts w:ascii="Times New Roman" w:hAnsi="Times New Roman" w:cs="Times New Roman"/>
          <w:sz w:val="24"/>
          <w:szCs w:val="24"/>
        </w:rPr>
        <w:br w:type="page"/>
      </w:r>
    </w:p>
    <w:p w14:paraId="1B8B4B3B" w14:textId="77777777" w:rsidR="0019159A" w:rsidRPr="00781F99" w:rsidRDefault="00000000" w:rsidP="00781F99">
      <w:pPr>
        <w:pStyle w:val="Heading1"/>
        <w:jc w:val="both"/>
        <w:rPr>
          <w:rFonts w:cs="Times New Roman"/>
          <w:szCs w:val="24"/>
        </w:rPr>
      </w:pPr>
      <w:bookmarkStart w:id="3" w:name="_Toc152356419"/>
      <w:r w:rsidRPr="00781F99">
        <w:rPr>
          <w:rFonts w:cs="Times New Roman"/>
          <w:szCs w:val="24"/>
        </w:rPr>
        <w:lastRenderedPageBreak/>
        <w:t>References</w:t>
      </w:r>
      <w:bookmarkEnd w:id="3"/>
    </w:p>
    <w:p w14:paraId="49D1DF30" w14:textId="77777777" w:rsidR="00FD66A3" w:rsidRPr="00781F99" w:rsidRDefault="00000000" w:rsidP="00781F99">
      <w:pPr>
        <w:pStyle w:val="NormalWeb"/>
        <w:spacing w:before="0" w:beforeAutospacing="0" w:after="0" w:afterAutospacing="0" w:line="360" w:lineRule="auto"/>
        <w:ind w:left="720" w:hanging="720"/>
        <w:contextualSpacing/>
        <w:jc w:val="both"/>
      </w:pPr>
      <w:r w:rsidRPr="00781F99">
        <w:t>Boon, A., 2023. The ethics and conduct of lawyers in England and Wales. Bloomsbury Publishing.</w:t>
      </w:r>
    </w:p>
    <w:p w14:paraId="136C1C97" w14:textId="77777777" w:rsidR="00FD66A3" w:rsidRPr="00781F99" w:rsidRDefault="00000000" w:rsidP="00781F99">
      <w:pPr>
        <w:pStyle w:val="NormalWeb"/>
        <w:spacing w:before="0" w:beforeAutospacing="0" w:after="0" w:afterAutospacing="0" w:line="360" w:lineRule="auto"/>
        <w:ind w:left="720" w:hanging="720"/>
        <w:contextualSpacing/>
        <w:jc w:val="both"/>
      </w:pPr>
      <w:r w:rsidRPr="00781F99">
        <w:t>BSB (2018). Code Guidance. [online] Barstandardsboard.org.uk. Available at: https://www.barstandardsboard.org.uk/for-barristers/bsb-handbook-and-code-guidance/code.html.</w:t>
      </w:r>
    </w:p>
    <w:p w14:paraId="359192C4" w14:textId="77777777" w:rsidR="00FD66A3" w:rsidRPr="00781F99" w:rsidRDefault="00000000" w:rsidP="00781F99">
      <w:pPr>
        <w:pStyle w:val="NormalWeb"/>
        <w:spacing w:before="0" w:beforeAutospacing="0" w:after="0" w:afterAutospacing="0" w:line="360" w:lineRule="auto"/>
        <w:ind w:left="720" w:hanging="720"/>
        <w:contextualSpacing/>
        <w:jc w:val="both"/>
      </w:pPr>
      <w:r w:rsidRPr="00781F99">
        <w:t>Collier, R., 2019. Fatherhood, gender and the making of professional identity in large law firms: Bringing men into the frame. International Journal of Law in Context, 15(1), pp.68-87.</w:t>
      </w:r>
    </w:p>
    <w:p w14:paraId="2CB82EBD" w14:textId="77777777" w:rsidR="00FD66A3" w:rsidRPr="00781F99" w:rsidRDefault="00000000" w:rsidP="00781F99">
      <w:pPr>
        <w:pStyle w:val="NormalWeb"/>
        <w:spacing w:before="0" w:beforeAutospacing="0" w:after="0" w:afterAutospacing="0" w:line="360" w:lineRule="auto"/>
        <w:ind w:left="720" w:hanging="720"/>
        <w:contextualSpacing/>
        <w:jc w:val="both"/>
      </w:pPr>
      <w:r w:rsidRPr="00781F99">
        <w:t>Dunne, N., 2021. Liberalisation and the legal profession in England and Wales. The Cambridge Law Journal, 80(2), pp.274-307.</w:t>
      </w:r>
    </w:p>
    <w:p w14:paraId="30E5D1B7" w14:textId="77777777" w:rsidR="00FD66A3" w:rsidRPr="00781F99" w:rsidRDefault="00000000" w:rsidP="00781F99">
      <w:pPr>
        <w:pStyle w:val="NormalWeb"/>
        <w:spacing w:before="0" w:beforeAutospacing="0" w:after="0" w:afterAutospacing="0" w:line="360" w:lineRule="auto"/>
        <w:ind w:left="720" w:hanging="720"/>
        <w:contextualSpacing/>
        <w:jc w:val="both"/>
      </w:pPr>
      <w:r w:rsidRPr="00781F99">
        <w:t>GOV.UK. (2013). Review of public sector Equality Duty. [online] Available at: https://www.gov.uk/government/groups/review-of-public-sector-equality-duty-steering-group.</w:t>
      </w:r>
    </w:p>
    <w:p w14:paraId="7BAB3723" w14:textId="77777777" w:rsidR="00FD66A3" w:rsidRPr="00781F99" w:rsidRDefault="00000000" w:rsidP="00781F99">
      <w:pPr>
        <w:pStyle w:val="NormalWeb"/>
        <w:spacing w:before="0" w:beforeAutospacing="0" w:after="0" w:afterAutospacing="0" w:line="360" w:lineRule="auto"/>
        <w:ind w:left="720" w:hanging="720"/>
        <w:contextualSpacing/>
        <w:jc w:val="both"/>
      </w:pPr>
      <w:r w:rsidRPr="00781F99">
        <w:t>Gov.UK. (2016). Committee on Standards in Public Life Striking the Balance Upholding the Seven Principles of Public Life in Regulation Sixteenth Report. Available at: https://assets.publishing.service.gov.uk/media/5a8099fced915d74e33fb5bf/Striking_the_Balance__web__-_v3_220916.pdf.</w:t>
      </w:r>
    </w:p>
    <w:p w14:paraId="726F3BDD" w14:textId="77777777" w:rsidR="00FD66A3" w:rsidRPr="00781F99" w:rsidRDefault="00000000" w:rsidP="00781F99">
      <w:pPr>
        <w:pStyle w:val="NormalWeb"/>
        <w:spacing w:before="0" w:beforeAutospacing="0" w:after="0" w:afterAutospacing="0" w:line="360" w:lineRule="auto"/>
        <w:ind w:left="720" w:hanging="720"/>
        <w:contextualSpacing/>
        <w:jc w:val="both"/>
      </w:pPr>
      <w:r w:rsidRPr="00781F99">
        <w:t>Legislation.gov.uk. (2010). Equality Act 2010. [online] Available at: https://www.legislation.gov.uk/ukpga/2010/15/contents.</w:t>
      </w:r>
    </w:p>
    <w:p w14:paraId="30587AC2" w14:textId="77777777" w:rsidR="00FD66A3" w:rsidRPr="00781F99" w:rsidRDefault="00000000" w:rsidP="00781F99">
      <w:pPr>
        <w:pStyle w:val="NormalWeb"/>
        <w:spacing w:before="0" w:beforeAutospacing="0" w:after="0" w:afterAutospacing="0" w:line="360" w:lineRule="auto"/>
        <w:ind w:left="720" w:hanging="720"/>
        <w:contextualSpacing/>
        <w:jc w:val="both"/>
      </w:pPr>
      <w:r w:rsidRPr="00781F99">
        <w:t>Legislation.gov.uk. (2020). </w:t>
      </w:r>
      <w:r w:rsidRPr="00781F99">
        <w:rPr>
          <w:i/>
          <w:iCs/>
        </w:rPr>
        <w:t>Legal Services Act 2007</w:t>
      </w:r>
      <w:r w:rsidRPr="00781F99">
        <w:t>. [online] Available at: https://www.legislation.gov.uk/ukpga/2007/29/contents.</w:t>
      </w:r>
    </w:p>
    <w:p w14:paraId="4D6A267D" w14:textId="77777777" w:rsidR="00FD66A3" w:rsidRPr="00781F99" w:rsidRDefault="00000000" w:rsidP="00781F99">
      <w:pPr>
        <w:pStyle w:val="NormalWeb"/>
        <w:spacing w:before="0" w:beforeAutospacing="0" w:after="0" w:afterAutospacing="0" w:line="360" w:lineRule="auto"/>
        <w:ind w:left="720" w:hanging="720"/>
        <w:contextualSpacing/>
        <w:jc w:val="both"/>
      </w:pPr>
      <w:r w:rsidRPr="00781F99">
        <w:t>Mason, M., 2020. Entity regulation, litigation rights and the changing meaning of professionalism at the Bar of England and Wales. Legal Ethics, 23(1-2), pp.48-64.</w:t>
      </w:r>
    </w:p>
    <w:p w14:paraId="7C536438" w14:textId="77777777" w:rsidR="00FD66A3" w:rsidRPr="00781F99" w:rsidRDefault="00000000" w:rsidP="00781F99">
      <w:pPr>
        <w:pStyle w:val="NormalWeb"/>
        <w:spacing w:before="0" w:beforeAutospacing="0" w:after="0" w:afterAutospacing="0" w:line="360" w:lineRule="auto"/>
        <w:ind w:left="720" w:hanging="720"/>
        <w:contextualSpacing/>
        <w:jc w:val="both"/>
      </w:pPr>
      <w:r w:rsidRPr="00781F99">
        <w:t>Muzio, D. and Flood, J., 2012. Entrepreneurship, managerialism and professionalism in action: the case of the legal profession in England and Wales. Handbook of research on entrepreneurship in professional services, 369.</w:t>
      </w:r>
    </w:p>
    <w:p w14:paraId="2638BE3E" w14:textId="77777777" w:rsidR="00FD66A3" w:rsidRPr="00781F99" w:rsidRDefault="00000000" w:rsidP="00781F99">
      <w:pPr>
        <w:pStyle w:val="NormalWeb"/>
        <w:spacing w:before="0" w:beforeAutospacing="0" w:after="0" w:afterAutospacing="0" w:line="360" w:lineRule="auto"/>
        <w:ind w:left="720" w:hanging="720"/>
        <w:contextualSpacing/>
        <w:jc w:val="both"/>
      </w:pPr>
      <w:r w:rsidRPr="00781F99">
        <w:t>Rab, S., 2021. Regulation of the legal profession in the UK (England and Wales): overview. Thomson Reuters practical law. URL: https://uk. practicallaw. thomsonreuters. com/7-633-7078.</w:t>
      </w:r>
    </w:p>
    <w:p w14:paraId="69E71AC6" w14:textId="77777777" w:rsidR="00FD66A3" w:rsidRPr="00781F99" w:rsidRDefault="00000000" w:rsidP="00781F99">
      <w:pPr>
        <w:pStyle w:val="NormalWeb"/>
        <w:spacing w:before="0" w:beforeAutospacing="0" w:after="0" w:afterAutospacing="0" w:line="360" w:lineRule="auto"/>
        <w:ind w:left="720" w:hanging="720"/>
        <w:contextualSpacing/>
        <w:jc w:val="both"/>
      </w:pPr>
      <w:r w:rsidRPr="00781F99">
        <w:t xml:space="preserve"> Solicitors Regulation Authority (2019). SRA Code of Conduct for Solicitors, RELs and RFLs. [online] Sra.org.uk. Available at: https://www.sra.org.uk/solicitors/standards-regulations/code-conduct-solicitors/.</w:t>
      </w:r>
    </w:p>
    <w:p w14:paraId="61FB1E5B" w14:textId="77777777" w:rsidR="00FD66A3" w:rsidRPr="00781F99" w:rsidRDefault="00000000" w:rsidP="00781F99">
      <w:pPr>
        <w:pStyle w:val="NormalWeb"/>
        <w:spacing w:before="0" w:beforeAutospacing="0" w:after="0" w:afterAutospacing="0" w:line="360" w:lineRule="auto"/>
        <w:ind w:left="720" w:hanging="720"/>
        <w:contextualSpacing/>
        <w:jc w:val="both"/>
      </w:pPr>
      <w:r w:rsidRPr="00781F99">
        <w:lastRenderedPageBreak/>
        <w:t>Webley, L., 2014. Legal professional de (re) regulation, equality, and inclusion, and the contested space of professionalism within the legal market in England and Wales. Fordham L. Rev., 83, p.2349.</w:t>
      </w:r>
    </w:p>
    <w:p w14:paraId="79C86FA2" w14:textId="77777777" w:rsidR="00FD66A3" w:rsidRPr="00781F99" w:rsidRDefault="00000000" w:rsidP="00781F99">
      <w:pPr>
        <w:pStyle w:val="NormalWeb"/>
        <w:spacing w:before="0" w:beforeAutospacing="0" w:after="0" w:afterAutospacing="0" w:line="360" w:lineRule="auto"/>
        <w:ind w:left="720" w:hanging="720"/>
        <w:contextualSpacing/>
        <w:jc w:val="both"/>
      </w:pPr>
      <w:r w:rsidRPr="00781F99">
        <w:t>www.cilex.org.uk. (n.d.). Code of Conduct. [online] Available at: https://www.cilex.org.uk/about_cilex/the_code_of_conduct/code-of-conduct/.</w:t>
      </w:r>
    </w:p>
    <w:p w14:paraId="196F8D3E" w14:textId="77777777" w:rsidR="00C07593" w:rsidRPr="00781F99" w:rsidRDefault="00C07593" w:rsidP="00781F99">
      <w:pPr>
        <w:spacing w:after="0" w:line="360" w:lineRule="auto"/>
        <w:contextualSpacing/>
        <w:jc w:val="both"/>
        <w:rPr>
          <w:rFonts w:ascii="Times New Roman" w:hAnsi="Times New Roman" w:cs="Times New Roman"/>
          <w:sz w:val="24"/>
          <w:szCs w:val="24"/>
        </w:rPr>
      </w:pPr>
    </w:p>
    <w:sectPr w:rsidR="00C07593" w:rsidRPr="00781F9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FB3FB0" w14:textId="77777777" w:rsidR="00641BCE" w:rsidRDefault="00641BCE">
      <w:pPr>
        <w:spacing w:after="0" w:line="240" w:lineRule="auto"/>
      </w:pPr>
      <w:r>
        <w:separator/>
      </w:r>
    </w:p>
  </w:endnote>
  <w:endnote w:type="continuationSeparator" w:id="0">
    <w:p w14:paraId="75ABB4E4" w14:textId="77777777" w:rsidR="00641BCE" w:rsidRDefault="00641B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543649192"/>
      <w:docPartObj>
        <w:docPartGallery w:val="Page Numbers (Bottom of Page)"/>
        <w:docPartUnique/>
      </w:docPartObj>
    </w:sdtPr>
    <w:sdtEndPr>
      <w:rPr>
        <w:noProof/>
      </w:rPr>
    </w:sdtEndPr>
    <w:sdtContent>
      <w:p w14:paraId="0C493EE6" w14:textId="77777777" w:rsidR="00781F99" w:rsidRPr="00781F99" w:rsidRDefault="00000000">
        <w:pPr>
          <w:pStyle w:val="Footer"/>
          <w:jc w:val="right"/>
          <w:rPr>
            <w:rFonts w:ascii="Times New Roman" w:hAnsi="Times New Roman" w:cs="Times New Roman"/>
            <w:sz w:val="24"/>
            <w:szCs w:val="24"/>
          </w:rPr>
        </w:pPr>
        <w:r w:rsidRPr="00781F99">
          <w:rPr>
            <w:rFonts w:ascii="Times New Roman" w:hAnsi="Times New Roman" w:cs="Times New Roman"/>
            <w:sz w:val="24"/>
            <w:szCs w:val="24"/>
          </w:rPr>
          <w:fldChar w:fldCharType="begin"/>
        </w:r>
        <w:r w:rsidRPr="00781F99">
          <w:rPr>
            <w:rFonts w:ascii="Times New Roman" w:hAnsi="Times New Roman" w:cs="Times New Roman"/>
            <w:sz w:val="24"/>
            <w:szCs w:val="24"/>
          </w:rPr>
          <w:instrText xml:space="preserve"> PAGE   \* MERGEFORMAT </w:instrText>
        </w:r>
        <w:r w:rsidRPr="00781F99">
          <w:rPr>
            <w:rFonts w:ascii="Times New Roman" w:hAnsi="Times New Roman" w:cs="Times New Roman"/>
            <w:sz w:val="24"/>
            <w:szCs w:val="24"/>
          </w:rPr>
          <w:fldChar w:fldCharType="separate"/>
        </w:r>
        <w:r w:rsidR="00B16048">
          <w:rPr>
            <w:rFonts w:ascii="Times New Roman" w:hAnsi="Times New Roman" w:cs="Times New Roman"/>
            <w:noProof/>
            <w:sz w:val="24"/>
            <w:szCs w:val="24"/>
          </w:rPr>
          <w:t>9</w:t>
        </w:r>
        <w:r w:rsidRPr="00781F99">
          <w:rPr>
            <w:rFonts w:ascii="Times New Roman" w:hAnsi="Times New Roman" w:cs="Times New Roman"/>
            <w:noProof/>
            <w:sz w:val="24"/>
            <w:szCs w:val="24"/>
          </w:rPr>
          <w:fldChar w:fldCharType="end"/>
        </w:r>
      </w:p>
    </w:sdtContent>
  </w:sdt>
  <w:p w14:paraId="70FEB4B3" w14:textId="77777777" w:rsidR="00781F99" w:rsidRPr="00781F99" w:rsidRDefault="00781F99">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50FB4E" w14:textId="77777777" w:rsidR="00641BCE" w:rsidRDefault="00641BCE">
      <w:pPr>
        <w:spacing w:after="0" w:line="240" w:lineRule="auto"/>
      </w:pPr>
      <w:r>
        <w:separator/>
      </w:r>
    </w:p>
  </w:footnote>
  <w:footnote w:type="continuationSeparator" w:id="0">
    <w:p w14:paraId="454363BA" w14:textId="77777777" w:rsidR="00641BCE" w:rsidRDefault="00641B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4CC6"/>
    <w:rsid w:val="000A4CC6"/>
    <w:rsid w:val="000D4395"/>
    <w:rsid w:val="0019159A"/>
    <w:rsid w:val="002F2251"/>
    <w:rsid w:val="00360E7B"/>
    <w:rsid w:val="00465FB9"/>
    <w:rsid w:val="005E11BB"/>
    <w:rsid w:val="00616B81"/>
    <w:rsid w:val="00641BCE"/>
    <w:rsid w:val="00653F22"/>
    <w:rsid w:val="00777FA4"/>
    <w:rsid w:val="00781F99"/>
    <w:rsid w:val="007E00BD"/>
    <w:rsid w:val="008564EF"/>
    <w:rsid w:val="00AD4E93"/>
    <w:rsid w:val="00B16048"/>
    <w:rsid w:val="00C07593"/>
    <w:rsid w:val="00C60B2D"/>
    <w:rsid w:val="00D345DD"/>
    <w:rsid w:val="00DC2FC6"/>
    <w:rsid w:val="00E42011"/>
    <w:rsid w:val="00FD66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F9125"/>
  <w15:chartTrackingRefBased/>
  <w15:docId w15:val="{9BA80B3F-10D3-40F8-8976-BD4896C69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345DD"/>
    <w:pPr>
      <w:keepNext/>
      <w:keepLines/>
      <w:spacing w:after="0" w:line="360" w:lineRule="auto"/>
      <w:contextualSpacing/>
      <w:jc w:val="center"/>
      <w:outlineLvl w:val="0"/>
    </w:pPr>
    <w:rPr>
      <w:rFonts w:ascii="Times New Roman" w:eastAsiaTheme="majorEastAsia" w:hAnsi="Times New Roman" w:cstheme="majorBidi"/>
      <w:b/>
      <w:i/>
      <w:sz w:val="24"/>
      <w:szCs w:val="32"/>
    </w:rPr>
  </w:style>
  <w:style w:type="paragraph" w:styleId="Heading2">
    <w:name w:val="heading 2"/>
    <w:basedOn w:val="Normal"/>
    <w:next w:val="Normal"/>
    <w:link w:val="Heading2Char"/>
    <w:autoRedefine/>
    <w:uiPriority w:val="9"/>
    <w:unhideWhenUsed/>
    <w:qFormat/>
    <w:rsid w:val="002F2251"/>
    <w:pPr>
      <w:keepNext/>
      <w:keepLines/>
      <w:spacing w:after="0" w:line="360" w:lineRule="auto"/>
      <w:contextualSpacing/>
      <w:jc w:val="both"/>
      <w:outlineLvl w:val="1"/>
    </w:pPr>
    <w:rPr>
      <w:rFonts w:ascii="Times New Roman" w:eastAsiaTheme="majorEastAsia" w:hAnsi="Times New Roman" w:cs="Times New Roman"/>
      <w:b/>
      <w:sz w:val="24"/>
      <w:szCs w:val="26"/>
    </w:rPr>
  </w:style>
  <w:style w:type="paragraph" w:styleId="Heading3">
    <w:name w:val="heading 3"/>
    <w:basedOn w:val="Normal"/>
    <w:next w:val="Normal"/>
    <w:link w:val="Heading3Char"/>
    <w:autoRedefine/>
    <w:uiPriority w:val="9"/>
    <w:unhideWhenUsed/>
    <w:qFormat/>
    <w:rsid w:val="002F2251"/>
    <w:pPr>
      <w:keepNext/>
      <w:keepLines/>
      <w:spacing w:before="40" w:after="0"/>
      <w:outlineLvl w:val="2"/>
    </w:pPr>
    <w:rPr>
      <w:rFonts w:ascii="Times New Roman" w:eastAsiaTheme="majorEastAsia" w:hAnsi="Times New Roman" w:cstheme="majorBidi"/>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5DD"/>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2F2251"/>
    <w:rPr>
      <w:rFonts w:ascii="Times New Roman" w:eastAsiaTheme="majorEastAsia" w:hAnsi="Times New Roman" w:cs="Times New Roman"/>
      <w:b/>
      <w:sz w:val="24"/>
      <w:szCs w:val="26"/>
    </w:rPr>
  </w:style>
  <w:style w:type="character" w:customStyle="1" w:styleId="Heading3Char">
    <w:name w:val="Heading 3 Char"/>
    <w:basedOn w:val="DefaultParagraphFont"/>
    <w:link w:val="Heading3"/>
    <w:uiPriority w:val="9"/>
    <w:rsid w:val="002F2251"/>
    <w:rPr>
      <w:rFonts w:ascii="Times New Roman" w:eastAsiaTheme="majorEastAsia" w:hAnsi="Times New Roman" w:cstheme="majorBidi"/>
      <w:i/>
      <w:sz w:val="24"/>
      <w:szCs w:val="24"/>
    </w:rPr>
  </w:style>
  <w:style w:type="paragraph" w:styleId="NormalWeb">
    <w:name w:val="Normal (Web)"/>
    <w:basedOn w:val="Normal"/>
    <w:uiPriority w:val="99"/>
    <w:semiHidden/>
    <w:unhideWhenUsed/>
    <w:rsid w:val="00C07593"/>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781F99"/>
    <w:pPr>
      <w:spacing w:before="240" w:line="259" w:lineRule="auto"/>
      <w:contextualSpacing w:val="0"/>
      <w:jc w:val="left"/>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781F99"/>
    <w:pPr>
      <w:spacing w:after="100"/>
    </w:pPr>
  </w:style>
  <w:style w:type="character" w:styleId="Hyperlink">
    <w:name w:val="Hyperlink"/>
    <w:basedOn w:val="DefaultParagraphFont"/>
    <w:uiPriority w:val="99"/>
    <w:unhideWhenUsed/>
    <w:rsid w:val="00781F99"/>
    <w:rPr>
      <w:color w:val="0563C1" w:themeColor="hyperlink"/>
      <w:u w:val="single"/>
    </w:rPr>
  </w:style>
  <w:style w:type="paragraph" w:styleId="Header">
    <w:name w:val="header"/>
    <w:basedOn w:val="Normal"/>
    <w:link w:val="HeaderChar"/>
    <w:uiPriority w:val="99"/>
    <w:unhideWhenUsed/>
    <w:rsid w:val="00781F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1F99"/>
  </w:style>
  <w:style w:type="paragraph" w:styleId="Footer">
    <w:name w:val="footer"/>
    <w:basedOn w:val="Normal"/>
    <w:link w:val="FooterChar"/>
    <w:uiPriority w:val="99"/>
    <w:unhideWhenUsed/>
    <w:rsid w:val="00781F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1F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93438D-8FDF-424C-B43E-F71CA154BA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2184</Words>
  <Characters>12455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Zulfiqar  Ali</dc:creator>
  <cp:lastModifiedBy>Divine Rescue</cp:lastModifiedBy>
  <cp:revision>2</cp:revision>
  <dcterms:created xsi:type="dcterms:W3CDTF">2023-12-03T21:44:00Z</dcterms:created>
  <dcterms:modified xsi:type="dcterms:W3CDTF">2023-12-03T21:44:00Z</dcterms:modified>
</cp:coreProperties>
</file>