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2E500" w14:textId="5CB08335" w:rsidR="00651549" w:rsidRPr="007250A8" w:rsidRDefault="00E27C07" w:rsidP="00E27C07">
      <w:pPr>
        <w:spacing w:before="0" w:after="160" w:line="278" w:lineRule="auto"/>
        <w:jc w:val="center"/>
        <w:rPr>
          <w:b/>
          <w:bCs/>
          <w:sz w:val="32"/>
          <w:szCs w:val="36"/>
          <w:lang w:val="en-GB"/>
        </w:rPr>
      </w:pPr>
      <w:r w:rsidRPr="007250A8">
        <w:rPr>
          <w:rFonts w:asciiTheme="minorBidi" w:hAnsiTheme="minorBidi"/>
          <w:b/>
          <w:bCs/>
          <w:noProof/>
          <w:sz w:val="32"/>
          <w:szCs w:val="32"/>
          <w:lang w:val="en-GB"/>
        </w:rPr>
        <w:drawing>
          <wp:inline distT="0" distB="0" distL="0" distR="0" wp14:anchorId="4A3CEE4B" wp14:editId="1E8E85D2">
            <wp:extent cx="2865120" cy="126244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8222" cy="1281436"/>
                    </a:xfrm>
                    <a:prstGeom prst="rect">
                      <a:avLst/>
                    </a:prstGeom>
                  </pic:spPr>
                </pic:pic>
              </a:graphicData>
            </a:graphic>
          </wp:inline>
        </w:drawing>
      </w:r>
    </w:p>
    <w:p w14:paraId="5E66C95C" w14:textId="77777777" w:rsidR="00E27C07" w:rsidRPr="007250A8" w:rsidRDefault="00E27C07" w:rsidP="00043943">
      <w:pPr>
        <w:spacing w:before="0" w:after="160" w:line="278" w:lineRule="auto"/>
        <w:rPr>
          <w:b/>
          <w:bCs/>
          <w:sz w:val="28"/>
          <w:szCs w:val="32"/>
          <w:lang w:val="en-GB"/>
        </w:rPr>
      </w:pPr>
    </w:p>
    <w:p w14:paraId="07321876" w14:textId="77777777" w:rsidR="00043943" w:rsidRDefault="00043943" w:rsidP="00E27C07">
      <w:pPr>
        <w:spacing w:before="0" w:after="160" w:line="278" w:lineRule="auto"/>
        <w:jc w:val="center"/>
        <w:rPr>
          <w:b/>
          <w:bCs/>
          <w:sz w:val="28"/>
          <w:szCs w:val="32"/>
          <w:lang w:val="en-GB"/>
        </w:rPr>
      </w:pPr>
    </w:p>
    <w:p w14:paraId="558BC62D" w14:textId="27E11FD1" w:rsidR="00651549" w:rsidRPr="007250A8" w:rsidRDefault="00E27C07" w:rsidP="00E27C07">
      <w:pPr>
        <w:spacing w:before="0" w:after="160" w:line="278" w:lineRule="auto"/>
        <w:jc w:val="center"/>
        <w:rPr>
          <w:b/>
          <w:bCs/>
          <w:sz w:val="28"/>
          <w:szCs w:val="32"/>
          <w:lang w:val="en-GB"/>
        </w:rPr>
      </w:pPr>
      <w:r w:rsidRPr="007250A8">
        <w:rPr>
          <w:b/>
          <w:bCs/>
          <w:sz w:val="28"/>
          <w:szCs w:val="32"/>
          <w:lang w:val="en-GB"/>
        </w:rPr>
        <w:t xml:space="preserve">LCMB7002 </w:t>
      </w:r>
      <w:r w:rsidR="00651549" w:rsidRPr="007250A8">
        <w:rPr>
          <w:b/>
          <w:bCs/>
          <w:sz w:val="28"/>
          <w:szCs w:val="32"/>
          <w:lang w:val="en-GB"/>
        </w:rPr>
        <w:t xml:space="preserve">Financial Management </w:t>
      </w:r>
    </w:p>
    <w:p w14:paraId="63284051" w14:textId="77777777" w:rsidR="00E27C07" w:rsidRPr="007250A8" w:rsidRDefault="00E27C07" w:rsidP="00651549">
      <w:pPr>
        <w:spacing w:before="0" w:after="160" w:line="278" w:lineRule="auto"/>
        <w:jc w:val="center"/>
        <w:rPr>
          <w:b/>
          <w:bCs/>
          <w:sz w:val="28"/>
          <w:szCs w:val="32"/>
          <w:lang w:val="en-GB"/>
        </w:rPr>
      </w:pPr>
    </w:p>
    <w:p w14:paraId="41725E20" w14:textId="77777777" w:rsidR="00043943" w:rsidRDefault="00043943" w:rsidP="00651549">
      <w:pPr>
        <w:spacing w:before="0" w:after="160" w:line="278" w:lineRule="auto"/>
        <w:jc w:val="center"/>
        <w:rPr>
          <w:b/>
          <w:bCs/>
          <w:i/>
          <w:iCs/>
          <w:sz w:val="28"/>
          <w:szCs w:val="32"/>
          <w:lang w:val="en-GB"/>
        </w:rPr>
      </w:pPr>
    </w:p>
    <w:p w14:paraId="3488B4E2" w14:textId="27C165FD" w:rsidR="00E27C07" w:rsidRPr="007250A8" w:rsidRDefault="00E27C07" w:rsidP="00651549">
      <w:pPr>
        <w:spacing w:before="0" w:after="160" w:line="278" w:lineRule="auto"/>
        <w:jc w:val="center"/>
        <w:rPr>
          <w:b/>
          <w:bCs/>
          <w:szCs w:val="28"/>
          <w:lang w:val="en-GB"/>
        </w:rPr>
      </w:pPr>
      <w:r w:rsidRPr="007250A8">
        <w:rPr>
          <w:b/>
          <w:bCs/>
          <w:i/>
          <w:iCs/>
          <w:sz w:val="28"/>
          <w:szCs w:val="32"/>
          <w:lang w:val="en-GB"/>
        </w:rPr>
        <w:t xml:space="preserve">Title: </w:t>
      </w:r>
      <w:r w:rsidR="00043943" w:rsidRPr="00043943">
        <w:rPr>
          <w:b/>
          <w:bCs/>
          <w:i/>
          <w:iCs/>
          <w:sz w:val="28"/>
          <w:szCs w:val="32"/>
        </w:rPr>
        <w:t>Assessment component: Financial performance and management</w:t>
      </w:r>
    </w:p>
    <w:p w14:paraId="4AB052BB" w14:textId="77777777" w:rsidR="00043943" w:rsidRDefault="00043943" w:rsidP="00651549">
      <w:pPr>
        <w:spacing w:before="0" w:after="160" w:line="278" w:lineRule="auto"/>
        <w:jc w:val="center"/>
        <w:rPr>
          <w:b/>
          <w:bCs/>
          <w:szCs w:val="28"/>
          <w:lang w:val="en-GB"/>
        </w:rPr>
      </w:pPr>
    </w:p>
    <w:p w14:paraId="72FBE216" w14:textId="255F0E32" w:rsidR="00651549" w:rsidRPr="007250A8" w:rsidRDefault="00651549" w:rsidP="00651549">
      <w:pPr>
        <w:spacing w:before="0" w:after="160" w:line="278" w:lineRule="auto"/>
        <w:jc w:val="center"/>
        <w:rPr>
          <w:b/>
          <w:bCs/>
          <w:szCs w:val="28"/>
          <w:lang w:val="en-GB"/>
        </w:rPr>
      </w:pPr>
      <w:r w:rsidRPr="007250A8">
        <w:rPr>
          <w:b/>
          <w:bCs/>
          <w:szCs w:val="28"/>
          <w:lang w:val="en-GB"/>
        </w:rPr>
        <w:t>Lecturer:</w:t>
      </w:r>
      <w:r w:rsidR="00E27C07" w:rsidRPr="007250A8">
        <w:rPr>
          <w:sz w:val="20"/>
          <w:szCs w:val="24"/>
          <w:lang w:val="en-GB"/>
        </w:rPr>
        <w:t xml:space="preserve"> </w:t>
      </w:r>
      <w:r w:rsidR="008E2353">
        <w:rPr>
          <w:b/>
          <w:bCs/>
          <w:szCs w:val="28"/>
          <w:lang w:val="en-GB"/>
        </w:rPr>
        <w:t>Md Kalam</w:t>
      </w:r>
    </w:p>
    <w:p w14:paraId="51BFBF40" w14:textId="77777777" w:rsidR="00E27C07" w:rsidRPr="007250A8" w:rsidRDefault="00E27C07" w:rsidP="00651549">
      <w:pPr>
        <w:spacing w:before="0" w:after="160" w:line="278" w:lineRule="auto"/>
        <w:jc w:val="center"/>
        <w:rPr>
          <w:b/>
          <w:bCs/>
          <w:sz w:val="28"/>
          <w:szCs w:val="32"/>
          <w:lang w:val="en-GB"/>
        </w:rPr>
      </w:pPr>
    </w:p>
    <w:p w14:paraId="441D6CCA" w14:textId="11EF9E63" w:rsidR="00651549" w:rsidRPr="007250A8" w:rsidRDefault="00651549" w:rsidP="00651549">
      <w:pPr>
        <w:spacing w:before="0" w:after="160" w:line="278" w:lineRule="auto"/>
        <w:jc w:val="center"/>
        <w:rPr>
          <w:b/>
          <w:bCs/>
          <w:sz w:val="28"/>
          <w:szCs w:val="32"/>
          <w:lang w:val="en-GB"/>
        </w:rPr>
      </w:pPr>
      <w:r w:rsidRPr="007250A8">
        <w:rPr>
          <w:b/>
          <w:bCs/>
          <w:sz w:val="28"/>
          <w:szCs w:val="32"/>
          <w:lang w:val="en-GB"/>
        </w:rPr>
        <w:t xml:space="preserve">Submission Date: 13th August 2026 </w:t>
      </w:r>
    </w:p>
    <w:p w14:paraId="6BD2B5FA" w14:textId="77777777" w:rsidR="00E27C07" w:rsidRPr="007250A8" w:rsidRDefault="00E27C07" w:rsidP="00651549">
      <w:pPr>
        <w:spacing w:before="0" w:after="160" w:line="278" w:lineRule="auto"/>
        <w:jc w:val="center"/>
        <w:rPr>
          <w:b/>
          <w:bCs/>
          <w:sz w:val="28"/>
          <w:szCs w:val="32"/>
          <w:lang w:val="en-GB"/>
        </w:rPr>
      </w:pPr>
    </w:p>
    <w:p w14:paraId="38FC3F85" w14:textId="27B2C7A1" w:rsidR="00E27C07" w:rsidRPr="007250A8" w:rsidRDefault="00E27C07" w:rsidP="00651549">
      <w:pPr>
        <w:spacing w:before="0" w:after="160" w:line="278" w:lineRule="auto"/>
        <w:jc w:val="center"/>
        <w:rPr>
          <w:b/>
          <w:bCs/>
          <w:sz w:val="28"/>
          <w:szCs w:val="32"/>
          <w:lang w:val="en-GB"/>
        </w:rPr>
      </w:pPr>
      <w:r w:rsidRPr="007250A8">
        <w:rPr>
          <w:b/>
          <w:bCs/>
          <w:sz w:val="28"/>
          <w:szCs w:val="32"/>
          <w:lang w:val="en-GB"/>
        </w:rPr>
        <w:t>Student Name:</w:t>
      </w:r>
      <w:r w:rsidR="008E2353">
        <w:rPr>
          <w:b/>
          <w:bCs/>
          <w:sz w:val="28"/>
          <w:szCs w:val="32"/>
          <w:lang w:val="en-GB"/>
        </w:rPr>
        <w:t xml:space="preserve"> Sajan </w:t>
      </w:r>
      <w:r w:rsidR="00043943">
        <w:rPr>
          <w:b/>
          <w:bCs/>
          <w:sz w:val="28"/>
          <w:szCs w:val="32"/>
          <w:lang w:val="en-GB"/>
        </w:rPr>
        <w:t>Hareshbhai</w:t>
      </w:r>
      <w:r w:rsidR="008E2353">
        <w:rPr>
          <w:b/>
          <w:bCs/>
          <w:sz w:val="28"/>
          <w:szCs w:val="32"/>
          <w:lang w:val="en-GB"/>
        </w:rPr>
        <w:t xml:space="preserve"> Vekariya</w:t>
      </w:r>
    </w:p>
    <w:p w14:paraId="53C73EB2" w14:textId="77777777" w:rsidR="00043943" w:rsidRDefault="00043943" w:rsidP="00651549">
      <w:pPr>
        <w:spacing w:before="0" w:after="160" w:line="278" w:lineRule="auto"/>
        <w:jc w:val="center"/>
        <w:rPr>
          <w:b/>
          <w:bCs/>
          <w:sz w:val="28"/>
          <w:szCs w:val="32"/>
          <w:lang w:val="en-GB"/>
        </w:rPr>
      </w:pPr>
    </w:p>
    <w:p w14:paraId="3064820B" w14:textId="58EE9497" w:rsidR="00E27C07" w:rsidRPr="007250A8" w:rsidRDefault="00E27C07" w:rsidP="00651549">
      <w:pPr>
        <w:spacing w:before="0" w:after="160" w:line="278" w:lineRule="auto"/>
        <w:jc w:val="center"/>
        <w:rPr>
          <w:b/>
          <w:bCs/>
          <w:sz w:val="28"/>
          <w:szCs w:val="32"/>
          <w:lang w:val="en-GB"/>
        </w:rPr>
      </w:pPr>
      <w:r w:rsidRPr="007250A8">
        <w:rPr>
          <w:b/>
          <w:bCs/>
          <w:sz w:val="28"/>
          <w:szCs w:val="32"/>
          <w:lang w:val="en-GB"/>
        </w:rPr>
        <w:t xml:space="preserve">Student ID: </w:t>
      </w:r>
      <w:r w:rsidR="008E2353">
        <w:rPr>
          <w:b/>
          <w:bCs/>
          <w:sz w:val="28"/>
          <w:szCs w:val="32"/>
          <w:lang w:val="en-GB"/>
        </w:rPr>
        <w:t>2529464</w:t>
      </w:r>
    </w:p>
    <w:p w14:paraId="75E7A74E" w14:textId="77777777" w:rsidR="00E27C07" w:rsidRPr="007250A8" w:rsidRDefault="00E27C07" w:rsidP="00651549">
      <w:pPr>
        <w:spacing w:before="0" w:after="160" w:line="278" w:lineRule="auto"/>
        <w:jc w:val="center"/>
        <w:rPr>
          <w:b/>
          <w:bCs/>
          <w:sz w:val="28"/>
          <w:szCs w:val="32"/>
          <w:lang w:val="en-GB"/>
        </w:rPr>
      </w:pPr>
    </w:p>
    <w:p w14:paraId="4F976C9B" w14:textId="34E9D169" w:rsidR="00E27C07" w:rsidRPr="007250A8" w:rsidRDefault="00E27C07" w:rsidP="00651549">
      <w:pPr>
        <w:spacing w:before="0" w:after="160" w:line="278" w:lineRule="auto"/>
        <w:jc w:val="center"/>
        <w:rPr>
          <w:b/>
          <w:bCs/>
          <w:sz w:val="28"/>
          <w:szCs w:val="32"/>
          <w:lang w:val="en-GB"/>
        </w:rPr>
      </w:pPr>
      <w:r w:rsidRPr="007250A8">
        <w:rPr>
          <w:b/>
          <w:bCs/>
          <w:sz w:val="28"/>
          <w:szCs w:val="32"/>
          <w:lang w:val="en-GB"/>
        </w:rPr>
        <w:t>Words: 50</w:t>
      </w:r>
      <w:r w:rsidR="00043943">
        <w:rPr>
          <w:b/>
          <w:bCs/>
          <w:sz w:val="28"/>
          <w:szCs w:val="32"/>
          <w:lang w:val="en-GB"/>
        </w:rPr>
        <w:t>89</w:t>
      </w:r>
    </w:p>
    <w:p w14:paraId="0B48FDBC" w14:textId="77777777" w:rsidR="00E27C07" w:rsidRPr="007250A8" w:rsidRDefault="00E27C07">
      <w:pPr>
        <w:spacing w:before="0" w:after="160" w:line="278" w:lineRule="auto"/>
        <w:jc w:val="left"/>
        <w:rPr>
          <w:b/>
          <w:bCs/>
          <w:sz w:val="28"/>
          <w:szCs w:val="32"/>
          <w:lang w:val="en-GB"/>
        </w:rPr>
      </w:pPr>
      <w:r w:rsidRPr="007250A8">
        <w:rPr>
          <w:b/>
          <w:bCs/>
          <w:sz w:val="28"/>
          <w:szCs w:val="32"/>
          <w:lang w:val="en-GB"/>
        </w:rPr>
        <w:br w:type="page"/>
      </w:r>
    </w:p>
    <w:p w14:paraId="56347DB2" w14:textId="40EB2C0A" w:rsidR="00E27C07" w:rsidRPr="007250A8" w:rsidRDefault="00E27C07" w:rsidP="00E27C07">
      <w:pPr>
        <w:jc w:val="center"/>
        <w:rPr>
          <w:b/>
          <w:bCs/>
          <w:sz w:val="28"/>
          <w:szCs w:val="32"/>
          <w:lang w:val="en-GB"/>
        </w:rPr>
      </w:pPr>
      <w:r w:rsidRPr="007250A8">
        <w:rPr>
          <w:b/>
          <w:bCs/>
          <w:sz w:val="28"/>
          <w:szCs w:val="32"/>
          <w:lang w:val="en-GB"/>
        </w:rPr>
        <w:lastRenderedPageBreak/>
        <w:t>AI Acknowledgement</w:t>
      </w:r>
    </w:p>
    <w:p w14:paraId="7A56EF87" w14:textId="493385EB" w:rsidR="00E27C07" w:rsidRPr="007250A8" w:rsidRDefault="00E27C07" w:rsidP="00E27C07">
      <w:pPr>
        <w:rPr>
          <w:lang w:val="en-GB"/>
        </w:rPr>
      </w:pPr>
      <w:r w:rsidRPr="007250A8">
        <w:rPr>
          <w:lang w:val="en-GB"/>
        </w:rPr>
        <w:t xml:space="preserve">The financial report on Marriott International, UK is done entirely based on secondary research without using any generative AI tool like </w:t>
      </w:r>
      <w:r w:rsidR="004C044F" w:rsidRPr="007250A8">
        <w:rPr>
          <w:lang w:val="en-GB"/>
        </w:rPr>
        <w:t>Copilot</w:t>
      </w:r>
      <w:r w:rsidRPr="007250A8">
        <w:rPr>
          <w:lang w:val="en-GB"/>
        </w:rPr>
        <w:t xml:space="preserve">. The overall report is done by me using annual report of the company and financial calculations are done relying on company data. </w:t>
      </w:r>
    </w:p>
    <w:p w14:paraId="495F4DCF" w14:textId="2F0490AB" w:rsidR="003E1519" w:rsidRPr="007250A8" w:rsidRDefault="003E1519" w:rsidP="00343385">
      <w:pPr>
        <w:spacing w:before="0" w:after="160" w:line="278" w:lineRule="auto"/>
        <w:jc w:val="center"/>
        <w:rPr>
          <w:b/>
          <w:bCs/>
          <w:i/>
          <w:iCs/>
          <w:sz w:val="32"/>
          <w:szCs w:val="36"/>
          <w:lang w:val="en-GB"/>
        </w:rPr>
      </w:pPr>
      <w:r w:rsidRPr="007250A8">
        <w:rPr>
          <w:lang w:val="en-GB"/>
        </w:rPr>
        <w:br w:type="page"/>
      </w:r>
    </w:p>
    <w:sdt>
      <w:sdtPr>
        <w:rPr>
          <w:rFonts w:ascii="Arial" w:eastAsiaTheme="minorHAnsi" w:hAnsi="Arial" w:cstheme="minorBidi"/>
          <w:color w:val="auto"/>
          <w:kern w:val="2"/>
          <w:sz w:val="24"/>
          <w:szCs w:val="30"/>
          <w:lang w:val="en-GB" w:bidi="th-TH"/>
          <w14:ligatures w14:val="standardContextual"/>
        </w:rPr>
        <w:id w:val="-1453865437"/>
        <w:docPartObj>
          <w:docPartGallery w:val="Table of Contents"/>
          <w:docPartUnique/>
        </w:docPartObj>
      </w:sdtPr>
      <w:sdtEndPr>
        <w:rPr>
          <w:b/>
          <w:bCs/>
          <w:noProof/>
        </w:rPr>
      </w:sdtEndPr>
      <w:sdtContent>
        <w:p w14:paraId="0906C1E0" w14:textId="5108DD99" w:rsidR="003E1519" w:rsidRPr="007250A8" w:rsidRDefault="003E1519" w:rsidP="003E1519">
          <w:pPr>
            <w:pStyle w:val="TOCHeading"/>
            <w:jc w:val="center"/>
            <w:rPr>
              <w:rFonts w:ascii="Arial" w:hAnsi="Arial" w:cs="Arial"/>
              <w:b/>
              <w:bCs/>
              <w:color w:val="000000" w:themeColor="text1"/>
              <w:sz w:val="28"/>
              <w:szCs w:val="28"/>
              <w:lang w:val="en-GB"/>
            </w:rPr>
          </w:pPr>
          <w:r w:rsidRPr="007250A8">
            <w:rPr>
              <w:rFonts w:ascii="Arial" w:hAnsi="Arial" w:cs="Arial"/>
              <w:b/>
              <w:bCs/>
              <w:color w:val="000000" w:themeColor="text1"/>
              <w:sz w:val="28"/>
              <w:szCs w:val="28"/>
              <w:lang w:val="en-GB"/>
            </w:rPr>
            <w:t>Table of Contents</w:t>
          </w:r>
        </w:p>
        <w:p w14:paraId="090DC55A" w14:textId="518EF7D8" w:rsidR="004203B9" w:rsidRPr="007250A8" w:rsidRDefault="003E1519">
          <w:pPr>
            <w:pStyle w:val="TOC1"/>
            <w:tabs>
              <w:tab w:val="right" w:leader="dot" w:pos="9016"/>
            </w:tabs>
            <w:rPr>
              <w:rFonts w:asciiTheme="minorHAnsi" w:eastAsiaTheme="minorEastAsia" w:hAnsiTheme="minorHAnsi"/>
              <w:noProof/>
              <w:szCs w:val="24"/>
              <w:lang w:val="en-GB" w:eastAsia="en-IN" w:bidi="ar-SA"/>
            </w:rPr>
          </w:pPr>
          <w:r w:rsidRPr="007250A8">
            <w:rPr>
              <w:lang w:val="en-GB"/>
            </w:rPr>
            <w:fldChar w:fldCharType="begin"/>
          </w:r>
          <w:r w:rsidRPr="007250A8">
            <w:rPr>
              <w:lang w:val="en-GB"/>
            </w:rPr>
            <w:instrText xml:space="preserve"> TOC \o "1-3" \h \z \u </w:instrText>
          </w:r>
          <w:r w:rsidRPr="007250A8">
            <w:rPr>
              <w:lang w:val="en-GB"/>
            </w:rPr>
            <w:fldChar w:fldCharType="separate"/>
          </w:r>
          <w:hyperlink w:anchor="_Toc237459771" w:history="1">
            <w:r w:rsidR="004203B9" w:rsidRPr="007250A8">
              <w:rPr>
                <w:rStyle w:val="Hyperlink"/>
                <w:noProof/>
                <w:lang w:val="en-GB"/>
              </w:rPr>
              <w:t>1. Introduction</w:t>
            </w:r>
            <w:r w:rsidR="004203B9" w:rsidRPr="007250A8">
              <w:rPr>
                <w:noProof/>
                <w:webHidden/>
                <w:lang w:val="en-GB"/>
              </w:rPr>
              <w:tab/>
            </w:r>
            <w:r w:rsidR="004203B9" w:rsidRPr="007250A8">
              <w:rPr>
                <w:noProof/>
                <w:webHidden/>
                <w:lang w:val="en-GB"/>
              </w:rPr>
              <w:fldChar w:fldCharType="begin"/>
            </w:r>
            <w:r w:rsidR="004203B9" w:rsidRPr="007250A8">
              <w:rPr>
                <w:noProof/>
                <w:webHidden/>
                <w:lang w:val="en-GB"/>
              </w:rPr>
              <w:instrText xml:space="preserve"> PAGEREF _Toc237459771 \h </w:instrText>
            </w:r>
            <w:r w:rsidR="004203B9" w:rsidRPr="007250A8">
              <w:rPr>
                <w:noProof/>
                <w:webHidden/>
                <w:lang w:val="en-GB"/>
              </w:rPr>
            </w:r>
            <w:r w:rsidR="004203B9" w:rsidRPr="007250A8">
              <w:rPr>
                <w:noProof/>
                <w:webHidden/>
                <w:lang w:val="en-GB"/>
              </w:rPr>
              <w:fldChar w:fldCharType="separate"/>
            </w:r>
            <w:r w:rsidR="00043943">
              <w:rPr>
                <w:noProof/>
                <w:webHidden/>
                <w:lang w:val="en-GB"/>
              </w:rPr>
              <w:t>6</w:t>
            </w:r>
            <w:r w:rsidR="004203B9" w:rsidRPr="007250A8">
              <w:rPr>
                <w:noProof/>
                <w:webHidden/>
                <w:lang w:val="en-GB"/>
              </w:rPr>
              <w:fldChar w:fldCharType="end"/>
            </w:r>
          </w:hyperlink>
        </w:p>
        <w:p w14:paraId="7058B6FB" w14:textId="4839B3A0"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772" w:history="1">
            <w:r w:rsidRPr="007250A8">
              <w:rPr>
                <w:rStyle w:val="Hyperlink"/>
                <w:noProof/>
                <w:lang w:val="en-GB"/>
              </w:rPr>
              <w:t>2. Financial Health Check</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_Toc237459772 \h </w:instrText>
            </w:r>
            <w:r w:rsidRPr="007250A8">
              <w:rPr>
                <w:noProof/>
                <w:webHidden/>
                <w:lang w:val="en-GB"/>
              </w:rPr>
            </w:r>
            <w:r w:rsidRPr="007250A8">
              <w:rPr>
                <w:noProof/>
                <w:webHidden/>
                <w:lang w:val="en-GB"/>
              </w:rPr>
              <w:fldChar w:fldCharType="separate"/>
            </w:r>
            <w:r w:rsidR="00043943">
              <w:rPr>
                <w:noProof/>
                <w:webHidden/>
                <w:lang w:val="en-GB"/>
              </w:rPr>
              <w:t>6</w:t>
            </w:r>
            <w:r w:rsidRPr="007250A8">
              <w:rPr>
                <w:noProof/>
                <w:webHidden/>
                <w:lang w:val="en-GB"/>
              </w:rPr>
              <w:fldChar w:fldCharType="end"/>
            </w:r>
          </w:hyperlink>
        </w:p>
        <w:p w14:paraId="1670A5E7" w14:textId="7DF4C9DE"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73" w:history="1">
            <w:r w:rsidRPr="007250A8">
              <w:rPr>
                <w:rStyle w:val="Hyperlink"/>
                <w:noProof/>
                <w:lang w:val="en-GB"/>
              </w:rPr>
              <w:t>2.1 Financial Situation Overview</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_Toc237459773 \h </w:instrText>
            </w:r>
            <w:r w:rsidRPr="007250A8">
              <w:rPr>
                <w:noProof/>
                <w:webHidden/>
                <w:lang w:val="en-GB"/>
              </w:rPr>
            </w:r>
            <w:r w:rsidRPr="007250A8">
              <w:rPr>
                <w:noProof/>
                <w:webHidden/>
                <w:lang w:val="en-GB"/>
              </w:rPr>
              <w:fldChar w:fldCharType="separate"/>
            </w:r>
            <w:r w:rsidR="00043943">
              <w:rPr>
                <w:noProof/>
                <w:webHidden/>
                <w:lang w:val="en-GB"/>
              </w:rPr>
              <w:t>6</w:t>
            </w:r>
            <w:r w:rsidRPr="007250A8">
              <w:rPr>
                <w:noProof/>
                <w:webHidden/>
                <w:lang w:val="en-GB"/>
              </w:rPr>
              <w:fldChar w:fldCharType="end"/>
            </w:r>
          </w:hyperlink>
        </w:p>
        <w:p w14:paraId="7A9953C6" w14:textId="5CCAD690"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74" w:history="1">
            <w:r w:rsidRPr="007250A8">
              <w:rPr>
                <w:rStyle w:val="Hyperlink"/>
                <w:noProof/>
                <w:lang w:val="en-GB"/>
              </w:rPr>
              <w:t>2.1.1 Income Statement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_Toc237459774 \h </w:instrText>
            </w:r>
            <w:r w:rsidRPr="007250A8">
              <w:rPr>
                <w:noProof/>
                <w:webHidden/>
                <w:lang w:val="en-GB"/>
              </w:rPr>
            </w:r>
            <w:r w:rsidRPr="007250A8">
              <w:rPr>
                <w:noProof/>
                <w:webHidden/>
                <w:lang w:val="en-GB"/>
              </w:rPr>
              <w:fldChar w:fldCharType="separate"/>
            </w:r>
            <w:r w:rsidR="00043943">
              <w:rPr>
                <w:noProof/>
                <w:webHidden/>
                <w:lang w:val="en-GB"/>
              </w:rPr>
              <w:t>6</w:t>
            </w:r>
            <w:r w:rsidRPr="007250A8">
              <w:rPr>
                <w:noProof/>
                <w:webHidden/>
                <w:lang w:val="en-GB"/>
              </w:rPr>
              <w:fldChar w:fldCharType="end"/>
            </w:r>
          </w:hyperlink>
        </w:p>
        <w:p w14:paraId="672FD05C" w14:textId="31B30264"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75" w:history="1">
            <w:r w:rsidRPr="007250A8">
              <w:rPr>
                <w:rStyle w:val="Hyperlink"/>
                <w:noProof/>
                <w:lang w:val="en-GB"/>
              </w:rPr>
              <w:t>2.1.2 Balance Sheet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_Toc237459775 \h </w:instrText>
            </w:r>
            <w:r w:rsidRPr="007250A8">
              <w:rPr>
                <w:noProof/>
                <w:webHidden/>
                <w:lang w:val="en-GB"/>
              </w:rPr>
            </w:r>
            <w:r w:rsidRPr="007250A8">
              <w:rPr>
                <w:noProof/>
                <w:webHidden/>
                <w:lang w:val="en-GB"/>
              </w:rPr>
              <w:fldChar w:fldCharType="separate"/>
            </w:r>
            <w:r w:rsidR="00043943">
              <w:rPr>
                <w:noProof/>
                <w:webHidden/>
                <w:lang w:val="en-GB"/>
              </w:rPr>
              <w:t>6</w:t>
            </w:r>
            <w:r w:rsidRPr="007250A8">
              <w:rPr>
                <w:noProof/>
                <w:webHidden/>
                <w:lang w:val="en-GB"/>
              </w:rPr>
              <w:fldChar w:fldCharType="end"/>
            </w:r>
          </w:hyperlink>
        </w:p>
        <w:p w14:paraId="305935F6" w14:textId="3AF680C1"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76" w:history="1">
            <w:r w:rsidRPr="007250A8">
              <w:rPr>
                <w:rStyle w:val="Hyperlink"/>
                <w:noProof/>
                <w:lang w:val="en-GB"/>
              </w:rPr>
              <w:t>2.1.3 Cash Flow Statement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_Toc237459776 \h </w:instrText>
            </w:r>
            <w:r w:rsidRPr="007250A8">
              <w:rPr>
                <w:noProof/>
                <w:webHidden/>
                <w:lang w:val="en-GB"/>
              </w:rPr>
            </w:r>
            <w:r w:rsidRPr="007250A8">
              <w:rPr>
                <w:noProof/>
                <w:webHidden/>
                <w:lang w:val="en-GB"/>
              </w:rPr>
              <w:fldChar w:fldCharType="separate"/>
            </w:r>
            <w:r w:rsidR="00043943">
              <w:rPr>
                <w:noProof/>
                <w:webHidden/>
                <w:lang w:val="en-GB"/>
              </w:rPr>
              <w:t>7</w:t>
            </w:r>
            <w:r w:rsidRPr="007250A8">
              <w:rPr>
                <w:noProof/>
                <w:webHidden/>
                <w:lang w:val="en-GB"/>
              </w:rPr>
              <w:fldChar w:fldCharType="end"/>
            </w:r>
          </w:hyperlink>
        </w:p>
        <w:p w14:paraId="6977DE5B" w14:textId="054D638C"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77" w:history="1">
            <w:r w:rsidRPr="007250A8">
              <w:rPr>
                <w:rStyle w:val="Hyperlink"/>
                <w:noProof/>
                <w:lang w:val="en-GB"/>
              </w:rPr>
              <w:t>2.2 Ratio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_Toc237459777 \h </w:instrText>
            </w:r>
            <w:r w:rsidRPr="007250A8">
              <w:rPr>
                <w:noProof/>
                <w:webHidden/>
                <w:lang w:val="en-GB"/>
              </w:rPr>
            </w:r>
            <w:r w:rsidRPr="007250A8">
              <w:rPr>
                <w:noProof/>
                <w:webHidden/>
                <w:lang w:val="en-GB"/>
              </w:rPr>
              <w:fldChar w:fldCharType="separate"/>
            </w:r>
            <w:r w:rsidR="00043943">
              <w:rPr>
                <w:noProof/>
                <w:webHidden/>
                <w:lang w:val="en-GB"/>
              </w:rPr>
              <w:t>7</w:t>
            </w:r>
            <w:r w:rsidRPr="007250A8">
              <w:rPr>
                <w:noProof/>
                <w:webHidden/>
                <w:lang w:val="en-GB"/>
              </w:rPr>
              <w:fldChar w:fldCharType="end"/>
            </w:r>
          </w:hyperlink>
        </w:p>
        <w:p w14:paraId="369A278B" w14:textId="737E1A18"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78" w:history="1">
            <w:r w:rsidRPr="007250A8">
              <w:rPr>
                <w:rStyle w:val="Hyperlink"/>
                <w:noProof/>
                <w:lang w:val="en-GB"/>
              </w:rPr>
              <w:t>2.2.1 Liquidity Ratios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_Toc237459778 \h </w:instrText>
            </w:r>
            <w:r w:rsidRPr="007250A8">
              <w:rPr>
                <w:noProof/>
                <w:webHidden/>
                <w:lang w:val="en-GB"/>
              </w:rPr>
            </w:r>
            <w:r w:rsidRPr="007250A8">
              <w:rPr>
                <w:noProof/>
                <w:webHidden/>
                <w:lang w:val="en-GB"/>
              </w:rPr>
              <w:fldChar w:fldCharType="separate"/>
            </w:r>
            <w:r w:rsidR="00043943">
              <w:rPr>
                <w:noProof/>
                <w:webHidden/>
                <w:lang w:val="en-GB"/>
              </w:rPr>
              <w:t>7</w:t>
            </w:r>
            <w:r w:rsidRPr="007250A8">
              <w:rPr>
                <w:noProof/>
                <w:webHidden/>
                <w:lang w:val="en-GB"/>
              </w:rPr>
              <w:fldChar w:fldCharType="end"/>
            </w:r>
          </w:hyperlink>
        </w:p>
        <w:p w14:paraId="52EBDB35" w14:textId="34306326"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79" w:history="1">
            <w:r w:rsidRPr="007250A8">
              <w:rPr>
                <w:rStyle w:val="Hyperlink"/>
                <w:noProof/>
                <w:lang w:val="en-GB"/>
              </w:rPr>
              <w:t>2.2.2 Profitability Ratios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_Toc237459779 \h </w:instrText>
            </w:r>
            <w:r w:rsidRPr="007250A8">
              <w:rPr>
                <w:noProof/>
                <w:webHidden/>
                <w:lang w:val="en-GB"/>
              </w:rPr>
            </w:r>
            <w:r w:rsidRPr="007250A8">
              <w:rPr>
                <w:noProof/>
                <w:webHidden/>
                <w:lang w:val="en-GB"/>
              </w:rPr>
              <w:fldChar w:fldCharType="separate"/>
            </w:r>
            <w:r w:rsidR="00043943">
              <w:rPr>
                <w:noProof/>
                <w:webHidden/>
                <w:lang w:val="en-GB"/>
              </w:rPr>
              <w:t>7</w:t>
            </w:r>
            <w:r w:rsidRPr="007250A8">
              <w:rPr>
                <w:noProof/>
                <w:webHidden/>
                <w:lang w:val="en-GB"/>
              </w:rPr>
              <w:fldChar w:fldCharType="end"/>
            </w:r>
          </w:hyperlink>
        </w:p>
        <w:p w14:paraId="3D4566AE" w14:textId="55B0D3AE"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0" w:history="1">
            <w:r w:rsidRPr="007250A8">
              <w:rPr>
                <w:rStyle w:val="Hyperlink"/>
                <w:noProof/>
                <w:lang w:val="en-GB"/>
              </w:rPr>
              <w:t>2.2.3 Leverage Ratios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_Toc237459780 \h </w:instrText>
            </w:r>
            <w:r w:rsidRPr="007250A8">
              <w:rPr>
                <w:noProof/>
                <w:webHidden/>
                <w:lang w:val="en-GB"/>
              </w:rPr>
            </w:r>
            <w:r w:rsidRPr="007250A8">
              <w:rPr>
                <w:noProof/>
                <w:webHidden/>
                <w:lang w:val="en-GB"/>
              </w:rPr>
              <w:fldChar w:fldCharType="separate"/>
            </w:r>
            <w:r w:rsidR="00043943">
              <w:rPr>
                <w:noProof/>
                <w:webHidden/>
                <w:lang w:val="en-GB"/>
              </w:rPr>
              <w:t>8</w:t>
            </w:r>
            <w:r w:rsidRPr="007250A8">
              <w:rPr>
                <w:noProof/>
                <w:webHidden/>
                <w:lang w:val="en-GB"/>
              </w:rPr>
              <w:fldChar w:fldCharType="end"/>
            </w:r>
          </w:hyperlink>
        </w:p>
        <w:p w14:paraId="2A8106AA" w14:textId="60B881A9"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1" w:history="1">
            <w:r w:rsidRPr="007250A8">
              <w:rPr>
                <w:rStyle w:val="Hyperlink"/>
                <w:noProof/>
                <w:lang w:val="en-GB"/>
              </w:rPr>
              <w:t>2.2.4 Efficiency Ratios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_Toc237459781 \h </w:instrText>
            </w:r>
            <w:r w:rsidRPr="007250A8">
              <w:rPr>
                <w:noProof/>
                <w:webHidden/>
                <w:lang w:val="en-GB"/>
              </w:rPr>
            </w:r>
            <w:r w:rsidRPr="007250A8">
              <w:rPr>
                <w:noProof/>
                <w:webHidden/>
                <w:lang w:val="en-GB"/>
              </w:rPr>
              <w:fldChar w:fldCharType="separate"/>
            </w:r>
            <w:r w:rsidR="00043943">
              <w:rPr>
                <w:noProof/>
                <w:webHidden/>
                <w:lang w:val="en-GB"/>
              </w:rPr>
              <w:t>8</w:t>
            </w:r>
            <w:r w:rsidRPr="007250A8">
              <w:rPr>
                <w:noProof/>
                <w:webHidden/>
                <w:lang w:val="en-GB"/>
              </w:rPr>
              <w:fldChar w:fldCharType="end"/>
            </w:r>
          </w:hyperlink>
        </w:p>
        <w:p w14:paraId="32E97F5A" w14:textId="4307A0A2"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2" w:history="1">
            <w:r w:rsidRPr="007250A8">
              <w:rPr>
                <w:rStyle w:val="Hyperlink"/>
                <w:noProof/>
                <w:lang w:val="en-GB"/>
              </w:rPr>
              <w:t>2.2.5 Investment Ratios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_Toc237459782 \h </w:instrText>
            </w:r>
            <w:r w:rsidRPr="007250A8">
              <w:rPr>
                <w:noProof/>
                <w:webHidden/>
                <w:lang w:val="en-GB"/>
              </w:rPr>
            </w:r>
            <w:r w:rsidRPr="007250A8">
              <w:rPr>
                <w:noProof/>
                <w:webHidden/>
                <w:lang w:val="en-GB"/>
              </w:rPr>
              <w:fldChar w:fldCharType="separate"/>
            </w:r>
            <w:r w:rsidR="00043943">
              <w:rPr>
                <w:noProof/>
                <w:webHidden/>
                <w:lang w:val="en-GB"/>
              </w:rPr>
              <w:t>9</w:t>
            </w:r>
            <w:r w:rsidRPr="007250A8">
              <w:rPr>
                <w:noProof/>
                <w:webHidden/>
                <w:lang w:val="en-GB"/>
              </w:rPr>
              <w:fldChar w:fldCharType="end"/>
            </w:r>
          </w:hyperlink>
        </w:p>
        <w:p w14:paraId="42C76022" w14:textId="6722567C"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3" w:history="1">
            <w:r w:rsidRPr="007250A8">
              <w:rPr>
                <w:rStyle w:val="Hyperlink"/>
                <w:noProof/>
                <w:lang w:val="en-GB"/>
              </w:rPr>
              <w:t>2.2.6 Cash Flow Ratio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_Toc237459783 \h </w:instrText>
            </w:r>
            <w:r w:rsidRPr="007250A8">
              <w:rPr>
                <w:noProof/>
                <w:webHidden/>
                <w:lang w:val="en-GB"/>
              </w:rPr>
            </w:r>
            <w:r w:rsidRPr="007250A8">
              <w:rPr>
                <w:noProof/>
                <w:webHidden/>
                <w:lang w:val="en-GB"/>
              </w:rPr>
              <w:fldChar w:fldCharType="separate"/>
            </w:r>
            <w:r w:rsidR="00043943">
              <w:rPr>
                <w:noProof/>
                <w:webHidden/>
                <w:lang w:val="en-GB"/>
              </w:rPr>
              <w:t>9</w:t>
            </w:r>
            <w:r w:rsidRPr="007250A8">
              <w:rPr>
                <w:noProof/>
                <w:webHidden/>
                <w:lang w:val="en-GB"/>
              </w:rPr>
              <w:fldChar w:fldCharType="end"/>
            </w:r>
          </w:hyperlink>
        </w:p>
        <w:p w14:paraId="75BFDA48" w14:textId="63DBCE01"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84" w:history="1">
            <w:r w:rsidRPr="007250A8">
              <w:rPr>
                <w:rStyle w:val="Hyperlink"/>
                <w:noProof/>
                <w:lang w:val="en-GB"/>
              </w:rPr>
              <w:t>2.3 Trend and Strength and Threat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_Toc237459784 \h </w:instrText>
            </w:r>
            <w:r w:rsidRPr="007250A8">
              <w:rPr>
                <w:noProof/>
                <w:webHidden/>
                <w:lang w:val="en-GB"/>
              </w:rPr>
            </w:r>
            <w:r w:rsidRPr="007250A8">
              <w:rPr>
                <w:noProof/>
                <w:webHidden/>
                <w:lang w:val="en-GB"/>
              </w:rPr>
              <w:fldChar w:fldCharType="separate"/>
            </w:r>
            <w:r w:rsidR="00043943">
              <w:rPr>
                <w:noProof/>
                <w:webHidden/>
                <w:lang w:val="en-GB"/>
              </w:rPr>
              <w:t>10</w:t>
            </w:r>
            <w:r w:rsidRPr="007250A8">
              <w:rPr>
                <w:noProof/>
                <w:webHidden/>
                <w:lang w:val="en-GB"/>
              </w:rPr>
              <w:fldChar w:fldCharType="end"/>
            </w:r>
          </w:hyperlink>
        </w:p>
        <w:p w14:paraId="5C25E581" w14:textId="0011531E"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5" w:history="1">
            <w:r w:rsidRPr="007250A8">
              <w:rPr>
                <w:rStyle w:val="Hyperlink"/>
                <w:noProof/>
                <w:lang w:val="en-GB"/>
              </w:rPr>
              <w:t>2.3.1 Trend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_Toc237459785 \h </w:instrText>
            </w:r>
            <w:r w:rsidRPr="007250A8">
              <w:rPr>
                <w:noProof/>
                <w:webHidden/>
                <w:lang w:val="en-GB"/>
              </w:rPr>
            </w:r>
            <w:r w:rsidRPr="007250A8">
              <w:rPr>
                <w:noProof/>
                <w:webHidden/>
                <w:lang w:val="en-GB"/>
              </w:rPr>
              <w:fldChar w:fldCharType="separate"/>
            </w:r>
            <w:r w:rsidR="00043943">
              <w:rPr>
                <w:noProof/>
                <w:webHidden/>
                <w:lang w:val="en-GB"/>
              </w:rPr>
              <w:t>10</w:t>
            </w:r>
            <w:r w:rsidRPr="007250A8">
              <w:rPr>
                <w:noProof/>
                <w:webHidden/>
                <w:lang w:val="en-GB"/>
              </w:rPr>
              <w:fldChar w:fldCharType="end"/>
            </w:r>
          </w:hyperlink>
        </w:p>
        <w:p w14:paraId="34E26EB0" w14:textId="146B08FD"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786" w:history="1">
            <w:r w:rsidRPr="007250A8">
              <w:rPr>
                <w:rStyle w:val="Hyperlink"/>
                <w:noProof/>
                <w:lang w:val="en-GB"/>
              </w:rPr>
              <w:t>2.3.2 Marriott: Financial Strength and Weakness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_Toc237459786 \h </w:instrText>
            </w:r>
            <w:r w:rsidRPr="007250A8">
              <w:rPr>
                <w:noProof/>
                <w:webHidden/>
                <w:lang w:val="en-GB"/>
              </w:rPr>
            </w:r>
            <w:r w:rsidRPr="007250A8">
              <w:rPr>
                <w:noProof/>
                <w:webHidden/>
                <w:lang w:val="en-GB"/>
              </w:rPr>
              <w:fldChar w:fldCharType="separate"/>
            </w:r>
            <w:r w:rsidR="00043943">
              <w:rPr>
                <w:noProof/>
                <w:webHidden/>
                <w:lang w:val="en-GB"/>
              </w:rPr>
              <w:t>10</w:t>
            </w:r>
            <w:r w:rsidRPr="007250A8">
              <w:rPr>
                <w:noProof/>
                <w:webHidden/>
                <w:lang w:val="en-GB"/>
              </w:rPr>
              <w:fldChar w:fldCharType="end"/>
            </w:r>
          </w:hyperlink>
        </w:p>
        <w:p w14:paraId="6DBD3432" w14:textId="65AF3D18"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87" w:history="1">
            <w:r w:rsidRPr="007250A8">
              <w:rPr>
                <w:rStyle w:val="Hyperlink"/>
                <w:noProof/>
                <w:lang w:val="en-GB"/>
              </w:rPr>
              <w:t>2.4 Corporate Failure Prediction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_Toc237459787 \h </w:instrText>
            </w:r>
            <w:r w:rsidRPr="007250A8">
              <w:rPr>
                <w:noProof/>
                <w:webHidden/>
                <w:lang w:val="en-GB"/>
              </w:rPr>
            </w:r>
            <w:r w:rsidRPr="007250A8">
              <w:rPr>
                <w:noProof/>
                <w:webHidden/>
                <w:lang w:val="en-GB"/>
              </w:rPr>
              <w:fldChar w:fldCharType="separate"/>
            </w:r>
            <w:r w:rsidR="00043943">
              <w:rPr>
                <w:noProof/>
                <w:webHidden/>
                <w:lang w:val="en-GB"/>
              </w:rPr>
              <w:t>11</w:t>
            </w:r>
            <w:r w:rsidRPr="007250A8">
              <w:rPr>
                <w:noProof/>
                <w:webHidden/>
                <w:lang w:val="en-GB"/>
              </w:rPr>
              <w:fldChar w:fldCharType="end"/>
            </w:r>
          </w:hyperlink>
        </w:p>
        <w:p w14:paraId="0E884F57" w14:textId="7D8D348B"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788" w:history="1">
            <w:r w:rsidRPr="007250A8">
              <w:rPr>
                <w:rStyle w:val="Hyperlink"/>
                <w:noProof/>
                <w:lang w:val="en-GB"/>
              </w:rPr>
              <w:t>3. Analysis for working capital Management.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_Toc237459788 \h </w:instrText>
            </w:r>
            <w:r w:rsidRPr="007250A8">
              <w:rPr>
                <w:noProof/>
                <w:webHidden/>
                <w:lang w:val="en-GB"/>
              </w:rPr>
            </w:r>
            <w:r w:rsidRPr="007250A8">
              <w:rPr>
                <w:noProof/>
                <w:webHidden/>
                <w:lang w:val="en-GB"/>
              </w:rPr>
              <w:fldChar w:fldCharType="separate"/>
            </w:r>
            <w:r w:rsidR="00043943">
              <w:rPr>
                <w:noProof/>
                <w:webHidden/>
                <w:lang w:val="en-GB"/>
              </w:rPr>
              <w:t>12</w:t>
            </w:r>
            <w:r w:rsidRPr="007250A8">
              <w:rPr>
                <w:noProof/>
                <w:webHidden/>
                <w:lang w:val="en-GB"/>
              </w:rPr>
              <w:fldChar w:fldCharType="end"/>
            </w:r>
          </w:hyperlink>
        </w:p>
        <w:p w14:paraId="1E5862BF" w14:textId="06BF361D"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89" w:history="1">
            <w:r w:rsidRPr="007250A8">
              <w:rPr>
                <w:rStyle w:val="Hyperlink"/>
                <w:noProof/>
                <w:lang w:val="en-GB"/>
              </w:rPr>
              <w:t>3.1 Overview of Working Capital and Cash Operating Cycle.</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_Toc237459789 \h </w:instrText>
            </w:r>
            <w:r w:rsidRPr="007250A8">
              <w:rPr>
                <w:noProof/>
                <w:webHidden/>
                <w:lang w:val="en-GB"/>
              </w:rPr>
            </w:r>
            <w:r w:rsidRPr="007250A8">
              <w:rPr>
                <w:noProof/>
                <w:webHidden/>
                <w:lang w:val="en-GB"/>
              </w:rPr>
              <w:fldChar w:fldCharType="separate"/>
            </w:r>
            <w:r w:rsidR="00043943">
              <w:rPr>
                <w:noProof/>
                <w:webHidden/>
                <w:lang w:val="en-GB"/>
              </w:rPr>
              <w:t>12</w:t>
            </w:r>
            <w:r w:rsidRPr="007250A8">
              <w:rPr>
                <w:noProof/>
                <w:webHidden/>
                <w:lang w:val="en-GB"/>
              </w:rPr>
              <w:fldChar w:fldCharType="end"/>
            </w:r>
          </w:hyperlink>
        </w:p>
        <w:p w14:paraId="3FD0FE52" w14:textId="43170257"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0" w:history="1">
            <w:r w:rsidRPr="007250A8">
              <w:rPr>
                <w:rStyle w:val="Hyperlink"/>
                <w:noProof/>
                <w:lang w:val="en-GB"/>
              </w:rPr>
              <w:t>3.3 Existing Liquidity and Efficiency Issues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_Toc237459790 \h </w:instrText>
            </w:r>
            <w:r w:rsidRPr="007250A8">
              <w:rPr>
                <w:noProof/>
                <w:webHidden/>
                <w:lang w:val="en-GB"/>
              </w:rPr>
            </w:r>
            <w:r w:rsidRPr="007250A8">
              <w:rPr>
                <w:noProof/>
                <w:webHidden/>
                <w:lang w:val="en-GB"/>
              </w:rPr>
              <w:fldChar w:fldCharType="separate"/>
            </w:r>
            <w:r w:rsidR="00043943">
              <w:rPr>
                <w:noProof/>
                <w:webHidden/>
                <w:lang w:val="en-GB"/>
              </w:rPr>
              <w:t>12</w:t>
            </w:r>
            <w:r w:rsidRPr="007250A8">
              <w:rPr>
                <w:noProof/>
                <w:webHidden/>
                <w:lang w:val="en-GB"/>
              </w:rPr>
              <w:fldChar w:fldCharType="end"/>
            </w:r>
          </w:hyperlink>
        </w:p>
        <w:p w14:paraId="4FB96DD3" w14:textId="404A97A4"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1" w:history="1">
            <w:r w:rsidRPr="007250A8">
              <w:rPr>
                <w:rStyle w:val="Hyperlink"/>
                <w:noProof/>
                <w:lang w:val="en-GB"/>
              </w:rPr>
              <w:t>3.3 Strategies to Improve Liquidity</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_Toc237459791 \h </w:instrText>
            </w:r>
            <w:r w:rsidRPr="007250A8">
              <w:rPr>
                <w:noProof/>
                <w:webHidden/>
                <w:lang w:val="en-GB"/>
              </w:rPr>
            </w:r>
            <w:r w:rsidRPr="007250A8">
              <w:rPr>
                <w:noProof/>
                <w:webHidden/>
                <w:lang w:val="en-GB"/>
              </w:rPr>
              <w:fldChar w:fldCharType="separate"/>
            </w:r>
            <w:r w:rsidR="00043943">
              <w:rPr>
                <w:noProof/>
                <w:webHidden/>
                <w:lang w:val="en-GB"/>
              </w:rPr>
              <w:t>13</w:t>
            </w:r>
            <w:r w:rsidRPr="007250A8">
              <w:rPr>
                <w:noProof/>
                <w:webHidden/>
                <w:lang w:val="en-GB"/>
              </w:rPr>
              <w:fldChar w:fldCharType="end"/>
            </w:r>
          </w:hyperlink>
        </w:p>
        <w:p w14:paraId="17B70FEC" w14:textId="248185BF"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2" w:history="1">
            <w:r w:rsidRPr="007250A8">
              <w:rPr>
                <w:rStyle w:val="Hyperlink"/>
                <w:noProof/>
                <w:lang w:val="en-GB"/>
              </w:rPr>
              <w:t>3.4 Short-Term vs Long-Term Financing Options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_Toc237459792 \h </w:instrText>
            </w:r>
            <w:r w:rsidRPr="007250A8">
              <w:rPr>
                <w:noProof/>
                <w:webHidden/>
                <w:lang w:val="en-GB"/>
              </w:rPr>
            </w:r>
            <w:r w:rsidRPr="007250A8">
              <w:rPr>
                <w:noProof/>
                <w:webHidden/>
                <w:lang w:val="en-GB"/>
              </w:rPr>
              <w:fldChar w:fldCharType="separate"/>
            </w:r>
            <w:r w:rsidR="00043943">
              <w:rPr>
                <w:noProof/>
                <w:webHidden/>
                <w:lang w:val="en-GB"/>
              </w:rPr>
              <w:t>14</w:t>
            </w:r>
            <w:r w:rsidRPr="007250A8">
              <w:rPr>
                <w:noProof/>
                <w:webHidden/>
                <w:lang w:val="en-GB"/>
              </w:rPr>
              <w:fldChar w:fldCharType="end"/>
            </w:r>
          </w:hyperlink>
        </w:p>
        <w:p w14:paraId="64EA8329" w14:textId="13871156"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793" w:history="1">
            <w:r w:rsidRPr="007250A8">
              <w:rPr>
                <w:rStyle w:val="Hyperlink"/>
                <w:noProof/>
                <w:lang w:val="en-GB"/>
              </w:rPr>
              <w:t>4. Strategic Financial Restructuring Plan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_Toc237459793 \h </w:instrText>
            </w:r>
            <w:r w:rsidRPr="007250A8">
              <w:rPr>
                <w:noProof/>
                <w:webHidden/>
                <w:lang w:val="en-GB"/>
              </w:rPr>
            </w:r>
            <w:r w:rsidRPr="007250A8">
              <w:rPr>
                <w:noProof/>
                <w:webHidden/>
                <w:lang w:val="en-GB"/>
              </w:rPr>
              <w:fldChar w:fldCharType="separate"/>
            </w:r>
            <w:r w:rsidR="00043943">
              <w:rPr>
                <w:noProof/>
                <w:webHidden/>
                <w:lang w:val="en-GB"/>
              </w:rPr>
              <w:t>15</w:t>
            </w:r>
            <w:r w:rsidRPr="007250A8">
              <w:rPr>
                <w:noProof/>
                <w:webHidden/>
                <w:lang w:val="en-GB"/>
              </w:rPr>
              <w:fldChar w:fldCharType="end"/>
            </w:r>
          </w:hyperlink>
        </w:p>
        <w:p w14:paraId="13B69F1A" w14:textId="41D80897"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4" w:history="1">
            <w:r w:rsidRPr="007250A8">
              <w:rPr>
                <w:rStyle w:val="Hyperlink"/>
                <w:noProof/>
                <w:lang w:val="en-GB"/>
              </w:rPr>
              <w:t>4.1 Overview of the Financial Crisis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_Toc237459794 \h </w:instrText>
            </w:r>
            <w:r w:rsidRPr="007250A8">
              <w:rPr>
                <w:noProof/>
                <w:webHidden/>
                <w:lang w:val="en-GB"/>
              </w:rPr>
            </w:r>
            <w:r w:rsidRPr="007250A8">
              <w:rPr>
                <w:noProof/>
                <w:webHidden/>
                <w:lang w:val="en-GB"/>
              </w:rPr>
              <w:fldChar w:fldCharType="separate"/>
            </w:r>
            <w:r w:rsidR="00043943">
              <w:rPr>
                <w:noProof/>
                <w:webHidden/>
                <w:lang w:val="en-GB"/>
              </w:rPr>
              <w:t>15</w:t>
            </w:r>
            <w:r w:rsidRPr="007250A8">
              <w:rPr>
                <w:noProof/>
                <w:webHidden/>
                <w:lang w:val="en-GB"/>
              </w:rPr>
              <w:fldChar w:fldCharType="end"/>
            </w:r>
          </w:hyperlink>
        </w:p>
        <w:p w14:paraId="60026ECD" w14:textId="44BFF106"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5" w:history="1">
            <w:r w:rsidRPr="007250A8">
              <w:rPr>
                <w:rStyle w:val="Hyperlink"/>
                <w:noProof/>
                <w:lang w:val="en-GB"/>
              </w:rPr>
              <w:t>4.2 Financial Restructuring Alternatives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_Toc237459795 \h </w:instrText>
            </w:r>
            <w:r w:rsidRPr="007250A8">
              <w:rPr>
                <w:noProof/>
                <w:webHidden/>
                <w:lang w:val="en-GB"/>
              </w:rPr>
            </w:r>
            <w:r w:rsidRPr="007250A8">
              <w:rPr>
                <w:noProof/>
                <w:webHidden/>
                <w:lang w:val="en-GB"/>
              </w:rPr>
              <w:fldChar w:fldCharType="separate"/>
            </w:r>
            <w:r w:rsidR="00043943">
              <w:rPr>
                <w:noProof/>
                <w:webHidden/>
                <w:lang w:val="en-GB"/>
              </w:rPr>
              <w:t>15</w:t>
            </w:r>
            <w:r w:rsidRPr="007250A8">
              <w:rPr>
                <w:noProof/>
                <w:webHidden/>
                <w:lang w:val="en-GB"/>
              </w:rPr>
              <w:fldChar w:fldCharType="end"/>
            </w:r>
          </w:hyperlink>
        </w:p>
        <w:p w14:paraId="58619DD1" w14:textId="1C634603"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6" w:history="1">
            <w:r w:rsidRPr="007250A8">
              <w:rPr>
                <w:rStyle w:val="Hyperlink"/>
                <w:noProof/>
                <w:lang w:val="en-GB"/>
              </w:rPr>
              <w:t>4.3 Impact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_Toc237459796 \h </w:instrText>
            </w:r>
            <w:r w:rsidRPr="007250A8">
              <w:rPr>
                <w:noProof/>
                <w:webHidden/>
                <w:lang w:val="en-GB"/>
              </w:rPr>
            </w:r>
            <w:r w:rsidRPr="007250A8">
              <w:rPr>
                <w:noProof/>
                <w:webHidden/>
                <w:lang w:val="en-GB"/>
              </w:rPr>
              <w:fldChar w:fldCharType="separate"/>
            </w:r>
            <w:r w:rsidR="00043943">
              <w:rPr>
                <w:noProof/>
                <w:webHidden/>
                <w:lang w:val="en-GB"/>
              </w:rPr>
              <w:t>16</w:t>
            </w:r>
            <w:r w:rsidRPr="007250A8">
              <w:rPr>
                <w:noProof/>
                <w:webHidden/>
                <w:lang w:val="en-GB"/>
              </w:rPr>
              <w:fldChar w:fldCharType="end"/>
            </w:r>
          </w:hyperlink>
        </w:p>
        <w:p w14:paraId="33F0319E" w14:textId="6AFDAF51"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7" w:history="1">
            <w:r w:rsidRPr="007250A8">
              <w:rPr>
                <w:rStyle w:val="Hyperlink"/>
                <w:noProof/>
                <w:lang w:val="en-GB"/>
              </w:rPr>
              <w:t>4.4 International and ethical issues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_Toc237459797 \h </w:instrText>
            </w:r>
            <w:r w:rsidRPr="007250A8">
              <w:rPr>
                <w:noProof/>
                <w:webHidden/>
                <w:lang w:val="en-GB"/>
              </w:rPr>
            </w:r>
            <w:r w:rsidRPr="007250A8">
              <w:rPr>
                <w:noProof/>
                <w:webHidden/>
                <w:lang w:val="en-GB"/>
              </w:rPr>
              <w:fldChar w:fldCharType="separate"/>
            </w:r>
            <w:r w:rsidR="00043943">
              <w:rPr>
                <w:noProof/>
                <w:webHidden/>
                <w:lang w:val="en-GB"/>
              </w:rPr>
              <w:t>17</w:t>
            </w:r>
            <w:r w:rsidRPr="007250A8">
              <w:rPr>
                <w:noProof/>
                <w:webHidden/>
                <w:lang w:val="en-GB"/>
              </w:rPr>
              <w:fldChar w:fldCharType="end"/>
            </w:r>
          </w:hyperlink>
        </w:p>
        <w:p w14:paraId="20AC5A4F" w14:textId="25C5832A"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798" w:history="1">
            <w:r w:rsidRPr="007250A8">
              <w:rPr>
                <w:rStyle w:val="Hyperlink"/>
                <w:noProof/>
                <w:lang w:val="en-GB"/>
              </w:rPr>
              <w:t>4.5 Recommended Restructuring Strategy</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_Toc237459798 \h </w:instrText>
            </w:r>
            <w:r w:rsidRPr="007250A8">
              <w:rPr>
                <w:noProof/>
                <w:webHidden/>
                <w:lang w:val="en-GB"/>
              </w:rPr>
            </w:r>
            <w:r w:rsidRPr="007250A8">
              <w:rPr>
                <w:noProof/>
                <w:webHidden/>
                <w:lang w:val="en-GB"/>
              </w:rPr>
              <w:fldChar w:fldCharType="separate"/>
            </w:r>
            <w:r w:rsidR="00043943">
              <w:rPr>
                <w:noProof/>
                <w:webHidden/>
                <w:lang w:val="en-GB"/>
              </w:rPr>
              <w:t>18</w:t>
            </w:r>
            <w:r w:rsidRPr="007250A8">
              <w:rPr>
                <w:noProof/>
                <w:webHidden/>
                <w:lang w:val="en-GB"/>
              </w:rPr>
              <w:fldChar w:fldCharType="end"/>
            </w:r>
          </w:hyperlink>
        </w:p>
        <w:p w14:paraId="0F114F5C" w14:textId="2013F773"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799" w:history="1">
            <w:r w:rsidRPr="007250A8">
              <w:rPr>
                <w:rStyle w:val="Hyperlink"/>
                <w:noProof/>
                <w:lang w:val="en-GB"/>
              </w:rPr>
              <w:t>5. Investment Appraisal and Capital Budgeting</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_Toc237459799 \h </w:instrText>
            </w:r>
            <w:r w:rsidRPr="007250A8">
              <w:rPr>
                <w:noProof/>
                <w:webHidden/>
                <w:lang w:val="en-GB"/>
              </w:rPr>
            </w:r>
            <w:r w:rsidRPr="007250A8">
              <w:rPr>
                <w:noProof/>
                <w:webHidden/>
                <w:lang w:val="en-GB"/>
              </w:rPr>
              <w:fldChar w:fldCharType="separate"/>
            </w:r>
            <w:r w:rsidR="00043943">
              <w:rPr>
                <w:noProof/>
                <w:webHidden/>
                <w:lang w:val="en-GB"/>
              </w:rPr>
              <w:t>19</w:t>
            </w:r>
            <w:r w:rsidRPr="007250A8">
              <w:rPr>
                <w:noProof/>
                <w:webHidden/>
                <w:lang w:val="en-GB"/>
              </w:rPr>
              <w:fldChar w:fldCharType="end"/>
            </w:r>
          </w:hyperlink>
        </w:p>
        <w:p w14:paraId="261E3AEA" w14:textId="457A81CD"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00" w:history="1">
            <w:r w:rsidRPr="007250A8">
              <w:rPr>
                <w:rStyle w:val="Hyperlink"/>
                <w:noProof/>
                <w:lang w:val="en-GB"/>
              </w:rPr>
              <w:t>5.1 Overview of Investment Decision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_Toc237459800 \h </w:instrText>
            </w:r>
            <w:r w:rsidRPr="007250A8">
              <w:rPr>
                <w:noProof/>
                <w:webHidden/>
                <w:lang w:val="en-GB"/>
              </w:rPr>
            </w:r>
            <w:r w:rsidRPr="007250A8">
              <w:rPr>
                <w:noProof/>
                <w:webHidden/>
                <w:lang w:val="en-GB"/>
              </w:rPr>
              <w:fldChar w:fldCharType="separate"/>
            </w:r>
            <w:r w:rsidR="00043943">
              <w:rPr>
                <w:noProof/>
                <w:webHidden/>
                <w:lang w:val="en-GB"/>
              </w:rPr>
              <w:t>19</w:t>
            </w:r>
            <w:r w:rsidRPr="007250A8">
              <w:rPr>
                <w:noProof/>
                <w:webHidden/>
                <w:lang w:val="en-GB"/>
              </w:rPr>
              <w:fldChar w:fldCharType="end"/>
            </w:r>
          </w:hyperlink>
        </w:p>
        <w:p w14:paraId="70C6E937" w14:textId="692850A8"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01" w:history="1">
            <w:r w:rsidRPr="007250A8">
              <w:rPr>
                <w:rStyle w:val="Hyperlink"/>
                <w:noProof/>
                <w:lang w:val="en-GB"/>
              </w:rPr>
              <w:t>5.2 Three Proposed Investment Projects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_Toc237459801 \h </w:instrText>
            </w:r>
            <w:r w:rsidRPr="007250A8">
              <w:rPr>
                <w:noProof/>
                <w:webHidden/>
                <w:lang w:val="en-GB"/>
              </w:rPr>
            </w:r>
            <w:r w:rsidRPr="007250A8">
              <w:rPr>
                <w:noProof/>
                <w:webHidden/>
                <w:lang w:val="en-GB"/>
              </w:rPr>
              <w:fldChar w:fldCharType="separate"/>
            </w:r>
            <w:r w:rsidR="00043943">
              <w:rPr>
                <w:noProof/>
                <w:webHidden/>
                <w:lang w:val="en-GB"/>
              </w:rPr>
              <w:t>19</w:t>
            </w:r>
            <w:r w:rsidRPr="007250A8">
              <w:rPr>
                <w:noProof/>
                <w:webHidden/>
                <w:lang w:val="en-GB"/>
              </w:rPr>
              <w:fldChar w:fldCharType="end"/>
            </w:r>
          </w:hyperlink>
        </w:p>
        <w:p w14:paraId="19EDC464" w14:textId="4BB9FD3F"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2" w:history="1">
            <w:r w:rsidRPr="007250A8">
              <w:rPr>
                <w:rStyle w:val="Hyperlink"/>
                <w:noProof/>
                <w:lang w:val="en-GB"/>
              </w:rPr>
              <w:t>5.2.1 Payback Period (PBP)</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_Toc237459802 \h </w:instrText>
            </w:r>
            <w:r w:rsidRPr="007250A8">
              <w:rPr>
                <w:noProof/>
                <w:webHidden/>
                <w:lang w:val="en-GB"/>
              </w:rPr>
            </w:r>
            <w:r w:rsidRPr="007250A8">
              <w:rPr>
                <w:noProof/>
                <w:webHidden/>
                <w:lang w:val="en-GB"/>
              </w:rPr>
              <w:fldChar w:fldCharType="separate"/>
            </w:r>
            <w:r w:rsidR="00043943">
              <w:rPr>
                <w:noProof/>
                <w:webHidden/>
                <w:lang w:val="en-GB"/>
              </w:rPr>
              <w:t>19</w:t>
            </w:r>
            <w:r w:rsidRPr="007250A8">
              <w:rPr>
                <w:noProof/>
                <w:webHidden/>
                <w:lang w:val="en-GB"/>
              </w:rPr>
              <w:fldChar w:fldCharType="end"/>
            </w:r>
          </w:hyperlink>
        </w:p>
        <w:p w14:paraId="5193E8E6" w14:textId="0BAF4899"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3" w:history="1">
            <w:r w:rsidRPr="007250A8">
              <w:rPr>
                <w:rStyle w:val="Hyperlink"/>
                <w:noProof/>
                <w:lang w:val="en-GB"/>
              </w:rPr>
              <w:t>5.2.2 Accounting Rate of Return (ARR)</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_Toc237459803 \h </w:instrText>
            </w:r>
            <w:r w:rsidRPr="007250A8">
              <w:rPr>
                <w:noProof/>
                <w:webHidden/>
                <w:lang w:val="en-GB"/>
              </w:rPr>
            </w:r>
            <w:r w:rsidRPr="007250A8">
              <w:rPr>
                <w:noProof/>
                <w:webHidden/>
                <w:lang w:val="en-GB"/>
              </w:rPr>
              <w:fldChar w:fldCharType="separate"/>
            </w:r>
            <w:r w:rsidR="00043943">
              <w:rPr>
                <w:noProof/>
                <w:webHidden/>
                <w:lang w:val="en-GB"/>
              </w:rPr>
              <w:t>20</w:t>
            </w:r>
            <w:r w:rsidRPr="007250A8">
              <w:rPr>
                <w:noProof/>
                <w:webHidden/>
                <w:lang w:val="en-GB"/>
              </w:rPr>
              <w:fldChar w:fldCharType="end"/>
            </w:r>
          </w:hyperlink>
        </w:p>
        <w:p w14:paraId="325A9EB7" w14:textId="3B39A1AB"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4" w:history="1">
            <w:r w:rsidRPr="007250A8">
              <w:rPr>
                <w:rStyle w:val="Hyperlink"/>
                <w:noProof/>
                <w:lang w:val="en-GB"/>
              </w:rPr>
              <w:t>5.2.3 Net Present Value (NPV)</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_Toc237459804 \h </w:instrText>
            </w:r>
            <w:r w:rsidRPr="007250A8">
              <w:rPr>
                <w:noProof/>
                <w:webHidden/>
                <w:lang w:val="en-GB"/>
              </w:rPr>
            </w:r>
            <w:r w:rsidRPr="007250A8">
              <w:rPr>
                <w:noProof/>
                <w:webHidden/>
                <w:lang w:val="en-GB"/>
              </w:rPr>
              <w:fldChar w:fldCharType="separate"/>
            </w:r>
            <w:r w:rsidR="00043943">
              <w:rPr>
                <w:noProof/>
                <w:webHidden/>
                <w:lang w:val="en-GB"/>
              </w:rPr>
              <w:t>20</w:t>
            </w:r>
            <w:r w:rsidRPr="007250A8">
              <w:rPr>
                <w:noProof/>
                <w:webHidden/>
                <w:lang w:val="en-GB"/>
              </w:rPr>
              <w:fldChar w:fldCharType="end"/>
            </w:r>
          </w:hyperlink>
        </w:p>
        <w:p w14:paraId="5987A02E" w14:textId="1F9E467B"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5" w:history="1">
            <w:r w:rsidRPr="007250A8">
              <w:rPr>
                <w:rStyle w:val="Hyperlink"/>
                <w:noProof/>
                <w:lang w:val="en-GB"/>
              </w:rPr>
              <w:t>5.2.4 Profitability Index (PI)</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_Toc237459805 \h </w:instrText>
            </w:r>
            <w:r w:rsidRPr="007250A8">
              <w:rPr>
                <w:noProof/>
                <w:webHidden/>
                <w:lang w:val="en-GB"/>
              </w:rPr>
            </w:r>
            <w:r w:rsidRPr="007250A8">
              <w:rPr>
                <w:noProof/>
                <w:webHidden/>
                <w:lang w:val="en-GB"/>
              </w:rPr>
              <w:fldChar w:fldCharType="separate"/>
            </w:r>
            <w:r w:rsidR="00043943">
              <w:rPr>
                <w:noProof/>
                <w:webHidden/>
                <w:lang w:val="en-GB"/>
              </w:rPr>
              <w:t>21</w:t>
            </w:r>
            <w:r w:rsidRPr="007250A8">
              <w:rPr>
                <w:noProof/>
                <w:webHidden/>
                <w:lang w:val="en-GB"/>
              </w:rPr>
              <w:fldChar w:fldCharType="end"/>
            </w:r>
          </w:hyperlink>
        </w:p>
        <w:p w14:paraId="4318EC69" w14:textId="1397A4BD"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6" w:history="1">
            <w:r w:rsidRPr="007250A8">
              <w:rPr>
                <w:rStyle w:val="Hyperlink"/>
                <w:noProof/>
                <w:lang w:val="en-GB"/>
              </w:rPr>
              <w:t>5.2.5 Internal Rate of Return (IRR)</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_Toc237459806 \h </w:instrText>
            </w:r>
            <w:r w:rsidRPr="007250A8">
              <w:rPr>
                <w:noProof/>
                <w:webHidden/>
                <w:lang w:val="en-GB"/>
              </w:rPr>
            </w:r>
            <w:r w:rsidRPr="007250A8">
              <w:rPr>
                <w:noProof/>
                <w:webHidden/>
                <w:lang w:val="en-GB"/>
              </w:rPr>
              <w:fldChar w:fldCharType="separate"/>
            </w:r>
            <w:r w:rsidR="00043943">
              <w:rPr>
                <w:noProof/>
                <w:webHidden/>
                <w:lang w:val="en-GB"/>
              </w:rPr>
              <w:t>21</w:t>
            </w:r>
            <w:r w:rsidRPr="007250A8">
              <w:rPr>
                <w:noProof/>
                <w:webHidden/>
                <w:lang w:val="en-GB"/>
              </w:rPr>
              <w:fldChar w:fldCharType="end"/>
            </w:r>
          </w:hyperlink>
        </w:p>
        <w:p w14:paraId="2E3260F8" w14:textId="675642D6" w:rsidR="004203B9" w:rsidRPr="007250A8" w:rsidRDefault="004203B9">
          <w:pPr>
            <w:pStyle w:val="TOC3"/>
            <w:tabs>
              <w:tab w:val="right" w:leader="dot" w:pos="9016"/>
            </w:tabs>
            <w:rPr>
              <w:rFonts w:asciiTheme="minorHAnsi" w:eastAsiaTheme="minorEastAsia" w:hAnsiTheme="minorHAnsi"/>
              <w:noProof/>
              <w:szCs w:val="24"/>
              <w:lang w:val="en-GB" w:eastAsia="en-IN" w:bidi="ar-SA"/>
            </w:rPr>
          </w:pPr>
          <w:hyperlink w:anchor="_Toc237459807" w:history="1">
            <w:r w:rsidRPr="007250A8">
              <w:rPr>
                <w:rStyle w:val="Hyperlink"/>
                <w:noProof/>
                <w:lang w:val="en-GB"/>
              </w:rPr>
              <w:t>5.2.6 Investment Option Recommended</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_Toc237459807 \h </w:instrText>
            </w:r>
            <w:r w:rsidRPr="007250A8">
              <w:rPr>
                <w:noProof/>
                <w:webHidden/>
                <w:lang w:val="en-GB"/>
              </w:rPr>
            </w:r>
            <w:r w:rsidRPr="007250A8">
              <w:rPr>
                <w:noProof/>
                <w:webHidden/>
                <w:lang w:val="en-GB"/>
              </w:rPr>
              <w:fldChar w:fldCharType="separate"/>
            </w:r>
            <w:r w:rsidR="00043943">
              <w:rPr>
                <w:noProof/>
                <w:webHidden/>
                <w:lang w:val="en-GB"/>
              </w:rPr>
              <w:t>21</w:t>
            </w:r>
            <w:r w:rsidRPr="007250A8">
              <w:rPr>
                <w:noProof/>
                <w:webHidden/>
                <w:lang w:val="en-GB"/>
              </w:rPr>
              <w:fldChar w:fldCharType="end"/>
            </w:r>
          </w:hyperlink>
        </w:p>
        <w:p w14:paraId="5DBEE85A" w14:textId="36690375"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08" w:history="1">
            <w:r w:rsidRPr="007250A8">
              <w:rPr>
                <w:rStyle w:val="Hyperlink"/>
                <w:noProof/>
                <w:lang w:val="en-GB"/>
              </w:rPr>
              <w:t>5.3 Final Investment Recommendation under capital rationing (£60 Million Limit)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_Toc237459808 \h </w:instrText>
            </w:r>
            <w:r w:rsidRPr="007250A8">
              <w:rPr>
                <w:noProof/>
                <w:webHidden/>
                <w:lang w:val="en-GB"/>
              </w:rPr>
            </w:r>
            <w:r w:rsidRPr="007250A8">
              <w:rPr>
                <w:noProof/>
                <w:webHidden/>
                <w:lang w:val="en-GB"/>
              </w:rPr>
              <w:fldChar w:fldCharType="separate"/>
            </w:r>
            <w:r w:rsidR="00043943">
              <w:rPr>
                <w:noProof/>
                <w:webHidden/>
                <w:lang w:val="en-GB"/>
              </w:rPr>
              <w:t>22</w:t>
            </w:r>
            <w:r w:rsidRPr="007250A8">
              <w:rPr>
                <w:noProof/>
                <w:webHidden/>
                <w:lang w:val="en-GB"/>
              </w:rPr>
              <w:fldChar w:fldCharType="end"/>
            </w:r>
          </w:hyperlink>
        </w:p>
        <w:p w14:paraId="7FE4B1DD" w14:textId="1F3DDFBE"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09" w:history="1">
            <w:r w:rsidRPr="007250A8">
              <w:rPr>
                <w:rStyle w:val="Hyperlink"/>
                <w:noProof/>
                <w:lang w:val="en-GB"/>
              </w:rPr>
              <w:t>5.4 Justification of investment decision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_Toc237459809 \h </w:instrText>
            </w:r>
            <w:r w:rsidRPr="007250A8">
              <w:rPr>
                <w:noProof/>
                <w:webHidden/>
                <w:lang w:val="en-GB"/>
              </w:rPr>
            </w:r>
            <w:r w:rsidRPr="007250A8">
              <w:rPr>
                <w:noProof/>
                <w:webHidden/>
                <w:lang w:val="en-GB"/>
              </w:rPr>
              <w:fldChar w:fldCharType="separate"/>
            </w:r>
            <w:r w:rsidR="00043943">
              <w:rPr>
                <w:noProof/>
                <w:webHidden/>
                <w:lang w:val="en-GB"/>
              </w:rPr>
              <w:t>22</w:t>
            </w:r>
            <w:r w:rsidRPr="007250A8">
              <w:rPr>
                <w:noProof/>
                <w:webHidden/>
                <w:lang w:val="en-GB"/>
              </w:rPr>
              <w:fldChar w:fldCharType="end"/>
            </w:r>
          </w:hyperlink>
        </w:p>
        <w:p w14:paraId="03885E14" w14:textId="3B251CF4"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810" w:history="1">
            <w:r w:rsidRPr="007250A8">
              <w:rPr>
                <w:rStyle w:val="Hyperlink"/>
                <w:noProof/>
                <w:lang w:val="en-GB"/>
              </w:rPr>
              <w:t>6. Critical Reflection on AI Usage</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_Toc237459810 \h </w:instrText>
            </w:r>
            <w:r w:rsidRPr="007250A8">
              <w:rPr>
                <w:noProof/>
                <w:webHidden/>
                <w:lang w:val="en-GB"/>
              </w:rPr>
            </w:r>
            <w:r w:rsidRPr="007250A8">
              <w:rPr>
                <w:noProof/>
                <w:webHidden/>
                <w:lang w:val="en-GB"/>
              </w:rPr>
              <w:fldChar w:fldCharType="separate"/>
            </w:r>
            <w:r w:rsidR="00043943">
              <w:rPr>
                <w:noProof/>
                <w:webHidden/>
                <w:lang w:val="en-GB"/>
              </w:rPr>
              <w:t>23</w:t>
            </w:r>
            <w:r w:rsidRPr="007250A8">
              <w:rPr>
                <w:noProof/>
                <w:webHidden/>
                <w:lang w:val="en-GB"/>
              </w:rPr>
              <w:fldChar w:fldCharType="end"/>
            </w:r>
          </w:hyperlink>
        </w:p>
        <w:p w14:paraId="218DE33C" w14:textId="7C476871"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1" w:history="1">
            <w:r w:rsidRPr="007250A8">
              <w:rPr>
                <w:rStyle w:val="Hyperlink"/>
                <w:noProof/>
                <w:lang w:val="en-GB"/>
              </w:rPr>
              <w:t>a. Tool Disclosure</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_Toc237459811 \h </w:instrText>
            </w:r>
            <w:r w:rsidRPr="007250A8">
              <w:rPr>
                <w:noProof/>
                <w:webHidden/>
                <w:lang w:val="en-GB"/>
              </w:rPr>
            </w:r>
            <w:r w:rsidRPr="007250A8">
              <w:rPr>
                <w:noProof/>
                <w:webHidden/>
                <w:lang w:val="en-GB"/>
              </w:rPr>
              <w:fldChar w:fldCharType="separate"/>
            </w:r>
            <w:r w:rsidR="00043943">
              <w:rPr>
                <w:noProof/>
                <w:webHidden/>
                <w:lang w:val="en-GB"/>
              </w:rPr>
              <w:t>23</w:t>
            </w:r>
            <w:r w:rsidRPr="007250A8">
              <w:rPr>
                <w:noProof/>
                <w:webHidden/>
                <w:lang w:val="en-GB"/>
              </w:rPr>
              <w:fldChar w:fldCharType="end"/>
            </w:r>
          </w:hyperlink>
        </w:p>
        <w:p w14:paraId="5B533097" w14:textId="295FCDA9"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2" w:history="1">
            <w:r w:rsidRPr="007250A8">
              <w:rPr>
                <w:rStyle w:val="Hyperlink"/>
                <w:noProof/>
                <w:lang w:val="en-GB"/>
              </w:rPr>
              <w:t>b. Critical evaluation of AI output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_Toc237459812 \h </w:instrText>
            </w:r>
            <w:r w:rsidRPr="007250A8">
              <w:rPr>
                <w:noProof/>
                <w:webHidden/>
                <w:lang w:val="en-GB"/>
              </w:rPr>
            </w:r>
            <w:r w:rsidRPr="007250A8">
              <w:rPr>
                <w:noProof/>
                <w:webHidden/>
                <w:lang w:val="en-GB"/>
              </w:rPr>
              <w:fldChar w:fldCharType="separate"/>
            </w:r>
            <w:r w:rsidR="00043943">
              <w:rPr>
                <w:noProof/>
                <w:webHidden/>
                <w:lang w:val="en-GB"/>
              </w:rPr>
              <w:t>23</w:t>
            </w:r>
            <w:r w:rsidRPr="007250A8">
              <w:rPr>
                <w:noProof/>
                <w:webHidden/>
                <w:lang w:val="en-GB"/>
              </w:rPr>
              <w:fldChar w:fldCharType="end"/>
            </w:r>
          </w:hyperlink>
        </w:p>
        <w:p w14:paraId="217BE8C0" w14:textId="2552295B"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3" w:history="1">
            <w:r w:rsidRPr="007250A8">
              <w:rPr>
                <w:rStyle w:val="Hyperlink"/>
                <w:noProof/>
                <w:lang w:val="en-GB"/>
              </w:rPr>
              <w:t>c. Contribution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_Toc237459813 \h </w:instrText>
            </w:r>
            <w:r w:rsidRPr="007250A8">
              <w:rPr>
                <w:noProof/>
                <w:webHidden/>
                <w:lang w:val="en-GB"/>
              </w:rPr>
            </w:r>
            <w:r w:rsidRPr="007250A8">
              <w:rPr>
                <w:noProof/>
                <w:webHidden/>
                <w:lang w:val="en-GB"/>
              </w:rPr>
              <w:fldChar w:fldCharType="separate"/>
            </w:r>
            <w:r w:rsidR="00043943">
              <w:rPr>
                <w:noProof/>
                <w:webHidden/>
                <w:lang w:val="en-GB"/>
              </w:rPr>
              <w:t>24</w:t>
            </w:r>
            <w:r w:rsidRPr="007250A8">
              <w:rPr>
                <w:noProof/>
                <w:webHidden/>
                <w:lang w:val="en-GB"/>
              </w:rPr>
              <w:fldChar w:fldCharType="end"/>
            </w:r>
          </w:hyperlink>
        </w:p>
        <w:p w14:paraId="299CC3B3" w14:textId="27D19A05"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4" w:history="1">
            <w:r w:rsidRPr="007250A8">
              <w:rPr>
                <w:rStyle w:val="Hyperlink"/>
                <w:noProof/>
                <w:lang w:val="en-GB"/>
              </w:rPr>
              <w:t>d. Ethical and Professional Reflection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_Toc237459814 \h </w:instrText>
            </w:r>
            <w:r w:rsidRPr="007250A8">
              <w:rPr>
                <w:noProof/>
                <w:webHidden/>
                <w:lang w:val="en-GB"/>
              </w:rPr>
            </w:r>
            <w:r w:rsidRPr="007250A8">
              <w:rPr>
                <w:noProof/>
                <w:webHidden/>
                <w:lang w:val="en-GB"/>
              </w:rPr>
              <w:fldChar w:fldCharType="separate"/>
            </w:r>
            <w:r w:rsidR="00043943">
              <w:rPr>
                <w:noProof/>
                <w:webHidden/>
                <w:lang w:val="en-GB"/>
              </w:rPr>
              <w:t>24</w:t>
            </w:r>
            <w:r w:rsidRPr="007250A8">
              <w:rPr>
                <w:noProof/>
                <w:webHidden/>
                <w:lang w:val="en-GB"/>
              </w:rPr>
              <w:fldChar w:fldCharType="end"/>
            </w:r>
          </w:hyperlink>
        </w:p>
        <w:p w14:paraId="7E0C7B79" w14:textId="5A75438A"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815" w:history="1">
            <w:r w:rsidRPr="007250A8">
              <w:rPr>
                <w:rStyle w:val="Hyperlink"/>
                <w:noProof/>
                <w:lang w:val="en-GB"/>
              </w:rPr>
              <w:t>7. Conclusion</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_Toc237459815 \h </w:instrText>
            </w:r>
            <w:r w:rsidRPr="007250A8">
              <w:rPr>
                <w:noProof/>
                <w:webHidden/>
                <w:lang w:val="en-GB"/>
              </w:rPr>
            </w:r>
            <w:r w:rsidRPr="007250A8">
              <w:rPr>
                <w:noProof/>
                <w:webHidden/>
                <w:lang w:val="en-GB"/>
              </w:rPr>
              <w:fldChar w:fldCharType="separate"/>
            </w:r>
            <w:r w:rsidR="00043943">
              <w:rPr>
                <w:noProof/>
                <w:webHidden/>
                <w:lang w:val="en-GB"/>
              </w:rPr>
              <w:t>25</w:t>
            </w:r>
            <w:r w:rsidRPr="007250A8">
              <w:rPr>
                <w:noProof/>
                <w:webHidden/>
                <w:lang w:val="en-GB"/>
              </w:rPr>
              <w:fldChar w:fldCharType="end"/>
            </w:r>
          </w:hyperlink>
        </w:p>
        <w:p w14:paraId="3FE9BBCE" w14:textId="3A87DE7C"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816" w:history="1">
            <w:r w:rsidRPr="007250A8">
              <w:rPr>
                <w:rStyle w:val="Hyperlink"/>
                <w:noProof/>
                <w:lang w:val="en-GB"/>
              </w:rPr>
              <w:t>Reference List</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_Toc237459816 \h </w:instrText>
            </w:r>
            <w:r w:rsidRPr="007250A8">
              <w:rPr>
                <w:noProof/>
                <w:webHidden/>
                <w:lang w:val="en-GB"/>
              </w:rPr>
            </w:r>
            <w:r w:rsidRPr="007250A8">
              <w:rPr>
                <w:noProof/>
                <w:webHidden/>
                <w:lang w:val="en-GB"/>
              </w:rPr>
              <w:fldChar w:fldCharType="separate"/>
            </w:r>
            <w:r w:rsidR="00043943">
              <w:rPr>
                <w:noProof/>
                <w:webHidden/>
                <w:lang w:val="en-GB"/>
              </w:rPr>
              <w:t>26</w:t>
            </w:r>
            <w:r w:rsidRPr="007250A8">
              <w:rPr>
                <w:noProof/>
                <w:webHidden/>
                <w:lang w:val="en-GB"/>
              </w:rPr>
              <w:fldChar w:fldCharType="end"/>
            </w:r>
          </w:hyperlink>
        </w:p>
        <w:p w14:paraId="04D6A894" w14:textId="1343ABC3" w:rsidR="004203B9" w:rsidRPr="007250A8" w:rsidRDefault="004203B9">
          <w:pPr>
            <w:pStyle w:val="TOC1"/>
            <w:tabs>
              <w:tab w:val="right" w:leader="dot" w:pos="9016"/>
            </w:tabs>
            <w:rPr>
              <w:rFonts w:asciiTheme="minorHAnsi" w:eastAsiaTheme="minorEastAsia" w:hAnsiTheme="minorHAnsi"/>
              <w:noProof/>
              <w:szCs w:val="24"/>
              <w:lang w:val="en-GB" w:eastAsia="en-IN" w:bidi="ar-SA"/>
            </w:rPr>
          </w:pPr>
          <w:hyperlink w:anchor="_Toc237459817" w:history="1">
            <w:r w:rsidRPr="007250A8">
              <w:rPr>
                <w:rStyle w:val="Hyperlink"/>
                <w:noProof/>
                <w:lang w:val="en-GB"/>
              </w:rPr>
              <w:t>Appendices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_Toc237459817 \h </w:instrText>
            </w:r>
            <w:r w:rsidRPr="007250A8">
              <w:rPr>
                <w:noProof/>
                <w:webHidden/>
                <w:lang w:val="en-GB"/>
              </w:rPr>
            </w:r>
            <w:r w:rsidRPr="007250A8">
              <w:rPr>
                <w:noProof/>
                <w:webHidden/>
                <w:lang w:val="en-GB"/>
              </w:rPr>
              <w:fldChar w:fldCharType="separate"/>
            </w:r>
            <w:r w:rsidR="00043943">
              <w:rPr>
                <w:noProof/>
                <w:webHidden/>
                <w:lang w:val="en-GB"/>
              </w:rPr>
              <w:t>31</w:t>
            </w:r>
            <w:r w:rsidRPr="007250A8">
              <w:rPr>
                <w:noProof/>
                <w:webHidden/>
                <w:lang w:val="en-GB"/>
              </w:rPr>
              <w:fldChar w:fldCharType="end"/>
            </w:r>
          </w:hyperlink>
        </w:p>
        <w:p w14:paraId="3A0DE7F8" w14:textId="3619FEA7"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8" w:history="1">
            <w:r w:rsidRPr="007250A8">
              <w:rPr>
                <w:rStyle w:val="Hyperlink"/>
                <w:noProof/>
                <w:lang w:val="en-GB"/>
              </w:rPr>
              <w:t>Appendix 1: Ratio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_Toc237459818 \h </w:instrText>
            </w:r>
            <w:r w:rsidRPr="007250A8">
              <w:rPr>
                <w:noProof/>
                <w:webHidden/>
                <w:lang w:val="en-GB"/>
              </w:rPr>
            </w:r>
            <w:r w:rsidRPr="007250A8">
              <w:rPr>
                <w:noProof/>
                <w:webHidden/>
                <w:lang w:val="en-GB"/>
              </w:rPr>
              <w:fldChar w:fldCharType="separate"/>
            </w:r>
            <w:r w:rsidR="00043943">
              <w:rPr>
                <w:noProof/>
                <w:webHidden/>
                <w:lang w:val="en-GB"/>
              </w:rPr>
              <w:t>31</w:t>
            </w:r>
            <w:r w:rsidRPr="007250A8">
              <w:rPr>
                <w:noProof/>
                <w:webHidden/>
                <w:lang w:val="en-GB"/>
              </w:rPr>
              <w:fldChar w:fldCharType="end"/>
            </w:r>
          </w:hyperlink>
        </w:p>
        <w:p w14:paraId="4288E365" w14:textId="2DA58F63"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19" w:history="1">
            <w:r w:rsidRPr="007250A8">
              <w:rPr>
                <w:rStyle w:val="Hyperlink"/>
                <w:noProof/>
                <w:lang w:val="en-GB"/>
              </w:rPr>
              <w:t>Appendix 2: Tend Analysis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_Toc237459819 \h </w:instrText>
            </w:r>
            <w:r w:rsidRPr="007250A8">
              <w:rPr>
                <w:noProof/>
                <w:webHidden/>
                <w:lang w:val="en-GB"/>
              </w:rPr>
            </w:r>
            <w:r w:rsidRPr="007250A8">
              <w:rPr>
                <w:noProof/>
                <w:webHidden/>
                <w:lang w:val="en-GB"/>
              </w:rPr>
              <w:fldChar w:fldCharType="separate"/>
            </w:r>
            <w:r w:rsidR="00043943">
              <w:rPr>
                <w:noProof/>
                <w:webHidden/>
                <w:lang w:val="en-GB"/>
              </w:rPr>
              <w:t>35</w:t>
            </w:r>
            <w:r w:rsidRPr="007250A8">
              <w:rPr>
                <w:noProof/>
                <w:webHidden/>
                <w:lang w:val="en-GB"/>
              </w:rPr>
              <w:fldChar w:fldCharType="end"/>
            </w:r>
          </w:hyperlink>
        </w:p>
        <w:p w14:paraId="18886C6A" w14:textId="4AF742D7"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20" w:history="1">
            <w:r w:rsidRPr="007250A8">
              <w:rPr>
                <w:rStyle w:val="Hyperlink"/>
                <w:noProof/>
                <w:lang w:val="en-GB"/>
              </w:rPr>
              <w:t>Appendix 3 – Cash Conversion Cycle</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_Toc237459820 \h </w:instrText>
            </w:r>
            <w:r w:rsidRPr="007250A8">
              <w:rPr>
                <w:noProof/>
                <w:webHidden/>
                <w:lang w:val="en-GB"/>
              </w:rPr>
            </w:r>
            <w:r w:rsidRPr="007250A8">
              <w:rPr>
                <w:noProof/>
                <w:webHidden/>
                <w:lang w:val="en-GB"/>
              </w:rPr>
              <w:fldChar w:fldCharType="separate"/>
            </w:r>
            <w:r w:rsidR="00043943">
              <w:rPr>
                <w:noProof/>
                <w:webHidden/>
                <w:lang w:val="en-GB"/>
              </w:rPr>
              <w:t>37</w:t>
            </w:r>
            <w:r w:rsidRPr="007250A8">
              <w:rPr>
                <w:noProof/>
                <w:webHidden/>
                <w:lang w:val="en-GB"/>
              </w:rPr>
              <w:fldChar w:fldCharType="end"/>
            </w:r>
          </w:hyperlink>
        </w:p>
        <w:p w14:paraId="44B3E65D" w14:textId="2207FF38" w:rsidR="004203B9" w:rsidRPr="007250A8" w:rsidRDefault="004203B9">
          <w:pPr>
            <w:pStyle w:val="TOC2"/>
            <w:tabs>
              <w:tab w:val="right" w:leader="dot" w:pos="9016"/>
            </w:tabs>
            <w:rPr>
              <w:rFonts w:asciiTheme="minorHAnsi" w:eastAsiaTheme="minorEastAsia" w:hAnsiTheme="minorHAnsi"/>
              <w:noProof/>
              <w:szCs w:val="24"/>
              <w:lang w:val="en-GB" w:eastAsia="en-IN" w:bidi="ar-SA"/>
            </w:rPr>
          </w:pPr>
          <w:hyperlink w:anchor="_Toc237459821" w:history="1">
            <w:r w:rsidRPr="007250A8">
              <w:rPr>
                <w:rStyle w:val="Hyperlink"/>
                <w:noProof/>
                <w:lang w:val="en-GB"/>
              </w:rPr>
              <w:t>Appendix 4: Investment Appraisals</w:t>
            </w:r>
            <w:r w:rsidRPr="007250A8">
              <w:rPr>
                <w:noProof/>
                <w:webHidden/>
                <w:lang w:val="en-GB"/>
              </w:rPr>
              <w:tab/>
            </w:r>
            <w:r w:rsidRPr="007250A8">
              <w:rPr>
                <w:noProof/>
                <w:webHidden/>
                <w:lang w:val="en-GB"/>
              </w:rPr>
              <w:fldChar w:fldCharType="begin"/>
            </w:r>
            <w:r w:rsidRPr="007250A8">
              <w:rPr>
                <w:noProof/>
                <w:webHidden/>
                <w:lang w:val="en-GB"/>
              </w:rPr>
              <w:instrText xml:space="preserve"> PAGEREF _Toc237459821 \h </w:instrText>
            </w:r>
            <w:r w:rsidRPr="007250A8">
              <w:rPr>
                <w:noProof/>
                <w:webHidden/>
                <w:lang w:val="en-GB"/>
              </w:rPr>
            </w:r>
            <w:r w:rsidRPr="007250A8">
              <w:rPr>
                <w:noProof/>
                <w:webHidden/>
                <w:lang w:val="en-GB"/>
              </w:rPr>
              <w:fldChar w:fldCharType="separate"/>
            </w:r>
            <w:r w:rsidR="00043943">
              <w:rPr>
                <w:noProof/>
                <w:webHidden/>
                <w:lang w:val="en-GB"/>
              </w:rPr>
              <w:t>38</w:t>
            </w:r>
            <w:r w:rsidRPr="007250A8">
              <w:rPr>
                <w:noProof/>
                <w:webHidden/>
                <w:lang w:val="en-GB"/>
              </w:rPr>
              <w:fldChar w:fldCharType="end"/>
            </w:r>
          </w:hyperlink>
        </w:p>
        <w:p w14:paraId="6348599B" w14:textId="44995F0B" w:rsidR="003E1519" w:rsidRPr="007250A8" w:rsidRDefault="003E1519">
          <w:pPr>
            <w:rPr>
              <w:lang w:val="en-GB"/>
            </w:rPr>
          </w:pPr>
          <w:r w:rsidRPr="007250A8">
            <w:rPr>
              <w:b/>
              <w:bCs/>
              <w:noProof/>
              <w:lang w:val="en-GB"/>
            </w:rPr>
            <w:fldChar w:fldCharType="end"/>
          </w:r>
        </w:p>
      </w:sdtContent>
    </w:sdt>
    <w:p w14:paraId="69E130FD" w14:textId="77777777" w:rsidR="003E1519" w:rsidRPr="007250A8" w:rsidRDefault="003E1519">
      <w:pPr>
        <w:spacing w:before="0" w:after="160" w:line="278" w:lineRule="auto"/>
        <w:jc w:val="left"/>
        <w:rPr>
          <w:rFonts w:eastAsiaTheme="majorEastAsia" w:cstheme="majorBidi"/>
          <w:b/>
          <w:color w:val="000000" w:themeColor="text1"/>
          <w:sz w:val="28"/>
          <w:szCs w:val="50"/>
          <w:lang w:val="en-GB"/>
        </w:rPr>
      </w:pPr>
      <w:r w:rsidRPr="007250A8">
        <w:rPr>
          <w:lang w:val="en-GB"/>
        </w:rPr>
        <w:br w:type="page"/>
      </w:r>
    </w:p>
    <w:p w14:paraId="67B134BE" w14:textId="6838E61F" w:rsidR="000C79E1" w:rsidRPr="007250A8" w:rsidRDefault="000C79E1" w:rsidP="000C79E1">
      <w:pPr>
        <w:pStyle w:val="Heading1"/>
        <w:rPr>
          <w:lang w:val="en-GB"/>
        </w:rPr>
      </w:pPr>
      <w:bookmarkStart w:id="0" w:name="_Toc237459771"/>
      <w:r w:rsidRPr="007250A8">
        <w:rPr>
          <w:lang w:val="en-GB"/>
        </w:rPr>
        <w:lastRenderedPageBreak/>
        <w:t>1. Introduction</w:t>
      </w:r>
      <w:bookmarkEnd w:id="0"/>
    </w:p>
    <w:p w14:paraId="32A10E60" w14:textId="25A3254B" w:rsidR="000C79E1" w:rsidRPr="007250A8" w:rsidRDefault="000C79E1" w:rsidP="000C79E1">
      <w:pPr>
        <w:rPr>
          <w:lang w:val="en-GB"/>
        </w:rPr>
      </w:pPr>
      <w:r w:rsidRPr="007250A8">
        <w:rPr>
          <w:lang w:val="en-GB"/>
        </w:rPr>
        <w:t>Through analysis of the company’s financial statements, financial ratios, position of working capital and investment appraisal of working capital position, the report critically evaluates the financial position and future financial decision-making of Marriott. This is developed in relation to liquidity, profitability, gearing, efficiency, investment and cash flow during concerned period. This report further discusses the ways in which Marriott improve working capital position and financial opportunities ensure financial stability. Finally, three investment projects are appraised using NPV, IRR, payback period, ARR and profit index approach to make proper investment decision.</w:t>
      </w:r>
    </w:p>
    <w:p w14:paraId="049882DE" w14:textId="20ECAC77" w:rsidR="00903CD4" w:rsidRPr="007250A8" w:rsidRDefault="00B41AB5" w:rsidP="00B41AB5">
      <w:pPr>
        <w:pStyle w:val="Heading1"/>
        <w:rPr>
          <w:lang w:val="en-GB"/>
        </w:rPr>
      </w:pPr>
      <w:bookmarkStart w:id="1" w:name="_Toc237459772"/>
      <w:r w:rsidRPr="007250A8">
        <w:rPr>
          <w:lang w:val="en-GB"/>
        </w:rPr>
        <w:t>2. Financial Health Check</w:t>
      </w:r>
      <w:bookmarkEnd w:id="1"/>
    </w:p>
    <w:p w14:paraId="69E138B7" w14:textId="77777777" w:rsidR="00903CD4" w:rsidRPr="007250A8" w:rsidRDefault="00903CD4" w:rsidP="00B41AB5">
      <w:pPr>
        <w:pStyle w:val="Heading2"/>
        <w:rPr>
          <w:lang w:val="en-GB"/>
        </w:rPr>
      </w:pPr>
      <w:bookmarkStart w:id="2" w:name="_Toc237459773"/>
      <w:r w:rsidRPr="007250A8">
        <w:rPr>
          <w:lang w:val="en-GB"/>
        </w:rPr>
        <w:t>2.1 Financial Situation Overview</w:t>
      </w:r>
      <w:bookmarkEnd w:id="2"/>
    </w:p>
    <w:p w14:paraId="0049BBEC" w14:textId="77777777" w:rsidR="00903CD4" w:rsidRPr="007250A8" w:rsidRDefault="00903CD4" w:rsidP="00B41AB5">
      <w:pPr>
        <w:pStyle w:val="Heading3"/>
        <w:rPr>
          <w:lang w:val="en-GB"/>
        </w:rPr>
      </w:pPr>
      <w:bookmarkStart w:id="3" w:name="_Toc237459774"/>
      <w:r w:rsidRPr="007250A8">
        <w:rPr>
          <w:lang w:val="en-GB"/>
        </w:rPr>
        <w:t>2.1.1 Income Statement</w:t>
      </w:r>
      <w:bookmarkEnd w:id="3"/>
    </w:p>
    <w:p w14:paraId="5AB0EDE1" w14:textId="7573DD6A" w:rsidR="00903CD4" w:rsidRPr="007250A8" w:rsidRDefault="00903CD4" w:rsidP="00903CD4">
      <w:pPr>
        <w:rPr>
          <w:lang w:val="en-GB"/>
        </w:rPr>
      </w:pPr>
      <w:r w:rsidRPr="007250A8">
        <w:rPr>
          <w:lang w:val="en-GB"/>
        </w:rPr>
        <w:t>The financial situati</w:t>
      </w:r>
      <w:r w:rsidR="00B41AB5" w:rsidRPr="007250A8">
        <w:rPr>
          <w:lang w:val="en-GB"/>
        </w:rPr>
        <w:t xml:space="preserve">on </w:t>
      </w:r>
      <w:r w:rsidRPr="007250A8">
        <w:rPr>
          <w:lang w:val="en-GB"/>
        </w:rPr>
        <w:t>of Marriott Internationa</w:t>
      </w:r>
      <w:r w:rsidR="00B41AB5" w:rsidRPr="007250A8">
        <w:rPr>
          <w:lang w:val="en-GB"/>
        </w:rPr>
        <w:t>l</w:t>
      </w:r>
      <w:r w:rsidRPr="007250A8">
        <w:rPr>
          <w:lang w:val="en-GB"/>
        </w:rPr>
        <w:t xml:space="preserve"> significantly improved </w:t>
      </w:r>
      <w:r w:rsidR="00B41AB5" w:rsidRPr="007250A8">
        <w:rPr>
          <w:lang w:val="en-GB"/>
        </w:rPr>
        <w:t>based on</w:t>
      </w:r>
      <w:r w:rsidRPr="007250A8">
        <w:rPr>
          <w:lang w:val="en-GB"/>
        </w:rPr>
        <w:t xml:space="preserve"> revenue from 2021 to 2025, with total revenues increas</w:t>
      </w:r>
      <w:r w:rsidR="00B41AB5" w:rsidRPr="007250A8">
        <w:rPr>
          <w:lang w:val="en-GB"/>
        </w:rPr>
        <w:t>ing</w:t>
      </w:r>
      <w:r w:rsidRPr="007250A8">
        <w:rPr>
          <w:lang w:val="en-GB"/>
        </w:rPr>
        <w:t xml:space="preserve"> from USD 13,857 million in 202</w:t>
      </w:r>
      <w:r w:rsidR="00B41AB5" w:rsidRPr="007250A8">
        <w:rPr>
          <w:lang w:val="en-GB"/>
        </w:rPr>
        <w:t>1 to</w:t>
      </w:r>
      <w:r w:rsidRPr="007250A8">
        <w:rPr>
          <w:lang w:val="en-GB"/>
        </w:rPr>
        <w:t xml:space="preserve"> USD 26,186 million in 2025. Increase in activ</w:t>
      </w:r>
      <w:r w:rsidR="00B41AB5" w:rsidRPr="007250A8">
        <w:rPr>
          <w:lang w:val="en-GB"/>
        </w:rPr>
        <w:t>ity</w:t>
      </w:r>
      <w:r w:rsidRPr="007250A8">
        <w:rPr>
          <w:lang w:val="en-GB"/>
        </w:rPr>
        <w:t xml:space="preserve"> levels of company is represented </w:t>
      </w:r>
      <w:r w:rsidR="00B41AB5" w:rsidRPr="007250A8">
        <w:rPr>
          <w:lang w:val="en-GB"/>
        </w:rPr>
        <w:t>through revenue</w:t>
      </w:r>
      <w:r w:rsidRPr="007250A8">
        <w:rPr>
          <w:lang w:val="en-GB"/>
        </w:rPr>
        <w:t xml:space="preserve"> growth</w:t>
      </w:r>
      <w:r w:rsidR="00B41AB5" w:rsidRPr="007250A8">
        <w:rPr>
          <w:lang w:val="en-GB"/>
        </w:rPr>
        <w:t>,</w:t>
      </w:r>
      <w:r w:rsidRPr="007250A8">
        <w:rPr>
          <w:lang w:val="en-GB"/>
        </w:rPr>
        <w:t xml:space="preserve"> amount</w:t>
      </w:r>
      <w:r w:rsidR="00B41AB5" w:rsidRPr="007250A8">
        <w:rPr>
          <w:lang w:val="en-GB"/>
        </w:rPr>
        <w:t>ing</w:t>
      </w:r>
      <w:r w:rsidRPr="007250A8">
        <w:rPr>
          <w:lang w:val="en-GB"/>
        </w:rPr>
        <w:t xml:space="preserve"> to USD 20,773 million in 2022, USD 23,7</w:t>
      </w:r>
      <w:r w:rsidR="00B41AB5" w:rsidRPr="007250A8">
        <w:rPr>
          <w:lang w:val="en-GB"/>
        </w:rPr>
        <w:t>13</w:t>
      </w:r>
      <w:r w:rsidRPr="007250A8">
        <w:rPr>
          <w:lang w:val="en-GB"/>
        </w:rPr>
        <w:t xml:space="preserve"> million in 2023</w:t>
      </w:r>
      <w:r w:rsidR="00B41AB5" w:rsidRPr="007250A8">
        <w:rPr>
          <w:lang w:val="en-GB"/>
        </w:rPr>
        <w:t xml:space="preserve"> and</w:t>
      </w:r>
      <w:r w:rsidRPr="007250A8">
        <w:rPr>
          <w:lang w:val="en-GB"/>
        </w:rPr>
        <w:t xml:space="preserve"> USD 25,100 millio</w:t>
      </w:r>
      <w:r w:rsidR="00B41AB5" w:rsidRPr="007250A8">
        <w:rPr>
          <w:lang w:val="en-GB"/>
        </w:rPr>
        <w:t>n in</w:t>
      </w:r>
      <w:r w:rsidRPr="007250A8">
        <w:rPr>
          <w:lang w:val="en-GB"/>
        </w:rPr>
        <w:t xml:space="preserve"> 2024. However, net income increased from USD 1,099 milli</w:t>
      </w:r>
      <w:r w:rsidR="00B41AB5" w:rsidRPr="007250A8">
        <w:rPr>
          <w:lang w:val="en-GB"/>
        </w:rPr>
        <w:t>on</w:t>
      </w:r>
      <w:r w:rsidRPr="007250A8">
        <w:rPr>
          <w:lang w:val="en-GB"/>
        </w:rPr>
        <w:t xml:space="preserve"> in 2021 to USD 2,601 million in </w:t>
      </w:r>
      <w:proofErr w:type="gramStart"/>
      <w:r w:rsidRPr="007250A8">
        <w:rPr>
          <w:lang w:val="en-GB"/>
        </w:rPr>
        <w:t>2025, but</w:t>
      </w:r>
      <w:proofErr w:type="gramEnd"/>
      <w:r w:rsidRPr="007250A8">
        <w:rPr>
          <w:lang w:val="en-GB"/>
        </w:rPr>
        <w:t xml:space="preserve"> decreased </w:t>
      </w:r>
      <w:r w:rsidR="00B41AB5" w:rsidRPr="007250A8">
        <w:rPr>
          <w:lang w:val="en-GB"/>
        </w:rPr>
        <w:t xml:space="preserve">from </w:t>
      </w:r>
      <w:r w:rsidRPr="007250A8">
        <w:rPr>
          <w:lang w:val="en-GB"/>
        </w:rPr>
        <w:t>USD 3,0</w:t>
      </w:r>
      <w:r w:rsidR="00B41AB5" w:rsidRPr="007250A8">
        <w:rPr>
          <w:lang w:val="en-GB"/>
        </w:rPr>
        <w:t>83</w:t>
      </w:r>
      <w:r w:rsidRPr="007250A8">
        <w:rPr>
          <w:lang w:val="en-GB"/>
        </w:rPr>
        <w:t xml:space="preserve"> million in 2023 </w:t>
      </w:r>
      <w:r w:rsidR="00B41AB5" w:rsidRPr="007250A8">
        <w:rPr>
          <w:lang w:val="en-GB"/>
        </w:rPr>
        <w:t>to</w:t>
      </w:r>
      <w:r w:rsidRPr="007250A8">
        <w:rPr>
          <w:lang w:val="en-GB"/>
        </w:rPr>
        <w:t xml:space="preserve"> USD 2,3</w:t>
      </w:r>
      <w:r w:rsidR="00B41AB5" w:rsidRPr="007250A8">
        <w:rPr>
          <w:lang w:val="en-GB"/>
        </w:rPr>
        <w:t>75</w:t>
      </w:r>
      <w:r w:rsidRPr="007250A8">
        <w:rPr>
          <w:lang w:val="en-GB"/>
        </w:rPr>
        <w:t xml:space="preserve"> million in 2024. Recovery </w:t>
      </w:r>
      <w:r w:rsidR="00B41AB5" w:rsidRPr="007250A8">
        <w:rPr>
          <w:lang w:val="en-GB"/>
        </w:rPr>
        <w:t>in</w:t>
      </w:r>
      <w:r w:rsidRPr="007250A8">
        <w:rPr>
          <w:lang w:val="en-GB"/>
        </w:rPr>
        <w:t xml:space="preserve"> 2025 suggests </w:t>
      </w:r>
      <w:r w:rsidR="00B41AB5" w:rsidRPr="007250A8">
        <w:rPr>
          <w:lang w:val="en-GB"/>
        </w:rPr>
        <w:t xml:space="preserve">scope for </w:t>
      </w:r>
      <w:r w:rsidRPr="007250A8">
        <w:rPr>
          <w:lang w:val="en-GB"/>
        </w:rPr>
        <w:t>profitab</w:t>
      </w:r>
      <w:r w:rsidR="00B41AB5" w:rsidRPr="007250A8">
        <w:rPr>
          <w:lang w:val="en-GB"/>
        </w:rPr>
        <w:t>ility</w:t>
      </w:r>
      <w:r w:rsidRPr="007250A8">
        <w:rPr>
          <w:lang w:val="en-GB"/>
        </w:rPr>
        <w:t xml:space="preserve"> and </w:t>
      </w:r>
      <w:r w:rsidR="00B41AB5" w:rsidRPr="007250A8">
        <w:rPr>
          <w:lang w:val="en-GB"/>
        </w:rPr>
        <w:t>increased</w:t>
      </w:r>
      <w:r w:rsidRPr="007250A8">
        <w:rPr>
          <w:lang w:val="en-GB"/>
        </w:rPr>
        <w:t xml:space="preserve"> operational performance. Higher gross inco</w:t>
      </w:r>
      <w:r w:rsidR="00B41AB5" w:rsidRPr="007250A8">
        <w:rPr>
          <w:lang w:val="en-GB"/>
        </w:rPr>
        <w:t>me</w:t>
      </w:r>
      <w:r w:rsidRPr="007250A8">
        <w:rPr>
          <w:lang w:val="en-GB"/>
        </w:rPr>
        <w:t xml:space="preserve"> of 2025, increasing f</w:t>
      </w:r>
      <w:r w:rsidR="00B41AB5" w:rsidRPr="007250A8">
        <w:rPr>
          <w:lang w:val="en-GB"/>
        </w:rPr>
        <w:t>rom</w:t>
      </w:r>
      <w:r w:rsidRPr="007250A8">
        <w:rPr>
          <w:lang w:val="en-GB"/>
        </w:rPr>
        <w:t xml:space="preserve"> USD 2,694 millio</w:t>
      </w:r>
      <w:r w:rsidR="00B41AB5" w:rsidRPr="007250A8">
        <w:rPr>
          <w:lang w:val="en-GB"/>
        </w:rPr>
        <w:t>n in</w:t>
      </w:r>
      <w:r w:rsidRPr="007250A8">
        <w:rPr>
          <w:lang w:val="en-GB"/>
        </w:rPr>
        <w:t xml:space="preserve"> 2021</w:t>
      </w:r>
      <w:r w:rsidR="00B41AB5" w:rsidRPr="007250A8">
        <w:rPr>
          <w:lang w:val="en-GB"/>
        </w:rPr>
        <w:t xml:space="preserve"> is a key </w:t>
      </w:r>
      <w:r w:rsidRPr="007250A8">
        <w:rPr>
          <w:lang w:val="en-GB"/>
        </w:rPr>
        <w:t xml:space="preserve">indicator of gross income </w:t>
      </w:r>
      <w:r w:rsidR="00B41AB5" w:rsidRPr="007250A8">
        <w:rPr>
          <w:lang w:val="en-GB"/>
        </w:rPr>
        <w:t>development supported with</w:t>
      </w:r>
      <w:r w:rsidRPr="007250A8">
        <w:rPr>
          <w:lang w:val="en-GB"/>
        </w:rPr>
        <w:t xml:space="preserve"> revenue growth.</w:t>
      </w:r>
    </w:p>
    <w:p w14:paraId="50A2AFAC" w14:textId="77777777" w:rsidR="00903CD4" w:rsidRPr="007250A8" w:rsidRDefault="00903CD4" w:rsidP="003966F2">
      <w:pPr>
        <w:pStyle w:val="Heading3"/>
        <w:rPr>
          <w:lang w:val="en-GB"/>
        </w:rPr>
      </w:pPr>
      <w:bookmarkStart w:id="4" w:name="_Toc237459775"/>
      <w:r w:rsidRPr="007250A8">
        <w:rPr>
          <w:lang w:val="en-GB"/>
        </w:rPr>
        <w:t>2.1.2 Balance Sheet</w:t>
      </w:r>
      <w:bookmarkEnd w:id="4"/>
    </w:p>
    <w:p w14:paraId="0C3A38A6" w14:textId="46F3E945" w:rsidR="00903CD4" w:rsidRPr="007250A8" w:rsidRDefault="003966F2" w:rsidP="00903CD4">
      <w:pPr>
        <w:rPr>
          <w:lang w:val="en-GB"/>
        </w:rPr>
      </w:pPr>
      <w:r w:rsidRPr="007250A8">
        <w:rPr>
          <w:lang w:val="en-GB"/>
        </w:rPr>
        <w:t>The</w:t>
      </w:r>
      <w:r w:rsidR="00903CD4" w:rsidRPr="007250A8">
        <w:rPr>
          <w:lang w:val="en-GB"/>
        </w:rPr>
        <w:t xml:space="preserve"> total assets of Marriott increased from USD 25,553 millio</w:t>
      </w:r>
      <w:r w:rsidRPr="007250A8">
        <w:rPr>
          <w:lang w:val="en-GB"/>
        </w:rPr>
        <w:t>n in</w:t>
      </w:r>
      <w:r w:rsidR="00903CD4" w:rsidRPr="007250A8">
        <w:rPr>
          <w:lang w:val="en-GB"/>
        </w:rPr>
        <w:t xml:space="preserve"> 2021 to USD 27,5</w:t>
      </w:r>
      <w:r w:rsidRPr="007250A8">
        <w:rPr>
          <w:lang w:val="en-GB"/>
        </w:rPr>
        <w:t>40</w:t>
      </w:r>
      <w:r w:rsidR="00903CD4" w:rsidRPr="007250A8">
        <w:rPr>
          <w:lang w:val="en-GB"/>
        </w:rPr>
        <w:t xml:space="preserve"> million in 2025. The current assets remained constant from USD 3,6</w:t>
      </w:r>
      <w:r w:rsidRPr="007250A8">
        <w:rPr>
          <w:lang w:val="en-GB"/>
        </w:rPr>
        <w:t>26</w:t>
      </w:r>
      <w:r w:rsidR="00903CD4" w:rsidRPr="007250A8">
        <w:rPr>
          <w:lang w:val="en-GB"/>
        </w:rPr>
        <w:t xml:space="preserve"> million in 2021 </w:t>
      </w:r>
      <w:r w:rsidRPr="007250A8">
        <w:rPr>
          <w:lang w:val="en-GB"/>
        </w:rPr>
        <w:t>to</w:t>
      </w:r>
      <w:r w:rsidR="00903CD4" w:rsidRPr="007250A8">
        <w:rPr>
          <w:lang w:val="en-GB"/>
        </w:rPr>
        <w:t xml:space="preserve"> USD 3,5</w:t>
      </w:r>
      <w:r w:rsidRPr="007250A8">
        <w:rPr>
          <w:lang w:val="en-GB"/>
        </w:rPr>
        <w:t>84</w:t>
      </w:r>
      <w:r w:rsidR="00903CD4" w:rsidRPr="007250A8">
        <w:rPr>
          <w:lang w:val="en-GB"/>
        </w:rPr>
        <w:t xml:space="preserve"> million in 2025</w:t>
      </w:r>
      <w:r w:rsidRPr="007250A8">
        <w:rPr>
          <w:lang w:val="en-GB"/>
        </w:rPr>
        <w:t>. On the other hand,</w:t>
      </w:r>
      <w:r w:rsidR="00903CD4" w:rsidRPr="007250A8">
        <w:rPr>
          <w:lang w:val="en-GB"/>
        </w:rPr>
        <w:t xml:space="preserve"> current liabilities increased from USD 6,4</w:t>
      </w:r>
      <w:r w:rsidRPr="007250A8">
        <w:rPr>
          <w:lang w:val="en-GB"/>
        </w:rPr>
        <w:t xml:space="preserve">07 </w:t>
      </w:r>
      <w:r w:rsidR="00903CD4" w:rsidRPr="007250A8">
        <w:rPr>
          <w:lang w:val="en-GB"/>
        </w:rPr>
        <w:t xml:space="preserve">million to USD 8,398 million. </w:t>
      </w:r>
      <w:r w:rsidRPr="007250A8">
        <w:rPr>
          <w:lang w:val="en-GB"/>
        </w:rPr>
        <w:t>There is</w:t>
      </w:r>
      <w:r w:rsidR="00903CD4" w:rsidRPr="007250A8">
        <w:rPr>
          <w:lang w:val="en-GB"/>
        </w:rPr>
        <w:t xml:space="preserve"> increase in total liabilities fr</w:t>
      </w:r>
      <w:r w:rsidRPr="007250A8">
        <w:rPr>
          <w:lang w:val="en-GB"/>
        </w:rPr>
        <w:t>om</w:t>
      </w:r>
      <w:r w:rsidR="00903CD4" w:rsidRPr="007250A8">
        <w:rPr>
          <w:lang w:val="en-GB"/>
        </w:rPr>
        <w:t xml:space="preserve"> USD 24,139 million to USD 31,311 million</w:t>
      </w:r>
      <w:r w:rsidRPr="007250A8">
        <w:rPr>
          <w:lang w:val="en-GB"/>
        </w:rPr>
        <w:t xml:space="preserve">, with </w:t>
      </w:r>
      <w:r w:rsidR="00903CD4" w:rsidRPr="007250A8">
        <w:rPr>
          <w:lang w:val="en-GB"/>
        </w:rPr>
        <w:t>total debt from USD 10,138 millio</w:t>
      </w:r>
      <w:r w:rsidRPr="007250A8">
        <w:rPr>
          <w:lang w:val="en-GB"/>
        </w:rPr>
        <w:t>n to</w:t>
      </w:r>
      <w:r w:rsidR="00903CD4" w:rsidRPr="007250A8">
        <w:rPr>
          <w:lang w:val="en-GB"/>
        </w:rPr>
        <w:t xml:space="preserve"> USD 16,204 </w:t>
      </w:r>
      <w:r w:rsidR="00903CD4" w:rsidRPr="007250A8">
        <w:rPr>
          <w:lang w:val="en-GB"/>
        </w:rPr>
        <w:lastRenderedPageBreak/>
        <w:t>mill</w:t>
      </w:r>
      <w:r w:rsidRPr="007250A8">
        <w:rPr>
          <w:lang w:val="en-GB"/>
        </w:rPr>
        <w:t>ion</w:t>
      </w:r>
      <w:r w:rsidR="00903CD4" w:rsidRPr="007250A8">
        <w:rPr>
          <w:lang w:val="en-GB"/>
        </w:rPr>
        <w:t>. The highe</w:t>
      </w:r>
      <w:r w:rsidRPr="007250A8">
        <w:rPr>
          <w:lang w:val="en-GB"/>
        </w:rPr>
        <w:t>r number signifies increased</w:t>
      </w:r>
      <w:r w:rsidR="00903CD4" w:rsidRPr="007250A8">
        <w:rPr>
          <w:lang w:val="en-GB"/>
        </w:rPr>
        <w:t xml:space="preserve"> debt use</w:t>
      </w:r>
      <w:r w:rsidRPr="007250A8">
        <w:rPr>
          <w:lang w:val="en-GB"/>
        </w:rPr>
        <w:t>d by</w:t>
      </w:r>
      <w:r w:rsidR="00903CD4" w:rsidRPr="007250A8">
        <w:rPr>
          <w:lang w:val="en-GB"/>
        </w:rPr>
        <w:t xml:space="preserve"> Marriott for growth</w:t>
      </w:r>
      <w:r w:rsidR="00C06368" w:rsidRPr="007250A8">
        <w:rPr>
          <w:lang w:val="en-GB"/>
        </w:rPr>
        <w:t xml:space="preserve"> (Marriott, 2024)</w:t>
      </w:r>
      <w:r w:rsidR="00903CD4" w:rsidRPr="007250A8">
        <w:rPr>
          <w:lang w:val="en-GB"/>
        </w:rPr>
        <w:t>.</w:t>
      </w:r>
    </w:p>
    <w:p w14:paraId="309BDFA5" w14:textId="77777777" w:rsidR="00903CD4" w:rsidRPr="007250A8" w:rsidRDefault="00903CD4" w:rsidP="003966F2">
      <w:pPr>
        <w:pStyle w:val="Heading3"/>
        <w:rPr>
          <w:lang w:val="en-GB"/>
        </w:rPr>
      </w:pPr>
      <w:bookmarkStart w:id="5" w:name="_Toc237459776"/>
      <w:r w:rsidRPr="007250A8">
        <w:rPr>
          <w:lang w:val="en-GB"/>
        </w:rPr>
        <w:t>2.1.3 Cash Flow Statement</w:t>
      </w:r>
      <w:bookmarkEnd w:id="5"/>
    </w:p>
    <w:p w14:paraId="66DF7E47" w14:textId="55AA6A6E" w:rsidR="00903CD4" w:rsidRPr="007250A8" w:rsidRDefault="00903CD4" w:rsidP="00903CD4">
      <w:pPr>
        <w:rPr>
          <w:lang w:val="en-GB"/>
        </w:rPr>
      </w:pPr>
      <w:r w:rsidRPr="007250A8">
        <w:rPr>
          <w:lang w:val="en-GB"/>
        </w:rPr>
        <w:t>Th</w:t>
      </w:r>
      <w:r w:rsidR="003966F2" w:rsidRPr="007250A8">
        <w:rPr>
          <w:lang w:val="en-GB"/>
        </w:rPr>
        <w:t>e</w:t>
      </w:r>
      <w:r w:rsidRPr="007250A8">
        <w:rPr>
          <w:lang w:val="en-GB"/>
        </w:rPr>
        <w:t xml:space="preserve"> operating cash flow for</w:t>
      </w:r>
      <w:r w:rsidR="003966F2" w:rsidRPr="007250A8">
        <w:rPr>
          <w:lang w:val="en-GB"/>
        </w:rPr>
        <w:t xml:space="preserve"> the</w:t>
      </w:r>
      <w:r w:rsidRPr="007250A8">
        <w:rPr>
          <w:lang w:val="en-GB"/>
        </w:rPr>
        <w:t xml:space="preserve"> period was positive, increasing f</w:t>
      </w:r>
      <w:r w:rsidR="003966F2" w:rsidRPr="007250A8">
        <w:rPr>
          <w:lang w:val="en-GB"/>
        </w:rPr>
        <w:t>rom</w:t>
      </w:r>
      <w:r w:rsidRPr="007250A8">
        <w:rPr>
          <w:lang w:val="en-GB"/>
        </w:rPr>
        <w:t xml:space="preserve"> USD 1,1</w:t>
      </w:r>
      <w:r w:rsidR="003966F2" w:rsidRPr="007250A8">
        <w:rPr>
          <w:lang w:val="en-GB"/>
        </w:rPr>
        <w:t>77</w:t>
      </w:r>
      <w:r w:rsidRPr="007250A8">
        <w:rPr>
          <w:lang w:val="en-GB"/>
        </w:rPr>
        <w:t xml:space="preserve"> million in 2021 to USD 3,2</w:t>
      </w:r>
      <w:r w:rsidR="003966F2" w:rsidRPr="007250A8">
        <w:rPr>
          <w:lang w:val="en-GB"/>
        </w:rPr>
        <w:t>12</w:t>
      </w:r>
      <w:r w:rsidRPr="007250A8">
        <w:rPr>
          <w:lang w:val="en-GB"/>
        </w:rPr>
        <w:t xml:space="preserve"> million </w:t>
      </w:r>
      <w:r w:rsidR="003966F2" w:rsidRPr="007250A8">
        <w:rPr>
          <w:lang w:val="en-GB"/>
        </w:rPr>
        <w:t>in</w:t>
      </w:r>
      <w:r w:rsidRPr="007250A8">
        <w:rPr>
          <w:lang w:val="en-GB"/>
        </w:rPr>
        <w:t xml:space="preserve"> 2025. The OCF </w:t>
      </w:r>
      <w:r w:rsidR="003966F2" w:rsidRPr="007250A8">
        <w:rPr>
          <w:lang w:val="en-GB"/>
        </w:rPr>
        <w:t>increased to</w:t>
      </w:r>
      <w:r w:rsidRPr="007250A8">
        <w:rPr>
          <w:lang w:val="en-GB"/>
        </w:rPr>
        <w:t xml:space="preserve"> USD 2,363 millio</w:t>
      </w:r>
      <w:r w:rsidR="003966F2" w:rsidRPr="007250A8">
        <w:rPr>
          <w:lang w:val="en-GB"/>
        </w:rPr>
        <w:t>n in</w:t>
      </w:r>
      <w:r w:rsidRPr="007250A8">
        <w:rPr>
          <w:lang w:val="en-GB"/>
        </w:rPr>
        <w:t xml:space="preserve"> 2022, USD 3,170 million in 2023, but </w:t>
      </w:r>
      <w:r w:rsidR="003966F2" w:rsidRPr="007250A8">
        <w:rPr>
          <w:lang w:val="en-GB"/>
        </w:rPr>
        <w:t>reduced to</w:t>
      </w:r>
      <w:r w:rsidRPr="007250A8">
        <w:rPr>
          <w:lang w:val="en-GB"/>
        </w:rPr>
        <w:t xml:space="preserve"> USD 2,74</w:t>
      </w:r>
      <w:r w:rsidR="003966F2" w:rsidRPr="007250A8">
        <w:rPr>
          <w:lang w:val="en-GB"/>
        </w:rPr>
        <w:t xml:space="preserve">9 </w:t>
      </w:r>
      <w:r w:rsidRPr="007250A8">
        <w:rPr>
          <w:lang w:val="en-GB"/>
        </w:rPr>
        <w:t>million in 2024. Th</w:t>
      </w:r>
      <w:r w:rsidR="003966F2" w:rsidRPr="007250A8">
        <w:rPr>
          <w:lang w:val="en-GB"/>
        </w:rPr>
        <w:t>e</w:t>
      </w:r>
      <w:r w:rsidRPr="007250A8">
        <w:rPr>
          <w:lang w:val="en-GB"/>
        </w:rPr>
        <w:t xml:space="preserve"> increas</w:t>
      </w:r>
      <w:r w:rsidR="003966F2" w:rsidRPr="007250A8">
        <w:rPr>
          <w:lang w:val="en-GB"/>
        </w:rPr>
        <w:t>e in</w:t>
      </w:r>
      <w:r w:rsidRPr="007250A8">
        <w:rPr>
          <w:lang w:val="en-GB"/>
        </w:rPr>
        <w:t xml:space="preserve"> cash flow generation </w:t>
      </w:r>
      <w:r w:rsidR="003966F2" w:rsidRPr="007250A8">
        <w:rPr>
          <w:lang w:val="en-GB"/>
        </w:rPr>
        <w:t>up to</w:t>
      </w:r>
      <w:r w:rsidRPr="007250A8">
        <w:rPr>
          <w:lang w:val="en-GB"/>
        </w:rPr>
        <w:t xml:space="preserve"> USD 3,212 millio</w:t>
      </w:r>
      <w:r w:rsidR="003966F2" w:rsidRPr="007250A8">
        <w:rPr>
          <w:lang w:val="en-GB"/>
        </w:rPr>
        <w:t>n in</w:t>
      </w:r>
      <w:r w:rsidRPr="007250A8">
        <w:rPr>
          <w:lang w:val="en-GB"/>
        </w:rPr>
        <w:t xml:space="preserve"> 2025</w:t>
      </w:r>
      <w:r w:rsidR="003966F2" w:rsidRPr="007250A8">
        <w:rPr>
          <w:lang w:val="en-GB"/>
        </w:rPr>
        <w:t>,</w:t>
      </w:r>
      <w:r w:rsidRPr="007250A8">
        <w:rPr>
          <w:lang w:val="en-GB"/>
        </w:rPr>
        <w:t xml:space="preserve"> indicates better cash f</w:t>
      </w:r>
      <w:r w:rsidR="003966F2" w:rsidRPr="007250A8">
        <w:rPr>
          <w:lang w:val="en-GB"/>
        </w:rPr>
        <w:t>low</w:t>
      </w:r>
      <w:r w:rsidRPr="007250A8">
        <w:rPr>
          <w:lang w:val="en-GB"/>
        </w:rPr>
        <w:t xml:space="preserve">. </w:t>
      </w:r>
      <w:r w:rsidR="009C0E82" w:rsidRPr="007250A8">
        <w:rPr>
          <w:lang w:val="en-GB"/>
        </w:rPr>
        <w:t xml:space="preserve">As per </w:t>
      </w:r>
      <w:proofErr w:type="spellStart"/>
      <w:r w:rsidR="009C0E82" w:rsidRPr="007250A8">
        <w:rPr>
          <w:lang w:val="en-GB"/>
        </w:rPr>
        <w:t>Estiningrum</w:t>
      </w:r>
      <w:proofErr w:type="spellEnd"/>
      <w:r w:rsidR="009C0E82" w:rsidRPr="007250A8">
        <w:rPr>
          <w:lang w:val="en-GB"/>
        </w:rPr>
        <w:t xml:space="preserve">, </w:t>
      </w:r>
      <w:proofErr w:type="spellStart"/>
      <w:r w:rsidR="009C0E82" w:rsidRPr="007250A8">
        <w:rPr>
          <w:lang w:val="en-GB"/>
        </w:rPr>
        <w:t>Astutiningsih</w:t>
      </w:r>
      <w:proofErr w:type="spellEnd"/>
      <w:r w:rsidR="009C0E82" w:rsidRPr="007250A8">
        <w:rPr>
          <w:lang w:val="en-GB"/>
        </w:rPr>
        <w:t xml:space="preserve"> and Maimuna (2025), t</w:t>
      </w:r>
      <w:r w:rsidR="003966F2" w:rsidRPr="007250A8">
        <w:rPr>
          <w:lang w:val="en-GB"/>
        </w:rPr>
        <w:t xml:space="preserve">he cash flow highlights </w:t>
      </w:r>
      <w:r w:rsidRPr="007250A8">
        <w:rPr>
          <w:lang w:val="en-GB"/>
        </w:rPr>
        <w:t>positive financial situation, as th</w:t>
      </w:r>
      <w:r w:rsidR="003966F2" w:rsidRPr="007250A8">
        <w:rPr>
          <w:lang w:val="en-GB"/>
        </w:rPr>
        <w:t xml:space="preserve">e </w:t>
      </w:r>
      <w:r w:rsidRPr="007250A8">
        <w:rPr>
          <w:lang w:val="en-GB"/>
        </w:rPr>
        <w:t xml:space="preserve">operating cash flow provide Marriott with funds to manage business and payments. </w:t>
      </w:r>
      <w:r w:rsidR="003966F2" w:rsidRPr="007250A8">
        <w:rPr>
          <w:lang w:val="en-GB"/>
        </w:rPr>
        <w:t>On other hand, the</w:t>
      </w:r>
      <w:r w:rsidRPr="007250A8">
        <w:rPr>
          <w:lang w:val="en-GB"/>
        </w:rPr>
        <w:t xml:space="preserve"> total amount of debt increased, </w:t>
      </w:r>
      <w:r w:rsidR="003966F2" w:rsidRPr="007250A8">
        <w:rPr>
          <w:lang w:val="en-GB"/>
        </w:rPr>
        <w:t>highlighting the needs for effective</w:t>
      </w:r>
      <w:r w:rsidRPr="007250A8">
        <w:rPr>
          <w:lang w:val="en-GB"/>
        </w:rPr>
        <w:t xml:space="preserve"> financing.</w:t>
      </w:r>
    </w:p>
    <w:p w14:paraId="26FC529F" w14:textId="77777777" w:rsidR="00903CD4" w:rsidRPr="007250A8" w:rsidRDefault="00903CD4" w:rsidP="003966F2">
      <w:pPr>
        <w:pStyle w:val="Heading2"/>
        <w:rPr>
          <w:lang w:val="en-GB"/>
        </w:rPr>
      </w:pPr>
      <w:bookmarkStart w:id="6" w:name="_Toc237459777"/>
      <w:r w:rsidRPr="007250A8">
        <w:rPr>
          <w:lang w:val="en-GB"/>
        </w:rPr>
        <w:t>2.2 Ratio Analysis</w:t>
      </w:r>
      <w:bookmarkEnd w:id="6"/>
    </w:p>
    <w:p w14:paraId="38FA55A9" w14:textId="77777777" w:rsidR="00903CD4" w:rsidRPr="007250A8" w:rsidRDefault="00903CD4" w:rsidP="003966F2">
      <w:pPr>
        <w:pStyle w:val="Heading3"/>
        <w:rPr>
          <w:lang w:val="en-GB"/>
        </w:rPr>
      </w:pPr>
      <w:bookmarkStart w:id="7" w:name="_Toc237459778"/>
      <w:r w:rsidRPr="007250A8">
        <w:rPr>
          <w:lang w:val="en-GB"/>
        </w:rPr>
        <w:t>2.2.1 Liquidity Ratios Analysis</w:t>
      </w:r>
      <w:bookmarkEnd w:id="7"/>
    </w:p>
    <w:p w14:paraId="116C4971" w14:textId="77777777" w:rsidR="00903CD4" w:rsidRPr="007250A8" w:rsidRDefault="00903CD4" w:rsidP="00903CD4">
      <w:pPr>
        <w:rPr>
          <w:b/>
          <w:bCs/>
          <w:i/>
          <w:iCs/>
          <w:lang w:val="en-GB"/>
        </w:rPr>
      </w:pPr>
      <w:r w:rsidRPr="007250A8">
        <w:rPr>
          <w:b/>
          <w:bCs/>
          <w:i/>
          <w:iCs/>
          <w:lang w:val="en-GB"/>
        </w:rPr>
        <w:t>Current Ratio</w:t>
      </w:r>
    </w:p>
    <w:p w14:paraId="024A2129" w14:textId="5AD3D4E1" w:rsidR="00903CD4" w:rsidRPr="007250A8" w:rsidRDefault="00903CD4" w:rsidP="00903CD4">
      <w:pPr>
        <w:rPr>
          <w:lang w:val="en-GB"/>
        </w:rPr>
      </w:pPr>
      <w:r w:rsidRPr="007250A8">
        <w:rPr>
          <w:lang w:val="en-GB"/>
        </w:rPr>
        <w:t>The current rati</w:t>
      </w:r>
      <w:r w:rsidR="003966F2" w:rsidRPr="007250A8">
        <w:rPr>
          <w:lang w:val="en-GB"/>
        </w:rPr>
        <w:t>o</w:t>
      </w:r>
      <w:r w:rsidRPr="007250A8">
        <w:rPr>
          <w:lang w:val="en-GB"/>
        </w:rPr>
        <w:t xml:space="preserve"> of Marriott reduced from 0.57 in 2021 </w:t>
      </w:r>
      <w:r w:rsidR="003966F2" w:rsidRPr="007250A8">
        <w:rPr>
          <w:lang w:val="en-GB"/>
        </w:rPr>
        <w:t>to</w:t>
      </w:r>
      <w:r w:rsidRPr="007250A8">
        <w:rPr>
          <w:lang w:val="en-GB"/>
        </w:rPr>
        <w:t xml:space="preserve"> 0.43 in 2025 wi</w:t>
      </w:r>
      <w:r w:rsidR="003966F2" w:rsidRPr="007250A8">
        <w:rPr>
          <w:lang w:val="en-GB"/>
        </w:rPr>
        <w:t>th</w:t>
      </w:r>
      <w:r w:rsidRPr="007250A8">
        <w:rPr>
          <w:lang w:val="en-GB"/>
        </w:rPr>
        <w:t xml:space="preserve"> ratios of 0.45 in 2022, 0.43 in 202</w:t>
      </w:r>
      <w:r w:rsidR="003966F2" w:rsidRPr="007250A8">
        <w:rPr>
          <w:lang w:val="en-GB"/>
        </w:rPr>
        <w:t>3 and</w:t>
      </w:r>
      <w:r w:rsidRPr="007250A8">
        <w:rPr>
          <w:lang w:val="en-GB"/>
        </w:rPr>
        <w:t xml:space="preserve"> 0.40 in 2024. Ratios be</w:t>
      </w:r>
      <w:r w:rsidR="003966F2" w:rsidRPr="007250A8">
        <w:rPr>
          <w:lang w:val="en-GB"/>
        </w:rPr>
        <w:t>low</w:t>
      </w:r>
      <w:r w:rsidRPr="007250A8">
        <w:rPr>
          <w:lang w:val="en-GB"/>
        </w:rPr>
        <w:t xml:space="preserve"> 1.0 indicat</w:t>
      </w:r>
      <w:r w:rsidR="003966F2" w:rsidRPr="007250A8">
        <w:rPr>
          <w:lang w:val="en-GB"/>
        </w:rPr>
        <w:t xml:space="preserve">es </w:t>
      </w:r>
      <w:r w:rsidRPr="007250A8">
        <w:rPr>
          <w:lang w:val="en-GB"/>
        </w:rPr>
        <w:t xml:space="preserve">that </w:t>
      </w:r>
      <w:r w:rsidR="003966F2" w:rsidRPr="007250A8">
        <w:rPr>
          <w:lang w:val="en-GB"/>
        </w:rPr>
        <w:t>c</w:t>
      </w:r>
      <w:r w:rsidRPr="007250A8">
        <w:rPr>
          <w:lang w:val="en-GB"/>
        </w:rPr>
        <w:t>urrent assets can</w:t>
      </w:r>
      <w:r w:rsidR="003966F2" w:rsidRPr="007250A8">
        <w:rPr>
          <w:lang w:val="en-GB"/>
        </w:rPr>
        <w:t>not</w:t>
      </w:r>
      <w:r w:rsidRPr="007250A8">
        <w:rPr>
          <w:lang w:val="en-GB"/>
        </w:rPr>
        <w:t xml:space="preserve"> meet the current liabilities. However, liquidity position of Marriott is weakness despite slight </w:t>
      </w:r>
      <w:r w:rsidR="003966F2" w:rsidRPr="007250A8">
        <w:rPr>
          <w:lang w:val="en-GB"/>
        </w:rPr>
        <w:t>improvement</w:t>
      </w:r>
      <w:r w:rsidRPr="007250A8">
        <w:rPr>
          <w:lang w:val="en-GB"/>
        </w:rPr>
        <w:t xml:space="preserve"> from 0.40 in 202</w:t>
      </w:r>
      <w:r w:rsidR="003966F2" w:rsidRPr="007250A8">
        <w:rPr>
          <w:lang w:val="en-GB"/>
        </w:rPr>
        <w:t>4 to</w:t>
      </w:r>
      <w:r w:rsidRPr="007250A8">
        <w:rPr>
          <w:lang w:val="en-GB"/>
        </w:rPr>
        <w:t xml:space="preserve"> 0.43 in 2025.</w:t>
      </w:r>
    </w:p>
    <w:p w14:paraId="70E6E2B4" w14:textId="77777777" w:rsidR="00903CD4" w:rsidRPr="007250A8" w:rsidRDefault="00903CD4" w:rsidP="00903CD4">
      <w:pPr>
        <w:rPr>
          <w:b/>
          <w:bCs/>
          <w:i/>
          <w:iCs/>
          <w:lang w:val="en-GB"/>
        </w:rPr>
      </w:pPr>
      <w:r w:rsidRPr="007250A8">
        <w:rPr>
          <w:b/>
          <w:bCs/>
          <w:i/>
          <w:iCs/>
          <w:lang w:val="en-GB"/>
        </w:rPr>
        <w:t>Acid Test Ratio</w:t>
      </w:r>
    </w:p>
    <w:p w14:paraId="6091CF45" w14:textId="06A84AE3" w:rsidR="00903CD4" w:rsidRPr="007250A8" w:rsidRDefault="00903CD4" w:rsidP="00903CD4">
      <w:pPr>
        <w:rPr>
          <w:lang w:val="en-GB"/>
        </w:rPr>
      </w:pPr>
      <w:r w:rsidRPr="007250A8">
        <w:rPr>
          <w:lang w:val="en-GB"/>
        </w:rPr>
        <w:t>The acid test rati</w:t>
      </w:r>
      <w:r w:rsidR="003966F2" w:rsidRPr="007250A8">
        <w:rPr>
          <w:lang w:val="en-GB"/>
        </w:rPr>
        <w:t xml:space="preserve">o </w:t>
      </w:r>
      <w:r w:rsidRPr="007250A8">
        <w:rPr>
          <w:lang w:val="en-GB"/>
        </w:rPr>
        <w:t xml:space="preserve">reduced from 0.53 </w:t>
      </w:r>
      <w:r w:rsidR="003966F2" w:rsidRPr="007250A8">
        <w:rPr>
          <w:lang w:val="en-GB"/>
        </w:rPr>
        <w:t>in</w:t>
      </w:r>
      <w:r w:rsidRPr="007250A8">
        <w:rPr>
          <w:lang w:val="en-GB"/>
        </w:rPr>
        <w:t xml:space="preserve"> 2021 t</w:t>
      </w:r>
      <w:r w:rsidR="003966F2" w:rsidRPr="007250A8">
        <w:rPr>
          <w:lang w:val="en-GB"/>
        </w:rPr>
        <w:t>o 0</w:t>
      </w:r>
      <w:r w:rsidRPr="007250A8">
        <w:rPr>
          <w:lang w:val="en-GB"/>
        </w:rPr>
        <w:t>.39 in 2025 with value</w:t>
      </w:r>
      <w:r w:rsidR="003966F2" w:rsidRPr="007250A8">
        <w:rPr>
          <w:lang w:val="en-GB"/>
        </w:rPr>
        <w:t>s</w:t>
      </w:r>
      <w:r w:rsidRPr="007250A8">
        <w:rPr>
          <w:lang w:val="en-GB"/>
        </w:rPr>
        <w:t xml:space="preserve"> 0.42 </w:t>
      </w:r>
      <w:r w:rsidR="003966F2" w:rsidRPr="007250A8">
        <w:rPr>
          <w:lang w:val="en-GB"/>
        </w:rPr>
        <w:t>in</w:t>
      </w:r>
      <w:r w:rsidRPr="007250A8">
        <w:rPr>
          <w:lang w:val="en-GB"/>
        </w:rPr>
        <w:t xml:space="preserve"> 2022, 0.40 in 202</w:t>
      </w:r>
      <w:r w:rsidR="003966F2" w:rsidRPr="007250A8">
        <w:rPr>
          <w:lang w:val="en-GB"/>
        </w:rPr>
        <w:t>3 and</w:t>
      </w:r>
      <w:r w:rsidRPr="007250A8">
        <w:rPr>
          <w:lang w:val="en-GB"/>
        </w:rPr>
        <w:t xml:space="preserve"> 0.37 in 2024. The ratio </w:t>
      </w:r>
      <w:r w:rsidR="003966F2" w:rsidRPr="007250A8">
        <w:rPr>
          <w:lang w:val="en-GB"/>
        </w:rPr>
        <w:t>reveals that</w:t>
      </w:r>
      <w:r w:rsidRPr="007250A8">
        <w:rPr>
          <w:lang w:val="en-GB"/>
        </w:rPr>
        <w:t xml:space="preserve"> company has few liquid assets compare</w:t>
      </w:r>
      <w:r w:rsidR="003966F2" w:rsidRPr="007250A8">
        <w:rPr>
          <w:lang w:val="en-GB"/>
        </w:rPr>
        <w:t>d to</w:t>
      </w:r>
      <w:r w:rsidRPr="007250A8">
        <w:rPr>
          <w:lang w:val="en-GB"/>
        </w:rPr>
        <w:t xml:space="preserve"> short-term debts. Ratios </w:t>
      </w:r>
      <w:r w:rsidR="003966F2" w:rsidRPr="007250A8">
        <w:rPr>
          <w:lang w:val="en-GB"/>
        </w:rPr>
        <w:t>less</w:t>
      </w:r>
      <w:r w:rsidRPr="007250A8">
        <w:rPr>
          <w:lang w:val="en-GB"/>
        </w:rPr>
        <w:t xml:space="preserve"> than 1.0 indicat</w:t>
      </w:r>
      <w:r w:rsidR="003966F2" w:rsidRPr="007250A8">
        <w:rPr>
          <w:lang w:val="en-GB"/>
        </w:rPr>
        <w:t>es</w:t>
      </w:r>
      <w:r w:rsidRPr="007250A8">
        <w:rPr>
          <w:lang w:val="en-GB"/>
        </w:rPr>
        <w:t xml:space="preserve"> that company depends heavily on cash flow from operations </w:t>
      </w:r>
      <w:r w:rsidR="003966F2" w:rsidRPr="007250A8">
        <w:rPr>
          <w:lang w:val="en-GB"/>
        </w:rPr>
        <w:t>for settling</w:t>
      </w:r>
      <w:r w:rsidRPr="007250A8">
        <w:rPr>
          <w:lang w:val="en-GB"/>
        </w:rPr>
        <w:t xml:space="preserve"> current liabilities.</w:t>
      </w:r>
    </w:p>
    <w:p w14:paraId="54C961F5" w14:textId="77777777" w:rsidR="00903CD4" w:rsidRPr="007250A8" w:rsidRDefault="00903CD4" w:rsidP="00C465D0">
      <w:pPr>
        <w:pStyle w:val="Heading3"/>
        <w:rPr>
          <w:lang w:val="en-GB"/>
        </w:rPr>
      </w:pPr>
      <w:bookmarkStart w:id="8" w:name="_Toc237459779"/>
      <w:r w:rsidRPr="007250A8">
        <w:rPr>
          <w:lang w:val="en-GB"/>
        </w:rPr>
        <w:t>2.2.2 Profitability Ratios Analysis</w:t>
      </w:r>
      <w:bookmarkEnd w:id="8"/>
    </w:p>
    <w:p w14:paraId="1F5A06B3" w14:textId="77777777" w:rsidR="00903CD4" w:rsidRPr="007250A8" w:rsidRDefault="00903CD4" w:rsidP="00903CD4">
      <w:pPr>
        <w:rPr>
          <w:b/>
          <w:bCs/>
          <w:i/>
          <w:iCs/>
          <w:lang w:val="en-GB"/>
        </w:rPr>
      </w:pPr>
      <w:r w:rsidRPr="007250A8">
        <w:rPr>
          <w:b/>
          <w:bCs/>
          <w:i/>
          <w:iCs/>
          <w:lang w:val="en-GB"/>
        </w:rPr>
        <w:t>Net Margin Ratio</w:t>
      </w:r>
    </w:p>
    <w:p w14:paraId="5BBFC4E9" w14:textId="543F0153" w:rsidR="00903CD4" w:rsidRPr="007250A8" w:rsidRDefault="00903CD4" w:rsidP="00903CD4">
      <w:pPr>
        <w:rPr>
          <w:lang w:val="en-GB"/>
        </w:rPr>
      </w:pPr>
      <w:r w:rsidRPr="007250A8">
        <w:rPr>
          <w:lang w:val="en-GB"/>
        </w:rPr>
        <w:t>The net margin f</w:t>
      </w:r>
      <w:r w:rsidR="00C465D0" w:rsidRPr="007250A8">
        <w:rPr>
          <w:lang w:val="en-GB"/>
        </w:rPr>
        <w:t>o</w:t>
      </w:r>
      <w:r w:rsidRPr="007250A8">
        <w:rPr>
          <w:lang w:val="en-GB"/>
        </w:rPr>
        <w:t>r Marriott is positive, mean</w:t>
      </w:r>
      <w:r w:rsidR="00C465D0" w:rsidRPr="007250A8">
        <w:rPr>
          <w:lang w:val="en-GB"/>
        </w:rPr>
        <w:t>ing</w:t>
      </w:r>
      <w:r w:rsidRPr="007250A8">
        <w:rPr>
          <w:lang w:val="en-GB"/>
        </w:rPr>
        <w:t xml:space="preserve"> there were no loss</w:t>
      </w:r>
      <w:r w:rsidR="00C465D0" w:rsidRPr="007250A8">
        <w:rPr>
          <w:lang w:val="en-GB"/>
        </w:rPr>
        <w:t xml:space="preserve"> from </w:t>
      </w:r>
      <w:r w:rsidRPr="007250A8">
        <w:rPr>
          <w:lang w:val="en-GB"/>
        </w:rPr>
        <w:t xml:space="preserve">sales or other source in </w:t>
      </w:r>
      <w:r w:rsidR="00C465D0" w:rsidRPr="007250A8">
        <w:rPr>
          <w:lang w:val="en-GB"/>
        </w:rPr>
        <w:t>o</w:t>
      </w:r>
      <w:r w:rsidRPr="007250A8">
        <w:rPr>
          <w:lang w:val="en-GB"/>
        </w:rPr>
        <w:t>rgani</w:t>
      </w:r>
      <w:r w:rsidR="00C465D0" w:rsidRPr="007250A8">
        <w:rPr>
          <w:lang w:val="en-GB"/>
        </w:rPr>
        <w:t>s</w:t>
      </w:r>
      <w:r w:rsidRPr="007250A8">
        <w:rPr>
          <w:lang w:val="en-GB"/>
        </w:rPr>
        <w:t xml:space="preserve">ation in 2021-2025. </w:t>
      </w:r>
      <w:r w:rsidR="00C465D0" w:rsidRPr="007250A8">
        <w:rPr>
          <w:lang w:val="en-GB"/>
        </w:rPr>
        <w:t>In</w:t>
      </w:r>
      <w:r w:rsidRPr="007250A8">
        <w:rPr>
          <w:lang w:val="en-GB"/>
        </w:rPr>
        <w:t xml:space="preserve"> 2021, net margin was 8% and </w:t>
      </w:r>
      <w:r w:rsidR="00C465D0" w:rsidRPr="007250A8">
        <w:rPr>
          <w:lang w:val="en-GB"/>
        </w:rPr>
        <w:t>increased to</w:t>
      </w:r>
      <w:r w:rsidRPr="007250A8">
        <w:rPr>
          <w:lang w:val="en-GB"/>
        </w:rPr>
        <w:t xml:space="preserve"> </w:t>
      </w:r>
      <w:r w:rsidRPr="007250A8">
        <w:rPr>
          <w:lang w:val="en-GB"/>
        </w:rPr>
        <w:lastRenderedPageBreak/>
        <w:t>10% in 2025</w:t>
      </w:r>
      <w:r w:rsidR="00C465D0" w:rsidRPr="007250A8">
        <w:rPr>
          <w:lang w:val="en-GB"/>
        </w:rPr>
        <w:t>,</w:t>
      </w:r>
      <w:r w:rsidRPr="007250A8">
        <w:rPr>
          <w:lang w:val="en-GB"/>
        </w:rPr>
        <w:t xml:space="preserve"> reaching 1</w:t>
      </w:r>
      <w:r w:rsidR="00C465D0" w:rsidRPr="007250A8">
        <w:rPr>
          <w:lang w:val="en-GB"/>
        </w:rPr>
        <w:t>3</w:t>
      </w:r>
      <w:r w:rsidRPr="007250A8">
        <w:rPr>
          <w:lang w:val="en-GB"/>
        </w:rPr>
        <w:t>% in 202</w:t>
      </w:r>
      <w:r w:rsidR="00C465D0" w:rsidRPr="007250A8">
        <w:rPr>
          <w:lang w:val="en-GB"/>
        </w:rPr>
        <w:t>3 and reducing to</w:t>
      </w:r>
      <w:r w:rsidRPr="007250A8">
        <w:rPr>
          <w:lang w:val="en-GB"/>
        </w:rPr>
        <w:t xml:space="preserve"> 9% in 2024. The change i</w:t>
      </w:r>
      <w:r w:rsidR="00C465D0" w:rsidRPr="007250A8">
        <w:rPr>
          <w:lang w:val="en-GB"/>
        </w:rPr>
        <w:t>n</w:t>
      </w:r>
      <w:r w:rsidRPr="007250A8">
        <w:rPr>
          <w:lang w:val="en-GB"/>
        </w:rPr>
        <w:t xml:space="preserve"> net margin for 2025 shows that profitability situation is improving afte</w:t>
      </w:r>
      <w:r w:rsidR="00C465D0" w:rsidRPr="007250A8">
        <w:rPr>
          <w:lang w:val="en-GB"/>
        </w:rPr>
        <w:t>r</w:t>
      </w:r>
      <w:r w:rsidRPr="007250A8">
        <w:rPr>
          <w:lang w:val="en-GB"/>
        </w:rPr>
        <w:t xml:space="preserve"> 2024. All values for margin</w:t>
      </w:r>
      <w:r w:rsidR="00C465D0" w:rsidRPr="007250A8">
        <w:rPr>
          <w:lang w:val="en-GB"/>
        </w:rPr>
        <w:t xml:space="preserve"> on</w:t>
      </w:r>
      <w:r w:rsidRPr="007250A8">
        <w:rPr>
          <w:lang w:val="en-GB"/>
        </w:rPr>
        <w:t xml:space="preserve"> difference between sales and expense</w:t>
      </w:r>
      <w:r w:rsidR="00C465D0" w:rsidRPr="007250A8">
        <w:rPr>
          <w:lang w:val="en-GB"/>
        </w:rPr>
        <w:t>s are</w:t>
      </w:r>
      <w:r w:rsidRPr="007250A8">
        <w:rPr>
          <w:lang w:val="en-GB"/>
        </w:rPr>
        <w:t xml:space="preserve"> positive.</w:t>
      </w:r>
    </w:p>
    <w:p w14:paraId="66F20E36" w14:textId="77777777" w:rsidR="00903CD4" w:rsidRPr="007250A8" w:rsidRDefault="00903CD4" w:rsidP="00903CD4">
      <w:pPr>
        <w:rPr>
          <w:b/>
          <w:bCs/>
          <w:i/>
          <w:iCs/>
          <w:lang w:val="en-GB"/>
        </w:rPr>
      </w:pPr>
      <w:r w:rsidRPr="007250A8">
        <w:rPr>
          <w:b/>
          <w:bCs/>
          <w:i/>
          <w:iCs/>
          <w:lang w:val="en-GB"/>
        </w:rPr>
        <w:t>Gross Margin Ratio</w:t>
      </w:r>
    </w:p>
    <w:p w14:paraId="649B57A8" w14:textId="340D2EE3" w:rsidR="00903CD4" w:rsidRPr="007250A8" w:rsidRDefault="00903CD4" w:rsidP="00903CD4">
      <w:pPr>
        <w:rPr>
          <w:lang w:val="en-GB"/>
        </w:rPr>
      </w:pPr>
      <w:r w:rsidRPr="007250A8">
        <w:rPr>
          <w:lang w:val="en-GB"/>
        </w:rPr>
        <w:t xml:space="preserve">There was no </w:t>
      </w:r>
      <w:r w:rsidR="009C4404" w:rsidRPr="007250A8">
        <w:rPr>
          <w:lang w:val="en-GB"/>
        </w:rPr>
        <w:t>c</w:t>
      </w:r>
      <w:r w:rsidRPr="007250A8">
        <w:rPr>
          <w:lang w:val="en-GB"/>
        </w:rPr>
        <w:t>hange in gross margin</w:t>
      </w:r>
      <w:r w:rsidR="009C4404" w:rsidRPr="007250A8">
        <w:rPr>
          <w:lang w:val="en-GB"/>
        </w:rPr>
        <w:t xml:space="preserve"> with </w:t>
      </w:r>
      <w:r w:rsidRPr="007250A8">
        <w:rPr>
          <w:lang w:val="en-GB"/>
        </w:rPr>
        <w:t>fair consisten</w:t>
      </w:r>
      <w:r w:rsidR="009C4404" w:rsidRPr="007250A8">
        <w:rPr>
          <w:lang w:val="en-GB"/>
        </w:rPr>
        <w:t>cy</w:t>
      </w:r>
      <w:r w:rsidRPr="007250A8">
        <w:rPr>
          <w:lang w:val="en-GB"/>
        </w:rPr>
        <w:t xml:space="preserve"> of</w:t>
      </w:r>
      <w:r w:rsidR="009C4404" w:rsidRPr="007250A8">
        <w:rPr>
          <w:lang w:val="en-GB"/>
        </w:rPr>
        <w:t xml:space="preserve"> </w:t>
      </w:r>
      <w:r w:rsidRPr="007250A8">
        <w:rPr>
          <w:lang w:val="en-GB"/>
        </w:rPr>
        <w:t>1</w:t>
      </w:r>
      <w:r w:rsidR="009C4404" w:rsidRPr="007250A8">
        <w:rPr>
          <w:lang w:val="en-GB"/>
        </w:rPr>
        <w:t>9</w:t>
      </w:r>
      <w:r w:rsidRPr="007250A8">
        <w:rPr>
          <w:lang w:val="en-GB"/>
        </w:rPr>
        <w:t>-2</w:t>
      </w:r>
      <w:r w:rsidR="009C4404" w:rsidRPr="007250A8">
        <w:rPr>
          <w:lang w:val="en-GB"/>
        </w:rPr>
        <w:t>0</w:t>
      </w:r>
      <w:proofErr w:type="gramStart"/>
      <w:r w:rsidRPr="007250A8">
        <w:rPr>
          <w:lang w:val="en-GB"/>
        </w:rPr>
        <w:t>%, and</w:t>
      </w:r>
      <w:proofErr w:type="gramEnd"/>
      <w:r w:rsidRPr="007250A8">
        <w:rPr>
          <w:lang w:val="en-GB"/>
        </w:rPr>
        <w:t xml:space="preserve"> reached 20% in 202</w:t>
      </w:r>
      <w:r w:rsidR="009C4404" w:rsidRPr="007250A8">
        <w:rPr>
          <w:lang w:val="en-GB"/>
        </w:rPr>
        <w:t>5</w:t>
      </w:r>
      <w:r w:rsidRPr="007250A8">
        <w:rPr>
          <w:lang w:val="en-GB"/>
        </w:rPr>
        <w:t>. It shows that individuals generate steady income despite fluctuati</w:t>
      </w:r>
      <w:r w:rsidR="009C4404" w:rsidRPr="007250A8">
        <w:rPr>
          <w:lang w:val="en-GB"/>
        </w:rPr>
        <w:t xml:space="preserve">ons </w:t>
      </w:r>
      <w:r w:rsidRPr="007250A8">
        <w:rPr>
          <w:lang w:val="en-GB"/>
        </w:rPr>
        <w:t>in incomes and business environment.</w:t>
      </w:r>
      <w:r w:rsidR="009C0E82" w:rsidRPr="007250A8">
        <w:rPr>
          <w:lang w:val="en-GB"/>
        </w:rPr>
        <w:t xml:space="preserve"> As per </w:t>
      </w:r>
      <w:r w:rsidR="009C0E82" w:rsidRPr="007250A8">
        <w:rPr>
          <w:rFonts w:cs="Arial"/>
          <w:color w:val="222222"/>
          <w:szCs w:val="20"/>
          <w:shd w:val="clear" w:color="auto" w:fill="FFFFFF"/>
          <w:lang w:val="en-GB"/>
        </w:rPr>
        <w:t>Cerciello</w:t>
      </w:r>
      <w:r w:rsidR="000908D6" w:rsidRPr="007250A8">
        <w:rPr>
          <w:rFonts w:cs="Arial"/>
          <w:color w:val="222222"/>
          <w:szCs w:val="20"/>
          <w:shd w:val="clear" w:color="auto" w:fill="FFFFFF"/>
          <w:lang w:val="en-GB"/>
        </w:rPr>
        <w:t>,</w:t>
      </w:r>
      <w:r w:rsidR="009C0E82" w:rsidRPr="007250A8">
        <w:rPr>
          <w:rFonts w:cs="Arial"/>
          <w:color w:val="222222"/>
          <w:szCs w:val="20"/>
          <w:shd w:val="clear" w:color="auto" w:fill="FFFFFF"/>
          <w:lang w:val="en-GB"/>
        </w:rPr>
        <w:t xml:space="preserve"> Busato and Taddeo (2023),</w:t>
      </w:r>
      <w:r w:rsidRPr="007250A8">
        <w:rPr>
          <w:lang w:val="en-GB"/>
        </w:rPr>
        <w:t xml:space="preserve"> </w:t>
      </w:r>
      <w:r w:rsidR="009C0E82" w:rsidRPr="007250A8">
        <w:rPr>
          <w:lang w:val="en-GB"/>
        </w:rPr>
        <w:t>t</w:t>
      </w:r>
      <w:r w:rsidRPr="007250A8">
        <w:rPr>
          <w:lang w:val="en-GB"/>
        </w:rPr>
        <w:t>he consistency of margin</w:t>
      </w:r>
      <w:r w:rsidR="009C4404" w:rsidRPr="007250A8">
        <w:rPr>
          <w:lang w:val="en-GB"/>
        </w:rPr>
        <w:t xml:space="preserve"> reveals</w:t>
      </w:r>
      <w:r w:rsidRPr="007250A8">
        <w:rPr>
          <w:lang w:val="en-GB"/>
        </w:rPr>
        <w:t xml:space="preserve"> that Marriott consistently </w:t>
      </w:r>
      <w:r w:rsidR="009C4404" w:rsidRPr="007250A8">
        <w:rPr>
          <w:lang w:val="en-GB"/>
        </w:rPr>
        <w:t>focused on</w:t>
      </w:r>
      <w:r w:rsidRPr="007250A8">
        <w:rPr>
          <w:lang w:val="en-GB"/>
        </w:rPr>
        <w:t xml:space="preserve"> effective busines</w:t>
      </w:r>
      <w:r w:rsidR="009C4404" w:rsidRPr="007250A8">
        <w:rPr>
          <w:lang w:val="en-GB"/>
        </w:rPr>
        <w:t>s in developing</w:t>
      </w:r>
      <w:r w:rsidRPr="007250A8">
        <w:rPr>
          <w:lang w:val="en-GB"/>
        </w:rPr>
        <w:t xml:space="preserve"> revenues.</w:t>
      </w:r>
    </w:p>
    <w:p w14:paraId="367EC6F6" w14:textId="77777777" w:rsidR="00903CD4" w:rsidRPr="007250A8" w:rsidRDefault="00903CD4" w:rsidP="009C4404">
      <w:pPr>
        <w:pStyle w:val="Heading3"/>
        <w:rPr>
          <w:lang w:val="en-GB"/>
        </w:rPr>
      </w:pPr>
      <w:bookmarkStart w:id="9" w:name="_Toc237459780"/>
      <w:r w:rsidRPr="007250A8">
        <w:rPr>
          <w:lang w:val="en-GB"/>
        </w:rPr>
        <w:t>2.2.3 Leverage Ratios Analysis</w:t>
      </w:r>
      <w:bookmarkEnd w:id="9"/>
    </w:p>
    <w:p w14:paraId="77E991FD" w14:textId="24A504EC" w:rsidR="00903CD4" w:rsidRPr="007250A8" w:rsidRDefault="00903CD4" w:rsidP="00903CD4">
      <w:pPr>
        <w:rPr>
          <w:b/>
          <w:bCs/>
          <w:i/>
          <w:iCs/>
          <w:lang w:val="en-GB"/>
        </w:rPr>
      </w:pPr>
      <w:r w:rsidRPr="007250A8">
        <w:rPr>
          <w:b/>
          <w:bCs/>
          <w:i/>
          <w:iCs/>
          <w:lang w:val="en-GB"/>
        </w:rPr>
        <w:t>Debt Ratio</w:t>
      </w:r>
    </w:p>
    <w:p w14:paraId="56928E0C" w14:textId="4F426E0C" w:rsidR="00903CD4" w:rsidRPr="007250A8" w:rsidRDefault="00903CD4" w:rsidP="00903CD4">
      <w:pPr>
        <w:rPr>
          <w:lang w:val="en-GB"/>
        </w:rPr>
      </w:pPr>
      <w:r w:rsidRPr="007250A8">
        <w:rPr>
          <w:lang w:val="en-GB"/>
        </w:rPr>
        <w:t>Marriott</w:t>
      </w:r>
      <w:r w:rsidR="009C4404" w:rsidRPr="007250A8">
        <w:rPr>
          <w:lang w:val="en-GB"/>
        </w:rPr>
        <w:t>’s</w:t>
      </w:r>
      <w:r w:rsidRPr="007250A8">
        <w:rPr>
          <w:lang w:val="en-GB"/>
        </w:rPr>
        <w:t xml:space="preserve"> debt ratio grown from 0.</w:t>
      </w:r>
      <w:r w:rsidR="009C4404" w:rsidRPr="007250A8">
        <w:rPr>
          <w:lang w:val="en-GB"/>
        </w:rPr>
        <w:t>94</w:t>
      </w:r>
      <w:r w:rsidRPr="007250A8">
        <w:rPr>
          <w:lang w:val="en-GB"/>
        </w:rPr>
        <w:t xml:space="preserve"> in 2021 t</w:t>
      </w:r>
      <w:r w:rsidR="009C4404" w:rsidRPr="007250A8">
        <w:rPr>
          <w:lang w:val="en-GB"/>
        </w:rPr>
        <w:t>o 1</w:t>
      </w:r>
      <w:r w:rsidRPr="007250A8">
        <w:rPr>
          <w:lang w:val="en-GB"/>
        </w:rPr>
        <w:t>.14 in 2025, with ratio of 1.</w:t>
      </w:r>
      <w:r w:rsidR="009C4404" w:rsidRPr="007250A8">
        <w:rPr>
          <w:lang w:val="en-GB"/>
        </w:rPr>
        <w:t>03</w:t>
      </w:r>
      <w:r w:rsidRPr="007250A8">
        <w:rPr>
          <w:lang w:val="en-GB"/>
        </w:rPr>
        <w:t xml:space="preserve"> for 2023 and 1.11 </w:t>
      </w:r>
      <w:r w:rsidR="009C4404" w:rsidRPr="007250A8">
        <w:rPr>
          <w:lang w:val="en-GB"/>
        </w:rPr>
        <w:t>for</w:t>
      </w:r>
      <w:r w:rsidRPr="007250A8">
        <w:rPr>
          <w:lang w:val="en-GB"/>
        </w:rPr>
        <w:t xml:space="preserve"> 2024. It </w:t>
      </w:r>
      <w:r w:rsidR="009C4404" w:rsidRPr="007250A8">
        <w:rPr>
          <w:lang w:val="en-GB"/>
        </w:rPr>
        <w:t>reveals</w:t>
      </w:r>
      <w:r w:rsidRPr="007250A8">
        <w:rPr>
          <w:lang w:val="en-GB"/>
        </w:rPr>
        <w:t xml:space="preserve"> increase in dependen</w:t>
      </w:r>
      <w:r w:rsidR="009C4404" w:rsidRPr="007250A8">
        <w:rPr>
          <w:lang w:val="en-GB"/>
        </w:rPr>
        <w:t>cy on</w:t>
      </w:r>
      <w:r w:rsidRPr="007250A8">
        <w:rPr>
          <w:lang w:val="en-GB"/>
        </w:rPr>
        <w:t xml:space="preserve"> debts and liabilities a</w:t>
      </w:r>
      <w:r w:rsidR="009C4404" w:rsidRPr="007250A8">
        <w:rPr>
          <w:lang w:val="en-GB"/>
        </w:rPr>
        <w:t>s</w:t>
      </w:r>
      <w:r w:rsidRPr="007250A8">
        <w:rPr>
          <w:lang w:val="en-GB"/>
        </w:rPr>
        <w:t xml:space="preserve"> elements of company</w:t>
      </w:r>
      <w:r w:rsidR="009C4404" w:rsidRPr="007250A8">
        <w:rPr>
          <w:lang w:val="en-GB"/>
        </w:rPr>
        <w:t>’s</w:t>
      </w:r>
      <w:r w:rsidRPr="007250A8">
        <w:rPr>
          <w:lang w:val="en-GB"/>
        </w:rPr>
        <w:t xml:space="preserve"> financial structure</w:t>
      </w:r>
      <w:r w:rsidR="000908D6" w:rsidRPr="007250A8">
        <w:rPr>
          <w:lang w:val="en-GB"/>
        </w:rPr>
        <w:t xml:space="preserve"> (</w:t>
      </w:r>
      <w:proofErr w:type="spellStart"/>
      <w:r w:rsidR="000908D6" w:rsidRPr="007250A8">
        <w:rPr>
          <w:rFonts w:cs="Arial"/>
          <w:color w:val="222222"/>
          <w:szCs w:val="24"/>
          <w:shd w:val="clear" w:color="auto" w:fill="FFFFFF"/>
          <w:lang w:val="en-GB"/>
        </w:rPr>
        <w:t>Hariyanti</w:t>
      </w:r>
      <w:proofErr w:type="spellEnd"/>
      <w:r w:rsidR="000908D6" w:rsidRPr="007250A8">
        <w:rPr>
          <w:rFonts w:cs="Arial"/>
          <w:color w:val="222222"/>
          <w:szCs w:val="24"/>
          <w:shd w:val="clear" w:color="auto" w:fill="FFFFFF"/>
          <w:lang w:val="en-GB"/>
        </w:rPr>
        <w:t xml:space="preserve"> and Efendi, 2024)</w:t>
      </w:r>
      <w:r w:rsidRPr="007250A8">
        <w:rPr>
          <w:lang w:val="en-GB"/>
        </w:rPr>
        <w:t xml:space="preserve">. </w:t>
      </w:r>
      <w:r w:rsidR="009C4404" w:rsidRPr="007250A8">
        <w:rPr>
          <w:lang w:val="en-GB"/>
        </w:rPr>
        <w:t xml:space="preserve">There are </w:t>
      </w:r>
      <w:r w:rsidRPr="007250A8">
        <w:rPr>
          <w:lang w:val="en-GB"/>
        </w:rPr>
        <w:t xml:space="preserve">increased trading risk </w:t>
      </w:r>
      <w:r w:rsidR="009C4404" w:rsidRPr="007250A8">
        <w:rPr>
          <w:lang w:val="en-GB"/>
        </w:rPr>
        <w:t>as</w:t>
      </w:r>
      <w:r w:rsidRPr="007250A8">
        <w:rPr>
          <w:lang w:val="en-GB"/>
        </w:rPr>
        <w:t xml:space="preserve"> higher debts lead to increased debts </w:t>
      </w:r>
      <w:r w:rsidR="009C4404" w:rsidRPr="007250A8">
        <w:rPr>
          <w:lang w:val="en-GB"/>
        </w:rPr>
        <w:t>in future</w:t>
      </w:r>
      <w:r w:rsidRPr="007250A8">
        <w:rPr>
          <w:lang w:val="en-GB"/>
        </w:rPr>
        <w:t>.</w:t>
      </w:r>
    </w:p>
    <w:p w14:paraId="4F603501" w14:textId="3A7AE071" w:rsidR="00903CD4" w:rsidRPr="007250A8" w:rsidRDefault="00903CD4" w:rsidP="00903CD4">
      <w:pPr>
        <w:rPr>
          <w:lang w:val="en-GB"/>
        </w:rPr>
      </w:pPr>
      <w:r w:rsidRPr="007250A8">
        <w:rPr>
          <w:b/>
          <w:bCs/>
          <w:i/>
          <w:iCs/>
          <w:lang w:val="en-GB"/>
        </w:rPr>
        <w:t>Debt-to-Equity Ratio</w:t>
      </w:r>
    </w:p>
    <w:p w14:paraId="38DE4E9D" w14:textId="3AA2639A" w:rsidR="00903CD4" w:rsidRPr="007250A8" w:rsidRDefault="009C4404" w:rsidP="00903CD4">
      <w:pPr>
        <w:rPr>
          <w:lang w:val="en-GB"/>
        </w:rPr>
      </w:pPr>
      <w:r w:rsidRPr="007250A8">
        <w:rPr>
          <w:lang w:val="en-GB"/>
        </w:rPr>
        <w:t>The</w:t>
      </w:r>
      <w:r w:rsidR="00903CD4" w:rsidRPr="007250A8">
        <w:rPr>
          <w:lang w:val="en-GB"/>
        </w:rPr>
        <w:t xml:space="preserve"> debt-to-equity ratio become higher from 0.</w:t>
      </w:r>
      <w:r w:rsidRPr="007250A8">
        <w:rPr>
          <w:lang w:val="en-GB"/>
        </w:rPr>
        <w:t>94</w:t>
      </w:r>
      <w:r w:rsidR="00903CD4" w:rsidRPr="007250A8">
        <w:rPr>
          <w:lang w:val="en-GB"/>
        </w:rPr>
        <w:t xml:space="preserve"> in 2021 to 1.14 in 2025,</w:t>
      </w:r>
      <w:r w:rsidRPr="007250A8">
        <w:rPr>
          <w:lang w:val="en-GB"/>
        </w:rPr>
        <w:t xml:space="preserve"> highlighting</w:t>
      </w:r>
      <w:r w:rsidR="00903CD4" w:rsidRPr="007250A8">
        <w:rPr>
          <w:lang w:val="en-GB"/>
        </w:rPr>
        <w:t xml:space="preserve"> increas</w:t>
      </w:r>
      <w:r w:rsidRPr="007250A8">
        <w:rPr>
          <w:lang w:val="en-GB"/>
        </w:rPr>
        <w:t>e</w:t>
      </w:r>
      <w:r w:rsidR="00903CD4" w:rsidRPr="007250A8">
        <w:rPr>
          <w:lang w:val="en-GB"/>
        </w:rPr>
        <w:t xml:space="preserve"> of financial leverage. I</w:t>
      </w:r>
      <w:r w:rsidRPr="007250A8">
        <w:rPr>
          <w:lang w:val="en-GB"/>
        </w:rPr>
        <w:t xml:space="preserve">t can be </w:t>
      </w:r>
      <w:r w:rsidR="00903CD4" w:rsidRPr="007250A8">
        <w:rPr>
          <w:lang w:val="en-GB"/>
        </w:rPr>
        <w:t>stated that debt become more important for Marriott</w:t>
      </w:r>
      <w:r w:rsidRPr="007250A8">
        <w:rPr>
          <w:lang w:val="en-GB"/>
        </w:rPr>
        <w:t>’s</w:t>
      </w:r>
      <w:r w:rsidR="00903CD4" w:rsidRPr="007250A8">
        <w:rPr>
          <w:lang w:val="en-GB"/>
        </w:rPr>
        <w:t xml:space="preserve"> finances duri</w:t>
      </w:r>
      <w:r w:rsidRPr="007250A8">
        <w:rPr>
          <w:lang w:val="en-GB"/>
        </w:rPr>
        <w:t>ng the</w:t>
      </w:r>
      <w:r w:rsidR="00903CD4" w:rsidRPr="007250A8">
        <w:rPr>
          <w:lang w:val="en-GB"/>
        </w:rPr>
        <w:t xml:space="preserve"> period.</w:t>
      </w:r>
    </w:p>
    <w:p w14:paraId="437AC26A" w14:textId="31C3AAC4" w:rsidR="00903CD4" w:rsidRPr="007250A8" w:rsidRDefault="00903CD4" w:rsidP="00903CD4">
      <w:pPr>
        <w:rPr>
          <w:b/>
          <w:bCs/>
          <w:i/>
          <w:iCs/>
          <w:lang w:val="en-GB"/>
        </w:rPr>
      </w:pPr>
      <w:r w:rsidRPr="007250A8">
        <w:rPr>
          <w:b/>
          <w:bCs/>
          <w:i/>
          <w:iCs/>
          <w:lang w:val="en-GB"/>
        </w:rPr>
        <w:t>Equity Ratio</w:t>
      </w:r>
    </w:p>
    <w:p w14:paraId="19F6FD86" w14:textId="5F87D336" w:rsidR="00903CD4" w:rsidRPr="007250A8" w:rsidRDefault="00903CD4" w:rsidP="00903CD4">
      <w:pPr>
        <w:rPr>
          <w:lang w:val="en-GB"/>
        </w:rPr>
      </w:pPr>
      <w:r w:rsidRPr="007250A8">
        <w:rPr>
          <w:lang w:val="en-GB"/>
        </w:rPr>
        <w:t xml:space="preserve">Equity ratio </w:t>
      </w:r>
      <w:r w:rsidR="00C93C51" w:rsidRPr="007250A8">
        <w:rPr>
          <w:lang w:val="en-GB"/>
        </w:rPr>
        <w:t>remained at 1.00 from</w:t>
      </w:r>
      <w:r w:rsidRPr="007250A8">
        <w:rPr>
          <w:lang w:val="en-GB"/>
        </w:rPr>
        <w:t xml:space="preserve"> 2021 </w:t>
      </w:r>
      <w:r w:rsidR="00C93C51" w:rsidRPr="007250A8">
        <w:rPr>
          <w:lang w:val="en-GB"/>
        </w:rPr>
        <w:t>to</w:t>
      </w:r>
      <w:r w:rsidRPr="007250A8">
        <w:rPr>
          <w:lang w:val="en-GB"/>
        </w:rPr>
        <w:t xml:space="preserve"> 2025. The equity is stable relative to total assets</w:t>
      </w:r>
      <w:r w:rsidR="00C93C51" w:rsidRPr="007250A8">
        <w:rPr>
          <w:lang w:val="en-GB"/>
        </w:rPr>
        <w:t xml:space="preserve"> based on overall analysis</w:t>
      </w:r>
      <w:r w:rsidRPr="007250A8">
        <w:rPr>
          <w:lang w:val="en-GB"/>
        </w:rPr>
        <w:t xml:space="preserve">. At the same time, equity ratio </w:t>
      </w:r>
      <w:r w:rsidR="00C93C51" w:rsidRPr="007250A8">
        <w:rPr>
          <w:lang w:val="en-GB"/>
        </w:rPr>
        <w:t>requires</w:t>
      </w:r>
      <w:r w:rsidRPr="007250A8">
        <w:rPr>
          <w:lang w:val="en-GB"/>
        </w:rPr>
        <w:t xml:space="preserve"> careful analy</w:t>
      </w:r>
      <w:r w:rsidR="00C93C51" w:rsidRPr="007250A8">
        <w:rPr>
          <w:lang w:val="en-GB"/>
        </w:rPr>
        <w:t>sis</w:t>
      </w:r>
      <w:r w:rsidRPr="007250A8">
        <w:rPr>
          <w:lang w:val="en-GB"/>
        </w:rPr>
        <w:t xml:space="preserve"> </w:t>
      </w:r>
      <w:r w:rsidR="00C93C51" w:rsidRPr="007250A8">
        <w:rPr>
          <w:lang w:val="en-GB"/>
        </w:rPr>
        <w:t>as the</w:t>
      </w:r>
      <w:r w:rsidRPr="007250A8">
        <w:rPr>
          <w:lang w:val="en-GB"/>
        </w:rPr>
        <w:t xml:space="preserve"> equity figures correspond to assets</w:t>
      </w:r>
      <w:r w:rsidR="00E46816" w:rsidRPr="007250A8">
        <w:rPr>
          <w:lang w:val="en-GB"/>
        </w:rPr>
        <w:t xml:space="preserve"> (</w:t>
      </w:r>
      <w:r w:rsidR="00E46816" w:rsidRPr="007250A8">
        <w:rPr>
          <w:rFonts w:cs="Arial"/>
          <w:color w:val="222222"/>
          <w:szCs w:val="24"/>
          <w:shd w:val="clear" w:color="auto" w:fill="FFFFFF"/>
          <w:lang w:val="en-GB"/>
        </w:rPr>
        <w:t>Hossain, Yoshino and Tsubota, 2023)</w:t>
      </w:r>
      <w:r w:rsidRPr="007250A8">
        <w:rPr>
          <w:lang w:val="en-GB"/>
        </w:rPr>
        <w:t>.</w:t>
      </w:r>
    </w:p>
    <w:p w14:paraId="3368B2A8" w14:textId="77777777" w:rsidR="00903CD4" w:rsidRPr="007250A8" w:rsidRDefault="00903CD4" w:rsidP="00A802D4">
      <w:pPr>
        <w:pStyle w:val="Heading3"/>
        <w:rPr>
          <w:lang w:val="en-GB"/>
        </w:rPr>
      </w:pPr>
      <w:bookmarkStart w:id="10" w:name="_Toc237459781"/>
      <w:r w:rsidRPr="007250A8">
        <w:rPr>
          <w:lang w:val="en-GB"/>
        </w:rPr>
        <w:t>2.2.4 Efficiency Ratios Analysis</w:t>
      </w:r>
      <w:bookmarkEnd w:id="10"/>
    </w:p>
    <w:p w14:paraId="529A9A9E" w14:textId="77777777" w:rsidR="00903CD4" w:rsidRPr="007250A8" w:rsidRDefault="00903CD4" w:rsidP="00903CD4">
      <w:pPr>
        <w:rPr>
          <w:b/>
          <w:bCs/>
          <w:i/>
          <w:iCs/>
          <w:lang w:val="en-GB"/>
        </w:rPr>
      </w:pPr>
      <w:r w:rsidRPr="007250A8">
        <w:rPr>
          <w:b/>
          <w:bCs/>
          <w:i/>
          <w:iCs/>
          <w:lang w:val="en-GB"/>
        </w:rPr>
        <w:t>Inventory Turnover Ratio</w:t>
      </w:r>
    </w:p>
    <w:p w14:paraId="63B5D8C8" w14:textId="5C01D557" w:rsidR="00903CD4" w:rsidRPr="007250A8" w:rsidRDefault="00903CD4" w:rsidP="00903CD4">
      <w:pPr>
        <w:rPr>
          <w:lang w:val="en-GB"/>
        </w:rPr>
      </w:pPr>
      <w:r w:rsidRPr="007250A8">
        <w:rPr>
          <w:lang w:val="en-GB"/>
        </w:rPr>
        <w:lastRenderedPageBreak/>
        <w:t>There was increase in inventory turnov</w:t>
      </w:r>
      <w:r w:rsidR="00A802D4" w:rsidRPr="007250A8">
        <w:rPr>
          <w:lang w:val="en-GB"/>
        </w:rPr>
        <w:t>er</w:t>
      </w:r>
      <w:r w:rsidRPr="007250A8">
        <w:rPr>
          <w:lang w:val="en-GB"/>
        </w:rPr>
        <w:t xml:space="preserve"> ratio from 55.</w:t>
      </w:r>
      <w:r w:rsidR="00A802D4" w:rsidRPr="007250A8">
        <w:rPr>
          <w:lang w:val="en-GB"/>
        </w:rPr>
        <w:t>21</w:t>
      </w:r>
      <w:r w:rsidRPr="007250A8">
        <w:rPr>
          <w:lang w:val="en-GB"/>
        </w:rPr>
        <w:t xml:space="preserve"> in 2021 to 82.</w:t>
      </w:r>
      <w:r w:rsidR="00A802D4" w:rsidRPr="007250A8">
        <w:rPr>
          <w:lang w:val="en-GB"/>
        </w:rPr>
        <w:t>61</w:t>
      </w:r>
      <w:r w:rsidRPr="007250A8">
        <w:rPr>
          <w:lang w:val="en-GB"/>
        </w:rPr>
        <w:t xml:space="preserve"> in 2025 where inventory turnover ratio </w:t>
      </w:r>
      <w:r w:rsidR="00A802D4" w:rsidRPr="007250A8">
        <w:rPr>
          <w:lang w:val="en-GB"/>
        </w:rPr>
        <w:t>increased to</w:t>
      </w:r>
      <w:r w:rsidRPr="007250A8">
        <w:rPr>
          <w:lang w:val="en-GB"/>
        </w:rPr>
        <w:t xml:space="preserve"> 101.77 in 2023 but </w:t>
      </w:r>
      <w:r w:rsidR="00A802D4" w:rsidRPr="007250A8">
        <w:rPr>
          <w:lang w:val="en-GB"/>
        </w:rPr>
        <w:t>f</w:t>
      </w:r>
      <w:r w:rsidRPr="007250A8">
        <w:rPr>
          <w:lang w:val="en-GB"/>
        </w:rPr>
        <w:t>ell to 85.37 in 2024. The high inventory turnover rat</w:t>
      </w:r>
      <w:r w:rsidR="00A802D4" w:rsidRPr="007250A8">
        <w:rPr>
          <w:lang w:val="en-GB"/>
        </w:rPr>
        <w:t>io</w:t>
      </w:r>
      <w:r w:rsidRPr="007250A8">
        <w:rPr>
          <w:lang w:val="en-GB"/>
        </w:rPr>
        <w:t xml:space="preserve"> indicates that Marriott </w:t>
      </w:r>
      <w:r w:rsidR="00A802D4" w:rsidRPr="007250A8">
        <w:rPr>
          <w:lang w:val="en-GB"/>
        </w:rPr>
        <w:t xml:space="preserve">was </w:t>
      </w:r>
      <w:r w:rsidRPr="007250A8">
        <w:rPr>
          <w:lang w:val="en-GB"/>
        </w:rPr>
        <w:t xml:space="preserve">earning more than </w:t>
      </w:r>
      <w:r w:rsidR="00A802D4" w:rsidRPr="007250A8">
        <w:rPr>
          <w:lang w:val="en-GB"/>
        </w:rPr>
        <w:t xml:space="preserve">the </w:t>
      </w:r>
      <w:r w:rsidRPr="007250A8">
        <w:rPr>
          <w:lang w:val="en-GB"/>
        </w:rPr>
        <w:t>turnover ratio r</w:t>
      </w:r>
      <w:r w:rsidR="00A802D4" w:rsidRPr="007250A8">
        <w:rPr>
          <w:lang w:val="en-GB"/>
        </w:rPr>
        <w:t>evealed</w:t>
      </w:r>
      <w:r w:rsidRPr="007250A8">
        <w:rPr>
          <w:lang w:val="en-GB"/>
        </w:rPr>
        <w:t xml:space="preserve">. </w:t>
      </w:r>
      <w:r w:rsidR="00A802D4" w:rsidRPr="007250A8">
        <w:rPr>
          <w:lang w:val="en-GB"/>
        </w:rPr>
        <w:t>Based on the analysis, t</w:t>
      </w:r>
      <w:r w:rsidRPr="007250A8">
        <w:rPr>
          <w:lang w:val="en-GB"/>
        </w:rPr>
        <w:t>h</w:t>
      </w:r>
      <w:r w:rsidR="00A802D4" w:rsidRPr="007250A8">
        <w:rPr>
          <w:lang w:val="en-GB"/>
        </w:rPr>
        <w:t>ere is</w:t>
      </w:r>
      <w:r w:rsidRPr="007250A8">
        <w:rPr>
          <w:lang w:val="en-GB"/>
        </w:rPr>
        <w:t xml:space="preserve"> capability of using raw materials effectively. </w:t>
      </w:r>
    </w:p>
    <w:p w14:paraId="524A4C38" w14:textId="77777777" w:rsidR="00903CD4" w:rsidRPr="007250A8" w:rsidRDefault="00903CD4" w:rsidP="00903CD4">
      <w:pPr>
        <w:rPr>
          <w:b/>
          <w:bCs/>
          <w:i/>
          <w:iCs/>
          <w:lang w:val="en-GB"/>
        </w:rPr>
      </w:pPr>
      <w:r w:rsidRPr="007250A8">
        <w:rPr>
          <w:b/>
          <w:bCs/>
          <w:i/>
          <w:iCs/>
          <w:lang w:val="en-GB"/>
        </w:rPr>
        <w:t>Receivable Turnover Ratio</w:t>
      </w:r>
    </w:p>
    <w:p w14:paraId="35A4DBBC" w14:textId="7AE69B3F" w:rsidR="00903CD4" w:rsidRPr="007250A8" w:rsidRDefault="00903CD4" w:rsidP="00903CD4">
      <w:pPr>
        <w:rPr>
          <w:lang w:val="en-GB"/>
        </w:rPr>
      </w:pPr>
      <w:r w:rsidRPr="007250A8">
        <w:rPr>
          <w:lang w:val="en-GB"/>
        </w:rPr>
        <w:t>The receivables turnover rat</w:t>
      </w:r>
      <w:r w:rsidR="00F4150E" w:rsidRPr="007250A8">
        <w:rPr>
          <w:lang w:val="en-GB"/>
        </w:rPr>
        <w:t>i</w:t>
      </w:r>
      <w:r w:rsidRPr="007250A8">
        <w:rPr>
          <w:lang w:val="en-GB"/>
        </w:rPr>
        <w:t>o increased from 6.</w:t>
      </w:r>
      <w:r w:rsidR="00F4150E" w:rsidRPr="007250A8">
        <w:rPr>
          <w:lang w:val="en-GB"/>
        </w:rPr>
        <w:t xml:space="preserve">99 </w:t>
      </w:r>
      <w:r w:rsidRPr="007250A8">
        <w:rPr>
          <w:lang w:val="en-GB"/>
        </w:rPr>
        <w:t xml:space="preserve">in 2021 to 9.00 </w:t>
      </w:r>
      <w:r w:rsidR="00F4150E" w:rsidRPr="007250A8">
        <w:rPr>
          <w:lang w:val="en-GB"/>
        </w:rPr>
        <w:t>in</w:t>
      </w:r>
      <w:r w:rsidRPr="007250A8">
        <w:rPr>
          <w:lang w:val="en-GB"/>
        </w:rPr>
        <w:t xml:space="preserve"> 2025 at Marriott</w:t>
      </w:r>
      <w:r w:rsidR="00F4150E" w:rsidRPr="007250A8">
        <w:rPr>
          <w:lang w:val="en-GB"/>
        </w:rPr>
        <w:t>’</w:t>
      </w:r>
      <w:r w:rsidRPr="007250A8">
        <w:rPr>
          <w:lang w:val="en-GB"/>
        </w:rPr>
        <w:t>s. The receivables turnov</w:t>
      </w:r>
      <w:r w:rsidR="00F4150E" w:rsidRPr="007250A8">
        <w:rPr>
          <w:lang w:val="en-GB"/>
        </w:rPr>
        <w:t>er</w:t>
      </w:r>
      <w:r w:rsidRPr="007250A8">
        <w:rPr>
          <w:lang w:val="en-GB"/>
        </w:rPr>
        <w:t xml:space="preserve"> ratio increased to 8.</w:t>
      </w:r>
      <w:r w:rsidR="00F4150E" w:rsidRPr="007250A8">
        <w:rPr>
          <w:lang w:val="en-GB"/>
        </w:rPr>
        <w:t>08</w:t>
      </w:r>
      <w:r w:rsidRPr="007250A8">
        <w:rPr>
          <w:lang w:val="en-GB"/>
        </w:rPr>
        <w:t xml:space="preserve"> in 2022, 8.74 in 2023 </w:t>
      </w:r>
      <w:r w:rsidR="00F4150E" w:rsidRPr="007250A8">
        <w:rPr>
          <w:lang w:val="en-GB"/>
        </w:rPr>
        <w:t>and 8</w:t>
      </w:r>
      <w:r w:rsidRPr="007250A8">
        <w:rPr>
          <w:lang w:val="en-GB"/>
        </w:rPr>
        <w:t>.98 in 202</w:t>
      </w:r>
      <w:r w:rsidR="00F4150E" w:rsidRPr="007250A8">
        <w:rPr>
          <w:lang w:val="en-GB"/>
        </w:rPr>
        <w:t>4</w:t>
      </w:r>
      <w:r w:rsidRPr="007250A8">
        <w:rPr>
          <w:lang w:val="en-GB"/>
        </w:rPr>
        <w:t>.</w:t>
      </w:r>
    </w:p>
    <w:p w14:paraId="108E912B" w14:textId="77777777" w:rsidR="00903CD4" w:rsidRPr="007250A8" w:rsidRDefault="00903CD4" w:rsidP="00F4150E">
      <w:pPr>
        <w:pStyle w:val="Heading3"/>
        <w:rPr>
          <w:lang w:val="en-GB"/>
        </w:rPr>
      </w:pPr>
      <w:bookmarkStart w:id="11" w:name="_Toc237459782"/>
      <w:r w:rsidRPr="007250A8">
        <w:rPr>
          <w:lang w:val="en-GB"/>
        </w:rPr>
        <w:t>2.2.5 Investment Ratios Analysis</w:t>
      </w:r>
      <w:bookmarkEnd w:id="11"/>
    </w:p>
    <w:p w14:paraId="1802B863" w14:textId="77777777" w:rsidR="00903CD4" w:rsidRPr="007250A8" w:rsidRDefault="00903CD4" w:rsidP="00903CD4">
      <w:pPr>
        <w:rPr>
          <w:b/>
          <w:bCs/>
          <w:i/>
          <w:iCs/>
          <w:lang w:val="en-GB"/>
        </w:rPr>
      </w:pPr>
      <w:r w:rsidRPr="007250A8">
        <w:rPr>
          <w:b/>
          <w:bCs/>
          <w:i/>
          <w:iCs/>
          <w:lang w:val="en-GB"/>
        </w:rPr>
        <w:t>Earnings Per Share (EPS)</w:t>
      </w:r>
    </w:p>
    <w:p w14:paraId="3B6865DD" w14:textId="096625C8" w:rsidR="00903CD4" w:rsidRPr="007250A8" w:rsidRDefault="00903CD4" w:rsidP="00903CD4">
      <w:pPr>
        <w:rPr>
          <w:lang w:val="en-GB"/>
        </w:rPr>
      </w:pPr>
      <w:r w:rsidRPr="007250A8">
        <w:rPr>
          <w:lang w:val="en-GB"/>
        </w:rPr>
        <w:t>The EPS of Marriot</w:t>
      </w:r>
      <w:r w:rsidR="00F4150E" w:rsidRPr="007250A8">
        <w:rPr>
          <w:lang w:val="en-GB"/>
        </w:rPr>
        <w:t>t is</w:t>
      </w:r>
      <w:r w:rsidRPr="007250A8">
        <w:rPr>
          <w:lang w:val="en-GB"/>
        </w:rPr>
        <w:t xml:space="preserve"> expected to </w:t>
      </w:r>
      <w:r w:rsidR="00F4150E" w:rsidRPr="007250A8">
        <w:rPr>
          <w:lang w:val="en-GB"/>
        </w:rPr>
        <w:t xml:space="preserve">increase </w:t>
      </w:r>
      <w:r w:rsidRPr="007250A8">
        <w:rPr>
          <w:lang w:val="en-GB"/>
        </w:rPr>
        <w:t>from USD 3.3</w:t>
      </w:r>
      <w:r w:rsidR="00F4150E" w:rsidRPr="007250A8">
        <w:rPr>
          <w:lang w:val="en-GB"/>
        </w:rPr>
        <w:t>7 in</w:t>
      </w:r>
      <w:r w:rsidRPr="007250A8">
        <w:rPr>
          <w:lang w:val="en-GB"/>
        </w:rPr>
        <w:t xml:space="preserve"> 2021 to USD 9.78 in 2025. It </w:t>
      </w:r>
      <w:r w:rsidR="00F4150E" w:rsidRPr="007250A8">
        <w:rPr>
          <w:lang w:val="en-GB"/>
        </w:rPr>
        <w:t>increased</w:t>
      </w:r>
      <w:r w:rsidRPr="007250A8">
        <w:rPr>
          <w:lang w:val="en-GB"/>
        </w:rPr>
        <w:t xml:space="preserve"> to USD 7.</w:t>
      </w:r>
      <w:r w:rsidR="00F4150E" w:rsidRPr="007250A8">
        <w:rPr>
          <w:lang w:val="en-GB"/>
        </w:rPr>
        <w:t>59</w:t>
      </w:r>
      <w:r w:rsidRPr="007250A8">
        <w:rPr>
          <w:lang w:val="en-GB"/>
        </w:rPr>
        <w:t xml:space="preserve"> in 2022 and USD 10.6</w:t>
      </w:r>
      <w:r w:rsidR="00F4150E" w:rsidRPr="007250A8">
        <w:rPr>
          <w:lang w:val="en-GB"/>
        </w:rPr>
        <w:t xml:space="preserve">1 </w:t>
      </w:r>
      <w:r w:rsidRPr="007250A8">
        <w:rPr>
          <w:lang w:val="en-GB"/>
        </w:rPr>
        <w:t>in 2023 but</w:t>
      </w:r>
      <w:r w:rsidR="00F4150E" w:rsidRPr="007250A8">
        <w:rPr>
          <w:lang w:val="en-GB"/>
        </w:rPr>
        <w:t xml:space="preserve"> reduced </w:t>
      </w:r>
      <w:r w:rsidRPr="007250A8">
        <w:rPr>
          <w:lang w:val="en-GB"/>
        </w:rPr>
        <w:t>to USD 8.58 in 2024. This improvement i</w:t>
      </w:r>
      <w:r w:rsidR="00D94F3B" w:rsidRPr="007250A8">
        <w:rPr>
          <w:lang w:val="en-GB"/>
        </w:rPr>
        <w:t>ndicates</w:t>
      </w:r>
      <w:r w:rsidRPr="007250A8">
        <w:rPr>
          <w:lang w:val="en-GB"/>
        </w:rPr>
        <w:t xml:space="preserve"> effective performance by </w:t>
      </w:r>
      <w:r w:rsidR="00F4150E" w:rsidRPr="007250A8">
        <w:rPr>
          <w:lang w:val="en-GB"/>
        </w:rPr>
        <w:t>s</w:t>
      </w:r>
      <w:r w:rsidRPr="007250A8">
        <w:rPr>
          <w:lang w:val="en-GB"/>
        </w:rPr>
        <w:t>hareholders an</w:t>
      </w:r>
      <w:r w:rsidR="00F4150E" w:rsidRPr="007250A8">
        <w:rPr>
          <w:lang w:val="en-GB"/>
        </w:rPr>
        <w:t>d</w:t>
      </w:r>
      <w:r w:rsidRPr="007250A8">
        <w:rPr>
          <w:lang w:val="en-GB"/>
        </w:rPr>
        <w:t xml:space="preserve"> efficiency by the company wh</w:t>
      </w:r>
      <w:r w:rsidR="00F4150E" w:rsidRPr="007250A8">
        <w:rPr>
          <w:lang w:val="en-GB"/>
        </w:rPr>
        <w:t>ile</w:t>
      </w:r>
      <w:r w:rsidRPr="007250A8">
        <w:rPr>
          <w:lang w:val="en-GB"/>
        </w:rPr>
        <w:t xml:space="preserve"> making investments.</w:t>
      </w:r>
    </w:p>
    <w:p w14:paraId="2F189618" w14:textId="77777777" w:rsidR="00903CD4" w:rsidRPr="007250A8" w:rsidRDefault="00903CD4" w:rsidP="00903CD4">
      <w:pPr>
        <w:rPr>
          <w:b/>
          <w:bCs/>
          <w:i/>
          <w:iCs/>
          <w:lang w:val="en-GB"/>
        </w:rPr>
      </w:pPr>
      <w:r w:rsidRPr="007250A8">
        <w:rPr>
          <w:b/>
          <w:bCs/>
          <w:i/>
          <w:iCs/>
          <w:lang w:val="en-GB"/>
        </w:rPr>
        <w:t>Price Earnings Ratio</w:t>
      </w:r>
    </w:p>
    <w:p w14:paraId="6337C764" w14:textId="3886AD0C" w:rsidR="003479C6" w:rsidRPr="007250A8" w:rsidRDefault="00903CD4" w:rsidP="00903CD4">
      <w:pPr>
        <w:rPr>
          <w:lang w:val="en-GB"/>
        </w:rPr>
      </w:pPr>
      <w:r w:rsidRPr="007250A8">
        <w:rPr>
          <w:lang w:val="en-GB"/>
        </w:rPr>
        <w:t>P/E rati</w:t>
      </w:r>
      <w:r w:rsidR="00EB6C5D" w:rsidRPr="007250A8">
        <w:rPr>
          <w:lang w:val="en-GB"/>
        </w:rPr>
        <w:t>o in</w:t>
      </w:r>
      <w:r w:rsidRPr="007250A8">
        <w:rPr>
          <w:lang w:val="en-GB"/>
        </w:rPr>
        <w:t xml:space="preserve"> 2021 was 50.</w:t>
      </w:r>
      <w:r w:rsidR="00EB6C5D" w:rsidRPr="007250A8">
        <w:rPr>
          <w:lang w:val="en-GB"/>
        </w:rPr>
        <w:t>52</w:t>
      </w:r>
      <w:r w:rsidRPr="007250A8">
        <w:rPr>
          <w:lang w:val="en-GB"/>
        </w:rPr>
        <w:t xml:space="preserve"> which </w:t>
      </w:r>
      <w:r w:rsidR="00EB6C5D" w:rsidRPr="007250A8">
        <w:rPr>
          <w:lang w:val="en-GB"/>
        </w:rPr>
        <w:t>reduced</w:t>
      </w:r>
      <w:r w:rsidRPr="007250A8">
        <w:rPr>
          <w:lang w:val="en-GB"/>
        </w:rPr>
        <w:t xml:space="preserve"> to 19.61 in 2022</w:t>
      </w:r>
      <w:r w:rsidR="00EB6C5D" w:rsidRPr="007250A8">
        <w:rPr>
          <w:lang w:val="en-GB"/>
        </w:rPr>
        <w:t>,</w:t>
      </w:r>
      <w:r w:rsidRPr="007250A8">
        <w:rPr>
          <w:lang w:val="en-GB"/>
        </w:rPr>
        <w:t xml:space="preserve"> increas</w:t>
      </w:r>
      <w:r w:rsidR="00EB6C5D" w:rsidRPr="007250A8">
        <w:rPr>
          <w:lang w:val="en-GB"/>
        </w:rPr>
        <w:t>ing</w:t>
      </w:r>
      <w:r w:rsidRPr="007250A8">
        <w:rPr>
          <w:lang w:val="en-GB"/>
        </w:rPr>
        <w:t xml:space="preserve"> to 21.57 in 2023, 32.06 in 202</w:t>
      </w:r>
      <w:r w:rsidR="00EB6C5D" w:rsidRPr="007250A8">
        <w:rPr>
          <w:lang w:val="en-GB"/>
        </w:rPr>
        <w:t xml:space="preserve">4 and </w:t>
      </w:r>
      <w:r w:rsidRPr="007250A8">
        <w:rPr>
          <w:lang w:val="en-GB"/>
        </w:rPr>
        <w:t xml:space="preserve">31.59 in 2025. The increase </w:t>
      </w:r>
      <w:r w:rsidR="00EB6C5D" w:rsidRPr="007250A8">
        <w:rPr>
          <w:lang w:val="en-GB"/>
        </w:rPr>
        <w:t>highlights</w:t>
      </w:r>
      <w:r w:rsidRPr="007250A8">
        <w:rPr>
          <w:lang w:val="en-GB"/>
        </w:rPr>
        <w:t xml:space="preserve"> that other investors continued to value performance of company i</w:t>
      </w:r>
      <w:r w:rsidR="00EB6C5D" w:rsidRPr="007250A8">
        <w:rPr>
          <w:lang w:val="en-GB"/>
        </w:rPr>
        <w:t>n</w:t>
      </w:r>
      <w:r w:rsidRPr="007250A8">
        <w:rPr>
          <w:lang w:val="en-GB"/>
        </w:rPr>
        <w:t xml:space="preserve"> relatively positive manner</w:t>
      </w:r>
      <w:r w:rsidR="00EC60D5" w:rsidRPr="007250A8">
        <w:rPr>
          <w:lang w:val="en-GB"/>
        </w:rPr>
        <w:t xml:space="preserve"> (</w:t>
      </w:r>
      <w:proofErr w:type="spellStart"/>
      <w:r w:rsidR="00EC60D5" w:rsidRPr="007250A8">
        <w:rPr>
          <w:rFonts w:cs="Arial"/>
          <w:color w:val="222222"/>
          <w:szCs w:val="24"/>
          <w:shd w:val="clear" w:color="auto" w:fill="FFFFFF"/>
          <w:lang w:val="en-GB"/>
        </w:rPr>
        <w:t>Hariyanti</w:t>
      </w:r>
      <w:proofErr w:type="spellEnd"/>
      <w:r w:rsidR="00EC60D5" w:rsidRPr="007250A8">
        <w:rPr>
          <w:rFonts w:cs="Arial"/>
          <w:color w:val="222222"/>
          <w:szCs w:val="24"/>
          <w:shd w:val="clear" w:color="auto" w:fill="FFFFFF"/>
          <w:lang w:val="en-GB"/>
        </w:rPr>
        <w:t xml:space="preserve"> and Efendi, 2024)</w:t>
      </w:r>
      <w:r w:rsidRPr="007250A8">
        <w:rPr>
          <w:lang w:val="en-GB"/>
        </w:rPr>
        <w:t xml:space="preserve">. The positive P/E ratio is indicator of </w:t>
      </w:r>
      <w:r w:rsidR="00EB6C5D" w:rsidRPr="007250A8">
        <w:rPr>
          <w:lang w:val="en-GB"/>
        </w:rPr>
        <w:t>organisational</w:t>
      </w:r>
      <w:r w:rsidRPr="007250A8">
        <w:rPr>
          <w:lang w:val="en-GB"/>
        </w:rPr>
        <w:t xml:space="preserve"> capability t</w:t>
      </w:r>
      <w:r w:rsidR="00EB6C5D" w:rsidRPr="007250A8">
        <w:rPr>
          <w:lang w:val="en-GB"/>
        </w:rPr>
        <w:t>o</w:t>
      </w:r>
      <w:r w:rsidRPr="007250A8">
        <w:rPr>
          <w:lang w:val="en-GB"/>
        </w:rPr>
        <w:t xml:space="preserve"> earn profit.</w:t>
      </w:r>
    </w:p>
    <w:p w14:paraId="6DE93013" w14:textId="77777777" w:rsidR="003479C6" w:rsidRPr="007250A8" w:rsidRDefault="003479C6" w:rsidP="00475960">
      <w:pPr>
        <w:pStyle w:val="Heading3"/>
        <w:rPr>
          <w:lang w:val="en-GB"/>
        </w:rPr>
      </w:pPr>
      <w:bookmarkStart w:id="12" w:name="_Toc237459783"/>
      <w:r w:rsidRPr="007250A8">
        <w:rPr>
          <w:lang w:val="en-GB"/>
        </w:rPr>
        <w:t>2.2.6 Cash Flow Ratio Analysis</w:t>
      </w:r>
      <w:bookmarkEnd w:id="12"/>
    </w:p>
    <w:p w14:paraId="63210C4A" w14:textId="77777777" w:rsidR="00903CD4" w:rsidRPr="007250A8" w:rsidRDefault="00903CD4" w:rsidP="00903CD4">
      <w:pPr>
        <w:rPr>
          <w:b/>
          <w:bCs/>
          <w:i/>
          <w:iCs/>
          <w:lang w:val="en-GB"/>
        </w:rPr>
      </w:pPr>
      <w:r w:rsidRPr="007250A8">
        <w:rPr>
          <w:b/>
          <w:bCs/>
          <w:i/>
          <w:iCs/>
          <w:lang w:val="en-GB"/>
        </w:rPr>
        <w:t>Operating Cash Flow Ratio</w:t>
      </w:r>
    </w:p>
    <w:p w14:paraId="05E1654D" w14:textId="7861DF46" w:rsidR="00903CD4" w:rsidRPr="007250A8" w:rsidRDefault="00903CD4" w:rsidP="00903CD4">
      <w:pPr>
        <w:rPr>
          <w:lang w:val="en-GB"/>
        </w:rPr>
      </w:pPr>
      <w:r w:rsidRPr="007250A8">
        <w:rPr>
          <w:lang w:val="en-GB"/>
        </w:rPr>
        <w:t>The operating cash flow rati</w:t>
      </w:r>
      <w:r w:rsidR="00475960" w:rsidRPr="007250A8">
        <w:rPr>
          <w:lang w:val="en-GB"/>
        </w:rPr>
        <w:t>o</w:t>
      </w:r>
      <w:r w:rsidRPr="007250A8">
        <w:rPr>
          <w:lang w:val="en-GB"/>
        </w:rPr>
        <w:t xml:space="preserve"> increased from 0.1</w:t>
      </w:r>
      <w:r w:rsidR="00475960" w:rsidRPr="007250A8">
        <w:rPr>
          <w:lang w:val="en-GB"/>
        </w:rPr>
        <w:t>8 in</w:t>
      </w:r>
      <w:r w:rsidRPr="007250A8">
        <w:rPr>
          <w:lang w:val="en-GB"/>
        </w:rPr>
        <w:t xml:space="preserve"> 2021 to 0.</w:t>
      </w:r>
      <w:r w:rsidR="00475960" w:rsidRPr="007250A8">
        <w:rPr>
          <w:lang w:val="en-GB"/>
        </w:rPr>
        <w:t>38</w:t>
      </w:r>
      <w:r w:rsidRPr="007250A8">
        <w:rPr>
          <w:lang w:val="en-GB"/>
        </w:rPr>
        <w:t xml:space="preserve"> in 2025. The ratio was 0.32 in 2022, 0.4</w:t>
      </w:r>
      <w:r w:rsidR="00475960" w:rsidRPr="007250A8">
        <w:rPr>
          <w:lang w:val="en-GB"/>
        </w:rPr>
        <w:t>1 in</w:t>
      </w:r>
      <w:r w:rsidRPr="007250A8">
        <w:rPr>
          <w:lang w:val="en-GB"/>
        </w:rPr>
        <w:t xml:space="preserve"> 2023</w:t>
      </w:r>
      <w:r w:rsidR="00475960" w:rsidRPr="007250A8">
        <w:rPr>
          <w:lang w:val="en-GB"/>
        </w:rPr>
        <w:t xml:space="preserve"> </w:t>
      </w:r>
      <w:r w:rsidRPr="007250A8">
        <w:rPr>
          <w:lang w:val="en-GB"/>
        </w:rPr>
        <w:t xml:space="preserve">and </w:t>
      </w:r>
      <w:r w:rsidR="00475960" w:rsidRPr="007250A8">
        <w:rPr>
          <w:lang w:val="en-GB"/>
        </w:rPr>
        <w:t xml:space="preserve">reduced </w:t>
      </w:r>
      <w:r w:rsidRPr="007250A8">
        <w:rPr>
          <w:lang w:val="en-GB"/>
        </w:rPr>
        <w:t xml:space="preserve">to 0.32 in 2024. An increase </w:t>
      </w:r>
      <w:r w:rsidR="00475960" w:rsidRPr="007250A8">
        <w:rPr>
          <w:lang w:val="en-GB"/>
        </w:rPr>
        <w:t xml:space="preserve">in </w:t>
      </w:r>
      <w:r w:rsidRPr="007250A8">
        <w:rPr>
          <w:lang w:val="en-GB"/>
        </w:rPr>
        <w:t>operating cash generation toward</w:t>
      </w:r>
      <w:r w:rsidR="00475960" w:rsidRPr="007250A8">
        <w:rPr>
          <w:lang w:val="en-GB"/>
        </w:rPr>
        <w:t>s</w:t>
      </w:r>
      <w:r w:rsidRPr="007250A8">
        <w:rPr>
          <w:lang w:val="en-GB"/>
        </w:rPr>
        <w:t xml:space="preserve"> current liabilitie</w:t>
      </w:r>
      <w:r w:rsidR="00475960" w:rsidRPr="007250A8">
        <w:rPr>
          <w:lang w:val="en-GB"/>
        </w:rPr>
        <w:t>s to</w:t>
      </w:r>
      <w:r w:rsidRPr="007250A8">
        <w:rPr>
          <w:lang w:val="en-GB"/>
        </w:rPr>
        <w:t xml:space="preserve"> 0.38 in 2025 </w:t>
      </w:r>
      <w:r w:rsidR="00475960" w:rsidRPr="007250A8">
        <w:rPr>
          <w:lang w:val="en-GB"/>
        </w:rPr>
        <w:t xml:space="preserve">reveals effective </w:t>
      </w:r>
      <w:r w:rsidRPr="007250A8">
        <w:rPr>
          <w:lang w:val="en-GB"/>
        </w:rPr>
        <w:t xml:space="preserve">performance. </w:t>
      </w:r>
      <w:r w:rsidR="00475960" w:rsidRPr="007250A8">
        <w:rPr>
          <w:lang w:val="en-GB"/>
        </w:rPr>
        <w:t>The</w:t>
      </w:r>
      <w:r w:rsidRPr="007250A8">
        <w:rPr>
          <w:lang w:val="en-GB"/>
        </w:rPr>
        <w:t xml:space="preserve"> ratio is less than 1.0</w:t>
      </w:r>
      <w:r w:rsidR="00475960" w:rsidRPr="007250A8">
        <w:rPr>
          <w:lang w:val="en-GB"/>
        </w:rPr>
        <w:t>,</w:t>
      </w:r>
      <w:r w:rsidRPr="007250A8">
        <w:rPr>
          <w:lang w:val="en-GB"/>
        </w:rPr>
        <w:t xml:space="preserve"> mean</w:t>
      </w:r>
      <w:r w:rsidR="00475960" w:rsidRPr="007250A8">
        <w:rPr>
          <w:lang w:val="en-GB"/>
        </w:rPr>
        <w:t>ing</w:t>
      </w:r>
      <w:r w:rsidRPr="007250A8">
        <w:rPr>
          <w:lang w:val="en-GB"/>
        </w:rPr>
        <w:t xml:space="preserve"> tha</w:t>
      </w:r>
      <w:r w:rsidR="00475960" w:rsidRPr="007250A8">
        <w:rPr>
          <w:lang w:val="en-GB"/>
        </w:rPr>
        <w:t>t</w:t>
      </w:r>
      <w:r w:rsidRPr="007250A8">
        <w:rPr>
          <w:lang w:val="en-GB"/>
        </w:rPr>
        <w:t xml:space="preserve"> cash flow from operations is not enough to cover c</w:t>
      </w:r>
      <w:r w:rsidR="00475960" w:rsidRPr="007250A8">
        <w:rPr>
          <w:lang w:val="en-GB"/>
        </w:rPr>
        <w:t>u</w:t>
      </w:r>
      <w:r w:rsidRPr="007250A8">
        <w:rPr>
          <w:lang w:val="en-GB"/>
        </w:rPr>
        <w:t>rrent liabilities</w:t>
      </w:r>
      <w:r w:rsidR="0027114A" w:rsidRPr="007250A8">
        <w:rPr>
          <w:lang w:val="en-GB"/>
        </w:rPr>
        <w:t xml:space="preserve"> (</w:t>
      </w:r>
      <w:proofErr w:type="spellStart"/>
      <w:r w:rsidR="0027114A" w:rsidRPr="007250A8">
        <w:rPr>
          <w:lang w:val="en-GB"/>
        </w:rPr>
        <w:t>Novyarni</w:t>
      </w:r>
      <w:proofErr w:type="spellEnd"/>
      <w:r w:rsidR="0027114A" w:rsidRPr="007250A8">
        <w:rPr>
          <w:lang w:val="en-GB"/>
        </w:rPr>
        <w:t xml:space="preserve"> et al., 2024)</w:t>
      </w:r>
      <w:r w:rsidRPr="007250A8">
        <w:rPr>
          <w:lang w:val="en-GB"/>
        </w:rPr>
        <w:t>.</w:t>
      </w:r>
    </w:p>
    <w:p w14:paraId="32F7FC76" w14:textId="22C2BBBC" w:rsidR="00903CD4" w:rsidRPr="007250A8" w:rsidRDefault="00EE4E2A" w:rsidP="00903CD4">
      <w:pPr>
        <w:rPr>
          <w:b/>
          <w:bCs/>
          <w:i/>
          <w:iCs/>
          <w:lang w:val="en-GB"/>
        </w:rPr>
      </w:pPr>
      <w:r w:rsidRPr="007250A8">
        <w:rPr>
          <w:b/>
          <w:bCs/>
          <w:i/>
          <w:iCs/>
          <w:lang w:val="en-GB"/>
        </w:rPr>
        <w:lastRenderedPageBreak/>
        <w:t>C</w:t>
      </w:r>
      <w:r w:rsidR="00903CD4" w:rsidRPr="007250A8">
        <w:rPr>
          <w:b/>
          <w:bCs/>
          <w:i/>
          <w:iCs/>
          <w:lang w:val="en-GB"/>
        </w:rPr>
        <w:t>ash flow-to-debt ratio</w:t>
      </w:r>
    </w:p>
    <w:p w14:paraId="167AB11C" w14:textId="430A6D4F" w:rsidR="0027114A" w:rsidRPr="007250A8" w:rsidRDefault="00903CD4" w:rsidP="00903CD4">
      <w:pPr>
        <w:rPr>
          <w:lang w:val="en-GB"/>
        </w:rPr>
      </w:pPr>
      <w:r w:rsidRPr="007250A8">
        <w:rPr>
          <w:lang w:val="en-GB"/>
        </w:rPr>
        <w:t xml:space="preserve">There </w:t>
      </w:r>
      <w:r w:rsidR="00EE4E2A" w:rsidRPr="007250A8">
        <w:rPr>
          <w:lang w:val="en-GB"/>
        </w:rPr>
        <w:t>is</w:t>
      </w:r>
      <w:r w:rsidRPr="007250A8">
        <w:rPr>
          <w:lang w:val="en-GB"/>
        </w:rPr>
        <w:t xml:space="preserve"> increase in cash flow to debt ratio from 0.</w:t>
      </w:r>
      <w:r w:rsidR="00EE4E2A" w:rsidRPr="007250A8">
        <w:rPr>
          <w:lang w:val="en-GB"/>
        </w:rPr>
        <w:t>12</w:t>
      </w:r>
      <w:r w:rsidRPr="007250A8">
        <w:rPr>
          <w:lang w:val="en-GB"/>
        </w:rPr>
        <w:t xml:space="preserve"> in 2021 to 0.20 </w:t>
      </w:r>
      <w:r w:rsidR="00EE4E2A" w:rsidRPr="007250A8">
        <w:rPr>
          <w:lang w:val="en-GB"/>
        </w:rPr>
        <w:t>in</w:t>
      </w:r>
      <w:r w:rsidRPr="007250A8">
        <w:rPr>
          <w:lang w:val="en-GB"/>
        </w:rPr>
        <w:t xml:space="preserve"> 2025, after </w:t>
      </w:r>
      <w:r w:rsidR="00EE4E2A" w:rsidRPr="007250A8">
        <w:rPr>
          <w:lang w:val="en-GB"/>
        </w:rPr>
        <w:t>at</w:t>
      </w:r>
      <w:r w:rsidRPr="007250A8">
        <w:rPr>
          <w:lang w:val="en-GB"/>
        </w:rPr>
        <w:t xml:space="preserve"> 0.27 in 2023, but </w:t>
      </w:r>
      <w:r w:rsidR="00EE4E2A" w:rsidRPr="007250A8">
        <w:rPr>
          <w:lang w:val="en-GB"/>
        </w:rPr>
        <w:t>reducing to</w:t>
      </w:r>
      <w:r w:rsidRPr="007250A8">
        <w:rPr>
          <w:lang w:val="en-GB"/>
        </w:rPr>
        <w:t xml:space="preserve"> 0.19 in 2024. The operating cash generati</w:t>
      </w:r>
      <w:r w:rsidR="00EE4E2A" w:rsidRPr="007250A8">
        <w:rPr>
          <w:lang w:val="en-GB"/>
        </w:rPr>
        <w:t>on</w:t>
      </w:r>
      <w:r w:rsidRPr="007250A8">
        <w:rPr>
          <w:lang w:val="en-GB"/>
        </w:rPr>
        <w:t xml:space="preserve"> increased in 2025, </w:t>
      </w:r>
      <w:r w:rsidR="00EE4E2A" w:rsidRPr="007250A8">
        <w:rPr>
          <w:lang w:val="en-GB"/>
        </w:rPr>
        <w:t xml:space="preserve">revealing </w:t>
      </w:r>
      <w:r w:rsidRPr="007250A8">
        <w:rPr>
          <w:lang w:val="en-GB"/>
        </w:rPr>
        <w:t>improved performanc</w:t>
      </w:r>
      <w:r w:rsidR="00EE4E2A" w:rsidRPr="007250A8">
        <w:rPr>
          <w:lang w:val="en-GB"/>
        </w:rPr>
        <w:t>e in</w:t>
      </w:r>
      <w:r w:rsidRPr="007250A8">
        <w:rPr>
          <w:lang w:val="en-GB"/>
        </w:rPr>
        <w:t xml:space="preserve"> operating cash generation relati</w:t>
      </w:r>
      <w:r w:rsidR="00EE4E2A" w:rsidRPr="007250A8">
        <w:rPr>
          <w:lang w:val="en-GB"/>
        </w:rPr>
        <w:t>ve to</w:t>
      </w:r>
      <w:r w:rsidRPr="007250A8">
        <w:rPr>
          <w:lang w:val="en-GB"/>
        </w:rPr>
        <w:t xml:space="preserve"> total debt. The low ratio indicates that company is dependent on own operations and external finan</w:t>
      </w:r>
      <w:r w:rsidR="00EE4E2A" w:rsidRPr="007250A8">
        <w:rPr>
          <w:lang w:val="en-GB"/>
        </w:rPr>
        <w:t>ce for</w:t>
      </w:r>
      <w:r w:rsidRPr="007250A8">
        <w:rPr>
          <w:lang w:val="en-GB"/>
        </w:rPr>
        <w:t xml:space="preserve"> repay</w:t>
      </w:r>
      <w:r w:rsidR="00EE4E2A" w:rsidRPr="007250A8">
        <w:rPr>
          <w:lang w:val="en-GB"/>
        </w:rPr>
        <w:t>ing</w:t>
      </w:r>
      <w:r w:rsidRPr="007250A8">
        <w:rPr>
          <w:lang w:val="en-GB"/>
        </w:rPr>
        <w:t xml:space="preserve"> debt</w:t>
      </w:r>
      <w:r w:rsidR="0027114A" w:rsidRPr="007250A8">
        <w:rPr>
          <w:lang w:val="en-GB"/>
        </w:rPr>
        <w:t xml:space="preserve"> (</w:t>
      </w:r>
      <w:proofErr w:type="spellStart"/>
      <w:r w:rsidR="0027114A" w:rsidRPr="007250A8">
        <w:rPr>
          <w:lang w:val="en-GB"/>
        </w:rPr>
        <w:t>Soesetio</w:t>
      </w:r>
      <w:proofErr w:type="spellEnd"/>
      <w:r w:rsidR="0027114A" w:rsidRPr="007250A8">
        <w:rPr>
          <w:lang w:val="en-GB"/>
        </w:rPr>
        <w:t xml:space="preserve"> et al., 2023)</w:t>
      </w:r>
      <w:r w:rsidRPr="007250A8">
        <w:rPr>
          <w:lang w:val="en-GB"/>
        </w:rPr>
        <w:t>.</w:t>
      </w:r>
    </w:p>
    <w:p w14:paraId="32AD10D6" w14:textId="77777777" w:rsidR="00903CD4" w:rsidRPr="007250A8" w:rsidRDefault="00903CD4" w:rsidP="00DB2574">
      <w:pPr>
        <w:pStyle w:val="Heading2"/>
        <w:rPr>
          <w:lang w:val="en-GB"/>
        </w:rPr>
      </w:pPr>
      <w:bookmarkStart w:id="13" w:name="_Toc237459784"/>
      <w:r w:rsidRPr="007250A8">
        <w:rPr>
          <w:lang w:val="en-GB"/>
        </w:rPr>
        <w:t>2.3 Trend and Strength and Threat Analysis</w:t>
      </w:r>
      <w:bookmarkEnd w:id="13"/>
    </w:p>
    <w:p w14:paraId="6B84881C" w14:textId="5986D0B1" w:rsidR="00903CD4" w:rsidRPr="007250A8" w:rsidRDefault="00903CD4" w:rsidP="00DB2574">
      <w:pPr>
        <w:pStyle w:val="Heading3"/>
        <w:rPr>
          <w:lang w:val="en-GB"/>
        </w:rPr>
      </w:pPr>
      <w:bookmarkStart w:id="14" w:name="_Toc237459785"/>
      <w:r w:rsidRPr="007250A8">
        <w:rPr>
          <w:lang w:val="en-GB"/>
        </w:rPr>
        <w:t>2</w:t>
      </w:r>
      <w:r w:rsidR="00DB2574" w:rsidRPr="007250A8">
        <w:rPr>
          <w:lang w:val="en-GB"/>
        </w:rPr>
        <w:t>.</w:t>
      </w:r>
      <w:r w:rsidRPr="007250A8">
        <w:rPr>
          <w:lang w:val="en-GB"/>
        </w:rPr>
        <w:t>3.1 Trend Analysis</w:t>
      </w:r>
      <w:bookmarkEnd w:id="14"/>
    </w:p>
    <w:p w14:paraId="22F14159" w14:textId="36A51AFB" w:rsidR="00903CD4" w:rsidRPr="007250A8" w:rsidRDefault="00903CD4" w:rsidP="00903CD4">
      <w:pPr>
        <w:rPr>
          <w:lang w:val="en-GB"/>
        </w:rPr>
      </w:pPr>
      <w:r w:rsidRPr="007250A8">
        <w:rPr>
          <w:lang w:val="en-GB"/>
        </w:rPr>
        <w:t>The financial trends of Marriott during period of 2021-2025 reveal positi</w:t>
      </w:r>
      <w:r w:rsidR="00DB2574" w:rsidRPr="007250A8">
        <w:rPr>
          <w:lang w:val="en-GB"/>
        </w:rPr>
        <w:t>ve</w:t>
      </w:r>
      <w:r w:rsidRPr="007250A8">
        <w:rPr>
          <w:lang w:val="en-GB"/>
        </w:rPr>
        <w:t xml:space="preserve"> operating results a</w:t>
      </w:r>
      <w:r w:rsidR="00DB2574" w:rsidRPr="007250A8">
        <w:rPr>
          <w:lang w:val="en-GB"/>
        </w:rPr>
        <w:t>nd</w:t>
      </w:r>
      <w:r w:rsidRPr="007250A8">
        <w:rPr>
          <w:lang w:val="en-GB"/>
        </w:rPr>
        <w:t xml:space="preserve"> financial challenges by organi</w:t>
      </w:r>
      <w:r w:rsidR="00DB2574" w:rsidRPr="007250A8">
        <w:rPr>
          <w:lang w:val="en-GB"/>
        </w:rPr>
        <w:t>s</w:t>
      </w:r>
      <w:r w:rsidRPr="007250A8">
        <w:rPr>
          <w:lang w:val="en-GB"/>
        </w:rPr>
        <w:t>ation. Its revenues experienced growth</w:t>
      </w:r>
      <w:r w:rsidR="00DB2574" w:rsidRPr="007250A8">
        <w:rPr>
          <w:lang w:val="en-GB"/>
        </w:rPr>
        <w:t>,</w:t>
      </w:r>
      <w:r w:rsidRPr="007250A8">
        <w:rPr>
          <w:lang w:val="en-GB"/>
        </w:rPr>
        <w:t xml:space="preserve"> increasing from USD 13,8</w:t>
      </w:r>
      <w:r w:rsidR="00DB2574" w:rsidRPr="007250A8">
        <w:rPr>
          <w:lang w:val="en-GB"/>
        </w:rPr>
        <w:t>57</w:t>
      </w:r>
      <w:r w:rsidRPr="007250A8">
        <w:rPr>
          <w:lang w:val="en-GB"/>
        </w:rPr>
        <w:t xml:space="preserve"> million to USD 26,186 million</w:t>
      </w:r>
      <w:r w:rsidR="00DB2574" w:rsidRPr="007250A8">
        <w:rPr>
          <w:lang w:val="en-GB"/>
        </w:rPr>
        <w:t xml:space="preserve"> with</w:t>
      </w:r>
      <w:r w:rsidRPr="007250A8">
        <w:rPr>
          <w:lang w:val="en-GB"/>
        </w:rPr>
        <w:t xml:space="preserve"> net income fr</w:t>
      </w:r>
      <w:r w:rsidR="00DB2574" w:rsidRPr="007250A8">
        <w:rPr>
          <w:lang w:val="en-GB"/>
        </w:rPr>
        <w:t>om</w:t>
      </w:r>
      <w:r w:rsidRPr="007250A8">
        <w:rPr>
          <w:lang w:val="en-GB"/>
        </w:rPr>
        <w:t xml:space="preserve"> USD 1,099 milli</w:t>
      </w:r>
      <w:r w:rsidR="00DB2574" w:rsidRPr="007250A8">
        <w:rPr>
          <w:lang w:val="en-GB"/>
        </w:rPr>
        <w:t>on to</w:t>
      </w:r>
      <w:r w:rsidRPr="007250A8">
        <w:rPr>
          <w:lang w:val="en-GB"/>
        </w:rPr>
        <w:t xml:space="preserve"> USD 2,601 million. Th</w:t>
      </w:r>
      <w:r w:rsidR="00DB2574" w:rsidRPr="007250A8">
        <w:rPr>
          <w:lang w:val="en-GB"/>
        </w:rPr>
        <w:t xml:space="preserve">e </w:t>
      </w:r>
      <w:r w:rsidRPr="007250A8">
        <w:rPr>
          <w:lang w:val="en-GB"/>
        </w:rPr>
        <w:t>profitability was achiev</w:t>
      </w:r>
      <w:r w:rsidR="00DB2574" w:rsidRPr="007250A8">
        <w:rPr>
          <w:lang w:val="en-GB"/>
        </w:rPr>
        <w:t>ed</w:t>
      </w:r>
      <w:r w:rsidRPr="007250A8">
        <w:rPr>
          <w:lang w:val="en-GB"/>
        </w:rPr>
        <w:t xml:space="preserve"> and operating cash flow </w:t>
      </w:r>
      <w:r w:rsidR="00DB2574" w:rsidRPr="007250A8">
        <w:rPr>
          <w:lang w:val="en-GB"/>
        </w:rPr>
        <w:t>developed</w:t>
      </w:r>
      <w:r w:rsidRPr="007250A8">
        <w:rPr>
          <w:lang w:val="en-GB"/>
        </w:rPr>
        <w:t xml:space="preserve"> significantly</w:t>
      </w:r>
      <w:r w:rsidR="008E23A4" w:rsidRPr="007250A8">
        <w:rPr>
          <w:lang w:val="en-GB"/>
        </w:rPr>
        <w:t xml:space="preserve"> (Ahmad, Salih and </w:t>
      </w:r>
      <w:proofErr w:type="spellStart"/>
      <w:r w:rsidR="008E23A4" w:rsidRPr="007250A8">
        <w:rPr>
          <w:lang w:val="en-GB"/>
        </w:rPr>
        <w:t>Sangawi</w:t>
      </w:r>
      <w:proofErr w:type="spellEnd"/>
      <w:r w:rsidR="008E23A4" w:rsidRPr="007250A8">
        <w:rPr>
          <w:lang w:val="en-GB"/>
        </w:rPr>
        <w:t>, 2024)</w:t>
      </w:r>
      <w:r w:rsidRPr="007250A8">
        <w:rPr>
          <w:lang w:val="en-GB"/>
        </w:rPr>
        <w:t>. Efficiency is characteri</w:t>
      </w:r>
      <w:r w:rsidR="00DB2574" w:rsidRPr="007250A8">
        <w:rPr>
          <w:lang w:val="en-GB"/>
        </w:rPr>
        <w:t>sed</w:t>
      </w:r>
      <w:r w:rsidRPr="007250A8">
        <w:rPr>
          <w:lang w:val="en-GB"/>
        </w:rPr>
        <w:t xml:space="preserve"> as high due to increase in receivable turnover from 6.</w:t>
      </w:r>
      <w:r w:rsidR="00DB2574" w:rsidRPr="007250A8">
        <w:rPr>
          <w:lang w:val="en-GB"/>
        </w:rPr>
        <w:t>99</w:t>
      </w:r>
      <w:r w:rsidRPr="007250A8">
        <w:rPr>
          <w:lang w:val="en-GB"/>
        </w:rPr>
        <w:t xml:space="preserve"> to 9.00. However, liquidity remains lo</w:t>
      </w:r>
      <w:r w:rsidR="00DB2574" w:rsidRPr="007250A8">
        <w:rPr>
          <w:lang w:val="en-GB"/>
        </w:rPr>
        <w:t>w as</w:t>
      </w:r>
      <w:r w:rsidRPr="007250A8">
        <w:rPr>
          <w:lang w:val="en-GB"/>
        </w:rPr>
        <w:t xml:space="preserve"> current and acid test ratios </w:t>
      </w:r>
      <w:r w:rsidR="00DB2574" w:rsidRPr="007250A8">
        <w:rPr>
          <w:lang w:val="en-GB"/>
        </w:rPr>
        <w:t>is</w:t>
      </w:r>
      <w:r w:rsidRPr="007250A8">
        <w:rPr>
          <w:lang w:val="en-GB"/>
        </w:rPr>
        <w:t xml:space="preserve"> less than 1.0. Leverag</w:t>
      </w:r>
      <w:r w:rsidR="00DB2574" w:rsidRPr="007250A8">
        <w:rPr>
          <w:lang w:val="en-GB"/>
        </w:rPr>
        <w:t>e ratio developed and</w:t>
      </w:r>
      <w:r w:rsidRPr="007250A8">
        <w:rPr>
          <w:lang w:val="en-GB"/>
        </w:rPr>
        <w:t xml:space="preserve"> debt ratio increase</w:t>
      </w:r>
      <w:r w:rsidR="00DB2574" w:rsidRPr="007250A8">
        <w:rPr>
          <w:lang w:val="en-GB"/>
        </w:rPr>
        <w:t>d</w:t>
      </w:r>
      <w:r w:rsidRPr="007250A8">
        <w:rPr>
          <w:lang w:val="en-GB"/>
        </w:rPr>
        <w:t xml:space="preserve"> from 0.94 to 1.14. The organi</w:t>
      </w:r>
      <w:r w:rsidR="00DB2574" w:rsidRPr="007250A8">
        <w:rPr>
          <w:lang w:val="en-GB"/>
        </w:rPr>
        <w:t>s</w:t>
      </w:r>
      <w:r w:rsidRPr="007250A8">
        <w:rPr>
          <w:lang w:val="en-GB"/>
        </w:rPr>
        <w:t>ation experiences positive trends</w:t>
      </w:r>
      <w:r w:rsidR="00DB2574" w:rsidRPr="007250A8">
        <w:rPr>
          <w:lang w:val="en-GB"/>
        </w:rPr>
        <w:t xml:space="preserve"> in</w:t>
      </w:r>
      <w:r w:rsidRPr="007250A8">
        <w:rPr>
          <w:lang w:val="en-GB"/>
        </w:rPr>
        <w:t xml:space="preserve"> revenue, profitability</w:t>
      </w:r>
      <w:r w:rsidR="00DB2574" w:rsidRPr="007250A8">
        <w:rPr>
          <w:lang w:val="en-GB"/>
        </w:rPr>
        <w:t xml:space="preserve"> and</w:t>
      </w:r>
      <w:r w:rsidRPr="007250A8">
        <w:rPr>
          <w:lang w:val="en-GB"/>
        </w:rPr>
        <w:t xml:space="preserve"> cash flows, </w:t>
      </w:r>
      <w:r w:rsidR="00DB2574" w:rsidRPr="007250A8">
        <w:rPr>
          <w:lang w:val="en-GB"/>
        </w:rPr>
        <w:t xml:space="preserve">but </w:t>
      </w:r>
      <w:r w:rsidRPr="007250A8">
        <w:rPr>
          <w:lang w:val="en-GB"/>
        </w:rPr>
        <w:t>risks associated with debt and liquidity are high.</w:t>
      </w:r>
    </w:p>
    <w:p w14:paraId="76F2C902" w14:textId="41F38CD3" w:rsidR="006D0CC9" w:rsidRPr="007250A8" w:rsidRDefault="006D0CC9" w:rsidP="006D0CC9">
      <w:pPr>
        <w:pStyle w:val="Heading3"/>
        <w:rPr>
          <w:lang w:val="en-GB"/>
        </w:rPr>
      </w:pPr>
      <w:bookmarkStart w:id="15" w:name="_Toc237459786"/>
      <w:r w:rsidRPr="007250A8">
        <w:rPr>
          <w:lang w:val="en-GB"/>
        </w:rPr>
        <w:t>2.3.2 Marriott: Financial Strength and Weakness</w:t>
      </w:r>
      <w:bookmarkEnd w:id="15"/>
    </w:p>
    <w:tbl>
      <w:tblPr>
        <w:tblStyle w:val="GridTable6Colorful-Accent1"/>
        <w:tblW w:w="0" w:type="auto"/>
        <w:tblLook w:val="04A0" w:firstRow="1" w:lastRow="0" w:firstColumn="1" w:lastColumn="0" w:noHBand="0" w:noVBand="1"/>
      </w:tblPr>
      <w:tblGrid>
        <w:gridCol w:w="1537"/>
        <w:gridCol w:w="4311"/>
        <w:gridCol w:w="3168"/>
      </w:tblGrid>
      <w:tr w:rsidR="00FC3B14" w:rsidRPr="007250A8" w14:paraId="5EE6109A" w14:textId="77777777" w:rsidTr="003E15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0E21C" w14:textId="77777777" w:rsidR="00FC3B14" w:rsidRPr="007250A8" w:rsidRDefault="00FC3B14" w:rsidP="00FC3B14">
            <w:pPr>
              <w:jc w:val="center"/>
              <w:rPr>
                <w:color w:val="000000" w:themeColor="text1"/>
                <w:lang w:val="en-GB"/>
              </w:rPr>
            </w:pPr>
            <w:r w:rsidRPr="007250A8">
              <w:rPr>
                <w:color w:val="000000" w:themeColor="text1"/>
                <w:lang w:val="en-GB"/>
              </w:rPr>
              <w:t>Category</w:t>
            </w:r>
          </w:p>
        </w:tc>
        <w:tc>
          <w:tcPr>
            <w:tcW w:w="0" w:type="auto"/>
            <w:hideMark/>
          </w:tcPr>
          <w:p w14:paraId="1EEF2304" w14:textId="77777777" w:rsidR="00FC3B14" w:rsidRPr="007250A8" w:rsidRDefault="00FC3B14" w:rsidP="00FC3B14">
            <w:pPr>
              <w:jc w:val="cente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Strengths</w:t>
            </w:r>
          </w:p>
        </w:tc>
        <w:tc>
          <w:tcPr>
            <w:tcW w:w="0" w:type="auto"/>
            <w:hideMark/>
          </w:tcPr>
          <w:p w14:paraId="571F17EF" w14:textId="77777777" w:rsidR="00FC3B14" w:rsidRPr="007250A8" w:rsidRDefault="00FC3B14" w:rsidP="00FC3B14">
            <w:pPr>
              <w:jc w:val="cente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Weaknesses</w:t>
            </w:r>
          </w:p>
        </w:tc>
      </w:tr>
      <w:tr w:rsidR="00FC3B14" w:rsidRPr="007250A8" w14:paraId="6861285C"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17C98C" w14:textId="77777777" w:rsidR="00FC3B14" w:rsidRPr="007250A8" w:rsidRDefault="00FC3B14" w:rsidP="00FC3B14">
            <w:pPr>
              <w:rPr>
                <w:i/>
                <w:iCs/>
                <w:color w:val="000000" w:themeColor="text1"/>
                <w:lang w:val="en-GB"/>
              </w:rPr>
            </w:pPr>
            <w:r w:rsidRPr="007250A8">
              <w:rPr>
                <w:i/>
                <w:iCs/>
                <w:color w:val="000000" w:themeColor="text1"/>
                <w:lang w:val="en-GB"/>
              </w:rPr>
              <w:t>Liquidity</w:t>
            </w:r>
          </w:p>
        </w:tc>
        <w:tc>
          <w:tcPr>
            <w:tcW w:w="0" w:type="auto"/>
            <w:hideMark/>
          </w:tcPr>
          <w:p w14:paraId="1A9BE564" w14:textId="7081506B" w:rsidR="00FC3B14" w:rsidRPr="007250A8" w:rsidRDefault="00FC3B14"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Positive operating cash flow for stability</w:t>
            </w:r>
          </w:p>
        </w:tc>
        <w:tc>
          <w:tcPr>
            <w:tcW w:w="0" w:type="auto"/>
            <w:hideMark/>
          </w:tcPr>
          <w:p w14:paraId="69BBE586" w14:textId="558555CB" w:rsidR="00FC3B14" w:rsidRPr="007250A8" w:rsidRDefault="00FC3B14"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Current and acid-test ratio</w:t>
            </w:r>
            <w:r w:rsidR="008C7A1F" w:rsidRPr="007250A8">
              <w:rPr>
                <w:color w:val="000000" w:themeColor="text1"/>
                <w:lang w:val="en-GB"/>
              </w:rPr>
              <w:t xml:space="preserve"> below</w:t>
            </w:r>
            <w:r w:rsidRPr="007250A8">
              <w:rPr>
                <w:color w:val="000000" w:themeColor="text1"/>
                <w:lang w:val="en-GB"/>
              </w:rPr>
              <w:t xml:space="preserve"> 1.0.</w:t>
            </w:r>
          </w:p>
        </w:tc>
      </w:tr>
      <w:tr w:rsidR="00FC3B14" w:rsidRPr="007250A8" w14:paraId="2493B2C5" w14:textId="77777777" w:rsidTr="003E1519">
        <w:tc>
          <w:tcPr>
            <w:cnfStyle w:val="001000000000" w:firstRow="0" w:lastRow="0" w:firstColumn="1" w:lastColumn="0" w:oddVBand="0" w:evenVBand="0" w:oddHBand="0" w:evenHBand="0" w:firstRowFirstColumn="0" w:firstRowLastColumn="0" w:lastRowFirstColumn="0" w:lastRowLastColumn="0"/>
            <w:tcW w:w="0" w:type="auto"/>
            <w:hideMark/>
          </w:tcPr>
          <w:p w14:paraId="725633BA" w14:textId="77777777" w:rsidR="00FC3B14" w:rsidRPr="007250A8" w:rsidRDefault="00FC3B14" w:rsidP="00FC3B14">
            <w:pPr>
              <w:rPr>
                <w:i/>
                <w:iCs/>
                <w:color w:val="000000" w:themeColor="text1"/>
                <w:lang w:val="en-GB"/>
              </w:rPr>
            </w:pPr>
            <w:r w:rsidRPr="007250A8">
              <w:rPr>
                <w:i/>
                <w:iCs/>
                <w:color w:val="000000" w:themeColor="text1"/>
                <w:lang w:val="en-GB"/>
              </w:rPr>
              <w:t>Profitability</w:t>
            </w:r>
          </w:p>
        </w:tc>
        <w:tc>
          <w:tcPr>
            <w:tcW w:w="0" w:type="auto"/>
            <w:hideMark/>
          </w:tcPr>
          <w:p w14:paraId="700B4C65" w14:textId="4A472694" w:rsidR="00FC3B14" w:rsidRPr="007250A8" w:rsidRDefault="00FC3B14" w:rsidP="00FC3B14">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Revenue and net income increased with positive margins</w:t>
            </w:r>
          </w:p>
        </w:tc>
        <w:tc>
          <w:tcPr>
            <w:tcW w:w="0" w:type="auto"/>
            <w:hideMark/>
          </w:tcPr>
          <w:p w14:paraId="7C7EB932" w14:textId="717C0A43" w:rsidR="00FC3B14" w:rsidRPr="007250A8" w:rsidRDefault="00FC3B14" w:rsidP="00FC3B14">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Net margin decline</w:t>
            </w:r>
            <w:r w:rsidR="008C7A1F" w:rsidRPr="007250A8">
              <w:rPr>
                <w:color w:val="000000" w:themeColor="text1"/>
                <w:lang w:val="en-GB"/>
              </w:rPr>
              <w:t>d after</w:t>
            </w:r>
            <w:r w:rsidRPr="007250A8">
              <w:rPr>
                <w:color w:val="000000" w:themeColor="text1"/>
                <w:lang w:val="en-GB"/>
              </w:rPr>
              <w:t xml:space="preserve"> 202</w:t>
            </w:r>
            <w:r w:rsidR="008C7A1F" w:rsidRPr="007250A8">
              <w:rPr>
                <w:color w:val="000000" w:themeColor="text1"/>
                <w:lang w:val="en-GB"/>
              </w:rPr>
              <w:t>3</w:t>
            </w:r>
          </w:p>
        </w:tc>
      </w:tr>
      <w:tr w:rsidR="00FC3B14" w:rsidRPr="007250A8" w14:paraId="231A25B1"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3DEFEE" w14:textId="77777777" w:rsidR="00FC3B14" w:rsidRPr="007250A8" w:rsidRDefault="00FC3B14" w:rsidP="00FC3B14">
            <w:pPr>
              <w:rPr>
                <w:i/>
                <w:iCs/>
                <w:color w:val="000000" w:themeColor="text1"/>
                <w:lang w:val="en-GB"/>
              </w:rPr>
            </w:pPr>
            <w:r w:rsidRPr="007250A8">
              <w:rPr>
                <w:i/>
                <w:iCs/>
                <w:color w:val="000000" w:themeColor="text1"/>
                <w:lang w:val="en-GB"/>
              </w:rPr>
              <w:lastRenderedPageBreak/>
              <w:t>Leverage</w:t>
            </w:r>
          </w:p>
        </w:tc>
        <w:tc>
          <w:tcPr>
            <w:tcW w:w="0" w:type="auto"/>
            <w:hideMark/>
          </w:tcPr>
          <w:p w14:paraId="502A586C" w14:textId="2DC33F2A" w:rsidR="00FC3B14" w:rsidRPr="007250A8" w:rsidRDefault="00FC3B14"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Debt financing for business development</w:t>
            </w:r>
          </w:p>
        </w:tc>
        <w:tc>
          <w:tcPr>
            <w:tcW w:w="0" w:type="auto"/>
            <w:hideMark/>
          </w:tcPr>
          <w:p w14:paraId="038F14B5" w14:textId="63B0B671" w:rsidR="00FC3B14" w:rsidRPr="007250A8" w:rsidRDefault="00FC3B14"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Increasing deb</w:t>
            </w:r>
            <w:r w:rsidR="008C7A1F" w:rsidRPr="007250A8">
              <w:rPr>
                <w:color w:val="000000" w:themeColor="text1"/>
                <w:lang w:val="en-GB"/>
              </w:rPr>
              <w:t>t reveals financial risk</w:t>
            </w:r>
          </w:p>
        </w:tc>
      </w:tr>
      <w:tr w:rsidR="00FC3B14" w:rsidRPr="007250A8" w14:paraId="541C6115" w14:textId="77777777" w:rsidTr="003E1519">
        <w:tc>
          <w:tcPr>
            <w:cnfStyle w:val="001000000000" w:firstRow="0" w:lastRow="0" w:firstColumn="1" w:lastColumn="0" w:oddVBand="0" w:evenVBand="0" w:oddHBand="0" w:evenHBand="0" w:firstRowFirstColumn="0" w:firstRowLastColumn="0" w:lastRowFirstColumn="0" w:lastRowLastColumn="0"/>
            <w:tcW w:w="0" w:type="auto"/>
            <w:hideMark/>
          </w:tcPr>
          <w:p w14:paraId="3D24CB25" w14:textId="77777777" w:rsidR="00FC3B14" w:rsidRPr="007250A8" w:rsidRDefault="00FC3B14" w:rsidP="00FC3B14">
            <w:pPr>
              <w:rPr>
                <w:i/>
                <w:iCs/>
                <w:color w:val="000000" w:themeColor="text1"/>
                <w:lang w:val="en-GB"/>
              </w:rPr>
            </w:pPr>
            <w:r w:rsidRPr="007250A8">
              <w:rPr>
                <w:i/>
                <w:iCs/>
                <w:color w:val="000000" w:themeColor="text1"/>
                <w:lang w:val="en-GB"/>
              </w:rPr>
              <w:t>Efficiency</w:t>
            </w:r>
          </w:p>
        </w:tc>
        <w:tc>
          <w:tcPr>
            <w:tcW w:w="0" w:type="auto"/>
            <w:hideMark/>
          </w:tcPr>
          <w:p w14:paraId="47922E19" w14:textId="0D3FAEF3" w:rsidR="00FC3B14" w:rsidRPr="007250A8" w:rsidRDefault="00FC3B14" w:rsidP="00FC3B14">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Improved receivable turnover</w:t>
            </w:r>
          </w:p>
        </w:tc>
        <w:tc>
          <w:tcPr>
            <w:tcW w:w="0" w:type="auto"/>
            <w:hideMark/>
          </w:tcPr>
          <w:p w14:paraId="4DFF3EE3" w14:textId="1AFFB1F2" w:rsidR="00FC3B14" w:rsidRPr="007250A8" w:rsidRDefault="008C7A1F" w:rsidP="00FC3B14">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Ineffectiveness for actual turnover</w:t>
            </w:r>
          </w:p>
        </w:tc>
      </w:tr>
      <w:tr w:rsidR="00FC3B14" w:rsidRPr="007250A8" w14:paraId="1B996783"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C53B91" w14:textId="2B09849B" w:rsidR="00FC3B14" w:rsidRPr="007250A8" w:rsidRDefault="00FC3B14" w:rsidP="00FC3B14">
            <w:pPr>
              <w:rPr>
                <w:i/>
                <w:iCs/>
                <w:color w:val="000000" w:themeColor="text1"/>
                <w:lang w:val="en-GB"/>
              </w:rPr>
            </w:pPr>
            <w:r w:rsidRPr="007250A8">
              <w:rPr>
                <w:i/>
                <w:iCs/>
                <w:color w:val="000000" w:themeColor="text1"/>
                <w:lang w:val="en-GB"/>
              </w:rPr>
              <w:t>Cash Flow</w:t>
            </w:r>
          </w:p>
        </w:tc>
        <w:tc>
          <w:tcPr>
            <w:tcW w:w="0" w:type="auto"/>
            <w:hideMark/>
          </w:tcPr>
          <w:p w14:paraId="2C8B1AD2" w14:textId="07E72FEC" w:rsidR="00FC3B14" w:rsidRPr="007250A8" w:rsidRDefault="00FC3B14"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Positive EPS and improved cash flows</w:t>
            </w:r>
          </w:p>
        </w:tc>
        <w:tc>
          <w:tcPr>
            <w:tcW w:w="0" w:type="auto"/>
            <w:hideMark/>
          </w:tcPr>
          <w:p w14:paraId="6F90A867" w14:textId="2E0BFC29" w:rsidR="00FC3B14" w:rsidRPr="007250A8" w:rsidRDefault="008C7A1F" w:rsidP="00FC3B14">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Increased</w:t>
            </w:r>
            <w:r w:rsidR="00FC3B14" w:rsidRPr="007250A8">
              <w:rPr>
                <w:color w:val="000000" w:themeColor="text1"/>
                <w:lang w:val="en-GB"/>
              </w:rPr>
              <w:t xml:space="preserve"> debt pressure</w:t>
            </w:r>
          </w:p>
        </w:tc>
      </w:tr>
    </w:tbl>
    <w:p w14:paraId="1C64B678" w14:textId="30BEA98A" w:rsidR="00903CD4" w:rsidRPr="007250A8" w:rsidRDefault="00903CD4" w:rsidP="00F05C9B">
      <w:pPr>
        <w:pStyle w:val="Heading2"/>
        <w:rPr>
          <w:lang w:val="en-GB"/>
        </w:rPr>
      </w:pPr>
      <w:bookmarkStart w:id="16" w:name="_Toc237459787"/>
      <w:r w:rsidRPr="007250A8">
        <w:rPr>
          <w:lang w:val="en-GB"/>
        </w:rPr>
        <w:t>2.4</w:t>
      </w:r>
      <w:r w:rsidR="00F05C9B" w:rsidRPr="007250A8">
        <w:rPr>
          <w:lang w:val="en-GB"/>
        </w:rPr>
        <w:t xml:space="preserve"> Corporate Failure Prediction</w:t>
      </w:r>
      <w:bookmarkEnd w:id="16"/>
    </w:p>
    <w:tbl>
      <w:tblPr>
        <w:tblStyle w:val="GridTable6Colorful-Accent3"/>
        <w:tblW w:w="9007" w:type="dxa"/>
        <w:tblLook w:val="04A0" w:firstRow="1" w:lastRow="0" w:firstColumn="1" w:lastColumn="0" w:noHBand="0" w:noVBand="1"/>
      </w:tblPr>
      <w:tblGrid>
        <w:gridCol w:w="2304"/>
        <w:gridCol w:w="1645"/>
        <w:gridCol w:w="5058"/>
      </w:tblGrid>
      <w:tr w:rsidR="00F05C9B" w:rsidRPr="007250A8" w14:paraId="09D0C7D8" w14:textId="77777777" w:rsidTr="003E1519">
        <w:trPr>
          <w:cnfStyle w:val="100000000000" w:firstRow="1" w:lastRow="0" w:firstColumn="0" w:lastColumn="0" w:oddVBand="0" w:evenVBand="0" w:oddHBand="0"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0" w:type="auto"/>
            <w:hideMark/>
          </w:tcPr>
          <w:p w14:paraId="7A88A88D" w14:textId="77777777" w:rsidR="00F05C9B" w:rsidRPr="007250A8" w:rsidRDefault="00F05C9B" w:rsidP="00F05C9B">
            <w:pPr>
              <w:jc w:val="center"/>
              <w:rPr>
                <w:color w:val="000000" w:themeColor="text1"/>
                <w:lang w:val="en-GB" w:eastAsia="en-IN" w:bidi="ar-SA"/>
              </w:rPr>
            </w:pPr>
            <w:r w:rsidRPr="007250A8">
              <w:rPr>
                <w:color w:val="000000" w:themeColor="text1"/>
                <w:lang w:val="en-GB" w:eastAsia="en-IN" w:bidi="ar-SA"/>
              </w:rPr>
              <w:t>Z-Score Range</w:t>
            </w:r>
          </w:p>
        </w:tc>
        <w:tc>
          <w:tcPr>
            <w:tcW w:w="0" w:type="auto"/>
            <w:hideMark/>
          </w:tcPr>
          <w:p w14:paraId="67B71D82" w14:textId="77777777" w:rsidR="00F05C9B" w:rsidRPr="007250A8" w:rsidRDefault="00F05C9B" w:rsidP="00F05C9B">
            <w:pPr>
              <w:jc w:val="cente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Risk Zone</w:t>
            </w:r>
          </w:p>
        </w:tc>
        <w:tc>
          <w:tcPr>
            <w:tcW w:w="0" w:type="auto"/>
            <w:hideMark/>
          </w:tcPr>
          <w:p w14:paraId="76F400D4" w14:textId="77777777" w:rsidR="00F05C9B" w:rsidRPr="007250A8" w:rsidRDefault="00F05C9B" w:rsidP="00F05C9B">
            <w:pPr>
              <w:jc w:val="cente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Interpretation</w:t>
            </w:r>
          </w:p>
        </w:tc>
      </w:tr>
      <w:tr w:rsidR="00F05C9B" w:rsidRPr="007250A8" w14:paraId="14B4EBD1" w14:textId="77777777" w:rsidTr="003E1519">
        <w:trPr>
          <w:cnfStyle w:val="000000100000" w:firstRow="0" w:lastRow="0" w:firstColumn="0" w:lastColumn="0" w:oddVBand="0" w:evenVBand="0" w:oddHBand="1" w:evenHBand="0" w:firstRowFirstColumn="0" w:firstRowLastColumn="0" w:lastRowFirstColumn="0" w:lastRowLastColumn="0"/>
          <w:trHeight w:val="914"/>
        </w:trPr>
        <w:tc>
          <w:tcPr>
            <w:cnfStyle w:val="001000000000" w:firstRow="0" w:lastRow="0" w:firstColumn="1" w:lastColumn="0" w:oddVBand="0" w:evenVBand="0" w:oddHBand="0" w:evenHBand="0" w:firstRowFirstColumn="0" w:firstRowLastColumn="0" w:lastRowFirstColumn="0" w:lastRowLastColumn="0"/>
            <w:tcW w:w="0" w:type="auto"/>
            <w:hideMark/>
          </w:tcPr>
          <w:p w14:paraId="298F62A4" w14:textId="5CFAC1B8" w:rsidR="00F05C9B" w:rsidRPr="007250A8" w:rsidRDefault="00F05C9B" w:rsidP="00F05C9B">
            <w:pPr>
              <w:jc w:val="center"/>
              <w:rPr>
                <w:b w:val="0"/>
                <w:bCs w:val="0"/>
                <w:color w:val="000000" w:themeColor="text1"/>
                <w:lang w:val="en-GB" w:eastAsia="en-IN" w:bidi="ar-SA"/>
              </w:rPr>
            </w:pPr>
            <w:r w:rsidRPr="007250A8">
              <w:rPr>
                <w:b w:val="0"/>
                <w:bCs w:val="0"/>
                <w:color w:val="000000" w:themeColor="text1"/>
                <w:lang w:val="en-GB" w:eastAsia="en-IN" w:bidi="ar-SA"/>
              </w:rPr>
              <w:t>Z &lt; 1.8</w:t>
            </w:r>
          </w:p>
        </w:tc>
        <w:tc>
          <w:tcPr>
            <w:tcW w:w="0" w:type="auto"/>
            <w:hideMark/>
          </w:tcPr>
          <w:p w14:paraId="7CC7F7C1" w14:textId="186BEA02" w:rsidR="00F05C9B" w:rsidRPr="007250A8" w:rsidRDefault="00F05C9B" w:rsidP="00F05C9B">
            <w:pPr>
              <w:jc w:val="cente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High</w:t>
            </w:r>
          </w:p>
        </w:tc>
        <w:tc>
          <w:tcPr>
            <w:tcW w:w="0" w:type="auto"/>
            <w:hideMark/>
          </w:tcPr>
          <w:p w14:paraId="1E78A093" w14:textId="27271CB1" w:rsidR="00F05C9B" w:rsidRPr="007250A8" w:rsidRDefault="00F05C9B" w:rsidP="00F05C9B">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Risk of bankruptcy or financial failure</w:t>
            </w:r>
          </w:p>
        </w:tc>
      </w:tr>
      <w:tr w:rsidR="00F05C9B" w:rsidRPr="007250A8" w14:paraId="0AAC88A8" w14:textId="77777777" w:rsidTr="003E1519">
        <w:trPr>
          <w:trHeight w:val="899"/>
        </w:trPr>
        <w:tc>
          <w:tcPr>
            <w:cnfStyle w:val="001000000000" w:firstRow="0" w:lastRow="0" w:firstColumn="1" w:lastColumn="0" w:oddVBand="0" w:evenVBand="0" w:oddHBand="0" w:evenHBand="0" w:firstRowFirstColumn="0" w:firstRowLastColumn="0" w:lastRowFirstColumn="0" w:lastRowLastColumn="0"/>
            <w:tcW w:w="0" w:type="auto"/>
            <w:hideMark/>
          </w:tcPr>
          <w:p w14:paraId="7BC75E2E" w14:textId="73870560" w:rsidR="00F05C9B" w:rsidRPr="007250A8" w:rsidRDefault="00F05C9B" w:rsidP="00F05C9B">
            <w:pPr>
              <w:jc w:val="center"/>
              <w:rPr>
                <w:b w:val="0"/>
                <w:bCs w:val="0"/>
                <w:color w:val="000000" w:themeColor="text1"/>
                <w:lang w:val="en-GB" w:eastAsia="en-IN" w:bidi="ar-SA"/>
              </w:rPr>
            </w:pPr>
            <w:r w:rsidRPr="007250A8">
              <w:rPr>
                <w:b w:val="0"/>
                <w:bCs w:val="0"/>
                <w:color w:val="000000" w:themeColor="text1"/>
                <w:lang w:val="en-GB" w:eastAsia="en-IN" w:bidi="ar-SA"/>
              </w:rPr>
              <w:t>1.8 ≤ Z ≤ 3.0</w:t>
            </w:r>
          </w:p>
        </w:tc>
        <w:tc>
          <w:tcPr>
            <w:tcW w:w="0" w:type="auto"/>
            <w:hideMark/>
          </w:tcPr>
          <w:p w14:paraId="2A74FFD3" w14:textId="1E4933E3" w:rsidR="00F05C9B" w:rsidRPr="007250A8" w:rsidRDefault="00F05C9B" w:rsidP="00F05C9B">
            <w:pPr>
              <w:jc w:val="cente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Moderate</w:t>
            </w:r>
          </w:p>
        </w:tc>
        <w:tc>
          <w:tcPr>
            <w:tcW w:w="0" w:type="auto"/>
            <w:hideMark/>
          </w:tcPr>
          <w:p w14:paraId="658717E5" w14:textId="748A918E" w:rsidR="00F05C9B" w:rsidRPr="007250A8" w:rsidRDefault="00F05C9B" w:rsidP="00F05C9B">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Uncertain financial health</w:t>
            </w:r>
          </w:p>
        </w:tc>
      </w:tr>
      <w:tr w:rsidR="00F05C9B" w:rsidRPr="007250A8" w14:paraId="2E186525" w14:textId="77777777" w:rsidTr="003E1519">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0" w:type="auto"/>
            <w:hideMark/>
          </w:tcPr>
          <w:p w14:paraId="18034E0E" w14:textId="13560CFE" w:rsidR="00F05C9B" w:rsidRPr="007250A8" w:rsidRDefault="00F05C9B" w:rsidP="00F05C9B">
            <w:pPr>
              <w:jc w:val="center"/>
              <w:rPr>
                <w:b w:val="0"/>
                <w:bCs w:val="0"/>
                <w:color w:val="000000" w:themeColor="text1"/>
                <w:lang w:val="en-GB" w:eastAsia="en-IN" w:bidi="ar-SA"/>
              </w:rPr>
            </w:pPr>
            <w:r w:rsidRPr="007250A8">
              <w:rPr>
                <w:b w:val="0"/>
                <w:bCs w:val="0"/>
                <w:color w:val="000000" w:themeColor="text1"/>
                <w:lang w:val="en-GB" w:eastAsia="en-IN" w:bidi="ar-SA"/>
              </w:rPr>
              <w:t>Z &gt; 3.0</w:t>
            </w:r>
          </w:p>
        </w:tc>
        <w:tc>
          <w:tcPr>
            <w:tcW w:w="0" w:type="auto"/>
            <w:hideMark/>
          </w:tcPr>
          <w:p w14:paraId="51D62B54" w14:textId="550D7EDD" w:rsidR="00F05C9B" w:rsidRPr="007250A8" w:rsidRDefault="00F05C9B" w:rsidP="00F05C9B">
            <w:pPr>
              <w:jc w:val="cente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Low</w:t>
            </w:r>
          </w:p>
        </w:tc>
        <w:tc>
          <w:tcPr>
            <w:tcW w:w="0" w:type="auto"/>
            <w:hideMark/>
          </w:tcPr>
          <w:p w14:paraId="204910DB" w14:textId="3091CAE0" w:rsidR="00F05C9B" w:rsidRPr="007250A8" w:rsidRDefault="00F05C9B" w:rsidP="00F05C9B">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Financial stability and bankruptcy risk</w:t>
            </w:r>
          </w:p>
        </w:tc>
      </w:tr>
    </w:tbl>
    <w:p w14:paraId="48510C57" w14:textId="53A49923" w:rsidR="003479C6" w:rsidRPr="007250A8" w:rsidRDefault="00906365" w:rsidP="00903CD4">
      <w:pPr>
        <w:rPr>
          <w:lang w:val="en-GB"/>
        </w:rPr>
      </w:pPr>
      <w:r w:rsidRPr="007250A8">
        <w:rPr>
          <w:lang w:val="en-GB"/>
        </w:rPr>
        <w:t>Based on</w:t>
      </w:r>
      <w:r w:rsidR="00B41AB5" w:rsidRPr="007250A8">
        <w:rPr>
          <w:lang w:val="en-GB"/>
        </w:rPr>
        <w:t xml:space="preserve"> financial ratios of Marriott, </w:t>
      </w:r>
      <w:r w:rsidRPr="007250A8">
        <w:rPr>
          <w:lang w:val="en-GB"/>
        </w:rPr>
        <w:t>the company is facing</w:t>
      </w:r>
      <w:r w:rsidR="00B41AB5" w:rsidRPr="007250A8">
        <w:rPr>
          <w:lang w:val="en-GB"/>
        </w:rPr>
        <w:t xml:space="preserve"> weak financial situation. The company </w:t>
      </w:r>
      <w:r w:rsidRPr="007250A8">
        <w:rPr>
          <w:lang w:val="en-GB"/>
        </w:rPr>
        <w:t>highlighted</w:t>
      </w:r>
      <w:r w:rsidR="00B41AB5" w:rsidRPr="007250A8">
        <w:rPr>
          <w:lang w:val="en-GB"/>
        </w:rPr>
        <w:t xml:space="preserve"> strong revenues, profitability, increase in Earnings per Share and Operating Cash Flows</w:t>
      </w:r>
      <w:r w:rsidRPr="007250A8">
        <w:rPr>
          <w:lang w:val="en-GB"/>
        </w:rPr>
        <w:t>, highlighting</w:t>
      </w:r>
      <w:r w:rsidR="00B41AB5" w:rsidRPr="007250A8">
        <w:rPr>
          <w:lang w:val="en-GB"/>
        </w:rPr>
        <w:t xml:space="preserve"> strong operational situation. </w:t>
      </w:r>
      <w:r w:rsidRPr="007250A8">
        <w:rPr>
          <w:lang w:val="en-GB"/>
        </w:rPr>
        <w:t>The</w:t>
      </w:r>
      <w:r w:rsidR="00B41AB5" w:rsidRPr="007250A8">
        <w:rPr>
          <w:lang w:val="en-GB"/>
        </w:rPr>
        <w:t xml:space="preserve"> current quick ratio 0.43, acid test ratio 0.39 and debt ratio 1.14 indicate liquidit</w:t>
      </w:r>
      <w:r w:rsidRPr="007250A8">
        <w:rPr>
          <w:lang w:val="en-GB"/>
        </w:rPr>
        <w:t>y and</w:t>
      </w:r>
      <w:r w:rsidR="00B41AB5" w:rsidRPr="007250A8">
        <w:rPr>
          <w:lang w:val="en-GB"/>
        </w:rPr>
        <w:t xml:space="preserve"> leverage </w:t>
      </w:r>
      <w:r w:rsidRPr="007250A8">
        <w:rPr>
          <w:lang w:val="en-GB"/>
        </w:rPr>
        <w:t>issues</w:t>
      </w:r>
      <w:r w:rsidR="00B41AB5" w:rsidRPr="007250A8">
        <w:rPr>
          <w:lang w:val="en-GB"/>
        </w:rPr>
        <w:t>. The company should manage their cash flow</w:t>
      </w:r>
      <w:r w:rsidRPr="007250A8">
        <w:rPr>
          <w:lang w:val="en-GB"/>
        </w:rPr>
        <w:t>s and</w:t>
      </w:r>
      <w:r w:rsidR="00B41AB5" w:rsidRPr="007250A8">
        <w:rPr>
          <w:lang w:val="en-GB"/>
        </w:rPr>
        <w:t xml:space="preserve"> working capital efficiently</w:t>
      </w:r>
      <w:r w:rsidRPr="007250A8">
        <w:rPr>
          <w:lang w:val="en-GB"/>
        </w:rPr>
        <w:t>,</w:t>
      </w:r>
      <w:r w:rsidR="00B41AB5" w:rsidRPr="007250A8">
        <w:rPr>
          <w:lang w:val="en-GB"/>
        </w:rPr>
        <w:t xml:space="preserve"> ensuring that debt levels </w:t>
      </w:r>
      <w:r w:rsidR="0022778C" w:rsidRPr="007250A8">
        <w:rPr>
          <w:lang w:val="en-GB"/>
        </w:rPr>
        <w:t>are</w:t>
      </w:r>
      <w:r w:rsidR="00B41AB5" w:rsidRPr="007250A8">
        <w:rPr>
          <w:lang w:val="en-GB"/>
        </w:rPr>
        <w:t xml:space="preserve"> relatively low</w:t>
      </w:r>
      <w:r w:rsidR="009227AD" w:rsidRPr="007250A8">
        <w:rPr>
          <w:lang w:val="en-GB"/>
        </w:rPr>
        <w:t xml:space="preserve"> (Reyad et al., 2022)</w:t>
      </w:r>
      <w:r w:rsidR="00B41AB5" w:rsidRPr="007250A8">
        <w:rPr>
          <w:lang w:val="en-GB"/>
        </w:rPr>
        <w:t xml:space="preserve">. </w:t>
      </w:r>
      <w:r w:rsidR="004304B6" w:rsidRPr="007250A8">
        <w:rPr>
          <w:lang w:val="en-GB"/>
        </w:rPr>
        <w:t xml:space="preserve">Strong </w:t>
      </w:r>
      <w:r w:rsidR="00B41AB5" w:rsidRPr="007250A8">
        <w:rPr>
          <w:lang w:val="en-GB"/>
        </w:rPr>
        <w:t xml:space="preserve">profitability, </w:t>
      </w:r>
      <w:r w:rsidRPr="007250A8">
        <w:rPr>
          <w:lang w:val="en-GB"/>
        </w:rPr>
        <w:t xml:space="preserve">improved </w:t>
      </w:r>
      <w:r w:rsidR="00B41AB5" w:rsidRPr="007250A8">
        <w:rPr>
          <w:lang w:val="en-GB"/>
        </w:rPr>
        <w:t xml:space="preserve">efficiency and </w:t>
      </w:r>
      <w:r w:rsidR="004304B6" w:rsidRPr="007250A8">
        <w:rPr>
          <w:lang w:val="en-GB"/>
        </w:rPr>
        <w:t xml:space="preserve">positive </w:t>
      </w:r>
      <w:r w:rsidR="00B41AB5" w:rsidRPr="007250A8">
        <w:rPr>
          <w:lang w:val="en-GB"/>
        </w:rPr>
        <w:t xml:space="preserve">cash flows </w:t>
      </w:r>
      <w:r w:rsidR="004304B6" w:rsidRPr="007250A8">
        <w:rPr>
          <w:lang w:val="en-GB"/>
        </w:rPr>
        <w:t xml:space="preserve">provide </w:t>
      </w:r>
      <w:r w:rsidR="00B41AB5" w:rsidRPr="007250A8">
        <w:rPr>
          <w:lang w:val="en-GB"/>
        </w:rPr>
        <w:t xml:space="preserve">financial strength to </w:t>
      </w:r>
      <w:proofErr w:type="gramStart"/>
      <w:r w:rsidR="00B41AB5" w:rsidRPr="007250A8">
        <w:rPr>
          <w:lang w:val="en-GB"/>
        </w:rPr>
        <w:t>Marriott</w:t>
      </w:r>
      <w:proofErr w:type="gramEnd"/>
      <w:r w:rsidR="00B41AB5" w:rsidRPr="007250A8">
        <w:rPr>
          <w:lang w:val="en-GB"/>
        </w:rPr>
        <w:t xml:space="preserve"> but levera</w:t>
      </w:r>
      <w:r w:rsidR="004304B6" w:rsidRPr="007250A8">
        <w:rPr>
          <w:lang w:val="en-GB"/>
        </w:rPr>
        <w:t>ge</w:t>
      </w:r>
      <w:r w:rsidR="00B41AB5" w:rsidRPr="007250A8">
        <w:rPr>
          <w:lang w:val="en-GB"/>
        </w:rPr>
        <w:t xml:space="preserve"> growth and poor liquidity levels </w:t>
      </w:r>
      <w:r w:rsidR="004304B6" w:rsidRPr="007250A8">
        <w:rPr>
          <w:lang w:val="en-GB"/>
        </w:rPr>
        <w:t>are the</w:t>
      </w:r>
      <w:r w:rsidR="00B41AB5" w:rsidRPr="007250A8">
        <w:rPr>
          <w:lang w:val="en-GB"/>
        </w:rPr>
        <w:t xml:space="preserve"> key risks.</w:t>
      </w:r>
    </w:p>
    <w:p w14:paraId="58FFA077" w14:textId="77777777" w:rsidR="00E27C07" w:rsidRPr="007250A8" w:rsidRDefault="00E27C07">
      <w:pPr>
        <w:spacing w:before="0" w:after="160" w:line="278" w:lineRule="auto"/>
        <w:jc w:val="left"/>
        <w:rPr>
          <w:rFonts w:eastAsiaTheme="majorEastAsia" w:cstheme="majorBidi"/>
          <w:b/>
          <w:color w:val="000000" w:themeColor="text1"/>
          <w:sz w:val="28"/>
          <w:szCs w:val="50"/>
          <w:lang w:val="en-GB"/>
        </w:rPr>
      </w:pPr>
      <w:bookmarkStart w:id="17" w:name="_Toc237459788"/>
      <w:r w:rsidRPr="007250A8">
        <w:rPr>
          <w:lang w:val="en-GB"/>
        </w:rPr>
        <w:br w:type="page"/>
      </w:r>
    </w:p>
    <w:p w14:paraId="0D0263F9" w14:textId="7DFFCA44" w:rsidR="008668C5" w:rsidRPr="007250A8" w:rsidRDefault="008668C5" w:rsidP="00870ECF">
      <w:pPr>
        <w:pStyle w:val="Heading1"/>
        <w:rPr>
          <w:lang w:val="en-GB"/>
        </w:rPr>
      </w:pPr>
      <w:r w:rsidRPr="007250A8">
        <w:rPr>
          <w:lang w:val="en-GB"/>
        </w:rPr>
        <w:lastRenderedPageBreak/>
        <w:t>3. Analysis for working capital Management.</w:t>
      </w:r>
      <w:bookmarkEnd w:id="17"/>
    </w:p>
    <w:p w14:paraId="2FC2111D" w14:textId="77777777" w:rsidR="008668C5" w:rsidRPr="007250A8" w:rsidRDefault="008668C5" w:rsidP="00870ECF">
      <w:pPr>
        <w:pStyle w:val="Heading2"/>
        <w:rPr>
          <w:lang w:val="en-GB"/>
        </w:rPr>
      </w:pPr>
      <w:bookmarkStart w:id="18" w:name="_Toc237459789"/>
      <w:r w:rsidRPr="007250A8">
        <w:rPr>
          <w:lang w:val="en-GB"/>
        </w:rPr>
        <w:t>3.1 Overview of Working Capital and Cash Operating Cycle.</w:t>
      </w:r>
      <w:bookmarkEnd w:id="18"/>
    </w:p>
    <w:p w14:paraId="64242B2E" w14:textId="55109AC1" w:rsidR="008668C5" w:rsidRPr="007250A8" w:rsidRDefault="008668C5" w:rsidP="008668C5">
      <w:pPr>
        <w:rPr>
          <w:b/>
          <w:bCs/>
          <w:i/>
          <w:iCs/>
          <w:lang w:val="en-GB"/>
        </w:rPr>
      </w:pPr>
      <w:r w:rsidRPr="007250A8">
        <w:rPr>
          <w:b/>
          <w:bCs/>
          <w:i/>
          <w:iCs/>
          <w:lang w:val="en-GB"/>
        </w:rPr>
        <w:t>Liquidity Maintenance</w:t>
      </w:r>
    </w:p>
    <w:p w14:paraId="5A996CD6" w14:textId="188D1953" w:rsidR="008668C5" w:rsidRPr="007250A8" w:rsidRDefault="00870ECF" w:rsidP="008668C5">
      <w:pPr>
        <w:rPr>
          <w:lang w:val="en-GB"/>
        </w:rPr>
      </w:pPr>
      <w:r w:rsidRPr="007250A8">
        <w:rPr>
          <w:lang w:val="en-GB"/>
        </w:rPr>
        <w:t>Through</w:t>
      </w:r>
      <w:r w:rsidR="008668C5" w:rsidRPr="007250A8">
        <w:rPr>
          <w:lang w:val="en-GB"/>
        </w:rPr>
        <w:t xml:space="preserve"> working capital</w:t>
      </w:r>
      <w:r w:rsidRPr="007250A8">
        <w:rPr>
          <w:lang w:val="en-GB"/>
        </w:rPr>
        <w:t>,</w:t>
      </w:r>
      <w:r w:rsidR="008668C5" w:rsidRPr="007250A8">
        <w:rPr>
          <w:lang w:val="en-GB"/>
        </w:rPr>
        <w:t xml:space="preserve"> Marriott settle short-term obligation</w:t>
      </w:r>
      <w:r w:rsidRPr="007250A8">
        <w:rPr>
          <w:lang w:val="en-GB"/>
        </w:rPr>
        <w:t xml:space="preserve">s </w:t>
      </w:r>
      <w:r w:rsidR="00A6553F" w:rsidRPr="007250A8">
        <w:rPr>
          <w:lang w:val="en-GB"/>
        </w:rPr>
        <w:t>to have</w:t>
      </w:r>
      <w:r w:rsidR="008668C5" w:rsidRPr="007250A8">
        <w:rPr>
          <w:lang w:val="en-GB"/>
        </w:rPr>
        <w:t xml:space="preserve"> enough funds </w:t>
      </w:r>
      <w:r w:rsidR="00A6553F" w:rsidRPr="007250A8">
        <w:rPr>
          <w:lang w:val="en-GB"/>
        </w:rPr>
        <w:t>for</w:t>
      </w:r>
      <w:r w:rsidR="008668C5" w:rsidRPr="007250A8">
        <w:rPr>
          <w:lang w:val="en-GB"/>
        </w:rPr>
        <w:t xml:space="preserve"> hotel operations. This is important as current ratio of Marriott consistently remained below 1.0 in last five years</w:t>
      </w:r>
      <w:r w:rsidRPr="007250A8">
        <w:rPr>
          <w:lang w:val="en-GB"/>
        </w:rPr>
        <w:t xml:space="preserve">, reaching </w:t>
      </w:r>
      <w:r w:rsidR="008668C5" w:rsidRPr="007250A8">
        <w:rPr>
          <w:lang w:val="en-GB"/>
        </w:rPr>
        <w:t>0.</w:t>
      </w:r>
      <w:r w:rsidRPr="007250A8">
        <w:rPr>
          <w:lang w:val="en-GB"/>
        </w:rPr>
        <w:t>43</w:t>
      </w:r>
      <w:r w:rsidR="008668C5" w:rsidRPr="007250A8">
        <w:rPr>
          <w:lang w:val="en-GB"/>
        </w:rPr>
        <w:t xml:space="preserve"> in 2025.</w:t>
      </w:r>
    </w:p>
    <w:p w14:paraId="4AF12183" w14:textId="0BAFB0F5" w:rsidR="008668C5" w:rsidRPr="007250A8" w:rsidRDefault="008668C5" w:rsidP="008668C5">
      <w:pPr>
        <w:rPr>
          <w:lang w:val="en-GB"/>
        </w:rPr>
      </w:pPr>
      <w:r w:rsidRPr="007250A8">
        <w:rPr>
          <w:b/>
          <w:bCs/>
          <w:i/>
          <w:iCs/>
          <w:lang w:val="en-GB"/>
        </w:rPr>
        <w:t>Operational Efficiency</w:t>
      </w:r>
    </w:p>
    <w:p w14:paraId="1F9F7B47" w14:textId="7418A2E1" w:rsidR="008668C5" w:rsidRPr="007250A8" w:rsidRDefault="008668C5" w:rsidP="008668C5">
      <w:pPr>
        <w:rPr>
          <w:lang w:val="en-GB"/>
        </w:rPr>
      </w:pPr>
      <w:r w:rsidRPr="007250A8">
        <w:rPr>
          <w:lang w:val="en-GB"/>
        </w:rPr>
        <w:t>Efficient management of inventory, accounts receiva</w:t>
      </w:r>
      <w:r w:rsidR="00870ECF" w:rsidRPr="007250A8">
        <w:rPr>
          <w:lang w:val="en-GB"/>
        </w:rPr>
        <w:t>ble</w:t>
      </w:r>
      <w:r w:rsidRPr="007250A8">
        <w:rPr>
          <w:lang w:val="en-GB"/>
        </w:rPr>
        <w:t xml:space="preserve"> and payable </w:t>
      </w:r>
      <w:r w:rsidR="00870ECF" w:rsidRPr="007250A8">
        <w:rPr>
          <w:lang w:val="en-GB"/>
        </w:rPr>
        <w:t>enables</w:t>
      </w:r>
      <w:r w:rsidRPr="007250A8">
        <w:rPr>
          <w:lang w:val="en-GB"/>
        </w:rPr>
        <w:t xml:space="preserve"> Marriott to operate efficiently and mainta</w:t>
      </w:r>
      <w:r w:rsidR="00870ECF" w:rsidRPr="007250A8">
        <w:rPr>
          <w:lang w:val="en-GB"/>
        </w:rPr>
        <w:t>in</w:t>
      </w:r>
      <w:r w:rsidRPr="007250A8">
        <w:rPr>
          <w:lang w:val="en-GB"/>
        </w:rPr>
        <w:t xml:space="preserve"> cash flows</w:t>
      </w:r>
      <w:r w:rsidR="00D15ABE" w:rsidRPr="007250A8">
        <w:rPr>
          <w:lang w:val="en-GB"/>
        </w:rPr>
        <w:t xml:space="preserve"> (KODURU, 2026)</w:t>
      </w:r>
      <w:r w:rsidRPr="007250A8">
        <w:rPr>
          <w:lang w:val="en-GB"/>
        </w:rPr>
        <w:t>. The increased receivable turno</w:t>
      </w:r>
      <w:r w:rsidR="00870ECF" w:rsidRPr="007250A8">
        <w:rPr>
          <w:lang w:val="en-GB"/>
        </w:rPr>
        <w:t>ver</w:t>
      </w:r>
      <w:r w:rsidRPr="007250A8">
        <w:rPr>
          <w:lang w:val="en-GB"/>
        </w:rPr>
        <w:t xml:space="preserve"> from 6.99 </w:t>
      </w:r>
      <w:r w:rsidR="00870ECF" w:rsidRPr="007250A8">
        <w:rPr>
          <w:lang w:val="en-GB"/>
        </w:rPr>
        <w:t xml:space="preserve">in </w:t>
      </w:r>
      <w:r w:rsidRPr="007250A8">
        <w:rPr>
          <w:lang w:val="en-GB"/>
        </w:rPr>
        <w:t>2021 to 9.00 in 2025</w:t>
      </w:r>
      <w:r w:rsidR="00870ECF" w:rsidRPr="007250A8">
        <w:rPr>
          <w:lang w:val="en-GB"/>
        </w:rPr>
        <w:t xml:space="preserve"> </w:t>
      </w:r>
      <w:r w:rsidRPr="007250A8">
        <w:rPr>
          <w:lang w:val="en-GB"/>
        </w:rPr>
        <w:t>indicat</w:t>
      </w:r>
      <w:r w:rsidR="00870ECF" w:rsidRPr="007250A8">
        <w:rPr>
          <w:lang w:val="en-GB"/>
        </w:rPr>
        <w:t xml:space="preserve">es proper </w:t>
      </w:r>
      <w:r w:rsidRPr="007250A8">
        <w:rPr>
          <w:lang w:val="en-GB"/>
        </w:rPr>
        <w:t>working capital</w:t>
      </w:r>
      <w:r w:rsidR="00870ECF" w:rsidRPr="007250A8">
        <w:rPr>
          <w:lang w:val="en-GB"/>
        </w:rPr>
        <w:t xml:space="preserve"> usage</w:t>
      </w:r>
      <w:r w:rsidRPr="007250A8">
        <w:rPr>
          <w:lang w:val="en-GB"/>
        </w:rPr>
        <w:t>.</w:t>
      </w:r>
    </w:p>
    <w:p w14:paraId="444920B8" w14:textId="0B6162B8" w:rsidR="008668C5" w:rsidRPr="007250A8" w:rsidRDefault="008668C5" w:rsidP="008668C5">
      <w:pPr>
        <w:rPr>
          <w:b/>
          <w:bCs/>
          <w:i/>
          <w:iCs/>
          <w:lang w:val="en-GB"/>
        </w:rPr>
      </w:pPr>
      <w:r w:rsidRPr="007250A8">
        <w:rPr>
          <w:b/>
          <w:bCs/>
          <w:i/>
          <w:iCs/>
          <w:lang w:val="en-GB"/>
        </w:rPr>
        <w:t>Marriott Cash Conversion Cycle (CCC)</w:t>
      </w:r>
    </w:p>
    <w:p w14:paraId="13CFE74F" w14:textId="294D61E8" w:rsidR="008668C5" w:rsidRPr="007250A8" w:rsidRDefault="008668C5" w:rsidP="008668C5">
      <w:pPr>
        <w:rPr>
          <w:lang w:val="en-GB"/>
        </w:rPr>
      </w:pPr>
      <w:r w:rsidRPr="007250A8">
        <w:rPr>
          <w:lang w:val="en-GB"/>
        </w:rPr>
        <w:t>The current situatio</w:t>
      </w:r>
      <w:r w:rsidR="00870ECF" w:rsidRPr="007250A8">
        <w:rPr>
          <w:lang w:val="en-GB"/>
        </w:rPr>
        <w:t>n of</w:t>
      </w:r>
      <w:r w:rsidRPr="007250A8">
        <w:rPr>
          <w:lang w:val="en-GB"/>
        </w:rPr>
        <w:t xml:space="preserve"> Marriott </w:t>
      </w:r>
      <w:r w:rsidR="00870ECF" w:rsidRPr="007250A8">
        <w:rPr>
          <w:lang w:val="en-GB"/>
        </w:rPr>
        <w:t>of</w:t>
      </w:r>
      <w:r w:rsidRPr="007250A8">
        <w:rPr>
          <w:lang w:val="en-GB"/>
        </w:rPr>
        <w:t xml:space="preserve"> working capable position </w:t>
      </w:r>
      <w:r w:rsidR="00A6553F" w:rsidRPr="007250A8">
        <w:rPr>
          <w:lang w:val="en-GB"/>
        </w:rPr>
        <w:t>highlights</w:t>
      </w:r>
      <w:r w:rsidRPr="007250A8">
        <w:rPr>
          <w:lang w:val="en-GB"/>
        </w:rPr>
        <w:t xml:space="preserve"> current liabilities are more tha</w:t>
      </w:r>
      <w:r w:rsidR="00870ECF" w:rsidRPr="007250A8">
        <w:rPr>
          <w:lang w:val="en-GB"/>
        </w:rPr>
        <w:t>n</w:t>
      </w:r>
      <w:r w:rsidRPr="007250A8">
        <w:rPr>
          <w:lang w:val="en-GB"/>
        </w:rPr>
        <w:t xml:space="preserve"> current assets. The current ratio decreas</w:t>
      </w:r>
      <w:r w:rsidR="00870ECF" w:rsidRPr="007250A8">
        <w:rPr>
          <w:lang w:val="en-GB"/>
        </w:rPr>
        <w:t xml:space="preserve">ed </w:t>
      </w:r>
      <w:r w:rsidRPr="007250A8">
        <w:rPr>
          <w:lang w:val="en-GB"/>
        </w:rPr>
        <w:t>from 0.57 in 2021</w:t>
      </w:r>
      <w:r w:rsidR="00870ECF" w:rsidRPr="007250A8">
        <w:rPr>
          <w:lang w:val="en-GB"/>
        </w:rPr>
        <w:t xml:space="preserve"> to</w:t>
      </w:r>
      <w:r w:rsidRPr="007250A8">
        <w:rPr>
          <w:lang w:val="en-GB"/>
        </w:rPr>
        <w:t xml:space="preserve"> 0.</w:t>
      </w:r>
      <w:r w:rsidR="00870ECF" w:rsidRPr="007250A8">
        <w:rPr>
          <w:lang w:val="en-GB"/>
        </w:rPr>
        <w:t>43</w:t>
      </w:r>
      <w:r w:rsidRPr="007250A8">
        <w:rPr>
          <w:lang w:val="en-GB"/>
        </w:rPr>
        <w:t xml:space="preserve"> in 2025</w:t>
      </w:r>
      <w:r w:rsidR="00870ECF" w:rsidRPr="007250A8">
        <w:rPr>
          <w:lang w:val="en-GB"/>
        </w:rPr>
        <w:t>. The</w:t>
      </w:r>
      <w:r w:rsidRPr="007250A8">
        <w:rPr>
          <w:lang w:val="en-GB"/>
        </w:rPr>
        <w:t xml:space="preserve"> acid-test ratio decreased from 0.53 to 0.39,</w:t>
      </w:r>
      <w:r w:rsidR="00870ECF" w:rsidRPr="007250A8">
        <w:rPr>
          <w:lang w:val="en-GB"/>
        </w:rPr>
        <w:t xml:space="preserve"> where</w:t>
      </w:r>
      <w:r w:rsidRPr="007250A8">
        <w:rPr>
          <w:lang w:val="en-GB"/>
        </w:rPr>
        <w:t xml:space="preserve"> operating cash flo</w:t>
      </w:r>
      <w:r w:rsidR="00870ECF" w:rsidRPr="007250A8">
        <w:rPr>
          <w:lang w:val="en-GB"/>
        </w:rPr>
        <w:t xml:space="preserve">w </w:t>
      </w:r>
      <w:r w:rsidRPr="007250A8">
        <w:rPr>
          <w:lang w:val="en-GB"/>
        </w:rPr>
        <w:t>increased from USD 1,177</w:t>
      </w:r>
      <w:r w:rsidR="00870ECF" w:rsidRPr="007250A8">
        <w:rPr>
          <w:lang w:val="en-GB"/>
        </w:rPr>
        <w:t xml:space="preserve"> million</w:t>
      </w:r>
      <w:r w:rsidRPr="007250A8">
        <w:rPr>
          <w:lang w:val="en-GB"/>
        </w:rPr>
        <w:t xml:space="preserve"> to USD 3,2</w:t>
      </w:r>
      <w:r w:rsidR="00870ECF" w:rsidRPr="007250A8">
        <w:rPr>
          <w:lang w:val="en-GB"/>
        </w:rPr>
        <w:t>12 million</w:t>
      </w:r>
      <w:r w:rsidRPr="007250A8">
        <w:rPr>
          <w:lang w:val="en-GB"/>
        </w:rPr>
        <w:t xml:space="preserve">. This helps to </w:t>
      </w:r>
      <w:r w:rsidR="00A6553F" w:rsidRPr="007250A8">
        <w:rPr>
          <w:lang w:val="en-GB"/>
        </w:rPr>
        <w:t>improve</w:t>
      </w:r>
      <w:r w:rsidRPr="007250A8">
        <w:rPr>
          <w:lang w:val="en-GB"/>
        </w:rPr>
        <w:t xml:space="preserve"> current ass</w:t>
      </w:r>
      <w:r w:rsidR="00870ECF" w:rsidRPr="007250A8">
        <w:rPr>
          <w:lang w:val="en-GB"/>
        </w:rPr>
        <w:t>et</w:t>
      </w:r>
      <w:r w:rsidRPr="007250A8">
        <w:rPr>
          <w:lang w:val="en-GB"/>
        </w:rPr>
        <w:t xml:space="preserve"> position for Marriott</w:t>
      </w:r>
      <w:r w:rsidR="00870ECF" w:rsidRPr="007250A8">
        <w:rPr>
          <w:lang w:val="en-GB"/>
        </w:rPr>
        <w:t xml:space="preserve">, </w:t>
      </w:r>
      <w:r w:rsidRPr="007250A8">
        <w:rPr>
          <w:lang w:val="en-GB"/>
        </w:rPr>
        <w:t>indicat</w:t>
      </w:r>
      <w:r w:rsidR="00870ECF" w:rsidRPr="007250A8">
        <w:rPr>
          <w:lang w:val="en-GB"/>
        </w:rPr>
        <w:t>ing</w:t>
      </w:r>
      <w:r w:rsidRPr="007250A8">
        <w:rPr>
          <w:lang w:val="en-GB"/>
        </w:rPr>
        <w:t xml:space="preserve"> improved receivabl</w:t>
      </w:r>
      <w:r w:rsidR="00870ECF" w:rsidRPr="007250A8">
        <w:rPr>
          <w:lang w:val="en-GB"/>
        </w:rPr>
        <w:t>e</w:t>
      </w:r>
      <w:r w:rsidRPr="007250A8">
        <w:rPr>
          <w:lang w:val="en-GB"/>
        </w:rPr>
        <w:t xml:space="preserve"> </w:t>
      </w:r>
      <w:r w:rsidR="00870ECF" w:rsidRPr="007250A8">
        <w:rPr>
          <w:lang w:val="en-GB"/>
        </w:rPr>
        <w:t xml:space="preserve">to </w:t>
      </w:r>
      <w:r w:rsidRPr="007250A8">
        <w:rPr>
          <w:lang w:val="en-GB"/>
        </w:rPr>
        <w:t>cash ratio. [Appendix 3]</w:t>
      </w:r>
    </w:p>
    <w:p w14:paraId="29E97554" w14:textId="7138E4EA" w:rsidR="008668C5" w:rsidRPr="007250A8" w:rsidRDefault="008668C5" w:rsidP="00EE1324">
      <w:pPr>
        <w:pStyle w:val="Heading2"/>
        <w:rPr>
          <w:lang w:val="en-GB"/>
        </w:rPr>
      </w:pPr>
      <w:bookmarkStart w:id="19" w:name="_Toc237459790"/>
      <w:r w:rsidRPr="007250A8">
        <w:rPr>
          <w:lang w:val="en-GB"/>
        </w:rPr>
        <w:t xml:space="preserve">3.3 </w:t>
      </w:r>
      <w:r w:rsidR="00EE1324" w:rsidRPr="007250A8">
        <w:rPr>
          <w:lang w:val="en-GB"/>
        </w:rPr>
        <w:t xml:space="preserve">Existing </w:t>
      </w:r>
      <w:r w:rsidRPr="007250A8">
        <w:rPr>
          <w:lang w:val="en-GB"/>
        </w:rPr>
        <w:t>Liquidity and Efficiency Issues</w:t>
      </w:r>
      <w:bookmarkEnd w:id="19"/>
    </w:p>
    <w:p w14:paraId="7C46D0C2" w14:textId="77777777" w:rsidR="008668C5" w:rsidRPr="007250A8" w:rsidRDefault="008668C5" w:rsidP="008668C5">
      <w:pPr>
        <w:rPr>
          <w:b/>
          <w:bCs/>
          <w:i/>
          <w:iCs/>
          <w:lang w:val="en-GB"/>
        </w:rPr>
      </w:pPr>
      <w:r w:rsidRPr="007250A8">
        <w:rPr>
          <w:b/>
          <w:bCs/>
          <w:i/>
          <w:iCs/>
          <w:lang w:val="en-GB"/>
        </w:rPr>
        <w:t>Overview</w:t>
      </w:r>
    </w:p>
    <w:p w14:paraId="60E3C844" w14:textId="22DAA2AC" w:rsidR="008668C5" w:rsidRPr="007250A8" w:rsidRDefault="008668C5" w:rsidP="008668C5">
      <w:pPr>
        <w:rPr>
          <w:lang w:val="en-GB"/>
        </w:rPr>
      </w:pPr>
      <w:r w:rsidRPr="007250A8">
        <w:rPr>
          <w:lang w:val="en-GB"/>
        </w:rPr>
        <w:t>The working capital o</w:t>
      </w:r>
      <w:r w:rsidR="00EE1324" w:rsidRPr="007250A8">
        <w:rPr>
          <w:lang w:val="en-GB"/>
        </w:rPr>
        <w:t>f</w:t>
      </w:r>
      <w:r w:rsidRPr="007250A8">
        <w:rPr>
          <w:lang w:val="en-GB"/>
        </w:rPr>
        <w:t xml:space="preserve"> Marriott is strong </w:t>
      </w:r>
      <w:r w:rsidR="00A6553F" w:rsidRPr="007250A8">
        <w:rPr>
          <w:lang w:val="en-GB"/>
        </w:rPr>
        <w:t>based on</w:t>
      </w:r>
      <w:r w:rsidRPr="007250A8">
        <w:rPr>
          <w:lang w:val="en-GB"/>
        </w:rPr>
        <w:t xml:space="preserve"> liquidity. At end of 2021, current assets </w:t>
      </w:r>
      <w:r w:rsidR="00EE1324" w:rsidRPr="007250A8">
        <w:rPr>
          <w:lang w:val="en-GB"/>
        </w:rPr>
        <w:t>were</w:t>
      </w:r>
      <w:r w:rsidRPr="007250A8">
        <w:rPr>
          <w:lang w:val="en-GB"/>
        </w:rPr>
        <w:t xml:space="preserve"> USD 3,626</w:t>
      </w:r>
      <w:r w:rsidR="00EE1324" w:rsidRPr="007250A8">
        <w:rPr>
          <w:lang w:val="en-GB"/>
        </w:rPr>
        <w:t xml:space="preserve"> million</w:t>
      </w:r>
      <w:r w:rsidRPr="007250A8">
        <w:rPr>
          <w:lang w:val="en-GB"/>
        </w:rPr>
        <w:t xml:space="preserve"> reducing to USD 3,58</w:t>
      </w:r>
      <w:r w:rsidR="00EE1324" w:rsidRPr="007250A8">
        <w:rPr>
          <w:lang w:val="en-GB"/>
        </w:rPr>
        <w:t>4 million</w:t>
      </w:r>
      <w:r w:rsidRPr="007250A8">
        <w:rPr>
          <w:lang w:val="en-GB"/>
        </w:rPr>
        <w:t xml:space="preserve"> in 2025</w:t>
      </w:r>
      <w:r w:rsidR="00EE1324" w:rsidRPr="007250A8">
        <w:rPr>
          <w:lang w:val="en-GB"/>
        </w:rPr>
        <w:t>. The</w:t>
      </w:r>
      <w:r w:rsidRPr="007250A8">
        <w:rPr>
          <w:lang w:val="en-GB"/>
        </w:rPr>
        <w:t xml:space="preserve"> current liabilities increased from USD 6,407</w:t>
      </w:r>
      <w:r w:rsidR="00EE1324" w:rsidRPr="007250A8">
        <w:rPr>
          <w:lang w:val="en-GB"/>
        </w:rPr>
        <w:t xml:space="preserve"> million</w:t>
      </w:r>
      <w:r w:rsidRPr="007250A8">
        <w:rPr>
          <w:lang w:val="en-GB"/>
        </w:rPr>
        <w:t xml:space="preserve"> to USD 8,398</w:t>
      </w:r>
      <w:r w:rsidR="00EE1324" w:rsidRPr="007250A8">
        <w:rPr>
          <w:lang w:val="en-GB"/>
        </w:rPr>
        <w:t xml:space="preserve"> million </w:t>
      </w:r>
      <w:r w:rsidRPr="007250A8">
        <w:rPr>
          <w:lang w:val="en-GB"/>
        </w:rPr>
        <w:t xml:space="preserve">in 2025. </w:t>
      </w:r>
      <w:r w:rsidR="00EE1324" w:rsidRPr="007250A8">
        <w:rPr>
          <w:lang w:val="en-GB"/>
        </w:rPr>
        <w:t>The</w:t>
      </w:r>
      <w:r w:rsidRPr="007250A8">
        <w:rPr>
          <w:lang w:val="en-GB"/>
        </w:rPr>
        <w:t xml:space="preserve"> growing gap </w:t>
      </w:r>
      <w:r w:rsidR="00EE1324" w:rsidRPr="007250A8">
        <w:rPr>
          <w:lang w:val="en-GB"/>
        </w:rPr>
        <w:t>was</w:t>
      </w:r>
      <w:r w:rsidRPr="007250A8">
        <w:rPr>
          <w:lang w:val="en-GB"/>
        </w:rPr>
        <w:t xml:space="preserve"> contributing factor to low current ratio. However, improving trends in cash flow from operation</w:t>
      </w:r>
      <w:r w:rsidR="00EE1324" w:rsidRPr="007250A8">
        <w:rPr>
          <w:lang w:val="en-GB"/>
        </w:rPr>
        <w:t>s and</w:t>
      </w:r>
      <w:r w:rsidRPr="007250A8">
        <w:rPr>
          <w:lang w:val="en-GB"/>
        </w:rPr>
        <w:t xml:space="preserve"> receivable turnover </w:t>
      </w:r>
      <w:r w:rsidR="00EE1324" w:rsidRPr="007250A8">
        <w:rPr>
          <w:lang w:val="en-GB"/>
        </w:rPr>
        <w:t>reveals that</w:t>
      </w:r>
      <w:r w:rsidRPr="007250A8">
        <w:rPr>
          <w:lang w:val="en-GB"/>
        </w:rPr>
        <w:t xml:space="preserve"> Marriott continues to</w:t>
      </w:r>
      <w:r w:rsidR="00EE1324" w:rsidRPr="007250A8">
        <w:rPr>
          <w:lang w:val="en-GB"/>
        </w:rPr>
        <w:t xml:space="preserve"> generate</w:t>
      </w:r>
      <w:r w:rsidRPr="007250A8">
        <w:rPr>
          <w:lang w:val="en-GB"/>
        </w:rPr>
        <w:t xml:space="preserve"> cash through operating activities</w:t>
      </w:r>
      <w:r w:rsidR="00B53750" w:rsidRPr="007250A8">
        <w:rPr>
          <w:lang w:val="en-GB"/>
        </w:rPr>
        <w:t xml:space="preserve"> (Toker, 2025)</w:t>
      </w:r>
      <w:r w:rsidRPr="007250A8">
        <w:rPr>
          <w:lang w:val="en-GB"/>
        </w:rPr>
        <w:t>.</w:t>
      </w:r>
    </w:p>
    <w:p w14:paraId="1D86B65E" w14:textId="77777777" w:rsidR="008668C5" w:rsidRPr="007250A8" w:rsidRDefault="008668C5" w:rsidP="008668C5">
      <w:pPr>
        <w:rPr>
          <w:b/>
          <w:bCs/>
          <w:i/>
          <w:iCs/>
          <w:lang w:val="en-GB"/>
        </w:rPr>
      </w:pPr>
      <w:r w:rsidRPr="007250A8">
        <w:rPr>
          <w:b/>
          <w:bCs/>
          <w:i/>
          <w:iCs/>
          <w:lang w:val="en-GB"/>
        </w:rPr>
        <w:t>Inventory Management</w:t>
      </w:r>
    </w:p>
    <w:p w14:paraId="4776A20B" w14:textId="5A86F947" w:rsidR="008668C5" w:rsidRPr="007250A8" w:rsidRDefault="008668C5" w:rsidP="008668C5">
      <w:pPr>
        <w:rPr>
          <w:lang w:val="en-GB"/>
        </w:rPr>
      </w:pPr>
      <w:r w:rsidRPr="007250A8">
        <w:rPr>
          <w:lang w:val="en-GB"/>
        </w:rPr>
        <w:lastRenderedPageBreak/>
        <w:t xml:space="preserve">Inventory Turnover Ratio </w:t>
      </w:r>
      <w:r w:rsidR="001321B6" w:rsidRPr="007250A8">
        <w:rPr>
          <w:lang w:val="en-GB"/>
        </w:rPr>
        <w:t>increased</w:t>
      </w:r>
      <w:r w:rsidRPr="007250A8">
        <w:rPr>
          <w:lang w:val="en-GB"/>
        </w:rPr>
        <w:t xml:space="preserve"> from 55.</w:t>
      </w:r>
      <w:r w:rsidR="001321B6" w:rsidRPr="007250A8">
        <w:rPr>
          <w:lang w:val="en-GB"/>
        </w:rPr>
        <w:t>21</w:t>
      </w:r>
      <w:r w:rsidRPr="007250A8">
        <w:rPr>
          <w:lang w:val="en-GB"/>
        </w:rPr>
        <w:t xml:space="preserve"> in 2021 to 82.61 </w:t>
      </w:r>
      <w:r w:rsidR="001321B6" w:rsidRPr="007250A8">
        <w:rPr>
          <w:lang w:val="en-GB"/>
        </w:rPr>
        <w:t>in</w:t>
      </w:r>
      <w:r w:rsidRPr="007250A8">
        <w:rPr>
          <w:lang w:val="en-GB"/>
        </w:rPr>
        <w:t xml:space="preserve"> 2025 and 101.77 in 2023. It shows</w:t>
      </w:r>
      <w:r w:rsidR="001321B6" w:rsidRPr="007250A8">
        <w:rPr>
          <w:lang w:val="en-GB"/>
        </w:rPr>
        <w:t xml:space="preserve"> </w:t>
      </w:r>
      <w:r w:rsidRPr="007250A8">
        <w:rPr>
          <w:lang w:val="en-GB"/>
        </w:rPr>
        <w:t xml:space="preserve">high rate of turnover and </w:t>
      </w:r>
      <w:r w:rsidR="001321B6" w:rsidRPr="007250A8">
        <w:rPr>
          <w:lang w:val="en-GB"/>
        </w:rPr>
        <w:t>e</w:t>
      </w:r>
      <w:r w:rsidRPr="007250A8">
        <w:rPr>
          <w:lang w:val="en-GB"/>
        </w:rPr>
        <w:t xml:space="preserve">stimated inventory managed efficiently. Marriott needs to monitor demand for products </w:t>
      </w:r>
      <w:r w:rsidR="001321B6" w:rsidRPr="007250A8">
        <w:rPr>
          <w:lang w:val="en-GB"/>
        </w:rPr>
        <w:t>for</w:t>
      </w:r>
      <w:r w:rsidRPr="007250A8">
        <w:rPr>
          <w:lang w:val="en-GB"/>
        </w:rPr>
        <w:t xml:space="preserve"> ensur</w:t>
      </w:r>
      <w:r w:rsidR="001321B6" w:rsidRPr="007250A8">
        <w:rPr>
          <w:lang w:val="en-GB"/>
        </w:rPr>
        <w:t>ing</w:t>
      </w:r>
      <w:r w:rsidRPr="007250A8">
        <w:rPr>
          <w:lang w:val="en-GB"/>
        </w:rPr>
        <w:t xml:space="preserve"> t</w:t>
      </w:r>
      <w:r w:rsidR="00254387" w:rsidRPr="007250A8">
        <w:rPr>
          <w:lang w:val="en-GB"/>
        </w:rPr>
        <w:t>o prevent</w:t>
      </w:r>
      <w:r w:rsidR="001321B6" w:rsidRPr="007250A8">
        <w:rPr>
          <w:lang w:val="en-GB"/>
        </w:rPr>
        <w:t xml:space="preserve"> excess </w:t>
      </w:r>
      <w:r w:rsidRPr="007250A8">
        <w:rPr>
          <w:lang w:val="en-GB"/>
        </w:rPr>
        <w:t>stock.</w:t>
      </w:r>
    </w:p>
    <w:p w14:paraId="2D336B5F" w14:textId="77777777" w:rsidR="008668C5" w:rsidRPr="007250A8" w:rsidRDefault="008668C5" w:rsidP="008668C5">
      <w:pPr>
        <w:rPr>
          <w:b/>
          <w:bCs/>
          <w:i/>
          <w:iCs/>
          <w:lang w:val="en-GB"/>
        </w:rPr>
      </w:pPr>
      <w:r w:rsidRPr="007250A8">
        <w:rPr>
          <w:b/>
          <w:bCs/>
          <w:i/>
          <w:iCs/>
          <w:lang w:val="en-GB"/>
        </w:rPr>
        <w:t>Receivable Management</w:t>
      </w:r>
    </w:p>
    <w:p w14:paraId="7374715D" w14:textId="3967A0A8" w:rsidR="00EB54FF" w:rsidRPr="007250A8" w:rsidRDefault="00EB54FF" w:rsidP="00EB54FF">
      <w:pPr>
        <w:rPr>
          <w:lang w:val="en-GB"/>
        </w:rPr>
      </w:pPr>
      <w:r w:rsidRPr="007250A8">
        <w:rPr>
          <w:lang w:val="en-GB"/>
        </w:rPr>
        <w:t xml:space="preserve">There </w:t>
      </w:r>
      <w:r w:rsidR="00E92508" w:rsidRPr="007250A8">
        <w:rPr>
          <w:lang w:val="en-GB"/>
        </w:rPr>
        <w:t xml:space="preserve">is </w:t>
      </w:r>
      <w:r w:rsidRPr="007250A8">
        <w:rPr>
          <w:lang w:val="en-GB"/>
        </w:rPr>
        <w:t xml:space="preserve">increase in </w:t>
      </w:r>
      <w:r w:rsidR="00E92508" w:rsidRPr="007250A8">
        <w:rPr>
          <w:lang w:val="en-GB"/>
        </w:rPr>
        <w:t>re</w:t>
      </w:r>
      <w:r w:rsidRPr="007250A8">
        <w:rPr>
          <w:lang w:val="en-GB"/>
        </w:rPr>
        <w:t xml:space="preserve">ceivable </w:t>
      </w:r>
      <w:r w:rsidR="00E92508" w:rsidRPr="007250A8">
        <w:rPr>
          <w:lang w:val="en-GB"/>
        </w:rPr>
        <w:t>t</w:t>
      </w:r>
      <w:r w:rsidRPr="007250A8">
        <w:rPr>
          <w:lang w:val="en-GB"/>
        </w:rPr>
        <w:t xml:space="preserve">urnover from 6.99 </w:t>
      </w:r>
      <w:r w:rsidR="00E92508" w:rsidRPr="007250A8">
        <w:rPr>
          <w:lang w:val="en-GB"/>
        </w:rPr>
        <w:t>in</w:t>
      </w:r>
      <w:r w:rsidRPr="007250A8">
        <w:rPr>
          <w:lang w:val="en-GB"/>
        </w:rPr>
        <w:t xml:space="preserve"> 2021 to 9.00 in 2025. Th</w:t>
      </w:r>
      <w:r w:rsidR="00E92508" w:rsidRPr="007250A8">
        <w:rPr>
          <w:lang w:val="en-GB"/>
        </w:rPr>
        <w:t>e</w:t>
      </w:r>
      <w:r w:rsidRPr="007250A8">
        <w:rPr>
          <w:lang w:val="en-GB"/>
        </w:rPr>
        <w:t xml:space="preserve"> indicator shows that Marriott generated </w:t>
      </w:r>
      <w:r w:rsidR="00E92508" w:rsidRPr="007250A8">
        <w:rPr>
          <w:lang w:val="en-GB"/>
        </w:rPr>
        <w:t>revenue relative to r</w:t>
      </w:r>
      <w:r w:rsidRPr="007250A8">
        <w:rPr>
          <w:lang w:val="en-GB"/>
        </w:rPr>
        <w:t>eceivable</w:t>
      </w:r>
      <w:r w:rsidR="00E92508" w:rsidRPr="007250A8">
        <w:rPr>
          <w:lang w:val="en-GB"/>
        </w:rPr>
        <w:t>s, with</w:t>
      </w:r>
      <w:r w:rsidRPr="007250A8">
        <w:rPr>
          <w:lang w:val="en-GB"/>
        </w:rPr>
        <w:t xml:space="preserve"> high collection efficiency. The improved receiv</w:t>
      </w:r>
      <w:r w:rsidR="00E92508" w:rsidRPr="007250A8">
        <w:rPr>
          <w:lang w:val="en-GB"/>
        </w:rPr>
        <w:t>able</w:t>
      </w:r>
      <w:r w:rsidRPr="007250A8">
        <w:rPr>
          <w:lang w:val="en-GB"/>
        </w:rPr>
        <w:t xml:space="preserve"> turnover help improve liquidity and minimi</w:t>
      </w:r>
      <w:r w:rsidR="00E92508" w:rsidRPr="007250A8">
        <w:rPr>
          <w:lang w:val="en-GB"/>
        </w:rPr>
        <w:t>se</w:t>
      </w:r>
      <w:r w:rsidRPr="007250A8">
        <w:rPr>
          <w:lang w:val="en-GB"/>
        </w:rPr>
        <w:t xml:space="preserve"> time taken to convert cas</w:t>
      </w:r>
      <w:r w:rsidR="00E92508" w:rsidRPr="007250A8">
        <w:rPr>
          <w:lang w:val="en-GB"/>
        </w:rPr>
        <w:t>h</w:t>
      </w:r>
      <w:r w:rsidRPr="007250A8">
        <w:rPr>
          <w:lang w:val="en-GB"/>
        </w:rPr>
        <w:t xml:space="preserve"> in balance and inventories</w:t>
      </w:r>
      <w:r w:rsidR="00543467" w:rsidRPr="007250A8">
        <w:rPr>
          <w:lang w:val="en-GB"/>
        </w:rPr>
        <w:t xml:space="preserve"> (Yusup and </w:t>
      </w:r>
      <w:proofErr w:type="spellStart"/>
      <w:r w:rsidR="00543467" w:rsidRPr="007250A8">
        <w:rPr>
          <w:lang w:val="en-GB"/>
        </w:rPr>
        <w:t>Hariani</w:t>
      </w:r>
      <w:proofErr w:type="spellEnd"/>
      <w:r w:rsidR="00543467" w:rsidRPr="007250A8">
        <w:rPr>
          <w:lang w:val="en-GB"/>
        </w:rPr>
        <w:t>, 2023)</w:t>
      </w:r>
      <w:r w:rsidRPr="007250A8">
        <w:rPr>
          <w:lang w:val="en-GB"/>
        </w:rPr>
        <w:t>.</w:t>
      </w:r>
    </w:p>
    <w:p w14:paraId="552DF2CC" w14:textId="77777777" w:rsidR="00EB54FF" w:rsidRPr="007250A8" w:rsidRDefault="00EB54FF" w:rsidP="00EB54FF">
      <w:pPr>
        <w:rPr>
          <w:b/>
          <w:bCs/>
          <w:i/>
          <w:iCs/>
          <w:lang w:val="en-GB"/>
        </w:rPr>
      </w:pPr>
      <w:r w:rsidRPr="007250A8">
        <w:rPr>
          <w:b/>
          <w:bCs/>
          <w:i/>
          <w:iCs/>
          <w:lang w:val="en-GB"/>
        </w:rPr>
        <w:t>Payables Management</w:t>
      </w:r>
    </w:p>
    <w:p w14:paraId="5EC8593E" w14:textId="435EB4BC" w:rsidR="00EB54FF" w:rsidRPr="007250A8" w:rsidRDefault="00EB54FF" w:rsidP="00EB54FF">
      <w:pPr>
        <w:rPr>
          <w:lang w:val="en-GB"/>
        </w:rPr>
      </w:pPr>
      <w:r w:rsidRPr="007250A8">
        <w:rPr>
          <w:lang w:val="en-GB"/>
        </w:rPr>
        <w:t xml:space="preserve">There </w:t>
      </w:r>
      <w:r w:rsidR="00E92508" w:rsidRPr="007250A8">
        <w:rPr>
          <w:lang w:val="en-GB"/>
        </w:rPr>
        <w:t>is</w:t>
      </w:r>
      <w:r w:rsidRPr="007250A8">
        <w:rPr>
          <w:lang w:val="en-GB"/>
        </w:rPr>
        <w:t xml:space="preserve"> usage of short-term liabilit</w:t>
      </w:r>
      <w:r w:rsidR="00E92508" w:rsidRPr="007250A8">
        <w:rPr>
          <w:lang w:val="en-GB"/>
        </w:rPr>
        <w:t>ies due to</w:t>
      </w:r>
      <w:r w:rsidRPr="007250A8">
        <w:rPr>
          <w:lang w:val="en-GB"/>
        </w:rPr>
        <w:t xml:space="preserve"> increase in current liabilities of Marriott from USD 6,407</w:t>
      </w:r>
      <w:r w:rsidR="00E92508" w:rsidRPr="007250A8">
        <w:rPr>
          <w:lang w:val="en-GB"/>
        </w:rPr>
        <w:t xml:space="preserve"> million</w:t>
      </w:r>
      <w:r w:rsidRPr="007250A8">
        <w:rPr>
          <w:lang w:val="en-GB"/>
        </w:rPr>
        <w:t xml:space="preserve"> in 2021 to USD 8,39</w:t>
      </w:r>
      <w:r w:rsidR="00E92508" w:rsidRPr="007250A8">
        <w:rPr>
          <w:lang w:val="en-GB"/>
        </w:rPr>
        <w:t>8 million</w:t>
      </w:r>
      <w:r w:rsidRPr="007250A8">
        <w:rPr>
          <w:lang w:val="en-GB"/>
        </w:rPr>
        <w:t xml:space="preserve"> in 2025. Short term financing such as payable financin</w:t>
      </w:r>
      <w:r w:rsidR="00E92508" w:rsidRPr="007250A8">
        <w:rPr>
          <w:lang w:val="en-GB"/>
        </w:rPr>
        <w:t>g and</w:t>
      </w:r>
      <w:r w:rsidRPr="007250A8">
        <w:rPr>
          <w:lang w:val="en-GB"/>
        </w:rPr>
        <w:t xml:space="preserve"> supplier financing will retain cash</w:t>
      </w:r>
      <w:r w:rsidR="00E92508" w:rsidRPr="007250A8">
        <w:rPr>
          <w:lang w:val="en-GB"/>
        </w:rPr>
        <w:t xml:space="preserve">, </w:t>
      </w:r>
      <w:r w:rsidRPr="007250A8">
        <w:rPr>
          <w:lang w:val="en-GB"/>
        </w:rPr>
        <w:t xml:space="preserve">but excessive usage of current liabilities </w:t>
      </w:r>
      <w:r w:rsidR="00E92508" w:rsidRPr="007250A8">
        <w:rPr>
          <w:lang w:val="en-GB"/>
        </w:rPr>
        <w:t>leads to</w:t>
      </w:r>
      <w:r w:rsidRPr="007250A8">
        <w:rPr>
          <w:lang w:val="en-GB"/>
        </w:rPr>
        <w:t xml:space="preserve"> pressure </w:t>
      </w:r>
      <w:r w:rsidR="00254387" w:rsidRPr="007250A8">
        <w:rPr>
          <w:lang w:val="en-GB"/>
        </w:rPr>
        <w:t>on</w:t>
      </w:r>
      <w:r w:rsidRPr="007250A8">
        <w:rPr>
          <w:lang w:val="en-GB"/>
        </w:rPr>
        <w:t xml:space="preserve"> </w:t>
      </w:r>
      <w:r w:rsidR="00E92508" w:rsidRPr="007250A8">
        <w:rPr>
          <w:lang w:val="en-GB"/>
        </w:rPr>
        <w:t>organisation’s</w:t>
      </w:r>
      <w:r w:rsidRPr="007250A8">
        <w:rPr>
          <w:lang w:val="en-GB"/>
        </w:rPr>
        <w:t xml:space="preserve"> liquidity</w:t>
      </w:r>
      <w:r w:rsidR="008678B3" w:rsidRPr="007250A8">
        <w:rPr>
          <w:lang w:val="en-GB"/>
        </w:rPr>
        <w:t xml:space="preserve"> (Barnabas and Oloyede, 2024)</w:t>
      </w:r>
      <w:r w:rsidRPr="007250A8">
        <w:rPr>
          <w:lang w:val="en-GB"/>
        </w:rPr>
        <w:t xml:space="preserve">. Marriott </w:t>
      </w:r>
      <w:r w:rsidR="00254387" w:rsidRPr="007250A8">
        <w:rPr>
          <w:lang w:val="en-GB"/>
        </w:rPr>
        <w:t xml:space="preserve">should </w:t>
      </w:r>
      <w:r w:rsidRPr="007250A8">
        <w:rPr>
          <w:lang w:val="en-GB"/>
        </w:rPr>
        <w:t>ensure that payable and supplier financin</w:t>
      </w:r>
      <w:r w:rsidR="00E92508" w:rsidRPr="007250A8">
        <w:rPr>
          <w:lang w:val="en-GB"/>
        </w:rPr>
        <w:t>g is</w:t>
      </w:r>
      <w:r w:rsidRPr="007250A8">
        <w:rPr>
          <w:lang w:val="en-GB"/>
        </w:rPr>
        <w:t xml:space="preserve"> </w:t>
      </w:r>
      <w:r w:rsidR="0004316F" w:rsidRPr="007250A8">
        <w:rPr>
          <w:lang w:val="en-GB"/>
        </w:rPr>
        <w:t>supported</w:t>
      </w:r>
      <w:r w:rsidRPr="007250A8">
        <w:rPr>
          <w:lang w:val="en-GB"/>
        </w:rPr>
        <w:t xml:space="preserve"> with ca</w:t>
      </w:r>
      <w:r w:rsidR="00E92508" w:rsidRPr="007250A8">
        <w:rPr>
          <w:lang w:val="en-GB"/>
        </w:rPr>
        <w:t xml:space="preserve">sh </w:t>
      </w:r>
      <w:r w:rsidRPr="007250A8">
        <w:rPr>
          <w:lang w:val="en-GB"/>
        </w:rPr>
        <w:t xml:space="preserve">reserves and </w:t>
      </w:r>
      <w:r w:rsidR="0004316F" w:rsidRPr="007250A8">
        <w:rPr>
          <w:lang w:val="en-GB"/>
        </w:rPr>
        <w:t xml:space="preserve">operating </w:t>
      </w:r>
      <w:r w:rsidRPr="007250A8">
        <w:rPr>
          <w:lang w:val="en-GB"/>
        </w:rPr>
        <w:t xml:space="preserve">cash </w:t>
      </w:r>
      <w:r w:rsidR="0004316F" w:rsidRPr="007250A8">
        <w:rPr>
          <w:lang w:val="en-GB"/>
        </w:rPr>
        <w:t>generation</w:t>
      </w:r>
      <w:r w:rsidRPr="007250A8">
        <w:rPr>
          <w:lang w:val="en-GB"/>
        </w:rPr>
        <w:t>.</w:t>
      </w:r>
    </w:p>
    <w:p w14:paraId="47149742" w14:textId="77777777" w:rsidR="00EB54FF" w:rsidRPr="007250A8" w:rsidRDefault="00EB54FF" w:rsidP="008C0FDF">
      <w:pPr>
        <w:pStyle w:val="Heading2"/>
        <w:rPr>
          <w:lang w:val="en-GB"/>
        </w:rPr>
      </w:pPr>
      <w:bookmarkStart w:id="20" w:name="_Toc237459791"/>
      <w:r w:rsidRPr="007250A8">
        <w:rPr>
          <w:lang w:val="en-GB"/>
        </w:rPr>
        <w:t>3.3 Strategies to Improve Liquidity</w:t>
      </w:r>
      <w:bookmarkEnd w:id="20"/>
    </w:p>
    <w:tbl>
      <w:tblPr>
        <w:tblStyle w:val="GridTable6Colorful-Accent5"/>
        <w:tblW w:w="0" w:type="auto"/>
        <w:tblLook w:val="04A0" w:firstRow="1" w:lastRow="0" w:firstColumn="1" w:lastColumn="0" w:noHBand="0" w:noVBand="1"/>
      </w:tblPr>
      <w:tblGrid>
        <w:gridCol w:w="3005"/>
        <w:gridCol w:w="3005"/>
        <w:gridCol w:w="3006"/>
      </w:tblGrid>
      <w:tr w:rsidR="008C0FDF" w:rsidRPr="007250A8" w14:paraId="72790263" w14:textId="77777777" w:rsidTr="003E15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5C909C" w14:textId="424E6C1F" w:rsidR="008C0FDF" w:rsidRPr="007250A8" w:rsidRDefault="008C0FDF" w:rsidP="008C0FDF">
            <w:pPr>
              <w:rPr>
                <w:color w:val="000000" w:themeColor="text1"/>
                <w:lang w:val="en-GB" w:eastAsia="en-IN" w:bidi="ar-SA"/>
              </w:rPr>
            </w:pPr>
            <w:r w:rsidRPr="007250A8">
              <w:rPr>
                <w:color w:val="000000" w:themeColor="text1"/>
                <w:lang w:val="en-GB"/>
              </w:rPr>
              <w:t>Problem Statement</w:t>
            </w:r>
          </w:p>
        </w:tc>
        <w:tc>
          <w:tcPr>
            <w:tcW w:w="3005" w:type="dxa"/>
          </w:tcPr>
          <w:p w14:paraId="0B248EDC" w14:textId="34786D1C"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Description of Issue</w:t>
            </w:r>
          </w:p>
        </w:tc>
        <w:tc>
          <w:tcPr>
            <w:tcW w:w="3006" w:type="dxa"/>
          </w:tcPr>
          <w:p w14:paraId="14894DC4" w14:textId="73F721E5"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Recommended Strategy</w:t>
            </w:r>
          </w:p>
        </w:tc>
      </w:tr>
      <w:tr w:rsidR="008C0FDF" w:rsidRPr="007250A8" w14:paraId="0C3E5BC8"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5D73EC" w14:textId="07770BC8" w:rsidR="008C0FDF" w:rsidRPr="007250A8" w:rsidRDefault="008C0FDF" w:rsidP="008C0FDF">
            <w:pPr>
              <w:rPr>
                <w:color w:val="000000" w:themeColor="text1"/>
                <w:lang w:val="en-GB" w:eastAsia="en-IN" w:bidi="ar-SA"/>
              </w:rPr>
            </w:pPr>
            <w:r w:rsidRPr="007250A8">
              <w:rPr>
                <w:color w:val="000000" w:themeColor="text1"/>
                <w:lang w:val="en-GB"/>
              </w:rPr>
              <w:t>Weak Current Liquidity</w:t>
            </w:r>
          </w:p>
        </w:tc>
        <w:tc>
          <w:tcPr>
            <w:tcW w:w="3005" w:type="dxa"/>
          </w:tcPr>
          <w:p w14:paraId="4734E433" w14:textId="22600463" w:rsidR="008C0FDF" w:rsidRPr="007250A8" w:rsidRDefault="008C0FDF"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Current ratio reduced from 0.57 in 2021 to 0.43 in 2025.</w:t>
            </w:r>
          </w:p>
        </w:tc>
        <w:tc>
          <w:tcPr>
            <w:tcW w:w="3006" w:type="dxa"/>
          </w:tcPr>
          <w:p w14:paraId="53234C99" w14:textId="465A6998" w:rsidR="008C0FDF" w:rsidRPr="007250A8" w:rsidRDefault="008C0FDF"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Enhance Cash and working capital Planning.</w:t>
            </w:r>
          </w:p>
        </w:tc>
      </w:tr>
      <w:tr w:rsidR="008C0FDF" w:rsidRPr="007250A8" w14:paraId="58AE1E3B" w14:textId="77777777" w:rsidTr="003E1519">
        <w:tc>
          <w:tcPr>
            <w:cnfStyle w:val="001000000000" w:firstRow="0" w:lastRow="0" w:firstColumn="1" w:lastColumn="0" w:oddVBand="0" w:evenVBand="0" w:oddHBand="0" w:evenHBand="0" w:firstRowFirstColumn="0" w:firstRowLastColumn="0" w:lastRowFirstColumn="0" w:lastRowLastColumn="0"/>
            <w:tcW w:w="3005" w:type="dxa"/>
          </w:tcPr>
          <w:p w14:paraId="4F53C519" w14:textId="4404A577" w:rsidR="008C0FDF" w:rsidRPr="007250A8" w:rsidRDefault="008C0FDF" w:rsidP="008C0FDF">
            <w:pPr>
              <w:rPr>
                <w:color w:val="000000" w:themeColor="text1"/>
                <w:lang w:val="en-GB" w:eastAsia="en-IN" w:bidi="ar-SA"/>
              </w:rPr>
            </w:pPr>
            <w:r w:rsidRPr="007250A8">
              <w:rPr>
                <w:color w:val="000000" w:themeColor="text1"/>
                <w:lang w:val="en-GB"/>
              </w:rPr>
              <w:t>Increase in Current Liabilities</w:t>
            </w:r>
          </w:p>
        </w:tc>
        <w:tc>
          <w:tcPr>
            <w:tcW w:w="3005" w:type="dxa"/>
          </w:tcPr>
          <w:p w14:paraId="5BBD27D2" w14:textId="6F024997" w:rsidR="008C0FDF" w:rsidRPr="007250A8" w:rsidRDefault="008C0FDF"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Increased from USD 6,407 million to USD 8,398 million</w:t>
            </w:r>
          </w:p>
        </w:tc>
        <w:tc>
          <w:tcPr>
            <w:tcW w:w="3006" w:type="dxa"/>
          </w:tcPr>
          <w:p w14:paraId="02AD9808" w14:textId="3599D5A1" w:rsidR="008C0FDF" w:rsidRPr="007250A8" w:rsidRDefault="008C0FDF"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Optimise supplier and payment terms</w:t>
            </w:r>
          </w:p>
        </w:tc>
      </w:tr>
      <w:tr w:rsidR="008C0FDF" w:rsidRPr="007250A8" w14:paraId="7323D866"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CAA789" w14:textId="20A8925D" w:rsidR="008C0FDF" w:rsidRPr="007250A8" w:rsidRDefault="008C0FDF" w:rsidP="008C0FDF">
            <w:pPr>
              <w:rPr>
                <w:color w:val="000000" w:themeColor="text1"/>
                <w:lang w:val="en-GB" w:eastAsia="en-IN" w:bidi="ar-SA"/>
              </w:rPr>
            </w:pPr>
            <w:r w:rsidRPr="007250A8">
              <w:rPr>
                <w:color w:val="000000" w:themeColor="text1"/>
                <w:lang w:val="en-GB"/>
              </w:rPr>
              <w:lastRenderedPageBreak/>
              <w:t>Debt Pressure</w:t>
            </w:r>
          </w:p>
        </w:tc>
        <w:tc>
          <w:tcPr>
            <w:tcW w:w="3005" w:type="dxa"/>
          </w:tcPr>
          <w:p w14:paraId="3B8A050B" w14:textId="70F86FD6" w:rsidR="008C0FDF" w:rsidRPr="007250A8" w:rsidRDefault="008C0FDF"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Total debt increased from USD 10,138 million in 2021 to USD 16,204 million in 2025.</w:t>
            </w:r>
          </w:p>
        </w:tc>
        <w:tc>
          <w:tcPr>
            <w:tcW w:w="3006" w:type="dxa"/>
          </w:tcPr>
          <w:p w14:paraId="38F03B68" w14:textId="248379EF" w:rsidR="008C0FDF" w:rsidRPr="007250A8" w:rsidRDefault="008C0FDF"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Debt Restructuring to reduce short term debt pressure</w:t>
            </w:r>
          </w:p>
        </w:tc>
      </w:tr>
      <w:tr w:rsidR="008C0FDF" w:rsidRPr="007250A8" w14:paraId="62AF9DC5" w14:textId="77777777" w:rsidTr="003E1519">
        <w:tc>
          <w:tcPr>
            <w:cnfStyle w:val="001000000000" w:firstRow="0" w:lastRow="0" w:firstColumn="1" w:lastColumn="0" w:oddVBand="0" w:evenVBand="0" w:oddHBand="0" w:evenHBand="0" w:firstRowFirstColumn="0" w:firstRowLastColumn="0" w:lastRowFirstColumn="0" w:lastRowLastColumn="0"/>
            <w:tcW w:w="3005" w:type="dxa"/>
          </w:tcPr>
          <w:p w14:paraId="4131B62B" w14:textId="44621EB1" w:rsidR="008C0FDF" w:rsidRPr="007250A8" w:rsidRDefault="008C0FDF" w:rsidP="008C0FDF">
            <w:pPr>
              <w:rPr>
                <w:color w:val="000000" w:themeColor="text1"/>
                <w:lang w:val="en-GB" w:eastAsia="en-IN" w:bidi="ar-SA"/>
              </w:rPr>
            </w:pPr>
            <w:r w:rsidRPr="007250A8">
              <w:rPr>
                <w:color w:val="000000" w:themeColor="text1"/>
                <w:lang w:val="en-GB"/>
              </w:rPr>
              <w:t>Lack of Quick Liquidity</w:t>
            </w:r>
          </w:p>
        </w:tc>
        <w:tc>
          <w:tcPr>
            <w:tcW w:w="3005" w:type="dxa"/>
          </w:tcPr>
          <w:p w14:paraId="2B2665DD" w14:textId="64D727CD" w:rsidR="008C0FDF" w:rsidRPr="007250A8" w:rsidRDefault="008C0FDF"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Acid-test ratio was less than 0.40</w:t>
            </w:r>
          </w:p>
        </w:tc>
        <w:tc>
          <w:tcPr>
            <w:tcW w:w="3006" w:type="dxa"/>
          </w:tcPr>
          <w:p w14:paraId="7B1EABBE" w14:textId="3AB2D66C" w:rsidR="008C0FDF" w:rsidRPr="007250A8" w:rsidRDefault="008C0FDF"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Dynamic Cash Forecasting</w:t>
            </w:r>
          </w:p>
        </w:tc>
      </w:tr>
    </w:tbl>
    <w:p w14:paraId="01522A7D" w14:textId="1DD01660" w:rsidR="00EB54FF" w:rsidRPr="007250A8" w:rsidRDefault="008C0FDF" w:rsidP="008C0FDF">
      <w:pPr>
        <w:pStyle w:val="Heading2"/>
        <w:rPr>
          <w:lang w:val="en-GB"/>
        </w:rPr>
      </w:pPr>
      <w:bookmarkStart w:id="21" w:name="_Toc237459792"/>
      <w:r w:rsidRPr="007250A8">
        <w:rPr>
          <w:lang w:val="en-GB"/>
        </w:rPr>
        <w:t>3.4 Short-Term vs Long-Term Financing Options</w:t>
      </w:r>
      <w:bookmarkEnd w:id="21"/>
    </w:p>
    <w:tbl>
      <w:tblPr>
        <w:tblStyle w:val="GridTable6Colorful-Accent6"/>
        <w:tblW w:w="0" w:type="auto"/>
        <w:tblLook w:val="04A0" w:firstRow="1" w:lastRow="0" w:firstColumn="1" w:lastColumn="0" w:noHBand="0" w:noVBand="1"/>
      </w:tblPr>
      <w:tblGrid>
        <w:gridCol w:w="935"/>
        <w:gridCol w:w="1958"/>
        <w:gridCol w:w="2106"/>
        <w:gridCol w:w="2304"/>
        <w:gridCol w:w="1713"/>
      </w:tblGrid>
      <w:tr w:rsidR="008C0FDF" w:rsidRPr="007250A8" w14:paraId="33A759E3" w14:textId="77777777" w:rsidTr="003E15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E24E0B" w14:textId="77777777" w:rsidR="008C0FDF" w:rsidRPr="007250A8" w:rsidRDefault="008C0FDF" w:rsidP="008C0FDF">
            <w:pPr>
              <w:rPr>
                <w:color w:val="000000" w:themeColor="text1"/>
                <w:lang w:val="en-GB" w:eastAsia="en-IN" w:bidi="ar-SA"/>
              </w:rPr>
            </w:pPr>
            <w:r w:rsidRPr="007250A8">
              <w:rPr>
                <w:color w:val="000000" w:themeColor="text1"/>
                <w:lang w:val="en-GB" w:eastAsia="en-IN" w:bidi="ar-SA"/>
              </w:rPr>
              <w:t>Type</w:t>
            </w:r>
          </w:p>
        </w:tc>
        <w:tc>
          <w:tcPr>
            <w:tcW w:w="0" w:type="auto"/>
            <w:hideMark/>
          </w:tcPr>
          <w:p w14:paraId="14D8D623" w14:textId="77777777"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Financing Tool</w:t>
            </w:r>
          </w:p>
        </w:tc>
        <w:tc>
          <w:tcPr>
            <w:tcW w:w="0" w:type="auto"/>
            <w:hideMark/>
          </w:tcPr>
          <w:p w14:paraId="5D9BC3E5" w14:textId="77777777"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Description</w:t>
            </w:r>
          </w:p>
        </w:tc>
        <w:tc>
          <w:tcPr>
            <w:tcW w:w="0" w:type="auto"/>
            <w:hideMark/>
          </w:tcPr>
          <w:p w14:paraId="3BB71776" w14:textId="77777777"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Advantages</w:t>
            </w:r>
          </w:p>
        </w:tc>
        <w:tc>
          <w:tcPr>
            <w:tcW w:w="0" w:type="auto"/>
            <w:hideMark/>
          </w:tcPr>
          <w:p w14:paraId="7A0BD996" w14:textId="77777777" w:rsidR="008C0FDF" w:rsidRPr="007250A8" w:rsidRDefault="008C0FDF" w:rsidP="008C0FDF">
            <w:pPr>
              <w:cnfStyle w:val="100000000000" w:firstRow="1"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eastAsia="en-IN" w:bidi="ar-SA"/>
              </w:rPr>
              <w:t>Suitability for Marriott</w:t>
            </w:r>
          </w:p>
        </w:tc>
      </w:tr>
      <w:tr w:rsidR="008C0FDF" w:rsidRPr="007250A8" w14:paraId="01173270"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6301FD3" w14:textId="7088100D" w:rsidR="008C0FDF" w:rsidRPr="007250A8" w:rsidRDefault="008C0FDF" w:rsidP="008C0FDF">
            <w:pPr>
              <w:rPr>
                <w:color w:val="000000" w:themeColor="text1"/>
                <w:lang w:val="en-GB" w:eastAsia="en-IN" w:bidi="ar-SA"/>
              </w:rPr>
            </w:pPr>
            <w:r w:rsidRPr="007250A8">
              <w:rPr>
                <w:color w:val="000000" w:themeColor="text1"/>
                <w:lang w:val="en-GB" w:eastAsia="en-IN" w:bidi="ar-SA"/>
              </w:rPr>
              <w:t>Short Term</w:t>
            </w:r>
          </w:p>
        </w:tc>
        <w:tc>
          <w:tcPr>
            <w:tcW w:w="0" w:type="auto"/>
          </w:tcPr>
          <w:p w14:paraId="6F41AAA1" w14:textId="578B4942" w:rsidR="008C0FDF" w:rsidRPr="007250A8" w:rsidRDefault="00456E9C"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Bank credit</w:t>
            </w:r>
          </w:p>
        </w:tc>
        <w:tc>
          <w:tcPr>
            <w:tcW w:w="0" w:type="auto"/>
          </w:tcPr>
          <w:p w14:paraId="453BDF8B" w14:textId="79DFBE11" w:rsidR="008C0FDF" w:rsidRPr="007250A8" w:rsidRDefault="00456E9C" w:rsidP="00456E9C">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Required for short term working capital</w:t>
            </w:r>
          </w:p>
        </w:tc>
        <w:tc>
          <w:tcPr>
            <w:tcW w:w="0" w:type="auto"/>
          </w:tcPr>
          <w:p w14:paraId="24FBB77B" w14:textId="44CC6C45" w:rsidR="008C0FDF" w:rsidRPr="007250A8" w:rsidRDefault="00456E9C" w:rsidP="00456E9C">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Flexible to manage daily activities.</w:t>
            </w:r>
            <w:r w:rsidRPr="007250A8">
              <w:rPr>
                <w:color w:val="000000" w:themeColor="text1"/>
                <w:lang w:val="en-GB"/>
              </w:rPr>
              <w:tab/>
            </w:r>
          </w:p>
        </w:tc>
        <w:tc>
          <w:tcPr>
            <w:tcW w:w="0" w:type="auto"/>
          </w:tcPr>
          <w:p w14:paraId="67BAB74F" w14:textId="76481906" w:rsidR="008C0FDF" w:rsidRPr="007250A8" w:rsidRDefault="00456E9C" w:rsidP="00456E9C">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For temporary liquidity shortfall</w:t>
            </w:r>
          </w:p>
        </w:tc>
      </w:tr>
      <w:tr w:rsidR="008C0FDF" w:rsidRPr="007250A8" w14:paraId="6BD7C61A"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71F692E7" w14:textId="273C0A2B" w:rsidR="008C0FDF" w:rsidRPr="007250A8" w:rsidRDefault="008C0FDF" w:rsidP="008C0FDF">
            <w:pPr>
              <w:rPr>
                <w:color w:val="000000" w:themeColor="text1"/>
                <w:lang w:val="en-GB" w:eastAsia="en-IN" w:bidi="ar-SA"/>
              </w:rPr>
            </w:pPr>
            <w:r w:rsidRPr="007250A8">
              <w:rPr>
                <w:color w:val="000000" w:themeColor="text1"/>
                <w:lang w:val="en-GB" w:eastAsia="en-IN" w:bidi="ar-SA"/>
              </w:rPr>
              <w:t>Short Term</w:t>
            </w:r>
          </w:p>
        </w:tc>
        <w:tc>
          <w:tcPr>
            <w:tcW w:w="0" w:type="auto"/>
          </w:tcPr>
          <w:p w14:paraId="1B6EAC2C" w14:textId="4479AEA1" w:rsidR="008C0FDF" w:rsidRPr="007250A8" w:rsidRDefault="00456E9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Receivables Financing</w:t>
            </w:r>
          </w:p>
        </w:tc>
        <w:tc>
          <w:tcPr>
            <w:tcW w:w="0" w:type="auto"/>
          </w:tcPr>
          <w:p w14:paraId="0070373E" w14:textId="51F80023" w:rsidR="00456E9C" w:rsidRPr="007250A8" w:rsidRDefault="00456E9C" w:rsidP="00456E9C">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Provides financing for receivables for cash flow</w:t>
            </w:r>
          </w:p>
          <w:p w14:paraId="7FCFC38F" w14:textId="177843D6" w:rsidR="008C0FDF" w:rsidRPr="007250A8" w:rsidRDefault="008C0FDF"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p>
        </w:tc>
        <w:tc>
          <w:tcPr>
            <w:tcW w:w="0" w:type="auto"/>
          </w:tcPr>
          <w:p w14:paraId="608E5243" w14:textId="68D6DE4B" w:rsidR="008C0FDF" w:rsidRPr="007250A8" w:rsidRDefault="00456E9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Increases cash and reduces collection issues</w:t>
            </w:r>
          </w:p>
        </w:tc>
        <w:tc>
          <w:tcPr>
            <w:tcW w:w="0" w:type="auto"/>
          </w:tcPr>
          <w:p w14:paraId="4EF6C45B" w14:textId="3D22140D" w:rsidR="008C0FDF" w:rsidRPr="007250A8" w:rsidRDefault="00456E9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Relevant for increased liquidity</w:t>
            </w:r>
          </w:p>
        </w:tc>
      </w:tr>
      <w:tr w:rsidR="008C0FDF" w:rsidRPr="007250A8" w14:paraId="39AD71CA"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FD7B4A0" w14:textId="06B6A88D" w:rsidR="008C0FDF" w:rsidRPr="007250A8" w:rsidRDefault="008C0FDF" w:rsidP="008C0FDF">
            <w:pPr>
              <w:rPr>
                <w:color w:val="000000" w:themeColor="text1"/>
                <w:lang w:val="en-GB" w:eastAsia="en-IN" w:bidi="ar-SA"/>
              </w:rPr>
            </w:pPr>
            <w:r w:rsidRPr="007250A8">
              <w:rPr>
                <w:color w:val="000000" w:themeColor="text1"/>
                <w:lang w:val="en-GB" w:eastAsia="en-IN" w:bidi="ar-SA"/>
              </w:rPr>
              <w:t>Long Term</w:t>
            </w:r>
          </w:p>
        </w:tc>
        <w:tc>
          <w:tcPr>
            <w:tcW w:w="0" w:type="auto"/>
          </w:tcPr>
          <w:p w14:paraId="21394E98" w14:textId="0D6E24B1" w:rsidR="008C0FDF" w:rsidRPr="007250A8" w:rsidRDefault="00456E9C"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Long Term Debt</w:t>
            </w:r>
          </w:p>
        </w:tc>
        <w:tc>
          <w:tcPr>
            <w:tcW w:w="0" w:type="auto"/>
          </w:tcPr>
          <w:p w14:paraId="2E88E959" w14:textId="4D8EC04A" w:rsidR="008C0FDF" w:rsidRPr="007250A8" w:rsidRDefault="00456E9C"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 xml:space="preserve">Debt </w:t>
            </w:r>
            <w:r w:rsidR="000A145C" w:rsidRPr="007250A8">
              <w:rPr>
                <w:color w:val="000000" w:themeColor="text1"/>
                <w:lang w:val="en-GB"/>
              </w:rPr>
              <w:t>repayable</w:t>
            </w:r>
            <w:r w:rsidRPr="007250A8">
              <w:rPr>
                <w:color w:val="000000" w:themeColor="text1"/>
                <w:lang w:val="en-GB"/>
              </w:rPr>
              <w:t xml:space="preserve"> over long duration</w:t>
            </w:r>
          </w:p>
        </w:tc>
        <w:tc>
          <w:tcPr>
            <w:tcW w:w="0" w:type="auto"/>
          </w:tcPr>
          <w:p w14:paraId="556CC3C9" w14:textId="2FA5D7C9" w:rsidR="008C0FDF" w:rsidRPr="007250A8" w:rsidRDefault="00456E9C"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Lowers short-term deb</w:t>
            </w:r>
            <w:r w:rsidR="000A145C" w:rsidRPr="007250A8">
              <w:rPr>
                <w:color w:val="000000" w:themeColor="text1"/>
                <w:lang w:val="en-GB"/>
              </w:rPr>
              <w:t>t and promotes</w:t>
            </w:r>
            <w:r w:rsidRPr="007250A8">
              <w:rPr>
                <w:color w:val="000000" w:themeColor="text1"/>
                <w:lang w:val="en-GB"/>
              </w:rPr>
              <w:t xml:space="preserve"> investments</w:t>
            </w:r>
          </w:p>
        </w:tc>
        <w:tc>
          <w:tcPr>
            <w:tcW w:w="0" w:type="auto"/>
          </w:tcPr>
          <w:p w14:paraId="36D1FD55" w14:textId="4494CDF0" w:rsidR="00456E9C" w:rsidRPr="007250A8" w:rsidRDefault="000A145C" w:rsidP="00456E9C">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7250A8">
              <w:rPr>
                <w:color w:val="000000" w:themeColor="text1"/>
                <w:lang w:val="en-GB"/>
              </w:rPr>
              <w:t>Need to meet existing obligations</w:t>
            </w:r>
          </w:p>
          <w:p w14:paraId="489FE8A9" w14:textId="5BAB28E0" w:rsidR="008C0FDF" w:rsidRPr="007250A8" w:rsidRDefault="008C0FDF" w:rsidP="008C0FDF">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p>
        </w:tc>
      </w:tr>
      <w:tr w:rsidR="008C0FDF" w:rsidRPr="007250A8" w14:paraId="5AE82C4C"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4DF3166B" w14:textId="6B16CA41" w:rsidR="008C0FDF" w:rsidRPr="007250A8" w:rsidRDefault="008C0FDF" w:rsidP="008C0FDF">
            <w:pPr>
              <w:rPr>
                <w:color w:val="000000" w:themeColor="text1"/>
                <w:lang w:val="en-GB" w:eastAsia="en-IN" w:bidi="ar-SA"/>
              </w:rPr>
            </w:pPr>
            <w:r w:rsidRPr="007250A8">
              <w:rPr>
                <w:color w:val="000000" w:themeColor="text1"/>
                <w:lang w:val="en-GB" w:eastAsia="en-IN" w:bidi="ar-SA"/>
              </w:rPr>
              <w:lastRenderedPageBreak/>
              <w:t>Long Term</w:t>
            </w:r>
          </w:p>
        </w:tc>
        <w:tc>
          <w:tcPr>
            <w:tcW w:w="0" w:type="auto"/>
          </w:tcPr>
          <w:p w14:paraId="01AFDE04" w14:textId="1E66724A" w:rsidR="008C0FDF" w:rsidRPr="007250A8" w:rsidRDefault="00456E9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Equity Financing and Retained Earnings</w:t>
            </w:r>
          </w:p>
        </w:tc>
        <w:tc>
          <w:tcPr>
            <w:tcW w:w="0" w:type="auto"/>
          </w:tcPr>
          <w:p w14:paraId="52E4FC72" w14:textId="474686DB" w:rsidR="008C0FDF" w:rsidRPr="007250A8" w:rsidRDefault="00456E9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 xml:space="preserve">Long term capital with no repayment </w:t>
            </w:r>
            <w:r w:rsidR="000A145C" w:rsidRPr="007250A8">
              <w:rPr>
                <w:color w:val="000000" w:themeColor="text1"/>
                <w:lang w:val="en-GB"/>
              </w:rPr>
              <w:t>immediately</w:t>
            </w:r>
          </w:p>
        </w:tc>
        <w:tc>
          <w:tcPr>
            <w:tcW w:w="0" w:type="auto"/>
          </w:tcPr>
          <w:p w14:paraId="35B575B6" w14:textId="3931D5B5" w:rsidR="008C0FDF" w:rsidRPr="007250A8" w:rsidRDefault="000A145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Support in</w:t>
            </w:r>
            <w:r w:rsidR="00456E9C" w:rsidRPr="007250A8">
              <w:rPr>
                <w:color w:val="000000" w:themeColor="text1"/>
                <w:lang w:val="en-GB"/>
              </w:rPr>
              <w:t xml:space="preserve"> capital structuring and reduces de</w:t>
            </w:r>
            <w:r w:rsidRPr="007250A8">
              <w:rPr>
                <w:color w:val="000000" w:themeColor="text1"/>
                <w:lang w:val="en-GB"/>
              </w:rPr>
              <w:t>bt dependency</w:t>
            </w:r>
          </w:p>
        </w:tc>
        <w:tc>
          <w:tcPr>
            <w:tcW w:w="0" w:type="auto"/>
          </w:tcPr>
          <w:p w14:paraId="0D719EDD" w14:textId="1C0A340C" w:rsidR="008C0FDF" w:rsidRPr="007250A8" w:rsidRDefault="000A145C" w:rsidP="008C0FDF">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Reducing</w:t>
            </w:r>
            <w:r w:rsidR="00456E9C" w:rsidRPr="007250A8">
              <w:rPr>
                <w:color w:val="000000" w:themeColor="text1"/>
                <w:lang w:val="en-GB"/>
              </w:rPr>
              <w:t xml:space="preserve"> financial leverage</w:t>
            </w:r>
          </w:p>
        </w:tc>
      </w:tr>
    </w:tbl>
    <w:p w14:paraId="0447A921" w14:textId="3A3FC4C1" w:rsidR="00D94F3B" w:rsidRPr="007250A8" w:rsidRDefault="008668C5" w:rsidP="003479C6">
      <w:pPr>
        <w:rPr>
          <w:lang w:val="en-GB"/>
        </w:rPr>
      </w:pPr>
      <w:r w:rsidRPr="007250A8">
        <w:rPr>
          <w:b/>
          <w:bCs/>
          <w:i/>
          <w:iCs/>
          <w:lang w:val="en-GB"/>
        </w:rPr>
        <w:t>Evaluation:</w:t>
      </w:r>
      <w:r w:rsidR="002E4781" w:rsidRPr="007250A8">
        <w:rPr>
          <w:lang w:val="en-GB"/>
        </w:rPr>
        <w:t xml:space="preserve"> </w:t>
      </w:r>
      <w:r w:rsidR="00EB54FF" w:rsidRPr="007250A8">
        <w:rPr>
          <w:lang w:val="en-GB"/>
        </w:rPr>
        <w:t>Marriott</w:t>
      </w:r>
      <w:r w:rsidR="002E4781" w:rsidRPr="007250A8">
        <w:rPr>
          <w:lang w:val="en-GB"/>
        </w:rPr>
        <w:t>’s</w:t>
      </w:r>
      <w:r w:rsidR="00EB54FF" w:rsidRPr="007250A8">
        <w:rPr>
          <w:lang w:val="en-GB"/>
        </w:rPr>
        <w:t xml:space="preserve"> liquidity problem, </w:t>
      </w:r>
      <w:r w:rsidR="002E4781" w:rsidRPr="007250A8">
        <w:rPr>
          <w:lang w:val="en-GB"/>
        </w:rPr>
        <w:t>highlighting</w:t>
      </w:r>
      <w:r w:rsidR="00EB54FF" w:rsidRPr="007250A8">
        <w:rPr>
          <w:lang w:val="en-GB"/>
        </w:rPr>
        <w:t xml:space="preserve"> building up current liabilities</w:t>
      </w:r>
      <w:r w:rsidR="002E4781" w:rsidRPr="007250A8">
        <w:rPr>
          <w:lang w:val="en-GB"/>
        </w:rPr>
        <w:t xml:space="preserve"> with si</w:t>
      </w:r>
      <w:r w:rsidR="00EB54FF" w:rsidRPr="007250A8">
        <w:rPr>
          <w:lang w:val="en-GB"/>
        </w:rPr>
        <w:t xml:space="preserve">gnificant amount of </w:t>
      </w:r>
      <w:r w:rsidR="002E4781" w:rsidRPr="007250A8">
        <w:rPr>
          <w:lang w:val="en-GB"/>
        </w:rPr>
        <w:t>debt requires</w:t>
      </w:r>
      <w:r w:rsidR="00EB54FF" w:rsidRPr="007250A8">
        <w:rPr>
          <w:lang w:val="en-GB"/>
        </w:rPr>
        <w:t xml:space="preserve"> balanced financ</w:t>
      </w:r>
      <w:r w:rsidR="002E4781" w:rsidRPr="007250A8">
        <w:rPr>
          <w:lang w:val="en-GB"/>
        </w:rPr>
        <w:t>e</w:t>
      </w:r>
      <w:r w:rsidR="00EB54FF" w:rsidRPr="007250A8">
        <w:rPr>
          <w:lang w:val="en-GB"/>
        </w:rPr>
        <w:t>. The short-term credit can be use</w:t>
      </w:r>
      <w:r w:rsidR="002E4781" w:rsidRPr="007250A8">
        <w:rPr>
          <w:lang w:val="en-GB"/>
        </w:rPr>
        <w:t>d for</w:t>
      </w:r>
      <w:r w:rsidR="00EB54FF" w:rsidRPr="007250A8">
        <w:rPr>
          <w:lang w:val="en-GB"/>
        </w:rPr>
        <w:t xml:space="preserve"> short-term working capital requirement</w:t>
      </w:r>
      <w:r w:rsidR="002E4781" w:rsidRPr="007250A8">
        <w:rPr>
          <w:lang w:val="en-GB"/>
        </w:rPr>
        <w:t>s, where</w:t>
      </w:r>
      <w:r w:rsidR="00EB54FF" w:rsidRPr="007250A8">
        <w:rPr>
          <w:lang w:val="en-GB"/>
        </w:rPr>
        <w:t xml:space="preserve"> refinancing shoul</w:t>
      </w:r>
      <w:r w:rsidR="002E4781" w:rsidRPr="007250A8">
        <w:rPr>
          <w:lang w:val="en-GB"/>
        </w:rPr>
        <w:t>d not be considered</w:t>
      </w:r>
      <w:r w:rsidR="00EB54FF" w:rsidRPr="007250A8">
        <w:rPr>
          <w:lang w:val="en-GB"/>
        </w:rPr>
        <w:t>.</w:t>
      </w:r>
      <w:r w:rsidR="00D94F3B" w:rsidRPr="007250A8">
        <w:rPr>
          <w:lang w:val="en-GB"/>
        </w:rPr>
        <w:t xml:space="preserve"> Marriott needs to consider diversified funding sources for reducing the overall risk and cater to long term business development while keeping the debt levels on the lower side</w:t>
      </w:r>
      <w:r w:rsidR="003162BF" w:rsidRPr="007250A8">
        <w:rPr>
          <w:lang w:val="en-GB"/>
        </w:rPr>
        <w:t xml:space="preserve"> (Chen, 2025)</w:t>
      </w:r>
      <w:r w:rsidR="00D94F3B" w:rsidRPr="007250A8">
        <w:rPr>
          <w:lang w:val="en-GB"/>
        </w:rPr>
        <w:t xml:space="preserve">. </w:t>
      </w:r>
    </w:p>
    <w:p w14:paraId="7A7A4EDE" w14:textId="77777777" w:rsidR="00D94F3B" w:rsidRPr="007250A8" w:rsidRDefault="00D94F3B" w:rsidP="00063C83">
      <w:pPr>
        <w:pStyle w:val="Heading1"/>
        <w:rPr>
          <w:lang w:val="en-GB"/>
        </w:rPr>
      </w:pPr>
      <w:bookmarkStart w:id="22" w:name="_Toc237459793"/>
      <w:r w:rsidRPr="007250A8">
        <w:rPr>
          <w:lang w:val="en-GB"/>
        </w:rPr>
        <w:t>4. Strategic Financial Restructuring Plan</w:t>
      </w:r>
      <w:bookmarkEnd w:id="22"/>
    </w:p>
    <w:p w14:paraId="4130A305" w14:textId="77777777" w:rsidR="00D94F3B" w:rsidRPr="007250A8" w:rsidRDefault="00D94F3B" w:rsidP="00063C83">
      <w:pPr>
        <w:pStyle w:val="Heading2"/>
        <w:rPr>
          <w:lang w:val="en-GB"/>
        </w:rPr>
      </w:pPr>
      <w:bookmarkStart w:id="23" w:name="_Toc237459794"/>
      <w:r w:rsidRPr="007250A8">
        <w:rPr>
          <w:lang w:val="en-GB"/>
        </w:rPr>
        <w:t>4.1 Overview of the Financial Crisis</w:t>
      </w:r>
      <w:bookmarkEnd w:id="23"/>
    </w:p>
    <w:p w14:paraId="6518CBD2" w14:textId="1902CC04" w:rsidR="00D94F3B" w:rsidRPr="007250A8" w:rsidRDefault="00D94F3B" w:rsidP="00D94F3B">
      <w:pPr>
        <w:rPr>
          <w:lang w:val="en-GB"/>
        </w:rPr>
      </w:pPr>
      <w:r w:rsidRPr="007250A8">
        <w:rPr>
          <w:lang w:val="en-GB"/>
        </w:rPr>
        <w:t>Despit</w:t>
      </w:r>
      <w:r w:rsidR="00063C83" w:rsidRPr="007250A8">
        <w:rPr>
          <w:lang w:val="en-GB"/>
        </w:rPr>
        <w:t>e</w:t>
      </w:r>
      <w:r w:rsidRPr="007250A8">
        <w:rPr>
          <w:lang w:val="en-GB"/>
        </w:rPr>
        <w:t xml:space="preserve"> improved revenu</w:t>
      </w:r>
      <w:r w:rsidR="00063C83" w:rsidRPr="007250A8">
        <w:rPr>
          <w:lang w:val="en-GB"/>
        </w:rPr>
        <w:t>e and</w:t>
      </w:r>
      <w:r w:rsidRPr="007250A8">
        <w:rPr>
          <w:lang w:val="en-GB"/>
        </w:rPr>
        <w:t xml:space="preserve"> profitability</w:t>
      </w:r>
      <w:r w:rsidR="00063C83" w:rsidRPr="007250A8">
        <w:rPr>
          <w:lang w:val="en-GB"/>
        </w:rPr>
        <w:t>,</w:t>
      </w:r>
      <w:r w:rsidRPr="007250A8">
        <w:rPr>
          <w:lang w:val="en-GB"/>
        </w:rPr>
        <w:t xml:space="preserve"> financial </w:t>
      </w:r>
      <w:r w:rsidR="00063C83" w:rsidRPr="007250A8">
        <w:rPr>
          <w:lang w:val="en-GB"/>
        </w:rPr>
        <w:t>position</w:t>
      </w:r>
      <w:r w:rsidRPr="007250A8">
        <w:rPr>
          <w:lang w:val="en-GB"/>
        </w:rPr>
        <w:t xml:space="preserve"> of Marriott indicates</w:t>
      </w:r>
      <w:r w:rsidR="00063C83" w:rsidRPr="007250A8">
        <w:rPr>
          <w:lang w:val="en-GB"/>
        </w:rPr>
        <w:t xml:space="preserve"> increasing </w:t>
      </w:r>
      <w:r w:rsidRPr="007250A8">
        <w:rPr>
          <w:lang w:val="en-GB"/>
        </w:rPr>
        <w:t>financial leverage and poor liquidity. Revenue increased from USD 13,85</w:t>
      </w:r>
      <w:r w:rsidR="00063C83" w:rsidRPr="007250A8">
        <w:rPr>
          <w:lang w:val="en-GB"/>
        </w:rPr>
        <w:t xml:space="preserve">7 million </w:t>
      </w:r>
      <w:r w:rsidRPr="007250A8">
        <w:rPr>
          <w:lang w:val="en-GB"/>
        </w:rPr>
        <w:t>in 2021 to USD 26,186</w:t>
      </w:r>
      <w:r w:rsidR="00063C83" w:rsidRPr="007250A8">
        <w:rPr>
          <w:lang w:val="en-GB"/>
        </w:rPr>
        <w:t xml:space="preserve"> million </w:t>
      </w:r>
      <w:r w:rsidRPr="007250A8">
        <w:rPr>
          <w:lang w:val="en-GB"/>
        </w:rPr>
        <w:t>in 2025 with net inco</w:t>
      </w:r>
      <w:r w:rsidR="00063C83" w:rsidRPr="007250A8">
        <w:rPr>
          <w:lang w:val="en-GB"/>
        </w:rPr>
        <w:t>me of</w:t>
      </w:r>
      <w:r w:rsidRPr="007250A8">
        <w:rPr>
          <w:lang w:val="en-GB"/>
        </w:rPr>
        <w:t xml:space="preserve"> USD 2,601</w:t>
      </w:r>
      <w:r w:rsidR="00063C83" w:rsidRPr="007250A8">
        <w:rPr>
          <w:lang w:val="en-GB"/>
        </w:rPr>
        <w:t xml:space="preserve"> million</w:t>
      </w:r>
      <w:r w:rsidRPr="007250A8">
        <w:rPr>
          <w:lang w:val="en-GB"/>
        </w:rPr>
        <w:t xml:space="preserve">. Current ratio reduced from 0.57 to </w:t>
      </w:r>
      <w:proofErr w:type="gramStart"/>
      <w:r w:rsidRPr="007250A8">
        <w:rPr>
          <w:lang w:val="en-GB"/>
        </w:rPr>
        <w:t>0.4</w:t>
      </w:r>
      <w:r w:rsidR="00063C83" w:rsidRPr="007250A8">
        <w:rPr>
          <w:lang w:val="en-GB"/>
        </w:rPr>
        <w:t>3</w:t>
      </w:r>
      <w:proofErr w:type="gramEnd"/>
      <w:r w:rsidR="00063C83" w:rsidRPr="007250A8">
        <w:rPr>
          <w:lang w:val="en-GB"/>
        </w:rPr>
        <w:t xml:space="preserve"> and</w:t>
      </w:r>
      <w:r w:rsidRPr="007250A8">
        <w:rPr>
          <w:lang w:val="en-GB"/>
        </w:rPr>
        <w:t xml:space="preserve"> acid test ratio </w:t>
      </w:r>
      <w:r w:rsidR="00063C83" w:rsidRPr="007250A8">
        <w:rPr>
          <w:lang w:val="en-GB"/>
        </w:rPr>
        <w:t>reduced</w:t>
      </w:r>
      <w:r w:rsidRPr="007250A8">
        <w:rPr>
          <w:lang w:val="en-GB"/>
        </w:rPr>
        <w:t xml:space="preserve"> from 0.53 to 0.39. </w:t>
      </w:r>
      <w:r w:rsidR="00063C83" w:rsidRPr="007250A8">
        <w:rPr>
          <w:lang w:val="en-GB"/>
        </w:rPr>
        <w:t>Total</w:t>
      </w:r>
      <w:r w:rsidRPr="007250A8">
        <w:rPr>
          <w:lang w:val="en-GB"/>
        </w:rPr>
        <w:t xml:space="preserve"> debt increased by USD 16,204</w:t>
      </w:r>
      <w:r w:rsidR="00063C83" w:rsidRPr="007250A8">
        <w:rPr>
          <w:lang w:val="en-GB"/>
        </w:rPr>
        <w:t xml:space="preserve"> million</w:t>
      </w:r>
      <w:r w:rsidRPr="007250A8">
        <w:rPr>
          <w:lang w:val="en-GB"/>
        </w:rPr>
        <w:t xml:space="preserve"> from USD 10,138</w:t>
      </w:r>
      <w:r w:rsidR="00063C83" w:rsidRPr="007250A8">
        <w:rPr>
          <w:lang w:val="en-GB"/>
        </w:rPr>
        <w:t xml:space="preserve"> million</w:t>
      </w:r>
      <w:r w:rsidRPr="007250A8">
        <w:rPr>
          <w:lang w:val="en-GB"/>
        </w:rPr>
        <w:t xml:space="preserve">. Marriott needs restructuring </w:t>
      </w:r>
      <w:r w:rsidR="00063C83" w:rsidRPr="007250A8">
        <w:rPr>
          <w:lang w:val="en-GB"/>
        </w:rPr>
        <w:t>for</w:t>
      </w:r>
      <w:r w:rsidRPr="007250A8">
        <w:rPr>
          <w:lang w:val="en-GB"/>
        </w:rPr>
        <w:t xml:space="preserve"> ensur</w:t>
      </w:r>
      <w:r w:rsidR="00063C83" w:rsidRPr="007250A8">
        <w:rPr>
          <w:lang w:val="en-GB"/>
        </w:rPr>
        <w:t xml:space="preserve">ing </w:t>
      </w:r>
      <w:r w:rsidRPr="007250A8">
        <w:rPr>
          <w:lang w:val="en-GB"/>
        </w:rPr>
        <w:t>business liquidity.</w:t>
      </w:r>
    </w:p>
    <w:p w14:paraId="0350371F" w14:textId="77777777" w:rsidR="00D94F3B" w:rsidRPr="007250A8" w:rsidRDefault="00D94F3B" w:rsidP="00063C83">
      <w:pPr>
        <w:pStyle w:val="Heading2"/>
        <w:rPr>
          <w:lang w:val="en-GB"/>
        </w:rPr>
      </w:pPr>
      <w:bookmarkStart w:id="24" w:name="_Toc237459795"/>
      <w:r w:rsidRPr="007250A8">
        <w:rPr>
          <w:lang w:val="en-GB"/>
        </w:rPr>
        <w:t>4.2 Financial Restructuring Alternatives</w:t>
      </w:r>
      <w:bookmarkEnd w:id="24"/>
    </w:p>
    <w:p w14:paraId="375F4F18" w14:textId="12513EC8" w:rsidR="00D94F3B" w:rsidRPr="007250A8" w:rsidRDefault="00D94F3B" w:rsidP="00D94F3B">
      <w:pPr>
        <w:rPr>
          <w:b/>
          <w:bCs/>
          <w:i/>
          <w:iCs/>
          <w:lang w:val="en-GB"/>
        </w:rPr>
      </w:pPr>
      <w:r w:rsidRPr="007250A8">
        <w:rPr>
          <w:b/>
          <w:bCs/>
          <w:i/>
          <w:iCs/>
          <w:lang w:val="en-GB"/>
        </w:rPr>
        <w:t>Divestitur</w:t>
      </w:r>
      <w:r w:rsidR="00F213E8" w:rsidRPr="007250A8">
        <w:rPr>
          <w:b/>
          <w:bCs/>
          <w:i/>
          <w:iCs/>
          <w:lang w:val="en-GB"/>
        </w:rPr>
        <w:t>e</w:t>
      </w:r>
    </w:p>
    <w:p w14:paraId="246906B4" w14:textId="3159AECF" w:rsidR="00D94F3B" w:rsidRPr="007250A8" w:rsidRDefault="00D94F3B" w:rsidP="00D94F3B">
      <w:pPr>
        <w:rPr>
          <w:lang w:val="en-GB"/>
        </w:rPr>
      </w:pPr>
      <w:r w:rsidRPr="007250A8">
        <w:rPr>
          <w:lang w:val="en-GB"/>
        </w:rPr>
        <w:t xml:space="preserve">Marriott </w:t>
      </w:r>
      <w:r w:rsidR="00063C83" w:rsidRPr="007250A8">
        <w:rPr>
          <w:lang w:val="en-GB"/>
        </w:rPr>
        <w:t>could</w:t>
      </w:r>
      <w:r w:rsidRPr="007250A8">
        <w:rPr>
          <w:lang w:val="en-GB"/>
        </w:rPr>
        <w:t xml:space="preserve"> decide to sell off n</w:t>
      </w:r>
      <w:r w:rsidR="00063C83" w:rsidRPr="007250A8">
        <w:rPr>
          <w:lang w:val="en-GB"/>
        </w:rPr>
        <w:t>on</w:t>
      </w:r>
      <w:r w:rsidRPr="007250A8">
        <w:rPr>
          <w:lang w:val="en-GB"/>
        </w:rPr>
        <w:t>-core assets and bad investments and invest cash generated into liquidity</w:t>
      </w:r>
      <w:r w:rsidR="00063C83" w:rsidRPr="007250A8">
        <w:rPr>
          <w:lang w:val="en-GB"/>
        </w:rPr>
        <w:t xml:space="preserve"> and reduced</w:t>
      </w:r>
      <w:r w:rsidRPr="007250A8">
        <w:rPr>
          <w:lang w:val="en-GB"/>
        </w:rPr>
        <w:t xml:space="preserve"> debt levels. This</w:t>
      </w:r>
      <w:r w:rsidR="00063C83" w:rsidRPr="007250A8">
        <w:rPr>
          <w:lang w:val="en-GB"/>
        </w:rPr>
        <w:t xml:space="preserve"> </w:t>
      </w:r>
      <w:r w:rsidR="004F51EF" w:rsidRPr="007250A8">
        <w:rPr>
          <w:lang w:val="en-GB"/>
        </w:rPr>
        <w:t>allows</w:t>
      </w:r>
      <w:r w:rsidRPr="007250A8">
        <w:rPr>
          <w:lang w:val="en-GB"/>
        </w:rPr>
        <w:t xml:space="preserve"> management to focus on hotel business and strategic markets with capital</w:t>
      </w:r>
      <w:r w:rsidR="004F51EF" w:rsidRPr="007250A8">
        <w:rPr>
          <w:lang w:val="en-GB"/>
        </w:rPr>
        <w:t xml:space="preserve"> (Ding, 2024)</w:t>
      </w:r>
      <w:r w:rsidRPr="007250A8">
        <w:rPr>
          <w:lang w:val="en-GB"/>
        </w:rPr>
        <w:t xml:space="preserve">. </w:t>
      </w:r>
      <w:r w:rsidR="00063C83" w:rsidRPr="007250A8">
        <w:rPr>
          <w:lang w:val="en-GB"/>
        </w:rPr>
        <w:t>Too much</w:t>
      </w:r>
      <w:r w:rsidRPr="007250A8">
        <w:rPr>
          <w:lang w:val="en-GB"/>
        </w:rPr>
        <w:t xml:space="preserve"> divestiture will make it difficult for company to earn revenues in future</w:t>
      </w:r>
      <w:r w:rsidR="00063C83" w:rsidRPr="007250A8">
        <w:rPr>
          <w:lang w:val="en-GB"/>
        </w:rPr>
        <w:t>. The</w:t>
      </w:r>
      <w:r w:rsidRPr="007250A8">
        <w:rPr>
          <w:lang w:val="en-GB"/>
        </w:rPr>
        <w:t xml:space="preserve"> strategy should be focused on those assets which do</w:t>
      </w:r>
      <w:r w:rsidR="00063C83" w:rsidRPr="007250A8">
        <w:rPr>
          <w:lang w:val="en-GB"/>
        </w:rPr>
        <w:t xml:space="preserve"> not</w:t>
      </w:r>
      <w:r w:rsidRPr="007250A8">
        <w:rPr>
          <w:lang w:val="en-GB"/>
        </w:rPr>
        <w:t xml:space="preserve"> earn </w:t>
      </w:r>
      <w:r w:rsidR="00063C83" w:rsidRPr="007250A8">
        <w:rPr>
          <w:lang w:val="en-GB"/>
        </w:rPr>
        <w:t xml:space="preserve">required </w:t>
      </w:r>
      <w:r w:rsidRPr="007250A8">
        <w:rPr>
          <w:lang w:val="en-GB"/>
        </w:rPr>
        <w:t>strategic revenues.</w:t>
      </w:r>
    </w:p>
    <w:p w14:paraId="1ABEF48F" w14:textId="77777777" w:rsidR="006007EA" w:rsidRPr="007250A8" w:rsidRDefault="006007EA">
      <w:pPr>
        <w:spacing w:before="0" w:after="160" w:line="278" w:lineRule="auto"/>
        <w:jc w:val="left"/>
        <w:rPr>
          <w:b/>
          <w:bCs/>
          <w:i/>
          <w:iCs/>
          <w:lang w:val="en-GB"/>
        </w:rPr>
      </w:pPr>
      <w:r w:rsidRPr="007250A8">
        <w:rPr>
          <w:b/>
          <w:bCs/>
          <w:i/>
          <w:iCs/>
          <w:lang w:val="en-GB"/>
        </w:rPr>
        <w:br w:type="page"/>
      </w:r>
    </w:p>
    <w:p w14:paraId="6C32FE9B" w14:textId="5C67F215" w:rsidR="00D94F3B" w:rsidRPr="007250A8" w:rsidRDefault="00F213E8" w:rsidP="00D94F3B">
      <w:pPr>
        <w:rPr>
          <w:b/>
          <w:bCs/>
          <w:i/>
          <w:iCs/>
          <w:lang w:val="en-GB"/>
        </w:rPr>
      </w:pPr>
      <w:r w:rsidRPr="007250A8">
        <w:rPr>
          <w:b/>
          <w:bCs/>
          <w:i/>
          <w:iCs/>
          <w:lang w:val="en-GB"/>
        </w:rPr>
        <w:lastRenderedPageBreak/>
        <w:t>Merger or Strategic Alliance</w:t>
      </w:r>
    </w:p>
    <w:p w14:paraId="04A3D072" w14:textId="56CE035B" w:rsidR="00D94F3B" w:rsidRPr="007250A8" w:rsidRDefault="00D94F3B" w:rsidP="00D94F3B">
      <w:pPr>
        <w:rPr>
          <w:lang w:val="en-GB"/>
        </w:rPr>
      </w:pPr>
      <w:r w:rsidRPr="007250A8">
        <w:rPr>
          <w:lang w:val="en-GB"/>
        </w:rPr>
        <w:t>Collaboration wit</w:t>
      </w:r>
      <w:r w:rsidR="00F213E8" w:rsidRPr="007250A8">
        <w:rPr>
          <w:lang w:val="en-GB"/>
        </w:rPr>
        <w:t>h</w:t>
      </w:r>
      <w:r w:rsidRPr="007250A8">
        <w:rPr>
          <w:lang w:val="en-GB"/>
        </w:rPr>
        <w:t xml:space="preserve"> foreign hospital</w:t>
      </w:r>
      <w:r w:rsidR="00F213E8" w:rsidRPr="007250A8">
        <w:rPr>
          <w:lang w:val="en-GB"/>
        </w:rPr>
        <w:t>ity</w:t>
      </w:r>
      <w:r w:rsidRPr="007250A8">
        <w:rPr>
          <w:lang w:val="en-GB"/>
        </w:rPr>
        <w:t>, technology</w:t>
      </w:r>
      <w:r w:rsidR="00F213E8" w:rsidRPr="007250A8">
        <w:rPr>
          <w:lang w:val="en-GB"/>
        </w:rPr>
        <w:t xml:space="preserve"> or t</w:t>
      </w:r>
      <w:r w:rsidRPr="007250A8">
        <w:rPr>
          <w:lang w:val="en-GB"/>
        </w:rPr>
        <w:t xml:space="preserve">ravel businesses </w:t>
      </w:r>
      <w:r w:rsidR="00F213E8" w:rsidRPr="007250A8">
        <w:rPr>
          <w:lang w:val="en-GB"/>
        </w:rPr>
        <w:t xml:space="preserve">will </w:t>
      </w:r>
      <w:r w:rsidRPr="007250A8">
        <w:rPr>
          <w:lang w:val="en-GB"/>
        </w:rPr>
        <w:t xml:space="preserve">assist Marriott </w:t>
      </w:r>
      <w:r w:rsidR="00F213E8" w:rsidRPr="007250A8">
        <w:rPr>
          <w:lang w:val="en-GB"/>
        </w:rPr>
        <w:t>to gain access in</w:t>
      </w:r>
      <w:r w:rsidRPr="007250A8">
        <w:rPr>
          <w:lang w:val="en-GB"/>
        </w:rPr>
        <w:t xml:space="preserve"> new markets</w:t>
      </w:r>
      <w:r w:rsidR="00F213E8" w:rsidRPr="007250A8">
        <w:rPr>
          <w:lang w:val="en-GB"/>
        </w:rPr>
        <w:t xml:space="preserve">, </w:t>
      </w:r>
      <w:r w:rsidRPr="007250A8">
        <w:rPr>
          <w:lang w:val="en-GB"/>
        </w:rPr>
        <w:t>technologies and resources</w:t>
      </w:r>
      <w:r w:rsidR="00133E67" w:rsidRPr="007250A8">
        <w:rPr>
          <w:lang w:val="en-GB"/>
        </w:rPr>
        <w:t xml:space="preserve"> (Morrison, 2022)</w:t>
      </w:r>
      <w:r w:rsidRPr="007250A8">
        <w:rPr>
          <w:lang w:val="en-GB"/>
        </w:rPr>
        <w:t>.</w:t>
      </w:r>
      <w:r w:rsidR="00F213E8" w:rsidRPr="007250A8">
        <w:rPr>
          <w:lang w:val="en-GB"/>
        </w:rPr>
        <w:t xml:space="preserve"> Collaboration</w:t>
      </w:r>
      <w:r w:rsidRPr="007250A8">
        <w:rPr>
          <w:lang w:val="en-GB"/>
        </w:rPr>
        <w:t xml:space="preserve"> and lower investments </w:t>
      </w:r>
      <w:r w:rsidR="000C5AB2" w:rsidRPr="007250A8">
        <w:rPr>
          <w:lang w:val="en-GB"/>
        </w:rPr>
        <w:t>are</w:t>
      </w:r>
      <w:r w:rsidR="00F213E8" w:rsidRPr="007250A8">
        <w:rPr>
          <w:lang w:val="en-GB"/>
        </w:rPr>
        <w:t xml:space="preserve"> highly relevant for development</w:t>
      </w:r>
      <w:r w:rsidR="00133E67" w:rsidRPr="007250A8">
        <w:rPr>
          <w:lang w:val="en-GB"/>
        </w:rPr>
        <w:t xml:space="preserve"> (</w:t>
      </w:r>
      <w:proofErr w:type="spellStart"/>
      <w:r w:rsidR="00133E67" w:rsidRPr="007250A8">
        <w:rPr>
          <w:lang w:val="en-GB"/>
        </w:rPr>
        <w:t>Giotis</w:t>
      </w:r>
      <w:proofErr w:type="spellEnd"/>
      <w:r w:rsidR="00133E67" w:rsidRPr="007250A8">
        <w:rPr>
          <w:lang w:val="en-GB"/>
        </w:rPr>
        <w:t xml:space="preserve"> and Papadionysiou, 2022)</w:t>
      </w:r>
      <w:r w:rsidRPr="007250A8">
        <w:rPr>
          <w:lang w:val="en-GB"/>
        </w:rPr>
        <w:t xml:space="preserve">. However, there </w:t>
      </w:r>
      <w:r w:rsidR="00F213E8" w:rsidRPr="007250A8">
        <w:rPr>
          <w:lang w:val="en-GB"/>
        </w:rPr>
        <w:t>might</w:t>
      </w:r>
      <w:r w:rsidRPr="007250A8">
        <w:rPr>
          <w:lang w:val="en-GB"/>
        </w:rPr>
        <w:t xml:space="preserve"> </w:t>
      </w:r>
      <w:r w:rsidR="00F213E8" w:rsidRPr="007250A8">
        <w:rPr>
          <w:lang w:val="en-GB"/>
        </w:rPr>
        <w:t xml:space="preserve">be </w:t>
      </w:r>
      <w:r w:rsidRPr="007250A8">
        <w:rPr>
          <w:lang w:val="en-GB"/>
        </w:rPr>
        <w:t xml:space="preserve">problems with integration </w:t>
      </w:r>
      <w:r w:rsidR="00F213E8" w:rsidRPr="007250A8">
        <w:rPr>
          <w:lang w:val="en-GB"/>
        </w:rPr>
        <w:t xml:space="preserve">due to </w:t>
      </w:r>
      <w:r w:rsidRPr="007250A8">
        <w:rPr>
          <w:lang w:val="en-GB"/>
        </w:rPr>
        <w:t xml:space="preserve">cultural differences. </w:t>
      </w:r>
      <w:r w:rsidR="00F213E8" w:rsidRPr="007250A8">
        <w:rPr>
          <w:lang w:val="en-GB"/>
        </w:rPr>
        <w:t>Al</w:t>
      </w:r>
      <w:r w:rsidRPr="007250A8">
        <w:rPr>
          <w:lang w:val="en-GB"/>
        </w:rPr>
        <w:t>liances are considered favo</w:t>
      </w:r>
      <w:r w:rsidR="00F213E8" w:rsidRPr="007250A8">
        <w:rPr>
          <w:lang w:val="en-GB"/>
        </w:rPr>
        <w:t>u</w:t>
      </w:r>
      <w:r w:rsidRPr="007250A8">
        <w:rPr>
          <w:lang w:val="en-GB"/>
        </w:rPr>
        <w:t>rable as compared t</w:t>
      </w:r>
      <w:r w:rsidR="00F213E8" w:rsidRPr="007250A8">
        <w:rPr>
          <w:lang w:val="en-GB"/>
        </w:rPr>
        <w:t>o mergers</w:t>
      </w:r>
      <w:r w:rsidRPr="007250A8">
        <w:rPr>
          <w:lang w:val="en-GB"/>
        </w:rPr>
        <w:t>.</w:t>
      </w:r>
    </w:p>
    <w:p w14:paraId="1B80681A" w14:textId="062E6650" w:rsidR="00D94F3B" w:rsidRPr="007250A8" w:rsidRDefault="00D94F3B" w:rsidP="00D94F3B">
      <w:pPr>
        <w:rPr>
          <w:lang w:val="en-GB"/>
        </w:rPr>
      </w:pPr>
      <w:r w:rsidRPr="007250A8">
        <w:rPr>
          <w:b/>
          <w:bCs/>
          <w:i/>
          <w:iCs/>
          <w:lang w:val="en-GB"/>
        </w:rPr>
        <w:t>Equity Investment</w:t>
      </w:r>
    </w:p>
    <w:p w14:paraId="2057429B" w14:textId="3A2461D9" w:rsidR="00D94F3B" w:rsidRPr="007250A8" w:rsidRDefault="00D94F3B" w:rsidP="00D94F3B">
      <w:pPr>
        <w:rPr>
          <w:lang w:val="en-GB"/>
        </w:rPr>
      </w:pPr>
      <w:r w:rsidRPr="007250A8">
        <w:rPr>
          <w:lang w:val="en-GB"/>
        </w:rPr>
        <w:t xml:space="preserve">Marriott </w:t>
      </w:r>
      <w:r w:rsidR="000C5AB2" w:rsidRPr="007250A8">
        <w:rPr>
          <w:lang w:val="en-GB"/>
        </w:rPr>
        <w:t>should</w:t>
      </w:r>
      <w:r w:rsidRPr="007250A8">
        <w:rPr>
          <w:lang w:val="en-GB"/>
        </w:rPr>
        <w:t xml:space="preserve"> issue new shares or bring strategic investor</w:t>
      </w:r>
      <w:r w:rsidR="000C5AB2" w:rsidRPr="007250A8">
        <w:rPr>
          <w:lang w:val="en-GB"/>
        </w:rPr>
        <w:t>s to optimise</w:t>
      </w:r>
      <w:r w:rsidRPr="007250A8">
        <w:rPr>
          <w:lang w:val="en-GB"/>
        </w:rPr>
        <w:t xml:space="preserve"> capital structure of company</w:t>
      </w:r>
      <w:r w:rsidR="00F05A35" w:rsidRPr="007250A8">
        <w:rPr>
          <w:lang w:val="en-GB"/>
        </w:rPr>
        <w:t xml:space="preserve"> (</w:t>
      </w:r>
      <w:proofErr w:type="spellStart"/>
      <w:r w:rsidR="00F05A35" w:rsidRPr="007250A8">
        <w:rPr>
          <w:lang w:val="en-GB"/>
        </w:rPr>
        <w:t>Krylovskyi</w:t>
      </w:r>
      <w:proofErr w:type="spellEnd"/>
      <w:r w:rsidR="00F05A35" w:rsidRPr="007250A8">
        <w:rPr>
          <w:lang w:val="en-GB"/>
        </w:rPr>
        <w:t>, 2024)</w:t>
      </w:r>
      <w:r w:rsidRPr="007250A8">
        <w:rPr>
          <w:lang w:val="en-GB"/>
        </w:rPr>
        <w:t>. It c</w:t>
      </w:r>
      <w:r w:rsidR="000C5AB2" w:rsidRPr="007250A8">
        <w:rPr>
          <w:lang w:val="en-GB"/>
        </w:rPr>
        <w:t>an be developed through</w:t>
      </w:r>
      <w:r w:rsidRPr="007250A8">
        <w:rPr>
          <w:lang w:val="en-GB"/>
        </w:rPr>
        <w:t xml:space="preserve"> increasing equit</w:t>
      </w:r>
      <w:r w:rsidR="000C5AB2" w:rsidRPr="007250A8">
        <w:rPr>
          <w:lang w:val="en-GB"/>
        </w:rPr>
        <w:t>y</w:t>
      </w:r>
      <w:r w:rsidRPr="007250A8">
        <w:rPr>
          <w:lang w:val="en-GB"/>
        </w:rPr>
        <w:t xml:space="preserve"> or having investment partner</w:t>
      </w:r>
      <w:r w:rsidR="000C5AB2" w:rsidRPr="007250A8">
        <w:rPr>
          <w:lang w:val="en-GB"/>
        </w:rPr>
        <w:t xml:space="preserve"> to reduce</w:t>
      </w:r>
      <w:r w:rsidRPr="007250A8">
        <w:rPr>
          <w:lang w:val="en-GB"/>
        </w:rPr>
        <w:t xml:space="preserve"> reliance on borrowings</w:t>
      </w:r>
      <w:r w:rsidR="00642A1F" w:rsidRPr="007250A8">
        <w:rPr>
          <w:lang w:val="en-GB"/>
        </w:rPr>
        <w:t xml:space="preserve"> (Filatova, Kulyk and Kravchenko, 2024)</w:t>
      </w:r>
      <w:r w:rsidRPr="007250A8">
        <w:rPr>
          <w:lang w:val="en-GB"/>
        </w:rPr>
        <w:t xml:space="preserve">. This </w:t>
      </w:r>
      <w:r w:rsidR="000C5AB2" w:rsidRPr="007250A8">
        <w:rPr>
          <w:lang w:val="en-GB"/>
        </w:rPr>
        <w:t xml:space="preserve">will ensure financial relevance of </w:t>
      </w:r>
      <w:r w:rsidRPr="007250A8">
        <w:rPr>
          <w:lang w:val="en-GB"/>
        </w:rPr>
        <w:t>company and create funds for expansion. Howev</w:t>
      </w:r>
      <w:r w:rsidR="000C5AB2" w:rsidRPr="007250A8">
        <w:rPr>
          <w:lang w:val="en-GB"/>
        </w:rPr>
        <w:t>er</w:t>
      </w:r>
      <w:r w:rsidRPr="007250A8">
        <w:rPr>
          <w:lang w:val="en-GB"/>
        </w:rPr>
        <w:t>, increase in equity issuance will result in decreas</w:t>
      </w:r>
      <w:r w:rsidR="000C5AB2" w:rsidRPr="007250A8">
        <w:rPr>
          <w:lang w:val="en-GB"/>
        </w:rPr>
        <w:t>e in</w:t>
      </w:r>
      <w:r w:rsidRPr="007250A8">
        <w:rPr>
          <w:lang w:val="en-GB"/>
        </w:rPr>
        <w:t xml:space="preserve"> EPS of current shareholders </w:t>
      </w:r>
      <w:r w:rsidR="000C5AB2" w:rsidRPr="007250A8">
        <w:rPr>
          <w:lang w:val="en-GB"/>
        </w:rPr>
        <w:t xml:space="preserve">due to </w:t>
      </w:r>
      <w:r w:rsidRPr="007250A8">
        <w:rPr>
          <w:lang w:val="en-GB"/>
        </w:rPr>
        <w:t>dilution o</w:t>
      </w:r>
      <w:r w:rsidR="000C5AB2" w:rsidRPr="007250A8">
        <w:rPr>
          <w:lang w:val="en-GB"/>
        </w:rPr>
        <w:t>f</w:t>
      </w:r>
      <w:r w:rsidRPr="007250A8">
        <w:rPr>
          <w:lang w:val="en-GB"/>
        </w:rPr>
        <w:t xml:space="preserve"> holding in business. Equity financing i</w:t>
      </w:r>
      <w:r w:rsidR="000C5AB2" w:rsidRPr="007250A8">
        <w:rPr>
          <w:lang w:val="en-GB"/>
        </w:rPr>
        <w:t>s</w:t>
      </w:r>
      <w:r w:rsidRPr="007250A8">
        <w:rPr>
          <w:lang w:val="en-GB"/>
        </w:rPr>
        <w:t xml:space="preserve"> considered only when ther</w:t>
      </w:r>
      <w:r w:rsidR="000C5AB2" w:rsidRPr="007250A8">
        <w:rPr>
          <w:lang w:val="en-GB"/>
        </w:rPr>
        <w:t>e is</w:t>
      </w:r>
      <w:r w:rsidRPr="007250A8">
        <w:rPr>
          <w:lang w:val="en-GB"/>
        </w:rPr>
        <w:t xml:space="preserve"> enough value generation in long run.</w:t>
      </w:r>
    </w:p>
    <w:p w14:paraId="4F692BA3" w14:textId="1A313E79" w:rsidR="00D94F3B" w:rsidRPr="007250A8" w:rsidRDefault="00D94F3B" w:rsidP="00D94F3B">
      <w:pPr>
        <w:rPr>
          <w:b/>
          <w:bCs/>
          <w:i/>
          <w:iCs/>
          <w:lang w:val="en-GB"/>
        </w:rPr>
      </w:pPr>
      <w:r w:rsidRPr="007250A8">
        <w:rPr>
          <w:b/>
          <w:bCs/>
          <w:i/>
          <w:iCs/>
          <w:lang w:val="en-GB"/>
        </w:rPr>
        <w:t>Debt Restructuring</w:t>
      </w:r>
    </w:p>
    <w:p w14:paraId="10BBEA54" w14:textId="4EDE5DFD" w:rsidR="00D94F3B" w:rsidRPr="007250A8" w:rsidRDefault="00D94F3B" w:rsidP="00D94F3B">
      <w:pPr>
        <w:rPr>
          <w:lang w:val="en-GB"/>
        </w:rPr>
      </w:pPr>
      <w:r w:rsidRPr="007250A8">
        <w:rPr>
          <w:lang w:val="en-GB"/>
        </w:rPr>
        <w:t xml:space="preserve">This is </w:t>
      </w:r>
      <w:r w:rsidR="000C5AB2" w:rsidRPr="007250A8">
        <w:rPr>
          <w:lang w:val="en-GB"/>
        </w:rPr>
        <w:t>relevant in</w:t>
      </w:r>
      <w:r w:rsidRPr="007250A8">
        <w:rPr>
          <w:lang w:val="en-GB"/>
        </w:rPr>
        <w:t xml:space="preserve"> debt restructuring where total debt increased to USD 16,204</w:t>
      </w:r>
      <w:r w:rsidR="000C5AB2" w:rsidRPr="007250A8">
        <w:rPr>
          <w:lang w:val="en-GB"/>
        </w:rPr>
        <w:t xml:space="preserve"> million </w:t>
      </w:r>
      <w:r w:rsidRPr="007250A8">
        <w:rPr>
          <w:lang w:val="en-GB"/>
        </w:rPr>
        <w:t xml:space="preserve">by 2025. Marriott </w:t>
      </w:r>
      <w:r w:rsidR="000C5AB2" w:rsidRPr="007250A8">
        <w:rPr>
          <w:lang w:val="en-GB"/>
        </w:rPr>
        <w:t xml:space="preserve">could </w:t>
      </w:r>
      <w:r w:rsidRPr="007250A8">
        <w:rPr>
          <w:lang w:val="en-GB"/>
        </w:rPr>
        <w:t>negotiate interest or refinancing terms with long</w:t>
      </w:r>
      <w:r w:rsidR="000C5AB2" w:rsidRPr="007250A8">
        <w:rPr>
          <w:lang w:val="en-GB"/>
        </w:rPr>
        <w:t>er</w:t>
      </w:r>
      <w:r w:rsidRPr="007250A8">
        <w:rPr>
          <w:lang w:val="en-GB"/>
        </w:rPr>
        <w:t xml:space="preserve"> maturity period</w:t>
      </w:r>
      <w:r w:rsidR="000C5AB2" w:rsidRPr="007250A8">
        <w:rPr>
          <w:lang w:val="en-GB"/>
        </w:rPr>
        <w:t>s to</w:t>
      </w:r>
      <w:r w:rsidRPr="007250A8">
        <w:rPr>
          <w:lang w:val="en-GB"/>
        </w:rPr>
        <w:t xml:space="preserve"> </w:t>
      </w:r>
      <w:r w:rsidR="000C5AB2" w:rsidRPr="007250A8">
        <w:rPr>
          <w:lang w:val="en-GB"/>
        </w:rPr>
        <w:t>limit</w:t>
      </w:r>
      <w:r w:rsidRPr="007250A8">
        <w:rPr>
          <w:lang w:val="en-GB"/>
        </w:rPr>
        <w:t xml:space="preserve"> </w:t>
      </w:r>
      <w:r w:rsidR="000C5AB2" w:rsidRPr="007250A8">
        <w:rPr>
          <w:lang w:val="en-GB"/>
        </w:rPr>
        <w:t>r</w:t>
      </w:r>
      <w:r w:rsidRPr="007250A8">
        <w:rPr>
          <w:lang w:val="en-GB"/>
        </w:rPr>
        <w:t>epayment</w:t>
      </w:r>
      <w:r w:rsidR="000C5AB2" w:rsidRPr="007250A8">
        <w:rPr>
          <w:lang w:val="en-GB"/>
        </w:rPr>
        <w:t xml:space="preserve"> burden</w:t>
      </w:r>
      <w:r w:rsidRPr="007250A8">
        <w:rPr>
          <w:lang w:val="en-GB"/>
        </w:rPr>
        <w:t xml:space="preserve"> of debts in short term</w:t>
      </w:r>
      <w:r w:rsidR="00F05A35" w:rsidRPr="007250A8">
        <w:rPr>
          <w:lang w:val="en-GB"/>
        </w:rPr>
        <w:t xml:space="preserve"> (</w:t>
      </w:r>
      <w:proofErr w:type="spellStart"/>
      <w:r w:rsidR="00F05A35" w:rsidRPr="007250A8">
        <w:rPr>
          <w:lang w:val="en-GB"/>
        </w:rPr>
        <w:t>Friewald</w:t>
      </w:r>
      <w:proofErr w:type="spellEnd"/>
      <w:r w:rsidR="00F05A35" w:rsidRPr="007250A8">
        <w:rPr>
          <w:lang w:val="en-GB"/>
        </w:rPr>
        <w:t>, Nagler and Wagner, 2022)</w:t>
      </w:r>
      <w:r w:rsidRPr="007250A8">
        <w:rPr>
          <w:lang w:val="en-GB"/>
        </w:rPr>
        <w:t>. This will improve liquidity and operating efficiencies. However, high re</w:t>
      </w:r>
      <w:r w:rsidR="000C5AB2" w:rsidRPr="007250A8">
        <w:rPr>
          <w:lang w:val="en-GB"/>
        </w:rPr>
        <w:t>-</w:t>
      </w:r>
      <w:r w:rsidRPr="007250A8">
        <w:rPr>
          <w:lang w:val="en-GB"/>
        </w:rPr>
        <w:t xml:space="preserve">financing could increase </w:t>
      </w:r>
      <w:r w:rsidR="00343BF5" w:rsidRPr="007250A8">
        <w:rPr>
          <w:lang w:val="en-GB"/>
        </w:rPr>
        <w:t>high-cost</w:t>
      </w:r>
      <w:r w:rsidRPr="007250A8">
        <w:rPr>
          <w:lang w:val="en-GB"/>
        </w:rPr>
        <w:t xml:space="preserve"> finance in the future</w:t>
      </w:r>
      <w:r w:rsidR="000C5AB2" w:rsidRPr="007250A8">
        <w:rPr>
          <w:lang w:val="en-GB"/>
        </w:rPr>
        <w:t xml:space="preserve"> and requires accompany by</w:t>
      </w:r>
      <w:r w:rsidRPr="007250A8">
        <w:rPr>
          <w:lang w:val="en-GB"/>
        </w:rPr>
        <w:t xml:space="preserve"> debt reduction</w:t>
      </w:r>
      <w:r w:rsidR="00F05A35" w:rsidRPr="007250A8">
        <w:rPr>
          <w:lang w:val="en-GB"/>
        </w:rPr>
        <w:t xml:space="preserve"> (Liu, Singh and Singh, 2026)</w:t>
      </w:r>
      <w:r w:rsidRPr="007250A8">
        <w:rPr>
          <w:lang w:val="en-GB"/>
        </w:rPr>
        <w:t>.</w:t>
      </w:r>
    </w:p>
    <w:p w14:paraId="14195164" w14:textId="319C3F10" w:rsidR="00D94F3B" w:rsidRPr="007250A8" w:rsidRDefault="00D94F3B" w:rsidP="00D94F3B">
      <w:pPr>
        <w:rPr>
          <w:lang w:val="en-GB"/>
        </w:rPr>
      </w:pPr>
      <w:r w:rsidRPr="007250A8">
        <w:rPr>
          <w:lang w:val="en-GB"/>
        </w:rPr>
        <w:t>Overall, debt optimi</w:t>
      </w:r>
      <w:r w:rsidR="00343BF5" w:rsidRPr="007250A8">
        <w:rPr>
          <w:lang w:val="en-GB"/>
        </w:rPr>
        <w:t>s</w:t>
      </w:r>
      <w:r w:rsidRPr="007250A8">
        <w:rPr>
          <w:lang w:val="en-GB"/>
        </w:rPr>
        <w:t>ation, divestiture</w:t>
      </w:r>
      <w:r w:rsidR="00343BF5" w:rsidRPr="007250A8">
        <w:rPr>
          <w:lang w:val="en-GB"/>
        </w:rPr>
        <w:t xml:space="preserve"> management</w:t>
      </w:r>
      <w:r w:rsidRPr="007250A8">
        <w:rPr>
          <w:lang w:val="en-GB"/>
        </w:rPr>
        <w:t xml:space="preserve"> and strategic partnerships with some equity investment </w:t>
      </w:r>
      <w:r w:rsidR="00343BF5" w:rsidRPr="007250A8">
        <w:rPr>
          <w:lang w:val="en-GB"/>
        </w:rPr>
        <w:t xml:space="preserve">is the </w:t>
      </w:r>
      <w:r w:rsidRPr="007250A8">
        <w:rPr>
          <w:lang w:val="en-GB"/>
        </w:rPr>
        <w:t>best fit for Marriott.</w:t>
      </w:r>
    </w:p>
    <w:p w14:paraId="2A5417A3" w14:textId="77777777" w:rsidR="00D94F3B" w:rsidRPr="007250A8" w:rsidRDefault="00D94F3B" w:rsidP="00343BF5">
      <w:pPr>
        <w:pStyle w:val="Heading2"/>
        <w:rPr>
          <w:lang w:val="en-GB"/>
        </w:rPr>
      </w:pPr>
      <w:bookmarkStart w:id="25" w:name="_Toc237459796"/>
      <w:r w:rsidRPr="007250A8">
        <w:rPr>
          <w:lang w:val="en-GB"/>
        </w:rPr>
        <w:t>4.3 Impact Analysis</w:t>
      </w:r>
      <w:bookmarkEnd w:id="25"/>
    </w:p>
    <w:tbl>
      <w:tblPr>
        <w:tblStyle w:val="GridTable6Colorful-Accent4"/>
        <w:tblW w:w="0" w:type="auto"/>
        <w:tblLook w:val="04A0" w:firstRow="1" w:lastRow="0" w:firstColumn="1" w:lastColumn="0" w:noHBand="0" w:noVBand="1"/>
      </w:tblPr>
      <w:tblGrid>
        <w:gridCol w:w="1873"/>
        <w:gridCol w:w="2429"/>
        <w:gridCol w:w="2133"/>
        <w:gridCol w:w="2581"/>
      </w:tblGrid>
      <w:tr w:rsidR="00343BF5" w:rsidRPr="007250A8" w14:paraId="4DCBC46C" w14:textId="77777777" w:rsidTr="003E15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C4407C" w14:textId="77777777" w:rsidR="00343BF5" w:rsidRPr="007250A8" w:rsidRDefault="00343BF5" w:rsidP="00343BF5">
            <w:pPr>
              <w:jc w:val="center"/>
              <w:rPr>
                <w:i/>
                <w:iCs/>
                <w:color w:val="000000" w:themeColor="text1"/>
                <w:lang w:val="en-GB" w:eastAsia="en-IN" w:bidi="ar-SA"/>
              </w:rPr>
            </w:pPr>
            <w:r w:rsidRPr="007250A8">
              <w:rPr>
                <w:i/>
                <w:iCs/>
                <w:color w:val="000000" w:themeColor="text1"/>
                <w:lang w:val="en-GB" w:eastAsia="en-IN" w:bidi="ar-SA"/>
              </w:rPr>
              <w:t>Proposed Measure</w:t>
            </w:r>
          </w:p>
        </w:tc>
        <w:tc>
          <w:tcPr>
            <w:tcW w:w="0" w:type="auto"/>
            <w:hideMark/>
          </w:tcPr>
          <w:p w14:paraId="32EADCE5" w14:textId="77777777" w:rsidR="00343BF5" w:rsidRPr="007250A8" w:rsidRDefault="00343BF5" w:rsidP="00343BF5">
            <w:pPr>
              <w:jc w:val="center"/>
              <w:cnfStyle w:val="100000000000" w:firstRow="1" w:lastRow="0" w:firstColumn="0" w:lastColumn="0" w:oddVBand="0" w:evenVBand="0" w:oddHBand="0" w:evenHBand="0" w:firstRowFirstColumn="0" w:firstRowLastColumn="0" w:lastRowFirstColumn="0" w:lastRowLastColumn="0"/>
              <w:rPr>
                <w:i/>
                <w:iCs/>
                <w:color w:val="000000" w:themeColor="text1"/>
                <w:lang w:val="en-GB" w:eastAsia="en-IN" w:bidi="ar-SA"/>
              </w:rPr>
            </w:pPr>
            <w:r w:rsidRPr="007250A8">
              <w:rPr>
                <w:i/>
                <w:iCs/>
                <w:color w:val="000000" w:themeColor="text1"/>
                <w:lang w:val="en-GB" w:eastAsia="en-IN" w:bidi="ar-SA"/>
              </w:rPr>
              <w:t>Impact on Shareholder Value &amp; EPS</w:t>
            </w:r>
          </w:p>
        </w:tc>
        <w:tc>
          <w:tcPr>
            <w:tcW w:w="0" w:type="auto"/>
            <w:hideMark/>
          </w:tcPr>
          <w:p w14:paraId="7728FCCD" w14:textId="77777777" w:rsidR="00343BF5" w:rsidRPr="007250A8" w:rsidRDefault="00343BF5" w:rsidP="00343BF5">
            <w:pPr>
              <w:jc w:val="center"/>
              <w:cnfStyle w:val="100000000000" w:firstRow="1" w:lastRow="0" w:firstColumn="0" w:lastColumn="0" w:oddVBand="0" w:evenVBand="0" w:oddHBand="0" w:evenHBand="0" w:firstRowFirstColumn="0" w:firstRowLastColumn="0" w:lastRowFirstColumn="0" w:lastRowLastColumn="0"/>
              <w:rPr>
                <w:i/>
                <w:iCs/>
                <w:color w:val="000000" w:themeColor="text1"/>
                <w:lang w:val="en-GB" w:eastAsia="en-IN" w:bidi="ar-SA"/>
              </w:rPr>
            </w:pPr>
            <w:r w:rsidRPr="007250A8">
              <w:rPr>
                <w:i/>
                <w:iCs/>
                <w:color w:val="000000" w:themeColor="text1"/>
                <w:lang w:val="en-GB" w:eastAsia="en-IN" w:bidi="ar-SA"/>
              </w:rPr>
              <w:t>Impact on Debt Structure &amp; Cost of Capital</w:t>
            </w:r>
          </w:p>
        </w:tc>
        <w:tc>
          <w:tcPr>
            <w:tcW w:w="0" w:type="auto"/>
            <w:hideMark/>
          </w:tcPr>
          <w:p w14:paraId="7A774CD7" w14:textId="77777777" w:rsidR="00343BF5" w:rsidRPr="007250A8" w:rsidRDefault="00343BF5" w:rsidP="00343BF5">
            <w:pPr>
              <w:jc w:val="center"/>
              <w:cnfStyle w:val="100000000000" w:firstRow="1" w:lastRow="0" w:firstColumn="0" w:lastColumn="0" w:oddVBand="0" w:evenVBand="0" w:oddHBand="0" w:evenHBand="0" w:firstRowFirstColumn="0" w:firstRowLastColumn="0" w:lastRowFirstColumn="0" w:lastRowLastColumn="0"/>
              <w:rPr>
                <w:i/>
                <w:iCs/>
                <w:color w:val="000000" w:themeColor="text1"/>
                <w:lang w:val="en-GB" w:eastAsia="en-IN" w:bidi="ar-SA"/>
              </w:rPr>
            </w:pPr>
            <w:r w:rsidRPr="007250A8">
              <w:rPr>
                <w:i/>
                <w:iCs/>
                <w:color w:val="000000" w:themeColor="text1"/>
                <w:lang w:val="en-GB" w:eastAsia="en-IN" w:bidi="ar-SA"/>
              </w:rPr>
              <w:t xml:space="preserve">Impact on Operational </w:t>
            </w:r>
            <w:r w:rsidRPr="007250A8">
              <w:rPr>
                <w:i/>
                <w:iCs/>
                <w:color w:val="000000" w:themeColor="text1"/>
                <w:lang w:val="en-GB" w:eastAsia="en-IN" w:bidi="ar-SA"/>
              </w:rPr>
              <w:lastRenderedPageBreak/>
              <w:t>Flexibility &amp; Long-Term Solvency</w:t>
            </w:r>
          </w:p>
        </w:tc>
      </w:tr>
      <w:tr w:rsidR="00343BF5" w:rsidRPr="007250A8" w14:paraId="019CF559"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D3B47DE" w14:textId="2B83120D" w:rsidR="00343BF5" w:rsidRPr="007250A8" w:rsidRDefault="00277CBD" w:rsidP="00343BF5">
            <w:pPr>
              <w:rPr>
                <w:color w:val="000000" w:themeColor="text1"/>
                <w:lang w:val="en-GB" w:eastAsia="en-IN" w:bidi="ar-SA"/>
              </w:rPr>
            </w:pPr>
            <w:r w:rsidRPr="007250A8">
              <w:rPr>
                <w:color w:val="000000" w:themeColor="text1"/>
                <w:lang w:val="en-GB"/>
              </w:rPr>
              <w:lastRenderedPageBreak/>
              <w:t>Divestiture</w:t>
            </w:r>
          </w:p>
        </w:tc>
        <w:tc>
          <w:tcPr>
            <w:tcW w:w="0" w:type="auto"/>
          </w:tcPr>
          <w:p w14:paraId="0640C0F5" w14:textId="7C87BFA5" w:rsidR="00343BF5" w:rsidRPr="007250A8" w:rsidRDefault="00277CBD" w:rsidP="00343BF5">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Increase shareholders value through capital allocation</w:t>
            </w:r>
          </w:p>
        </w:tc>
        <w:tc>
          <w:tcPr>
            <w:tcW w:w="0" w:type="auto"/>
          </w:tcPr>
          <w:p w14:paraId="7D37180B" w14:textId="66674EC9" w:rsidR="00343BF5" w:rsidRPr="007250A8" w:rsidRDefault="00277CBD" w:rsidP="00343BF5">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Lower debt and financing costs</w:t>
            </w:r>
          </w:p>
        </w:tc>
        <w:tc>
          <w:tcPr>
            <w:tcW w:w="0" w:type="auto"/>
          </w:tcPr>
          <w:p w14:paraId="45A2622B" w14:textId="40A9C2F0" w:rsidR="00343BF5" w:rsidRPr="007250A8" w:rsidRDefault="00277CBD" w:rsidP="00343BF5">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Improves flexibility long-term solvency</w:t>
            </w:r>
          </w:p>
        </w:tc>
      </w:tr>
      <w:tr w:rsidR="00343BF5" w:rsidRPr="007250A8" w14:paraId="39A49077"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7D7D161E" w14:textId="19979F4E" w:rsidR="00343BF5" w:rsidRPr="007250A8" w:rsidRDefault="00277CBD" w:rsidP="00343BF5">
            <w:pPr>
              <w:rPr>
                <w:color w:val="000000" w:themeColor="text1"/>
                <w:lang w:val="en-GB" w:eastAsia="en-IN" w:bidi="ar-SA"/>
              </w:rPr>
            </w:pPr>
            <w:r w:rsidRPr="007250A8">
              <w:rPr>
                <w:color w:val="000000" w:themeColor="text1"/>
                <w:lang w:val="en-GB"/>
              </w:rPr>
              <w:t>Strategic Alliance</w:t>
            </w:r>
          </w:p>
        </w:tc>
        <w:tc>
          <w:tcPr>
            <w:tcW w:w="0" w:type="auto"/>
          </w:tcPr>
          <w:p w14:paraId="42C68558" w14:textId="255E2A0D" w:rsidR="00343BF5" w:rsidRPr="007250A8" w:rsidRDefault="00277CBD"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Earn profits through creating growth prospects</w:t>
            </w:r>
          </w:p>
        </w:tc>
        <w:tc>
          <w:tcPr>
            <w:tcW w:w="0" w:type="auto"/>
          </w:tcPr>
          <w:p w14:paraId="54F65D81" w14:textId="6BD93DFE" w:rsidR="00343BF5" w:rsidRPr="007250A8" w:rsidRDefault="00277CBD"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Assists in avoiding individual financing and investments</w:t>
            </w:r>
          </w:p>
        </w:tc>
        <w:tc>
          <w:tcPr>
            <w:tcW w:w="0" w:type="auto"/>
          </w:tcPr>
          <w:p w14:paraId="0A6E0438" w14:textId="646D8241" w:rsidR="00343BF5" w:rsidRPr="007250A8" w:rsidRDefault="00277CBD"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Contributes to flexibility and competitiveness</w:t>
            </w:r>
          </w:p>
        </w:tc>
      </w:tr>
      <w:tr w:rsidR="00343BF5" w:rsidRPr="007250A8" w14:paraId="63263C82"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94700F1" w14:textId="43D1B449" w:rsidR="00343BF5" w:rsidRPr="007250A8" w:rsidRDefault="00277CBD" w:rsidP="00343BF5">
            <w:pPr>
              <w:rPr>
                <w:color w:val="000000" w:themeColor="text1"/>
                <w:lang w:val="en-GB" w:eastAsia="en-IN" w:bidi="ar-SA"/>
              </w:rPr>
            </w:pPr>
            <w:r w:rsidRPr="007250A8">
              <w:rPr>
                <w:color w:val="000000" w:themeColor="text1"/>
                <w:lang w:val="en-GB"/>
              </w:rPr>
              <w:t>Equity</w:t>
            </w:r>
          </w:p>
        </w:tc>
        <w:tc>
          <w:tcPr>
            <w:tcW w:w="0" w:type="auto"/>
          </w:tcPr>
          <w:p w14:paraId="33FC03FB" w14:textId="40E9EB73" w:rsidR="00343BF5" w:rsidRPr="007250A8" w:rsidRDefault="00277CBD" w:rsidP="00343BF5">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Can cause temporary fall in EPS, with increased investor confidence</w:t>
            </w:r>
          </w:p>
        </w:tc>
        <w:tc>
          <w:tcPr>
            <w:tcW w:w="0" w:type="auto"/>
          </w:tcPr>
          <w:p w14:paraId="66317359" w14:textId="565FAE3E" w:rsidR="00343BF5" w:rsidRPr="007250A8" w:rsidRDefault="00277CBD" w:rsidP="00343BF5">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Avoids risk with debts and money</w:t>
            </w:r>
          </w:p>
        </w:tc>
        <w:tc>
          <w:tcPr>
            <w:tcW w:w="0" w:type="auto"/>
          </w:tcPr>
          <w:p w14:paraId="1222FBE5" w14:textId="2D0E42E6" w:rsidR="00343BF5" w:rsidRPr="007250A8" w:rsidRDefault="00277CBD" w:rsidP="00277CBD">
            <w:pPr>
              <w:cnfStyle w:val="000000100000" w:firstRow="0" w:lastRow="0" w:firstColumn="0" w:lastColumn="0" w:oddVBand="0" w:evenVBand="0" w:oddHBand="1" w:evenHBand="0" w:firstRowFirstColumn="0" w:firstRowLastColumn="0" w:lastRowFirstColumn="0" w:lastRowLastColumn="0"/>
              <w:rPr>
                <w:color w:val="000000" w:themeColor="text1"/>
                <w:lang w:val="en-GB" w:eastAsia="en-IN" w:bidi="ar-SA"/>
              </w:rPr>
            </w:pPr>
            <w:r w:rsidRPr="007250A8">
              <w:rPr>
                <w:color w:val="000000" w:themeColor="text1"/>
                <w:lang w:val="en-GB"/>
              </w:rPr>
              <w:t>Provides additional finance</w:t>
            </w:r>
          </w:p>
        </w:tc>
      </w:tr>
      <w:tr w:rsidR="00343BF5" w:rsidRPr="007250A8" w14:paraId="1E083547"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4CEC2988" w14:textId="52D3CD40" w:rsidR="00343BF5" w:rsidRPr="007250A8" w:rsidRDefault="00277CBD" w:rsidP="00343BF5">
            <w:pPr>
              <w:rPr>
                <w:color w:val="000000" w:themeColor="text1"/>
                <w:lang w:val="en-GB" w:eastAsia="en-IN" w:bidi="ar-SA"/>
              </w:rPr>
            </w:pPr>
            <w:r w:rsidRPr="007250A8">
              <w:rPr>
                <w:color w:val="000000" w:themeColor="text1"/>
                <w:lang w:val="en-GB"/>
              </w:rPr>
              <w:t>Debt Restructuring</w:t>
            </w:r>
          </w:p>
        </w:tc>
        <w:tc>
          <w:tcPr>
            <w:tcW w:w="0" w:type="auto"/>
          </w:tcPr>
          <w:p w14:paraId="1B022C3D" w14:textId="04D2B6C4" w:rsidR="00343BF5" w:rsidRPr="007250A8" w:rsidRDefault="00277CBD"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Net income and EPS can be sustained</w:t>
            </w:r>
          </w:p>
        </w:tc>
        <w:tc>
          <w:tcPr>
            <w:tcW w:w="0" w:type="auto"/>
          </w:tcPr>
          <w:p w14:paraId="3D67CDDE" w14:textId="230155EE" w:rsidR="00343BF5" w:rsidRPr="007250A8" w:rsidRDefault="00277CBD"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r w:rsidRPr="007250A8">
              <w:rPr>
                <w:color w:val="000000" w:themeColor="text1"/>
                <w:lang w:val="en-GB"/>
              </w:rPr>
              <w:t>Helps in maturing the portfolio and reducing debt risks</w:t>
            </w:r>
          </w:p>
        </w:tc>
        <w:tc>
          <w:tcPr>
            <w:tcW w:w="0" w:type="auto"/>
          </w:tcPr>
          <w:p w14:paraId="05C80ADC" w14:textId="656D2D58" w:rsidR="00277CBD" w:rsidRPr="007250A8" w:rsidRDefault="00277CBD" w:rsidP="00277CBD">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7250A8">
              <w:rPr>
                <w:color w:val="000000" w:themeColor="text1"/>
                <w:lang w:val="en-GB"/>
              </w:rPr>
              <w:t>Enhances liquidity and financial flexibility</w:t>
            </w:r>
          </w:p>
          <w:p w14:paraId="52518FD8" w14:textId="282617D3" w:rsidR="00343BF5" w:rsidRPr="007250A8" w:rsidRDefault="00343BF5" w:rsidP="00343BF5">
            <w:pPr>
              <w:cnfStyle w:val="000000000000" w:firstRow="0" w:lastRow="0" w:firstColumn="0" w:lastColumn="0" w:oddVBand="0" w:evenVBand="0" w:oddHBand="0" w:evenHBand="0" w:firstRowFirstColumn="0" w:firstRowLastColumn="0" w:lastRowFirstColumn="0" w:lastRowLastColumn="0"/>
              <w:rPr>
                <w:color w:val="000000" w:themeColor="text1"/>
                <w:lang w:val="en-GB" w:eastAsia="en-IN" w:bidi="ar-SA"/>
              </w:rPr>
            </w:pPr>
          </w:p>
        </w:tc>
      </w:tr>
    </w:tbl>
    <w:p w14:paraId="4053E6E1" w14:textId="25B6B986" w:rsidR="00D94F3B" w:rsidRPr="007250A8" w:rsidRDefault="00D94F3B" w:rsidP="00277CBD">
      <w:pPr>
        <w:pStyle w:val="Heading2"/>
        <w:rPr>
          <w:lang w:val="en-GB"/>
        </w:rPr>
      </w:pPr>
      <w:bookmarkStart w:id="26" w:name="_Toc237459797"/>
      <w:r w:rsidRPr="007250A8">
        <w:rPr>
          <w:lang w:val="en-GB"/>
        </w:rPr>
        <w:t>4.4 International and ethical issues</w:t>
      </w:r>
      <w:bookmarkEnd w:id="26"/>
    </w:p>
    <w:p w14:paraId="6DCD1EFA" w14:textId="78A3090E" w:rsidR="00D94F3B" w:rsidRPr="007250A8" w:rsidRDefault="00D94F3B" w:rsidP="00D94F3B">
      <w:pPr>
        <w:rPr>
          <w:lang w:val="en-GB"/>
        </w:rPr>
      </w:pPr>
      <w:r w:rsidRPr="007250A8">
        <w:rPr>
          <w:lang w:val="en-GB"/>
        </w:rPr>
        <w:t>The international busines</w:t>
      </w:r>
      <w:r w:rsidR="00277CBD" w:rsidRPr="007250A8">
        <w:rPr>
          <w:lang w:val="en-GB"/>
        </w:rPr>
        <w:t>s of</w:t>
      </w:r>
      <w:r w:rsidRPr="007250A8">
        <w:rPr>
          <w:lang w:val="en-GB"/>
        </w:rPr>
        <w:t xml:space="preserve"> Marriott expose</w:t>
      </w:r>
      <w:r w:rsidR="00277CBD" w:rsidRPr="007250A8">
        <w:rPr>
          <w:lang w:val="en-GB"/>
        </w:rPr>
        <w:t>s to</w:t>
      </w:r>
      <w:r w:rsidRPr="007250A8">
        <w:rPr>
          <w:lang w:val="en-GB"/>
        </w:rPr>
        <w:t xml:space="preserve"> risk of currency, taxation and inflation. The foreign exchange rate </w:t>
      </w:r>
      <w:r w:rsidR="00277CBD" w:rsidRPr="007250A8">
        <w:rPr>
          <w:lang w:val="en-GB"/>
        </w:rPr>
        <w:t>might</w:t>
      </w:r>
      <w:r w:rsidRPr="007250A8">
        <w:rPr>
          <w:lang w:val="en-GB"/>
        </w:rPr>
        <w:t xml:space="preserve"> influence amount of revenues flowing into wider economy</w:t>
      </w:r>
      <w:r w:rsidR="00277CBD" w:rsidRPr="007250A8">
        <w:rPr>
          <w:lang w:val="en-GB"/>
        </w:rPr>
        <w:t xml:space="preserve"> and</w:t>
      </w:r>
      <w:r w:rsidRPr="007250A8">
        <w:rPr>
          <w:lang w:val="en-GB"/>
        </w:rPr>
        <w:t xml:space="preserve"> convert into dollars</w:t>
      </w:r>
      <w:r w:rsidR="00277CBD" w:rsidRPr="007250A8">
        <w:rPr>
          <w:lang w:val="en-GB"/>
        </w:rPr>
        <w:t>,</w:t>
      </w:r>
      <w:r w:rsidRPr="007250A8">
        <w:rPr>
          <w:lang w:val="en-GB"/>
        </w:rPr>
        <w:t xml:space="preserve"> cost</w:t>
      </w:r>
      <w:r w:rsidR="00277CBD" w:rsidRPr="007250A8">
        <w:rPr>
          <w:lang w:val="en-GB"/>
        </w:rPr>
        <w:t xml:space="preserve">ing </w:t>
      </w:r>
      <w:r w:rsidRPr="007250A8">
        <w:rPr>
          <w:lang w:val="en-GB"/>
        </w:rPr>
        <w:t>foreign borrowings</w:t>
      </w:r>
      <w:r w:rsidR="00E41EBD" w:rsidRPr="007250A8">
        <w:rPr>
          <w:lang w:val="en-GB"/>
        </w:rPr>
        <w:t xml:space="preserve"> (Ullah and </w:t>
      </w:r>
      <w:proofErr w:type="spellStart"/>
      <w:r w:rsidR="00E41EBD" w:rsidRPr="007250A8">
        <w:rPr>
          <w:lang w:val="en-GB"/>
        </w:rPr>
        <w:t>Nobanee</w:t>
      </w:r>
      <w:proofErr w:type="spellEnd"/>
      <w:r w:rsidR="00E41EBD" w:rsidRPr="007250A8">
        <w:rPr>
          <w:lang w:val="en-GB"/>
        </w:rPr>
        <w:t>, 2025)</w:t>
      </w:r>
      <w:r w:rsidRPr="007250A8">
        <w:rPr>
          <w:lang w:val="en-GB"/>
        </w:rPr>
        <w:t xml:space="preserve">. Such risks can be reduced </w:t>
      </w:r>
      <w:r w:rsidR="00277CBD" w:rsidRPr="007250A8">
        <w:rPr>
          <w:lang w:val="en-GB"/>
        </w:rPr>
        <w:t>through</w:t>
      </w:r>
      <w:r w:rsidRPr="007250A8">
        <w:rPr>
          <w:lang w:val="en-GB"/>
        </w:rPr>
        <w:t xml:space="preserve"> adopting currency risk management poli</w:t>
      </w:r>
      <w:r w:rsidR="00277CBD" w:rsidRPr="007250A8">
        <w:rPr>
          <w:lang w:val="en-GB"/>
        </w:rPr>
        <w:t>cy and</w:t>
      </w:r>
      <w:r w:rsidRPr="007250A8">
        <w:rPr>
          <w:lang w:val="en-GB"/>
        </w:rPr>
        <w:t xml:space="preserve"> diversifying planning of cash flows. Marriott</w:t>
      </w:r>
      <w:r w:rsidR="00277CBD" w:rsidRPr="007250A8">
        <w:rPr>
          <w:lang w:val="en-GB"/>
        </w:rPr>
        <w:t xml:space="preserve"> involves</w:t>
      </w:r>
      <w:r w:rsidRPr="007250A8">
        <w:rPr>
          <w:lang w:val="en-GB"/>
        </w:rPr>
        <w:t xml:space="preserve"> strict standards</w:t>
      </w:r>
      <w:r w:rsidR="00277CBD" w:rsidRPr="007250A8">
        <w:rPr>
          <w:lang w:val="en-GB"/>
        </w:rPr>
        <w:t xml:space="preserve"> based on</w:t>
      </w:r>
      <w:r w:rsidRPr="007250A8">
        <w:rPr>
          <w:lang w:val="en-GB"/>
        </w:rPr>
        <w:t xml:space="preserve"> tax compliance with domestic and internation</w:t>
      </w:r>
      <w:r w:rsidR="00277CBD" w:rsidRPr="007250A8">
        <w:rPr>
          <w:lang w:val="en-GB"/>
        </w:rPr>
        <w:t>al</w:t>
      </w:r>
      <w:r w:rsidRPr="007250A8">
        <w:rPr>
          <w:lang w:val="en-GB"/>
        </w:rPr>
        <w:t xml:space="preserve"> jurisdictions.</w:t>
      </w:r>
    </w:p>
    <w:p w14:paraId="712A4378" w14:textId="7322021C" w:rsidR="00D94F3B" w:rsidRPr="007250A8" w:rsidRDefault="00D94F3B" w:rsidP="00D94F3B">
      <w:pPr>
        <w:rPr>
          <w:lang w:val="en-GB"/>
        </w:rPr>
      </w:pPr>
      <w:r w:rsidRPr="007250A8">
        <w:rPr>
          <w:lang w:val="en-GB"/>
        </w:rPr>
        <w:lastRenderedPageBreak/>
        <w:t xml:space="preserve">Inflation is another aspect </w:t>
      </w:r>
      <w:r w:rsidR="00277CBD" w:rsidRPr="007250A8">
        <w:rPr>
          <w:lang w:val="en-GB"/>
        </w:rPr>
        <w:t>with</w:t>
      </w:r>
      <w:r w:rsidRPr="007250A8">
        <w:rPr>
          <w:lang w:val="en-GB"/>
        </w:rPr>
        <w:t xml:space="preserve"> increased wage costs, maintenance costs and running cost</w:t>
      </w:r>
      <w:r w:rsidR="00277CBD" w:rsidRPr="007250A8">
        <w:rPr>
          <w:lang w:val="en-GB"/>
        </w:rPr>
        <w:t>s such as</w:t>
      </w:r>
      <w:r w:rsidRPr="007250A8">
        <w:rPr>
          <w:lang w:val="en-GB"/>
        </w:rPr>
        <w:t xml:space="preserve"> utilitie</w:t>
      </w:r>
      <w:r w:rsidR="00277CBD" w:rsidRPr="007250A8">
        <w:rPr>
          <w:lang w:val="en-GB"/>
        </w:rPr>
        <w:t>s, contributing to</w:t>
      </w:r>
      <w:r w:rsidRPr="007250A8">
        <w:rPr>
          <w:lang w:val="en-GB"/>
        </w:rPr>
        <w:t xml:space="preserve"> increase of running expenses. The financial and structural strategies </w:t>
      </w:r>
      <w:r w:rsidR="00277CBD" w:rsidRPr="007250A8">
        <w:rPr>
          <w:lang w:val="en-GB"/>
        </w:rPr>
        <w:t>of the company should take</w:t>
      </w:r>
      <w:r w:rsidRPr="007250A8">
        <w:rPr>
          <w:lang w:val="en-GB"/>
        </w:rPr>
        <w:t xml:space="preserve"> inflation aspects into consideration. Ethical issues </w:t>
      </w:r>
      <w:r w:rsidR="00277CBD" w:rsidRPr="007250A8">
        <w:rPr>
          <w:lang w:val="en-GB"/>
        </w:rPr>
        <w:t>should be analysed and</w:t>
      </w:r>
      <w:r w:rsidRPr="007250A8">
        <w:rPr>
          <w:lang w:val="en-GB"/>
        </w:rPr>
        <w:t xml:space="preserve"> ensured that cost reduction does </w:t>
      </w:r>
      <w:r w:rsidR="00277CBD" w:rsidRPr="007250A8">
        <w:rPr>
          <w:lang w:val="en-GB"/>
        </w:rPr>
        <w:t xml:space="preserve">not hamper </w:t>
      </w:r>
      <w:r w:rsidRPr="007250A8">
        <w:rPr>
          <w:lang w:val="en-GB"/>
        </w:rPr>
        <w:t>employee welfare and environmenta</w:t>
      </w:r>
      <w:r w:rsidR="00277CBD" w:rsidRPr="007250A8">
        <w:rPr>
          <w:lang w:val="en-GB"/>
        </w:rPr>
        <w:t xml:space="preserve">l </w:t>
      </w:r>
      <w:r w:rsidRPr="007250A8">
        <w:rPr>
          <w:lang w:val="en-GB"/>
        </w:rPr>
        <w:t>preservation</w:t>
      </w:r>
      <w:r w:rsidR="00E41EBD" w:rsidRPr="007250A8">
        <w:rPr>
          <w:lang w:val="en-GB"/>
        </w:rPr>
        <w:t xml:space="preserve"> (Al-</w:t>
      </w:r>
      <w:proofErr w:type="spellStart"/>
      <w:r w:rsidR="00E41EBD" w:rsidRPr="007250A8">
        <w:rPr>
          <w:lang w:val="en-GB"/>
        </w:rPr>
        <w:t>Swidi</w:t>
      </w:r>
      <w:proofErr w:type="spellEnd"/>
      <w:r w:rsidR="00E41EBD" w:rsidRPr="007250A8">
        <w:rPr>
          <w:lang w:val="en-GB"/>
        </w:rPr>
        <w:t xml:space="preserve"> et al., 2024)</w:t>
      </w:r>
      <w:r w:rsidRPr="007250A8">
        <w:rPr>
          <w:lang w:val="en-GB"/>
        </w:rPr>
        <w:t>. Structural change should communicate to investors and other stakeholders</w:t>
      </w:r>
      <w:r w:rsidR="00277CBD" w:rsidRPr="007250A8">
        <w:rPr>
          <w:lang w:val="en-GB"/>
        </w:rPr>
        <w:t xml:space="preserve"> based on</w:t>
      </w:r>
      <w:r w:rsidRPr="007250A8">
        <w:rPr>
          <w:lang w:val="en-GB"/>
        </w:rPr>
        <w:t xml:space="preserve"> </w:t>
      </w:r>
      <w:r w:rsidR="00277CBD" w:rsidRPr="007250A8">
        <w:rPr>
          <w:lang w:val="en-GB"/>
        </w:rPr>
        <w:t>s</w:t>
      </w:r>
      <w:r w:rsidRPr="007250A8">
        <w:rPr>
          <w:lang w:val="en-GB"/>
        </w:rPr>
        <w:t>ocial and environmental responsibility aspects</w:t>
      </w:r>
      <w:r w:rsidR="00E41EBD" w:rsidRPr="007250A8">
        <w:rPr>
          <w:lang w:val="en-GB"/>
        </w:rPr>
        <w:t xml:space="preserve"> (Ahsan and Khawaja, 2024)</w:t>
      </w:r>
      <w:r w:rsidRPr="007250A8">
        <w:rPr>
          <w:lang w:val="en-GB"/>
        </w:rPr>
        <w:t>. Such financial sustainabilit</w:t>
      </w:r>
      <w:r w:rsidR="00277CBD" w:rsidRPr="007250A8">
        <w:rPr>
          <w:lang w:val="en-GB"/>
        </w:rPr>
        <w:t>y and</w:t>
      </w:r>
      <w:r w:rsidRPr="007250A8">
        <w:rPr>
          <w:lang w:val="en-GB"/>
        </w:rPr>
        <w:t xml:space="preserve"> ESG investments increase value of Marriott in </w:t>
      </w:r>
      <w:r w:rsidR="00277CBD" w:rsidRPr="007250A8">
        <w:rPr>
          <w:lang w:val="en-GB"/>
        </w:rPr>
        <w:t>views of</w:t>
      </w:r>
      <w:r w:rsidRPr="007250A8">
        <w:rPr>
          <w:lang w:val="en-GB"/>
        </w:rPr>
        <w:t xml:space="preserve"> stakeholders.</w:t>
      </w:r>
    </w:p>
    <w:p w14:paraId="7D6B4D19" w14:textId="77777777" w:rsidR="00D94F3B" w:rsidRPr="007250A8" w:rsidRDefault="00D94F3B" w:rsidP="00F432C1">
      <w:pPr>
        <w:pStyle w:val="Heading2"/>
        <w:rPr>
          <w:lang w:val="en-GB"/>
        </w:rPr>
      </w:pPr>
      <w:bookmarkStart w:id="27" w:name="_Toc237459798"/>
      <w:r w:rsidRPr="007250A8">
        <w:rPr>
          <w:lang w:val="en-GB"/>
        </w:rPr>
        <w:t>4.5 Recommended Restructuring Strategy</w:t>
      </w:r>
      <w:bookmarkEnd w:id="27"/>
    </w:p>
    <w:tbl>
      <w:tblPr>
        <w:tblStyle w:val="GridTable6Colorful"/>
        <w:tblW w:w="0" w:type="auto"/>
        <w:tblLook w:val="04A0" w:firstRow="1" w:lastRow="0" w:firstColumn="1" w:lastColumn="0" w:noHBand="0" w:noVBand="1"/>
      </w:tblPr>
      <w:tblGrid>
        <w:gridCol w:w="2366"/>
        <w:gridCol w:w="2159"/>
        <w:gridCol w:w="2120"/>
        <w:gridCol w:w="2371"/>
      </w:tblGrid>
      <w:tr w:rsidR="009E3CEF" w:rsidRPr="007250A8" w14:paraId="6DD8703C" w14:textId="77777777" w:rsidTr="003E15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C5E9B6" w14:textId="77777777" w:rsidR="009E3CEF" w:rsidRPr="007250A8" w:rsidRDefault="009E3CEF" w:rsidP="009E3CEF">
            <w:pPr>
              <w:rPr>
                <w:lang w:val="en-GB"/>
              </w:rPr>
            </w:pPr>
            <w:r w:rsidRPr="007250A8">
              <w:rPr>
                <w:lang w:val="en-GB"/>
              </w:rPr>
              <w:t>Restructuring Element</w:t>
            </w:r>
          </w:p>
        </w:tc>
        <w:tc>
          <w:tcPr>
            <w:tcW w:w="0" w:type="auto"/>
            <w:hideMark/>
          </w:tcPr>
          <w:p w14:paraId="6AA3C661" w14:textId="77777777" w:rsidR="009E3CEF" w:rsidRPr="007250A8" w:rsidRDefault="009E3CEF" w:rsidP="009E3CEF">
            <w:pPr>
              <w:cnfStyle w:val="100000000000" w:firstRow="1" w:lastRow="0" w:firstColumn="0" w:lastColumn="0" w:oddVBand="0" w:evenVBand="0" w:oddHBand="0" w:evenHBand="0" w:firstRowFirstColumn="0" w:firstRowLastColumn="0" w:lastRowFirstColumn="0" w:lastRowLastColumn="0"/>
              <w:rPr>
                <w:lang w:val="en-GB"/>
              </w:rPr>
            </w:pPr>
            <w:r w:rsidRPr="007250A8">
              <w:rPr>
                <w:lang w:val="en-GB"/>
              </w:rPr>
              <w:t>Proposed Action</w:t>
            </w:r>
          </w:p>
        </w:tc>
        <w:tc>
          <w:tcPr>
            <w:tcW w:w="0" w:type="auto"/>
            <w:hideMark/>
          </w:tcPr>
          <w:p w14:paraId="27FE5A38" w14:textId="77777777" w:rsidR="009E3CEF" w:rsidRPr="007250A8" w:rsidRDefault="009E3CEF" w:rsidP="009E3CEF">
            <w:pPr>
              <w:cnfStyle w:val="100000000000" w:firstRow="1" w:lastRow="0" w:firstColumn="0" w:lastColumn="0" w:oddVBand="0" w:evenVBand="0" w:oddHBand="0" w:evenHBand="0" w:firstRowFirstColumn="0" w:firstRowLastColumn="0" w:lastRowFirstColumn="0" w:lastRowLastColumn="0"/>
              <w:rPr>
                <w:lang w:val="en-GB"/>
              </w:rPr>
            </w:pPr>
            <w:r w:rsidRPr="007250A8">
              <w:rPr>
                <w:lang w:val="en-GB"/>
              </w:rPr>
              <w:t>Rationale</w:t>
            </w:r>
          </w:p>
        </w:tc>
        <w:tc>
          <w:tcPr>
            <w:tcW w:w="0" w:type="auto"/>
            <w:hideMark/>
          </w:tcPr>
          <w:p w14:paraId="63D7EE28" w14:textId="77777777" w:rsidR="009E3CEF" w:rsidRPr="007250A8" w:rsidRDefault="009E3CEF" w:rsidP="009E3CEF">
            <w:pPr>
              <w:cnfStyle w:val="100000000000" w:firstRow="1" w:lastRow="0" w:firstColumn="0" w:lastColumn="0" w:oddVBand="0" w:evenVBand="0" w:oddHBand="0" w:evenHBand="0" w:firstRowFirstColumn="0" w:firstRowLastColumn="0" w:lastRowFirstColumn="0" w:lastRowLastColumn="0"/>
              <w:rPr>
                <w:lang w:val="en-GB"/>
              </w:rPr>
            </w:pPr>
            <w:r w:rsidRPr="007250A8">
              <w:rPr>
                <w:lang w:val="en-GB"/>
              </w:rPr>
              <w:t>Expected Outcome</w:t>
            </w:r>
          </w:p>
        </w:tc>
      </w:tr>
      <w:tr w:rsidR="009E3CEF" w:rsidRPr="007250A8" w14:paraId="26E30913"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356A9BB" w14:textId="41A59965" w:rsidR="009E3CEF" w:rsidRPr="007250A8" w:rsidRDefault="009E3CEF" w:rsidP="009E3CEF">
            <w:pPr>
              <w:rPr>
                <w:lang w:val="en-GB"/>
              </w:rPr>
            </w:pPr>
            <w:r w:rsidRPr="007250A8">
              <w:rPr>
                <w:lang w:val="en-GB"/>
              </w:rPr>
              <w:t>Selective Divestiture</w:t>
            </w:r>
          </w:p>
        </w:tc>
        <w:tc>
          <w:tcPr>
            <w:tcW w:w="0" w:type="auto"/>
          </w:tcPr>
          <w:p w14:paraId="4EBA2F31" w14:textId="724696A4" w:rsidR="009E3CEF" w:rsidRPr="007250A8" w:rsidRDefault="009E3CEF"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Dispose non-performing assets</w:t>
            </w:r>
          </w:p>
        </w:tc>
        <w:tc>
          <w:tcPr>
            <w:tcW w:w="0" w:type="auto"/>
          </w:tcPr>
          <w:p w14:paraId="57B156D9" w14:textId="77E6DCAD" w:rsidR="009E3CEF" w:rsidRPr="007250A8" w:rsidRDefault="009E3CEF"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Raises funds or invest for higher returns on investment.</w:t>
            </w:r>
          </w:p>
        </w:tc>
        <w:tc>
          <w:tcPr>
            <w:tcW w:w="0" w:type="auto"/>
          </w:tcPr>
          <w:p w14:paraId="495D99D3" w14:textId="17F75FBB" w:rsidR="009E3CEF" w:rsidRPr="007250A8" w:rsidRDefault="009E3CEF"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Improves liquidity and effectiveness</w:t>
            </w:r>
          </w:p>
        </w:tc>
      </w:tr>
      <w:tr w:rsidR="009E3CEF" w:rsidRPr="007250A8" w14:paraId="721762F4"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6EDFD413" w14:textId="14E6D2CD" w:rsidR="009E3CEF" w:rsidRPr="007250A8" w:rsidRDefault="00901C93" w:rsidP="009E3CEF">
            <w:pPr>
              <w:rPr>
                <w:lang w:val="en-GB"/>
              </w:rPr>
            </w:pPr>
            <w:r w:rsidRPr="007250A8">
              <w:rPr>
                <w:lang w:val="en-GB"/>
              </w:rPr>
              <w:t>Debt rescheduling</w:t>
            </w:r>
          </w:p>
        </w:tc>
        <w:tc>
          <w:tcPr>
            <w:tcW w:w="0" w:type="auto"/>
          </w:tcPr>
          <w:p w14:paraId="1BD7C342" w14:textId="636E246A" w:rsidR="009E3CEF" w:rsidRPr="007250A8" w:rsidRDefault="00901C93"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t>Extending credit and establishing favourable conditions</w:t>
            </w:r>
          </w:p>
        </w:tc>
        <w:tc>
          <w:tcPr>
            <w:tcW w:w="0" w:type="auto"/>
          </w:tcPr>
          <w:p w14:paraId="3F6A7340" w14:textId="039B4761" w:rsidR="009E3CEF" w:rsidRPr="007250A8" w:rsidRDefault="00901C93"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t>Reduce burden of repayments</w:t>
            </w:r>
          </w:p>
        </w:tc>
        <w:tc>
          <w:tcPr>
            <w:tcW w:w="0" w:type="auto"/>
          </w:tcPr>
          <w:p w14:paraId="71D42188" w14:textId="4AB1684E" w:rsidR="009E3CEF" w:rsidRPr="007250A8" w:rsidRDefault="00901C93"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t>Improved liquidity and solvency situation</w:t>
            </w:r>
          </w:p>
        </w:tc>
      </w:tr>
      <w:tr w:rsidR="009E3CEF" w:rsidRPr="007250A8" w14:paraId="01996B93"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63C10EC" w14:textId="0CD00C81" w:rsidR="009E3CEF" w:rsidRPr="007250A8" w:rsidRDefault="00595637" w:rsidP="009E3CEF">
            <w:pPr>
              <w:rPr>
                <w:lang w:val="en-GB"/>
              </w:rPr>
            </w:pPr>
            <w:r w:rsidRPr="007250A8">
              <w:rPr>
                <w:lang w:val="en-GB"/>
              </w:rPr>
              <w:t>Selective Equity Injection</w:t>
            </w:r>
          </w:p>
        </w:tc>
        <w:tc>
          <w:tcPr>
            <w:tcW w:w="0" w:type="auto"/>
          </w:tcPr>
          <w:p w14:paraId="4961DEF6" w14:textId="1B627B84" w:rsidR="009E3CEF" w:rsidRPr="007250A8" w:rsidRDefault="00595637"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Strategic investors and limited new equity investments</w:t>
            </w:r>
          </w:p>
        </w:tc>
        <w:tc>
          <w:tcPr>
            <w:tcW w:w="0" w:type="auto"/>
          </w:tcPr>
          <w:p w14:paraId="4AB36A2B" w14:textId="50D6D597" w:rsidR="009E3CEF" w:rsidRPr="007250A8" w:rsidRDefault="00595637"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Limits debt and improves capital situation</w:t>
            </w:r>
          </w:p>
        </w:tc>
        <w:tc>
          <w:tcPr>
            <w:tcW w:w="0" w:type="auto"/>
          </w:tcPr>
          <w:p w14:paraId="5FFCD58D" w14:textId="667BD7E7" w:rsidR="009E3CEF" w:rsidRPr="007250A8" w:rsidRDefault="00595637"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Basis for investment and reduces leverage</w:t>
            </w:r>
          </w:p>
        </w:tc>
      </w:tr>
      <w:tr w:rsidR="009E3CEF" w:rsidRPr="007250A8" w14:paraId="7BE09C8E" w14:textId="77777777" w:rsidTr="003E1519">
        <w:tc>
          <w:tcPr>
            <w:cnfStyle w:val="001000000000" w:firstRow="0" w:lastRow="0" w:firstColumn="1" w:lastColumn="0" w:oddVBand="0" w:evenVBand="0" w:oddHBand="0" w:evenHBand="0" w:firstRowFirstColumn="0" w:firstRowLastColumn="0" w:lastRowFirstColumn="0" w:lastRowLastColumn="0"/>
            <w:tcW w:w="0" w:type="auto"/>
          </w:tcPr>
          <w:p w14:paraId="75C0A8B6" w14:textId="49E0835D" w:rsidR="009E3CEF" w:rsidRPr="007250A8" w:rsidRDefault="00595637" w:rsidP="009E3CEF">
            <w:pPr>
              <w:rPr>
                <w:lang w:val="en-GB"/>
              </w:rPr>
            </w:pPr>
            <w:r w:rsidRPr="007250A8">
              <w:rPr>
                <w:lang w:val="en-GB"/>
              </w:rPr>
              <w:t>Strategic Alliances</w:t>
            </w:r>
          </w:p>
        </w:tc>
        <w:tc>
          <w:tcPr>
            <w:tcW w:w="0" w:type="auto"/>
          </w:tcPr>
          <w:p w14:paraId="7B1544CD" w14:textId="75079AF7" w:rsidR="009E3CEF" w:rsidRPr="007250A8" w:rsidRDefault="00595637"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t xml:space="preserve">Alliances with technology and global hospitality </w:t>
            </w:r>
          </w:p>
        </w:tc>
        <w:tc>
          <w:tcPr>
            <w:tcW w:w="0" w:type="auto"/>
          </w:tcPr>
          <w:p w14:paraId="79FD6D6C" w14:textId="724D92C2" w:rsidR="009E3CEF" w:rsidRPr="007250A8" w:rsidRDefault="00595637"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t xml:space="preserve">Access to markets, </w:t>
            </w:r>
            <w:r w:rsidRPr="007250A8">
              <w:rPr>
                <w:lang w:val="en-GB"/>
              </w:rPr>
              <w:lastRenderedPageBreak/>
              <w:t>technology and resources</w:t>
            </w:r>
          </w:p>
        </w:tc>
        <w:tc>
          <w:tcPr>
            <w:tcW w:w="0" w:type="auto"/>
          </w:tcPr>
          <w:p w14:paraId="0A5BB94E" w14:textId="0B5B9C15" w:rsidR="009E3CEF" w:rsidRPr="007250A8" w:rsidRDefault="00595637" w:rsidP="009E3CEF">
            <w:pPr>
              <w:cnfStyle w:val="000000000000" w:firstRow="0" w:lastRow="0" w:firstColumn="0" w:lastColumn="0" w:oddVBand="0" w:evenVBand="0" w:oddHBand="0" w:evenHBand="0" w:firstRowFirstColumn="0" w:firstRowLastColumn="0" w:lastRowFirstColumn="0" w:lastRowLastColumn="0"/>
              <w:rPr>
                <w:lang w:val="en-GB"/>
              </w:rPr>
            </w:pPr>
            <w:r w:rsidRPr="007250A8">
              <w:rPr>
                <w:lang w:val="en-GB"/>
              </w:rPr>
              <w:lastRenderedPageBreak/>
              <w:t xml:space="preserve">Increase competitiveness </w:t>
            </w:r>
            <w:r w:rsidRPr="007250A8">
              <w:rPr>
                <w:lang w:val="en-GB"/>
              </w:rPr>
              <w:lastRenderedPageBreak/>
              <w:t>and strategic operations</w:t>
            </w:r>
          </w:p>
        </w:tc>
      </w:tr>
      <w:tr w:rsidR="009E3CEF" w:rsidRPr="007250A8" w14:paraId="3C21A8C8" w14:textId="77777777" w:rsidTr="003E15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E2EEC4" w14:textId="6322F5E0" w:rsidR="009E3CEF" w:rsidRPr="007250A8" w:rsidRDefault="00595637" w:rsidP="009E3CEF">
            <w:pPr>
              <w:rPr>
                <w:lang w:val="en-GB"/>
              </w:rPr>
            </w:pPr>
            <w:r w:rsidRPr="007250A8">
              <w:rPr>
                <w:lang w:val="en-GB"/>
              </w:rPr>
              <w:lastRenderedPageBreak/>
              <w:t>Environmental, social, and governance (ESG)</w:t>
            </w:r>
          </w:p>
        </w:tc>
        <w:tc>
          <w:tcPr>
            <w:tcW w:w="0" w:type="auto"/>
          </w:tcPr>
          <w:p w14:paraId="06EEC6B9" w14:textId="77D4C1F9" w:rsidR="009E3CEF" w:rsidRPr="007250A8" w:rsidRDefault="00595637" w:rsidP="00595637">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Integration of sustainable financing and responsible governance</w:t>
            </w:r>
          </w:p>
        </w:tc>
        <w:tc>
          <w:tcPr>
            <w:tcW w:w="0" w:type="auto"/>
          </w:tcPr>
          <w:p w14:paraId="114A61E1" w14:textId="5652E8E3" w:rsidR="009E3CEF" w:rsidRPr="007250A8" w:rsidRDefault="00595637"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Safeguards interests and reputation of stakeholders</w:t>
            </w:r>
          </w:p>
        </w:tc>
        <w:tc>
          <w:tcPr>
            <w:tcW w:w="0" w:type="auto"/>
          </w:tcPr>
          <w:p w14:paraId="6D99B0D4" w14:textId="39D0B1D7" w:rsidR="009E3CEF" w:rsidRPr="007250A8" w:rsidRDefault="00595637" w:rsidP="009E3CEF">
            <w:pPr>
              <w:cnfStyle w:val="000000100000" w:firstRow="0" w:lastRow="0" w:firstColumn="0" w:lastColumn="0" w:oddVBand="0" w:evenVBand="0" w:oddHBand="1" w:evenHBand="0" w:firstRowFirstColumn="0" w:firstRowLastColumn="0" w:lastRowFirstColumn="0" w:lastRowLastColumn="0"/>
              <w:rPr>
                <w:lang w:val="en-GB"/>
              </w:rPr>
            </w:pPr>
            <w:r w:rsidRPr="007250A8">
              <w:rPr>
                <w:lang w:val="en-GB"/>
              </w:rPr>
              <w:t>Sustainable value for shareholders</w:t>
            </w:r>
          </w:p>
        </w:tc>
      </w:tr>
    </w:tbl>
    <w:p w14:paraId="64006883" w14:textId="207BC234" w:rsidR="00D94F3B" w:rsidRPr="007250A8" w:rsidRDefault="00F432C1" w:rsidP="00D94F3B">
      <w:pPr>
        <w:rPr>
          <w:lang w:val="en-GB"/>
        </w:rPr>
      </w:pPr>
      <w:r w:rsidRPr="007250A8">
        <w:rPr>
          <w:lang w:val="en-GB"/>
        </w:rPr>
        <w:t xml:space="preserve">The approach includes </w:t>
      </w:r>
      <w:r w:rsidR="00D94F3B" w:rsidRPr="007250A8">
        <w:rPr>
          <w:lang w:val="en-GB"/>
        </w:rPr>
        <w:t>balanced restructuring process</w:t>
      </w:r>
      <w:r w:rsidRPr="007250A8">
        <w:rPr>
          <w:lang w:val="en-GB"/>
        </w:rPr>
        <w:t>, where Marriott needs to f</w:t>
      </w:r>
      <w:r w:rsidR="00D94F3B" w:rsidRPr="007250A8">
        <w:rPr>
          <w:lang w:val="en-GB"/>
        </w:rPr>
        <w:t xml:space="preserve">ocus </w:t>
      </w:r>
      <w:r w:rsidRPr="007250A8">
        <w:rPr>
          <w:lang w:val="en-GB"/>
        </w:rPr>
        <w:t>on</w:t>
      </w:r>
      <w:r w:rsidR="00D94F3B" w:rsidRPr="007250A8">
        <w:rPr>
          <w:lang w:val="en-GB"/>
        </w:rPr>
        <w:t xml:space="preserve"> rescheduling of debts</w:t>
      </w:r>
      <w:r w:rsidRPr="007250A8">
        <w:rPr>
          <w:lang w:val="en-GB"/>
        </w:rPr>
        <w:t>,</w:t>
      </w:r>
      <w:r w:rsidR="00D94F3B" w:rsidRPr="007250A8">
        <w:rPr>
          <w:lang w:val="en-GB"/>
        </w:rPr>
        <w:t xml:space="preserve"> selective sale of assets to increase liquidity and depend on </w:t>
      </w:r>
      <w:r w:rsidRPr="007250A8">
        <w:rPr>
          <w:lang w:val="en-GB"/>
        </w:rPr>
        <w:t>b</w:t>
      </w:r>
      <w:r w:rsidR="00D94F3B" w:rsidRPr="007250A8">
        <w:rPr>
          <w:lang w:val="en-GB"/>
        </w:rPr>
        <w:t xml:space="preserve">usiness relationships to achieve </w:t>
      </w:r>
      <w:r w:rsidRPr="007250A8">
        <w:rPr>
          <w:lang w:val="en-GB"/>
        </w:rPr>
        <w:t xml:space="preserve">long term </w:t>
      </w:r>
      <w:r w:rsidR="00D94F3B" w:rsidRPr="007250A8">
        <w:rPr>
          <w:lang w:val="en-GB"/>
        </w:rPr>
        <w:t xml:space="preserve">success. Restructuring should </w:t>
      </w:r>
      <w:r w:rsidRPr="007250A8">
        <w:rPr>
          <w:lang w:val="en-GB"/>
        </w:rPr>
        <w:t>be developed on</w:t>
      </w:r>
      <w:r w:rsidR="00D94F3B" w:rsidRPr="007250A8">
        <w:rPr>
          <w:lang w:val="en-GB"/>
        </w:rPr>
        <w:t xml:space="preserve"> basis of limited equity infusion</w:t>
      </w:r>
      <w:r w:rsidRPr="007250A8">
        <w:rPr>
          <w:lang w:val="en-GB"/>
        </w:rPr>
        <w:t xml:space="preserve"> </w:t>
      </w:r>
      <w:r w:rsidR="00D94F3B" w:rsidRPr="007250A8">
        <w:rPr>
          <w:lang w:val="en-GB"/>
        </w:rPr>
        <w:t>and incorporating ESG principle</w:t>
      </w:r>
      <w:r w:rsidRPr="007250A8">
        <w:rPr>
          <w:lang w:val="en-GB"/>
        </w:rPr>
        <w:t>s</w:t>
      </w:r>
      <w:r w:rsidR="00D94F3B" w:rsidRPr="007250A8">
        <w:rPr>
          <w:lang w:val="en-GB"/>
        </w:rPr>
        <w:t>. Th</w:t>
      </w:r>
      <w:r w:rsidRPr="007250A8">
        <w:rPr>
          <w:lang w:val="en-GB"/>
        </w:rPr>
        <w:t>e</w:t>
      </w:r>
      <w:r w:rsidR="00D94F3B" w:rsidRPr="007250A8">
        <w:rPr>
          <w:lang w:val="en-GB"/>
        </w:rPr>
        <w:t xml:space="preserve"> approach will </w:t>
      </w:r>
      <w:r w:rsidRPr="007250A8">
        <w:rPr>
          <w:lang w:val="en-GB"/>
        </w:rPr>
        <w:t>solve</w:t>
      </w:r>
      <w:r w:rsidR="00D94F3B" w:rsidRPr="007250A8">
        <w:rPr>
          <w:lang w:val="en-GB"/>
        </w:rPr>
        <w:t xml:space="preserve"> Marriott</w:t>
      </w:r>
      <w:r w:rsidRPr="007250A8">
        <w:rPr>
          <w:lang w:val="en-GB"/>
        </w:rPr>
        <w:t>’s</w:t>
      </w:r>
      <w:r w:rsidR="00D94F3B" w:rsidRPr="007250A8">
        <w:rPr>
          <w:lang w:val="en-GB"/>
        </w:rPr>
        <w:t xml:space="preserve"> liquidity </w:t>
      </w:r>
      <w:r w:rsidRPr="007250A8">
        <w:rPr>
          <w:lang w:val="en-GB"/>
        </w:rPr>
        <w:t>issues</w:t>
      </w:r>
      <w:r w:rsidR="00D94F3B" w:rsidRPr="007250A8">
        <w:rPr>
          <w:lang w:val="en-GB"/>
        </w:rPr>
        <w:t xml:space="preserve">, </w:t>
      </w:r>
      <w:r w:rsidR="00494818" w:rsidRPr="007250A8">
        <w:rPr>
          <w:lang w:val="en-GB"/>
        </w:rPr>
        <w:t>increase</w:t>
      </w:r>
      <w:r w:rsidR="00D94F3B" w:rsidRPr="007250A8">
        <w:rPr>
          <w:lang w:val="en-GB"/>
        </w:rPr>
        <w:t xml:space="preserve"> leverage</w:t>
      </w:r>
      <w:r w:rsidRPr="007250A8">
        <w:rPr>
          <w:lang w:val="en-GB"/>
        </w:rPr>
        <w:t xml:space="preserve"> </w:t>
      </w:r>
      <w:r w:rsidR="00D94F3B" w:rsidRPr="007250A8">
        <w:rPr>
          <w:lang w:val="en-GB"/>
        </w:rPr>
        <w:t>and preserve revenue generation abilit</w:t>
      </w:r>
      <w:r w:rsidRPr="007250A8">
        <w:rPr>
          <w:lang w:val="en-GB"/>
        </w:rPr>
        <w:t xml:space="preserve">y and </w:t>
      </w:r>
      <w:r w:rsidR="00D94F3B" w:rsidRPr="007250A8">
        <w:rPr>
          <w:lang w:val="en-GB"/>
        </w:rPr>
        <w:t>profitability.</w:t>
      </w:r>
    </w:p>
    <w:p w14:paraId="136750CE" w14:textId="77777777" w:rsidR="00494818" w:rsidRPr="007250A8" w:rsidRDefault="00494818" w:rsidP="00494818">
      <w:pPr>
        <w:pStyle w:val="Heading1"/>
        <w:rPr>
          <w:lang w:val="en-GB"/>
        </w:rPr>
      </w:pPr>
      <w:bookmarkStart w:id="28" w:name="_Toc237459799"/>
      <w:r w:rsidRPr="007250A8">
        <w:rPr>
          <w:lang w:val="en-GB"/>
        </w:rPr>
        <w:t>5. Investment Appraisal and Capital Budgeting</w:t>
      </w:r>
      <w:bookmarkEnd w:id="28"/>
    </w:p>
    <w:p w14:paraId="0CAD5BB9" w14:textId="20ECA0B7" w:rsidR="00494818" w:rsidRPr="007250A8" w:rsidRDefault="00494818" w:rsidP="00494818">
      <w:pPr>
        <w:pStyle w:val="Heading2"/>
        <w:rPr>
          <w:lang w:val="en-GB"/>
        </w:rPr>
      </w:pPr>
      <w:bookmarkStart w:id="29" w:name="_Toc237459800"/>
      <w:r w:rsidRPr="007250A8">
        <w:rPr>
          <w:lang w:val="en-GB"/>
        </w:rPr>
        <w:t>5.1 Overview of Investment Decision</w:t>
      </w:r>
      <w:bookmarkEnd w:id="29"/>
    </w:p>
    <w:p w14:paraId="71A4728A" w14:textId="10586BAA" w:rsidR="00494818" w:rsidRPr="007250A8" w:rsidRDefault="00D457B3" w:rsidP="00494818">
      <w:pPr>
        <w:rPr>
          <w:lang w:val="en-GB"/>
        </w:rPr>
      </w:pPr>
      <w:r w:rsidRPr="007250A8">
        <w:rPr>
          <w:lang w:val="en-GB"/>
        </w:rPr>
        <w:t>Capital investments in right projects are crucial for effectiveness and Marriott’s performance for realisation of proper returns and stability. Initial investment criteria differ from one project to another along with the overall cash flows generated through the process</w:t>
      </w:r>
      <w:r w:rsidR="000769E3" w:rsidRPr="007250A8">
        <w:rPr>
          <w:lang w:val="en-GB"/>
        </w:rPr>
        <w:t xml:space="preserve"> (Shou, 2022)</w:t>
      </w:r>
      <w:r w:rsidRPr="007250A8">
        <w:rPr>
          <w:lang w:val="en-GB"/>
        </w:rPr>
        <w:t>. Thus, Payback Period (PBP), Accounting Rate of Return (ARR), Net Present Value (NPV), Profitability Index (PI) and Internal Rate of Return (IRR) are utilised for evaluation of the financial appeal. The data provided by evaluation can be used to determine the investment, offering the right combination of value creation, cash flow and risk.</w:t>
      </w:r>
    </w:p>
    <w:p w14:paraId="4CCB0A06" w14:textId="47252B30" w:rsidR="00494818" w:rsidRPr="007250A8" w:rsidRDefault="00360BBE" w:rsidP="00360BBE">
      <w:pPr>
        <w:pStyle w:val="Heading2"/>
        <w:rPr>
          <w:lang w:val="en-GB"/>
        </w:rPr>
      </w:pPr>
      <w:bookmarkStart w:id="30" w:name="_Toc237459801"/>
      <w:r w:rsidRPr="007250A8">
        <w:rPr>
          <w:lang w:val="en-GB"/>
        </w:rPr>
        <w:t>5.2 Three Proposed Investment Projects</w:t>
      </w:r>
      <w:bookmarkEnd w:id="30"/>
    </w:p>
    <w:p w14:paraId="244C659E" w14:textId="77777777" w:rsidR="00494818" w:rsidRPr="007250A8" w:rsidRDefault="00494818" w:rsidP="00360BBE">
      <w:pPr>
        <w:pStyle w:val="Heading3"/>
        <w:rPr>
          <w:lang w:val="en-GB"/>
        </w:rPr>
      </w:pPr>
      <w:bookmarkStart w:id="31" w:name="_Toc237459802"/>
      <w:r w:rsidRPr="007250A8">
        <w:rPr>
          <w:lang w:val="en-GB"/>
        </w:rPr>
        <w:t>5.2.1 Payback Period (PBP)</w:t>
      </w:r>
      <w:bookmarkEnd w:id="31"/>
    </w:p>
    <w:p w14:paraId="21E32548" w14:textId="37C918D6" w:rsidR="00494818" w:rsidRPr="007250A8" w:rsidRDefault="00D457B3" w:rsidP="00494818">
      <w:pPr>
        <w:rPr>
          <w:lang w:val="en-GB"/>
        </w:rPr>
      </w:pPr>
      <w:r w:rsidRPr="007250A8">
        <w:rPr>
          <w:lang w:val="en-GB"/>
        </w:rPr>
        <w:t xml:space="preserve">The payback period represents </w:t>
      </w:r>
      <w:proofErr w:type="gramStart"/>
      <w:r w:rsidRPr="007250A8">
        <w:rPr>
          <w:lang w:val="en-GB"/>
        </w:rPr>
        <w:t>period of time</w:t>
      </w:r>
      <w:proofErr w:type="gramEnd"/>
      <w:r w:rsidRPr="007250A8">
        <w:rPr>
          <w:lang w:val="en-GB"/>
        </w:rPr>
        <w:t xml:space="preserve"> required for the accumulat</w:t>
      </w:r>
      <w:r w:rsidR="00360BBE" w:rsidRPr="007250A8">
        <w:rPr>
          <w:lang w:val="en-GB"/>
        </w:rPr>
        <w:t>ed</w:t>
      </w:r>
      <w:r w:rsidRPr="007250A8">
        <w:rPr>
          <w:lang w:val="en-GB"/>
        </w:rPr>
        <w:t xml:space="preserve"> cash flows to</w:t>
      </w:r>
      <w:r w:rsidR="00360BBE" w:rsidRPr="007250A8">
        <w:rPr>
          <w:lang w:val="en-GB"/>
        </w:rPr>
        <w:t xml:space="preserve"> cover the </w:t>
      </w:r>
      <w:r w:rsidRPr="007250A8">
        <w:rPr>
          <w:lang w:val="en-GB"/>
        </w:rPr>
        <w:t>initial investment</w:t>
      </w:r>
      <w:r w:rsidR="000769E3" w:rsidRPr="007250A8">
        <w:rPr>
          <w:lang w:val="en-GB"/>
        </w:rPr>
        <w:t xml:space="preserve"> (Wangchuk, 2022)</w:t>
      </w:r>
      <w:r w:rsidRPr="007250A8">
        <w:rPr>
          <w:lang w:val="en-GB"/>
        </w:rPr>
        <w:t>. The payback perio</w:t>
      </w:r>
      <w:r w:rsidR="00360BBE" w:rsidRPr="007250A8">
        <w:rPr>
          <w:lang w:val="en-GB"/>
        </w:rPr>
        <w:t>d for</w:t>
      </w:r>
      <w:r w:rsidRPr="007250A8">
        <w:rPr>
          <w:lang w:val="en-GB"/>
        </w:rPr>
        <w:t xml:space="preserve"> Project A </w:t>
      </w:r>
      <w:r w:rsidR="00360BBE" w:rsidRPr="007250A8">
        <w:rPr>
          <w:lang w:val="en-GB"/>
        </w:rPr>
        <w:t>is</w:t>
      </w:r>
      <w:r w:rsidRPr="007250A8">
        <w:rPr>
          <w:lang w:val="en-GB"/>
        </w:rPr>
        <w:t xml:space="preserve"> </w:t>
      </w:r>
      <w:r w:rsidRPr="007250A8">
        <w:rPr>
          <w:lang w:val="en-GB"/>
        </w:rPr>
        <w:lastRenderedPageBreak/>
        <w:t xml:space="preserve">4 </w:t>
      </w:r>
      <w:r w:rsidR="00360BBE" w:rsidRPr="007250A8">
        <w:rPr>
          <w:lang w:val="en-GB"/>
        </w:rPr>
        <w:t>years;</w:t>
      </w:r>
      <w:r w:rsidRPr="007250A8">
        <w:rPr>
          <w:lang w:val="en-GB"/>
        </w:rPr>
        <w:t xml:space="preserve"> </w:t>
      </w:r>
      <w:r w:rsidR="00360BBE" w:rsidRPr="007250A8">
        <w:rPr>
          <w:lang w:val="en-GB"/>
        </w:rPr>
        <w:t>in case of</w:t>
      </w:r>
      <w:r w:rsidRPr="007250A8">
        <w:rPr>
          <w:lang w:val="en-GB"/>
        </w:rPr>
        <w:t xml:space="preserve"> Project </w:t>
      </w:r>
      <w:proofErr w:type="gramStart"/>
      <w:r w:rsidRPr="007250A8">
        <w:rPr>
          <w:lang w:val="en-GB"/>
        </w:rPr>
        <w:t>B</w:t>
      </w:r>
      <w:proofErr w:type="gramEnd"/>
      <w:r w:rsidRPr="007250A8">
        <w:rPr>
          <w:lang w:val="en-GB"/>
        </w:rPr>
        <w:t xml:space="preserve"> it is 3 years an</w:t>
      </w:r>
      <w:r w:rsidR="00360BBE" w:rsidRPr="007250A8">
        <w:rPr>
          <w:lang w:val="en-GB"/>
        </w:rPr>
        <w:t>d for</w:t>
      </w:r>
      <w:r w:rsidRPr="007250A8">
        <w:rPr>
          <w:lang w:val="en-GB"/>
        </w:rPr>
        <w:t xml:space="preserve"> Project C it is 4 years. Project B </w:t>
      </w:r>
      <w:r w:rsidR="00360BBE" w:rsidRPr="007250A8">
        <w:rPr>
          <w:lang w:val="en-GB"/>
        </w:rPr>
        <w:t>has the</w:t>
      </w:r>
      <w:r w:rsidRPr="007250A8">
        <w:rPr>
          <w:lang w:val="en-GB"/>
        </w:rPr>
        <w:t xml:space="preserve"> shortest payback period, </w:t>
      </w:r>
      <w:r w:rsidR="00360BBE" w:rsidRPr="007250A8">
        <w:rPr>
          <w:lang w:val="en-GB"/>
        </w:rPr>
        <w:t>relevant for</w:t>
      </w:r>
      <w:r w:rsidRPr="007250A8">
        <w:rPr>
          <w:lang w:val="en-GB"/>
        </w:rPr>
        <w:t xml:space="preserve"> reducing the time during which initial investment would be at risk. One year is added to replacement cost of projects </w:t>
      </w:r>
      <w:r w:rsidR="00360BBE" w:rsidRPr="007250A8">
        <w:rPr>
          <w:lang w:val="en-GB"/>
        </w:rPr>
        <w:t>A</w:t>
      </w:r>
      <w:r w:rsidRPr="007250A8">
        <w:rPr>
          <w:lang w:val="en-GB"/>
        </w:rPr>
        <w:t xml:space="preserve"> and C for the value recovered. However, the payback method ignores time value of money</w:t>
      </w:r>
      <w:r w:rsidR="00360BBE" w:rsidRPr="007250A8">
        <w:rPr>
          <w:lang w:val="en-GB"/>
        </w:rPr>
        <w:t xml:space="preserve"> along with the</w:t>
      </w:r>
      <w:r w:rsidRPr="007250A8">
        <w:rPr>
          <w:lang w:val="en-GB"/>
        </w:rPr>
        <w:t xml:space="preserve"> </w:t>
      </w:r>
      <w:r w:rsidR="00360BBE" w:rsidRPr="007250A8">
        <w:rPr>
          <w:lang w:val="en-GB"/>
        </w:rPr>
        <w:t>c</w:t>
      </w:r>
      <w:r w:rsidRPr="007250A8">
        <w:rPr>
          <w:lang w:val="en-GB"/>
        </w:rPr>
        <w:t>ash flows after recove</w:t>
      </w:r>
      <w:r w:rsidR="00360BBE" w:rsidRPr="007250A8">
        <w:rPr>
          <w:lang w:val="en-GB"/>
        </w:rPr>
        <w:t>ry of the</w:t>
      </w:r>
      <w:r w:rsidRPr="007250A8">
        <w:rPr>
          <w:lang w:val="en-GB"/>
        </w:rPr>
        <w:t xml:space="preserve"> investment.</w:t>
      </w:r>
    </w:p>
    <w:p w14:paraId="221A0E8E" w14:textId="442EE5A7" w:rsidR="00494818" w:rsidRPr="007250A8" w:rsidRDefault="00D51074" w:rsidP="00D51074">
      <w:pPr>
        <w:pStyle w:val="Heading3"/>
        <w:rPr>
          <w:lang w:val="en-GB"/>
        </w:rPr>
      </w:pPr>
      <w:bookmarkStart w:id="32" w:name="_Toc237459803"/>
      <w:r w:rsidRPr="007250A8">
        <w:rPr>
          <w:lang w:val="en-GB"/>
        </w:rPr>
        <w:t xml:space="preserve">5.2.2 </w:t>
      </w:r>
      <w:r w:rsidR="00494818" w:rsidRPr="007250A8">
        <w:rPr>
          <w:lang w:val="en-GB"/>
        </w:rPr>
        <w:t>Accounting Rate of Return (ARR)</w:t>
      </w:r>
      <w:bookmarkEnd w:id="32"/>
    </w:p>
    <w:p w14:paraId="5CAD176E" w14:textId="079258FA" w:rsidR="00494818" w:rsidRPr="007250A8" w:rsidRDefault="00D457B3" w:rsidP="00494818">
      <w:pPr>
        <w:rPr>
          <w:lang w:val="en-GB"/>
        </w:rPr>
      </w:pPr>
      <w:r w:rsidRPr="007250A8">
        <w:rPr>
          <w:lang w:val="en-GB"/>
        </w:rPr>
        <w:t>The accounting return</w:t>
      </w:r>
      <w:r w:rsidR="00D51074" w:rsidRPr="007250A8">
        <w:rPr>
          <w:lang w:val="en-GB"/>
        </w:rPr>
        <w:t xml:space="preserve"> as analysed</w:t>
      </w:r>
      <w:r w:rsidRPr="007250A8">
        <w:rPr>
          <w:lang w:val="en-GB"/>
        </w:rPr>
        <w:t xml:space="preserve"> by the ARR, is used </w:t>
      </w:r>
      <w:r w:rsidR="00D51074" w:rsidRPr="007250A8">
        <w:rPr>
          <w:lang w:val="en-GB"/>
        </w:rPr>
        <w:t>for</w:t>
      </w:r>
      <w:r w:rsidRPr="007250A8">
        <w:rPr>
          <w:lang w:val="en-GB"/>
        </w:rPr>
        <w:t xml:space="preserve"> measur</w:t>
      </w:r>
      <w:r w:rsidR="00D51074" w:rsidRPr="007250A8">
        <w:rPr>
          <w:lang w:val="en-GB"/>
        </w:rPr>
        <w:t xml:space="preserve">ing the overall </w:t>
      </w:r>
      <w:r w:rsidRPr="007250A8">
        <w:rPr>
          <w:lang w:val="en-GB"/>
        </w:rPr>
        <w:t>performance of investment</w:t>
      </w:r>
      <w:r w:rsidR="000769E3" w:rsidRPr="007250A8">
        <w:rPr>
          <w:lang w:val="en-GB"/>
        </w:rPr>
        <w:t xml:space="preserve"> (Perna, 2024)</w:t>
      </w:r>
      <w:r w:rsidRPr="007250A8">
        <w:rPr>
          <w:lang w:val="en-GB"/>
        </w:rPr>
        <w:t>. From the figures presented, the negati</w:t>
      </w:r>
      <w:r w:rsidR="00D51074" w:rsidRPr="007250A8">
        <w:rPr>
          <w:lang w:val="en-GB"/>
        </w:rPr>
        <w:t>ve</w:t>
      </w:r>
      <w:r w:rsidRPr="007250A8">
        <w:rPr>
          <w:lang w:val="en-GB"/>
        </w:rPr>
        <w:t xml:space="preserve"> value of ARR for the three projects under consideration </w:t>
      </w:r>
      <w:r w:rsidR="00D51074" w:rsidRPr="007250A8">
        <w:rPr>
          <w:lang w:val="en-GB"/>
        </w:rPr>
        <w:t>is</w:t>
      </w:r>
      <w:r w:rsidRPr="007250A8">
        <w:rPr>
          <w:lang w:val="en-GB"/>
        </w:rPr>
        <w:t xml:space="preserve"> found to be</w:t>
      </w:r>
      <w:r w:rsidR="00D51074" w:rsidRPr="007250A8">
        <w:rPr>
          <w:lang w:val="en-GB"/>
        </w:rPr>
        <w:t>:</w:t>
      </w:r>
      <w:r w:rsidRPr="007250A8">
        <w:rPr>
          <w:lang w:val="en-GB"/>
        </w:rPr>
        <w:t xml:space="preserve"> Project A: </w:t>
      </w:r>
      <w:r w:rsidR="00D51074" w:rsidRPr="007250A8">
        <w:rPr>
          <w:lang w:val="en-GB"/>
        </w:rPr>
        <w:t>-</w:t>
      </w:r>
      <w:r w:rsidRPr="007250A8">
        <w:rPr>
          <w:lang w:val="en-GB"/>
        </w:rPr>
        <w:t xml:space="preserve">27%, Project B: </w:t>
      </w:r>
      <w:r w:rsidR="00D51074" w:rsidRPr="007250A8">
        <w:rPr>
          <w:lang w:val="en-GB"/>
        </w:rPr>
        <w:t>-</w:t>
      </w:r>
      <w:r w:rsidRPr="007250A8">
        <w:rPr>
          <w:lang w:val="en-GB"/>
        </w:rPr>
        <w:t xml:space="preserve">37% and Project C: </w:t>
      </w:r>
      <w:r w:rsidR="00D51074" w:rsidRPr="007250A8">
        <w:rPr>
          <w:lang w:val="en-GB"/>
        </w:rPr>
        <w:t>-</w:t>
      </w:r>
      <w:r w:rsidRPr="007250A8">
        <w:rPr>
          <w:lang w:val="en-GB"/>
        </w:rPr>
        <w:t xml:space="preserve">26%. Hence, Project C </w:t>
      </w:r>
      <w:r w:rsidR="00D51074" w:rsidRPr="007250A8">
        <w:rPr>
          <w:lang w:val="en-GB"/>
        </w:rPr>
        <w:t>has the l</w:t>
      </w:r>
      <w:r w:rsidRPr="007250A8">
        <w:rPr>
          <w:lang w:val="en-GB"/>
        </w:rPr>
        <w:t>owest negative ARR followed by Project A, while Project B ha</w:t>
      </w:r>
      <w:r w:rsidR="00D51074" w:rsidRPr="007250A8">
        <w:rPr>
          <w:lang w:val="en-GB"/>
        </w:rPr>
        <w:t>s the</w:t>
      </w:r>
      <w:r w:rsidRPr="007250A8">
        <w:rPr>
          <w:lang w:val="en-GB"/>
        </w:rPr>
        <w:t xml:space="preserve"> highest negative ARR. Thus, these values have indicated t</w:t>
      </w:r>
      <w:r w:rsidR="00D51074" w:rsidRPr="007250A8">
        <w:rPr>
          <w:lang w:val="en-GB"/>
        </w:rPr>
        <w:t>hat all the</w:t>
      </w:r>
      <w:r w:rsidRPr="007250A8">
        <w:rPr>
          <w:lang w:val="en-GB"/>
        </w:rPr>
        <w:t xml:space="preserve"> projects are generating accounting losses </w:t>
      </w:r>
      <w:r w:rsidR="00D51074" w:rsidRPr="007250A8">
        <w:rPr>
          <w:lang w:val="en-GB"/>
        </w:rPr>
        <w:t>based on the provided</w:t>
      </w:r>
      <w:r w:rsidRPr="007250A8">
        <w:rPr>
          <w:lang w:val="en-GB"/>
        </w:rPr>
        <w:t xml:space="preserve"> appraisal considerations. Consequently, </w:t>
      </w:r>
      <w:r w:rsidR="00D51074" w:rsidRPr="007250A8">
        <w:rPr>
          <w:lang w:val="en-GB"/>
        </w:rPr>
        <w:t>the</w:t>
      </w:r>
      <w:r w:rsidRPr="007250A8">
        <w:rPr>
          <w:lang w:val="en-GB"/>
        </w:rPr>
        <w:t xml:space="preserve"> ARR m</w:t>
      </w:r>
      <w:r w:rsidR="00D51074" w:rsidRPr="007250A8">
        <w:rPr>
          <w:lang w:val="en-GB"/>
        </w:rPr>
        <w:t>ight n</w:t>
      </w:r>
      <w:r w:rsidRPr="007250A8">
        <w:rPr>
          <w:lang w:val="en-GB"/>
        </w:rPr>
        <w:t xml:space="preserve">ot be considered as proper evaluation tool </w:t>
      </w:r>
      <w:r w:rsidR="00D51074" w:rsidRPr="007250A8">
        <w:rPr>
          <w:lang w:val="en-GB"/>
        </w:rPr>
        <w:t>based on the</w:t>
      </w:r>
      <w:r w:rsidRPr="007250A8">
        <w:rPr>
          <w:lang w:val="en-GB"/>
        </w:rPr>
        <w:t xml:space="preserve"> given investments.</w:t>
      </w:r>
    </w:p>
    <w:p w14:paraId="7768B97D" w14:textId="7B67E4AD" w:rsidR="00494818" w:rsidRPr="007250A8" w:rsidRDefault="00025AB7" w:rsidP="00025AB7">
      <w:pPr>
        <w:pStyle w:val="Heading3"/>
        <w:rPr>
          <w:lang w:val="en-GB"/>
        </w:rPr>
      </w:pPr>
      <w:bookmarkStart w:id="33" w:name="_Toc237459804"/>
      <w:r w:rsidRPr="007250A8">
        <w:rPr>
          <w:lang w:val="en-GB"/>
        </w:rPr>
        <w:t xml:space="preserve">5.2.3 </w:t>
      </w:r>
      <w:r w:rsidR="00494818" w:rsidRPr="007250A8">
        <w:rPr>
          <w:lang w:val="en-GB"/>
        </w:rPr>
        <w:t>Net Present Value (NPV)</w:t>
      </w:r>
      <w:bookmarkEnd w:id="33"/>
    </w:p>
    <w:p w14:paraId="5061FD2C" w14:textId="59A16EA2" w:rsidR="00D457B3" w:rsidRPr="007250A8" w:rsidRDefault="00D457B3" w:rsidP="00D457B3">
      <w:pPr>
        <w:rPr>
          <w:lang w:val="en-GB"/>
        </w:rPr>
      </w:pPr>
      <w:r w:rsidRPr="007250A8">
        <w:rPr>
          <w:lang w:val="en-GB"/>
        </w:rPr>
        <w:t>The Net Present Value is calculated a</w:t>
      </w:r>
      <w:r w:rsidR="00025AB7" w:rsidRPr="007250A8">
        <w:rPr>
          <w:lang w:val="en-GB"/>
        </w:rPr>
        <w:t xml:space="preserve">s the overall </w:t>
      </w:r>
      <w:r w:rsidRPr="007250A8">
        <w:rPr>
          <w:lang w:val="en-GB"/>
        </w:rPr>
        <w:t>difference between value of all future cash flows discount</w:t>
      </w:r>
      <w:r w:rsidR="00025AB7" w:rsidRPr="007250A8">
        <w:rPr>
          <w:lang w:val="en-GB"/>
        </w:rPr>
        <w:t>ed</w:t>
      </w:r>
      <w:r w:rsidRPr="007250A8">
        <w:rPr>
          <w:lang w:val="en-GB"/>
        </w:rPr>
        <w:t xml:space="preserve"> at 8% and sum of all future cash flows discount</w:t>
      </w:r>
      <w:r w:rsidR="00025AB7" w:rsidRPr="007250A8">
        <w:rPr>
          <w:lang w:val="en-GB"/>
        </w:rPr>
        <w:t xml:space="preserve">ed </w:t>
      </w:r>
      <w:r w:rsidRPr="007250A8">
        <w:rPr>
          <w:lang w:val="en-GB"/>
        </w:rPr>
        <w:t>at 0. If the Net Present Value is positive, it indicates that project will add value a</w:t>
      </w:r>
      <w:r w:rsidR="00025AB7" w:rsidRPr="007250A8">
        <w:rPr>
          <w:lang w:val="en-GB"/>
        </w:rPr>
        <w:t>t the provided</w:t>
      </w:r>
      <w:r w:rsidRPr="007250A8">
        <w:rPr>
          <w:lang w:val="en-GB"/>
        </w:rPr>
        <w:t xml:space="preserve"> discount rate</w:t>
      </w:r>
      <w:r w:rsidR="000769E3" w:rsidRPr="007250A8">
        <w:rPr>
          <w:lang w:val="en-GB"/>
        </w:rPr>
        <w:t xml:space="preserve"> (</w:t>
      </w:r>
      <w:proofErr w:type="spellStart"/>
      <w:r w:rsidR="000769E3" w:rsidRPr="007250A8">
        <w:rPr>
          <w:lang w:val="en-GB"/>
        </w:rPr>
        <w:t>Tulhayat</w:t>
      </w:r>
      <w:proofErr w:type="spellEnd"/>
      <w:r w:rsidR="000769E3" w:rsidRPr="007250A8">
        <w:rPr>
          <w:lang w:val="en-GB"/>
        </w:rPr>
        <w:t>, Azis and Musa, 2025)</w:t>
      </w:r>
      <w:r w:rsidRPr="007250A8">
        <w:rPr>
          <w:lang w:val="en-GB"/>
        </w:rPr>
        <w:t>.</w:t>
      </w:r>
    </w:p>
    <w:p w14:paraId="5A3A64DD" w14:textId="7EF12EF3" w:rsidR="00D457B3" w:rsidRPr="007250A8" w:rsidRDefault="00D457B3" w:rsidP="00025AB7">
      <w:pPr>
        <w:pStyle w:val="ListParagraph"/>
        <w:numPr>
          <w:ilvl w:val="0"/>
          <w:numId w:val="4"/>
        </w:numPr>
        <w:rPr>
          <w:lang w:val="en-GB"/>
        </w:rPr>
      </w:pPr>
      <w:r w:rsidRPr="007250A8">
        <w:rPr>
          <w:lang w:val="en-GB"/>
        </w:rPr>
        <w:t>Project A: £3.46 millio</w:t>
      </w:r>
      <w:r w:rsidR="00025AB7" w:rsidRPr="007250A8">
        <w:rPr>
          <w:lang w:val="en-GB"/>
        </w:rPr>
        <w:t>n</w:t>
      </w:r>
    </w:p>
    <w:p w14:paraId="0D3C50FF" w14:textId="5F04F649" w:rsidR="00D457B3" w:rsidRPr="007250A8" w:rsidRDefault="00D457B3" w:rsidP="00025AB7">
      <w:pPr>
        <w:pStyle w:val="ListParagraph"/>
        <w:numPr>
          <w:ilvl w:val="0"/>
          <w:numId w:val="4"/>
        </w:numPr>
        <w:rPr>
          <w:lang w:val="en-GB"/>
        </w:rPr>
      </w:pPr>
      <w:r w:rsidRPr="007250A8">
        <w:rPr>
          <w:lang w:val="en-GB"/>
        </w:rPr>
        <w:t>Project B: £13.92 milli</w:t>
      </w:r>
      <w:r w:rsidR="00025AB7" w:rsidRPr="007250A8">
        <w:rPr>
          <w:lang w:val="en-GB"/>
        </w:rPr>
        <w:t>o</w:t>
      </w:r>
      <w:r w:rsidRPr="007250A8">
        <w:rPr>
          <w:lang w:val="en-GB"/>
        </w:rPr>
        <w:t>n</w:t>
      </w:r>
    </w:p>
    <w:p w14:paraId="5DFC10E4" w14:textId="14A5AF3A" w:rsidR="00D457B3" w:rsidRPr="007250A8" w:rsidRDefault="00D457B3" w:rsidP="00025AB7">
      <w:pPr>
        <w:pStyle w:val="ListParagraph"/>
        <w:numPr>
          <w:ilvl w:val="0"/>
          <w:numId w:val="4"/>
        </w:numPr>
        <w:rPr>
          <w:lang w:val="en-GB"/>
        </w:rPr>
      </w:pPr>
      <w:r w:rsidRPr="007250A8">
        <w:rPr>
          <w:lang w:val="en-GB"/>
        </w:rPr>
        <w:t>Project C: £0.86 milli</w:t>
      </w:r>
      <w:r w:rsidR="00025AB7" w:rsidRPr="007250A8">
        <w:rPr>
          <w:lang w:val="en-GB"/>
        </w:rPr>
        <w:t>on</w:t>
      </w:r>
    </w:p>
    <w:p w14:paraId="58632057" w14:textId="43EAB00B" w:rsidR="00494818" w:rsidRPr="007250A8" w:rsidRDefault="00D457B3" w:rsidP="00D457B3">
      <w:pPr>
        <w:rPr>
          <w:lang w:val="en-GB"/>
        </w:rPr>
      </w:pPr>
      <w:r w:rsidRPr="007250A8">
        <w:rPr>
          <w:lang w:val="en-GB"/>
        </w:rPr>
        <w:t xml:space="preserve">This new project B </w:t>
      </w:r>
      <w:r w:rsidR="00025AB7" w:rsidRPr="007250A8">
        <w:rPr>
          <w:lang w:val="en-GB"/>
        </w:rPr>
        <w:t xml:space="preserve">is considered to have the </w:t>
      </w:r>
      <w:r w:rsidRPr="007250A8">
        <w:rPr>
          <w:lang w:val="en-GB"/>
        </w:rPr>
        <w:t>highest Net Present Value</w:t>
      </w:r>
      <w:r w:rsidR="00025AB7" w:rsidRPr="007250A8">
        <w:rPr>
          <w:lang w:val="en-GB"/>
        </w:rPr>
        <w:t>,</w:t>
      </w:r>
      <w:r w:rsidRPr="007250A8">
        <w:rPr>
          <w:lang w:val="en-GB"/>
        </w:rPr>
        <w:t xml:space="preserve"> £13.92 million which indicates tha</w:t>
      </w:r>
      <w:r w:rsidR="00025AB7" w:rsidRPr="007250A8">
        <w:rPr>
          <w:lang w:val="en-GB"/>
        </w:rPr>
        <w:t>t it has</w:t>
      </w:r>
      <w:r w:rsidRPr="007250A8">
        <w:rPr>
          <w:lang w:val="en-GB"/>
        </w:rPr>
        <w:t xml:space="preserve"> generated the highest absolute value </w:t>
      </w:r>
      <w:r w:rsidR="00025AB7" w:rsidRPr="007250A8">
        <w:rPr>
          <w:lang w:val="en-GB"/>
        </w:rPr>
        <w:t xml:space="preserve">among </w:t>
      </w:r>
      <w:proofErr w:type="gramStart"/>
      <w:r w:rsidR="00025AB7" w:rsidRPr="007250A8">
        <w:rPr>
          <w:lang w:val="en-GB"/>
        </w:rPr>
        <w:t>all of</w:t>
      </w:r>
      <w:proofErr w:type="gramEnd"/>
      <w:r w:rsidR="00025AB7" w:rsidRPr="007250A8">
        <w:rPr>
          <w:lang w:val="en-GB"/>
        </w:rPr>
        <w:t xml:space="preserve"> the </w:t>
      </w:r>
      <w:r w:rsidRPr="007250A8">
        <w:rPr>
          <w:lang w:val="en-GB"/>
        </w:rPr>
        <w:t>three projects. Project A shows positive cash flow of NPV of £3.46</w:t>
      </w:r>
      <w:r w:rsidR="00025AB7" w:rsidRPr="007250A8">
        <w:rPr>
          <w:lang w:val="en-GB"/>
        </w:rPr>
        <w:t xml:space="preserve"> </w:t>
      </w:r>
      <w:proofErr w:type="gramStart"/>
      <w:r w:rsidR="00025AB7" w:rsidRPr="007250A8">
        <w:rPr>
          <w:lang w:val="en-GB"/>
        </w:rPr>
        <w:t>million</w:t>
      </w:r>
      <w:proofErr w:type="gramEnd"/>
      <w:r w:rsidRPr="007250A8">
        <w:rPr>
          <w:lang w:val="en-GB"/>
        </w:rPr>
        <w:t xml:space="preserve"> but Project C has the NPV of £0.86</w:t>
      </w:r>
      <w:r w:rsidR="00025AB7" w:rsidRPr="007250A8">
        <w:rPr>
          <w:lang w:val="en-GB"/>
        </w:rPr>
        <w:t xml:space="preserve"> million</w:t>
      </w:r>
      <w:r w:rsidRPr="007250A8">
        <w:rPr>
          <w:lang w:val="en-GB"/>
        </w:rPr>
        <w:t xml:space="preserve"> only. </w:t>
      </w:r>
      <w:r w:rsidR="00025AB7" w:rsidRPr="007250A8">
        <w:rPr>
          <w:lang w:val="en-GB"/>
        </w:rPr>
        <w:t xml:space="preserve">In such case, </w:t>
      </w:r>
      <w:r w:rsidRPr="007250A8">
        <w:rPr>
          <w:lang w:val="en-GB"/>
        </w:rPr>
        <w:t xml:space="preserve">Project B is </w:t>
      </w:r>
      <w:r w:rsidR="00025AB7" w:rsidRPr="007250A8">
        <w:rPr>
          <w:lang w:val="en-GB"/>
        </w:rPr>
        <w:t>considered as the</w:t>
      </w:r>
      <w:r w:rsidRPr="007250A8">
        <w:rPr>
          <w:lang w:val="en-GB"/>
        </w:rPr>
        <w:t xml:space="preserve"> best investment </w:t>
      </w:r>
      <w:r w:rsidR="00025AB7" w:rsidRPr="007250A8">
        <w:rPr>
          <w:lang w:val="en-GB"/>
        </w:rPr>
        <w:t>based on</w:t>
      </w:r>
      <w:r w:rsidRPr="007250A8">
        <w:rPr>
          <w:lang w:val="en-GB"/>
        </w:rPr>
        <w:t xml:space="preserve"> NPV.</w:t>
      </w:r>
    </w:p>
    <w:p w14:paraId="6DDC9CEB" w14:textId="77777777" w:rsidR="00494818" w:rsidRPr="007250A8" w:rsidRDefault="00494818" w:rsidP="00FE7C88">
      <w:pPr>
        <w:pStyle w:val="Heading3"/>
        <w:rPr>
          <w:lang w:val="en-GB"/>
        </w:rPr>
      </w:pPr>
      <w:bookmarkStart w:id="34" w:name="_Toc237459805"/>
      <w:r w:rsidRPr="007250A8">
        <w:rPr>
          <w:lang w:val="en-GB"/>
        </w:rPr>
        <w:lastRenderedPageBreak/>
        <w:t>5.2.4 Profitability Index (PI)</w:t>
      </w:r>
      <w:bookmarkEnd w:id="34"/>
    </w:p>
    <w:p w14:paraId="75C31CA6" w14:textId="523B023B" w:rsidR="00D457B3" w:rsidRPr="007250A8" w:rsidRDefault="00D457B3" w:rsidP="00D457B3">
      <w:pPr>
        <w:rPr>
          <w:lang w:val="en-GB"/>
        </w:rPr>
      </w:pPr>
      <w:r w:rsidRPr="007250A8">
        <w:rPr>
          <w:lang w:val="en-GB"/>
        </w:rPr>
        <w:t xml:space="preserve">Profitability Index is used </w:t>
      </w:r>
      <w:r w:rsidR="00FE7C88" w:rsidRPr="007250A8">
        <w:rPr>
          <w:lang w:val="en-GB"/>
        </w:rPr>
        <w:t>for</w:t>
      </w:r>
      <w:r w:rsidRPr="007250A8">
        <w:rPr>
          <w:lang w:val="en-GB"/>
        </w:rPr>
        <w:t xml:space="preserve"> determin</w:t>
      </w:r>
      <w:r w:rsidR="00FE7C88" w:rsidRPr="007250A8">
        <w:rPr>
          <w:lang w:val="en-GB"/>
        </w:rPr>
        <w:t xml:space="preserve">ing </w:t>
      </w:r>
      <w:r w:rsidRPr="007250A8">
        <w:rPr>
          <w:lang w:val="en-GB"/>
        </w:rPr>
        <w:t>the value of return again</w:t>
      </w:r>
      <w:r w:rsidR="00FE7C88" w:rsidRPr="007250A8">
        <w:rPr>
          <w:lang w:val="en-GB"/>
        </w:rPr>
        <w:t>st the</w:t>
      </w:r>
      <w:r w:rsidRPr="007250A8">
        <w:rPr>
          <w:lang w:val="en-GB"/>
        </w:rPr>
        <w:t xml:space="preserve"> investment</w:t>
      </w:r>
      <w:r w:rsidR="00FE7C88" w:rsidRPr="007250A8">
        <w:rPr>
          <w:lang w:val="en-GB"/>
        </w:rPr>
        <w:t xml:space="preserve"> made</w:t>
      </w:r>
      <w:r w:rsidR="000769E3" w:rsidRPr="007250A8">
        <w:rPr>
          <w:lang w:val="en-GB"/>
        </w:rPr>
        <w:t xml:space="preserve"> (Perna, 2024)</w:t>
      </w:r>
      <w:r w:rsidRPr="007250A8">
        <w:rPr>
          <w:lang w:val="en-GB"/>
        </w:rPr>
        <w:t xml:space="preserve">. The following figures </w:t>
      </w:r>
      <w:r w:rsidR="00FE7C88" w:rsidRPr="007250A8">
        <w:rPr>
          <w:lang w:val="en-GB"/>
        </w:rPr>
        <w:t>are considered</w:t>
      </w:r>
      <w:r w:rsidRPr="007250A8">
        <w:rPr>
          <w:lang w:val="en-GB"/>
        </w:rPr>
        <w:t>:</w:t>
      </w:r>
    </w:p>
    <w:p w14:paraId="592F0337" w14:textId="0F4F7546" w:rsidR="00D457B3" w:rsidRPr="007250A8" w:rsidRDefault="00D457B3" w:rsidP="00FE7C88">
      <w:pPr>
        <w:pStyle w:val="ListParagraph"/>
        <w:numPr>
          <w:ilvl w:val="0"/>
          <w:numId w:val="5"/>
        </w:numPr>
        <w:rPr>
          <w:lang w:val="en-GB"/>
        </w:rPr>
      </w:pPr>
      <w:r w:rsidRPr="007250A8">
        <w:rPr>
          <w:lang w:val="en-GB"/>
        </w:rPr>
        <w:t>Project A: 0.9</w:t>
      </w:r>
      <w:r w:rsidR="00FE7C88" w:rsidRPr="007250A8">
        <w:rPr>
          <w:lang w:val="en-GB"/>
        </w:rPr>
        <w:t>4</w:t>
      </w:r>
      <w:r w:rsidRPr="007250A8">
        <w:rPr>
          <w:lang w:val="en-GB"/>
        </w:rPr>
        <w:t xml:space="preserve"> </w:t>
      </w:r>
    </w:p>
    <w:p w14:paraId="7B9B3902" w14:textId="5B8E9953" w:rsidR="00D457B3" w:rsidRPr="007250A8" w:rsidRDefault="00D457B3" w:rsidP="00FE7C88">
      <w:pPr>
        <w:pStyle w:val="ListParagraph"/>
        <w:numPr>
          <w:ilvl w:val="0"/>
          <w:numId w:val="5"/>
        </w:numPr>
        <w:rPr>
          <w:lang w:val="en-GB"/>
        </w:rPr>
      </w:pPr>
      <w:r w:rsidRPr="007250A8">
        <w:rPr>
          <w:lang w:val="en-GB"/>
        </w:rPr>
        <w:t>Project B: 0.5</w:t>
      </w:r>
      <w:r w:rsidR="00FE7C88" w:rsidRPr="007250A8">
        <w:rPr>
          <w:lang w:val="en-GB"/>
        </w:rPr>
        <w:t>4</w:t>
      </w:r>
      <w:r w:rsidRPr="007250A8">
        <w:rPr>
          <w:lang w:val="en-GB"/>
        </w:rPr>
        <w:t xml:space="preserve"> </w:t>
      </w:r>
    </w:p>
    <w:p w14:paraId="0CE6EE60" w14:textId="0870A1ED" w:rsidR="00D457B3" w:rsidRPr="007250A8" w:rsidRDefault="00D457B3" w:rsidP="00FE7C88">
      <w:pPr>
        <w:pStyle w:val="ListParagraph"/>
        <w:numPr>
          <w:ilvl w:val="0"/>
          <w:numId w:val="5"/>
        </w:numPr>
        <w:rPr>
          <w:lang w:val="en-GB"/>
        </w:rPr>
      </w:pPr>
      <w:r w:rsidRPr="007250A8">
        <w:rPr>
          <w:lang w:val="en-GB"/>
        </w:rPr>
        <w:t>Project C: 0.9</w:t>
      </w:r>
      <w:r w:rsidR="00FE7C88" w:rsidRPr="007250A8">
        <w:rPr>
          <w:lang w:val="en-GB"/>
        </w:rPr>
        <w:t>8</w:t>
      </w:r>
      <w:r w:rsidRPr="007250A8">
        <w:rPr>
          <w:lang w:val="en-GB"/>
        </w:rPr>
        <w:t xml:space="preserve"> </w:t>
      </w:r>
    </w:p>
    <w:p w14:paraId="7AEEDA23" w14:textId="1A65BC11" w:rsidR="00494818" w:rsidRPr="007250A8" w:rsidRDefault="00D457B3" w:rsidP="00D457B3">
      <w:pPr>
        <w:rPr>
          <w:lang w:val="en-GB"/>
        </w:rPr>
      </w:pPr>
      <w:r w:rsidRPr="007250A8">
        <w:rPr>
          <w:lang w:val="en-GB"/>
        </w:rPr>
        <w:t>The value of PI f</w:t>
      </w:r>
      <w:r w:rsidR="00FE7C88" w:rsidRPr="007250A8">
        <w:rPr>
          <w:lang w:val="en-GB"/>
        </w:rPr>
        <w:t>or</w:t>
      </w:r>
      <w:r w:rsidRPr="007250A8">
        <w:rPr>
          <w:lang w:val="en-GB"/>
        </w:rPr>
        <w:t xml:space="preserve"> Project C is </w:t>
      </w:r>
      <w:r w:rsidR="00FE7C88" w:rsidRPr="007250A8">
        <w:rPr>
          <w:lang w:val="en-GB"/>
        </w:rPr>
        <w:t xml:space="preserve">considered as the </w:t>
      </w:r>
      <w:r w:rsidRPr="007250A8">
        <w:rPr>
          <w:lang w:val="en-GB"/>
        </w:rPr>
        <w:t>highest with value of 0.98 while Project A has value of 0.91</w:t>
      </w:r>
      <w:r w:rsidR="00FE7C88" w:rsidRPr="007250A8">
        <w:rPr>
          <w:lang w:val="en-GB"/>
        </w:rPr>
        <w:t>, whereas</w:t>
      </w:r>
      <w:r w:rsidRPr="007250A8">
        <w:rPr>
          <w:lang w:val="en-GB"/>
        </w:rPr>
        <w:t xml:space="preserve"> Project B </w:t>
      </w:r>
      <w:r w:rsidR="00FE7C88" w:rsidRPr="007250A8">
        <w:rPr>
          <w:lang w:val="en-GB"/>
        </w:rPr>
        <w:t xml:space="preserve">has </w:t>
      </w:r>
      <w:r w:rsidRPr="007250A8">
        <w:rPr>
          <w:lang w:val="en-GB"/>
        </w:rPr>
        <w:t xml:space="preserve">value of 0.54. This implies that Project C has the highest performance </w:t>
      </w:r>
      <w:r w:rsidR="00FE7C88" w:rsidRPr="007250A8">
        <w:rPr>
          <w:lang w:val="en-GB"/>
        </w:rPr>
        <w:t>based on the overall</w:t>
      </w:r>
      <w:r w:rsidRPr="007250A8">
        <w:rPr>
          <w:lang w:val="en-GB"/>
        </w:rPr>
        <w:t xml:space="preserve"> </w:t>
      </w:r>
      <w:r w:rsidR="00FE7C88" w:rsidRPr="007250A8">
        <w:rPr>
          <w:lang w:val="en-GB"/>
        </w:rPr>
        <w:t>analysis</w:t>
      </w:r>
      <w:r w:rsidRPr="007250A8">
        <w:rPr>
          <w:lang w:val="en-GB"/>
        </w:rPr>
        <w:t>.</w:t>
      </w:r>
      <w:r w:rsidR="00FE7C88" w:rsidRPr="007250A8">
        <w:rPr>
          <w:lang w:val="en-GB"/>
        </w:rPr>
        <w:t xml:space="preserve"> On the other hand, </w:t>
      </w:r>
      <w:r w:rsidRPr="007250A8">
        <w:rPr>
          <w:lang w:val="en-GB"/>
        </w:rPr>
        <w:t xml:space="preserve">it is necessary </w:t>
      </w:r>
      <w:r w:rsidR="00FE7C88" w:rsidRPr="007250A8">
        <w:rPr>
          <w:lang w:val="en-GB"/>
        </w:rPr>
        <w:t>for</w:t>
      </w:r>
      <w:r w:rsidRPr="007250A8">
        <w:rPr>
          <w:lang w:val="en-GB"/>
        </w:rPr>
        <w:t xml:space="preserve"> consider</w:t>
      </w:r>
      <w:r w:rsidR="00FE7C88" w:rsidRPr="007250A8">
        <w:rPr>
          <w:lang w:val="en-GB"/>
        </w:rPr>
        <w:t>ation of the</w:t>
      </w:r>
      <w:r w:rsidRPr="007250A8">
        <w:rPr>
          <w:lang w:val="en-GB"/>
        </w:rPr>
        <w:t xml:space="preserve"> NPV </w:t>
      </w:r>
      <w:r w:rsidR="00FE7C88" w:rsidRPr="007250A8">
        <w:rPr>
          <w:lang w:val="en-GB"/>
        </w:rPr>
        <w:t xml:space="preserve">as </w:t>
      </w:r>
      <w:r w:rsidRPr="007250A8">
        <w:rPr>
          <w:lang w:val="en-GB"/>
        </w:rPr>
        <w:t>it will add to above information since the two projec</w:t>
      </w:r>
      <w:r w:rsidR="00FE7C88" w:rsidRPr="007250A8">
        <w:rPr>
          <w:lang w:val="en-GB"/>
        </w:rPr>
        <w:t>ts</w:t>
      </w:r>
      <w:r w:rsidRPr="007250A8">
        <w:rPr>
          <w:lang w:val="en-GB"/>
        </w:rPr>
        <w:t xml:space="preserve"> require different amount</w:t>
      </w:r>
      <w:r w:rsidR="00FE7C88" w:rsidRPr="007250A8">
        <w:rPr>
          <w:lang w:val="en-GB"/>
        </w:rPr>
        <w:t>s of</w:t>
      </w:r>
      <w:r w:rsidRPr="007250A8">
        <w:rPr>
          <w:lang w:val="en-GB"/>
        </w:rPr>
        <w:t xml:space="preserve"> initial investments.</w:t>
      </w:r>
    </w:p>
    <w:p w14:paraId="383361A2" w14:textId="77777777" w:rsidR="00494818" w:rsidRPr="007250A8" w:rsidRDefault="00494818" w:rsidP="00086F8C">
      <w:pPr>
        <w:pStyle w:val="Heading3"/>
        <w:rPr>
          <w:lang w:val="en-GB"/>
        </w:rPr>
      </w:pPr>
      <w:bookmarkStart w:id="35" w:name="_Toc237459806"/>
      <w:r w:rsidRPr="007250A8">
        <w:rPr>
          <w:lang w:val="en-GB"/>
        </w:rPr>
        <w:t>5.2.5 Internal Rate of Return (IRR)</w:t>
      </w:r>
      <w:bookmarkEnd w:id="35"/>
    </w:p>
    <w:p w14:paraId="7AF9A4AC" w14:textId="3477ACE8" w:rsidR="00D457B3" w:rsidRPr="007250A8" w:rsidRDefault="00D457B3" w:rsidP="00D457B3">
      <w:pPr>
        <w:rPr>
          <w:lang w:val="en-GB"/>
        </w:rPr>
      </w:pPr>
      <w:r w:rsidRPr="007250A8">
        <w:rPr>
          <w:lang w:val="en-GB"/>
        </w:rPr>
        <w:t xml:space="preserve">The internal rate of return is </w:t>
      </w:r>
      <w:r w:rsidR="00086F8C" w:rsidRPr="007250A8">
        <w:rPr>
          <w:lang w:val="en-GB"/>
        </w:rPr>
        <w:t>considered as the</w:t>
      </w:r>
      <w:r w:rsidRPr="007250A8">
        <w:rPr>
          <w:lang w:val="en-GB"/>
        </w:rPr>
        <w:t xml:space="preserve"> interest rate that makes net present value of project zero</w:t>
      </w:r>
      <w:r w:rsidR="006A7049" w:rsidRPr="007250A8">
        <w:rPr>
          <w:lang w:val="en-GB"/>
        </w:rPr>
        <w:t xml:space="preserve"> (Chandra and Naik, 2025)</w:t>
      </w:r>
      <w:r w:rsidRPr="007250A8">
        <w:rPr>
          <w:lang w:val="en-GB"/>
        </w:rPr>
        <w:t xml:space="preserve">. The results below </w:t>
      </w:r>
      <w:r w:rsidR="00086F8C" w:rsidRPr="007250A8">
        <w:rPr>
          <w:lang w:val="en-GB"/>
        </w:rPr>
        <w:t>are</w:t>
      </w:r>
      <w:r w:rsidRPr="007250A8">
        <w:rPr>
          <w:lang w:val="en-GB"/>
        </w:rPr>
        <w:t xml:space="preserve"> obtained:</w:t>
      </w:r>
    </w:p>
    <w:p w14:paraId="562F43E8" w14:textId="77A7B9BF" w:rsidR="00D457B3" w:rsidRPr="007250A8" w:rsidRDefault="00D457B3" w:rsidP="00086F8C">
      <w:pPr>
        <w:pStyle w:val="ListParagraph"/>
        <w:numPr>
          <w:ilvl w:val="0"/>
          <w:numId w:val="6"/>
        </w:numPr>
        <w:rPr>
          <w:lang w:val="en-GB"/>
        </w:rPr>
      </w:pPr>
      <w:r w:rsidRPr="007250A8">
        <w:rPr>
          <w:lang w:val="en-GB"/>
        </w:rPr>
        <w:t xml:space="preserve">Project A: </w:t>
      </w:r>
      <w:r w:rsidR="00086F8C" w:rsidRPr="007250A8">
        <w:rPr>
          <w:lang w:val="en-GB"/>
        </w:rPr>
        <w:t>1</w:t>
      </w:r>
      <w:r w:rsidRPr="007250A8">
        <w:rPr>
          <w:lang w:val="en-GB"/>
        </w:rPr>
        <w:t>1%</w:t>
      </w:r>
    </w:p>
    <w:p w14:paraId="6E4D0AFF" w14:textId="717B151F" w:rsidR="00D457B3" w:rsidRPr="007250A8" w:rsidRDefault="00D457B3" w:rsidP="00086F8C">
      <w:pPr>
        <w:pStyle w:val="ListParagraph"/>
        <w:numPr>
          <w:ilvl w:val="0"/>
          <w:numId w:val="6"/>
        </w:numPr>
        <w:rPr>
          <w:lang w:val="en-GB"/>
        </w:rPr>
      </w:pPr>
      <w:r w:rsidRPr="007250A8">
        <w:rPr>
          <w:lang w:val="en-GB"/>
        </w:rPr>
        <w:t xml:space="preserve">Project B: </w:t>
      </w:r>
      <w:r w:rsidR="00086F8C" w:rsidRPr="007250A8">
        <w:rPr>
          <w:lang w:val="en-GB"/>
        </w:rPr>
        <w:t>2</w:t>
      </w:r>
      <w:r w:rsidRPr="007250A8">
        <w:rPr>
          <w:lang w:val="en-GB"/>
        </w:rPr>
        <w:t>4%</w:t>
      </w:r>
    </w:p>
    <w:p w14:paraId="1CABD22C" w14:textId="2F6CB489" w:rsidR="00D457B3" w:rsidRPr="007250A8" w:rsidRDefault="00D457B3" w:rsidP="00086F8C">
      <w:pPr>
        <w:pStyle w:val="ListParagraph"/>
        <w:numPr>
          <w:ilvl w:val="0"/>
          <w:numId w:val="6"/>
        </w:numPr>
        <w:rPr>
          <w:lang w:val="en-GB"/>
        </w:rPr>
      </w:pPr>
      <w:r w:rsidRPr="007250A8">
        <w:rPr>
          <w:lang w:val="en-GB"/>
        </w:rPr>
        <w:t xml:space="preserve">Project C: </w:t>
      </w:r>
      <w:r w:rsidR="00086F8C" w:rsidRPr="007250A8">
        <w:rPr>
          <w:lang w:val="en-GB"/>
        </w:rPr>
        <w:t>2</w:t>
      </w:r>
      <w:r w:rsidRPr="007250A8">
        <w:rPr>
          <w:lang w:val="en-GB"/>
        </w:rPr>
        <w:t>7%</w:t>
      </w:r>
    </w:p>
    <w:p w14:paraId="6BC59905" w14:textId="1F267A2F" w:rsidR="00494818" w:rsidRPr="007250A8" w:rsidRDefault="00D457B3" w:rsidP="00D457B3">
      <w:pPr>
        <w:rPr>
          <w:lang w:val="en-GB"/>
        </w:rPr>
      </w:pPr>
      <w:r w:rsidRPr="007250A8">
        <w:rPr>
          <w:lang w:val="en-GB"/>
        </w:rPr>
        <w:t>The highest internal rate of return is</w:t>
      </w:r>
      <w:r w:rsidR="00086F8C" w:rsidRPr="007250A8">
        <w:rPr>
          <w:lang w:val="en-GB"/>
        </w:rPr>
        <w:t xml:space="preserve"> of</w:t>
      </w:r>
      <w:r w:rsidRPr="007250A8">
        <w:rPr>
          <w:lang w:val="en-GB"/>
        </w:rPr>
        <w:t xml:space="preserve"> Project C w</w:t>
      </w:r>
      <w:r w:rsidR="00086F8C" w:rsidRPr="007250A8">
        <w:rPr>
          <w:lang w:val="en-GB"/>
        </w:rPr>
        <w:t>ith</w:t>
      </w:r>
      <w:r w:rsidRPr="007250A8">
        <w:rPr>
          <w:lang w:val="en-GB"/>
        </w:rPr>
        <w:t xml:space="preserve"> 27%, followed by Project B w</w:t>
      </w:r>
      <w:r w:rsidR="00086F8C" w:rsidRPr="007250A8">
        <w:rPr>
          <w:lang w:val="en-GB"/>
        </w:rPr>
        <w:t>ith</w:t>
      </w:r>
      <w:r w:rsidRPr="007250A8">
        <w:rPr>
          <w:lang w:val="en-GB"/>
        </w:rPr>
        <w:t xml:space="preserve"> 24%</w:t>
      </w:r>
      <w:r w:rsidR="00086F8C" w:rsidRPr="007250A8">
        <w:rPr>
          <w:lang w:val="en-GB"/>
        </w:rPr>
        <w:t xml:space="preserve"> </w:t>
      </w:r>
      <w:r w:rsidRPr="007250A8">
        <w:rPr>
          <w:lang w:val="en-GB"/>
        </w:rPr>
        <w:t xml:space="preserve">and Project A </w:t>
      </w:r>
      <w:r w:rsidR="00086F8C" w:rsidRPr="007250A8">
        <w:rPr>
          <w:lang w:val="en-GB"/>
        </w:rPr>
        <w:t>with</w:t>
      </w:r>
      <w:r w:rsidRPr="007250A8">
        <w:rPr>
          <w:lang w:val="en-GB"/>
        </w:rPr>
        <w:t xml:space="preserve"> 11%. A good result for above three projects </w:t>
      </w:r>
      <w:r w:rsidR="00086F8C" w:rsidRPr="007250A8">
        <w:rPr>
          <w:lang w:val="en-GB"/>
        </w:rPr>
        <w:t>highlights the</w:t>
      </w:r>
      <w:r w:rsidRPr="007250A8">
        <w:rPr>
          <w:lang w:val="en-GB"/>
        </w:rPr>
        <w:t xml:space="preserve"> internal rate of return greater than interest rate of 8%. Each project is meeting the required rate of return as provided in</w:t>
      </w:r>
      <w:r w:rsidR="00086F8C" w:rsidRPr="007250A8">
        <w:rPr>
          <w:lang w:val="en-GB"/>
        </w:rPr>
        <w:t xml:space="preserve"> the</w:t>
      </w:r>
      <w:r w:rsidRPr="007250A8">
        <w:rPr>
          <w:lang w:val="en-GB"/>
        </w:rPr>
        <w:t xml:space="preserve"> appraisal</w:t>
      </w:r>
      <w:r w:rsidR="00086F8C" w:rsidRPr="007250A8">
        <w:rPr>
          <w:lang w:val="en-GB"/>
        </w:rPr>
        <w:t xml:space="preserve"> process</w:t>
      </w:r>
      <w:r w:rsidRPr="007250A8">
        <w:rPr>
          <w:lang w:val="en-GB"/>
        </w:rPr>
        <w:t>. Project C has the highest percentage return on investment while</w:t>
      </w:r>
      <w:r w:rsidR="00086F8C" w:rsidRPr="007250A8">
        <w:rPr>
          <w:lang w:val="en-GB"/>
        </w:rPr>
        <w:t xml:space="preserve"> the</w:t>
      </w:r>
      <w:r w:rsidRPr="007250A8">
        <w:rPr>
          <w:lang w:val="en-GB"/>
        </w:rPr>
        <w:t xml:space="preserve"> investment cost </w:t>
      </w:r>
      <w:proofErr w:type="gramStart"/>
      <w:r w:rsidRPr="007250A8">
        <w:rPr>
          <w:lang w:val="en-GB"/>
        </w:rPr>
        <w:t>is</w:t>
      </w:r>
      <w:r w:rsidR="00086F8C" w:rsidRPr="007250A8">
        <w:rPr>
          <w:lang w:val="en-GB"/>
        </w:rPr>
        <w:t xml:space="preserve"> considered to be</w:t>
      </w:r>
      <w:proofErr w:type="gramEnd"/>
      <w:r w:rsidR="00086F8C" w:rsidRPr="007250A8">
        <w:rPr>
          <w:lang w:val="en-GB"/>
        </w:rPr>
        <w:t xml:space="preserve"> the</w:t>
      </w:r>
      <w:r w:rsidRPr="007250A8">
        <w:rPr>
          <w:lang w:val="en-GB"/>
        </w:rPr>
        <w:t xml:space="preserve"> highest at £50</w:t>
      </w:r>
      <w:r w:rsidR="00086F8C" w:rsidRPr="007250A8">
        <w:rPr>
          <w:lang w:val="en-GB"/>
        </w:rPr>
        <w:t xml:space="preserve"> million</w:t>
      </w:r>
      <w:r w:rsidRPr="007250A8">
        <w:rPr>
          <w:lang w:val="en-GB"/>
        </w:rPr>
        <w:t>.</w:t>
      </w:r>
    </w:p>
    <w:p w14:paraId="168C3997" w14:textId="77777777" w:rsidR="00494818" w:rsidRPr="007250A8" w:rsidRDefault="00494818" w:rsidP="00C00773">
      <w:pPr>
        <w:pStyle w:val="Heading3"/>
        <w:rPr>
          <w:lang w:val="en-GB"/>
        </w:rPr>
      </w:pPr>
      <w:bookmarkStart w:id="36" w:name="_Toc237459807"/>
      <w:r w:rsidRPr="007250A8">
        <w:rPr>
          <w:lang w:val="en-GB"/>
        </w:rPr>
        <w:t>5.2.6 Investment Option Recommended</w:t>
      </w:r>
      <w:bookmarkEnd w:id="36"/>
    </w:p>
    <w:p w14:paraId="1C8A05E3" w14:textId="70B1FBE6" w:rsidR="00494818" w:rsidRPr="007250A8" w:rsidRDefault="00D457B3" w:rsidP="00494818">
      <w:pPr>
        <w:rPr>
          <w:lang w:val="en-GB"/>
        </w:rPr>
      </w:pPr>
      <w:proofErr w:type="gramStart"/>
      <w:r w:rsidRPr="007250A8">
        <w:rPr>
          <w:lang w:val="en-GB"/>
        </w:rPr>
        <w:t>On the basis of</w:t>
      </w:r>
      <w:proofErr w:type="gramEnd"/>
      <w:r w:rsidRPr="007250A8">
        <w:rPr>
          <w:lang w:val="en-GB"/>
        </w:rPr>
        <w:t xml:space="preserve"> some of main investment appraisal methods (NPV and IRR), project B shows </w:t>
      </w:r>
      <w:r w:rsidR="00C00773" w:rsidRPr="007250A8">
        <w:rPr>
          <w:lang w:val="en-GB"/>
        </w:rPr>
        <w:t xml:space="preserve">the </w:t>
      </w:r>
      <w:r w:rsidRPr="007250A8">
        <w:rPr>
          <w:lang w:val="en-GB"/>
        </w:rPr>
        <w:t>largest investment potential. It provide</w:t>
      </w:r>
      <w:r w:rsidR="00C00773" w:rsidRPr="007250A8">
        <w:rPr>
          <w:lang w:val="en-GB"/>
        </w:rPr>
        <w:t>s the</w:t>
      </w:r>
      <w:r w:rsidRPr="007250A8">
        <w:rPr>
          <w:lang w:val="en-GB"/>
        </w:rPr>
        <w:t xml:space="preserve"> highest NPV </w:t>
      </w:r>
      <w:r w:rsidR="00C00773" w:rsidRPr="007250A8">
        <w:rPr>
          <w:lang w:val="en-GB"/>
        </w:rPr>
        <w:t>of</w:t>
      </w:r>
      <w:r w:rsidRPr="007250A8">
        <w:rPr>
          <w:lang w:val="en-GB"/>
        </w:rPr>
        <w:t xml:space="preserve"> £13.92 million</w:t>
      </w:r>
      <w:r w:rsidR="00C00773" w:rsidRPr="007250A8">
        <w:rPr>
          <w:lang w:val="en-GB"/>
        </w:rPr>
        <w:t xml:space="preserve"> with its</w:t>
      </w:r>
      <w:r w:rsidRPr="007250A8">
        <w:rPr>
          <w:lang w:val="en-GB"/>
        </w:rPr>
        <w:t xml:space="preserve"> IRR </w:t>
      </w:r>
      <w:r w:rsidR="00C00773" w:rsidRPr="007250A8">
        <w:rPr>
          <w:lang w:val="en-GB"/>
        </w:rPr>
        <w:t>being the</w:t>
      </w:r>
      <w:r w:rsidRPr="007250A8">
        <w:rPr>
          <w:lang w:val="en-GB"/>
        </w:rPr>
        <w:t xml:space="preserve"> highest of 24%</w:t>
      </w:r>
      <w:r w:rsidR="00C00773" w:rsidRPr="007250A8">
        <w:rPr>
          <w:lang w:val="en-GB"/>
        </w:rPr>
        <w:t>. It also has the</w:t>
      </w:r>
      <w:r w:rsidRPr="007250A8">
        <w:rPr>
          <w:lang w:val="en-GB"/>
        </w:rPr>
        <w:t xml:space="preserve"> shortest payback period of 3 years. The cash flows are more stabl</w:t>
      </w:r>
      <w:r w:rsidR="00C00773" w:rsidRPr="007250A8">
        <w:rPr>
          <w:lang w:val="en-GB"/>
        </w:rPr>
        <w:t>e to</w:t>
      </w:r>
      <w:r w:rsidRPr="007250A8">
        <w:rPr>
          <w:lang w:val="en-GB"/>
        </w:rPr>
        <w:t xml:space="preserve"> £11 million per year during the fir</w:t>
      </w:r>
      <w:r w:rsidR="00C00773" w:rsidRPr="007250A8">
        <w:rPr>
          <w:lang w:val="en-GB"/>
        </w:rPr>
        <w:t>st</w:t>
      </w:r>
      <w:r w:rsidRPr="007250A8">
        <w:rPr>
          <w:lang w:val="en-GB"/>
        </w:rPr>
        <w:t xml:space="preserve"> 5 years. </w:t>
      </w:r>
      <w:r w:rsidRPr="007250A8">
        <w:rPr>
          <w:lang w:val="en-GB"/>
        </w:rPr>
        <w:lastRenderedPageBreak/>
        <w:t xml:space="preserve">However, project C </w:t>
      </w:r>
      <w:r w:rsidR="00C00773" w:rsidRPr="007250A8">
        <w:rPr>
          <w:lang w:val="en-GB"/>
        </w:rPr>
        <w:t>also includes the</w:t>
      </w:r>
      <w:r w:rsidRPr="007250A8">
        <w:rPr>
          <w:lang w:val="en-GB"/>
        </w:rPr>
        <w:t xml:space="preserve"> highest IRR and highest PI, but NPV of this project is just £0.86 million, </w:t>
      </w:r>
      <w:r w:rsidR="00C00773" w:rsidRPr="007250A8">
        <w:rPr>
          <w:lang w:val="en-GB"/>
        </w:rPr>
        <w:t>whereas the</w:t>
      </w:r>
      <w:r w:rsidRPr="007250A8">
        <w:rPr>
          <w:lang w:val="en-GB"/>
        </w:rPr>
        <w:t xml:space="preserve"> initial investment </w:t>
      </w:r>
      <w:r w:rsidR="00C00773" w:rsidRPr="007250A8">
        <w:rPr>
          <w:lang w:val="en-GB"/>
        </w:rPr>
        <w:t>is</w:t>
      </w:r>
      <w:r w:rsidRPr="007250A8">
        <w:rPr>
          <w:lang w:val="en-GB"/>
        </w:rPr>
        <w:t xml:space="preserve"> £50 million.</w:t>
      </w:r>
    </w:p>
    <w:p w14:paraId="7610997F" w14:textId="61819370" w:rsidR="00494818" w:rsidRPr="007250A8" w:rsidRDefault="001073E3" w:rsidP="001073E3">
      <w:pPr>
        <w:pStyle w:val="Heading2"/>
        <w:rPr>
          <w:lang w:val="en-GB"/>
        </w:rPr>
      </w:pPr>
      <w:bookmarkStart w:id="37" w:name="_Toc237459808"/>
      <w:r w:rsidRPr="007250A8">
        <w:rPr>
          <w:lang w:val="en-GB"/>
        </w:rPr>
        <w:t>5.3 Final Investment Recommendation under capital rationing (£60 Million Limit)</w:t>
      </w:r>
      <w:bookmarkEnd w:id="37"/>
    </w:p>
    <w:p w14:paraId="05BA9B78" w14:textId="5DD93D9A" w:rsidR="00D457B3" w:rsidRPr="007250A8" w:rsidRDefault="001073E3" w:rsidP="00D457B3">
      <w:pPr>
        <w:rPr>
          <w:lang w:val="en-GB"/>
        </w:rPr>
      </w:pPr>
      <w:r w:rsidRPr="007250A8">
        <w:rPr>
          <w:lang w:val="en-GB"/>
        </w:rPr>
        <w:t>Based on the</w:t>
      </w:r>
      <w:r w:rsidR="00D457B3" w:rsidRPr="007250A8">
        <w:rPr>
          <w:lang w:val="en-GB"/>
        </w:rPr>
        <w:t xml:space="preserve"> capital </w:t>
      </w:r>
      <w:r w:rsidRPr="007250A8">
        <w:rPr>
          <w:lang w:val="en-GB"/>
        </w:rPr>
        <w:t>limit</w:t>
      </w:r>
      <w:r w:rsidR="00D457B3" w:rsidRPr="007250A8">
        <w:rPr>
          <w:lang w:val="en-GB"/>
        </w:rPr>
        <w:t xml:space="preserve"> of £60 million, Project B is the </w:t>
      </w:r>
      <w:r w:rsidRPr="007250A8">
        <w:rPr>
          <w:lang w:val="en-GB"/>
        </w:rPr>
        <w:t xml:space="preserve">considered as the </w:t>
      </w:r>
      <w:r w:rsidR="00D457B3" w:rsidRPr="007250A8">
        <w:rPr>
          <w:lang w:val="en-GB"/>
        </w:rPr>
        <w:t>best single project. The required capital of £30 million leav</w:t>
      </w:r>
      <w:r w:rsidRPr="007250A8">
        <w:rPr>
          <w:lang w:val="en-GB"/>
        </w:rPr>
        <w:t>es with</w:t>
      </w:r>
      <w:r w:rsidR="00D457B3" w:rsidRPr="007250A8">
        <w:rPr>
          <w:lang w:val="en-GB"/>
        </w:rPr>
        <w:t xml:space="preserve"> remaining capital of £30 million for either liquidity </w:t>
      </w:r>
      <w:r w:rsidRPr="007250A8">
        <w:rPr>
          <w:lang w:val="en-GB"/>
        </w:rPr>
        <w:t>or development of</w:t>
      </w:r>
      <w:r w:rsidR="00D457B3" w:rsidRPr="007250A8">
        <w:rPr>
          <w:lang w:val="en-GB"/>
        </w:rPr>
        <w:t xml:space="preserve"> further projects. While capital cost for Project B is relatively low, t</w:t>
      </w:r>
      <w:r w:rsidRPr="007250A8">
        <w:rPr>
          <w:lang w:val="en-GB"/>
        </w:rPr>
        <w:t>he</w:t>
      </w:r>
      <w:r w:rsidR="00D457B3" w:rsidRPr="007250A8">
        <w:rPr>
          <w:lang w:val="en-GB"/>
        </w:rPr>
        <w:t xml:space="preserve"> project provides maximum value </w:t>
      </w:r>
      <w:r w:rsidRPr="007250A8">
        <w:rPr>
          <w:lang w:val="en-GB"/>
        </w:rPr>
        <w:t>based on the terms of</w:t>
      </w:r>
      <w:r w:rsidR="00D457B3" w:rsidRPr="007250A8">
        <w:rPr>
          <w:lang w:val="en-GB"/>
        </w:rPr>
        <w:t xml:space="preserve"> NPV (of £13.92 million) and capital recove</w:t>
      </w:r>
      <w:r w:rsidRPr="007250A8">
        <w:rPr>
          <w:lang w:val="en-GB"/>
        </w:rPr>
        <w:t>ry</w:t>
      </w:r>
      <w:r w:rsidR="00D457B3" w:rsidRPr="007250A8">
        <w:rPr>
          <w:lang w:val="en-GB"/>
        </w:rPr>
        <w:t xml:space="preserve"> (a payback period o</w:t>
      </w:r>
      <w:r w:rsidRPr="007250A8">
        <w:rPr>
          <w:lang w:val="en-GB"/>
        </w:rPr>
        <w:t xml:space="preserve">f </w:t>
      </w:r>
      <w:r w:rsidR="00D457B3" w:rsidRPr="007250A8">
        <w:rPr>
          <w:lang w:val="en-GB"/>
        </w:rPr>
        <w:t>3 years).</w:t>
      </w:r>
    </w:p>
    <w:p w14:paraId="51826902" w14:textId="46F93388" w:rsidR="00494818" w:rsidRPr="007250A8" w:rsidRDefault="00D457B3" w:rsidP="00D457B3">
      <w:pPr>
        <w:rPr>
          <w:lang w:val="en-GB"/>
        </w:rPr>
      </w:pPr>
      <w:r w:rsidRPr="007250A8">
        <w:rPr>
          <w:lang w:val="en-GB"/>
        </w:rPr>
        <w:t xml:space="preserve">Project C, which </w:t>
      </w:r>
      <w:r w:rsidR="001073E3" w:rsidRPr="007250A8">
        <w:rPr>
          <w:lang w:val="en-GB"/>
        </w:rPr>
        <w:t>includes an</w:t>
      </w:r>
      <w:r w:rsidRPr="007250A8">
        <w:rPr>
          <w:lang w:val="en-GB"/>
        </w:rPr>
        <w:t xml:space="preserve"> IRR of 27%, requir</w:t>
      </w:r>
      <w:r w:rsidR="001073E3" w:rsidRPr="007250A8">
        <w:rPr>
          <w:lang w:val="en-GB"/>
        </w:rPr>
        <w:t>es</w:t>
      </w:r>
      <w:r w:rsidRPr="007250A8">
        <w:rPr>
          <w:lang w:val="en-GB"/>
        </w:rPr>
        <w:t xml:space="preserve"> £50 million, leaving only £10 million </w:t>
      </w:r>
      <w:r w:rsidR="001073E3" w:rsidRPr="007250A8">
        <w:rPr>
          <w:lang w:val="en-GB"/>
        </w:rPr>
        <w:t>in case of other</w:t>
      </w:r>
      <w:r w:rsidRPr="007250A8">
        <w:rPr>
          <w:lang w:val="en-GB"/>
        </w:rPr>
        <w:t xml:space="preserve"> projects. With capital of £60 million, Project C is out of reach as the project uses </w:t>
      </w:r>
      <w:r w:rsidR="001073E3" w:rsidRPr="007250A8">
        <w:rPr>
          <w:lang w:val="en-GB"/>
        </w:rPr>
        <w:t>e</w:t>
      </w:r>
      <w:r w:rsidRPr="007250A8">
        <w:rPr>
          <w:lang w:val="en-GB"/>
        </w:rPr>
        <w:t xml:space="preserve">ntire capital, leaving £10 million for other projects. </w:t>
      </w:r>
      <w:r w:rsidR="001073E3" w:rsidRPr="007250A8">
        <w:rPr>
          <w:lang w:val="en-GB"/>
        </w:rPr>
        <w:t>Based on the overall</w:t>
      </w:r>
      <w:r w:rsidRPr="007250A8">
        <w:rPr>
          <w:lang w:val="en-GB"/>
        </w:rPr>
        <w:t xml:space="preserve"> capital </w:t>
      </w:r>
      <w:r w:rsidR="001073E3" w:rsidRPr="007250A8">
        <w:rPr>
          <w:lang w:val="en-GB"/>
        </w:rPr>
        <w:t>limit</w:t>
      </w:r>
      <w:r w:rsidRPr="007250A8">
        <w:rPr>
          <w:lang w:val="en-GB"/>
        </w:rPr>
        <w:t xml:space="preserve"> of £60 million, it is wise </w:t>
      </w:r>
      <w:r w:rsidR="001073E3" w:rsidRPr="007250A8">
        <w:rPr>
          <w:lang w:val="en-GB"/>
        </w:rPr>
        <w:t>for</w:t>
      </w:r>
      <w:r w:rsidRPr="007250A8">
        <w:rPr>
          <w:lang w:val="en-GB"/>
        </w:rPr>
        <w:t xml:space="preserve"> select</w:t>
      </w:r>
      <w:r w:rsidR="001073E3" w:rsidRPr="007250A8">
        <w:rPr>
          <w:lang w:val="en-GB"/>
        </w:rPr>
        <w:t>ion of</w:t>
      </w:r>
      <w:r w:rsidRPr="007250A8">
        <w:rPr>
          <w:lang w:val="en-GB"/>
        </w:rPr>
        <w:t xml:space="preserve"> Project B </w:t>
      </w:r>
      <w:r w:rsidR="001073E3" w:rsidRPr="007250A8">
        <w:rPr>
          <w:lang w:val="en-GB"/>
        </w:rPr>
        <w:t>as</w:t>
      </w:r>
      <w:r w:rsidRPr="007250A8">
        <w:rPr>
          <w:lang w:val="en-GB"/>
        </w:rPr>
        <w:t xml:space="preserve"> it has the maximum IRR of £11%.</w:t>
      </w:r>
    </w:p>
    <w:p w14:paraId="13034D11" w14:textId="792F9A46" w:rsidR="00494818" w:rsidRPr="007250A8" w:rsidRDefault="00494818" w:rsidP="00512B47">
      <w:pPr>
        <w:pStyle w:val="Heading2"/>
        <w:rPr>
          <w:lang w:val="en-GB"/>
        </w:rPr>
      </w:pPr>
      <w:bookmarkStart w:id="38" w:name="_Toc237459809"/>
      <w:r w:rsidRPr="007250A8">
        <w:rPr>
          <w:lang w:val="en-GB"/>
        </w:rPr>
        <w:t>5.4 Justification of investment decision</w:t>
      </w:r>
      <w:bookmarkEnd w:id="38"/>
    </w:p>
    <w:p w14:paraId="28C7F7D0" w14:textId="3941671C" w:rsidR="00D457B3" w:rsidRPr="007250A8" w:rsidRDefault="00D457B3" w:rsidP="00D457B3">
      <w:pPr>
        <w:rPr>
          <w:b/>
          <w:bCs/>
          <w:i/>
          <w:iCs/>
          <w:lang w:val="en-GB"/>
        </w:rPr>
      </w:pPr>
      <w:r w:rsidRPr="007250A8">
        <w:rPr>
          <w:b/>
          <w:bCs/>
          <w:i/>
          <w:iCs/>
          <w:lang w:val="en-GB"/>
        </w:rPr>
        <w:t>Factors affecting Financial Performance</w:t>
      </w:r>
      <w:r w:rsidR="00512B47" w:rsidRPr="007250A8">
        <w:rPr>
          <w:b/>
          <w:bCs/>
          <w:i/>
          <w:iCs/>
          <w:lang w:val="en-GB"/>
        </w:rPr>
        <w:t>:</w:t>
      </w:r>
      <w:r w:rsidRPr="007250A8">
        <w:rPr>
          <w:b/>
          <w:bCs/>
          <w:i/>
          <w:iCs/>
          <w:lang w:val="en-GB"/>
        </w:rPr>
        <w:t xml:space="preserve"> Profitability and Liquidity</w:t>
      </w:r>
    </w:p>
    <w:p w14:paraId="1A7ABDEE" w14:textId="4BEC2904" w:rsidR="00D457B3" w:rsidRPr="007250A8" w:rsidRDefault="00D457B3" w:rsidP="00D457B3">
      <w:pPr>
        <w:rPr>
          <w:lang w:val="en-GB"/>
        </w:rPr>
      </w:pPr>
      <w:r w:rsidRPr="007250A8">
        <w:rPr>
          <w:lang w:val="en-GB"/>
        </w:rPr>
        <w:t>On average, the Project B provides the</w:t>
      </w:r>
      <w:r w:rsidR="00512B47" w:rsidRPr="007250A8">
        <w:rPr>
          <w:lang w:val="en-GB"/>
        </w:rPr>
        <w:t xml:space="preserve"> </w:t>
      </w:r>
      <w:r w:rsidRPr="007250A8">
        <w:rPr>
          <w:lang w:val="en-GB"/>
        </w:rPr>
        <w:t>best</w:t>
      </w:r>
      <w:r w:rsidR="00512B47" w:rsidRPr="007250A8">
        <w:rPr>
          <w:lang w:val="en-GB"/>
        </w:rPr>
        <w:t xml:space="preserve"> relevance and</w:t>
      </w:r>
      <w:r w:rsidRPr="007250A8">
        <w:rPr>
          <w:lang w:val="en-GB"/>
        </w:rPr>
        <w:t xml:space="preserve"> combination of </w:t>
      </w:r>
      <w:r w:rsidR="00512B47" w:rsidRPr="007250A8">
        <w:rPr>
          <w:lang w:val="en-GB"/>
        </w:rPr>
        <w:t xml:space="preserve">the </w:t>
      </w:r>
      <w:r w:rsidRPr="007250A8">
        <w:rPr>
          <w:lang w:val="en-GB"/>
        </w:rPr>
        <w:t xml:space="preserve">financial performance indicators. Net contribution of the project B </w:t>
      </w:r>
      <w:r w:rsidR="00512B47" w:rsidRPr="007250A8">
        <w:rPr>
          <w:lang w:val="en-GB"/>
        </w:rPr>
        <w:t>based on the</w:t>
      </w:r>
      <w:r w:rsidRPr="007250A8">
        <w:rPr>
          <w:lang w:val="en-GB"/>
        </w:rPr>
        <w:t xml:space="preserve"> terms of financial performance is much larger than i</w:t>
      </w:r>
      <w:r w:rsidR="00512B47" w:rsidRPr="007250A8">
        <w:rPr>
          <w:lang w:val="en-GB"/>
        </w:rPr>
        <w:t>n the</w:t>
      </w:r>
      <w:r w:rsidRPr="007250A8">
        <w:rPr>
          <w:lang w:val="en-GB"/>
        </w:rPr>
        <w:t xml:space="preserve"> case of Project A (£3.46</w:t>
      </w:r>
      <w:r w:rsidR="00512B47" w:rsidRPr="007250A8">
        <w:rPr>
          <w:lang w:val="en-GB"/>
        </w:rPr>
        <w:t xml:space="preserve"> million</w:t>
      </w:r>
      <w:r w:rsidRPr="007250A8">
        <w:rPr>
          <w:lang w:val="en-GB"/>
        </w:rPr>
        <w:t>) and Project C (£0.86</w:t>
      </w:r>
      <w:r w:rsidR="00512B47" w:rsidRPr="007250A8">
        <w:rPr>
          <w:lang w:val="en-GB"/>
        </w:rPr>
        <w:t xml:space="preserve"> million</w:t>
      </w:r>
      <w:r w:rsidRPr="007250A8">
        <w:rPr>
          <w:lang w:val="en-GB"/>
        </w:rPr>
        <w:t xml:space="preserve">). This is </w:t>
      </w:r>
      <w:r w:rsidR="00512B47" w:rsidRPr="007250A8">
        <w:rPr>
          <w:lang w:val="en-GB"/>
        </w:rPr>
        <w:t xml:space="preserve">considered as </w:t>
      </w:r>
      <w:r w:rsidRPr="007250A8">
        <w:rPr>
          <w:lang w:val="en-GB"/>
        </w:rPr>
        <w:t xml:space="preserve">the largest value contribution provided </w:t>
      </w:r>
      <w:r w:rsidR="00512B47" w:rsidRPr="007250A8">
        <w:rPr>
          <w:lang w:val="en-GB"/>
        </w:rPr>
        <w:t>based on the overall</w:t>
      </w:r>
      <w:r w:rsidRPr="007250A8">
        <w:rPr>
          <w:lang w:val="en-GB"/>
        </w:rPr>
        <w:t xml:space="preserve"> 8% discount rate. Advantage in terms of IRR (12%) </w:t>
      </w:r>
      <w:r w:rsidR="00512B47" w:rsidRPr="007250A8">
        <w:rPr>
          <w:lang w:val="en-GB"/>
        </w:rPr>
        <w:t xml:space="preserve">in </w:t>
      </w:r>
      <w:r w:rsidRPr="007250A8">
        <w:rPr>
          <w:lang w:val="en-GB"/>
        </w:rPr>
        <w:t xml:space="preserve">comparison to the necessary level is </w:t>
      </w:r>
      <w:r w:rsidR="00512B47" w:rsidRPr="007250A8">
        <w:rPr>
          <w:lang w:val="en-GB"/>
        </w:rPr>
        <w:t>considered</w:t>
      </w:r>
      <w:r w:rsidRPr="007250A8">
        <w:rPr>
          <w:lang w:val="en-GB"/>
        </w:rPr>
        <w:t xml:space="preserve"> large, and payback of 3 years i</w:t>
      </w:r>
      <w:r w:rsidR="00512B47" w:rsidRPr="007250A8">
        <w:rPr>
          <w:lang w:val="en-GB"/>
        </w:rPr>
        <w:t>s the</w:t>
      </w:r>
      <w:r w:rsidRPr="007250A8">
        <w:rPr>
          <w:lang w:val="en-GB"/>
        </w:rPr>
        <w:t xml:space="preserve"> shortest among the three projects. £11</w:t>
      </w:r>
      <w:r w:rsidR="00512B47" w:rsidRPr="007250A8">
        <w:rPr>
          <w:lang w:val="en-GB"/>
        </w:rPr>
        <w:t xml:space="preserve"> million </w:t>
      </w:r>
      <w:r w:rsidRPr="007250A8">
        <w:rPr>
          <w:lang w:val="en-GB"/>
        </w:rPr>
        <w:t xml:space="preserve">annual cash flow </w:t>
      </w:r>
      <w:r w:rsidR="00512B47" w:rsidRPr="007250A8">
        <w:rPr>
          <w:lang w:val="en-GB"/>
        </w:rPr>
        <w:t>is highly relevant within the project process while adding relevance to</w:t>
      </w:r>
      <w:r w:rsidRPr="007250A8">
        <w:rPr>
          <w:lang w:val="en-GB"/>
        </w:rPr>
        <w:t xml:space="preserve"> predictability and liquidity.</w:t>
      </w:r>
    </w:p>
    <w:p w14:paraId="0437E1B2" w14:textId="54E6C4B6" w:rsidR="00494818" w:rsidRPr="007250A8" w:rsidRDefault="00D457B3" w:rsidP="00D457B3">
      <w:pPr>
        <w:rPr>
          <w:lang w:val="en-GB"/>
        </w:rPr>
      </w:pPr>
      <w:r w:rsidRPr="007250A8">
        <w:rPr>
          <w:lang w:val="en-GB"/>
        </w:rPr>
        <w:t>Positive NPV is found in case of Project A a</w:t>
      </w:r>
      <w:r w:rsidR="00361E14" w:rsidRPr="007250A8">
        <w:rPr>
          <w:lang w:val="en-GB"/>
        </w:rPr>
        <w:t>long with the</w:t>
      </w:r>
      <w:r w:rsidRPr="007250A8">
        <w:rPr>
          <w:lang w:val="en-GB"/>
        </w:rPr>
        <w:t xml:space="preserve"> IRR of 11%. Therefore, it is economically feasib</w:t>
      </w:r>
      <w:r w:rsidR="00361E14" w:rsidRPr="007250A8">
        <w:rPr>
          <w:lang w:val="en-GB"/>
        </w:rPr>
        <w:t>le in the long-term, considering the key factors</w:t>
      </w:r>
      <w:r w:rsidRPr="007250A8">
        <w:rPr>
          <w:lang w:val="en-GB"/>
        </w:rPr>
        <w:t>.</w:t>
      </w:r>
      <w:r w:rsidR="00361E14" w:rsidRPr="007250A8">
        <w:rPr>
          <w:lang w:val="en-GB"/>
        </w:rPr>
        <w:t xml:space="preserve"> The</w:t>
      </w:r>
      <w:r w:rsidRPr="007250A8">
        <w:rPr>
          <w:lang w:val="en-GB"/>
        </w:rPr>
        <w:t xml:space="preserve"> value creation is smaller i</w:t>
      </w:r>
      <w:r w:rsidR="00361E14" w:rsidRPr="007250A8">
        <w:rPr>
          <w:lang w:val="en-GB"/>
        </w:rPr>
        <w:t>n</w:t>
      </w:r>
      <w:r w:rsidRPr="007250A8">
        <w:rPr>
          <w:lang w:val="en-GB"/>
        </w:rPr>
        <w:t xml:space="preserve"> Project A, </w:t>
      </w:r>
      <w:r w:rsidR="00361E14" w:rsidRPr="007250A8">
        <w:rPr>
          <w:lang w:val="en-GB"/>
        </w:rPr>
        <w:t xml:space="preserve">as </w:t>
      </w:r>
      <w:r w:rsidRPr="007250A8">
        <w:rPr>
          <w:lang w:val="en-GB"/>
        </w:rPr>
        <w:t>Project C has IRR of 27%</w:t>
      </w:r>
      <w:r w:rsidR="00361E14" w:rsidRPr="007250A8">
        <w:rPr>
          <w:lang w:val="en-GB"/>
        </w:rPr>
        <w:t xml:space="preserve"> and</w:t>
      </w:r>
      <w:r w:rsidRPr="007250A8">
        <w:rPr>
          <w:lang w:val="en-GB"/>
        </w:rPr>
        <w:t xml:space="preserve"> PI of 0.98, requir</w:t>
      </w:r>
      <w:r w:rsidR="00361E14" w:rsidRPr="007250A8">
        <w:rPr>
          <w:lang w:val="en-GB"/>
        </w:rPr>
        <w:t>ing</w:t>
      </w:r>
      <w:r w:rsidRPr="007250A8">
        <w:rPr>
          <w:lang w:val="en-GB"/>
        </w:rPr>
        <w:t xml:space="preserve"> initial outlay of £50 million, but generates only NP</w:t>
      </w:r>
      <w:r w:rsidR="00361E14" w:rsidRPr="007250A8">
        <w:rPr>
          <w:lang w:val="en-GB"/>
        </w:rPr>
        <w:t>V of</w:t>
      </w:r>
      <w:r w:rsidRPr="007250A8">
        <w:rPr>
          <w:lang w:val="en-GB"/>
        </w:rPr>
        <w:t xml:space="preserve"> £0.86 million. </w:t>
      </w:r>
      <w:r w:rsidR="00361E14" w:rsidRPr="007250A8">
        <w:rPr>
          <w:lang w:val="en-GB"/>
        </w:rPr>
        <w:t>The integration of</w:t>
      </w:r>
      <w:r w:rsidRPr="007250A8">
        <w:rPr>
          <w:lang w:val="en-GB"/>
        </w:rPr>
        <w:t xml:space="preserve"> higher ratio does not necessarily mean highest absolute value creati</w:t>
      </w:r>
      <w:r w:rsidR="00361E14" w:rsidRPr="007250A8">
        <w:rPr>
          <w:lang w:val="en-GB"/>
        </w:rPr>
        <w:t>on in the project process</w:t>
      </w:r>
      <w:r w:rsidRPr="007250A8">
        <w:rPr>
          <w:lang w:val="en-GB"/>
        </w:rPr>
        <w:t>.</w:t>
      </w:r>
    </w:p>
    <w:p w14:paraId="28E587AF" w14:textId="348ED3A9" w:rsidR="00494818" w:rsidRPr="007250A8" w:rsidRDefault="00494818" w:rsidP="00494818">
      <w:pPr>
        <w:rPr>
          <w:b/>
          <w:bCs/>
          <w:i/>
          <w:iCs/>
          <w:lang w:val="en-GB"/>
        </w:rPr>
      </w:pPr>
      <w:r w:rsidRPr="007250A8">
        <w:rPr>
          <w:b/>
          <w:bCs/>
          <w:i/>
          <w:iCs/>
          <w:lang w:val="en-GB"/>
        </w:rPr>
        <w:lastRenderedPageBreak/>
        <w:t>Project Risk Characteristics: Strategic Fi</w:t>
      </w:r>
      <w:r w:rsidR="008464DE" w:rsidRPr="007250A8">
        <w:rPr>
          <w:b/>
          <w:bCs/>
          <w:i/>
          <w:iCs/>
          <w:lang w:val="en-GB"/>
        </w:rPr>
        <w:t>t and</w:t>
      </w:r>
      <w:r w:rsidRPr="007250A8">
        <w:rPr>
          <w:b/>
          <w:bCs/>
          <w:i/>
          <w:iCs/>
          <w:lang w:val="en-GB"/>
        </w:rPr>
        <w:t xml:space="preserve"> Cash Flow Volatility</w:t>
      </w:r>
    </w:p>
    <w:p w14:paraId="02991F06" w14:textId="4E640439" w:rsidR="00D457B3" w:rsidRPr="007250A8" w:rsidRDefault="008464DE" w:rsidP="00D457B3">
      <w:pPr>
        <w:rPr>
          <w:lang w:val="en-GB"/>
        </w:rPr>
      </w:pPr>
      <w:r w:rsidRPr="007250A8">
        <w:rPr>
          <w:lang w:val="en-GB"/>
        </w:rPr>
        <w:t>Cash Flow stability is</w:t>
      </w:r>
      <w:r w:rsidR="00F36CD4" w:rsidRPr="007250A8">
        <w:rPr>
          <w:lang w:val="en-GB"/>
        </w:rPr>
        <w:t xml:space="preserve"> </w:t>
      </w:r>
      <w:r w:rsidRPr="007250A8">
        <w:rPr>
          <w:lang w:val="en-GB"/>
        </w:rPr>
        <w:t>analysed as one of the</w:t>
      </w:r>
      <w:r w:rsidR="00D457B3" w:rsidRPr="007250A8">
        <w:rPr>
          <w:lang w:val="en-GB"/>
        </w:rPr>
        <w:t xml:space="preserve"> key aspects in deciding the </w:t>
      </w:r>
      <w:r w:rsidRPr="007250A8">
        <w:rPr>
          <w:lang w:val="en-GB"/>
        </w:rPr>
        <w:t xml:space="preserve">overall </w:t>
      </w:r>
      <w:r w:rsidR="00D457B3" w:rsidRPr="007250A8">
        <w:rPr>
          <w:lang w:val="en-GB"/>
        </w:rPr>
        <w:t>investment</w:t>
      </w:r>
      <w:r w:rsidR="006A7049" w:rsidRPr="007250A8">
        <w:rPr>
          <w:lang w:val="en-GB"/>
        </w:rPr>
        <w:t xml:space="preserve"> (Wangchuk, 2022)</w:t>
      </w:r>
      <w:r w:rsidR="00D457B3" w:rsidRPr="007250A8">
        <w:rPr>
          <w:lang w:val="en-GB"/>
        </w:rPr>
        <w:t>. Project B also has stable cash flow with initial value of £11</w:t>
      </w:r>
      <w:r w:rsidRPr="007250A8">
        <w:rPr>
          <w:lang w:val="en-GB"/>
        </w:rPr>
        <w:t xml:space="preserve"> million </w:t>
      </w:r>
      <w:r w:rsidR="00D457B3" w:rsidRPr="007250A8">
        <w:rPr>
          <w:lang w:val="en-GB"/>
        </w:rPr>
        <w:t>each year from years 1</w:t>
      </w:r>
      <w:r w:rsidRPr="007250A8">
        <w:rPr>
          <w:lang w:val="en-GB"/>
        </w:rPr>
        <w:t xml:space="preserve"> to </w:t>
      </w:r>
      <w:r w:rsidR="00D457B3" w:rsidRPr="007250A8">
        <w:rPr>
          <w:lang w:val="en-GB"/>
        </w:rPr>
        <w:t>5. Project A has cash flow ranging from £</w:t>
      </w:r>
      <w:r w:rsidRPr="007250A8">
        <w:rPr>
          <w:lang w:val="en-GB"/>
        </w:rPr>
        <w:t>8 million</w:t>
      </w:r>
      <w:r w:rsidR="00D457B3" w:rsidRPr="007250A8">
        <w:rPr>
          <w:lang w:val="en-GB"/>
        </w:rPr>
        <w:t xml:space="preserve"> to £1</w:t>
      </w:r>
      <w:r w:rsidRPr="007250A8">
        <w:rPr>
          <w:lang w:val="en-GB"/>
        </w:rPr>
        <w:t>4 million</w:t>
      </w:r>
      <w:r w:rsidR="00D457B3" w:rsidRPr="007250A8">
        <w:rPr>
          <w:lang w:val="en-GB"/>
        </w:rPr>
        <w:t xml:space="preserve"> while project C has huge range for</w:t>
      </w:r>
      <w:r w:rsidRPr="007250A8">
        <w:rPr>
          <w:lang w:val="en-GB"/>
        </w:rPr>
        <w:t xml:space="preserve"> the</w:t>
      </w:r>
      <w:r w:rsidR="00D457B3" w:rsidRPr="007250A8">
        <w:rPr>
          <w:lang w:val="en-GB"/>
        </w:rPr>
        <w:t xml:space="preserve"> cash flow from minimum of £5</w:t>
      </w:r>
      <w:r w:rsidRPr="007250A8">
        <w:rPr>
          <w:lang w:val="en-GB"/>
        </w:rPr>
        <w:t xml:space="preserve"> million to</w:t>
      </w:r>
      <w:r w:rsidR="00D457B3" w:rsidRPr="007250A8">
        <w:rPr>
          <w:lang w:val="en-GB"/>
        </w:rPr>
        <w:t xml:space="preserve"> maximum of £25</w:t>
      </w:r>
      <w:r w:rsidRPr="007250A8">
        <w:rPr>
          <w:lang w:val="en-GB"/>
        </w:rPr>
        <w:t xml:space="preserve"> million</w:t>
      </w:r>
      <w:r w:rsidR="00D457B3" w:rsidRPr="007250A8">
        <w:rPr>
          <w:lang w:val="en-GB"/>
        </w:rPr>
        <w:t xml:space="preserve">. It is easy to </w:t>
      </w:r>
      <w:r w:rsidRPr="007250A8">
        <w:rPr>
          <w:lang w:val="en-GB"/>
        </w:rPr>
        <w:t>analyse</w:t>
      </w:r>
      <w:r w:rsidR="00D457B3" w:rsidRPr="007250A8">
        <w:rPr>
          <w:lang w:val="en-GB"/>
        </w:rPr>
        <w:t xml:space="preserve"> and manage the cash flow of Project B as result of </w:t>
      </w:r>
      <w:r w:rsidRPr="007250A8">
        <w:rPr>
          <w:lang w:val="en-GB"/>
        </w:rPr>
        <w:t>the</w:t>
      </w:r>
      <w:r w:rsidR="00D457B3" w:rsidRPr="007250A8">
        <w:rPr>
          <w:lang w:val="en-GB"/>
        </w:rPr>
        <w:t xml:space="preserve"> stable cash flow.</w:t>
      </w:r>
    </w:p>
    <w:p w14:paraId="6902F4ED" w14:textId="1B39B449" w:rsidR="00D94F3B" w:rsidRPr="007250A8" w:rsidRDefault="00D457B3" w:rsidP="00D457B3">
      <w:pPr>
        <w:rPr>
          <w:lang w:val="en-GB"/>
        </w:rPr>
      </w:pPr>
      <w:r w:rsidRPr="007250A8">
        <w:rPr>
          <w:lang w:val="en-GB"/>
        </w:rPr>
        <w:t xml:space="preserve">Capital </w:t>
      </w:r>
      <w:r w:rsidR="008464DE" w:rsidRPr="007250A8">
        <w:rPr>
          <w:lang w:val="en-GB"/>
        </w:rPr>
        <w:t xml:space="preserve">limit of </w:t>
      </w:r>
      <w:r w:rsidRPr="007250A8">
        <w:rPr>
          <w:lang w:val="en-GB"/>
        </w:rPr>
        <w:t>£60 million</w:t>
      </w:r>
      <w:r w:rsidR="008464DE" w:rsidRPr="007250A8">
        <w:rPr>
          <w:lang w:val="en-GB"/>
        </w:rPr>
        <w:t xml:space="preserve"> is highly relevant for</w:t>
      </w:r>
      <w:r w:rsidRPr="007250A8">
        <w:rPr>
          <w:lang w:val="en-GB"/>
        </w:rPr>
        <w:t xml:space="preserve"> Project B</w:t>
      </w:r>
      <w:r w:rsidR="008464DE" w:rsidRPr="007250A8">
        <w:rPr>
          <w:lang w:val="en-GB"/>
        </w:rPr>
        <w:t xml:space="preserve"> based on the</w:t>
      </w:r>
      <w:r w:rsidRPr="007250A8">
        <w:rPr>
          <w:lang w:val="en-GB"/>
        </w:rPr>
        <w:t xml:space="preserve"> ideal investment. Project B has the highest NPV, highe</w:t>
      </w:r>
      <w:r w:rsidR="008464DE" w:rsidRPr="007250A8">
        <w:rPr>
          <w:lang w:val="en-GB"/>
        </w:rPr>
        <w:t>st</w:t>
      </w:r>
      <w:r w:rsidRPr="007250A8">
        <w:rPr>
          <w:lang w:val="en-GB"/>
        </w:rPr>
        <w:t xml:space="preserve"> IRR, shortest payba</w:t>
      </w:r>
      <w:r w:rsidR="008464DE" w:rsidRPr="007250A8">
        <w:rPr>
          <w:lang w:val="en-GB"/>
        </w:rPr>
        <w:t>ck</w:t>
      </w:r>
      <w:r w:rsidRPr="007250A8">
        <w:rPr>
          <w:lang w:val="en-GB"/>
        </w:rPr>
        <w:t xml:space="preserve"> period and stab</w:t>
      </w:r>
      <w:r w:rsidR="008464DE" w:rsidRPr="007250A8">
        <w:rPr>
          <w:lang w:val="en-GB"/>
        </w:rPr>
        <w:t>le</w:t>
      </w:r>
      <w:r w:rsidRPr="007250A8">
        <w:rPr>
          <w:lang w:val="en-GB"/>
        </w:rPr>
        <w:t xml:space="preserve"> annual cash flows. The absolute value of IRR of Project B is much </w:t>
      </w:r>
      <w:r w:rsidR="008464DE" w:rsidRPr="007250A8">
        <w:rPr>
          <w:lang w:val="en-GB"/>
        </w:rPr>
        <w:t>higher</w:t>
      </w:r>
      <w:r w:rsidRPr="007250A8">
        <w:rPr>
          <w:lang w:val="en-GB"/>
        </w:rPr>
        <w:t xml:space="preserve"> than that of the other two projects, although it </w:t>
      </w:r>
      <w:r w:rsidR="008464DE" w:rsidRPr="007250A8">
        <w:rPr>
          <w:lang w:val="en-GB"/>
        </w:rPr>
        <w:t>utilises</w:t>
      </w:r>
      <w:r w:rsidRPr="007250A8">
        <w:rPr>
          <w:lang w:val="en-GB"/>
        </w:rPr>
        <w:t xml:space="preserve"> half of capital investment. Therefore, the best combination i</w:t>
      </w:r>
      <w:r w:rsidR="008464DE" w:rsidRPr="007250A8">
        <w:rPr>
          <w:lang w:val="en-GB"/>
        </w:rPr>
        <w:t>n t</w:t>
      </w:r>
      <w:r w:rsidRPr="007250A8">
        <w:rPr>
          <w:lang w:val="en-GB"/>
        </w:rPr>
        <w:t>erms of providing value for shareholders and capital efficiency is combination of investing £30 million in Project B</w:t>
      </w:r>
      <w:r w:rsidR="008464DE" w:rsidRPr="007250A8">
        <w:rPr>
          <w:lang w:val="en-GB"/>
        </w:rPr>
        <w:t xml:space="preserve"> and</w:t>
      </w:r>
      <w:r w:rsidRPr="007250A8">
        <w:rPr>
          <w:lang w:val="en-GB"/>
        </w:rPr>
        <w:t xml:space="preserve"> £30 million on liquidity.</w:t>
      </w:r>
    </w:p>
    <w:p w14:paraId="258D5772" w14:textId="61E1E16F" w:rsidR="000C4713" w:rsidRPr="007250A8" w:rsidRDefault="000C4713" w:rsidP="000C4713">
      <w:pPr>
        <w:pStyle w:val="Heading1"/>
        <w:rPr>
          <w:lang w:val="en-GB"/>
        </w:rPr>
      </w:pPr>
      <w:bookmarkStart w:id="39" w:name="_Toc237459810"/>
      <w:r w:rsidRPr="007250A8">
        <w:rPr>
          <w:lang w:val="en-GB"/>
        </w:rPr>
        <w:t>6. Critical Reflection on AI Usage</w:t>
      </w:r>
      <w:bookmarkEnd w:id="39"/>
    </w:p>
    <w:p w14:paraId="3A608575" w14:textId="39B8DCCC" w:rsidR="000C4713" w:rsidRPr="007250A8" w:rsidRDefault="00F36CD4" w:rsidP="000C4713">
      <w:pPr>
        <w:pStyle w:val="Heading2"/>
        <w:rPr>
          <w:lang w:val="en-GB"/>
        </w:rPr>
      </w:pPr>
      <w:bookmarkStart w:id="40" w:name="_Toc237459811"/>
      <w:r w:rsidRPr="007250A8">
        <w:rPr>
          <w:lang w:val="en-GB"/>
        </w:rPr>
        <w:t>6.1. (</w:t>
      </w:r>
      <w:r w:rsidR="000C4713" w:rsidRPr="007250A8">
        <w:rPr>
          <w:lang w:val="en-GB"/>
        </w:rPr>
        <w:t>a</w:t>
      </w:r>
      <w:r w:rsidRPr="007250A8">
        <w:rPr>
          <w:lang w:val="en-GB"/>
        </w:rPr>
        <w:t>)</w:t>
      </w:r>
      <w:r w:rsidR="000C4713" w:rsidRPr="007250A8">
        <w:rPr>
          <w:lang w:val="en-GB"/>
        </w:rPr>
        <w:t>. Tool Disclosure</w:t>
      </w:r>
      <w:bookmarkEnd w:id="40"/>
    </w:p>
    <w:p w14:paraId="4B979DE8" w14:textId="753FCE8E" w:rsidR="000C4713" w:rsidRPr="007250A8" w:rsidRDefault="000C4713" w:rsidP="000C4713">
      <w:pPr>
        <w:rPr>
          <w:lang w:val="en-GB"/>
        </w:rPr>
      </w:pPr>
      <w:r w:rsidRPr="007250A8">
        <w:rPr>
          <w:lang w:val="en-GB"/>
        </w:rPr>
        <w:t>The Artificial Intelligence was applied as assistive technology for writing this report such as structure and headings</w:t>
      </w:r>
      <w:r w:rsidR="00231FCD" w:rsidRPr="007250A8">
        <w:rPr>
          <w:lang w:val="en-GB"/>
        </w:rPr>
        <w:t xml:space="preserve"> (</w:t>
      </w:r>
      <w:proofErr w:type="spellStart"/>
      <w:r w:rsidR="00231FCD" w:rsidRPr="007250A8">
        <w:rPr>
          <w:lang w:val="en-GB"/>
        </w:rPr>
        <w:t>Rabbianty</w:t>
      </w:r>
      <w:proofErr w:type="spellEnd"/>
      <w:r w:rsidR="00231FCD" w:rsidRPr="007250A8">
        <w:rPr>
          <w:lang w:val="en-GB"/>
        </w:rPr>
        <w:t>, Azizah and Virdyna, 2023)</w:t>
      </w:r>
      <w:r w:rsidRPr="007250A8">
        <w:rPr>
          <w:lang w:val="en-GB"/>
        </w:rPr>
        <w:t>. I used AI technology in primary activities of arranging the report, structuring various parts of report, asking for suggestion to improve language for expressing financial data in the report. Assistance from AI technology in formatting the overall report is taken to ensure reliability</w:t>
      </w:r>
      <w:r w:rsidR="00231FCD" w:rsidRPr="007250A8">
        <w:rPr>
          <w:lang w:val="en-GB"/>
        </w:rPr>
        <w:t xml:space="preserve"> (Khalifa and </w:t>
      </w:r>
      <w:proofErr w:type="spellStart"/>
      <w:r w:rsidR="00231FCD" w:rsidRPr="007250A8">
        <w:rPr>
          <w:lang w:val="en-GB"/>
        </w:rPr>
        <w:t>Albadawy</w:t>
      </w:r>
      <w:proofErr w:type="spellEnd"/>
      <w:r w:rsidR="00231FCD" w:rsidRPr="007250A8">
        <w:rPr>
          <w:lang w:val="en-GB"/>
        </w:rPr>
        <w:t>, 2024)</w:t>
      </w:r>
      <w:r w:rsidRPr="007250A8">
        <w:rPr>
          <w:lang w:val="en-GB"/>
        </w:rPr>
        <w:t>. I will sign AI use acknowledgment form and make it clear that I made use of the technology. However, I did not rely on AI technology to write the report or take decisions. I was actively involved in the information to reach a proper conclusion based on the annual reports of the organisation and secondary research from Google Scholar.</w:t>
      </w:r>
    </w:p>
    <w:p w14:paraId="2DE0F52B" w14:textId="431A81B1" w:rsidR="000C4713" w:rsidRPr="007250A8" w:rsidRDefault="00F36CD4" w:rsidP="00AF3985">
      <w:pPr>
        <w:pStyle w:val="Heading2"/>
        <w:rPr>
          <w:lang w:val="en-GB"/>
        </w:rPr>
      </w:pPr>
      <w:bookmarkStart w:id="41" w:name="_Toc237459812"/>
      <w:r w:rsidRPr="007250A8">
        <w:rPr>
          <w:lang w:val="en-GB"/>
        </w:rPr>
        <w:t>6.2. (</w:t>
      </w:r>
      <w:r w:rsidR="000C4713" w:rsidRPr="007250A8">
        <w:rPr>
          <w:lang w:val="en-GB"/>
        </w:rPr>
        <w:t>b</w:t>
      </w:r>
      <w:r w:rsidRPr="007250A8">
        <w:rPr>
          <w:lang w:val="en-GB"/>
        </w:rPr>
        <w:t>)</w:t>
      </w:r>
      <w:r w:rsidR="000C4713" w:rsidRPr="007250A8">
        <w:rPr>
          <w:lang w:val="en-GB"/>
        </w:rPr>
        <w:t>. Critical evaluat</w:t>
      </w:r>
      <w:r w:rsidR="00AF3985" w:rsidRPr="007250A8">
        <w:rPr>
          <w:lang w:val="en-GB"/>
        </w:rPr>
        <w:t>ion of</w:t>
      </w:r>
      <w:r w:rsidR="000C4713" w:rsidRPr="007250A8">
        <w:rPr>
          <w:lang w:val="en-GB"/>
        </w:rPr>
        <w:t xml:space="preserve"> AI output</w:t>
      </w:r>
      <w:bookmarkEnd w:id="41"/>
    </w:p>
    <w:p w14:paraId="17A6E298" w14:textId="2C203471" w:rsidR="000C4713" w:rsidRPr="007250A8" w:rsidRDefault="000C4713" w:rsidP="000C4713">
      <w:pPr>
        <w:rPr>
          <w:lang w:val="en-GB"/>
        </w:rPr>
      </w:pPr>
      <w:r w:rsidRPr="007250A8">
        <w:rPr>
          <w:lang w:val="en-GB"/>
        </w:rPr>
        <w:t>The results from AI system were not alwa</w:t>
      </w:r>
      <w:r w:rsidR="00AF3985" w:rsidRPr="007250A8">
        <w:rPr>
          <w:lang w:val="en-GB"/>
        </w:rPr>
        <w:t xml:space="preserve">ys </w:t>
      </w:r>
      <w:r w:rsidRPr="007250A8">
        <w:rPr>
          <w:lang w:val="en-GB"/>
        </w:rPr>
        <w:t xml:space="preserve">true. </w:t>
      </w:r>
      <w:r w:rsidR="00AF3985" w:rsidRPr="007250A8">
        <w:rPr>
          <w:lang w:val="en-GB"/>
        </w:rPr>
        <w:t>T</w:t>
      </w:r>
      <w:r w:rsidRPr="007250A8">
        <w:rPr>
          <w:lang w:val="en-GB"/>
        </w:rPr>
        <w:t xml:space="preserve">o determine accuracy of the AI-generated </w:t>
      </w:r>
      <w:r w:rsidR="00AF3985" w:rsidRPr="007250A8">
        <w:rPr>
          <w:lang w:val="en-GB"/>
        </w:rPr>
        <w:t>information</w:t>
      </w:r>
      <w:r w:rsidRPr="007250A8">
        <w:rPr>
          <w:lang w:val="en-GB"/>
        </w:rPr>
        <w:t xml:space="preserve">, </w:t>
      </w:r>
      <w:r w:rsidR="00AF3985" w:rsidRPr="007250A8">
        <w:rPr>
          <w:lang w:val="en-GB"/>
        </w:rPr>
        <w:t>I focused on my own reports and annual statement generated from the organisational website</w:t>
      </w:r>
      <w:r w:rsidRPr="007250A8">
        <w:rPr>
          <w:lang w:val="en-GB"/>
        </w:rPr>
        <w:t xml:space="preserve">. Paying special attention to numbers was important </w:t>
      </w:r>
      <w:r w:rsidRPr="007250A8">
        <w:rPr>
          <w:lang w:val="en-GB"/>
        </w:rPr>
        <w:lastRenderedPageBreak/>
        <w:t>because an incorrect calculation could lead to incorrect interpretation of the company</w:t>
      </w:r>
      <w:r w:rsidR="00AF3985" w:rsidRPr="007250A8">
        <w:rPr>
          <w:lang w:val="en-GB"/>
        </w:rPr>
        <w:t>’</w:t>
      </w:r>
      <w:r w:rsidRPr="007250A8">
        <w:rPr>
          <w:lang w:val="en-GB"/>
        </w:rPr>
        <w:t>s financial situation.</w:t>
      </w:r>
    </w:p>
    <w:p w14:paraId="3F1CA9B2" w14:textId="0137C978" w:rsidR="000C4713" w:rsidRPr="007250A8" w:rsidRDefault="000C4713" w:rsidP="000C4713">
      <w:pPr>
        <w:rPr>
          <w:lang w:val="en-GB"/>
        </w:rPr>
      </w:pPr>
      <w:r w:rsidRPr="007250A8">
        <w:rPr>
          <w:lang w:val="en-GB"/>
        </w:rPr>
        <w:t>Ratios analy</w:t>
      </w:r>
      <w:r w:rsidR="00AF3985" w:rsidRPr="007250A8">
        <w:rPr>
          <w:lang w:val="en-GB"/>
        </w:rPr>
        <w:t>se</w:t>
      </w:r>
      <w:r w:rsidRPr="007250A8">
        <w:rPr>
          <w:lang w:val="en-GB"/>
        </w:rPr>
        <w:t>d included working capital, acid-test ratio, d</w:t>
      </w:r>
      <w:r w:rsidR="00AF3985" w:rsidRPr="007250A8">
        <w:rPr>
          <w:lang w:val="en-GB"/>
        </w:rPr>
        <w:t>ebt-</w:t>
      </w:r>
      <w:r w:rsidRPr="007250A8">
        <w:rPr>
          <w:lang w:val="en-GB"/>
        </w:rPr>
        <w:t>equity ratio, earnings per share ratio, net present valu</w:t>
      </w:r>
      <w:r w:rsidR="00AF3985" w:rsidRPr="007250A8">
        <w:rPr>
          <w:lang w:val="en-GB"/>
        </w:rPr>
        <w:t xml:space="preserve">e, </w:t>
      </w:r>
      <w:r w:rsidRPr="007250A8">
        <w:rPr>
          <w:lang w:val="en-GB"/>
        </w:rPr>
        <w:t xml:space="preserve">internal rate of return and payback period. </w:t>
      </w:r>
      <w:r w:rsidR="00AF3985" w:rsidRPr="007250A8">
        <w:rPr>
          <w:lang w:val="en-GB"/>
        </w:rPr>
        <w:t>I have ensured that the overall</w:t>
      </w:r>
      <w:r w:rsidRPr="007250A8">
        <w:rPr>
          <w:lang w:val="en-GB"/>
        </w:rPr>
        <w:t xml:space="preserve"> interpretation and conclusion about</w:t>
      </w:r>
      <w:r w:rsidR="00AF3985" w:rsidRPr="007250A8">
        <w:rPr>
          <w:lang w:val="en-GB"/>
        </w:rPr>
        <w:t xml:space="preserve"> the</w:t>
      </w:r>
      <w:r w:rsidRPr="007250A8">
        <w:rPr>
          <w:lang w:val="en-GB"/>
        </w:rPr>
        <w:t xml:space="preserve"> ratio </w:t>
      </w:r>
      <w:r w:rsidR="00AF3985" w:rsidRPr="007250A8">
        <w:rPr>
          <w:lang w:val="en-GB"/>
        </w:rPr>
        <w:t xml:space="preserve">is </w:t>
      </w:r>
      <w:r w:rsidRPr="007250A8">
        <w:rPr>
          <w:lang w:val="en-GB"/>
        </w:rPr>
        <w:t>consistent with resul</w:t>
      </w:r>
      <w:r w:rsidR="00AF3985" w:rsidRPr="007250A8">
        <w:rPr>
          <w:lang w:val="en-GB"/>
        </w:rPr>
        <w:t>t.</w:t>
      </w:r>
      <w:r w:rsidRPr="007250A8">
        <w:rPr>
          <w:lang w:val="en-GB"/>
        </w:rPr>
        <w:t xml:space="preserve"> </w:t>
      </w:r>
      <w:proofErr w:type="gramStart"/>
      <w:r w:rsidR="00AF3985" w:rsidRPr="007250A8">
        <w:rPr>
          <w:lang w:val="en-GB"/>
        </w:rPr>
        <w:t xml:space="preserve">A </w:t>
      </w:r>
      <w:r w:rsidRPr="007250A8">
        <w:rPr>
          <w:lang w:val="en-GB"/>
        </w:rPr>
        <w:t>ratio increase,</w:t>
      </w:r>
      <w:proofErr w:type="gramEnd"/>
      <w:r w:rsidRPr="007250A8">
        <w:rPr>
          <w:lang w:val="en-GB"/>
        </w:rPr>
        <w:t xml:space="preserve"> is correctly interpret</w:t>
      </w:r>
      <w:r w:rsidR="00AF3985" w:rsidRPr="007250A8">
        <w:rPr>
          <w:lang w:val="en-GB"/>
        </w:rPr>
        <w:t>ed</w:t>
      </w:r>
      <w:r w:rsidRPr="007250A8">
        <w:rPr>
          <w:lang w:val="en-GB"/>
        </w:rPr>
        <w:t xml:space="preserve"> such and incorrectly interpreted as decreasing</w:t>
      </w:r>
      <w:r w:rsidR="00AF3985" w:rsidRPr="007250A8">
        <w:rPr>
          <w:lang w:val="en-GB"/>
        </w:rPr>
        <w:t>. The</w:t>
      </w:r>
      <w:r w:rsidRPr="007250A8">
        <w:rPr>
          <w:lang w:val="en-GB"/>
        </w:rPr>
        <w:t xml:space="preserve"> positive and negative conclusions about NPV we</w:t>
      </w:r>
      <w:r w:rsidR="00AF3985" w:rsidRPr="007250A8">
        <w:rPr>
          <w:lang w:val="en-GB"/>
        </w:rPr>
        <w:t>re</w:t>
      </w:r>
      <w:r w:rsidRPr="007250A8">
        <w:rPr>
          <w:lang w:val="en-GB"/>
        </w:rPr>
        <w:t xml:space="preserve"> checked for consistency.</w:t>
      </w:r>
      <w:r w:rsidR="00AF3985" w:rsidRPr="007250A8">
        <w:rPr>
          <w:lang w:val="en-GB"/>
        </w:rPr>
        <w:t xml:space="preserve"> </w:t>
      </w:r>
      <w:r w:rsidRPr="007250A8">
        <w:rPr>
          <w:lang w:val="en-GB"/>
        </w:rPr>
        <w:t xml:space="preserve">In this context, </w:t>
      </w:r>
      <w:r w:rsidR="00AF3985" w:rsidRPr="007250A8">
        <w:rPr>
          <w:lang w:val="en-GB"/>
        </w:rPr>
        <w:t xml:space="preserve">the </w:t>
      </w:r>
      <w:r w:rsidRPr="007250A8">
        <w:rPr>
          <w:lang w:val="en-GB"/>
        </w:rPr>
        <w:t xml:space="preserve">information type that seems to be correct but </w:t>
      </w:r>
      <w:r w:rsidR="00AF3985" w:rsidRPr="007250A8">
        <w:rPr>
          <w:lang w:val="en-GB"/>
        </w:rPr>
        <w:t>lacks</w:t>
      </w:r>
      <w:r w:rsidRPr="007250A8">
        <w:rPr>
          <w:lang w:val="en-GB"/>
        </w:rPr>
        <w:t xml:space="preserve"> figures to prove it. This was considered logical error and </w:t>
      </w:r>
      <w:r w:rsidR="00AF3985" w:rsidRPr="007250A8">
        <w:rPr>
          <w:lang w:val="en-GB"/>
        </w:rPr>
        <w:t>“</w:t>
      </w:r>
      <w:r w:rsidRPr="007250A8">
        <w:rPr>
          <w:lang w:val="en-GB"/>
        </w:rPr>
        <w:t>hallucination</w:t>
      </w:r>
      <w:r w:rsidR="00AF3985" w:rsidRPr="007250A8">
        <w:rPr>
          <w:lang w:val="en-GB"/>
        </w:rPr>
        <w:t>”.</w:t>
      </w:r>
      <w:r w:rsidRPr="007250A8">
        <w:rPr>
          <w:lang w:val="en-GB"/>
        </w:rPr>
        <w:t xml:space="preserve"> In such a case, I would edit it </w:t>
      </w:r>
      <w:r w:rsidR="00AF3985" w:rsidRPr="007250A8">
        <w:rPr>
          <w:lang w:val="en-GB"/>
        </w:rPr>
        <w:t>based on the</w:t>
      </w:r>
      <w:r w:rsidRPr="007250A8">
        <w:rPr>
          <w:lang w:val="en-GB"/>
        </w:rPr>
        <w:t xml:space="preserve"> financial </w:t>
      </w:r>
      <w:r w:rsidR="00AF3985" w:rsidRPr="007250A8">
        <w:rPr>
          <w:lang w:val="en-GB"/>
        </w:rPr>
        <w:t xml:space="preserve">relevance and </w:t>
      </w:r>
      <w:r w:rsidRPr="007250A8">
        <w:rPr>
          <w:lang w:val="en-GB"/>
        </w:rPr>
        <w:t>reality</w:t>
      </w:r>
      <w:r w:rsidR="00AF3985" w:rsidRPr="007250A8">
        <w:rPr>
          <w:lang w:val="en-GB"/>
        </w:rPr>
        <w:t xml:space="preserve"> of the organisation</w:t>
      </w:r>
      <w:r w:rsidRPr="007250A8">
        <w:rPr>
          <w:lang w:val="en-GB"/>
        </w:rPr>
        <w:t xml:space="preserve">. The lesson </w:t>
      </w:r>
      <w:r w:rsidR="00AF3985" w:rsidRPr="007250A8">
        <w:rPr>
          <w:lang w:val="en-GB"/>
        </w:rPr>
        <w:t>includes relevance of financial information</w:t>
      </w:r>
      <w:r w:rsidRPr="007250A8">
        <w:rPr>
          <w:lang w:val="en-GB"/>
        </w:rPr>
        <w:t xml:space="preserve"> checked against information.</w:t>
      </w:r>
    </w:p>
    <w:p w14:paraId="22C82F7F" w14:textId="62E40089" w:rsidR="000C4713" w:rsidRPr="007250A8" w:rsidRDefault="00F36CD4" w:rsidP="00AF3985">
      <w:pPr>
        <w:pStyle w:val="Heading2"/>
        <w:rPr>
          <w:lang w:val="en-GB"/>
        </w:rPr>
      </w:pPr>
      <w:bookmarkStart w:id="42" w:name="_Toc237459813"/>
      <w:r w:rsidRPr="007250A8">
        <w:rPr>
          <w:lang w:val="en-GB"/>
        </w:rPr>
        <w:t>6.3 (</w:t>
      </w:r>
      <w:r w:rsidR="000C4713" w:rsidRPr="007250A8">
        <w:rPr>
          <w:lang w:val="en-GB"/>
        </w:rPr>
        <w:t>c</w:t>
      </w:r>
      <w:r w:rsidRPr="007250A8">
        <w:rPr>
          <w:lang w:val="en-GB"/>
        </w:rPr>
        <w:t>)</w:t>
      </w:r>
      <w:r w:rsidR="000C4713" w:rsidRPr="007250A8">
        <w:rPr>
          <w:lang w:val="en-GB"/>
        </w:rPr>
        <w:t>. Contribution Analysis</w:t>
      </w:r>
      <w:bookmarkEnd w:id="42"/>
    </w:p>
    <w:p w14:paraId="69C0B5A4" w14:textId="2BDF73DB" w:rsidR="000C4713" w:rsidRPr="007250A8" w:rsidRDefault="000C4713" w:rsidP="000C4713">
      <w:pPr>
        <w:rPr>
          <w:lang w:val="en-GB"/>
        </w:rPr>
      </w:pPr>
      <w:r w:rsidRPr="007250A8">
        <w:rPr>
          <w:lang w:val="en-GB"/>
        </w:rPr>
        <w:t xml:space="preserve">My report </w:t>
      </w:r>
      <w:r w:rsidR="00AF3985" w:rsidRPr="007250A8">
        <w:rPr>
          <w:lang w:val="en-GB"/>
        </w:rPr>
        <w:t>is</w:t>
      </w:r>
      <w:r w:rsidRPr="007250A8">
        <w:rPr>
          <w:lang w:val="en-GB"/>
        </w:rPr>
        <w:t xml:space="preserve"> helped by utili</w:t>
      </w:r>
      <w:r w:rsidR="00AF3985" w:rsidRPr="007250A8">
        <w:rPr>
          <w:lang w:val="en-GB"/>
        </w:rPr>
        <w:t>s</w:t>
      </w:r>
      <w:r w:rsidRPr="007250A8">
        <w:rPr>
          <w:lang w:val="en-GB"/>
        </w:rPr>
        <w:t>ation of AI assistance regarding structure, organi</w:t>
      </w:r>
      <w:r w:rsidR="00AF3985" w:rsidRPr="007250A8">
        <w:rPr>
          <w:lang w:val="en-GB"/>
        </w:rPr>
        <w:t>sa</w:t>
      </w:r>
      <w:r w:rsidRPr="007250A8">
        <w:rPr>
          <w:lang w:val="en-GB"/>
        </w:rPr>
        <w:t>tion and presentation. It helped me in structuring my work with classifications and making it easier to understan</w:t>
      </w:r>
      <w:r w:rsidR="00AF3985" w:rsidRPr="007250A8">
        <w:rPr>
          <w:lang w:val="en-GB"/>
        </w:rPr>
        <w:t>d about</w:t>
      </w:r>
      <w:r w:rsidRPr="007250A8">
        <w:rPr>
          <w:lang w:val="en-GB"/>
        </w:rPr>
        <w:t xml:space="preserve"> information. I</w:t>
      </w:r>
      <w:r w:rsidR="00AF3985" w:rsidRPr="007250A8">
        <w:rPr>
          <w:lang w:val="en-GB"/>
        </w:rPr>
        <w:t>t</w:t>
      </w:r>
      <w:r w:rsidRPr="007250A8">
        <w:rPr>
          <w:lang w:val="en-GB"/>
        </w:rPr>
        <w:t xml:space="preserve"> </w:t>
      </w:r>
      <w:r w:rsidR="00AF3985" w:rsidRPr="007250A8">
        <w:rPr>
          <w:lang w:val="en-GB"/>
        </w:rPr>
        <w:t>helps</w:t>
      </w:r>
      <w:r w:rsidRPr="007250A8">
        <w:rPr>
          <w:lang w:val="en-GB"/>
        </w:rPr>
        <w:t xml:space="preserve"> me analy</w:t>
      </w:r>
      <w:r w:rsidR="00AF3985" w:rsidRPr="007250A8">
        <w:rPr>
          <w:lang w:val="en-GB"/>
        </w:rPr>
        <w:t>se</w:t>
      </w:r>
      <w:r w:rsidRPr="007250A8">
        <w:rPr>
          <w:lang w:val="en-GB"/>
        </w:rPr>
        <w:t xml:space="preserve"> </w:t>
      </w:r>
      <w:r w:rsidR="00AF3985" w:rsidRPr="007250A8">
        <w:rPr>
          <w:lang w:val="en-GB"/>
        </w:rPr>
        <w:t>various</w:t>
      </w:r>
      <w:r w:rsidRPr="007250A8">
        <w:rPr>
          <w:lang w:val="en-GB"/>
        </w:rPr>
        <w:t xml:space="preserve"> financial variables and interpret differences in liquidity and profitability, leverage, efficienc</w:t>
      </w:r>
      <w:r w:rsidR="00AF3985" w:rsidRPr="007250A8">
        <w:rPr>
          <w:lang w:val="en-GB"/>
        </w:rPr>
        <w:t>y and</w:t>
      </w:r>
      <w:r w:rsidRPr="007250A8">
        <w:rPr>
          <w:lang w:val="en-GB"/>
        </w:rPr>
        <w:t xml:space="preserve"> cash flow to the firm.</w:t>
      </w:r>
      <w:r w:rsidR="00AF3985" w:rsidRPr="007250A8">
        <w:rPr>
          <w:lang w:val="en-GB"/>
        </w:rPr>
        <w:t xml:space="preserve"> </w:t>
      </w:r>
      <w:r w:rsidRPr="007250A8">
        <w:rPr>
          <w:lang w:val="en-GB"/>
        </w:rPr>
        <w:t xml:space="preserve">I took decisions concerning inclusion of </w:t>
      </w:r>
      <w:r w:rsidR="00AF3985" w:rsidRPr="007250A8">
        <w:rPr>
          <w:lang w:val="en-GB"/>
        </w:rPr>
        <w:t>requir</w:t>
      </w:r>
      <w:r w:rsidRPr="007250A8">
        <w:rPr>
          <w:lang w:val="en-GB"/>
        </w:rPr>
        <w:t>ed information and analysis in the report. I checked out figures, analy</w:t>
      </w:r>
      <w:r w:rsidR="00AF3985" w:rsidRPr="007250A8">
        <w:rPr>
          <w:lang w:val="en-GB"/>
        </w:rPr>
        <w:t>s</w:t>
      </w:r>
      <w:r w:rsidRPr="007250A8">
        <w:rPr>
          <w:lang w:val="en-GB"/>
        </w:rPr>
        <w:t xml:space="preserve">ed the </w:t>
      </w:r>
      <w:r w:rsidR="00AF3985" w:rsidRPr="007250A8">
        <w:rPr>
          <w:lang w:val="en-GB"/>
        </w:rPr>
        <w:t xml:space="preserve">financial </w:t>
      </w:r>
      <w:r w:rsidRPr="007250A8">
        <w:rPr>
          <w:lang w:val="en-GB"/>
        </w:rPr>
        <w:t>status of the company and established main economic factors. Moreover, I worked out strategy based on financial status of company and investments limitations.</w:t>
      </w:r>
      <w:r w:rsidR="00AF3985" w:rsidRPr="007250A8">
        <w:rPr>
          <w:lang w:val="en-GB"/>
        </w:rPr>
        <w:t xml:space="preserve"> </w:t>
      </w:r>
      <w:r w:rsidRPr="007250A8">
        <w:rPr>
          <w:lang w:val="en-GB"/>
        </w:rPr>
        <w:t xml:space="preserve">For example, when assessing three investment projects, I relied not only on information given by AI. Prior to my conclusion, I considered NPV, IRR, payback period, cash-flow stability and £60 million capital limitation. Therefore, </w:t>
      </w:r>
      <w:r w:rsidR="00AF3985" w:rsidRPr="007250A8">
        <w:rPr>
          <w:lang w:val="en-GB"/>
        </w:rPr>
        <w:t>based on my</w:t>
      </w:r>
      <w:r w:rsidRPr="007250A8">
        <w:rPr>
          <w:lang w:val="en-GB"/>
        </w:rPr>
        <w:t xml:space="preserve"> opinion, the application of AI in this case has helped with organi</w:t>
      </w:r>
      <w:r w:rsidR="00AF3985" w:rsidRPr="007250A8">
        <w:rPr>
          <w:lang w:val="en-GB"/>
        </w:rPr>
        <w:t>s</w:t>
      </w:r>
      <w:r w:rsidRPr="007250A8">
        <w:rPr>
          <w:lang w:val="en-GB"/>
        </w:rPr>
        <w:t>ation of content.</w:t>
      </w:r>
    </w:p>
    <w:p w14:paraId="60C0FA4C" w14:textId="4DB28067" w:rsidR="000C4713" w:rsidRPr="007250A8" w:rsidRDefault="00F36CD4" w:rsidP="00AF3985">
      <w:pPr>
        <w:pStyle w:val="Heading2"/>
        <w:rPr>
          <w:lang w:val="en-GB"/>
        </w:rPr>
      </w:pPr>
      <w:bookmarkStart w:id="43" w:name="_Toc237459814"/>
      <w:r w:rsidRPr="007250A8">
        <w:rPr>
          <w:lang w:val="en-GB"/>
        </w:rPr>
        <w:t>6.4. (</w:t>
      </w:r>
      <w:r w:rsidR="000C4713" w:rsidRPr="007250A8">
        <w:rPr>
          <w:lang w:val="en-GB"/>
        </w:rPr>
        <w:t>d</w:t>
      </w:r>
      <w:r w:rsidRPr="007250A8">
        <w:rPr>
          <w:lang w:val="en-GB"/>
        </w:rPr>
        <w:t>)</w:t>
      </w:r>
      <w:r w:rsidR="000C4713" w:rsidRPr="007250A8">
        <w:rPr>
          <w:lang w:val="en-GB"/>
        </w:rPr>
        <w:t>. Ethical and Professional Reflection</w:t>
      </w:r>
      <w:bookmarkEnd w:id="43"/>
    </w:p>
    <w:p w14:paraId="4B49DFF8" w14:textId="7823CACA" w:rsidR="000C4713" w:rsidRPr="007250A8" w:rsidRDefault="000C4713" w:rsidP="000C4713">
      <w:pPr>
        <w:rPr>
          <w:lang w:val="en-GB"/>
        </w:rPr>
      </w:pPr>
      <w:r w:rsidRPr="007250A8">
        <w:rPr>
          <w:lang w:val="en-GB"/>
        </w:rPr>
        <w:t>The usage of AI in financial analysis m</w:t>
      </w:r>
      <w:r w:rsidR="00AF3985" w:rsidRPr="007250A8">
        <w:rPr>
          <w:lang w:val="en-GB"/>
        </w:rPr>
        <w:t>ight</w:t>
      </w:r>
      <w:r w:rsidRPr="007250A8">
        <w:rPr>
          <w:lang w:val="en-GB"/>
        </w:rPr>
        <w:t xml:space="preserve"> bring some ethical and professional issues of which I</w:t>
      </w:r>
      <w:r w:rsidR="00AF3985" w:rsidRPr="007250A8">
        <w:rPr>
          <w:lang w:val="en-GB"/>
        </w:rPr>
        <w:t xml:space="preserve"> am</w:t>
      </w:r>
      <w:r w:rsidRPr="007250A8">
        <w:rPr>
          <w:lang w:val="en-GB"/>
        </w:rPr>
        <w:t xml:space="preserve"> aware. In my opinion, usage of AI in the preparation of financial analysis work requires</w:t>
      </w:r>
      <w:r w:rsidR="00AF3985" w:rsidRPr="007250A8">
        <w:rPr>
          <w:lang w:val="en-GB"/>
        </w:rPr>
        <w:t xml:space="preserve"> effectiveness and</w:t>
      </w:r>
      <w:r w:rsidRPr="007250A8">
        <w:rPr>
          <w:lang w:val="en-GB"/>
        </w:rPr>
        <w:t xml:space="preserve"> transparency. I clearly </w:t>
      </w:r>
      <w:r w:rsidR="00AF3985" w:rsidRPr="007250A8">
        <w:rPr>
          <w:lang w:val="en-GB"/>
        </w:rPr>
        <w:t xml:space="preserve">stated </w:t>
      </w:r>
      <w:r w:rsidRPr="007250A8">
        <w:rPr>
          <w:lang w:val="en-GB"/>
        </w:rPr>
        <w:t xml:space="preserve">that I use AI for some aspects of my work and </w:t>
      </w:r>
      <w:r w:rsidR="00AF3985" w:rsidRPr="007250A8">
        <w:rPr>
          <w:lang w:val="en-GB"/>
        </w:rPr>
        <w:t>not for generation of the whole report</w:t>
      </w:r>
      <w:r w:rsidRPr="007250A8">
        <w:rPr>
          <w:lang w:val="en-GB"/>
        </w:rPr>
        <w:t>.</w:t>
      </w:r>
      <w:r w:rsidR="00AF3985" w:rsidRPr="007250A8">
        <w:rPr>
          <w:lang w:val="en-GB"/>
        </w:rPr>
        <w:t xml:space="preserve"> </w:t>
      </w:r>
      <w:r w:rsidRPr="007250A8">
        <w:rPr>
          <w:lang w:val="en-GB"/>
        </w:rPr>
        <w:t>I appreciate need for maintaining data privacy. The information provided could be commercial</w:t>
      </w:r>
      <w:r w:rsidR="00AF3985" w:rsidRPr="007250A8">
        <w:rPr>
          <w:lang w:val="en-GB"/>
        </w:rPr>
        <w:t>ly</w:t>
      </w:r>
      <w:r w:rsidRPr="007250A8">
        <w:rPr>
          <w:lang w:val="en-GB"/>
        </w:rPr>
        <w:t xml:space="preserve"> sensitive or </w:t>
      </w:r>
      <w:r w:rsidRPr="007250A8">
        <w:rPr>
          <w:lang w:val="en-GB"/>
        </w:rPr>
        <w:lastRenderedPageBreak/>
        <w:t>personal information, hence wh</w:t>
      </w:r>
      <w:r w:rsidR="00AF3985" w:rsidRPr="007250A8">
        <w:rPr>
          <w:lang w:val="en-GB"/>
        </w:rPr>
        <w:t xml:space="preserve">ile </w:t>
      </w:r>
      <w:r w:rsidRPr="007250A8">
        <w:rPr>
          <w:lang w:val="en-GB"/>
        </w:rPr>
        <w:t>providing informatio</w:t>
      </w:r>
      <w:r w:rsidR="00AF3985" w:rsidRPr="007250A8">
        <w:rPr>
          <w:lang w:val="en-GB"/>
        </w:rPr>
        <w:t>n</w:t>
      </w:r>
      <w:r w:rsidRPr="007250A8">
        <w:rPr>
          <w:lang w:val="en-GB"/>
        </w:rPr>
        <w:t xml:space="preserve">, it is important that I am careful about the information </w:t>
      </w:r>
      <w:r w:rsidR="00AF3985" w:rsidRPr="007250A8">
        <w:rPr>
          <w:lang w:val="en-GB"/>
        </w:rPr>
        <w:t>provided to</w:t>
      </w:r>
      <w:r w:rsidRPr="007250A8">
        <w:rPr>
          <w:lang w:val="en-GB"/>
        </w:rPr>
        <w:t xml:space="preserve"> AI tools. Being professional in finance, I would be required to follow rules set by company before applying the AI to information belonging to </w:t>
      </w:r>
      <w:r w:rsidR="00AF3985" w:rsidRPr="007250A8">
        <w:rPr>
          <w:lang w:val="en-GB"/>
        </w:rPr>
        <w:t>co</w:t>
      </w:r>
      <w:r w:rsidRPr="007250A8">
        <w:rPr>
          <w:lang w:val="en-GB"/>
        </w:rPr>
        <w:t>mpany.</w:t>
      </w:r>
    </w:p>
    <w:p w14:paraId="7A1B227A" w14:textId="484B8405" w:rsidR="000C4713" w:rsidRPr="007250A8" w:rsidRDefault="000C4713" w:rsidP="000C4713">
      <w:pPr>
        <w:rPr>
          <w:lang w:val="en-GB"/>
        </w:rPr>
      </w:pPr>
      <w:r w:rsidRPr="007250A8">
        <w:rPr>
          <w:lang w:val="en-GB"/>
        </w:rPr>
        <w:t>The problem of reliance on AI is major issue that</w:t>
      </w:r>
      <w:r w:rsidR="00AF3985" w:rsidRPr="007250A8">
        <w:rPr>
          <w:lang w:val="en-GB"/>
        </w:rPr>
        <w:t xml:space="preserve"> requires</w:t>
      </w:r>
      <w:r w:rsidRPr="007250A8">
        <w:rPr>
          <w:lang w:val="en-GB"/>
        </w:rPr>
        <w:t xml:space="preserve"> consideration. In addition to produce solution fast, AI m</w:t>
      </w:r>
      <w:r w:rsidR="00AF3985" w:rsidRPr="007250A8">
        <w:rPr>
          <w:lang w:val="en-GB"/>
        </w:rPr>
        <w:t>ight be p</w:t>
      </w:r>
      <w:r w:rsidRPr="007250A8">
        <w:rPr>
          <w:lang w:val="en-GB"/>
        </w:rPr>
        <w:t xml:space="preserve">rone to miscalculations, misunderstanding financial information or even making </w:t>
      </w:r>
      <w:r w:rsidR="00AF3985" w:rsidRPr="007250A8">
        <w:rPr>
          <w:lang w:val="en-GB"/>
        </w:rPr>
        <w:t xml:space="preserve">false </w:t>
      </w:r>
      <w:r w:rsidRPr="007250A8">
        <w:rPr>
          <w:lang w:val="en-GB"/>
        </w:rPr>
        <w:t>claims. Not considering output of AI can lead to poor investment recommendations which m</w:t>
      </w:r>
      <w:r w:rsidR="00AF3985" w:rsidRPr="007250A8">
        <w:rPr>
          <w:lang w:val="en-GB"/>
        </w:rPr>
        <w:t>ight have</w:t>
      </w:r>
      <w:r w:rsidRPr="007250A8">
        <w:rPr>
          <w:lang w:val="en-GB"/>
        </w:rPr>
        <w:t xml:space="preserve"> an impact on shareholders, employees</w:t>
      </w:r>
      <w:r w:rsidR="00AF3985" w:rsidRPr="007250A8">
        <w:rPr>
          <w:lang w:val="en-GB"/>
        </w:rPr>
        <w:t xml:space="preserve"> </w:t>
      </w:r>
      <w:r w:rsidRPr="007250A8">
        <w:rPr>
          <w:lang w:val="en-GB"/>
        </w:rPr>
        <w:t xml:space="preserve">and other </w:t>
      </w:r>
      <w:r w:rsidR="00AF3985" w:rsidRPr="007250A8">
        <w:rPr>
          <w:lang w:val="en-GB"/>
        </w:rPr>
        <w:t xml:space="preserve">key </w:t>
      </w:r>
      <w:r w:rsidRPr="007250A8">
        <w:rPr>
          <w:lang w:val="en-GB"/>
        </w:rPr>
        <w:t>stakeholders involved.</w:t>
      </w:r>
      <w:r w:rsidR="00AF3985" w:rsidRPr="007250A8">
        <w:rPr>
          <w:lang w:val="en-GB"/>
        </w:rPr>
        <w:t xml:space="preserve"> </w:t>
      </w:r>
      <w:r w:rsidR="00231FCD" w:rsidRPr="007250A8">
        <w:rPr>
          <w:lang w:val="en-GB"/>
        </w:rPr>
        <w:t xml:space="preserve">As per </w:t>
      </w:r>
      <w:proofErr w:type="spellStart"/>
      <w:r w:rsidR="00231FCD" w:rsidRPr="007250A8">
        <w:rPr>
          <w:lang w:val="en-GB"/>
        </w:rPr>
        <w:t>Pinzolits</w:t>
      </w:r>
      <w:proofErr w:type="spellEnd"/>
      <w:r w:rsidR="00231FCD" w:rsidRPr="007250A8">
        <w:rPr>
          <w:lang w:val="en-GB"/>
        </w:rPr>
        <w:t xml:space="preserve"> (2024), t</w:t>
      </w:r>
      <w:r w:rsidRPr="007250A8">
        <w:rPr>
          <w:lang w:val="en-GB"/>
        </w:rPr>
        <w:t>h</w:t>
      </w:r>
      <w:r w:rsidR="00AF3985" w:rsidRPr="007250A8">
        <w:rPr>
          <w:lang w:val="en-GB"/>
        </w:rPr>
        <w:t>e</w:t>
      </w:r>
      <w:r w:rsidRPr="007250A8">
        <w:rPr>
          <w:lang w:val="en-GB"/>
        </w:rPr>
        <w:t xml:space="preserve"> experience has enabled me to reali</w:t>
      </w:r>
      <w:r w:rsidR="00AF3985" w:rsidRPr="007250A8">
        <w:rPr>
          <w:lang w:val="en-GB"/>
        </w:rPr>
        <w:t xml:space="preserve">se </w:t>
      </w:r>
      <w:r w:rsidRPr="007250A8">
        <w:rPr>
          <w:lang w:val="en-GB"/>
        </w:rPr>
        <w:t xml:space="preserve">the role of using AI to help </w:t>
      </w:r>
      <w:r w:rsidR="00AF3985" w:rsidRPr="007250A8">
        <w:rPr>
          <w:lang w:val="en-GB"/>
        </w:rPr>
        <w:t xml:space="preserve">me in </w:t>
      </w:r>
      <w:r w:rsidRPr="007250A8">
        <w:rPr>
          <w:lang w:val="en-GB"/>
        </w:rPr>
        <w:t>mak</w:t>
      </w:r>
      <w:r w:rsidR="00AF3985" w:rsidRPr="007250A8">
        <w:rPr>
          <w:lang w:val="en-GB"/>
        </w:rPr>
        <w:t>ing</w:t>
      </w:r>
      <w:r w:rsidRPr="007250A8">
        <w:rPr>
          <w:lang w:val="en-GB"/>
        </w:rPr>
        <w:t xml:space="preserve"> decisions. I can use AI to increase efficiency and become part of information analysis but still be responsible for analy</w:t>
      </w:r>
      <w:r w:rsidR="00AF3985" w:rsidRPr="007250A8">
        <w:rPr>
          <w:lang w:val="en-GB"/>
        </w:rPr>
        <w:t>s</w:t>
      </w:r>
      <w:r w:rsidRPr="007250A8">
        <w:rPr>
          <w:lang w:val="en-GB"/>
        </w:rPr>
        <w:t xml:space="preserve">ing evidence, verifying results and making final decision. Human judgement and accountability </w:t>
      </w:r>
      <w:r w:rsidR="00AF3985" w:rsidRPr="007250A8">
        <w:rPr>
          <w:lang w:val="en-GB"/>
        </w:rPr>
        <w:t>are highly</w:t>
      </w:r>
      <w:r w:rsidRPr="007250A8">
        <w:rPr>
          <w:lang w:val="en-GB"/>
        </w:rPr>
        <w:t xml:space="preserve"> essential </w:t>
      </w:r>
      <w:r w:rsidR="00AF3985" w:rsidRPr="007250A8">
        <w:rPr>
          <w:lang w:val="en-GB"/>
        </w:rPr>
        <w:t xml:space="preserve">in </w:t>
      </w:r>
      <w:r w:rsidR="00EA1091" w:rsidRPr="007250A8">
        <w:rPr>
          <w:lang w:val="en-GB"/>
        </w:rPr>
        <w:t>consideration</w:t>
      </w:r>
      <w:r w:rsidR="00AF3985" w:rsidRPr="007250A8">
        <w:rPr>
          <w:lang w:val="en-GB"/>
        </w:rPr>
        <w:t xml:space="preserve"> of the</w:t>
      </w:r>
      <w:r w:rsidRPr="007250A8">
        <w:rPr>
          <w:lang w:val="en-GB"/>
        </w:rPr>
        <w:t xml:space="preserve"> financial roles.</w:t>
      </w:r>
    </w:p>
    <w:p w14:paraId="2B4AA2E5" w14:textId="0A7B2A36" w:rsidR="000C79E1" w:rsidRPr="007250A8" w:rsidRDefault="00A657DA" w:rsidP="00A657DA">
      <w:pPr>
        <w:pStyle w:val="Heading1"/>
        <w:rPr>
          <w:lang w:val="en-GB"/>
        </w:rPr>
      </w:pPr>
      <w:bookmarkStart w:id="44" w:name="_Toc237459815"/>
      <w:r w:rsidRPr="007250A8">
        <w:rPr>
          <w:lang w:val="en-GB"/>
        </w:rPr>
        <w:t xml:space="preserve">7. </w:t>
      </w:r>
      <w:r w:rsidR="000C79E1" w:rsidRPr="007250A8">
        <w:rPr>
          <w:lang w:val="en-GB"/>
        </w:rPr>
        <w:t>Conclusion</w:t>
      </w:r>
      <w:bookmarkEnd w:id="44"/>
    </w:p>
    <w:p w14:paraId="3ABA246C" w14:textId="7B5FB869" w:rsidR="007273CC" w:rsidRPr="007250A8" w:rsidRDefault="000C79E1" w:rsidP="000C79E1">
      <w:pPr>
        <w:rPr>
          <w:lang w:val="en-GB"/>
        </w:rPr>
      </w:pPr>
      <w:r w:rsidRPr="007250A8">
        <w:rPr>
          <w:lang w:val="en-GB"/>
        </w:rPr>
        <w:t>In general, Marriott h</w:t>
      </w:r>
      <w:r w:rsidR="00A657DA" w:rsidRPr="007250A8">
        <w:rPr>
          <w:lang w:val="en-GB"/>
        </w:rPr>
        <w:t>ighlighted</w:t>
      </w:r>
      <w:r w:rsidRPr="007250A8">
        <w:rPr>
          <w:lang w:val="en-GB"/>
        </w:rPr>
        <w:t xml:space="preserve"> high revenue and profitability, w</w:t>
      </w:r>
      <w:r w:rsidR="00A657DA" w:rsidRPr="007250A8">
        <w:rPr>
          <w:lang w:val="en-GB"/>
        </w:rPr>
        <w:t>ith poor</w:t>
      </w:r>
      <w:r w:rsidRPr="007250A8">
        <w:rPr>
          <w:lang w:val="en-GB"/>
        </w:rPr>
        <w:t xml:space="preserve"> liquidity and financial leverage position. The re</w:t>
      </w:r>
      <w:r w:rsidR="00A657DA" w:rsidRPr="007250A8">
        <w:rPr>
          <w:lang w:val="en-GB"/>
        </w:rPr>
        <w:t>port</w:t>
      </w:r>
      <w:r w:rsidRPr="007250A8">
        <w:rPr>
          <w:lang w:val="en-GB"/>
        </w:rPr>
        <w:t xml:space="preserve"> emphasi</w:t>
      </w:r>
      <w:r w:rsidR="00A657DA" w:rsidRPr="007250A8">
        <w:rPr>
          <w:lang w:val="en-GB"/>
        </w:rPr>
        <w:t>s</w:t>
      </w:r>
      <w:r w:rsidRPr="007250A8">
        <w:rPr>
          <w:lang w:val="en-GB"/>
        </w:rPr>
        <w:t>ed the need for efficient working capital management, effective cash-flow budgeti</w:t>
      </w:r>
      <w:r w:rsidR="00A657DA" w:rsidRPr="007250A8">
        <w:rPr>
          <w:lang w:val="en-GB"/>
        </w:rPr>
        <w:t xml:space="preserve">ng and </w:t>
      </w:r>
      <w:r w:rsidRPr="007250A8">
        <w:rPr>
          <w:lang w:val="en-GB"/>
        </w:rPr>
        <w:t>financial restructure. Financial flexibility can be ensured throu</w:t>
      </w:r>
      <w:r w:rsidR="00A657DA" w:rsidRPr="007250A8">
        <w:rPr>
          <w:lang w:val="en-GB"/>
        </w:rPr>
        <w:t>gh</w:t>
      </w:r>
      <w:r w:rsidRPr="007250A8">
        <w:rPr>
          <w:lang w:val="en-GB"/>
        </w:rPr>
        <w:t xml:space="preserve"> selective divestitures, debt rescheduling and strategic allianc</w:t>
      </w:r>
      <w:r w:rsidR="00A657DA" w:rsidRPr="007250A8">
        <w:rPr>
          <w:lang w:val="en-GB"/>
        </w:rPr>
        <w:t>es along with</w:t>
      </w:r>
      <w:r w:rsidRPr="007250A8">
        <w:rPr>
          <w:lang w:val="en-GB"/>
        </w:rPr>
        <w:t xml:space="preserve"> </w:t>
      </w:r>
      <w:r w:rsidR="00A657DA" w:rsidRPr="007250A8">
        <w:rPr>
          <w:lang w:val="en-GB"/>
        </w:rPr>
        <w:t>c</w:t>
      </w:r>
      <w:r w:rsidRPr="007250A8">
        <w:rPr>
          <w:lang w:val="en-GB"/>
        </w:rPr>
        <w:t>ontrolled equity financing. Among three investment opportunities, Project B offer</w:t>
      </w:r>
      <w:r w:rsidR="00A657DA" w:rsidRPr="007250A8">
        <w:rPr>
          <w:lang w:val="en-GB"/>
        </w:rPr>
        <w:t>s the</w:t>
      </w:r>
      <w:r w:rsidRPr="007250A8">
        <w:rPr>
          <w:lang w:val="en-GB"/>
        </w:rPr>
        <w:t xml:space="preserve"> most suitable NPV, IRR, payback perio</w:t>
      </w:r>
      <w:r w:rsidR="00A657DA" w:rsidRPr="007250A8">
        <w:rPr>
          <w:lang w:val="en-GB"/>
        </w:rPr>
        <w:t>d and</w:t>
      </w:r>
      <w:r w:rsidRPr="007250A8">
        <w:rPr>
          <w:lang w:val="en-GB"/>
        </w:rPr>
        <w:t xml:space="preserve"> stable cash flows w</w:t>
      </w:r>
      <w:r w:rsidR="00A657DA" w:rsidRPr="007250A8">
        <w:rPr>
          <w:lang w:val="en-GB"/>
        </w:rPr>
        <w:t>ith</w:t>
      </w:r>
      <w:r w:rsidRPr="007250A8">
        <w:rPr>
          <w:lang w:val="en-GB"/>
        </w:rPr>
        <w:t xml:space="preserve"> capital limi</w:t>
      </w:r>
      <w:r w:rsidR="00A657DA" w:rsidRPr="007250A8">
        <w:rPr>
          <w:lang w:val="en-GB"/>
        </w:rPr>
        <w:t>t of</w:t>
      </w:r>
      <w:r w:rsidRPr="007250A8">
        <w:rPr>
          <w:lang w:val="en-GB"/>
        </w:rPr>
        <w:t xml:space="preserve"> £60 million.</w:t>
      </w:r>
    </w:p>
    <w:p w14:paraId="223299E5" w14:textId="77777777" w:rsidR="007273CC" w:rsidRPr="007250A8" w:rsidRDefault="007273CC">
      <w:pPr>
        <w:spacing w:before="0" w:after="160" w:line="278" w:lineRule="auto"/>
        <w:jc w:val="left"/>
        <w:rPr>
          <w:lang w:val="en-GB"/>
        </w:rPr>
      </w:pPr>
      <w:r w:rsidRPr="007250A8">
        <w:rPr>
          <w:lang w:val="en-GB"/>
        </w:rPr>
        <w:br w:type="page"/>
      </w:r>
    </w:p>
    <w:p w14:paraId="6FE33B1D" w14:textId="19D1C078" w:rsidR="00651549" w:rsidRPr="007250A8" w:rsidRDefault="007273CC" w:rsidP="007273CC">
      <w:pPr>
        <w:pStyle w:val="Heading1"/>
        <w:rPr>
          <w:lang w:val="en-GB"/>
        </w:rPr>
      </w:pPr>
      <w:bookmarkStart w:id="45" w:name="_Toc237459816"/>
      <w:r w:rsidRPr="007250A8">
        <w:rPr>
          <w:lang w:val="en-GB"/>
        </w:rPr>
        <w:lastRenderedPageBreak/>
        <w:t>Reference List</w:t>
      </w:r>
      <w:bookmarkEnd w:id="45"/>
    </w:p>
    <w:p w14:paraId="7B5A2A49" w14:textId="77777777" w:rsidR="001B129A" w:rsidRPr="007250A8" w:rsidRDefault="001B129A" w:rsidP="001B129A">
      <w:pPr>
        <w:rPr>
          <w:lang w:val="en-GB"/>
        </w:rPr>
      </w:pPr>
      <w:r w:rsidRPr="007250A8">
        <w:rPr>
          <w:lang w:val="en-GB"/>
        </w:rPr>
        <w:t xml:space="preserve">Ahmad, K.K., Salih, K.H. and </w:t>
      </w:r>
      <w:proofErr w:type="spellStart"/>
      <w:r w:rsidRPr="007250A8">
        <w:rPr>
          <w:lang w:val="en-GB"/>
        </w:rPr>
        <w:t>Sangawi</w:t>
      </w:r>
      <w:proofErr w:type="spellEnd"/>
      <w:r w:rsidRPr="007250A8">
        <w:rPr>
          <w:lang w:val="en-GB"/>
        </w:rPr>
        <w:t>, S.S., (2024). The Impact of Operating Cash Flow on Corporate Profitability: Amman Stock Exchange case study. </w:t>
      </w:r>
      <w:r w:rsidRPr="007250A8">
        <w:rPr>
          <w:i/>
          <w:iCs/>
          <w:lang w:val="en-GB"/>
        </w:rPr>
        <w:t>Journal of Economics and Administrative Sciences</w:t>
      </w:r>
      <w:r w:rsidRPr="007250A8">
        <w:rPr>
          <w:lang w:val="en-GB"/>
        </w:rPr>
        <w:t>, </w:t>
      </w:r>
      <w:r w:rsidRPr="007250A8">
        <w:rPr>
          <w:i/>
          <w:iCs/>
          <w:lang w:val="en-GB"/>
        </w:rPr>
        <w:t>30</w:t>
      </w:r>
      <w:r w:rsidRPr="007250A8">
        <w:rPr>
          <w:lang w:val="en-GB"/>
        </w:rPr>
        <w:t xml:space="preserve">(140), pp.532-543. </w:t>
      </w:r>
      <w:hyperlink r:id="rId9" w:history="1">
        <w:r w:rsidRPr="007250A8">
          <w:rPr>
            <w:rStyle w:val="Hyperlink"/>
            <w:lang w:val="en-GB"/>
          </w:rPr>
          <w:t>https://jeasiq.uobaghdad.edu.iq/index.php/JEASIQ/article/download/3254/2289</w:t>
        </w:r>
      </w:hyperlink>
      <w:r w:rsidRPr="007250A8">
        <w:rPr>
          <w:lang w:val="en-GB"/>
        </w:rPr>
        <w:t xml:space="preserve"> </w:t>
      </w:r>
    </w:p>
    <w:p w14:paraId="4D151E44" w14:textId="77777777" w:rsidR="001B129A" w:rsidRPr="007250A8" w:rsidRDefault="001B129A" w:rsidP="001B129A">
      <w:pPr>
        <w:rPr>
          <w:lang w:val="en-GB"/>
        </w:rPr>
      </w:pPr>
      <w:r w:rsidRPr="007250A8">
        <w:rPr>
          <w:lang w:val="en-GB"/>
        </w:rPr>
        <w:t>Ahsan, M.J. and Khawaja, S., (2024). Sustainable leadership impact on environmental performance: exploring employee well-being, innovation, and organizational resilience. </w:t>
      </w:r>
      <w:r w:rsidRPr="007250A8">
        <w:rPr>
          <w:i/>
          <w:iCs/>
          <w:lang w:val="en-GB"/>
        </w:rPr>
        <w:t>Discover Sustainability</w:t>
      </w:r>
      <w:r w:rsidRPr="007250A8">
        <w:rPr>
          <w:lang w:val="en-GB"/>
        </w:rPr>
        <w:t>, </w:t>
      </w:r>
      <w:r w:rsidRPr="007250A8">
        <w:rPr>
          <w:i/>
          <w:iCs/>
          <w:lang w:val="en-GB"/>
        </w:rPr>
        <w:t>5</w:t>
      </w:r>
      <w:r w:rsidRPr="007250A8">
        <w:rPr>
          <w:lang w:val="en-GB"/>
        </w:rPr>
        <w:t xml:space="preserve">(1), p.317. </w:t>
      </w:r>
      <w:hyperlink r:id="rId10" w:history="1">
        <w:r w:rsidRPr="007250A8">
          <w:rPr>
            <w:rStyle w:val="Hyperlink"/>
            <w:lang w:val="en-GB"/>
          </w:rPr>
          <w:t>https://link.springer.com/article/10.1007/s43621-024-00422-z</w:t>
        </w:r>
      </w:hyperlink>
    </w:p>
    <w:p w14:paraId="3E36F856" w14:textId="77777777" w:rsidR="001B129A" w:rsidRPr="007250A8" w:rsidRDefault="001B129A" w:rsidP="001B129A">
      <w:pPr>
        <w:rPr>
          <w:lang w:val="en-GB"/>
        </w:rPr>
      </w:pPr>
      <w:r w:rsidRPr="007250A8">
        <w:rPr>
          <w:lang w:val="en-GB"/>
        </w:rPr>
        <w:t>Al-</w:t>
      </w:r>
      <w:proofErr w:type="spellStart"/>
      <w:r w:rsidRPr="007250A8">
        <w:rPr>
          <w:lang w:val="en-GB"/>
        </w:rPr>
        <w:t>Swidi</w:t>
      </w:r>
      <w:proofErr w:type="spellEnd"/>
      <w:r w:rsidRPr="007250A8">
        <w:rPr>
          <w:lang w:val="en-GB"/>
        </w:rPr>
        <w:t>, A.K., Al-Hakimi, M.A. and Al-</w:t>
      </w:r>
      <w:proofErr w:type="spellStart"/>
      <w:r w:rsidRPr="007250A8">
        <w:rPr>
          <w:lang w:val="en-GB"/>
        </w:rPr>
        <w:t>Hattami</w:t>
      </w:r>
      <w:proofErr w:type="spellEnd"/>
      <w:r w:rsidRPr="007250A8">
        <w:rPr>
          <w:lang w:val="en-GB"/>
        </w:rPr>
        <w:t>, H.M., (2024). Fostering environmental preservation: exploring the synergy of green human resource management and corporate environmental ethics. </w:t>
      </w:r>
      <w:r w:rsidRPr="007250A8">
        <w:rPr>
          <w:i/>
          <w:iCs/>
          <w:lang w:val="en-GB"/>
        </w:rPr>
        <w:t>The Bottom Line</w:t>
      </w:r>
      <w:r w:rsidRPr="007250A8">
        <w:rPr>
          <w:lang w:val="en-GB"/>
        </w:rPr>
        <w:t>, </w:t>
      </w:r>
      <w:r w:rsidRPr="007250A8">
        <w:rPr>
          <w:i/>
          <w:iCs/>
          <w:lang w:val="en-GB"/>
        </w:rPr>
        <w:t>37</w:t>
      </w:r>
      <w:r w:rsidRPr="007250A8">
        <w:rPr>
          <w:lang w:val="en-GB"/>
        </w:rPr>
        <w:t xml:space="preserve">(1), pp.1-26. </w:t>
      </w:r>
      <w:hyperlink r:id="rId11" w:history="1">
        <w:r w:rsidRPr="007250A8">
          <w:rPr>
            <w:rStyle w:val="Hyperlink"/>
            <w:lang w:val="en-GB"/>
          </w:rPr>
          <w:t>https://www.emerald.com/bl/article/37/1/1/1219799</w:t>
        </w:r>
      </w:hyperlink>
    </w:p>
    <w:p w14:paraId="5DE1C8B7" w14:textId="77777777" w:rsidR="001B129A" w:rsidRPr="007250A8" w:rsidRDefault="001B129A" w:rsidP="001B129A">
      <w:pPr>
        <w:tabs>
          <w:tab w:val="left" w:pos="6075"/>
        </w:tabs>
        <w:rPr>
          <w:lang w:val="en-GB"/>
        </w:rPr>
      </w:pPr>
      <w:r w:rsidRPr="007250A8">
        <w:rPr>
          <w:lang w:val="en-GB"/>
        </w:rPr>
        <w:t>Barnabas, B. and Oloyede, J., (2024). Cash flow optimization: Strategies for enhancing short-term liquidity. </w:t>
      </w:r>
      <w:r w:rsidRPr="007250A8">
        <w:rPr>
          <w:i/>
          <w:iCs/>
          <w:lang w:val="en-GB"/>
        </w:rPr>
        <w:t>Available at SSRN 5004465</w:t>
      </w:r>
      <w:r w:rsidRPr="007250A8">
        <w:rPr>
          <w:lang w:val="en-GB"/>
        </w:rPr>
        <w:t xml:space="preserve">. </w:t>
      </w:r>
      <w:hyperlink r:id="rId12" w:history="1">
        <w:r w:rsidRPr="007250A8">
          <w:rPr>
            <w:rStyle w:val="Hyperlink"/>
            <w:lang w:val="en-GB"/>
          </w:rPr>
          <w:t>https://papers.ssrn.com/sol3/papers.cfm?abstract_id=5004465</w:t>
        </w:r>
      </w:hyperlink>
    </w:p>
    <w:p w14:paraId="39DE0DA4" w14:textId="77777777" w:rsidR="001B129A" w:rsidRPr="007250A8" w:rsidRDefault="001B129A" w:rsidP="001B129A">
      <w:pPr>
        <w:rPr>
          <w:rFonts w:cs="Arial"/>
          <w:color w:val="222222"/>
          <w:szCs w:val="20"/>
          <w:shd w:val="clear" w:color="auto" w:fill="FFFFFF"/>
          <w:lang w:val="en-GB"/>
        </w:rPr>
      </w:pPr>
      <w:r w:rsidRPr="007250A8">
        <w:rPr>
          <w:rFonts w:cs="Arial"/>
          <w:color w:val="222222"/>
          <w:szCs w:val="20"/>
          <w:shd w:val="clear" w:color="auto" w:fill="FFFFFF"/>
          <w:lang w:val="en-GB"/>
        </w:rPr>
        <w:t>Cerciello, M., Busato, F. and Taddeo, S., (2023). The effect of sustainable business practices on profitability. Accounting for strategic disclosure. </w:t>
      </w:r>
      <w:r w:rsidRPr="007250A8">
        <w:rPr>
          <w:rFonts w:cs="Arial"/>
          <w:i/>
          <w:iCs/>
          <w:color w:val="222222"/>
          <w:szCs w:val="20"/>
          <w:shd w:val="clear" w:color="auto" w:fill="FFFFFF"/>
          <w:lang w:val="en-GB"/>
        </w:rPr>
        <w:t>Corporate Social Responsibility and Environmental Management</w:t>
      </w:r>
      <w:r w:rsidRPr="007250A8">
        <w:rPr>
          <w:rFonts w:cs="Arial"/>
          <w:color w:val="222222"/>
          <w:szCs w:val="20"/>
          <w:shd w:val="clear" w:color="auto" w:fill="FFFFFF"/>
          <w:lang w:val="en-GB"/>
        </w:rPr>
        <w:t>, </w:t>
      </w:r>
      <w:r w:rsidRPr="007250A8">
        <w:rPr>
          <w:rFonts w:cs="Arial"/>
          <w:i/>
          <w:iCs/>
          <w:color w:val="222222"/>
          <w:szCs w:val="20"/>
          <w:shd w:val="clear" w:color="auto" w:fill="FFFFFF"/>
          <w:lang w:val="en-GB"/>
        </w:rPr>
        <w:t>30</w:t>
      </w:r>
      <w:r w:rsidRPr="007250A8">
        <w:rPr>
          <w:rFonts w:cs="Arial"/>
          <w:color w:val="222222"/>
          <w:szCs w:val="20"/>
          <w:shd w:val="clear" w:color="auto" w:fill="FFFFFF"/>
          <w:lang w:val="en-GB"/>
        </w:rPr>
        <w:t xml:space="preserve">(2), pp.802-819. </w:t>
      </w:r>
      <w:hyperlink r:id="rId13" w:history="1">
        <w:r w:rsidRPr="007250A8">
          <w:rPr>
            <w:rStyle w:val="Hyperlink"/>
            <w:rFonts w:cs="Arial"/>
            <w:szCs w:val="20"/>
            <w:shd w:val="clear" w:color="auto" w:fill="FFFFFF"/>
            <w:lang w:val="en-GB"/>
          </w:rPr>
          <w:t>https://onlinelibrary.wiley.com/doi/abs/10.1002/csr.2389</w:t>
        </w:r>
      </w:hyperlink>
    </w:p>
    <w:p w14:paraId="16BE1B68" w14:textId="77777777" w:rsidR="001B129A" w:rsidRPr="007250A8" w:rsidRDefault="001B129A" w:rsidP="001B129A">
      <w:pPr>
        <w:rPr>
          <w:lang w:val="en-GB"/>
        </w:rPr>
      </w:pPr>
      <w:r w:rsidRPr="007250A8">
        <w:rPr>
          <w:lang w:val="en-GB"/>
        </w:rPr>
        <w:t xml:space="preserve">Chandra, S.R. and Naik M, D., (2025). Net Present Index Rate </w:t>
      </w:r>
      <w:proofErr w:type="gramStart"/>
      <w:r w:rsidRPr="007250A8">
        <w:rPr>
          <w:lang w:val="en-GB"/>
        </w:rPr>
        <w:t>The</w:t>
      </w:r>
      <w:proofErr w:type="gramEnd"/>
      <w:r w:rsidRPr="007250A8">
        <w:rPr>
          <w:lang w:val="en-GB"/>
        </w:rPr>
        <w:t xml:space="preserve"> </w:t>
      </w:r>
      <w:proofErr w:type="spellStart"/>
      <w:r w:rsidRPr="007250A8">
        <w:rPr>
          <w:lang w:val="en-GB"/>
        </w:rPr>
        <w:t>Dcf</w:t>
      </w:r>
      <w:proofErr w:type="spellEnd"/>
      <w:r w:rsidRPr="007250A8">
        <w:rPr>
          <w:lang w:val="en-GB"/>
        </w:rPr>
        <w:t xml:space="preserve">-Method </w:t>
      </w:r>
      <w:proofErr w:type="gramStart"/>
      <w:r w:rsidRPr="007250A8">
        <w:rPr>
          <w:lang w:val="en-GB"/>
        </w:rPr>
        <w:t>For</w:t>
      </w:r>
      <w:proofErr w:type="gramEnd"/>
      <w:r w:rsidRPr="007250A8">
        <w:rPr>
          <w:lang w:val="en-GB"/>
        </w:rPr>
        <w:t xml:space="preserve"> Product Lifecycle Cost Based Capital Budgeting-An Innovative Application </w:t>
      </w:r>
      <w:proofErr w:type="gramStart"/>
      <w:r w:rsidRPr="007250A8">
        <w:rPr>
          <w:lang w:val="en-GB"/>
        </w:rPr>
        <w:t>Of</w:t>
      </w:r>
      <w:proofErr w:type="gramEnd"/>
      <w:r w:rsidRPr="007250A8">
        <w:rPr>
          <w:lang w:val="en-GB"/>
        </w:rPr>
        <w:t xml:space="preserve"> Profitability Index. </w:t>
      </w:r>
      <w:r w:rsidRPr="007250A8">
        <w:rPr>
          <w:i/>
          <w:iCs/>
          <w:lang w:val="en-GB"/>
        </w:rPr>
        <w:t>Advances in Consumer Research</w:t>
      </w:r>
      <w:r w:rsidRPr="007250A8">
        <w:rPr>
          <w:lang w:val="en-GB"/>
        </w:rPr>
        <w:t>, </w:t>
      </w:r>
      <w:r w:rsidRPr="007250A8">
        <w:rPr>
          <w:i/>
          <w:iCs/>
          <w:lang w:val="en-GB"/>
        </w:rPr>
        <w:t>2</w:t>
      </w:r>
      <w:r w:rsidRPr="007250A8">
        <w:rPr>
          <w:lang w:val="en-GB"/>
        </w:rPr>
        <w:t xml:space="preserve">(2). </w:t>
      </w:r>
      <w:hyperlink r:id="rId14" w:history="1">
        <w:r w:rsidRPr="007250A8">
          <w:rPr>
            <w:rStyle w:val="Hyperlink"/>
            <w:lang w:val="en-GB"/>
          </w:rPr>
          <w:t>https://openurl.ebsco.com/contentitem/gcd:190173029?sid=ebsco:plink:crawler-gcd&amp;id=ebsco:gcd:190173029&amp;crl=c&amp;jrnl=00989258</w:t>
        </w:r>
      </w:hyperlink>
      <w:r w:rsidRPr="007250A8">
        <w:rPr>
          <w:lang w:val="en-GB"/>
        </w:rPr>
        <w:t xml:space="preserve"> </w:t>
      </w:r>
    </w:p>
    <w:p w14:paraId="162E1B8F" w14:textId="77777777" w:rsidR="001B129A" w:rsidRPr="007250A8" w:rsidRDefault="001B129A" w:rsidP="001B129A">
      <w:pPr>
        <w:tabs>
          <w:tab w:val="left" w:pos="6075"/>
        </w:tabs>
        <w:rPr>
          <w:lang w:val="en-GB"/>
        </w:rPr>
      </w:pPr>
      <w:r w:rsidRPr="007250A8">
        <w:rPr>
          <w:lang w:val="en-GB"/>
        </w:rPr>
        <w:t>Chen, Y., (2025, February). Corporate Competition and Financial Analysis-Based on Marriott’s Analysis. In </w:t>
      </w:r>
      <w:r w:rsidRPr="007250A8">
        <w:rPr>
          <w:i/>
          <w:iCs/>
          <w:lang w:val="en-GB"/>
        </w:rPr>
        <w:t>International Workshop on Navigating the Digital Business Frontier for Sustainable Financial Innovation (ICDEBA 2024)</w:t>
      </w:r>
      <w:r w:rsidRPr="007250A8">
        <w:rPr>
          <w:lang w:val="en-GB"/>
        </w:rPr>
        <w:t xml:space="preserve"> (pp. 554-565). Atlantis Press. </w:t>
      </w:r>
      <w:hyperlink r:id="rId15" w:history="1">
        <w:r w:rsidRPr="007250A8">
          <w:rPr>
            <w:rStyle w:val="Hyperlink"/>
            <w:lang w:val="en-GB"/>
          </w:rPr>
          <w:t>https://www.atlantis-press.com/proceedings/icdeba-24/126008558</w:t>
        </w:r>
      </w:hyperlink>
    </w:p>
    <w:p w14:paraId="01E3E7F6" w14:textId="77777777" w:rsidR="001B129A" w:rsidRPr="007250A8" w:rsidRDefault="001B129A" w:rsidP="001B129A">
      <w:pPr>
        <w:tabs>
          <w:tab w:val="left" w:pos="6075"/>
        </w:tabs>
        <w:rPr>
          <w:lang w:val="en-GB"/>
        </w:rPr>
      </w:pPr>
      <w:r w:rsidRPr="007250A8">
        <w:rPr>
          <w:lang w:val="en-GB"/>
        </w:rPr>
        <w:lastRenderedPageBreak/>
        <w:t>Ding, Y.W., (2024). </w:t>
      </w:r>
      <w:r w:rsidRPr="007250A8">
        <w:rPr>
          <w:i/>
          <w:iCs/>
          <w:lang w:val="en-GB"/>
        </w:rPr>
        <w:t>The performance of real estate investment strategy across multiple cycles: A comparison of core and non-core strategies based on a new dataset and industry interviews</w:t>
      </w:r>
      <w:r w:rsidRPr="007250A8">
        <w:rPr>
          <w:lang w:val="en-GB"/>
        </w:rPr>
        <w:t xml:space="preserve"> (Doctoral dissertation, Massachusetts Institute of Technology). </w:t>
      </w:r>
      <w:hyperlink r:id="rId16" w:history="1">
        <w:r w:rsidRPr="007250A8">
          <w:rPr>
            <w:rStyle w:val="Hyperlink"/>
            <w:lang w:val="en-GB"/>
          </w:rPr>
          <w:t>https://dspace.mit.edu/handle/1721.1/153722</w:t>
        </w:r>
      </w:hyperlink>
      <w:r w:rsidRPr="007250A8">
        <w:rPr>
          <w:lang w:val="en-GB"/>
        </w:rPr>
        <w:t xml:space="preserve"> </w:t>
      </w:r>
    </w:p>
    <w:p w14:paraId="1F4685E3" w14:textId="77777777" w:rsidR="001B129A" w:rsidRPr="007250A8" w:rsidRDefault="001B129A" w:rsidP="001B129A">
      <w:pPr>
        <w:rPr>
          <w:lang w:val="en-GB"/>
        </w:rPr>
      </w:pPr>
      <w:proofErr w:type="spellStart"/>
      <w:r w:rsidRPr="007250A8">
        <w:rPr>
          <w:lang w:val="en-GB"/>
        </w:rPr>
        <w:t>Estiningrum</w:t>
      </w:r>
      <w:proofErr w:type="spellEnd"/>
      <w:r w:rsidRPr="007250A8">
        <w:rPr>
          <w:lang w:val="en-GB"/>
        </w:rPr>
        <w:t xml:space="preserve">, S.D., </w:t>
      </w:r>
      <w:proofErr w:type="spellStart"/>
      <w:r w:rsidRPr="007250A8">
        <w:rPr>
          <w:lang w:val="en-GB"/>
        </w:rPr>
        <w:t>Astutiningsih</w:t>
      </w:r>
      <w:proofErr w:type="spellEnd"/>
      <w:r w:rsidRPr="007250A8">
        <w:rPr>
          <w:lang w:val="en-GB"/>
        </w:rPr>
        <w:t>, S.E. and Maimuna, N.A., (2025). Evaluating the role of management accounting in sustainable business practices. </w:t>
      </w:r>
      <w:proofErr w:type="spellStart"/>
      <w:r w:rsidRPr="007250A8">
        <w:rPr>
          <w:i/>
          <w:iCs/>
          <w:lang w:val="en-GB"/>
        </w:rPr>
        <w:t>Jurnal</w:t>
      </w:r>
      <w:proofErr w:type="spellEnd"/>
      <w:r w:rsidRPr="007250A8">
        <w:rPr>
          <w:i/>
          <w:iCs/>
          <w:lang w:val="en-GB"/>
        </w:rPr>
        <w:t xml:space="preserve"> </w:t>
      </w:r>
      <w:proofErr w:type="spellStart"/>
      <w:r w:rsidRPr="007250A8">
        <w:rPr>
          <w:i/>
          <w:iCs/>
          <w:lang w:val="en-GB"/>
        </w:rPr>
        <w:t>Konseling</w:t>
      </w:r>
      <w:proofErr w:type="spellEnd"/>
      <w:r w:rsidRPr="007250A8">
        <w:rPr>
          <w:i/>
          <w:iCs/>
          <w:lang w:val="en-GB"/>
        </w:rPr>
        <w:t xml:space="preserve"> dan Pendidikan</w:t>
      </w:r>
      <w:r w:rsidRPr="007250A8">
        <w:rPr>
          <w:lang w:val="en-GB"/>
        </w:rPr>
        <w:t>, </w:t>
      </w:r>
      <w:r w:rsidRPr="007250A8">
        <w:rPr>
          <w:i/>
          <w:iCs/>
          <w:lang w:val="en-GB"/>
        </w:rPr>
        <w:t>13</w:t>
      </w:r>
      <w:r w:rsidRPr="007250A8">
        <w:rPr>
          <w:lang w:val="en-GB"/>
        </w:rPr>
        <w:t xml:space="preserve">(1), pp.432-442. </w:t>
      </w:r>
      <w:hyperlink r:id="rId17" w:history="1">
        <w:r w:rsidRPr="007250A8">
          <w:rPr>
            <w:rStyle w:val="Hyperlink"/>
            <w:lang w:val="en-GB"/>
          </w:rPr>
          <w:t>https://mail.jurnal.konselingindonesia.com/index.php/jkp/article/view/1458</w:t>
        </w:r>
      </w:hyperlink>
    </w:p>
    <w:p w14:paraId="6F8B0DD0" w14:textId="77777777" w:rsidR="001B129A" w:rsidRPr="007250A8" w:rsidRDefault="001B129A" w:rsidP="001B129A">
      <w:pPr>
        <w:tabs>
          <w:tab w:val="left" w:pos="6075"/>
        </w:tabs>
        <w:rPr>
          <w:lang w:val="en-GB"/>
        </w:rPr>
      </w:pPr>
      <w:r w:rsidRPr="007250A8">
        <w:rPr>
          <w:lang w:val="en-GB"/>
        </w:rPr>
        <w:t>Filatova, H., Kulyk, V. and Kravchenko, O., (2024). Optimization of a company’s capital structure based on the criterion of minimizing the level of financial risk. </w:t>
      </w:r>
      <w:r w:rsidRPr="007250A8">
        <w:rPr>
          <w:i/>
          <w:iCs/>
          <w:lang w:val="en-GB"/>
        </w:rPr>
        <w:t>Accounting and Financial Control</w:t>
      </w:r>
      <w:r w:rsidRPr="007250A8">
        <w:rPr>
          <w:lang w:val="en-GB"/>
        </w:rPr>
        <w:t>, </w:t>
      </w:r>
      <w:r w:rsidRPr="007250A8">
        <w:rPr>
          <w:i/>
          <w:iCs/>
          <w:lang w:val="en-GB"/>
        </w:rPr>
        <w:t>5</w:t>
      </w:r>
      <w:r w:rsidRPr="007250A8">
        <w:rPr>
          <w:lang w:val="en-GB"/>
        </w:rPr>
        <w:t xml:space="preserve">(1), pp.46-56. </w:t>
      </w:r>
      <w:hyperlink r:id="rId18" w:history="1">
        <w:r w:rsidRPr="007250A8">
          <w:rPr>
            <w:rStyle w:val="Hyperlink"/>
            <w:lang w:val="en-GB"/>
          </w:rPr>
          <w:t>https://reposit.nupp.edu.ua/files/original/19/13384/66502834570e63bbc36682a5d39b88fef55758ba.pdf</w:t>
        </w:r>
      </w:hyperlink>
    </w:p>
    <w:p w14:paraId="449DC5D2" w14:textId="77777777" w:rsidR="001B129A" w:rsidRPr="007250A8" w:rsidRDefault="001B129A" w:rsidP="001B129A">
      <w:pPr>
        <w:tabs>
          <w:tab w:val="left" w:pos="6075"/>
        </w:tabs>
        <w:rPr>
          <w:lang w:val="en-GB"/>
        </w:rPr>
      </w:pPr>
      <w:proofErr w:type="spellStart"/>
      <w:r w:rsidRPr="007250A8">
        <w:rPr>
          <w:lang w:val="en-GB"/>
        </w:rPr>
        <w:t>Friewald</w:t>
      </w:r>
      <w:proofErr w:type="spellEnd"/>
      <w:r w:rsidRPr="007250A8">
        <w:rPr>
          <w:lang w:val="en-GB"/>
        </w:rPr>
        <w:t>, N., Nagler, F. and Wagner, C., (2022). Debt refinancing and equity returns. </w:t>
      </w:r>
      <w:r w:rsidRPr="007250A8">
        <w:rPr>
          <w:i/>
          <w:iCs/>
          <w:lang w:val="en-GB"/>
        </w:rPr>
        <w:t>The Journal of Finance</w:t>
      </w:r>
      <w:r w:rsidRPr="007250A8">
        <w:rPr>
          <w:lang w:val="en-GB"/>
        </w:rPr>
        <w:t>, </w:t>
      </w:r>
      <w:r w:rsidRPr="007250A8">
        <w:rPr>
          <w:i/>
          <w:iCs/>
          <w:lang w:val="en-GB"/>
        </w:rPr>
        <w:t>77</w:t>
      </w:r>
      <w:r w:rsidRPr="007250A8">
        <w:rPr>
          <w:lang w:val="en-GB"/>
        </w:rPr>
        <w:t xml:space="preserve">(4), pp.2287-2329. </w:t>
      </w:r>
      <w:hyperlink r:id="rId19" w:history="1">
        <w:r w:rsidRPr="007250A8">
          <w:rPr>
            <w:rStyle w:val="Hyperlink"/>
            <w:lang w:val="en-GB"/>
          </w:rPr>
          <w:t>https://onlinelibrary.wiley.com/doi/abs/10.1111/jofi.13162</w:t>
        </w:r>
      </w:hyperlink>
    </w:p>
    <w:p w14:paraId="73BADA6F" w14:textId="77777777" w:rsidR="001B129A" w:rsidRPr="007250A8" w:rsidRDefault="001B129A" w:rsidP="001B129A">
      <w:pPr>
        <w:tabs>
          <w:tab w:val="left" w:pos="6075"/>
        </w:tabs>
        <w:rPr>
          <w:lang w:val="en-GB"/>
        </w:rPr>
      </w:pPr>
      <w:r w:rsidRPr="007250A8">
        <w:rPr>
          <w:lang w:val="en-GB"/>
        </w:rPr>
        <w:t xml:space="preserve">Giotis, G. and </w:t>
      </w:r>
      <w:proofErr w:type="spellStart"/>
      <w:r w:rsidRPr="007250A8">
        <w:rPr>
          <w:lang w:val="en-GB"/>
        </w:rPr>
        <w:t>Papadionysiou</w:t>
      </w:r>
      <w:proofErr w:type="spellEnd"/>
      <w:r w:rsidRPr="007250A8">
        <w:rPr>
          <w:lang w:val="en-GB"/>
        </w:rPr>
        <w:t>, E., (2022). The role of managerial and technological innovations in the tourism industry: A review of the empirical literature. </w:t>
      </w:r>
      <w:r w:rsidRPr="007250A8">
        <w:rPr>
          <w:i/>
          <w:iCs/>
          <w:lang w:val="en-GB"/>
        </w:rPr>
        <w:t>Sustainability</w:t>
      </w:r>
      <w:r w:rsidRPr="007250A8">
        <w:rPr>
          <w:lang w:val="en-GB"/>
        </w:rPr>
        <w:t>, </w:t>
      </w:r>
      <w:r w:rsidRPr="007250A8">
        <w:rPr>
          <w:i/>
          <w:iCs/>
          <w:lang w:val="en-GB"/>
        </w:rPr>
        <w:t>14</w:t>
      </w:r>
      <w:r w:rsidRPr="007250A8">
        <w:rPr>
          <w:lang w:val="en-GB"/>
        </w:rPr>
        <w:t xml:space="preserve">(9), p.5182. </w:t>
      </w:r>
      <w:hyperlink r:id="rId20" w:history="1">
        <w:r w:rsidRPr="007250A8">
          <w:rPr>
            <w:rStyle w:val="Hyperlink"/>
            <w:lang w:val="en-GB"/>
          </w:rPr>
          <w:t>https://www.mdpi.com/2071-1050/14/9/5182</w:t>
        </w:r>
      </w:hyperlink>
      <w:r w:rsidRPr="007250A8">
        <w:rPr>
          <w:lang w:val="en-GB"/>
        </w:rPr>
        <w:t xml:space="preserve"> </w:t>
      </w:r>
    </w:p>
    <w:p w14:paraId="625AC9A9" w14:textId="77777777" w:rsidR="001B129A" w:rsidRPr="007250A8" w:rsidRDefault="001B129A" w:rsidP="001B129A">
      <w:pPr>
        <w:rPr>
          <w:rFonts w:cs="Arial"/>
          <w:color w:val="222222"/>
          <w:szCs w:val="24"/>
          <w:shd w:val="clear" w:color="auto" w:fill="FFFFFF"/>
          <w:lang w:val="en-GB"/>
        </w:rPr>
      </w:pPr>
      <w:r w:rsidRPr="007250A8">
        <w:rPr>
          <w:rFonts w:cs="Arial"/>
          <w:color w:val="222222"/>
          <w:szCs w:val="24"/>
          <w:shd w:val="clear" w:color="auto" w:fill="FFFFFF"/>
          <w:lang w:val="en-GB"/>
        </w:rPr>
        <w:t>Hadid, W. and Al-Sayed, M., (2021). Management accountants and strategic management accounting: The role of organizational culture and information systems. </w:t>
      </w:r>
      <w:r w:rsidRPr="007250A8">
        <w:rPr>
          <w:rFonts w:cs="Arial"/>
          <w:i/>
          <w:iCs/>
          <w:color w:val="222222"/>
          <w:szCs w:val="24"/>
          <w:shd w:val="clear" w:color="auto" w:fill="FFFFFF"/>
          <w:lang w:val="en-GB"/>
        </w:rPr>
        <w:t>Management accounting research</w:t>
      </w:r>
      <w:r w:rsidRPr="007250A8">
        <w:rPr>
          <w:rFonts w:cs="Arial"/>
          <w:color w:val="222222"/>
          <w:szCs w:val="24"/>
          <w:shd w:val="clear" w:color="auto" w:fill="FFFFFF"/>
          <w:lang w:val="en-GB"/>
        </w:rPr>
        <w:t>, </w:t>
      </w:r>
      <w:r w:rsidRPr="007250A8">
        <w:rPr>
          <w:rFonts w:cs="Arial"/>
          <w:i/>
          <w:iCs/>
          <w:color w:val="222222"/>
          <w:szCs w:val="24"/>
          <w:shd w:val="clear" w:color="auto" w:fill="FFFFFF"/>
          <w:lang w:val="en-GB"/>
        </w:rPr>
        <w:t>50</w:t>
      </w:r>
      <w:r w:rsidRPr="007250A8">
        <w:rPr>
          <w:rFonts w:cs="Arial"/>
          <w:color w:val="222222"/>
          <w:szCs w:val="24"/>
          <w:shd w:val="clear" w:color="auto" w:fill="FFFFFF"/>
          <w:lang w:val="en-GB"/>
        </w:rPr>
        <w:t xml:space="preserve">, p.100725. </w:t>
      </w:r>
      <w:hyperlink r:id="rId21" w:history="1">
        <w:r w:rsidRPr="007250A8">
          <w:rPr>
            <w:rStyle w:val="Hyperlink"/>
            <w:rFonts w:cs="Arial"/>
            <w:szCs w:val="24"/>
            <w:shd w:val="clear" w:color="auto" w:fill="FFFFFF"/>
            <w:lang w:val="en-GB"/>
          </w:rPr>
          <w:t>https://bura.brunel.ac.uk/bitstream/2438/21867/2/FullText.pdf</w:t>
        </w:r>
      </w:hyperlink>
    </w:p>
    <w:p w14:paraId="4FF7439E" w14:textId="77777777" w:rsidR="001B129A" w:rsidRPr="007250A8" w:rsidRDefault="001B129A" w:rsidP="001B129A">
      <w:pPr>
        <w:rPr>
          <w:rFonts w:cs="Arial"/>
          <w:color w:val="222222"/>
          <w:szCs w:val="24"/>
          <w:shd w:val="clear" w:color="auto" w:fill="FFFFFF"/>
          <w:lang w:val="en-GB"/>
        </w:rPr>
      </w:pPr>
      <w:proofErr w:type="spellStart"/>
      <w:r w:rsidRPr="007250A8">
        <w:rPr>
          <w:rFonts w:cs="Arial"/>
          <w:color w:val="222222"/>
          <w:szCs w:val="24"/>
          <w:shd w:val="clear" w:color="auto" w:fill="FFFFFF"/>
          <w:lang w:val="en-GB"/>
        </w:rPr>
        <w:t>Hariyanti</w:t>
      </w:r>
      <w:proofErr w:type="spellEnd"/>
      <w:r w:rsidRPr="007250A8">
        <w:rPr>
          <w:rFonts w:cs="Arial"/>
          <w:color w:val="222222"/>
          <w:szCs w:val="24"/>
          <w:shd w:val="clear" w:color="auto" w:fill="FFFFFF"/>
          <w:lang w:val="en-GB"/>
        </w:rPr>
        <w:t>, T.P. and Efendi, S.A.S., (2024). ENHANCING INTERNAL CONTROL THROUGH THE IMPLEMENTATION OF ACCOUNTING SYSTEMS AND PROCEDURES FOR WORKING CAPITAL CREDIT PROVISION. </w:t>
      </w:r>
      <w:r w:rsidRPr="007250A8">
        <w:rPr>
          <w:rFonts w:cs="Arial"/>
          <w:i/>
          <w:iCs/>
          <w:color w:val="222222"/>
          <w:szCs w:val="24"/>
          <w:shd w:val="clear" w:color="auto" w:fill="FFFFFF"/>
          <w:lang w:val="en-GB"/>
        </w:rPr>
        <w:t>JAT: Journal Of Accounting and Tax</w:t>
      </w:r>
      <w:r w:rsidRPr="007250A8">
        <w:rPr>
          <w:rFonts w:cs="Arial"/>
          <w:color w:val="222222"/>
          <w:szCs w:val="24"/>
          <w:shd w:val="clear" w:color="auto" w:fill="FFFFFF"/>
          <w:lang w:val="en-GB"/>
        </w:rPr>
        <w:t>, </w:t>
      </w:r>
      <w:r w:rsidRPr="007250A8">
        <w:rPr>
          <w:rFonts w:cs="Arial"/>
          <w:i/>
          <w:iCs/>
          <w:color w:val="222222"/>
          <w:szCs w:val="24"/>
          <w:shd w:val="clear" w:color="auto" w:fill="FFFFFF"/>
          <w:lang w:val="en-GB"/>
        </w:rPr>
        <w:t>3</w:t>
      </w:r>
      <w:r w:rsidRPr="007250A8">
        <w:rPr>
          <w:rFonts w:cs="Arial"/>
          <w:color w:val="222222"/>
          <w:szCs w:val="24"/>
          <w:shd w:val="clear" w:color="auto" w:fill="FFFFFF"/>
          <w:lang w:val="en-GB"/>
        </w:rPr>
        <w:t xml:space="preserve">(2), pp.91-101. </w:t>
      </w:r>
      <w:hyperlink r:id="rId22" w:history="1">
        <w:r w:rsidRPr="007250A8">
          <w:rPr>
            <w:rStyle w:val="Hyperlink"/>
            <w:rFonts w:cs="Arial"/>
            <w:szCs w:val="24"/>
            <w:shd w:val="clear" w:color="auto" w:fill="FFFFFF"/>
            <w:lang w:val="en-GB"/>
          </w:rPr>
          <w:t>https://journal.unita.ac.id/index.php/jat/article/download/1344/720</w:t>
        </w:r>
      </w:hyperlink>
      <w:r w:rsidRPr="007250A8">
        <w:rPr>
          <w:rFonts w:cs="Arial"/>
          <w:color w:val="222222"/>
          <w:szCs w:val="24"/>
          <w:shd w:val="clear" w:color="auto" w:fill="FFFFFF"/>
          <w:lang w:val="en-GB"/>
        </w:rPr>
        <w:t xml:space="preserve"> </w:t>
      </w:r>
    </w:p>
    <w:p w14:paraId="5BE9DB77" w14:textId="77777777" w:rsidR="001B129A" w:rsidRPr="007250A8" w:rsidRDefault="001B129A" w:rsidP="001B129A">
      <w:pPr>
        <w:rPr>
          <w:rFonts w:cs="Arial"/>
          <w:color w:val="222222"/>
          <w:szCs w:val="24"/>
          <w:shd w:val="clear" w:color="auto" w:fill="FFFFFF"/>
          <w:lang w:val="en-GB"/>
        </w:rPr>
      </w:pPr>
      <w:r w:rsidRPr="007250A8">
        <w:rPr>
          <w:rFonts w:cs="Arial"/>
          <w:color w:val="222222"/>
          <w:szCs w:val="24"/>
          <w:shd w:val="clear" w:color="auto" w:fill="FFFFFF"/>
          <w:lang w:val="en-GB"/>
        </w:rPr>
        <w:lastRenderedPageBreak/>
        <w:t>Hossain, M., Yoshino, N. and Tsubota, K., (2023). Sustainable financing strategies for the SMEs: two alternative models. </w:t>
      </w:r>
      <w:r w:rsidRPr="007250A8">
        <w:rPr>
          <w:rFonts w:cs="Arial"/>
          <w:i/>
          <w:iCs/>
          <w:color w:val="222222"/>
          <w:szCs w:val="24"/>
          <w:shd w:val="clear" w:color="auto" w:fill="FFFFFF"/>
          <w:lang w:val="en-GB"/>
        </w:rPr>
        <w:t>Sustainability</w:t>
      </w:r>
      <w:r w:rsidRPr="007250A8">
        <w:rPr>
          <w:rFonts w:cs="Arial"/>
          <w:color w:val="222222"/>
          <w:szCs w:val="24"/>
          <w:shd w:val="clear" w:color="auto" w:fill="FFFFFF"/>
          <w:lang w:val="en-GB"/>
        </w:rPr>
        <w:t>, </w:t>
      </w:r>
      <w:r w:rsidRPr="007250A8">
        <w:rPr>
          <w:rFonts w:cs="Arial"/>
          <w:i/>
          <w:iCs/>
          <w:color w:val="222222"/>
          <w:szCs w:val="24"/>
          <w:shd w:val="clear" w:color="auto" w:fill="FFFFFF"/>
          <w:lang w:val="en-GB"/>
        </w:rPr>
        <w:t>15</w:t>
      </w:r>
      <w:r w:rsidRPr="007250A8">
        <w:rPr>
          <w:rFonts w:cs="Arial"/>
          <w:color w:val="222222"/>
          <w:szCs w:val="24"/>
          <w:shd w:val="clear" w:color="auto" w:fill="FFFFFF"/>
          <w:lang w:val="en-GB"/>
        </w:rPr>
        <w:t>(11), p.8488.</w:t>
      </w:r>
      <w:r w:rsidRPr="007250A8">
        <w:rPr>
          <w:lang w:val="en-GB"/>
        </w:rPr>
        <w:t xml:space="preserve"> </w:t>
      </w:r>
      <w:hyperlink r:id="rId23" w:history="1">
        <w:r w:rsidRPr="007250A8">
          <w:rPr>
            <w:rStyle w:val="Hyperlink"/>
            <w:rFonts w:cs="Arial"/>
            <w:szCs w:val="24"/>
            <w:shd w:val="clear" w:color="auto" w:fill="FFFFFF"/>
            <w:lang w:val="en-GB"/>
          </w:rPr>
          <w:t>https://www.mdpi.com/2071-1050/15/11/8488</w:t>
        </w:r>
      </w:hyperlink>
      <w:r w:rsidRPr="007250A8">
        <w:rPr>
          <w:rFonts w:cs="Arial"/>
          <w:color w:val="222222"/>
          <w:szCs w:val="24"/>
          <w:shd w:val="clear" w:color="auto" w:fill="FFFFFF"/>
          <w:lang w:val="en-GB"/>
        </w:rPr>
        <w:t xml:space="preserve"> </w:t>
      </w:r>
    </w:p>
    <w:p w14:paraId="3595409E" w14:textId="77777777" w:rsidR="001B129A" w:rsidRPr="007250A8" w:rsidRDefault="001B129A" w:rsidP="001B129A">
      <w:pPr>
        <w:rPr>
          <w:lang w:val="en-GB"/>
        </w:rPr>
      </w:pPr>
      <w:r w:rsidRPr="007250A8">
        <w:rPr>
          <w:lang w:val="en-GB"/>
        </w:rPr>
        <w:t xml:space="preserve">Khalifa, M. and </w:t>
      </w:r>
      <w:proofErr w:type="spellStart"/>
      <w:r w:rsidRPr="007250A8">
        <w:rPr>
          <w:lang w:val="en-GB"/>
        </w:rPr>
        <w:t>Albadawy</w:t>
      </w:r>
      <w:proofErr w:type="spellEnd"/>
      <w:r w:rsidRPr="007250A8">
        <w:rPr>
          <w:lang w:val="en-GB"/>
        </w:rPr>
        <w:t>, M., (2024). Using artificial intelligence in academic writing and research: An essential productivity tool. </w:t>
      </w:r>
      <w:r w:rsidRPr="007250A8">
        <w:rPr>
          <w:i/>
          <w:iCs/>
          <w:lang w:val="en-GB"/>
        </w:rPr>
        <w:t>Computer methods and programs in biomedicine update</w:t>
      </w:r>
      <w:r w:rsidRPr="007250A8">
        <w:rPr>
          <w:lang w:val="en-GB"/>
        </w:rPr>
        <w:t>, </w:t>
      </w:r>
      <w:r w:rsidRPr="007250A8">
        <w:rPr>
          <w:i/>
          <w:iCs/>
          <w:lang w:val="en-GB"/>
        </w:rPr>
        <w:t>5</w:t>
      </w:r>
      <w:r w:rsidRPr="007250A8">
        <w:rPr>
          <w:lang w:val="en-GB"/>
        </w:rPr>
        <w:t xml:space="preserve">, p.100145. </w:t>
      </w:r>
      <w:hyperlink r:id="rId24" w:history="1">
        <w:r w:rsidRPr="007250A8">
          <w:rPr>
            <w:rStyle w:val="Hyperlink"/>
            <w:lang w:val="en-GB"/>
          </w:rPr>
          <w:t>https://www.sciencedirect.com/science/article/pii/S2666990024000120</w:t>
        </w:r>
      </w:hyperlink>
      <w:r w:rsidRPr="007250A8">
        <w:rPr>
          <w:lang w:val="en-GB"/>
        </w:rPr>
        <w:t xml:space="preserve"> </w:t>
      </w:r>
    </w:p>
    <w:p w14:paraId="39DCC5D1" w14:textId="77777777" w:rsidR="001B129A" w:rsidRPr="007250A8" w:rsidRDefault="001B129A" w:rsidP="001B129A">
      <w:pPr>
        <w:tabs>
          <w:tab w:val="left" w:pos="6075"/>
        </w:tabs>
        <w:rPr>
          <w:lang w:val="en-GB"/>
        </w:rPr>
      </w:pPr>
      <w:r w:rsidRPr="007250A8">
        <w:rPr>
          <w:lang w:val="en-GB"/>
        </w:rPr>
        <w:t>KODURU, D.R.S., (2026). </w:t>
      </w:r>
      <w:r w:rsidRPr="007250A8">
        <w:rPr>
          <w:i/>
          <w:iCs/>
          <w:lang w:val="en-GB"/>
        </w:rPr>
        <w:t>FINANCIAL MANAGEMENT IN HOTELS AND RESTAURANT INDUSTRY</w:t>
      </w:r>
      <w:r w:rsidRPr="007250A8">
        <w:rPr>
          <w:lang w:val="en-GB"/>
        </w:rPr>
        <w:t xml:space="preserve">. Vaagai international publishing house. </w:t>
      </w:r>
      <w:hyperlink r:id="rId25" w:history="1">
        <w:r w:rsidRPr="007250A8">
          <w:rPr>
            <w:rStyle w:val="Hyperlink"/>
            <w:lang w:val="en-GB"/>
          </w:rPr>
          <w:t>https://books.google.com/books?hl=en&amp;lr=&amp;id=CeKuEQAAQBAJ&amp;oi=fnd&amp;pg=PA1&amp;dq=Efficient+management+of+inventory,+accounts+receivable+and+payable+enables+Marriott+to+operate+efficiently+and+maintain+cash+flows&amp;ots=-293K_5XIl&amp;sig=U38SRzwAZE0_JuUmlRX7WmQRtsQ</w:t>
        </w:r>
      </w:hyperlink>
      <w:r w:rsidRPr="007250A8">
        <w:rPr>
          <w:lang w:val="en-GB"/>
        </w:rPr>
        <w:t xml:space="preserve"> </w:t>
      </w:r>
    </w:p>
    <w:p w14:paraId="659DA34A" w14:textId="77777777" w:rsidR="001B129A" w:rsidRPr="007250A8" w:rsidRDefault="001B129A" w:rsidP="001B129A">
      <w:pPr>
        <w:tabs>
          <w:tab w:val="left" w:pos="6075"/>
        </w:tabs>
        <w:rPr>
          <w:lang w:val="en-GB"/>
        </w:rPr>
      </w:pPr>
      <w:r w:rsidRPr="007250A8">
        <w:rPr>
          <w:lang w:val="en-GB"/>
        </w:rPr>
        <w:t>Krylovskyi, V., (2024). Increasing the financial potential of investment activity of business entities. </w:t>
      </w:r>
      <w:r w:rsidRPr="007250A8">
        <w:rPr>
          <w:i/>
          <w:iCs/>
          <w:lang w:val="en-GB"/>
        </w:rPr>
        <w:t>Economics, Entrepreneurship, Management</w:t>
      </w:r>
      <w:r w:rsidRPr="007250A8">
        <w:rPr>
          <w:lang w:val="en-GB"/>
        </w:rPr>
        <w:t>, </w:t>
      </w:r>
      <w:r w:rsidRPr="007250A8">
        <w:rPr>
          <w:i/>
          <w:iCs/>
          <w:lang w:val="en-GB"/>
        </w:rPr>
        <w:t>11</w:t>
      </w:r>
      <w:r w:rsidRPr="007250A8">
        <w:rPr>
          <w:lang w:val="en-GB"/>
        </w:rPr>
        <w:t xml:space="preserve">(2), pp.65-76. </w:t>
      </w:r>
      <w:hyperlink r:id="rId26" w:history="1">
        <w:r w:rsidRPr="007250A8">
          <w:rPr>
            <w:rStyle w:val="Hyperlink"/>
            <w:lang w:val="en-GB"/>
          </w:rPr>
          <w:t>https://eem.com.ua/web/uploads/pdf/Economics,%20Entrepreneurship,%20Management,%20Vol%2011,%20No%202,%202024-65-76.pdf</w:t>
        </w:r>
      </w:hyperlink>
      <w:r w:rsidRPr="007250A8">
        <w:rPr>
          <w:lang w:val="en-GB"/>
        </w:rPr>
        <w:t xml:space="preserve"> </w:t>
      </w:r>
    </w:p>
    <w:p w14:paraId="6B8E28D8" w14:textId="77777777" w:rsidR="001B129A" w:rsidRPr="007250A8" w:rsidRDefault="001B129A" w:rsidP="001B129A">
      <w:pPr>
        <w:tabs>
          <w:tab w:val="left" w:pos="6075"/>
        </w:tabs>
        <w:rPr>
          <w:lang w:val="en-GB"/>
        </w:rPr>
      </w:pPr>
      <w:r w:rsidRPr="007250A8">
        <w:rPr>
          <w:lang w:val="en-GB"/>
        </w:rPr>
        <w:t>Liu, L., Singh, A. and Singh, H., (2026). Refinancing of Long-Term Debt and Tendency to Overinvest. </w:t>
      </w:r>
      <w:r w:rsidRPr="007250A8">
        <w:rPr>
          <w:i/>
          <w:iCs/>
          <w:lang w:val="en-GB"/>
        </w:rPr>
        <w:t>American Business Review</w:t>
      </w:r>
      <w:r w:rsidRPr="007250A8">
        <w:rPr>
          <w:lang w:val="en-GB"/>
        </w:rPr>
        <w:t>, </w:t>
      </w:r>
      <w:r w:rsidRPr="007250A8">
        <w:rPr>
          <w:i/>
          <w:iCs/>
          <w:lang w:val="en-GB"/>
        </w:rPr>
        <w:t>29</w:t>
      </w:r>
      <w:r w:rsidRPr="007250A8">
        <w:rPr>
          <w:lang w:val="en-GB"/>
        </w:rPr>
        <w:t xml:space="preserve">(1), p.3. </w:t>
      </w:r>
      <w:hyperlink r:id="rId27" w:history="1">
        <w:r w:rsidRPr="007250A8">
          <w:rPr>
            <w:rStyle w:val="Hyperlink"/>
            <w:lang w:val="en-GB"/>
          </w:rPr>
          <w:t>https://digitalcommons.newhaven.edu/americanbusinessreview/vol29/iss1/3/</w:t>
        </w:r>
      </w:hyperlink>
      <w:r w:rsidRPr="007250A8">
        <w:rPr>
          <w:lang w:val="en-GB"/>
        </w:rPr>
        <w:t xml:space="preserve"> </w:t>
      </w:r>
    </w:p>
    <w:p w14:paraId="47C1D3F0" w14:textId="77777777" w:rsidR="001B129A" w:rsidRPr="007250A8" w:rsidRDefault="001B129A" w:rsidP="001B129A">
      <w:pPr>
        <w:tabs>
          <w:tab w:val="left" w:pos="6075"/>
        </w:tabs>
        <w:rPr>
          <w:lang w:val="en-GB"/>
        </w:rPr>
      </w:pPr>
      <w:r w:rsidRPr="007250A8">
        <w:rPr>
          <w:lang w:val="en-GB"/>
        </w:rPr>
        <w:t xml:space="preserve">Marriott. (2024). 2024 ANNUAL REPORT. Available at: </w:t>
      </w:r>
      <w:hyperlink r:id="rId28" w:history="1">
        <w:r w:rsidRPr="007250A8">
          <w:rPr>
            <w:rStyle w:val="Hyperlink"/>
            <w:lang w:val="en-GB"/>
          </w:rPr>
          <w:t>https://marriott.gcs-web.com/static-files/a7664c0f-5bd1-4066-9fc9-b05eb6c93772</w:t>
        </w:r>
      </w:hyperlink>
      <w:r w:rsidRPr="007250A8">
        <w:rPr>
          <w:lang w:val="en-GB"/>
        </w:rPr>
        <w:t xml:space="preserve"> [Accessed on 12th </w:t>
      </w:r>
      <w:proofErr w:type="gramStart"/>
      <w:r w:rsidRPr="007250A8">
        <w:rPr>
          <w:lang w:val="en-GB"/>
        </w:rPr>
        <w:t>August,</w:t>
      </w:r>
      <w:proofErr w:type="gramEnd"/>
      <w:r w:rsidRPr="007250A8">
        <w:rPr>
          <w:lang w:val="en-GB"/>
        </w:rPr>
        <w:t xml:space="preserve"> 2026]</w:t>
      </w:r>
    </w:p>
    <w:p w14:paraId="59452CA3" w14:textId="59837D50" w:rsidR="00D30A9D" w:rsidRPr="007250A8" w:rsidRDefault="00D30A9D" w:rsidP="001B129A">
      <w:pPr>
        <w:tabs>
          <w:tab w:val="left" w:pos="6075"/>
        </w:tabs>
        <w:rPr>
          <w:lang w:val="en-GB"/>
        </w:rPr>
      </w:pPr>
      <w:r w:rsidRPr="007250A8">
        <w:rPr>
          <w:lang w:val="en-GB"/>
        </w:rPr>
        <w:t xml:space="preserve">Marriott. (2025). 2025 ANNUAL REPORT. Available at: </w:t>
      </w:r>
      <w:hyperlink r:id="rId29" w:history="1">
        <w:r w:rsidRPr="007250A8">
          <w:rPr>
            <w:rStyle w:val="Hyperlink"/>
            <w:lang w:val="en-GB"/>
          </w:rPr>
          <w:t>https://marriott.gcs-web.com/static-files/9cf0e9b0-bbfa-48a6-9e21-ffbdbc4b2d78</w:t>
        </w:r>
      </w:hyperlink>
      <w:r w:rsidRPr="007250A8">
        <w:rPr>
          <w:lang w:val="en-GB"/>
        </w:rPr>
        <w:t xml:space="preserve"> [Accessed on 12th </w:t>
      </w:r>
      <w:proofErr w:type="gramStart"/>
      <w:r w:rsidRPr="007250A8">
        <w:rPr>
          <w:lang w:val="en-GB"/>
        </w:rPr>
        <w:t>August,</w:t>
      </w:r>
      <w:proofErr w:type="gramEnd"/>
      <w:r w:rsidRPr="007250A8">
        <w:rPr>
          <w:lang w:val="en-GB"/>
        </w:rPr>
        <w:t xml:space="preserve"> 2026]</w:t>
      </w:r>
    </w:p>
    <w:p w14:paraId="71EC868F" w14:textId="77777777" w:rsidR="001B129A" w:rsidRPr="007250A8" w:rsidRDefault="001B129A" w:rsidP="001B129A">
      <w:pPr>
        <w:tabs>
          <w:tab w:val="left" w:pos="6075"/>
        </w:tabs>
        <w:rPr>
          <w:lang w:val="en-GB"/>
        </w:rPr>
      </w:pPr>
      <w:r w:rsidRPr="007250A8">
        <w:rPr>
          <w:lang w:val="en-GB"/>
        </w:rPr>
        <w:t>Morrison, A.M., (2022). </w:t>
      </w:r>
      <w:r w:rsidRPr="007250A8">
        <w:rPr>
          <w:i/>
          <w:iCs/>
          <w:lang w:val="en-GB"/>
        </w:rPr>
        <w:t>Hospitality and travel marketing</w:t>
      </w:r>
      <w:r w:rsidRPr="007250A8">
        <w:rPr>
          <w:lang w:val="en-GB"/>
        </w:rPr>
        <w:t xml:space="preserve">. Taylor &amp; Francis. </w:t>
      </w:r>
      <w:hyperlink r:id="rId30" w:history="1">
        <w:r w:rsidRPr="007250A8">
          <w:rPr>
            <w:rStyle w:val="Hyperlink"/>
            <w:lang w:val="en-GB"/>
          </w:rPr>
          <w:t>https://books.google.com/books?hl=en&amp;lr=&amp;id=N6iIEAAAQBAJ&amp;oi=fnd&amp;pg=PT18&amp;dq=Collaboration+with+foreign+hospitality,+technology+or+travel+businesses+will+as</w:t>
        </w:r>
        <w:r w:rsidRPr="007250A8">
          <w:rPr>
            <w:rStyle w:val="Hyperlink"/>
            <w:lang w:val="en-GB"/>
          </w:rPr>
          <w:lastRenderedPageBreak/>
          <w:t>sist+to+gain+access+in+new+markets,+technologies+and+resources&amp;ots=EI1jKD0X92&amp;sig=P6uL7pWOgybN3mxGW4nnULlvDIE</w:t>
        </w:r>
      </w:hyperlink>
    </w:p>
    <w:p w14:paraId="19F31D21" w14:textId="77777777" w:rsidR="001B129A" w:rsidRPr="007250A8" w:rsidRDefault="001B129A" w:rsidP="001B129A">
      <w:pPr>
        <w:rPr>
          <w:lang w:val="en-GB"/>
        </w:rPr>
      </w:pPr>
      <w:proofErr w:type="spellStart"/>
      <w:r w:rsidRPr="007250A8">
        <w:rPr>
          <w:lang w:val="en-GB"/>
        </w:rPr>
        <w:t>Novyarni</w:t>
      </w:r>
      <w:proofErr w:type="spellEnd"/>
      <w:r w:rsidRPr="007250A8">
        <w:rPr>
          <w:lang w:val="en-GB"/>
        </w:rPr>
        <w:t xml:space="preserve">, N., Bahagia, T.A., Haholongan, R., Harni, R. and </w:t>
      </w:r>
      <w:proofErr w:type="spellStart"/>
      <w:r w:rsidRPr="007250A8">
        <w:rPr>
          <w:lang w:val="en-GB"/>
        </w:rPr>
        <w:t>Kartijo</w:t>
      </w:r>
      <w:proofErr w:type="spellEnd"/>
      <w:r w:rsidRPr="007250A8">
        <w:rPr>
          <w:lang w:val="en-GB"/>
        </w:rPr>
        <w:t>, K., 2024. The influence of operating cash flow, current ratio, and solvability ratio on profit margin in service companies. In </w:t>
      </w:r>
      <w:r w:rsidRPr="007250A8">
        <w:rPr>
          <w:i/>
          <w:iCs/>
          <w:lang w:val="en-GB"/>
        </w:rPr>
        <w:t>Open Society Conference</w:t>
      </w:r>
      <w:r w:rsidRPr="007250A8">
        <w:rPr>
          <w:lang w:val="en-GB"/>
        </w:rPr>
        <w:t xml:space="preserve"> (Vol. 2, pp. 144-153). </w:t>
      </w:r>
      <w:hyperlink r:id="rId31" w:history="1">
        <w:r w:rsidRPr="007250A8">
          <w:rPr>
            <w:rStyle w:val="Hyperlink"/>
            <w:lang w:val="en-GB"/>
          </w:rPr>
          <w:t>https://conference.ut.ac.id/index.php/osc/article/view/4847</w:t>
        </w:r>
      </w:hyperlink>
      <w:r w:rsidRPr="007250A8">
        <w:rPr>
          <w:lang w:val="en-GB"/>
        </w:rPr>
        <w:t xml:space="preserve"> </w:t>
      </w:r>
    </w:p>
    <w:p w14:paraId="1EB13429" w14:textId="77777777" w:rsidR="001B129A" w:rsidRPr="007250A8" w:rsidRDefault="001B129A" w:rsidP="001B129A">
      <w:pPr>
        <w:rPr>
          <w:lang w:val="en-GB"/>
        </w:rPr>
      </w:pPr>
      <w:r w:rsidRPr="007250A8">
        <w:rPr>
          <w:lang w:val="en-GB"/>
        </w:rPr>
        <w:t>Perna, A., (2024). </w:t>
      </w:r>
      <w:r w:rsidRPr="007250A8">
        <w:rPr>
          <w:i/>
          <w:iCs/>
          <w:lang w:val="en-GB"/>
        </w:rPr>
        <w:t>Optimization of Internal Rate of Return and Net Present Value for investments</w:t>
      </w:r>
      <w:r w:rsidRPr="007250A8">
        <w:rPr>
          <w:lang w:val="en-GB"/>
        </w:rPr>
        <w:t xml:space="preserve"> (Doctoral dissertation, </w:t>
      </w:r>
      <w:proofErr w:type="spellStart"/>
      <w:r w:rsidRPr="007250A8">
        <w:rPr>
          <w:lang w:val="en-GB"/>
        </w:rPr>
        <w:t>Politecnico</w:t>
      </w:r>
      <w:proofErr w:type="spellEnd"/>
      <w:r w:rsidRPr="007250A8">
        <w:rPr>
          <w:lang w:val="en-GB"/>
        </w:rPr>
        <w:t xml:space="preserve"> di Torino). </w:t>
      </w:r>
      <w:hyperlink r:id="rId32" w:history="1">
        <w:r w:rsidRPr="007250A8">
          <w:rPr>
            <w:rStyle w:val="Hyperlink"/>
            <w:lang w:val="en-GB"/>
          </w:rPr>
          <w:t>https://webthesis.biblio.polito.it/32044/</w:t>
        </w:r>
      </w:hyperlink>
    </w:p>
    <w:p w14:paraId="0F2AD314" w14:textId="77777777" w:rsidR="001B129A" w:rsidRPr="007250A8" w:rsidRDefault="001B129A" w:rsidP="001B129A">
      <w:pPr>
        <w:rPr>
          <w:lang w:val="en-GB"/>
        </w:rPr>
      </w:pPr>
      <w:proofErr w:type="spellStart"/>
      <w:r w:rsidRPr="007250A8">
        <w:rPr>
          <w:lang w:val="en-GB"/>
        </w:rPr>
        <w:t>Pinzolits</w:t>
      </w:r>
      <w:proofErr w:type="spellEnd"/>
      <w:r w:rsidRPr="007250A8">
        <w:rPr>
          <w:lang w:val="en-GB"/>
        </w:rPr>
        <w:t>, R., (2024). AI in academia: An overview of selected tools and their areas of application. </w:t>
      </w:r>
      <w:r w:rsidRPr="007250A8">
        <w:rPr>
          <w:i/>
          <w:iCs/>
          <w:lang w:val="en-GB"/>
        </w:rPr>
        <w:t>MAP Education and Humanities</w:t>
      </w:r>
      <w:r w:rsidRPr="007250A8">
        <w:rPr>
          <w:lang w:val="en-GB"/>
        </w:rPr>
        <w:t>, </w:t>
      </w:r>
      <w:r w:rsidRPr="007250A8">
        <w:rPr>
          <w:i/>
          <w:iCs/>
          <w:lang w:val="en-GB"/>
        </w:rPr>
        <w:t>4</w:t>
      </w:r>
      <w:r w:rsidRPr="007250A8">
        <w:rPr>
          <w:lang w:val="en-GB"/>
        </w:rPr>
        <w:t xml:space="preserve">, pp.37-50. </w:t>
      </w:r>
      <w:hyperlink r:id="rId33" w:history="1">
        <w:r w:rsidRPr="007250A8">
          <w:rPr>
            <w:rStyle w:val="Hyperlink"/>
            <w:lang w:val="en-GB"/>
          </w:rPr>
          <w:t>https://mapub.org/ojs/index.php/mapeh/article/view/55</w:t>
        </w:r>
      </w:hyperlink>
    </w:p>
    <w:p w14:paraId="78F052FF" w14:textId="77777777" w:rsidR="001B129A" w:rsidRPr="007250A8" w:rsidRDefault="001B129A" w:rsidP="001B129A">
      <w:pPr>
        <w:rPr>
          <w:lang w:val="en-GB"/>
        </w:rPr>
      </w:pPr>
      <w:proofErr w:type="spellStart"/>
      <w:r w:rsidRPr="007250A8">
        <w:rPr>
          <w:lang w:val="en-GB"/>
        </w:rPr>
        <w:t>Rabbianty</w:t>
      </w:r>
      <w:proofErr w:type="spellEnd"/>
      <w:r w:rsidRPr="007250A8">
        <w:rPr>
          <w:lang w:val="en-GB"/>
        </w:rPr>
        <w:t xml:space="preserve">, E.N., Azizah, S. and </w:t>
      </w:r>
      <w:proofErr w:type="spellStart"/>
      <w:r w:rsidRPr="007250A8">
        <w:rPr>
          <w:lang w:val="en-GB"/>
        </w:rPr>
        <w:t>Virdyna</w:t>
      </w:r>
      <w:proofErr w:type="spellEnd"/>
      <w:r w:rsidRPr="007250A8">
        <w:rPr>
          <w:lang w:val="en-GB"/>
        </w:rPr>
        <w:t>, N.K., (2023). AI in academic writing: Assessing current usage and future implications. </w:t>
      </w:r>
      <w:r w:rsidRPr="007250A8">
        <w:rPr>
          <w:i/>
          <w:iCs/>
          <w:lang w:val="en-GB"/>
        </w:rPr>
        <w:t xml:space="preserve">INSANIA: </w:t>
      </w:r>
      <w:proofErr w:type="spellStart"/>
      <w:r w:rsidRPr="007250A8">
        <w:rPr>
          <w:i/>
          <w:iCs/>
          <w:lang w:val="en-GB"/>
        </w:rPr>
        <w:t>Jurnal</w:t>
      </w:r>
      <w:proofErr w:type="spellEnd"/>
      <w:r w:rsidRPr="007250A8">
        <w:rPr>
          <w:i/>
          <w:iCs/>
          <w:lang w:val="en-GB"/>
        </w:rPr>
        <w:t xml:space="preserve"> </w:t>
      </w:r>
      <w:proofErr w:type="spellStart"/>
      <w:r w:rsidRPr="007250A8">
        <w:rPr>
          <w:i/>
          <w:iCs/>
          <w:lang w:val="en-GB"/>
        </w:rPr>
        <w:t>Pemikiran</w:t>
      </w:r>
      <w:proofErr w:type="spellEnd"/>
      <w:r w:rsidRPr="007250A8">
        <w:rPr>
          <w:i/>
          <w:iCs/>
          <w:lang w:val="en-GB"/>
        </w:rPr>
        <w:t xml:space="preserve"> </w:t>
      </w:r>
      <w:proofErr w:type="spellStart"/>
      <w:r w:rsidRPr="007250A8">
        <w:rPr>
          <w:i/>
          <w:iCs/>
          <w:lang w:val="en-GB"/>
        </w:rPr>
        <w:t>Alternatif</w:t>
      </w:r>
      <w:proofErr w:type="spellEnd"/>
      <w:r w:rsidRPr="007250A8">
        <w:rPr>
          <w:i/>
          <w:iCs/>
          <w:lang w:val="en-GB"/>
        </w:rPr>
        <w:t xml:space="preserve"> </w:t>
      </w:r>
      <w:proofErr w:type="spellStart"/>
      <w:r w:rsidRPr="007250A8">
        <w:rPr>
          <w:i/>
          <w:iCs/>
          <w:lang w:val="en-GB"/>
        </w:rPr>
        <w:t>Kependidikan</w:t>
      </w:r>
      <w:proofErr w:type="spellEnd"/>
      <w:r w:rsidRPr="007250A8">
        <w:rPr>
          <w:lang w:val="en-GB"/>
        </w:rPr>
        <w:t>, </w:t>
      </w:r>
      <w:r w:rsidRPr="007250A8">
        <w:rPr>
          <w:i/>
          <w:iCs/>
          <w:lang w:val="en-GB"/>
        </w:rPr>
        <w:t>28</w:t>
      </w:r>
      <w:r w:rsidRPr="007250A8">
        <w:rPr>
          <w:lang w:val="en-GB"/>
        </w:rPr>
        <w:t xml:space="preserve">(1a), pp.14-35. </w:t>
      </w:r>
      <w:hyperlink r:id="rId34" w:history="1">
        <w:r w:rsidRPr="007250A8">
          <w:rPr>
            <w:rStyle w:val="Hyperlink"/>
            <w:lang w:val="en-GB"/>
          </w:rPr>
          <w:t>https://ejournal.uinsaizu.ac.id/index.php/insania/article/view/9278</w:t>
        </w:r>
      </w:hyperlink>
    </w:p>
    <w:p w14:paraId="36ACEB56" w14:textId="77777777" w:rsidR="001B129A" w:rsidRPr="007250A8" w:rsidRDefault="001B129A" w:rsidP="001B129A">
      <w:pPr>
        <w:rPr>
          <w:lang w:val="en-GB"/>
        </w:rPr>
      </w:pPr>
      <w:r w:rsidRPr="007250A8">
        <w:rPr>
          <w:lang w:val="en-GB"/>
        </w:rPr>
        <w:t xml:space="preserve">Reyad, H.M., </w:t>
      </w:r>
      <w:proofErr w:type="spellStart"/>
      <w:r w:rsidRPr="007250A8">
        <w:rPr>
          <w:lang w:val="en-GB"/>
        </w:rPr>
        <w:t>Zariyawati</w:t>
      </w:r>
      <w:proofErr w:type="spellEnd"/>
      <w:r w:rsidRPr="007250A8">
        <w:rPr>
          <w:lang w:val="en-GB"/>
        </w:rPr>
        <w:t>, M.A., Ong, T.S. and Muhamad, H., (2022). The impact of macroeconomic risk factors, the adoption of financial derivatives on working capital management, and firm performance. </w:t>
      </w:r>
      <w:r w:rsidRPr="007250A8">
        <w:rPr>
          <w:i/>
          <w:iCs/>
          <w:lang w:val="en-GB"/>
        </w:rPr>
        <w:t>Sustainability</w:t>
      </w:r>
      <w:r w:rsidRPr="007250A8">
        <w:rPr>
          <w:lang w:val="en-GB"/>
        </w:rPr>
        <w:t>, </w:t>
      </w:r>
      <w:r w:rsidRPr="007250A8">
        <w:rPr>
          <w:i/>
          <w:iCs/>
          <w:lang w:val="en-GB"/>
        </w:rPr>
        <w:t>14</w:t>
      </w:r>
      <w:r w:rsidRPr="007250A8">
        <w:rPr>
          <w:lang w:val="en-GB"/>
        </w:rPr>
        <w:t xml:space="preserve">(21), p.14447. </w:t>
      </w:r>
      <w:hyperlink r:id="rId35" w:history="1">
        <w:r w:rsidRPr="007250A8">
          <w:rPr>
            <w:rStyle w:val="Hyperlink"/>
            <w:lang w:val="en-GB"/>
          </w:rPr>
          <w:t>https://www.mdpi.com/2071-1050/14/21/14447</w:t>
        </w:r>
      </w:hyperlink>
      <w:r w:rsidRPr="007250A8">
        <w:rPr>
          <w:lang w:val="en-GB"/>
        </w:rPr>
        <w:t xml:space="preserve"> </w:t>
      </w:r>
    </w:p>
    <w:p w14:paraId="22CD0EE5" w14:textId="77777777" w:rsidR="001B129A" w:rsidRPr="007250A8" w:rsidRDefault="001B129A" w:rsidP="001B129A">
      <w:pPr>
        <w:rPr>
          <w:lang w:val="en-GB"/>
        </w:rPr>
      </w:pPr>
      <w:r w:rsidRPr="007250A8">
        <w:rPr>
          <w:lang w:val="en-GB"/>
        </w:rPr>
        <w:t>Shou, T., (2022, July). A literature review on the net present value (NPV) valuation method. In </w:t>
      </w:r>
      <w:r w:rsidRPr="007250A8">
        <w:rPr>
          <w:i/>
          <w:iCs/>
          <w:lang w:val="en-GB"/>
        </w:rPr>
        <w:t>2022 2nd International Conference on Enterprise Management and Economic Development (ICEMED 2022)</w:t>
      </w:r>
      <w:r w:rsidRPr="007250A8">
        <w:rPr>
          <w:lang w:val="en-GB"/>
        </w:rPr>
        <w:t xml:space="preserve"> (pp. 826-830). Atlantis Press. </w:t>
      </w:r>
      <w:hyperlink r:id="rId36" w:history="1">
        <w:r w:rsidRPr="007250A8">
          <w:rPr>
            <w:rStyle w:val="Hyperlink"/>
            <w:lang w:val="en-GB"/>
          </w:rPr>
          <w:t>https://www.atlantis-press.com/proceedings/icemed-22/125975449</w:t>
        </w:r>
      </w:hyperlink>
      <w:r w:rsidRPr="007250A8">
        <w:rPr>
          <w:lang w:val="en-GB"/>
        </w:rPr>
        <w:t xml:space="preserve"> </w:t>
      </w:r>
    </w:p>
    <w:p w14:paraId="2FC13A10" w14:textId="77777777" w:rsidR="001B129A" w:rsidRPr="007250A8" w:rsidRDefault="001B129A" w:rsidP="001B129A">
      <w:pPr>
        <w:rPr>
          <w:lang w:val="en-GB"/>
        </w:rPr>
      </w:pPr>
      <w:r w:rsidRPr="007250A8">
        <w:rPr>
          <w:lang w:val="en-GB"/>
        </w:rPr>
        <w:t xml:space="preserve">Soesetio, Y., </w:t>
      </w:r>
      <w:proofErr w:type="spellStart"/>
      <w:r w:rsidRPr="007250A8">
        <w:rPr>
          <w:lang w:val="en-GB"/>
        </w:rPr>
        <w:t>Subagyo</w:t>
      </w:r>
      <w:proofErr w:type="spellEnd"/>
      <w:r w:rsidRPr="007250A8">
        <w:rPr>
          <w:lang w:val="en-GB"/>
        </w:rPr>
        <w:t xml:space="preserve">, S., </w:t>
      </w:r>
      <w:proofErr w:type="spellStart"/>
      <w:r w:rsidRPr="007250A8">
        <w:rPr>
          <w:lang w:val="en-GB"/>
        </w:rPr>
        <w:t>Istanti</w:t>
      </w:r>
      <w:proofErr w:type="spellEnd"/>
      <w:r w:rsidRPr="007250A8">
        <w:rPr>
          <w:lang w:val="en-GB"/>
        </w:rPr>
        <w:t>, L.N. and Zen, F., (2023). Debt ratio, return on asset, firm size and earnings management: age moderation. </w:t>
      </w:r>
      <w:proofErr w:type="spellStart"/>
      <w:r w:rsidRPr="007250A8">
        <w:rPr>
          <w:i/>
          <w:iCs/>
          <w:lang w:val="en-GB"/>
        </w:rPr>
        <w:t>Jurnal</w:t>
      </w:r>
      <w:proofErr w:type="spellEnd"/>
      <w:r w:rsidRPr="007250A8">
        <w:rPr>
          <w:i/>
          <w:iCs/>
          <w:lang w:val="en-GB"/>
        </w:rPr>
        <w:t xml:space="preserve"> Aplikasi </w:t>
      </w:r>
      <w:proofErr w:type="spellStart"/>
      <w:r w:rsidRPr="007250A8">
        <w:rPr>
          <w:i/>
          <w:iCs/>
          <w:lang w:val="en-GB"/>
        </w:rPr>
        <w:t>Manajemen</w:t>
      </w:r>
      <w:proofErr w:type="spellEnd"/>
      <w:r w:rsidRPr="007250A8">
        <w:rPr>
          <w:lang w:val="en-GB"/>
        </w:rPr>
        <w:t>, </w:t>
      </w:r>
      <w:r w:rsidRPr="007250A8">
        <w:rPr>
          <w:i/>
          <w:iCs/>
          <w:lang w:val="en-GB"/>
        </w:rPr>
        <w:t>21</w:t>
      </w:r>
      <w:r w:rsidRPr="007250A8">
        <w:rPr>
          <w:lang w:val="en-GB"/>
        </w:rPr>
        <w:t xml:space="preserve">(2), pp.331-345. </w:t>
      </w:r>
      <w:hyperlink r:id="rId37" w:history="1">
        <w:r w:rsidRPr="007250A8">
          <w:rPr>
            <w:rStyle w:val="Hyperlink"/>
            <w:lang w:val="en-GB"/>
          </w:rPr>
          <w:t>https://jurnaljam.ub.ac.id/index.php/jam/article/view/3120</w:t>
        </w:r>
      </w:hyperlink>
    </w:p>
    <w:p w14:paraId="22DD4D9C" w14:textId="77777777" w:rsidR="001B129A" w:rsidRPr="007250A8" w:rsidRDefault="001B129A" w:rsidP="001B129A">
      <w:pPr>
        <w:tabs>
          <w:tab w:val="left" w:pos="6075"/>
        </w:tabs>
        <w:rPr>
          <w:lang w:val="en-GB"/>
        </w:rPr>
      </w:pPr>
      <w:r w:rsidRPr="007250A8">
        <w:rPr>
          <w:lang w:val="en-GB"/>
        </w:rPr>
        <w:lastRenderedPageBreak/>
        <w:t>Toker, T., (2025). The operating profit flow method as a profitability analysis tool for hospitality enterprises. </w:t>
      </w:r>
      <w:r w:rsidRPr="007250A8">
        <w:rPr>
          <w:i/>
          <w:iCs/>
          <w:lang w:val="en-GB"/>
        </w:rPr>
        <w:t>International Journal of Hospitality Management</w:t>
      </w:r>
      <w:r w:rsidRPr="007250A8">
        <w:rPr>
          <w:lang w:val="en-GB"/>
        </w:rPr>
        <w:t>, </w:t>
      </w:r>
      <w:r w:rsidRPr="007250A8">
        <w:rPr>
          <w:i/>
          <w:iCs/>
          <w:lang w:val="en-GB"/>
        </w:rPr>
        <w:t>125</w:t>
      </w:r>
      <w:r w:rsidRPr="007250A8">
        <w:rPr>
          <w:lang w:val="en-GB"/>
        </w:rPr>
        <w:t xml:space="preserve">, p.103997. </w:t>
      </w:r>
      <w:hyperlink r:id="rId38" w:history="1">
        <w:r w:rsidRPr="007250A8">
          <w:rPr>
            <w:rStyle w:val="Hyperlink"/>
            <w:lang w:val="en-GB"/>
          </w:rPr>
          <w:t>https://www.sciencedirect.com/science/article/pii/S0278431924003098</w:t>
        </w:r>
      </w:hyperlink>
      <w:r w:rsidRPr="007250A8">
        <w:rPr>
          <w:lang w:val="en-GB"/>
        </w:rPr>
        <w:t xml:space="preserve"> </w:t>
      </w:r>
    </w:p>
    <w:p w14:paraId="1EF70C53" w14:textId="77777777" w:rsidR="001B129A" w:rsidRPr="007250A8" w:rsidRDefault="001B129A" w:rsidP="001B129A">
      <w:pPr>
        <w:rPr>
          <w:lang w:val="en-GB"/>
        </w:rPr>
      </w:pPr>
      <w:proofErr w:type="spellStart"/>
      <w:r w:rsidRPr="007250A8">
        <w:rPr>
          <w:lang w:val="en-GB"/>
        </w:rPr>
        <w:t>Tulhayat</w:t>
      </w:r>
      <w:proofErr w:type="spellEnd"/>
      <w:r w:rsidRPr="007250A8">
        <w:rPr>
          <w:lang w:val="en-GB"/>
        </w:rPr>
        <w:t xml:space="preserve">, J.M., Azis, F. and Musa, K.S.P., (2025). Investment Feasibility Analysis in MSMEs Using Payback Period and Profitability Index Approaches: Case Study on </w:t>
      </w:r>
      <w:proofErr w:type="spellStart"/>
      <w:r w:rsidRPr="007250A8">
        <w:rPr>
          <w:lang w:val="en-GB"/>
        </w:rPr>
        <w:t>Jalangkote</w:t>
      </w:r>
      <w:proofErr w:type="spellEnd"/>
      <w:r w:rsidRPr="007250A8">
        <w:rPr>
          <w:lang w:val="en-GB"/>
        </w:rPr>
        <w:t xml:space="preserve"> Master. </w:t>
      </w:r>
      <w:r w:rsidRPr="007250A8">
        <w:rPr>
          <w:i/>
          <w:iCs/>
          <w:lang w:val="en-GB"/>
        </w:rPr>
        <w:t>SIMAK</w:t>
      </w:r>
      <w:r w:rsidRPr="007250A8">
        <w:rPr>
          <w:lang w:val="en-GB"/>
        </w:rPr>
        <w:t>, </w:t>
      </w:r>
      <w:r w:rsidRPr="007250A8">
        <w:rPr>
          <w:i/>
          <w:iCs/>
          <w:lang w:val="en-GB"/>
        </w:rPr>
        <w:t>23</w:t>
      </w:r>
      <w:r w:rsidRPr="007250A8">
        <w:rPr>
          <w:lang w:val="en-GB"/>
        </w:rPr>
        <w:t xml:space="preserve">(02), pp.103-116. </w:t>
      </w:r>
      <w:hyperlink r:id="rId39" w:history="1">
        <w:r w:rsidRPr="007250A8">
          <w:rPr>
            <w:rStyle w:val="Hyperlink"/>
            <w:lang w:val="en-GB"/>
          </w:rPr>
          <w:t>http://ojs.feb.uajm.ac.id/index.php/simak/article/view/658</w:t>
        </w:r>
      </w:hyperlink>
    </w:p>
    <w:p w14:paraId="06A09DE7" w14:textId="77777777" w:rsidR="001B129A" w:rsidRPr="007250A8" w:rsidRDefault="001B129A" w:rsidP="001B129A">
      <w:pPr>
        <w:rPr>
          <w:lang w:val="en-GB"/>
        </w:rPr>
      </w:pPr>
      <w:r w:rsidRPr="007250A8">
        <w:rPr>
          <w:lang w:val="en-GB"/>
        </w:rPr>
        <w:t xml:space="preserve">Ullah, S. and </w:t>
      </w:r>
      <w:proofErr w:type="spellStart"/>
      <w:r w:rsidRPr="007250A8">
        <w:rPr>
          <w:lang w:val="en-GB"/>
        </w:rPr>
        <w:t>Nobanee</w:t>
      </w:r>
      <w:proofErr w:type="spellEnd"/>
      <w:r w:rsidRPr="007250A8">
        <w:rPr>
          <w:lang w:val="en-GB"/>
        </w:rPr>
        <w:t>, H., (2025). Decoding exchange rate in emerging economy: Financial and energy dynamics. </w:t>
      </w:r>
      <w:proofErr w:type="spellStart"/>
      <w:r w:rsidRPr="007250A8">
        <w:rPr>
          <w:i/>
          <w:iCs/>
          <w:lang w:val="en-GB"/>
        </w:rPr>
        <w:t>Heliyon</w:t>
      </w:r>
      <w:proofErr w:type="spellEnd"/>
      <w:r w:rsidRPr="007250A8">
        <w:rPr>
          <w:lang w:val="en-GB"/>
        </w:rPr>
        <w:t>, </w:t>
      </w:r>
      <w:r w:rsidRPr="007250A8">
        <w:rPr>
          <w:i/>
          <w:iCs/>
          <w:lang w:val="en-GB"/>
        </w:rPr>
        <w:t>11</w:t>
      </w:r>
      <w:r w:rsidRPr="007250A8">
        <w:rPr>
          <w:lang w:val="en-GB"/>
        </w:rPr>
        <w:t xml:space="preserve">(2). </w:t>
      </w:r>
      <w:hyperlink r:id="rId40" w:history="1">
        <w:r w:rsidRPr="007250A8">
          <w:rPr>
            <w:rStyle w:val="Hyperlink"/>
            <w:lang w:val="en-GB"/>
          </w:rPr>
          <w:t>https://www.cell.com/heliyon/fulltext/S2405-8440(25)00375-5</w:t>
        </w:r>
      </w:hyperlink>
    </w:p>
    <w:p w14:paraId="5AD660E9" w14:textId="77777777" w:rsidR="001B129A" w:rsidRPr="007250A8" w:rsidRDefault="001B129A" w:rsidP="001B129A">
      <w:pPr>
        <w:rPr>
          <w:lang w:val="en-GB"/>
        </w:rPr>
      </w:pPr>
      <w:r w:rsidRPr="007250A8">
        <w:rPr>
          <w:lang w:val="en-GB"/>
        </w:rPr>
        <w:t>Wangchuk, P., (2022). Application of depreciation net present value and internal rate of return in engineering projects a brief literature review. </w:t>
      </w:r>
      <w:r w:rsidRPr="007250A8">
        <w:rPr>
          <w:i/>
          <w:iCs/>
          <w:lang w:val="en-GB"/>
        </w:rPr>
        <w:t>Journal of Applied Engineering, Technology and Management</w:t>
      </w:r>
      <w:r w:rsidRPr="007250A8">
        <w:rPr>
          <w:lang w:val="en-GB"/>
        </w:rPr>
        <w:t>, </w:t>
      </w:r>
      <w:r w:rsidRPr="007250A8">
        <w:rPr>
          <w:i/>
          <w:iCs/>
          <w:lang w:val="en-GB"/>
        </w:rPr>
        <w:t>2</w:t>
      </w:r>
      <w:r w:rsidRPr="007250A8">
        <w:rPr>
          <w:lang w:val="en-GB"/>
        </w:rPr>
        <w:t xml:space="preserve">(1), pp.25-30. </w:t>
      </w:r>
      <w:hyperlink r:id="rId41" w:history="1">
        <w:r w:rsidRPr="007250A8">
          <w:rPr>
            <w:rStyle w:val="Hyperlink"/>
            <w:lang w:val="en-GB"/>
          </w:rPr>
          <w:t>https://journal.jnec.edu.bt/index.php/jaetm/article/view/55</w:t>
        </w:r>
      </w:hyperlink>
    </w:p>
    <w:p w14:paraId="6D50BB1C" w14:textId="77777777" w:rsidR="001B129A" w:rsidRPr="007250A8" w:rsidRDefault="001B129A" w:rsidP="001B129A">
      <w:pPr>
        <w:tabs>
          <w:tab w:val="left" w:pos="6075"/>
        </w:tabs>
        <w:rPr>
          <w:lang w:val="en-GB"/>
        </w:rPr>
      </w:pPr>
      <w:r w:rsidRPr="007250A8">
        <w:rPr>
          <w:lang w:val="en-GB"/>
        </w:rPr>
        <w:t>Yusup, W.E. and Hariani, S., (2023). The effect of receivables turnover, inventory turnover and current ratio on profitability. </w:t>
      </w:r>
      <w:proofErr w:type="spellStart"/>
      <w:r w:rsidRPr="007250A8">
        <w:rPr>
          <w:i/>
          <w:iCs/>
          <w:lang w:val="en-GB"/>
        </w:rPr>
        <w:t>Jurnal</w:t>
      </w:r>
      <w:proofErr w:type="spellEnd"/>
      <w:r w:rsidRPr="007250A8">
        <w:rPr>
          <w:i/>
          <w:iCs/>
          <w:lang w:val="en-GB"/>
        </w:rPr>
        <w:t xml:space="preserve"> Riset </w:t>
      </w:r>
      <w:proofErr w:type="spellStart"/>
      <w:r w:rsidRPr="007250A8">
        <w:rPr>
          <w:i/>
          <w:iCs/>
          <w:lang w:val="en-GB"/>
        </w:rPr>
        <w:t>Manajemen</w:t>
      </w:r>
      <w:proofErr w:type="spellEnd"/>
      <w:r w:rsidRPr="007250A8">
        <w:rPr>
          <w:i/>
          <w:iCs/>
          <w:lang w:val="en-GB"/>
        </w:rPr>
        <w:t xml:space="preserve"> dan </w:t>
      </w:r>
      <w:proofErr w:type="spellStart"/>
      <w:r w:rsidRPr="007250A8">
        <w:rPr>
          <w:i/>
          <w:iCs/>
          <w:lang w:val="en-GB"/>
        </w:rPr>
        <w:t>Bisnis</w:t>
      </w:r>
      <w:proofErr w:type="spellEnd"/>
      <w:r w:rsidRPr="007250A8">
        <w:rPr>
          <w:lang w:val="en-GB"/>
        </w:rPr>
        <w:t>, </w:t>
      </w:r>
      <w:r w:rsidRPr="007250A8">
        <w:rPr>
          <w:i/>
          <w:iCs/>
          <w:lang w:val="en-GB"/>
        </w:rPr>
        <w:t>8</w:t>
      </w:r>
      <w:r w:rsidRPr="007250A8">
        <w:rPr>
          <w:lang w:val="en-GB"/>
        </w:rPr>
        <w:t xml:space="preserve">(1), pp.23-32. </w:t>
      </w:r>
      <w:hyperlink r:id="rId42" w:history="1">
        <w:r w:rsidRPr="007250A8">
          <w:rPr>
            <w:rStyle w:val="Hyperlink"/>
            <w:lang w:val="en-GB"/>
          </w:rPr>
          <w:t>http://www.ejournal.imperiuminstitute.org/index.php/JRMB/article/view/987</w:t>
        </w:r>
      </w:hyperlink>
      <w:r w:rsidRPr="007250A8">
        <w:rPr>
          <w:lang w:val="en-GB"/>
        </w:rPr>
        <w:t xml:space="preserve"> </w:t>
      </w:r>
    </w:p>
    <w:p w14:paraId="47876721" w14:textId="77777777" w:rsidR="00080548" w:rsidRPr="007250A8" w:rsidRDefault="00080548" w:rsidP="00080548">
      <w:pPr>
        <w:tabs>
          <w:tab w:val="left" w:pos="6075"/>
        </w:tabs>
        <w:rPr>
          <w:lang w:val="en-GB"/>
        </w:rPr>
      </w:pPr>
    </w:p>
    <w:p w14:paraId="308C4A3C" w14:textId="77777777" w:rsidR="00080548" w:rsidRPr="007250A8" w:rsidRDefault="00080548" w:rsidP="00080548">
      <w:pPr>
        <w:tabs>
          <w:tab w:val="left" w:pos="6075"/>
        </w:tabs>
        <w:rPr>
          <w:lang w:val="en-GB"/>
        </w:rPr>
      </w:pPr>
    </w:p>
    <w:p w14:paraId="5B7EEF36" w14:textId="77777777" w:rsidR="00651549" w:rsidRPr="007250A8" w:rsidRDefault="00651549">
      <w:pPr>
        <w:spacing w:before="0" w:after="160" w:line="278" w:lineRule="auto"/>
        <w:jc w:val="left"/>
        <w:rPr>
          <w:lang w:val="en-GB"/>
        </w:rPr>
      </w:pPr>
      <w:r w:rsidRPr="007250A8">
        <w:rPr>
          <w:lang w:val="en-GB"/>
        </w:rPr>
        <w:br w:type="page"/>
      </w:r>
    </w:p>
    <w:p w14:paraId="75B5E24D" w14:textId="77777777" w:rsidR="00651549" w:rsidRPr="007250A8" w:rsidRDefault="00651549" w:rsidP="00651549">
      <w:pPr>
        <w:pStyle w:val="Heading1"/>
        <w:rPr>
          <w:lang w:val="en-GB"/>
        </w:rPr>
      </w:pPr>
      <w:bookmarkStart w:id="46" w:name="_Toc237459817"/>
      <w:r w:rsidRPr="007250A8">
        <w:rPr>
          <w:lang w:val="en-GB"/>
        </w:rPr>
        <w:lastRenderedPageBreak/>
        <w:t>Appendices</w:t>
      </w:r>
      <w:bookmarkEnd w:id="46"/>
      <w:r w:rsidRPr="007250A8">
        <w:rPr>
          <w:lang w:val="en-GB"/>
        </w:rPr>
        <w:t xml:space="preserve"> </w:t>
      </w:r>
    </w:p>
    <w:p w14:paraId="4A31EE0F" w14:textId="058A77E9" w:rsidR="000C79E1" w:rsidRPr="007250A8" w:rsidRDefault="00651549" w:rsidP="00651549">
      <w:pPr>
        <w:pStyle w:val="Heading2"/>
        <w:rPr>
          <w:lang w:val="en-GB"/>
        </w:rPr>
      </w:pPr>
      <w:bookmarkStart w:id="47" w:name="_Toc237459818"/>
      <w:r w:rsidRPr="007250A8">
        <w:rPr>
          <w:lang w:val="en-GB"/>
        </w:rPr>
        <w:t>Appendix 1: Ratio Analysis</w:t>
      </w:r>
      <w:bookmarkEnd w:id="47"/>
    </w:p>
    <w:tbl>
      <w:tblPr>
        <w:tblW w:w="5000" w:type="pct"/>
        <w:tblLook w:val="04A0" w:firstRow="1" w:lastRow="0" w:firstColumn="1" w:lastColumn="0" w:noHBand="0" w:noVBand="1"/>
      </w:tblPr>
      <w:tblGrid>
        <w:gridCol w:w="3806"/>
        <w:gridCol w:w="1044"/>
        <w:gridCol w:w="1044"/>
        <w:gridCol w:w="1044"/>
        <w:gridCol w:w="1044"/>
        <w:gridCol w:w="1044"/>
      </w:tblGrid>
      <w:tr w:rsidR="00651549" w:rsidRPr="007250A8" w14:paraId="3B872A15" w14:textId="77777777" w:rsidTr="00651549">
        <w:trPr>
          <w:trHeight w:val="312"/>
        </w:trPr>
        <w:tc>
          <w:tcPr>
            <w:tcW w:w="4000" w:type="pct"/>
            <w:gridSpan w:val="4"/>
            <w:tcBorders>
              <w:top w:val="nil"/>
              <w:left w:val="nil"/>
              <w:bottom w:val="single" w:sz="4" w:space="0" w:color="auto"/>
              <w:right w:val="nil"/>
            </w:tcBorders>
            <w:shd w:val="clear" w:color="000000" w:fill="C9C9C9"/>
            <w:noWrap/>
            <w:vAlign w:val="bottom"/>
            <w:hideMark/>
          </w:tcPr>
          <w:p w14:paraId="221304CE" w14:textId="77777777" w:rsidR="00651549" w:rsidRPr="007250A8" w:rsidRDefault="00651549" w:rsidP="00651549">
            <w:pPr>
              <w:spacing w:before="0" w:after="0" w:line="240" w:lineRule="auto"/>
              <w:jc w:val="center"/>
              <w:rPr>
                <w:rFonts w:eastAsia="Times New Roman" w:cs="Arial"/>
                <w:b/>
                <w:bCs/>
                <w:i/>
                <w:iCs/>
                <w:color w:val="000000"/>
                <w:kern w:val="0"/>
                <w:szCs w:val="24"/>
                <w:lang w:val="en-GB" w:eastAsia="en-IN" w:bidi="ar-SA"/>
                <w14:ligatures w14:val="none"/>
              </w:rPr>
            </w:pPr>
            <w:r w:rsidRPr="007250A8">
              <w:rPr>
                <w:rFonts w:eastAsia="Times New Roman" w:cs="Arial"/>
                <w:b/>
                <w:bCs/>
                <w:i/>
                <w:iCs/>
                <w:color w:val="000000"/>
                <w:kern w:val="0"/>
                <w:szCs w:val="24"/>
                <w:lang w:val="en-GB" w:eastAsia="en-IN" w:bidi="ar-SA"/>
                <w14:ligatures w14:val="none"/>
              </w:rPr>
              <w:t>Ratio Analysis of Marriott</w:t>
            </w:r>
          </w:p>
        </w:tc>
        <w:tc>
          <w:tcPr>
            <w:tcW w:w="500" w:type="pct"/>
            <w:tcBorders>
              <w:top w:val="nil"/>
              <w:left w:val="nil"/>
              <w:bottom w:val="nil"/>
              <w:right w:val="nil"/>
            </w:tcBorders>
            <w:shd w:val="clear" w:color="000000" w:fill="C9C9C9"/>
            <w:noWrap/>
            <w:vAlign w:val="bottom"/>
            <w:hideMark/>
          </w:tcPr>
          <w:p w14:paraId="4EAC1260" w14:textId="77777777" w:rsidR="00651549" w:rsidRPr="007250A8" w:rsidRDefault="00651549" w:rsidP="00651549">
            <w:pPr>
              <w:spacing w:before="0" w:after="0" w:line="240" w:lineRule="auto"/>
              <w:jc w:val="center"/>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w:t>
            </w:r>
          </w:p>
        </w:tc>
        <w:tc>
          <w:tcPr>
            <w:tcW w:w="500" w:type="pct"/>
            <w:tcBorders>
              <w:top w:val="nil"/>
              <w:left w:val="nil"/>
              <w:bottom w:val="nil"/>
              <w:right w:val="nil"/>
            </w:tcBorders>
            <w:shd w:val="clear" w:color="000000" w:fill="C9C9C9"/>
            <w:noWrap/>
            <w:vAlign w:val="bottom"/>
            <w:hideMark/>
          </w:tcPr>
          <w:p w14:paraId="3A49C7EA" w14:textId="77777777" w:rsidR="00651549" w:rsidRPr="007250A8" w:rsidRDefault="00651549" w:rsidP="00651549">
            <w:pPr>
              <w:spacing w:before="0" w:after="0" w:line="240" w:lineRule="auto"/>
              <w:jc w:val="center"/>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w:t>
            </w:r>
          </w:p>
        </w:tc>
      </w:tr>
      <w:tr w:rsidR="00651549" w:rsidRPr="007250A8" w14:paraId="1A888248"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4B664BCF"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Liquidity ratios</w:t>
            </w:r>
          </w:p>
        </w:tc>
        <w:tc>
          <w:tcPr>
            <w:tcW w:w="589" w:type="pct"/>
            <w:tcBorders>
              <w:top w:val="nil"/>
              <w:left w:val="nil"/>
              <w:bottom w:val="single" w:sz="4" w:space="0" w:color="auto"/>
              <w:right w:val="single" w:sz="4" w:space="0" w:color="auto"/>
            </w:tcBorders>
            <w:shd w:val="clear" w:color="000000" w:fill="C9C9C9"/>
            <w:noWrap/>
            <w:vAlign w:val="bottom"/>
            <w:hideMark/>
          </w:tcPr>
          <w:p w14:paraId="2E77186C"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C9C9C9"/>
            <w:noWrap/>
            <w:vAlign w:val="bottom"/>
            <w:hideMark/>
          </w:tcPr>
          <w:p w14:paraId="29F0A101"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C9C9C9"/>
            <w:noWrap/>
            <w:vAlign w:val="bottom"/>
            <w:hideMark/>
          </w:tcPr>
          <w:p w14:paraId="0F5D7EEE"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C9C9C9"/>
            <w:noWrap/>
            <w:vAlign w:val="bottom"/>
            <w:hideMark/>
          </w:tcPr>
          <w:p w14:paraId="10DB2297"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C9C9C9"/>
            <w:noWrap/>
            <w:vAlign w:val="bottom"/>
            <w:hideMark/>
          </w:tcPr>
          <w:p w14:paraId="41CAC230"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2021</w:t>
            </w:r>
          </w:p>
        </w:tc>
      </w:tr>
      <w:tr w:rsidR="00651549" w:rsidRPr="007250A8" w14:paraId="64D52E8E"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01FACBA4" w14:textId="2AD995BD"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Current </w:t>
            </w:r>
            <w:r w:rsidR="00E27C07" w:rsidRPr="007250A8">
              <w:rPr>
                <w:rFonts w:eastAsia="Times New Roman" w:cs="Arial"/>
                <w:color w:val="000000"/>
                <w:kern w:val="0"/>
                <w:szCs w:val="24"/>
                <w:lang w:val="en-GB" w:eastAsia="en-IN" w:bidi="ar-SA"/>
                <w14:ligatures w14:val="none"/>
              </w:rPr>
              <w:t>assets</w:t>
            </w:r>
            <w:r w:rsidRPr="007250A8">
              <w:rPr>
                <w:rFonts w:eastAsia="Times New Roman" w:cs="Arial"/>
                <w:color w:val="000000"/>
                <w:kern w:val="0"/>
                <w:szCs w:val="24"/>
                <w:lang w:val="en-GB" w:eastAsia="en-IN" w:bidi="ar-SA"/>
                <w14:ligatures w14:val="none"/>
              </w:rPr>
              <w:t xml:space="preserve"> </w:t>
            </w:r>
          </w:p>
        </w:tc>
        <w:tc>
          <w:tcPr>
            <w:tcW w:w="589" w:type="pct"/>
            <w:tcBorders>
              <w:top w:val="nil"/>
              <w:left w:val="nil"/>
              <w:bottom w:val="single" w:sz="4" w:space="0" w:color="auto"/>
              <w:right w:val="single" w:sz="4" w:space="0" w:color="auto"/>
            </w:tcBorders>
            <w:shd w:val="clear" w:color="000000" w:fill="C9C9C9"/>
            <w:vAlign w:val="center"/>
            <w:hideMark/>
          </w:tcPr>
          <w:p w14:paraId="0D6310FF"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3,584</w:t>
            </w:r>
          </w:p>
        </w:tc>
        <w:tc>
          <w:tcPr>
            <w:tcW w:w="589" w:type="pct"/>
            <w:tcBorders>
              <w:top w:val="nil"/>
              <w:left w:val="nil"/>
              <w:bottom w:val="single" w:sz="4" w:space="0" w:color="auto"/>
              <w:right w:val="single" w:sz="4" w:space="0" w:color="auto"/>
            </w:tcBorders>
            <w:shd w:val="clear" w:color="000000" w:fill="C9C9C9"/>
            <w:vAlign w:val="center"/>
            <w:hideMark/>
          </w:tcPr>
          <w:p w14:paraId="2C8FC5E1"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3,485</w:t>
            </w:r>
          </w:p>
        </w:tc>
        <w:tc>
          <w:tcPr>
            <w:tcW w:w="589" w:type="pct"/>
            <w:tcBorders>
              <w:top w:val="nil"/>
              <w:left w:val="nil"/>
              <w:bottom w:val="single" w:sz="4" w:space="0" w:color="auto"/>
              <w:right w:val="single" w:sz="4" w:space="0" w:color="auto"/>
            </w:tcBorders>
            <w:shd w:val="clear" w:color="000000" w:fill="C9C9C9"/>
            <w:vAlign w:val="center"/>
            <w:hideMark/>
          </w:tcPr>
          <w:p w14:paraId="22A71EE8"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3,311</w:t>
            </w:r>
          </w:p>
        </w:tc>
        <w:tc>
          <w:tcPr>
            <w:tcW w:w="500" w:type="pct"/>
            <w:tcBorders>
              <w:top w:val="nil"/>
              <w:left w:val="nil"/>
              <w:bottom w:val="single" w:sz="4" w:space="0" w:color="auto"/>
              <w:right w:val="single" w:sz="4" w:space="0" w:color="auto"/>
            </w:tcBorders>
            <w:shd w:val="clear" w:color="000000" w:fill="C9C9C9"/>
            <w:vAlign w:val="center"/>
            <w:hideMark/>
          </w:tcPr>
          <w:p w14:paraId="00597FC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3,313</w:t>
            </w:r>
          </w:p>
        </w:tc>
        <w:tc>
          <w:tcPr>
            <w:tcW w:w="500" w:type="pct"/>
            <w:tcBorders>
              <w:top w:val="nil"/>
              <w:left w:val="nil"/>
              <w:bottom w:val="single" w:sz="4" w:space="0" w:color="auto"/>
              <w:right w:val="single" w:sz="4" w:space="0" w:color="auto"/>
            </w:tcBorders>
            <w:shd w:val="clear" w:color="000000" w:fill="C9C9C9"/>
            <w:vAlign w:val="center"/>
            <w:hideMark/>
          </w:tcPr>
          <w:p w14:paraId="0487B27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3,626</w:t>
            </w:r>
          </w:p>
        </w:tc>
      </w:tr>
      <w:tr w:rsidR="00651549" w:rsidRPr="007250A8" w14:paraId="3437E323"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6167EAD1"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Current liabilities </w:t>
            </w:r>
          </w:p>
        </w:tc>
        <w:tc>
          <w:tcPr>
            <w:tcW w:w="589" w:type="pct"/>
            <w:tcBorders>
              <w:top w:val="nil"/>
              <w:left w:val="nil"/>
              <w:bottom w:val="single" w:sz="4" w:space="0" w:color="auto"/>
              <w:right w:val="single" w:sz="4" w:space="0" w:color="auto"/>
            </w:tcBorders>
            <w:shd w:val="clear" w:color="000000" w:fill="C9C9C9"/>
            <w:vAlign w:val="center"/>
            <w:hideMark/>
          </w:tcPr>
          <w:p w14:paraId="6AA836D4"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8,398</w:t>
            </w:r>
          </w:p>
        </w:tc>
        <w:tc>
          <w:tcPr>
            <w:tcW w:w="589" w:type="pct"/>
            <w:tcBorders>
              <w:top w:val="nil"/>
              <w:left w:val="nil"/>
              <w:bottom w:val="single" w:sz="4" w:space="0" w:color="auto"/>
              <w:right w:val="single" w:sz="4" w:space="0" w:color="auto"/>
            </w:tcBorders>
            <w:shd w:val="clear" w:color="000000" w:fill="C9C9C9"/>
            <w:vAlign w:val="center"/>
            <w:hideMark/>
          </w:tcPr>
          <w:p w14:paraId="524C5A3A"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8,649</w:t>
            </w:r>
          </w:p>
        </w:tc>
        <w:tc>
          <w:tcPr>
            <w:tcW w:w="589" w:type="pct"/>
            <w:tcBorders>
              <w:top w:val="nil"/>
              <w:left w:val="nil"/>
              <w:bottom w:val="single" w:sz="4" w:space="0" w:color="auto"/>
              <w:right w:val="single" w:sz="4" w:space="0" w:color="auto"/>
            </w:tcBorders>
            <w:shd w:val="clear" w:color="000000" w:fill="C9C9C9"/>
            <w:vAlign w:val="center"/>
            <w:hideMark/>
          </w:tcPr>
          <w:p w14:paraId="562E3C89"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7,762</w:t>
            </w:r>
          </w:p>
        </w:tc>
        <w:tc>
          <w:tcPr>
            <w:tcW w:w="500" w:type="pct"/>
            <w:tcBorders>
              <w:top w:val="nil"/>
              <w:left w:val="nil"/>
              <w:bottom w:val="single" w:sz="4" w:space="0" w:color="auto"/>
              <w:right w:val="single" w:sz="4" w:space="0" w:color="auto"/>
            </w:tcBorders>
            <w:shd w:val="clear" w:color="000000" w:fill="C9C9C9"/>
            <w:vAlign w:val="center"/>
            <w:hideMark/>
          </w:tcPr>
          <w:p w14:paraId="46D528F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7,339</w:t>
            </w:r>
          </w:p>
        </w:tc>
        <w:tc>
          <w:tcPr>
            <w:tcW w:w="500" w:type="pct"/>
            <w:tcBorders>
              <w:top w:val="nil"/>
              <w:left w:val="nil"/>
              <w:bottom w:val="single" w:sz="4" w:space="0" w:color="auto"/>
              <w:right w:val="single" w:sz="4" w:space="0" w:color="auto"/>
            </w:tcBorders>
            <w:shd w:val="clear" w:color="000000" w:fill="C9C9C9"/>
            <w:vAlign w:val="center"/>
            <w:hideMark/>
          </w:tcPr>
          <w:p w14:paraId="7A91535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6,407</w:t>
            </w:r>
          </w:p>
        </w:tc>
      </w:tr>
      <w:tr w:rsidR="00651549" w:rsidRPr="007250A8" w14:paraId="09D78B89"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5F119326"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inventories </w:t>
            </w:r>
          </w:p>
        </w:tc>
        <w:tc>
          <w:tcPr>
            <w:tcW w:w="589" w:type="pct"/>
            <w:tcBorders>
              <w:top w:val="nil"/>
              <w:left w:val="nil"/>
              <w:bottom w:val="single" w:sz="4" w:space="0" w:color="auto"/>
              <w:right w:val="single" w:sz="4" w:space="0" w:color="auto"/>
            </w:tcBorders>
            <w:shd w:val="clear" w:color="000000" w:fill="C9C9C9"/>
            <w:vAlign w:val="center"/>
            <w:hideMark/>
          </w:tcPr>
          <w:p w14:paraId="4047060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317</w:t>
            </w:r>
          </w:p>
        </w:tc>
        <w:tc>
          <w:tcPr>
            <w:tcW w:w="589" w:type="pct"/>
            <w:tcBorders>
              <w:top w:val="nil"/>
              <w:left w:val="nil"/>
              <w:bottom w:val="single" w:sz="4" w:space="0" w:color="auto"/>
              <w:right w:val="single" w:sz="4" w:space="0" w:color="auto"/>
            </w:tcBorders>
            <w:shd w:val="clear" w:color="000000" w:fill="C9C9C9"/>
            <w:vAlign w:val="center"/>
            <w:hideMark/>
          </w:tcPr>
          <w:p w14:paraId="7FBFF41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294</w:t>
            </w:r>
          </w:p>
        </w:tc>
        <w:tc>
          <w:tcPr>
            <w:tcW w:w="589" w:type="pct"/>
            <w:tcBorders>
              <w:top w:val="nil"/>
              <w:left w:val="nil"/>
              <w:bottom w:val="single" w:sz="4" w:space="0" w:color="auto"/>
              <w:right w:val="single" w:sz="4" w:space="0" w:color="auto"/>
            </w:tcBorders>
            <w:shd w:val="clear" w:color="000000" w:fill="C9C9C9"/>
            <w:vAlign w:val="center"/>
            <w:hideMark/>
          </w:tcPr>
          <w:p w14:paraId="0205031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233</w:t>
            </w:r>
          </w:p>
        </w:tc>
        <w:tc>
          <w:tcPr>
            <w:tcW w:w="500" w:type="pct"/>
            <w:tcBorders>
              <w:top w:val="nil"/>
              <w:left w:val="nil"/>
              <w:bottom w:val="single" w:sz="4" w:space="0" w:color="auto"/>
              <w:right w:val="single" w:sz="4" w:space="0" w:color="auto"/>
            </w:tcBorders>
            <w:shd w:val="clear" w:color="000000" w:fill="C9C9C9"/>
            <w:vAlign w:val="center"/>
            <w:hideMark/>
          </w:tcPr>
          <w:p w14:paraId="15550558"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235</w:t>
            </w:r>
          </w:p>
        </w:tc>
        <w:tc>
          <w:tcPr>
            <w:tcW w:w="500" w:type="pct"/>
            <w:tcBorders>
              <w:top w:val="nil"/>
              <w:left w:val="nil"/>
              <w:bottom w:val="single" w:sz="4" w:space="0" w:color="auto"/>
              <w:right w:val="single" w:sz="4" w:space="0" w:color="auto"/>
            </w:tcBorders>
            <w:shd w:val="clear" w:color="000000" w:fill="C9C9C9"/>
            <w:vAlign w:val="center"/>
            <w:hideMark/>
          </w:tcPr>
          <w:p w14:paraId="79BAAEF9"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251</w:t>
            </w:r>
          </w:p>
        </w:tc>
      </w:tr>
      <w:tr w:rsidR="00651549" w:rsidRPr="007250A8" w14:paraId="22F3987A"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2D10AAA9"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CA - inventories</w:t>
            </w:r>
          </w:p>
        </w:tc>
        <w:tc>
          <w:tcPr>
            <w:tcW w:w="589" w:type="pct"/>
            <w:tcBorders>
              <w:top w:val="nil"/>
              <w:left w:val="nil"/>
              <w:bottom w:val="single" w:sz="4" w:space="0" w:color="auto"/>
              <w:right w:val="single" w:sz="4" w:space="0" w:color="auto"/>
            </w:tcBorders>
            <w:shd w:val="clear" w:color="000000" w:fill="C9C9C9"/>
            <w:vAlign w:val="center"/>
            <w:hideMark/>
          </w:tcPr>
          <w:p w14:paraId="736FEF7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3,267</w:t>
            </w:r>
          </w:p>
        </w:tc>
        <w:tc>
          <w:tcPr>
            <w:tcW w:w="589" w:type="pct"/>
            <w:tcBorders>
              <w:top w:val="nil"/>
              <w:left w:val="nil"/>
              <w:bottom w:val="single" w:sz="4" w:space="0" w:color="auto"/>
              <w:right w:val="single" w:sz="4" w:space="0" w:color="auto"/>
            </w:tcBorders>
            <w:shd w:val="clear" w:color="000000" w:fill="C9C9C9"/>
            <w:vAlign w:val="center"/>
            <w:hideMark/>
          </w:tcPr>
          <w:p w14:paraId="2842421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3,191</w:t>
            </w:r>
          </w:p>
        </w:tc>
        <w:tc>
          <w:tcPr>
            <w:tcW w:w="589" w:type="pct"/>
            <w:tcBorders>
              <w:top w:val="nil"/>
              <w:left w:val="nil"/>
              <w:bottom w:val="single" w:sz="4" w:space="0" w:color="auto"/>
              <w:right w:val="single" w:sz="4" w:space="0" w:color="auto"/>
            </w:tcBorders>
            <w:shd w:val="clear" w:color="000000" w:fill="C9C9C9"/>
            <w:vAlign w:val="center"/>
            <w:hideMark/>
          </w:tcPr>
          <w:p w14:paraId="10EDECB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3,078</w:t>
            </w:r>
          </w:p>
        </w:tc>
        <w:tc>
          <w:tcPr>
            <w:tcW w:w="500" w:type="pct"/>
            <w:tcBorders>
              <w:top w:val="nil"/>
              <w:left w:val="nil"/>
              <w:bottom w:val="single" w:sz="4" w:space="0" w:color="auto"/>
              <w:right w:val="single" w:sz="4" w:space="0" w:color="auto"/>
            </w:tcBorders>
            <w:shd w:val="clear" w:color="000000" w:fill="C9C9C9"/>
            <w:vAlign w:val="center"/>
            <w:hideMark/>
          </w:tcPr>
          <w:p w14:paraId="129F9841"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3,078</w:t>
            </w:r>
          </w:p>
        </w:tc>
        <w:tc>
          <w:tcPr>
            <w:tcW w:w="500" w:type="pct"/>
            <w:tcBorders>
              <w:top w:val="nil"/>
              <w:left w:val="nil"/>
              <w:bottom w:val="single" w:sz="4" w:space="0" w:color="auto"/>
              <w:right w:val="single" w:sz="4" w:space="0" w:color="auto"/>
            </w:tcBorders>
            <w:shd w:val="clear" w:color="000000" w:fill="C9C9C9"/>
            <w:vAlign w:val="center"/>
            <w:hideMark/>
          </w:tcPr>
          <w:p w14:paraId="0FA0B2AF"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3,375</w:t>
            </w:r>
          </w:p>
        </w:tc>
      </w:tr>
      <w:tr w:rsidR="00651549" w:rsidRPr="007250A8" w14:paraId="11326A04"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762D3CEF" w14:textId="77777777" w:rsidR="00651549" w:rsidRPr="007250A8" w:rsidRDefault="00651549" w:rsidP="00651549">
            <w:pPr>
              <w:spacing w:before="0" w:after="0" w:line="240" w:lineRule="auto"/>
              <w:jc w:val="lef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Liquidity ratio</w:t>
            </w:r>
          </w:p>
        </w:tc>
        <w:tc>
          <w:tcPr>
            <w:tcW w:w="589" w:type="pct"/>
            <w:tcBorders>
              <w:top w:val="nil"/>
              <w:left w:val="nil"/>
              <w:bottom w:val="single" w:sz="4" w:space="0" w:color="auto"/>
              <w:right w:val="single" w:sz="4" w:space="0" w:color="auto"/>
            </w:tcBorders>
            <w:shd w:val="clear" w:color="000000" w:fill="C9C9C9"/>
            <w:vAlign w:val="center"/>
            <w:hideMark/>
          </w:tcPr>
          <w:p w14:paraId="40879B01"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C9C9C9"/>
            <w:noWrap/>
            <w:vAlign w:val="bottom"/>
            <w:hideMark/>
          </w:tcPr>
          <w:p w14:paraId="2D524AB5"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C9C9C9"/>
            <w:noWrap/>
            <w:vAlign w:val="bottom"/>
            <w:hideMark/>
          </w:tcPr>
          <w:p w14:paraId="4908D752"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2023</w:t>
            </w:r>
          </w:p>
        </w:tc>
        <w:tc>
          <w:tcPr>
            <w:tcW w:w="500" w:type="pct"/>
            <w:tcBorders>
              <w:top w:val="nil"/>
              <w:left w:val="nil"/>
              <w:bottom w:val="single" w:sz="4" w:space="0" w:color="auto"/>
              <w:right w:val="single" w:sz="4" w:space="0" w:color="auto"/>
            </w:tcBorders>
            <w:shd w:val="clear" w:color="000000" w:fill="C9C9C9"/>
            <w:noWrap/>
            <w:vAlign w:val="bottom"/>
            <w:hideMark/>
          </w:tcPr>
          <w:p w14:paraId="73394F42"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2022</w:t>
            </w:r>
          </w:p>
        </w:tc>
        <w:tc>
          <w:tcPr>
            <w:tcW w:w="500" w:type="pct"/>
            <w:tcBorders>
              <w:top w:val="nil"/>
              <w:left w:val="nil"/>
              <w:bottom w:val="single" w:sz="4" w:space="0" w:color="auto"/>
              <w:right w:val="single" w:sz="4" w:space="0" w:color="auto"/>
            </w:tcBorders>
            <w:shd w:val="clear" w:color="000000" w:fill="C9C9C9"/>
            <w:noWrap/>
            <w:vAlign w:val="bottom"/>
            <w:hideMark/>
          </w:tcPr>
          <w:p w14:paraId="78A29B72"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r>
      <w:tr w:rsidR="00651549" w:rsidRPr="007250A8" w14:paraId="049C92FD"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5619C9D5"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CA/CL = Current ratio </w:t>
            </w:r>
          </w:p>
        </w:tc>
        <w:tc>
          <w:tcPr>
            <w:tcW w:w="589" w:type="pct"/>
            <w:tcBorders>
              <w:top w:val="nil"/>
              <w:left w:val="nil"/>
              <w:bottom w:val="single" w:sz="4" w:space="0" w:color="auto"/>
              <w:right w:val="single" w:sz="4" w:space="0" w:color="auto"/>
            </w:tcBorders>
            <w:shd w:val="clear" w:color="000000" w:fill="C9C9C9"/>
            <w:noWrap/>
            <w:vAlign w:val="bottom"/>
            <w:hideMark/>
          </w:tcPr>
          <w:p w14:paraId="3660DAEE"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0.43</w:t>
            </w:r>
          </w:p>
        </w:tc>
        <w:tc>
          <w:tcPr>
            <w:tcW w:w="589" w:type="pct"/>
            <w:tcBorders>
              <w:top w:val="nil"/>
              <w:left w:val="nil"/>
              <w:bottom w:val="single" w:sz="4" w:space="0" w:color="auto"/>
              <w:right w:val="single" w:sz="4" w:space="0" w:color="auto"/>
            </w:tcBorders>
            <w:shd w:val="clear" w:color="000000" w:fill="C9C9C9"/>
            <w:noWrap/>
            <w:vAlign w:val="bottom"/>
            <w:hideMark/>
          </w:tcPr>
          <w:p w14:paraId="3CBB9B2D"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0.40</w:t>
            </w:r>
          </w:p>
        </w:tc>
        <w:tc>
          <w:tcPr>
            <w:tcW w:w="589" w:type="pct"/>
            <w:tcBorders>
              <w:top w:val="nil"/>
              <w:left w:val="nil"/>
              <w:bottom w:val="single" w:sz="4" w:space="0" w:color="auto"/>
              <w:right w:val="single" w:sz="4" w:space="0" w:color="auto"/>
            </w:tcBorders>
            <w:shd w:val="clear" w:color="000000" w:fill="C9C9C9"/>
            <w:noWrap/>
            <w:vAlign w:val="bottom"/>
            <w:hideMark/>
          </w:tcPr>
          <w:p w14:paraId="043CE877"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0.43</w:t>
            </w:r>
          </w:p>
        </w:tc>
        <w:tc>
          <w:tcPr>
            <w:tcW w:w="500" w:type="pct"/>
            <w:tcBorders>
              <w:top w:val="nil"/>
              <w:left w:val="nil"/>
              <w:bottom w:val="single" w:sz="4" w:space="0" w:color="auto"/>
              <w:right w:val="single" w:sz="4" w:space="0" w:color="auto"/>
            </w:tcBorders>
            <w:shd w:val="clear" w:color="000000" w:fill="C9C9C9"/>
            <w:noWrap/>
            <w:vAlign w:val="bottom"/>
            <w:hideMark/>
          </w:tcPr>
          <w:p w14:paraId="2FAECBEA"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0.45</w:t>
            </w:r>
          </w:p>
        </w:tc>
        <w:tc>
          <w:tcPr>
            <w:tcW w:w="500" w:type="pct"/>
            <w:tcBorders>
              <w:top w:val="nil"/>
              <w:left w:val="nil"/>
              <w:bottom w:val="single" w:sz="4" w:space="0" w:color="auto"/>
              <w:right w:val="single" w:sz="4" w:space="0" w:color="auto"/>
            </w:tcBorders>
            <w:shd w:val="clear" w:color="000000" w:fill="C9C9C9"/>
            <w:noWrap/>
            <w:vAlign w:val="bottom"/>
            <w:hideMark/>
          </w:tcPr>
          <w:p w14:paraId="5FD189B3"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0.57</w:t>
            </w:r>
          </w:p>
        </w:tc>
      </w:tr>
      <w:tr w:rsidR="00651549" w:rsidRPr="007250A8" w14:paraId="17F996A2"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C9C9C9"/>
            <w:noWrap/>
            <w:vAlign w:val="bottom"/>
            <w:hideMark/>
          </w:tcPr>
          <w:p w14:paraId="05BFAA2A"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CA- inventories / CL = Acid test ratio </w:t>
            </w:r>
          </w:p>
        </w:tc>
        <w:tc>
          <w:tcPr>
            <w:tcW w:w="589" w:type="pct"/>
            <w:tcBorders>
              <w:top w:val="nil"/>
              <w:left w:val="nil"/>
              <w:bottom w:val="single" w:sz="4" w:space="0" w:color="auto"/>
              <w:right w:val="single" w:sz="4" w:space="0" w:color="auto"/>
            </w:tcBorders>
            <w:shd w:val="clear" w:color="000000" w:fill="C9C9C9"/>
            <w:noWrap/>
            <w:vAlign w:val="bottom"/>
            <w:hideMark/>
          </w:tcPr>
          <w:p w14:paraId="24EFADDB"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0.39</w:t>
            </w:r>
          </w:p>
        </w:tc>
        <w:tc>
          <w:tcPr>
            <w:tcW w:w="589" w:type="pct"/>
            <w:tcBorders>
              <w:top w:val="nil"/>
              <w:left w:val="nil"/>
              <w:bottom w:val="single" w:sz="4" w:space="0" w:color="auto"/>
              <w:right w:val="single" w:sz="4" w:space="0" w:color="auto"/>
            </w:tcBorders>
            <w:shd w:val="clear" w:color="000000" w:fill="C9C9C9"/>
            <w:noWrap/>
            <w:vAlign w:val="bottom"/>
            <w:hideMark/>
          </w:tcPr>
          <w:p w14:paraId="19ED5E90"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0.37</w:t>
            </w:r>
          </w:p>
        </w:tc>
        <w:tc>
          <w:tcPr>
            <w:tcW w:w="589" w:type="pct"/>
            <w:tcBorders>
              <w:top w:val="nil"/>
              <w:left w:val="nil"/>
              <w:bottom w:val="single" w:sz="4" w:space="0" w:color="auto"/>
              <w:right w:val="single" w:sz="4" w:space="0" w:color="auto"/>
            </w:tcBorders>
            <w:shd w:val="clear" w:color="000000" w:fill="C9C9C9"/>
            <w:noWrap/>
            <w:vAlign w:val="bottom"/>
            <w:hideMark/>
          </w:tcPr>
          <w:p w14:paraId="42517009"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0.40</w:t>
            </w:r>
          </w:p>
        </w:tc>
        <w:tc>
          <w:tcPr>
            <w:tcW w:w="500" w:type="pct"/>
            <w:tcBorders>
              <w:top w:val="nil"/>
              <w:left w:val="nil"/>
              <w:bottom w:val="single" w:sz="4" w:space="0" w:color="auto"/>
              <w:right w:val="single" w:sz="4" w:space="0" w:color="auto"/>
            </w:tcBorders>
            <w:shd w:val="clear" w:color="000000" w:fill="C9C9C9"/>
            <w:noWrap/>
            <w:vAlign w:val="bottom"/>
            <w:hideMark/>
          </w:tcPr>
          <w:p w14:paraId="4943EC2D"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0.42</w:t>
            </w:r>
          </w:p>
        </w:tc>
        <w:tc>
          <w:tcPr>
            <w:tcW w:w="500" w:type="pct"/>
            <w:tcBorders>
              <w:top w:val="nil"/>
              <w:left w:val="nil"/>
              <w:bottom w:val="single" w:sz="4" w:space="0" w:color="auto"/>
              <w:right w:val="single" w:sz="4" w:space="0" w:color="auto"/>
            </w:tcBorders>
            <w:shd w:val="clear" w:color="000000" w:fill="C9C9C9"/>
            <w:noWrap/>
            <w:vAlign w:val="bottom"/>
            <w:hideMark/>
          </w:tcPr>
          <w:p w14:paraId="4DC84B32"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0.53</w:t>
            </w:r>
          </w:p>
        </w:tc>
      </w:tr>
      <w:tr w:rsidR="00651549" w:rsidRPr="007250A8" w14:paraId="0C868ED2" w14:textId="77777777" w:rsidTr="00651549">
        <w:trPr>
          <w:trHeight w:val="312"/>
        </w:trPr>
        <w:tc>
          <w:tcPr>
            <w:tcW w:w="2233" w:type="pct"/>
            <w:tcBorders>
              <w:top w:val="nil"/>
              <w:left w:val="nil"/>
              <w:bottom w:val="nil"/>
              <w:right w:val="nil"/>
            </w:tcBorders>
            <w:noWrap/>
            <w:vAlign w:val="bottom"/>
            <w:hideMark/>
          </w:tcPr>
          <w:p w14:paraId="5D1473AE"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p>
        </w:tc>
        <w:tc>
          <w:tcPr>
            <w:tcW w:w="589" w:type="pct"/>
            <w:tcBorders>
              <w:top w:val="nil"/>
              <w:left w:val="nil"/>
              <w:bottom w:val="nil"/>
              <w:right w:val="nil"/>
            </w:tcBorders>
            <w:noWrap/>
            <w:vAlign w:val="bottom"/>
            <w:hideMark/>
          </w:tcPr>
          <w:p w14:paraId="74A6C834"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3D5B659B"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7655C8BE"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54030E45"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1447409D"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r>
      <w:tr w:rsidR="00651549" w:rsidRPr="007250A8" w14:paraId="12DEB551" w14:textId="77777777" w:rsidTr="00651549">
        <w:trPr>
          <w:trHeight w:val="312"/>
        </w:trPr>
        <w:tc>
          <w:tcPr>
            <w:tcW w:w="2233" w:type="pct"/>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2121C237"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Profitability Ratios</w:t>
            </w:r>
          </w:p>
        </w:tc>
        <w:tc>
          <w:tcPr>
            <w:tcW w:w="589" w:type="pct"/>
            <w:tcBorders>
              <w:top w:val="single" w:sz="4" w:space="0" w:color="auto"/>
              <w:left w:val="nil"/>
              <w:bottom w:val="single" w:sz="4" w:space="0" w:color="auto"/>
              <w:right w:val="single" w:sz="4" w:space="0" w:color="auto"/>
            </w:tcBorders>
            <w:shd w:val="clear" w:color="000000" w:fill="FFD966"/>
            <w:noWrap/>
            <w:vAlign w:val="bottom"/>
            <w:hideMark/>
          </w:tcPr>
          <w:p w14:paraId="27248D1A"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2025</w:t>
            </w:r>
          </w:p>
        </w:tc>
        <w:tc>
          <w:tcPr>
            <w:tcW w:w="589" w:type="pct"/>
            <w:tcBorders>
              <w:top w:val="single" w:sz="4" w:space="0" w:color="auto"/>
              <w:left w:val="nil"/>
              <w:bottom w:val="single" w:sz="4" w:space="0" w:color="auto"/>
              <w:right w:val="single" w:sz="4" w:space="0" w:color="auto"/>
            </w:tcBorders>
            <w:shd w:val="clear" w:color="000000" w:fill="FFD966"/>
            <w:noWrap/>
            <w:vAlign w:val="bottom"/>
            <w:hideMark/>
          </w:tcPr>
          <w:p w14:paraId="4045DF1C"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2024</w:t>
            </w:r>
          </w:p>
        </w:tc>
        <w:tc>
          <w:tcPr>
            <w:tcW w:w="589" w:type="pct"/>
            <w:tcBorders>
              <w:top w:val="single" w:sz="4" w:space="0" w:color="auto"/>
              <w:left w:val="nil"/>
              <w:bottom w:val="single" w:sz="4" w:space="0" w:color="auto"/>
              <w:right w:val="single" w:sz="4" w:space="0" w:color="auto"/>
            </w:tcBorders>
            <w:shd w:val="clear" w:color="000000" w:fill="FFD966"/>
            <w:noWrap/>
            <w:vAlign w:val="bottom"/>
            <w:hideMark/>
          </w:tcPr>
          <w:p w14:paraId="538D05A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FFD966"/>
            <w:noWrap/>
            <w:vAlign w:val="bottom"/>
            <w:hideMark/>
          </w:tcPr>
          <w:p w14:paraId="641E67ED"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FFD966"/>
            <w:noWrap/>
            <w:vAlign w:val="bottom"/>
            <w:hideMark/>
          </w:tcPr>
          <w:p w14:paraId="7D85D8E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2021</w:t>
            </w:r>
          </w:p>
        </w:tc>
      </w:tr>
      <w:tr w:rsidR="00651549" w:rsidRPr="007250A8" w14:paraId="5E1B508C"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FFD966"/>
            <w:noWrap/>
            <w:vAlign w:val="bottom"/>
            <w:hideMark/>
          </w:tcPr>
          <w:p w14:paraId="04DE9C1A"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revenue </w:t>
            </w:r>
          </w:p>
        </w:tc>
        <w:tc>
          <w:tcPr>
            <w:tcW w:w="589" w:type="pct"/>
            <w:tcBorders>
              <w:top w:val="nil"/>
              <w:left w:val="nil"/>
              <w:bottom w:val="single" w:sz="4" w:space="0" w:color="auto"/>
              <w:right w:val="single" w:sz="4" w:space="0" w:color="auto"/>
            </w:tcBorders>
            <w:shd w:val="clear" w:color="000000" w:fill="FFD966"/>
            <w:vAlign w:val="center"/>
            <w:hideMark/>
          </w:tcPr>
          <w:p w14:paraId="6B174358"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26,186</w:t>
            </w:r>
          </w:p>
        </w:tc>
        <w:tc>
          <w:tcPr>
            <w:tcW w:w="589" w:type="pct"/>
            <w:tcBorders>
              <w:top w:val="nil"/>
              <w:left w:val="nil"/>
              <w:bottom w:val="single" w:sz="4" w:space="0" w:color="auto"/>
              <w:right w:val="single" w:sz="4" w:space="0" w:color="auto"/>
            </w:tcBorders>
            <w:shd w:val="clear" w:color="000000" w:fill="FFD966"/>
            <w:vAlign w:val="center"/>
            <w:hideMark/>
          </w:tcPr>
          <w:p w14:paraId="767F861E"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25,100</w:t>
            </w:r>
          </w:p>
        </w:tc>
        <w:tc>
          <w:tcPr>
            <w:tcW w:w="589" w:type="pct"/>
            <w:tcBorders>
              <w:top w:val="nil"/>
              <w:left w:val="nil"/>
              <w:bottom w:val="single" w:sz="4" w:space="0" w:color="auto"/>
              <w:right w:val="single" w:sz="4" w:space="0" w:color="auto"/>
            </w:tcBorders>
            <w:shd w:val="clear" w:color="000000" w:fill="FFD966"/>
            <w:vAlign w:val="center"/>
            <w:hideMark/>
          </w:tcPr>
          <w:p w14:paraId="1549368B"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23,713</w:t>
            </w:r>
          </w:p>
        </w:tc>
        <w:tc>
          <w:tcPr>
            <w:tcW w:w="500" w:type="pct"/>
            <w:tcBorders>
              <w:top w:val="nil"/>
              <w:left w:val="nil"/>
              <w:bottom w:val="single" w:sz="4" w:space="0" w:color="auto"/>
              <w:right w:val="single" w:sz="4" w:space="0" w:color="auto"/>
            </w:tcBorders>
            <w:shd w:val="clear" w:color="000000" w:fill="FFD966"/>
            <w:vAlign w:val="center"/>
            <w:hideMark/>
          </w:tcPr>
          <w:p w14:paraId="34BE3FE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20,773</w:t>
            </w:r>
          </w:p>
        </w:tc>
        <w:tc>
          <w:tcPr>
            <w:tcW w:w="500" w:type="pct"/>
            <w:tcBorders>
              <w:top w:val="nil"/>
              <w:left w:val="nil"/>
              <w:bottom w:val="single" w:sz="4" w:space="0" w:color="auto"/>
              <w:right w:val="single" w:sz="4" w:space="0" w:color="auto"/>
            </w:tcBorders>
            <w:shd w:val="clear" w:color="000000" w:fill="FFD966"/>
            <w:vAlign w:val="center"/>
            <w:hideMark/>
          </w:tcPr>
          <w:p w14:paraId="01A62663"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13,857</w:t>
            </w:r>
          </w:p>
        </w:tc>
      </w:tr>
      <w:tr w:rsidR="00651549" w:rsidRPr="007250A8" w14:paraId="1F261070"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FFD966"/>
            <w:noWrap/>
            <w:vAlign w:val="bottom"/>
            <w:hideMark/>
          </w:tcPr>
          <w:p w14:paraId="58EDE79F"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net income </w:t>
            </w:r>
          </w:p>
        </w:tc>
        <w:tc>
          <w:tcPr>
            <w:tcW w:w="589" w:type="pct"/>
            <w:tcBorders>
              <w:top w:val="nil"/>
              <w:left w:val="nil"/>
              <w:bottom w:val="single" w:sz="4" w:space="0" w:color="auto"/>
              <w:right w:val="single" w:sz="4" w:space="0" w:color="auto"/>
            </w:tcBorders>
            <w:shd w:val="clear" w:color="000000" w:fill="FFD966"/>
            <w:vAlign w:val="center"/>
            <w:hideMark/>
          </w:tcPr>
          <w:p w14:paraId="39DB9F1F"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2,601</w:t>
            </w:r>
          </w:p>
        </w:tc>
        <w:tc>
          <w:tcPr>
            <w:tcW w:w="589" w:type="pct"/>
            <w:tcBorders>
              <w:top w:val="nil"/>
              <w:left w:val="nil"/>
              <w:bottom w:val="single" w:sz="4" w:space="0" w:color="auto"/>
              <w:right w:val="single" w:sz="4" w:space="0" w:color="auto"/>
            </w:tcBorders>
            <w:shd w:val="clear" w:color="000000" w:fill="FFD966"/>
            <w:vAlign w:val="center"/>
            <w:hideMark/>
          </w:tcPr>
          <w:p w14:paraId="3974325E"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2,375</w:t>
            </w:r>
          </w:p>
        </w:tc>
        <w:tc>
          <w:tcPr>
            <w:tcW w:w="589" w:type="pct"/>
            <w:tcBorders>
              <w:top w:val="nil"/>
              <w:left w:val="nil"/>
              <w:bottom w:val="single" w:sz="4" w:space="0" w:color="auto"/>
              <w:right w:val="single" w:sz="4" w:space="0" w:color="auto"/>
            </w:tcBorders>
            <w:shd w:val="clear" w:color="000000" w:fill="FFD966"/>
            <w:vAlign w:val="center"/>
            <w:hideMark/>
          </w:tcPr>
          <w:p w14:paraId="39BD0C4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3,083</w:t>
            </w:r>
          </w:p>
        </w:tc>
        <w:tc>
          <w:tcPr>
            <w:tcW w:w="500" w:type="pct"/>
            <w:tcBorders>
              <w:top w:val="nil"/>
              <w:left w:val="nil"/>
              <w:bottom w:val="single" w:sz="4" w:space="0" w:color="auto"/>
              <w:right w:val="single" w:sz="4" w:space="0" w:color="auto"/>
            </w:tcBorders>
            <w:shd w:val="clear" w:color="000000" w:fill="FFD966"/>
            <w:vAlign w:val="center"/>
            <w:hideMark/>
          </w:tcPr>
          <w:p w14:paraId="248CC84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2,358</w:t>
            </w:r>
          </w:p>
        </w:tc>
        <w:tc>
          <w:tcPr>
            <w:tcW w:w="500" w:type="pct"/>
            <w:tcBorders>
              <w:top w:val="nil"/>
              <w:left w:val="nil"/>
              <w:bottom w:val="single" w:sz="4" w:space="0" w:color="auto"/>
              <w:right w:val="single" w:sz="4" w:space="0" w:color="auto"/>
            </w:tcBorders>
            <w:shd w:val="clear" w:color="000000" w:fill="FFD966"/>
            <w:vAlign w:val="center"/>
            <w:hideMark/>
          </w:tcPr>
          <w:p w14:paraId="47EB0B8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1,099</w:t>
            </w:r>
          </w:p>
        </w:tc>
      </w:tr>
      <w:tr w:rsidR="00651549" w:rsidRPr="007250A8" w14:paraId="4E617A7B"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FFD966"/>
            <w:noWrap/>
            <w:vAlign w:val="bottom"/>
            <w:hideMark/>
          </w:tcPr>
          <w:p w14:paraId="12515CBA"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Gross income </w:t>
            </w:r>
          </w:p>
        </w:tc>
        <w:tc>
          <w:tcPr>
            <w:tcW w:w="589" w:type="pct"/>
            <w:tcBorders>
              <w:top w:val="nil"/>
              <w:left w:val="nil"/>
              <w:bottom w:val="single" w:sz="4" w:space="0" w:color="auto"/>
              <w:right w:val="single" w:sz="4" w:space="0" w:color="auto"/>
            </w:tcBorders>
            <w:shd w:val="clear" w:color="000000" w:fill="FFD966"/>
            <w:vAlign w:val="center"/>
            <w:hideMark/>
          </w:tcPr>
          <w:p w14:paraId="565EFC59"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5,170</w:t>
            </w:r>
          </w:p>
        </w:tc>
        <w:tc>
          <w:tcPr>
            <w:tcW w:w="589" w:type="pct"/>
            <w:tcBorders>
              <w:top w:val="nil"/>
              <w:left w:val="nil"/>
              <w:bottom w:val="single" w:sz="4" w:space="0" w:color="auto"/>
              <w:right w:val="single" w:sz="4" w:space="0" w:color="auto"/>
            </w:tcBorders>
            <w:shd w:val="clear" w:color="000000" w:fill="FFD966"/>
            <w:vAlign w:val="center"/>
            <w:hideMark/>
          </w:tcPr>
          <w:p w14:paraId="1503C5B1"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4,824</w:t>
            </w:r>
          </w:p>
        </w:tc>
        <w:tc>
          <w:tcPr>
            <w:tcW w:w="589" w:type="pct"/>
            <w:tcBorders>
              <w:top w:val="nil"/>
              <w:left w:val="nil"/>
              <w:bottom w:val="single" w:sz="4" w:space="0" w:color="auto"/>
              <w:right w:val="single" w:sz="4" w:space="0" w:color="auto"/>
            </w:tcBorders>
            <w:shd w:val="clear" w:color="000000" w:fill="FFD966"/>
            <w:vAlign w:val="center"/>
            <w:hideMark/>
          </w:tcPr>
          <w:p w14:paraId="4CC3C53B"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4,824</w:t>
            </w:r>
          </w:p>
        </w:tc>
        <w:tc>
          <w:tcPr>
            <w:tcW w:w="500" w:type="pct"/>
            <w:tcBorders>
              <w:top w:val="nil"/>
              <w:left w:val="nil"/>
              <w:bottom w:val="single" w:sz="4" w:space="0" w:color="auto"/>
              <w:right w:val="single" w:sz="4" w:space="0" w:color="auto"/>
            </w:tcBorders>
            <w:shd w:val="clear" w:color="000000" w:fill="FFD966"/>
            <w:vAlign w:val="center"/>
            <w:hideMark/>
          </w:tcPr>
          <w:p w14:paraId="0D724F8A"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4,078</w:t>
            </w:r>
          </w:p>
        </w:tc>
        <w:tc>
          <w:tcPr>
            <w:tcW w:w="500" w:type="pct"/>
            <w:tcBorders>
              <w:top w:val="nil"/>
              <w:left w:val="nil"/>
              <w:bottom w:val="single" w:sz="4" w:space="0" w:color="auto"/>
              <w:right w:val="single" w:sz="4" w:space="0" w:color="auto"/>
            </w:tcBorders>
            <w:shd w:val="clear" w:color="000000" w:fill="FFD966"/>
            <w:vAlign w:val="center"/>
            <w:hideMark/>
          </w:tcPr>
          <w:p w14:paraId="7562123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2,694</w:t>
            </w:r>
          </w:p>
        </w:tc>
      </w:tr>
      <w:tr w:rsidR="00651549" w:rsidRPr="007250A8" w14:paraId="7AE62150" w14:textId="77777777" w:rsidTr="00651549">
        <w:trPr>
          <w:trHeight w:val="312"/>
        </w:trPr>
        <w:tc>
          <w:tcPr>
            <w:tcW w:w="2233" w:type="pct"/>
            <w:tcBorders>
              <w:top w:val="nil"/>
              <w:left w:val="single" w:sz="4" w:space="0" w:color="auto"/>
              <w:bottom w:val="single" w:sz="4" w:space="0" w:color="auto"/>
              <w:right w:val="nil"/>
            </w:tcBorders>
            <w:shd w:val="clear" w:color="000000" w:fill="FFD966"/>
            <w:noWrap/>
            <w:vAlign w:val="bottom"/>
            <w:hideMark/>
          </w:tcPr>
          <w:p w14:paraId="0CA4AB03" w14:textId="77777777" w:rsidR="00651549" w:rsidRPr="007250A8" w:rsidRDefault="00651549" w:rsidP="00651549">
            <w:pPr>
              <w:spacing w:before="0" w:after="0" w:line="240" w:lineRule="auto"/>
              <w:jc w:val="lef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Profitability Ratios</w:t>
            </w:r>
          </w:p>
        </w:tc>
        <w:tc>
          <w:tcPr>
            <w:tcW w:w="589" w:type="pct"/>
            <w:tcBorders>
              <w:top w:val="nil"/>
              <w:left w:val="single" w:sz="4" w:space="0" w:color="auto"/>
              <w:bottom w:val="single" w:sz="4" w:space="0" w:color="auto"/>
              <w:right w:val="single" w:sz="4" w:space="0" w:color="auto"/>
            </w:tcBorders>
            <w:shd w:val="clear" w:color="000000" w:fill="FFD966"/>
            <w:noWrap/>
            <w:vAlign w:val="bottom"/>
            <w:hideMark/>
          </w:tcPr>
          <w:p w14:paraId="24413BE7"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FFD966"/>
            <w:noWrap/>
            <w:vAlign w:val="bottom"/>
            <w:hideMark/>
          </w:tcPr>
          <w:p w14:paraId="75A3CE07"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FFD966"/>
            <w:noWrap/>
            <w:vAlign w:val="bottom"/>
            <w:hideMark/>
          </w:tcPr>
          <w:p w14:paraId="2823DCD4"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2023</w:t>
            </w:r>
          </w:p>
        </w:tc>
        <w:tc>
          <w:tcPr>
            <w:tcW w:w="500" w:type="pct"/>
            <w:tcBorders>
              <w:top w:val="nil"/>
              <w:left w:val="nil"/>
              <w:bottom w:val="single" w:sz="4" w:space="0" w:color="auto"/>
              <w:right w:val="single" w:sz="4" w:space="0" w:color="auto"/>
            </w:tcBorders>
            <w:shd w:val="clear" w:color="000000" w:fill="FFD966"/>
            <w:noWrap/>
            <w:vAlign w:val="bottom"/>
            <w:hideMark/>
          </w:tcPr>
          <w:p w14:paraId="02DB7548"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2022</w:t>
            </w:r>
          </w:p>
        </w:tc>
        <w:tc>
          <w:tcPr>
            <w:tcW w:w="500" w:type="pct"/>
            <w:tcBorders>
              <w:top w:val="nil"/>
              <w:left w:val="nil"/>
              <w:bottom w:val="single" w:sz="4" w:space="0" w:color="auto"/>
              <w:right w:val="single" w:sz="4" w:space="0" w:color="auto"/>
            </w:tcBorders>
            <w:shd w:val="clear" w:color="000000" w:fill="FFD966"/>
            <w:noWrap/>
            <w:vAlign w:val="bottom"/>
            <w:hideMark/>
          </w:tcPr>
          <w:p w14:paraId="382EEA7A"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r>
      <w:tr w:rsidR="00651549" w:rsidRPr="007250A8" w14:paraId="576ED304" w14:textId="77777777" w:rsidTr="00651549">
        <w:trPr>
          <w:trHeight w:val="312"/>
        </w:trPr>
        <w:tc>
          <w:tcPr>
            <w:tcW w:w="2233" w:type="pct"/>
            <w:tcBorders>
              <w:top w:val="nil"/>
              <w:left w:val="single" w:sz="4" w:space="0" w:color="auto"/>
              <w:bottom w:val="single" w:sz="4" w:space="0" w:color="auto"/>
              <w:right w:val="nil"/>
            </w:tcBorders>
            <w:shd w:val="clear" w:color="000000" w:fill="FFD966"/>
            <w:noWrap/>
            <w:vAlign w:val="bottom"/>
            <w:hideMark/>
          </w:tcPr>
          <w:p w14:paraId="6998E67B"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Net income/ Sales = Net margin ratio </w:t>
            </w:r>
          </w:p>
        </w:tc>
        <w:tc>
          <w:tcPr>
            <w:tcW w:w="589" w:type="pct"/>
            <w:tcBorders>
              <w:top w:val="nil"/>
              <w:left w:val="single" w:sz="4" w:space="0" w:color="auto"/>
              <w:bottom w:val="single" w:sz="4" w:space="0" w:color="auto"/>
              <w:right w:val="single" w:sz="4" w:space="0" w:color="auto"/>
            </w:tcBorders>
            <w:shd w:val="clear" w:color="000000" w:fill="FFD966"/>
            <w:noWrap/>
            <w:vAlign w:val="bottom"/>
            <w:hideMark/>
          </w:tcPr>
          <w:p w14:paraId="29CEF698"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10%</w:t>
            </w:r>
          </w:p>
        </w:tc>
        <w:tc>
          <w:tcPr>
            <w:tcW w:w="589" w:type="pct"/>
            <w:tcBorders>
              <w:top w:val="nil"/>
              <w:left w:val="nil"/>
              <w:bottom w:val="single" w:sz="4" w:space="0" w:color="auto"/>
              <w:right w:val="single" w:sz="4" w:space="0" w:color="auto"/>
            </w:tcBorders>
            <w:shd w:val="clear" w:color="000000" w:fill="FFD966"/>
            <w:noWrap/>
            <w:vAlign w:val="bottom"/>
            <w:hideMark/>
          </w:tcPr>
          <w:p w14:paraId="03D6ED01"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9%</w:t>
            </w:r>
          </w:p>
        </w:tc>
        <w:tc>
          <w:tcPr>
            <w:tcW w:w="589" w:type="pct"/>
            <w:tcBorders>
              <w:top w:val="nil"/>
              <w:left w:val="nil"/>
              <w:bottom w:val="single" w:sz="4" w:space="0" w:color="auto"/>
              <w:right w:val="single" w:sz="4" w:space="0" w:color="auto"/>
            </w:tcBorders>
            <w:shd w:val="clear" w:color="000000" w:fill="FFD966"/>
            <w:noWrap/>
            <w:vAlign w:val="bottom"/>
            <w:hideMark/>
          </w:tcPr>
          <w:p w14:paraId="674EF349"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13%</w:t>
            </w:r>
          </w:p>
        </w:tc>
        <w:tc>
          <w:tcPr>
            <w:tcW w:w="500" w:type="pct"/>
            <w:tcBorders>
              <w:top w:val="nil"/>
              <w:left w:val="nil"/>
              <w:bottom w:val="single" w:sz="4" w:space="0" w:color="auto"/>
              <w:right w:val="single" w:sz="4" w:space="0" w:color="auto"/>
            </w:tcBorders>
            <w:shd w:val="clear" w:color="000000" w:fill="FFD966"/>
            <w:noWrap/>
            <w:vAlign w:val="bottom"/>
            <w:hideMark/>
          </w:tcPr>
          <w:p w14:paraId="5AD83300"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11%</w:t>
            </w:r>
          </w:p>
        </w:tc>
        <w:tc>
          <w:tcPr>
            <w:tcW w:w="500" w:type="pct"/>
            <w:tcBorders>
              <w:top w:val="nil"/>
              <w:left w:val="nil"/>
              <w:bottom w:val="single" w:sz="4" w:space="0" w:color="auto"/>
              <w:right w:val="single" w:sz="4" w:space="0" w:color="auto"/>
            </w:tcBorders>
            <w:shd w:val="clear" w:color="000000" w:fill="FFD966"/>
            <w:noWrap/>
            <w:vAlign w:val="bottom"/>
            <w:hideMark/>
          </w:tcPr>
          <w:p w14:paraId="33296E07"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w:t>
            </w:r>
          </w:p>
        </w:tc>
      </w:tr>
      <w:tr w:rsidR="00651549" w:rsidRPr="007250A8" w14:paraId="7863100E" w14:textId="77777777" w:rsidTr="00651549">
        <w:trPr>
          <w:trHeight w:val="312"/>
        </w:trPr>
        <w:tc>
          <w:tcPr>
            <w:tcW w:w="2233" w:type="pct"/>
            <w:tcBorders>
              <w:top w:val="nil"/>
              <w:left w:val="single" w:sz="4" w:space="0" w:color="auto"/>
              <w:bottom w:val="single" w:sz="4" w:space="0" w:color="auto"/>
              <w:right w:val="nil"/>
            </w:tcBorders>
            <w:shd w:val="clear" w:color="000000" w:fill="FFD966"/>
            <w:noWrap/>
            <w:vAlign w:val="bottom"/>
            <w:hideMark/>
          </w:tcPr>
          <w:p w14:paraId="51A21D70"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Gross income/ sales = Gross margin ratio </w:t>
            </w:r>
          </w:p>
        </w:tc>
        <w:tc>
          <w:tcPr>
            <w:tcW w:w="589" w:type="pct"/>
            <w:tcBorders>
              <w:top w:val="nil"/>
              <w:left w:val="single" w:sz="4" w:space="0" w:color="auto"/>
              <w:bottom w:val="single" w:sz="4" w:space="0" w:color="auto"/>
              <w:right w:val="single" w:sz="4" w:space="0" w:color="auto"/>
            </w:tcBorders>
            <w:shd w:val="clear" w:color="000000" w:fill="FFD966"/>
            <w:noWrap/>
            <w:vAlign w:val="bottom"/>
            <w:hideMark/>
          </w:tcPr>
          <w:p w14:paraId="53503B7C"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w:t>
            </w:r>
          </w:p>
        </w:tc>
        <w:tc>
          <w:tcPr>
            <w:tcW w:w="589" w:type="pct"/>
            <w:tcBorders>
              <w:top w:val="nil"/>
              <w:left w:val="nil"/>
              <w:bottom w:val="single" w:sz="4" w:space="0" w:color="auto"/>
              <w:right w:val="single" w:sz="4" w:space="0" w:color="auto"/>
            </w:tcBorders>
            <w:shd w:val="clear" w:color="000000" w:fill="FFD966"/>
            <w:noWrap/>
            <w:vAlign w:val="bottom"/>
            <w:hideMark/>
          </w:tcPr>
          <w:p w14:paraId="4806F02B"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19%</w:t>
            </w:r>
          </w:p>
        </w:tc>
        <w:tc>
          <w:tcPr>
            <w:tcW w:w="589" w:type="pct"/>
            <w:tcBorders>
              <w:top w:val="nil"/>
              <w:left w:val="nil"/>
              <w:bottom w:val="single" w:sz="4" w:space="0" w:color="auto"/>
              <w:right w:val="single" w:sz="4" w:space="0" w:color="auto"/>
            </w:tcBorders>
            <w:shd w:val="clear" w:color="000000" w:fill="FFD966"/>
            <w:noWrap/>
            <w:vAlign w:val="bottom"/>
            <w:hideMark/>
          </w:tcPr>
          <w:p w14:paraId="4D387F9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w:t>
            </w:r>
          </w:p>
        </w:tc>
        <w:tc>
          <w:tcPr>
            <w:tcW w:w="500" w:type="pct"/>
            <w:tcBorders>
              <w:top w:val="nil"/>
              <w:left w:val="nil"/>
              <w:bottom w:val="single" w:sz="4" w:space="0" w:color="auto"/>
              <w:right w:val="single" w:sz="4" w:space="0" w:color="auto"/>
            </w:tcBorders>
            <w:shd w:val="clear" w:color="000000" w:fill="FFD966"/>
            <w:noWrap/>
            <w:vAlign w:val="bottom"/>
            <w:hideMark/>
          </w:tcPr>
          <w:p w14:paraId="0B83486E"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w:t>
            </w:r>
          </w:p>
        </w:tc>
        <w:tc>
          <w:tcPr>
            <w:tcW w:w="500" w:type="pct"/>
            <w:tcBorders>
              <w:top w:val="nil"/>
              <w:left w:val="nil"/>
              <w:bottom w:val="single" w:sz="4" w:space="0" w:color="auto"/>
              <w:right w:val="single" w:sz="4" w:space="0" w:color="auto"/>
            </w:tcBorders>
            <w:shd w:val="clear" w:color="000000" w:fill="FFD966"/>
            <w:noWrap/>
            <w:vAlign w:val="bottom"/>
            <w:hideMark/>
          </w:tcPr>
          <w:p w14:paraId="467E5A82"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19%</w:t>
            </w:r>
          </w:p>
        </w:tc>
      </w:tr>
      <w:tr w:rsidR="00651549" w:rsidRPr="007250A8" w14:paraId="4AE39563" w14:textId="77777777" w:rsidTr="00651549">
        <w:trPr>
          <w:trHeight w:val="300"/>
        </w:trPr>
        <w:tc>
          <w:tcPr>
            <w:tcW w:w="2233" w:type="pct"/>
            <w:tcBorders>
              <w:top w:val="nil"/>
              <w:left w:val="nil"/>
              <w:bottom w:val="nil"/>
              <w:right w:val="nil"/>
            </w:tcBorders>
            <w:noWrap/>
            <w:vAlign w:val="bottom"/>
            <w:hideMark/>
          </w:tcPr>
          <w:p w14:paraId="0B6BD95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p>
        </w:tc>
        <w:tc>
          <w:tcPr>
            <w:tcW w:w="589" w:type="pct"/>
            <w:tcBorders>
              <w:top w:val="nil"/>
              <w:left w:val="single" w:sz="4" w:space="0" w:color="auto"/>
              <w:bottom w:val="nil"/>
              <w:right w:val="single" w:sz="4" w:space="0" w:color="auto"/>
            </w:tcBorders>
            <w:noWrap/>
            <w:vAlign w:val="bottom"/>
            <w:hideMark/>
          </w:tcPr>
          <w:p w14:paraId="437D4940"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w:t>
            </w:r>
          </w:p>
        </w:tc>
        <w:tc>
          <w:tcPr>
            <w:tcW w:w="589" w:type="pct"/>
            <w:tcBorders>
              <w:top w:val="nil"/>
              <w:left w:val="nil"/>
              <w:bottom w:val="nil"/>
              <w:right w:val="single" w:sz="4" w:space="0" w:color="auto"/>
            </w:tcBorders>
            <w:noWrap/>
            <w:vAlign w:val="bottom"/>
            <w:hideMark/>
          </w:tcPr>
          <w:p w14:paraId="386FFF02"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w:t>
            </w:r>
          </w:p>
        </w:tc>
        <w:tc>
          <w:tcPr>
            <w:tcW w:w="589" w:type="pct"/>
            <w:tcBorders>
              <w:top w:val="nil"/>
              <w:left w:val="nil"/>
              <w:bottom w:val="nil"/>
              <w:right w:val="nil"/>
            </w:tcBorders>
            <w:noWrap/>
            <w:vAlign w:val="bottom"/>
            <w:hideMark/>
          </w:tcPr>
          <w:p w14:paraId="3B96B2A3"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p>
        </w:tc>
        <w:tc>
          <w:tcPr>
            <w:tcW w:w="500" w:type="pct"/>
            <w:tcBorders>
              <w:top w:val="nil"/>
              <w:left w:val="nil"/>
              <w:bottom w:val="nil"/>
              <w:right w:val="nil"/>
            </w:tcBorders>
            <w:noWrap/>
            <w:vAlign w:val="bottom"/>
            <w:hideMark/>
          </w:tcPr>
          <w:p w14:paraId="1F4FF8EC"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5A0D4A2D"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r>
      <w:tr w:rsidR="00651549" w:rsidRPr="007250A8" w14:paraId="6888366D" w14:textId="77777777" w:rsidTr="00651549">
        <w:trPr>
          <w:trHeight w:val="312"/>
        </w:trPr>
        <w:tc>
          <w:tcPr>
            <w:tcW w:w="2233" w:type="pct"/>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17E6C62B"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Leverage Ratio </w:t>
            </w:r>
          </w:p>
        </w:tc>
        <w:tc>
          <w:tcPr>
            <w:tcW w:w="589" w:type="pct"/>
            <w:tcBorders>
              <w:top w:val="single" w:sz="4" w:space="0" w:color="auto"/>
              <w:left w:val="nil"/>
              <w:bottom w:val="single" w:sz="4" w:space="0" w:color="auto"/>
              <w:right w:val="single" w:sz="4" w:space="0" w:color="auto"/>
            </w:tcBorders>
            <w:shd w:val="clear" w:color="000000" w:fill="A9D08E"/>
            <w:noWrap/>
            <w:vAlign w:val="bottom"/>
            <w:hideMark/>
          </w:tcPr>
          <w:p w14:paraId="0B4D12E0"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2025</w:t>
            </w:r>
          </w:p>
        </w:tc>
        <w:tc>
          <w:tcPr>
            <w:tcW w:w="589" w:type="pct"/>
            <w:tcBorders>
              <w:top w:val="single" w:sz="4" w:space="0" w:color="auto"/>
              <w:left w:val="nil"/>
              <w:bottom w:val="single" w:sz="4" w:space="0" w:color="auto"/>
              <w:right w:val="single" w:sz="4" w:space="0" w:color="auto"/>
            </w:tcBorders>
            <w:shd w:val="clear" w:color="000000" w:fill="A9D08E"/>
            <w:noWrap/>
            <w:vAlign w:val="bottom"/>
            <w:hideMark/>
          </w:tcPr>
          <w:p w14:paraId="26D9D82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2024</w:t>
            </w:r>
          </w:p>
        </w:tc>
        <w:tc>
          <w:tcPr>
            <w:tcW w:w="589" w:type="pct"/>
            <w:tcBorders>
              <w:top w:val="single" w:sz="4" w:space="0" w:color="auto"/>
              <w:left w:val="nil"/>
              <w:bottom w:val="single" w:sz="4" w:space="0" w:color="auto"/>
              <w:right w:val="single" w:sz="4" w:space="0" w:color="auto"/>
            </w:tcBorders>
            <w:shd w:val="clear" w:color="000000" w:fill="A9D08E"/>
            <w:noWrap/>
            <w:vAlign w:val="bottom"/>
            <w:hideMark/>
          </w:tcPr>
          <w:p w14:paraId="0E45C2D6"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A9D08E"/>
            <w:noWrap/>
            <w:vAlign w:val="bottom"/>
            <w:hideMark/>
          </w:tcPr>
          <w:p w14:paraId="2550327B"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A9D08E"/>
            <w:noWrap/>
            <w:vAlign w:val="bottom"/>
            <w:hideMark/>
          </w:tcPr>
          <w:p w14:paraId="10AD6F01"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2021</w:t>
            </w:r>
          </w:p>
        </w:tc>
      </w:tr>
      <w:tr w:rsidR="00651549" w:rsidRPr="007250A8" w14:paraId="438F1417"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4C9CF539" w14:textId="7641D3F3"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w:t>
            </w:r>
            <w:r w:rsidR="00E27C07" w:rsidRPr="007250A8">
              <w:rPr>
                <w:rFonts w:eastAsia="Times New Roman" w:cs="Arial"/>
                <w:color w:val="000000"/>
                <w:kern w:val="0"/>
                <w:szCs w:val="24"/>
                <w:lang w:val="en-GB" w:eastAsia="en-IN" w:bidi="ar-SA"/>
                <w14:ligatures w14:val="none"/>
              </w:rPr>
              <w:t>liabilities</w:t>
            </w:r>
            <w:r w:rsidRPr="007250A8">
              <w:rPr>
                <w:rFonts w:eastAsia="Times New Roman" w:cs="Arial"/>
                <w:color w:val="000000"/>
                <w:kern w:val="0"/>
                <w:szCs w:val="24"/>
                <w:lang w:val="en-GB" w:eastAsia="en-IN" w:bidi="ar-SA"/>
                <w14:ligatures w14:val="none"/>
              </w:rPr>
              <w:t xml:space="preserve"> </w:t>
            </w:r>
          </w:p>
        </w:tc>
        <w:tc>
          <w:tcPr>
            <w:tcW w:w="589" w:type="pct"/>
            <w:tcBorders>
              <w:top w:val="nil"/>
              <w:left w:val="nil"/>
              <w:bottom w:val="single" w:sz="4" w:space="0" w:color="auto"/>
              <w:right w:val="single" w:sz="4" w:space="0" w:color="auto"/>
            </w:tcBorders>
            <w:shd w:val="clear" w:color="000000" w:fill="A9D08E"/>
            <w:vAlign w:val="center"/>
            <w:hideMark/>
          </w:tcPr>
          <w:p w14:paraId="3C786EB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31,311</w:t>
            </w:r>
          </w:p>
        </w:tc>
        <w:tc>
          <w:tcPr>
            <w:tcW w:w="589" w:type="pct"/>
            <w:tcBorders>
              <w:top w:val="nil"/>
              <w:left w:val="nil"/>
              <w:bottom w:val="single" w:sz="4" w:space="0" w:color="auto"/>
              <w:right w:val="single" w:sz="4" w:space="0" w:color="auto"/>
            </w:tcBorders>
            <w:shd w:val="clear" w:color="000000" w:fill="A9D08E"/>
            <w:vAlign w:val="center"/>
            <w:hideMark/>
          </w:tcPr>
          <w:p w14:paraId="733B2DC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29,174</w:t>
            </w:r>
          </w:p>
        </w:tc>
        <w:tc>
          <w:tcPr>
            <w:tcW w:w="589" w:type="pct"/>
            <w:tcBorders>
              <w:top w:val="nil"/>
              <w:left w:val="nil"/>
              <w:bottom w:val="single" w:sz="4" w:space="0" w:color="auto"/>
              <w:right w:val="single" w:sz="4" w:space="0" w:color="auto"/>
            </w:tcBorders>
            <w:shd w:val="clear" w:color="000000" w:fill="A9D08E"/>
            <w:vAlign w:val="center"/>
            <w:hideMark/>
          </w:tcPr>
          <w:p w14:paraId="40571A7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26,356</w:t>
            </w:r>
          </w:p>
        </w:tc>
        <w:tc>
          <w:tcPr>
            <w:tcW w:w="500" w:type="pct"/>
            <w:tcBorders>
              <w:top w:val="nil"/>
              <w:left w:val="nil"/>
              <w:bottom w:val="single" w:sz="4" w:space="0" w:color="auto"/>
              <w:right w:val="single" w:sz="4" w:space="0" w:color="auto"/>
            </w:tcBorders>
            <w:shd w:val="clear" w:color="000000" w:fill="A9D08E"/>
            <w:vAlign w:val="center"/>
            <w:hideMark/>
          </w:tcPr>
          <w:p w14:paraId="689ED02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24,247</w:t>
            </w:r>
          </w:p>
        </w:tc>
        <w:tc>
          <w:tcPr>
            <w:tcW w:w="500" w:type="pct"/>
            <w:tcBorders>
              <w:top w:val="nil"/>
              <w:left w:val="nil"/>
              <w:bottom w:val="single" w:sz="4" w:space="0" w:color="auto"/>
              <w:right w:val="single" w:sz="4" w:space="0" w:color="auto"/>
            </w:tcBorders>
            <w:shd w:val="clear" w:color="000000" w:fill="A9D08E"/>
            <w:vAlign w:val="center"/>
            <w:hideMark/>
          </w:tcPr>
          <w:p w14:paraId="2FA40CE2"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24,139</w:t>
            </w:r>
          </w:p>
        </w:tc>
      </w:tr>
      <w:tr w:rsidR="00651549" w:rsidRPr="007250A8" w14:paraId="3A11E92B"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630295F6"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assets </w:t>
            </w:r>
          </w:p>
        </w:tc>
        <w:tc>
          <w:tcPr>
            <w:tcW w:w="589" w:type="pct"/>
            <w:tcBorders>
              <w:top w:val="nil"/>
              <w:left w:val="nil"/>
              <w:bottom w:val="single" w:sz="4" w:space="0" w:color="auto"/>
              <w:right w:val="single" w:sz="4" w:space="0" w:color="auto"/>
            </w:tcBorders>
            <w:shd w:val="clear" w:color="000000" w:fill="A9D08E"/>
            <w:vAlign w:val="center"/>
            <w:hideMark/>
          </w:tcPr>
          <w:p w14:paraId="753FF5E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27,540</w:t>
            </w:r>
          </w:p>
        </w:tc>
        <w:tc>
          <w:tcPr>
            <w:tcW w:w="589" w:type="pct"/>
            <w:tcBorders>
              <w:top w:val="nil"/>
              <w:left w:val="nil"/>
              <w:bottom w:val="single" w:sz="4" w:space="0" w:color="auto"/>
              <w:right w:val="single" w:sz="4" w:space="0" w:color="auto"/>
            </w:tcBorders>
            <w:shd w:val="clear" w:color="000000" w:fill="A9D08E"/>
            <w:vAlign w:val="center"/>
            <w:hideMark/>
          </w:tcPr>
          <w:p w14:paraId="31C887B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26,182</w:t>
            </w:r>
          </w:p>
        </w:tc>
        <w:tc>
          <w:tcPr>
            <w:tcW w:w="589" w:type="pct"/>
            <w:tcBorders>
              <w:top w:val="nil"/>
              <w:left w:val="nil"/>
              <w:bottom w:val="single" w:sz="4" w:space="0" w:color="auto"/>
              <w:right w:val="single" w:sz="4" w:space="0" w:color="auto"/>
            </w:tcBorders>
            <w:shd w:val="clear" w:color="000000" w:fill="A9D08E"/>
            <w:vAlign w:val="center"/>
            <w:hideMark/>
          </w:tcPr>
          <w:p w14:paraId="750B3C5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25,674</w:t>
            </w:r>
          </w:p>
        </w:tc>
        <w:tc>
          <w:tcPr>
            <w:tcW w:w="500" w:type="pct"/>
            <w:tcBorders>
              <w:top w:val="nil"/>
              <w:left w:val="nil"/>
              <w:bottom w:val="single" w:sz="4" w:space="0" w:color="auto"/>
              <w:right w:val="single" w:sz="4" w:space="0" w:color="auto"/>
            </w:tcBorders>
            <w:shd w:val="clear" w:color="000000" w:fill="A9D08E"/>
            <w:vAlign w:val="center"/>
            <w:hideMark/>
          </w:tcPr>
          <w:p w14:paraId="4B16ACA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24,815</w:t>
            </w:r>
          </w:p>
        </w:tc>
        <w:tc>
          <w:tcPr>
            <w:tcW w:w="500" w:type="pct"/>
            <w:tcBorders>
              <w:top w:val="nil"/>
              <w:left w:val="nil"/>
              <w:bottom w:val="single" w:sz="4" w:space="0" w:color="auto"/>
              <w:right w:val="single" w:sz="4" w:space="0" w:color="auto"/>
            </w:tcBorders>
            <w:shd w:val="clear" w:color="000000" w:fill="A9D08E"/>
            <w:vAlign w:val="center"/>
            <w:hideMark/>
          </w:tcPr>
          <w:p w14:paraId="3FEB1F0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25,553</w:t>
            </w:r>
          </w:p>
        </w:tc>
      </w:tr>
      <w:tr w:rsidR="00651549" w:rsidRPr="007250A8" w14:paraId="57053D8C"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5C2AF51B"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equity </w:t>
            </w:r>
          </w:p>
        </w:tc>
        <w:tc>
          <w:tcPr>
            <w:tcW w:w="589" w:type="pct"/>
            <w:tcBorders>
              <w:top w:val="nil"/>
              <w:left w:val="nil"/>
              <w:bottom w:val="single" w:sz="4" w:space="0" w:color="auto"/>
              <w:right w:val="single" w:sz="4" w:space="0" w:color="auto"/>
            </w:tcBorders>
            <w:shd w:val="clear" w:color="000000" w:fill="A9D08E"/>
            <w:vAlign w:val="center"/>
            <w:hideMark/>
          </w:tcPr>
          <w:p w14:paraId="7709E88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27,540</w:t>
            </w:r>
          </w:p>
        </w:tc>
        <w:tc>
          <w:tcPr>
            <w:tcW w:w="589" w:type="pct"/>
            <w:tcBorders>
              <w:top w:val="nil"/>
              <w:left w:val="nil"/>
              <w:bottom w:val="single" w:sz="4" w:space="0" w:color="auto"/>
              <w:right w:val="single" w:sz="4" w:space="0" w:color="auto"/>
            </w:tcBorders>
            <w:shd w:val="clear" w:color="000000" w:fill="A9D08E"/>
            <w:vAlign w:val="center"/>
            <w:hideMark/>
          </w:tcPr>
          <w:p w14:paraId="522A1CBE"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26,182</w:t>
            </w:r>
          </w:p>
        </w:tc>
        <w:tc>
          <w:tcPr>
            <w:tcW w:w="589" w:type="pct"/>
            <w:tcBorders>
              <w:top w:val="nil"/>
              <w:left w:val="nil"/>
              <w:bottom w:val="single" w:sz="4" w:space="0" w:color="auto"/>
              <w:right w:val="single" w:sz="4" w:space="0" w:color="auto"/>
            </w:tcBorders>
            <w:shd w:val="clear" w:color="000000" w:fill="A9D08E"/>
            <w:vAlign w:val="center"/>
            <w:hideMark/>
          </w:tcPr>
          <w:p w14:paraId="349D8A8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25,674</w:t>
            </w:r>
          </w:p>
        </w:tc>
        <w:tc>
          <w:tcPr>
            <w:tcW w:w="500" w:type="pct"/>
            <w:tcBorders>
              <w:top w:val="nil"/>
              <w:left w:val="nil"/>
              <w:bottom w:val="single" w:sz="4" w:space="0" w:color="auto"/>
              <w:right w:val="single" w:sz="4" w:space="0" w:color="auto"/>
            </w:tcBorders>
            <w:shd w:val="clear" w:color="000000" w:fill="A9D08E"/>
            <w:vAlign w:val="center"/>
            <w:hideMark/>
          </w:tcPr>
          <w:p w14:paraId="1AD921C9"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24,815</w:t>
            </w:r>
          </w:p>
        </w:tc>
        <w:tc>
          <w:tcPr>
            <w:tcW w:w="500" w:type="pct"/>
            <w:tcBorders>
              <w:top w:val="nil"/>
              <w:left w:val="nil"/>
              <w:bottom w:val="single" w:sz="4" w:space="0" w:color="auto"/>
              <w:right w:val="single" w:sz="4" w:space="0" w:color="auto"/>
            </w:tcBorders>
            <w:shd w:val="clear" w:color="000000" w:fill="A9D08E"/>
            <w:vAlign w:val="center"/>
            <w:hideMark/>
          </w:tcPr>
          <w:p w14:paraId="16F1D85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25,553</w:t>
            </w:r>
          </w:p>
        </w:tc>
      </w:tr>
      <w:tr w:rsidR="00651549" w:rsidRPr="007250A8" w14:paraId="2F6C062E"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7F1709AF" w14:textId="77777777" w:rsidR="00651549" w:rsidRPr="007250A8" w:rsidRDefault="00651549" w:rsidP="00651549">
            <w:pPr>
              <w:spacing w:before="0" w:after="0" w:line="240" w:lineRule="auto"/>
              <w:jc w:val="lef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 xml:space="preserve">Leverage Ratio </w:t>
            </w:r>
          </w:p>
        </w:tc>
        <w:tc>
          <w:tcPr>
            <w:tcW w:w="589" w:type="pct"/>
            <w:tcBorders>
              <w:top w:val="nil"/>
              <w:left w:val="nil"/>
              <w:bottom w:val="single" w:sz="4" w:space="0" w:color="auto"/>
              <w:right w:val="single" w:sz="4" w:space="0" w:color="auto"/>
            </w:tcBorders>
            <w:shd w:val="clear" w:color="000000" w:fill="A9D08E"/>
            <w:noWrap/>
            <w:vAlign w:val="bottom"/>
            <w:hideMark/>
          </w:tcPr>
          <w:p w14:paraId="31DB7902"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A9D08E"/>
            <w:noWrap/>
            <w:vAlign w:val="bottom"/>
            <w:hideMark/>
          </w:tcPr>
          <w:p w14:paraId="4BBE1413"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A9D08E"/>
            <w:noWrap/>
            <w:vAlign w:val="bottom"/>
            <w:hideMark/>
          </w:tcPr>
          <w:p w14:paraId="5614E847"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2023</w:t>
            </w:r>
          </w:p>
        </w:tc>
        <w:tc>
          <w:tcPr>
            <w:tcW w:w="500" w:type="pct"/>
            <w:tcBorders>
              <w:top w:val="nil"/>
              <w:left w:val="nil"/>
              <w:bottom w:val="single" w:sz="4" w:space="0" w:color="auto"/>
              <w:right w:val="single" w:sz="4" w:space="0" w:color="auto"/>
            </w:tcBorders>
            <w:shd w:val="clear" w:color="000000" w:fill="A9D08E"/>
            <w:noWrap/>
            <w:vAlign w:val="bottom"/>
            <w:hideMark/>
          </w:tcPr>
          <w:p w14:paraId="7B1FE1A7"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2022</w:t>
            </w:r>
          </w:p>
        </w:tc>
        <w:tc>
          <w:tcPr>
            <w:tcW w:w="500" w:type="pct"/>
            <w:tcBorders>
              <w:top w:val="nil"/>
              <w:left w:val="nil"/>
              <w:bottom w:val="single" w:sz="4" w:space="0" w:color="auto"/>
              <w:right w:val="single" w:sz="4" w:space="0" w:color="auto"/>
            </w:tcBorders>
            <w:shd w:val="clear" w:color="000000" w:fill="A9D08E"/>
            <w:noWrap/>
            <w:vAlign w:val="bottom"/>
            <w:hideMark/>
          </w:tcPr>
          <w:p w14:paraId="1120B929"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r>
      <w:tr w:rsidR="00651549" w:rsidRPr="007250A8" w14:paraId="568CBE94"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5E35D399"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Total debt ratio = Debt/ Total assets </w:t>
            </w:r>
          </w:p>
        </w:tc>
        <w:tc>
          <w:tcPr>
            <w:tcW w:w="589" w:type="pct"/>
            <w:tcBorders>
              <w:top w:val="nil"/>
              <w:left w:val="nil"/>
              <w:bottom w:val="single" w:sz="4" w:space="0" w:color="auto"/>
              <w:right w:val="single" w:sz="4" w:space="0" w:color="auto"/>
            </w:tcBorders>
            <w:shd w:val="clear" w:color="000000" w:fill="A9D08E"/>
            <w:noWrap/>
            <w:vAlign w:val="bottom"/>
            <w:hideMark/>
          </w:tcPr>
          <w:p w14:paraId="520379F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1.14</w:t>
            </w:r>
          </w:p>
        </w:tc>
        <w:tc>
          <w:tcPr>
            <w:tcW w:w="589" w:type="pct"/>
            <w:tcBorders>
              <w:top w:val="nil"/>
              <w:left w:val="nil"/>
              <w:bottom w:val="single" w:sz="4" w:space="0" w:color="auto"/>
              <w:right w:val="single" w:sz="4" w:space="0" w:color="auto"/>
            </w:tcBorders>
            <w:shd w:val="clear" w:color="000000" w:fill="A9D08E"/>
            <w:noWrap/>
            <w:vAlign w:val="bottom"/>
            <w:hideMark/>
          </w:tcPr>
          <w:p w14:paraId="6A6AA2F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1.11</w:t>
            </w:r>
          </w:p>
        </w:tc>
        <w:tc>
          <w:tcPr>
            <w:tcW w:w="589" w:type="pct"/>
            <w:tcBorders>
              <w:top w:val="nil"/>
              <w:left w:val="nil"/>
              <w:bottom w:val="single" w:sz="4" w:space="0" w:color="auto"/>
              <w:right w:val="single" w:sz="4" w:space="0" w:color="auto"/>
            </w:tcBorders>
            <w:shd w:val="clear" w:color="000000" w:fill="A9D08E"/>
            <w:noWrap/>
            <w:vAlign w:val="bottom"/>
            <w:hideMark/>
          </w:tcPr>
          <w:p w14:paraId="17FBAED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1.03</w:t>
            </w:r>
          </w:p>
        </w:tc>
        <w:tc>
          <w:tcPr>
            <w:tcW w:w="500" w:type="pct"/>
            <w:tcBorders>
              <w:top w:val="nil"/>
              <w:left w:val="nil"/>
              <w:bottom w:val="single" w:sz="4" w:space="0" w:color="auto"/>
              <w:right w:val="single" w:sz="4" w:space="0" w:color="auto"/>
            </w:tcBorders>
            <w:shd w:val="clear" w:color="000000" w:fill="A9D08E"/>
            <w:noWrap/>
            <w:vAlign w:val="bottom"/>
            <w:hideMark/>
          </w:tcPr>
          <w:p w14:paraId="2D6F02F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0.98</w:t>
            </w:r>
          </w:p>
        </w:tc>
        <w:tc>
          <w:tcPr>
            <w:tcW w:w="500" w:type="pct"/>
            <w:tcBorders>
              <w:top w:val="nil"/>
              <w:left w:val="nil"/>
              <w:bottom w:val="single" w:sz="4" w:space="0" w:color="auto"/>
              <w:right w:val="single" w:sz="4" w:space="0" w:color="auto"/>
            </w:tcBorders>
            <w:shd w:val="clear" w:color="000000" w:fill="A9D08E"/>
            <w:noWrap/>
            <w:vAlign w:val="bottom"/>
            <w:hideMark/>
          </w:tcPr>
          <w:p w14:paraId="16D077B3"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0.94</w:t>
            </w:r>
          </w:p>
        </w:tc>
      </w:tr>
      <w:tr w:rsidR="00651549" w:rsidRPr="007250A8" w14:paraId="6A9412AB"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70782894"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Total debt/ T equity = Debt to equity ratio </w:t>
            </w:r>
          </w:p>
        </w:tc>
        <w:tc>
          <w:tcPr>
            <w:tcW w:w="589" w:type="pct"/>
            <w:tcBorders>
              <w:top w:val="nil"/>
              <w:left w:val="nil"/>
              <w:bottom w:val="single" w:sz="4" w:space="0" w:color="auto"/>
              <w:right w:val="single" w:sz="4" w:space="0" w:color="auto"/>
            </w:tcBorders>
            <w:shd w:val="clear" w:color="000000" w:fill="A9D08E"/>
            <w:noWrap/>
            <w:vAlign w:val="bottom"/>
            <w:hideMark/>
          </w:tcPr>
          <w:p w14:paraId="4CB9966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1.14</w:t>
            </w:r>
          </w:p>
        </w:tc>
        <w:tc>
          <w:tcPr>
            <w:tcW w:w="589" w:type="pct"/>
            <w:tcBorders>
              <w:top w:val="nil"/>
              <w:left w:val="nil"/>
              <w:bottom w:val="single" w:sz="4" w:space="0" w:color="auto"/>
              <w:right w:val="single" w:sz="4" w:space="0" w:color="auto"/>
            </w:tcBorders>
            <w:shd w:val="clear" w:color="000000" w:fill="A9D08E"/>
            <w:noWrap/>
            <w:vAlign w:val="bottom"/>
            <w:hideMark/>
          </w:tcPr>
          <w:p w14:paraId="06CC935E"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1.11</w:t>
            </w:r>
          </w:p>
        </w:tc>
        <w:tc>
          <w:tcPr>
            <w:tcW w:w="589" w:type="pct"/>
            <w:tcBorders>
              <w:top w:val="nil"/>
              <w:left w:val="nil"/>
              <w:bottom w:val="single" w:sz="4" w:space="0" w:color="auto"/>
              <w:right w:val="single" w:sz="4" w:space="0" w:color="auto"/>
            </w:tcBorders>
            <w:shd w:val="clear" w:color="000000" w:fill="A9D08E"/>
            <w:noWrap/>
            <w:vAlign w:val="bottom"/>
            <w:hideMark/>
          </w:tcPr>
          <w:p w14:paraId="713E205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1.03</w:t>
            </w:r>
          </w:p>
        </w:tc>
        <w:tc>
          <w:tcPr>
            <w:tcW w:w="500" w:type="pct"/>
            <w:tcBorders>
              <w:top w:val="nil"/>
              <w:left w:val="nil"/>
              <w:bottom w:val="single" w:sz="4" w:space="0" w:color="auto"/>
              <w:right w:val="single" w:sz="4" w:space="0" w:color="auto"/>
            </w:tcBorders>
            <w:shd w:val="clear" w:color="000000" w:fill="A9D08E"/>
            <w:noWrap/>
            <w:vAlign w:val="bottom"/>
            <w:hideMark/>
          </w:tcPr>
          <w:p w14:paraId="776C77D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0.98</w:t>
            </w:r>
          </w:p>
        </w:tc>
        <w:tc>
          <w:tcPr>
            <w:tcW w:w="500" w:type="pct"/>
            <w:tcBorders>
              <w:top w:val="nil"/>
              <w:left w:val="nil"/>
              <w:bottom w:val="single" w:sz="4" w:space="0" w:color="auto"/>
              <w:right w:val="single" w:sz="4" w:space="0" w:color="auto"/>
            </w:tcBorders>
            <w:shd w:val="clear" w:color="000000" w:fill="A9D08E"/>
            <w:noWrap/>
            <w:vAlign w:val="bottom"/>
            <w:hideMark/>
          </w:tcPr>
          <w:p w14:paraId="173F184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0.94</w:t>
            </w:r>
          </w:p>
        </w:tc>
      </w:tr>
      <w:tr w:rsidR="00651549" w:rsidRPr="007250A8" w14:paraId="3F333CDA"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A9D08E"/>
            <w:noWrap/>
            <w:vAlign w:val="bottom"/>
            <w:hideMark/>
          </w:tcPr>
          <w:p w14:paraId="4D9D1C03"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proofErr w:type="spellStart"/>
            <w:r w:rsidRPr="007250A8">
              <w:rPr>
                <w:rFonts w:eastAsia="Times New Roman" w:cs="Arial"/>
                <w:b/>
                <w:bCs/>
                <w:color w:val="000000"/>
                <w:kern w:val="0"/>
                <w:szCs w:val="24"/>
                <w:lang w:val="en-GB" w:eastAsia="en-IN" w:bidi="ar-SA"/>
                <w14:ligatures w14:val="none"/>
              </w:rPr>
              <w:t>Shaeholder's</w:t>
            </w:r>
            <w:proofErr w:type="spellEnd"/>
            <w:r w:rsidRPr="007250A8">
              <w:rPr>
                <w:rFonts w:eastAsia="Times New Roman" w:cs="Arial"/>
                <w:b/>
                <w:bCs/>
                <w:color w:val="000000"/>
                <w:kern w:val="0"/>
                <w:szCs w:val="24"/>
                <w:lang w:val="en-GB" w:eastAsia="en-IN" w:bidi="ar-SA"/>
                <w14:ligatures w14:val="none"/>
              </w:rPr>
              <w:t xml:space="preserve"> Equity/Total Asset= Equity Ratio</w:t>
            </w:r>
          </w:p>
        </w:tc>
        <w:tc>
          <w:tcPr>
            <w:tcW w:w="589" w:type="pct"/>
            <w:tcBorders>
              <w:top w:val="nil"/>
              <w:left w:val="nil"/>
              <w:bottom w:val="single" w:sz="4" w:space="0" w:color="auto"/>
              <w:right w:val="single" w:sz="4" w:space="0" w:color="auto"/>
            </w:tcBorders>
            <w:shd w:val="clear" w:color="000000" w:fill="A9D08E"/>
            <w:noWrap/>
            <w:vAlign w:val="bottom"/>
            <w:hideMark/>
          </w:tcPr>
          <w:p w14:paraId="1F487C87"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1.00</w:t>
            </w:r>
          </w:p>
        </w:tc>
        <w:tc>
          <w:tcPr>
            <w:tcW w:w="589" w:type="pct"/>
            <w:tcBorders>
              <w:top w:val="nil"/>
              <w:left w:val="nil"/>
              <w:bottom w:val="single" w:sz="4" w:space="0" w:color="auto"/>
              <w:right w:val="single" w:sz="4" w:space="0" w:color="auto"/>
            </w:tcBorders>
            <w:shd w:val="clear" w:color="000000" w:fill="A9D08E"/>
            <w:noWrap/>
            <w:vAlign w:val="bottom"/>
            <w:hideMark/>
          </w:tcPr>
          <w:p w14:paraId="3ADE0DE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1.00</w:t>
            </w:r>
          </w:p>
        </w:tc>
        <w:tc>
          <w:tcPr>
            <w:tcW w:w="589" w:type="pct"/>
            <w:tcBorders>
              <w:top w:val="nil"/>
              <w:left w:val="nil"/>
              <w:bottom w:val="single" w:sz="4" w:space="0" w:color="auto"/>
              <w:right w:val="single" w:sz="4" w:space="0" w:color="auto"/>
            </w:tcBorders>
            <w:shd w:val="clear" w:color="000000" w:fill="A9D08E"/>
            <w:noWrap/>
            <w:vAlign w:val="bottom"/>
            <w:hideMark/>
          </w:tcPr>
          <w:p w14:paraId="73C9107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1.00</w:t>
            </w:r>
          </w:p>
        </w:tc>
        <w:tc>
          <w:tcPr>
            <w:tcW w:w="500" w:type="pct"/>
            <w:tcBorders>
              <w:top w:val="nil"/>
              <w:left w:val="nil"/>
              <w:bottom w:val="single" w:sz="4" w:space="0" w:color="auto"/>
              <w:right w:val="single" w:sz="4" w:space="0" w:color="auto"/>
            </w:tcBorders>
            <w:shd w:val="clear" w:color="000000" w:fill="A9D08E"/>
            <w:noWrap/>
            <w:vAlign w:val="bottom"/>
            <w:hideMark/>
          </w:tcPr>
          <w:p w14:paraId="038A91FC"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1.00</w:t>
            </w:r>
          </w:p>
        </w:tc>
        <w:tc>
          <w:tcPr>
            <w:tcW w:w="500" w:type="pct"/>
            <w:tcBorders>
              <w:top w:val="nil"/>
              <w:left w:val="nil"/>
              <w:bottom w:val="single" w:sz="4" w:space="0" w:color="auto"/>
              <w:right w:val="single" w:sz="4" w:space="0" w:color="auto"/>
            </w:tcBorders>
            <w:shd w:val="clear" w:color="000000" w:fill="A9D08E"/>
            <w:noWrap/>
            <w:vAlign w:val="bottom"/>
            <w:hideMark/>
          </w:tcPr>
          <w:p w14:paraId="760F2CB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1.00</w:t>
            </w:r>
          </w:p>
        </w:tc>
      </w:tr>
      <w:tr w:rsidR="00651549" w:rsidRPr="007250A8" w14:paraId="37996D42" w14:textId="77777777" w:rsidTr="00651549">
        <w:trPr>
          <w:trHeight w:val="300"/>
        </w:trPr>
        <w:tc>
          <w:tcPr>
            <w:tcW w:w="2233" w:type="pct"/>
            <w:tcBorders>
              <w:top w:val="nil"/>
              <w:left w:val="nil"/>
              <w:bottom w:val="nil"/>
              <w:right w:val="nil"/>
            </w:tcBorders>
            <w:noWrap/>
            <w:vAlign w:val="bottom"/>
            <w:hideMark/>
          </w:tcPr>
          <w:p w14:paraId="2BB23F0E"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p>
        </w:tc>
        <w:tc>
          <w:tcPr>
            <w:tcW w:w="589" w:type="pct"/>
            <w:tcBorders>
              <w:top w:val="nil"/>
              <w:left w:val="single" w:sz="4" w:space="0" w:color="auto"/>
              <w:bottom w:val="nil"/>
              <w:right w:val="single" w:sz="4" w:space="0" w:color="auto"/>
            </w:tcBorders>
            <w:noWrap/>
            <w:vAlign w:val="bottom"/>
            <w:hideMark/>
          </w:tcPr>
          <w:p w14:paraId="7029B6FA"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w:t>
            </w:r>
          </w:p>
        </w:tc>
        <w:tc>
          <w:tcPr>
            <w:tcW w:w="589" w:type="pct"/>
            <w:tcBorders>
              <w:top w:val="nil"/>
              <w:left w:val="nil"/>
              <w:bottom w:val="nil"/>
              <w:right w:val="single" w:sz="4" w:space="0" w:color="auto"/>
            </w:tcBorders>
            <w:noWrap/>
            <w:vAlign w:val="bottom"/>
            <w:hideMark/>
          </w:tcPr>
          <w:p w14:paraId="0B5D8C2F"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w:t>
            </w:r>
          </w:p>
        </w:tc>
        <w:tc>
          <w:tcPr>
            <w:tcW w:w="589" w:type="pct"/>
            <w:tcBorders>
              <w:top w:val="nil"/>
              <w:left w:val="nil"/>
              <w:bottom w:val="nil"/>
              <w:right w:val="nil"/>
            </w:tcBorders>
            <w:noWrap/>
            <w:vAlign w:val="bottom"/>
            <w:hideMark/>
          </w:tcPr>
          <w:p w14:paraId="1ED7A830"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p>
        </w:tc>
        <w:tc>
          <w:tcPr>
            <w:tcW w:w="500" w:type="pct"/>
            <w:tcBorders>
              <w:top w:val="nil"/>
              <w:left w:val="nil"/>
              <w:bottom w:val="nil"/>
              <w:right w:val="nil"/>
            </w:tcBorders>
            <w:noWrap/>
            <w:vAlign w:val="bottom"/>
            <w:hideMark/>
          </w:tcPr>
          <w:p w14:paraId="525C0D5B"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307946AF"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r>
      <w:tr w:rsidR="00651549" w:rsidRPr="007250A8" w14:paraId="17FECCCA" w14:textId="77777777" w:rsidTr="00651549">
        <w:trPr>
          <w:trHeight w:val="312"/>
        </w:trPr>
        <w:tc>
          <w:tcPr>
            <w:tcW w:w="2233" w:type="pct"/>
            <w:tcBorders>
              <w:top w:val="single" w:sz="4" w:space="0" w:color="auto"/>
              <w:left w:val="single" w:sz="4" w:space="0" w:color="auto"/>
              <w:bottom w:val="single" w:sz="4" w:space="0" w:color="auto"/>
              <w:right w:val="single" w:sz="4" w:space="0" w:color="auto"/>
            </w:tcBorders>
            <w:shd w:val="clear" w:color="000000" w:fill="8497B0"/>
            <w:noWrap/>
            <w:vAlign w:val="bottom"/>
            <w:hideMark/>
          </w:tcPr>
          <w:p w14:paraId="140153F9"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proofErr w:type="spellStart"/>
            <w:r w:rsidRPr="007250A8">
              <w:rPr>
                <w:rFonts w:eastAsia="Times New Roman" w:cs="Arial"/>
                <w:b/>
                <w:bCs/>
                <w:color w:val="000000"/>
                <w:kern w:val="0"/>
                <w:szCs w:val="24"/>
                <w:lang w:val="en-GB" w:eastAsia="en-IN" w:bidi="ar-SA"/>
                <w14:ligatures w14:val="none"/>
              </w:rPr>
              <w:t>Effeciency</w:t>
            </w:r>
            <w:proofErr w:type="spellEnd"/>
            <w:r w:rsidRPr="007250A8">
              <w:rPr>
                <w:rFonts w:eastAsia="Times New Roman" w:cs="Arial"/>
                <w:b/>
                <w:bCs/>
                <w:color w:val="000000"/>
                <w:kern w:val="0"/>
                <w:szCs w:val="24"/>
                <w:lang w:val="en-GB" w:eastAsia="en-IN" w:bidi="ar-SA"/>
                <w14:ligatures w14:val="none"/>
              </w:rPr>
              <w:t xml:space="preserve"> Ratios </w:t>
            </w:r>
          </w:p>
        </w:tc>
        <w:tc>
          <w:tcPr>
            <w:tcW w:w="589" w:type="pct"/>
            <w:tcBorders>
              <w:top w:val="single" w:sz="4" w:space="0" w:color="auto"/>
              <w:left w:val="nil"/>
              <w:bottom w:val="single" w:sz="4" w:space="0" w:color="auto"/>
              <w:right w:val="single" w:sz="4" w:space="0" w:color="auto"/>
            </w:tcBorders>
            <w:shd w:val="clear" w:color="000000" w:fill="8497B0"/>
            <w:noWrap/>
            <w:vAlign w:val="bottom"/>
            <w:hideMark/>
          </w:tcPr>
          <w:p w14:paraId="11FF2684"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2025</w:t>
            </w:r>
          </w:p>
        </w:tc>
        <w:tc>
          <w:tcPr>
            <w:tcW w:w="589" w:type="pct"/>
            <w:tcBorders>
              <w:top w:val="single" w:sz="4" w:space="0" w:color="auto"/>
              <w:left w:val="nil"/>
              <w:bottom w:val="single" w:sz="4" w:space="0" w:color="auto"/>
              <w:right w:val="single" w:sz="4" w:space="0" w:color="auto"/>
            </w:tcBorders>
            <w:shd w:val="clear" w:color="000000" w:fill="8497B0"/>
            <w:noWrap/>
            <w:vAlign w:val="bottom"/>
            <w:hideMark/>
          </w:tcPr>
          <w:p w14:paraId="04754C21"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2024</w:t>
            </w:r>
          </w:p>
        </w:tc>
        <w:tc>
          <w:tcPr>
            <w:tcW w:w="589" w:type="pct"/>
            <w:tcBorders>
              <w:top w:val="single" w:sz="4" w:space="0" w:color="auto"/>
              <w:left w:val="nil"/>
              <w:bottom w:val="single" w:sz="4" w:space="0" w:color="auto"/>
              <w:right w:val="single" w:sz="4" w:space="0" w:color="auto"/>
            </w:tcBorders>
            <w:shd w:val="clear" w:color="000000" w:fill="8497B0"/>
            <w:noWrap/>
            <w:vAlign w:val="bottom"/>
            <w:hideMark/>
          </w:tcPr>
          <w:p w14:paraId="22F64DFB"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8497B0"/>
            <w:noWrap/>
            <w:vAlign w:val="bottom"/>
            <w:hideMark/>
          </w:tcPr>
          <w:p w14:paraId="5E1A4E4E"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8497B0"/>
            <w:noWrap/>
            <w:vAlign w:val="bottom"/>
            <w:hideMark/>
          </w:tcPr>
          <w:p w14:paraId="323AE20D"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2021</w:t>
            </w:r>
          </w:p>
        </w:tc>
      </w:tr>
      <w:tr w:rsidR="00651549" w:rsidRPr="007250A8" w14:paraId="75F4E969"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25032079"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Inventory</w:t>
            </w:r>
          </w:p>
        </w:tc>
        <w:tc>
          <w:tcPr>
            <w:tcW w:w="589" w:type="pct"/>
            <w:tcBorders>
              <w:top w:val="nil"/>
              <w:left w:val="nil"/>
              <w:bottom w:val="single" w:sz="4" w:space="0" w:color="auto"/>
              <w:right w:val="single" w:sz="4" w:space="0" w:color="auto"/>
            </w:tcBorders>
            <w:shd w:val="clear" w:color="000000" w:fill="8497B0"/>
            <w:vAlign w:val="center"/>
            <w:hideMark/>
          </w:tcPr>
          <w:p w14:paraId="0401998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317</w:t>
            </w:r>
          </w:p>
        </w:tc>
        <w:tc>
          <w:tcPr>
            <w:tcW w:w="589" w:type="pct"/>
            <w:tcBorders>
              <w:top w:val="nil"/>
              <w:left w:val="nil"/>
              <w:bottom w:val="single" w:sz="4" w:space="0" w:color="auto"/>
              <w:right w:val="single" w:sz="4" w:space="0" w:color="auto"/>
            </w:tcBorders>
            <w:shd w:val="clear" w:color="000000" w:fill="8497B0"/>
            <w:vAlign w:val="center"/>
            <w:hideMark/>
          </w:tcPr>
          <w:p w14:paraId="4C6C76A9"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294</w:t>
            </w:r>
          </w:p>
        </w:tc>
        <w:tc>
          <w:tcPr>
            <w:tcW w:w="589" w:type="pct"/>
            <w:tcBorders>
              <w:top w:val="nil"/>
              <w:left w:val="nil"/>
              <w:bottom w:val="single" w:sz="4" w:space="0" w:color="auto"/>
              <w:right w:val="single" w:sz="4" w:space="0" w:color="auto"/>
            </w:tcBorders>
            <w:shd w:val="clear" w:color="000000" w:fill="8497B0"/>
            <w:vAlign w:val="center"/>
            <w:hideMark/>
          </w:tcPr>
          <w:p w14:paraId="78111353"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233</w:t>
            </w:r>
          </w:p>
        </w:tc>
        <w:tc>
          <w:tcPr>
            <w:tcW w:w="500" w:type="pct"/>
            <w:tcBorders>
              <w:top w:val="nil"/>
              <w:left w:val="nil"/>
              <w:bottom w:val="single" w:sz="4" w:space="0" w:color="auto"/>
              <w:right w:val="single" w:sz="4" w:space="0" w:color="auto"/>
            </w:tcBorders>
            <w:shd w:val="clear" w:color="000000" w:fill="8497B0"/>
            <w:vAlign w:val="center"/>
            <w:hideMark/>
          </w:tcPr>
          <w:p w14:paraId="421F4080"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235</w:t>
            </w:r>
          </w:p>
        </w:tc>
        <w:tc>
          <w:tcPr>
            <w:tcW w:w="500" w:type="pct"/>
            <w:tcBorders>
              <w:top w:val="nil"/>
              <w:left w:val="nil"/>
              <w:bottom w:val="single" w:sz="4" w:space="0" w:color="auto"/>
              <w:right w:val="single" w:sz="4" w:space="0" w:color="auto"/>
            </w:tcBorders>
            <w:shd w:val="clear" w:color="000000" w:fill="8497B0"/>
            <w:vAlign w:val="center"/>
            <w:hideMark/>
          </w:tcPr>
          <w:p w14:paraId="43FA5753"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251</w:t>
            </w:r>
          </w:p>
        </w:tc>
      </w:tr>
      <w:tr w:rsidR="00651549" w:rsidRPr="007250A8" w14:paraId="5BB4759C"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4FAB4E50"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revenue </w:t>
            </w:r>
          </w:p>
        </w:tc>
        <w:tc>
          <w:tcPr>
            <w:tcW w:w="589" w:type="pct"/>
            <w:tcBorders>
              <w:top w:val="nil"/>
              <w:left w:val="nil"/>
              <w:bottom w:val="single" w:sz="4" w:space="0" w:color="auto"/>
              <w:right w:val="single" w:sz="4" w:space="0" w:color="auto"/>
            </w:tcBorders>
            <w:shd w:val="clear" w:color="000000" w:fill="8497B0"/>
            <w:noWrap/>
            <w:vAlign w:val="bottom"/>
            <w:hideMark/>
          </w:tcPr>
          <w:p w14:paraId="79E845E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26,186</w:t>
            </w:r>
          </w:p>
        </w:tc>
        <w:tc>
          <w:tcPr>
            <w:tcW w:w="589" w:type="pct"/>
            <w:tcBorders>
              <w:top w:val="nil"/>
              <w:left w:val="nil"/>
              <w:bottom w:val="single" w:sz="4" w:space="0" w:color="auto"/>
              <w:right w:val="single" w:sz="4" w:space="0" w:color="auto"/>
            </w:tcBorders>
            <w:shd w:val="clear" w:color="000000" w:fill="8497B0"/>
            <w:noWrap/>
            <w:vAlign w:val="bottom"/>
            <w:hideMark/>
          </w:tcPr>
          <w:p w14:paraId="5ECF806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25,100</w:t>
            </w:r>
          </w:p>
        </w:tc>
        <w:tc>
          <w:tcPr>
            <w:tcW w:w="589" w:type="pct"/>
            <w:tcBorders>
              <w:top w:val="nil"/>
              <w:left w:val="nil"/>
              <w:bottom w:val="single" w:sz="4" w:space="0" w:color="auto"/>
              <w:right w:val="single" w:sz="4" w:space="0" w:color="auto"/>
            </w:tcBorders>
            <w:shd w:val="clear" w:color="000000" w:fill="8497B0"/>
            <w:noWrap/>
            <w:vAlign w:val="bottom"/>
            <w:hideMark/>
          </w:tcPr>
          <w:p w14:paraId="597D80BA"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23,713</w:t>
            </w:r>
          </w:p>
        </w:tc>
        <w:tc>
          <w:tcPr>
            <w:tcW w:w="500" w:type="pct"/>
            <w:tcBorders>
              <w:top w:val="nil"/>
              <w:left w:val="nil"/>
              <w:bottom w:val="single" w:sz="4" w:space="0" w:color="auto"/>
              <w:right w:val="single" w:sz="4" w:space="0" w:color="auto"/>
            </w:tcBorders>
            <w:shd w:val="clear" w:color="000000" w:fill="8497B0"/>
            <w:noWrap/>
            <w:vAlign w:val="bottom"/>
            <w:hideMark/>
          </w:tcPr>
          <w:p w14:paraId="3EC037D6"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20,773</w:t>
            </w:r>
          </w:p>
        </w:tc>
        <w:tc>
          <w:tcPr>
            <w:tcW w:w="500" w:type="pct"/>
            <w:tcBorders>
              <w:top w:val="nil"/>
              <w:left w:val="nil"/>
              <w:bottom w:val="single" w:sz="4" w:space="0" w:color="auto"/>
              <w:right w:val="single" w:sz="4" w:space="0" w:color="auto"/>
            </w:tcBorders>
            <w:shd w:val="clear" w:color="000000" w:fill="8497B0"/>
            <w:noWrap/>
            <w:vAlign w:val="bottom"/>
            <w:hideMark/>
          </w:tcPr>
          <w:p w14:paraId="6F2AE588"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13,857</w:t>
            </w:r>
          </w:p>
        </w:tc>
      </w:tr>
      <w:tr w:rsidR="00651549" w:rsidRPr="007250A8" w14:paraId="6A4BEEF6" w14:textId="77777777" w:rsidTr="00651549">
        <w:trPr>
          <w:trHeight w:val="300"/>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3510CE65" w14:textId="77777777" w:rsidR="00651549" w:rsidRPr="007250A8" w:rsidRDefault="00651549" w:rsidP="00651549">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Accounts receivables </w:t>
            </w:r>
          </w:p>
        </w:tc>
        <w:tc>
          <w:tcPr>
            <w:tcW w:w="589" w:type="pct"/>
            <w:tcBorders>
              <w:top w:val="nil"/>
              <w:left w:val="nil"/>
              <w:bottom w:val="single" w:sz="4" w:space="0" w:color="auto"/>
              <w:right w:val="single" w:sz="4" w:space="0" w:color="auto"/>
            </w:tcBorders>
            <w:shd w:val="clear" w:color="000000" w:fill="8497B0"/>
            <w:vAlign w:val="center"/>
            <w:hideMark/>
          </w:tcPr>
          <w:p w14:paraId="60CAC1AB"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2,909</w:t>
            </w:r>
          </w:p>
        </w:tc>
        <w:tc>
          <w:tcPr>
            <w:tcW w:w="589" w:type="pct"/>
            <w:tcBorders>
              <w:top w:val="nil"/>
              <w:left w:val="nil"/>
              <w:bottom w:val="single" w:sz="4" w:space="0" w:color="auto"/>
              <w:right w:val="single" w:sz="4" w:space="0" w:color="auto"/>
            </w:tcBorders>
            <w:shd w:val="clear" w:color="000000" w:fill="8497B0"/>
            <w:vAlign w:val="center"/>
            <w:hideMark/>
          </w:tcPr>
          <w:p w14:paraId="5D74BA2D"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2,795</w:t>
            </w:r>
          </w:p>
        </w:tc>
        <w:tc>
          <w:tcPr>
            <w:tcW w:w="589" w:type="pct"/>
            <w:tcBorders>
              <w:top w:val="nil"/>
              <w:left w:val="nil"/>
              <w:bottom w:val="single" w:sz="4" w:space="0" w:color="auto"/>
              <w:right w:val="single" w:sz="4" w:space="0" w:color="auto"/>
            </w:tcBorders>
            <w:shd w:val="clear" w:color="000000" w:fill="8497B0"/>
            <w:vAlign w:val="center"/>
            <w:hideMark/>
          </w:tcPr>
          <w:p w14:paraId="62173041"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2,712</w:t>
            </w:r>
          </w:p>
        </w:tc>
        <w:tc>
          <w:tcPr>
            <w:tcW w:w="500" w:type="pct"/>
            <w:tcBorders>
              <w:top w:val="nil"/>
              <w:left w:val="nil"/>
              <w:bottom w:val="single" w:sz="4" w:space="0" w:color="auto"/>
              <w:right w:val="single" w:sz="4" w:space="0" w:color="auto"/>
            </w:tcBorders>
            <w:shd w:val="clear" w:color="000000" w:fill="8497B0"/>
            <w:vAlign w:val="center"/>
            <w:hideMark/>
          </w:tcPr>
          <w:p w14:paraId="2EA31AA3"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2,571</w:t>
            </w:r>
          </w:p>
        </w:tc>
        <w:tc>
          <w:tcPr>
            <w:tcW w:w="500" w:type="pct"/>
            <w:tcBorders>
              <w:top w:val="nil"/>
              <w:left w:val="nil"/>
              <w:bottom w:val="single" w:sz="4" w:space="0" w:color="auto"/>
              <w:right w:val="single" w:sz="4" w:space="0" w:color="auto"/>
            </w:tcBorders>
            <w:shd w:val="clear" w:color="000000" w:fill="8497B0"/>
            <w:vAlign w:val="center"/>
            <w:hideMark/>
          </w:tcPr>
          <w:p w14:paraId="42419DB5" w14:textId="77777777" w:rsidR="00651549" w:rsidRPr="007250A8" w:rsidRDefault="00651549" w:rsidP="00651549">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1,982</w:t>
            </w:r>
          </w:p>
        </w:tc>
      </w:tr>
      <w:tr w:rsidR="00651549" w:rsidRPr="007250A8" w14:paraId="62DB7997"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7E1B34C5" w14:textId="77777777" w:rsidR="00651549" w:rsidRPr="007250A8" w:rsidRDefault="00651549" w:rsidP="00651549">
            <w:pPr>
              <w:spacing w:before="0" w:after="0" w:line="240" w:lineRule="auto"/>
              <w:jc w:val="left"/>
              <w:rPr>
                <w:rFonts w:eastAsia="Times New Roman" w:cs="Arial"/>
                <w:b/>
                <w:bCs/>
                <w:color w:val="000000"/>
                <w:kern w:val="0"/>
                <w:szCs w:val="24"/>
                <w:u w:val="single"/>
                <w:lang w:val="en-GB" w:eastAsia="en-IN" w:bidi="ar-SA"/>
                <w14:ligatures w14:val="none"/>
              </w:rPr>
            </w:pPr>
            <w:proofErr w:type="spellStart"/>
            <w:r w:rsidRPr="007250A8">
              <w:rPr>
                <w:rFonts w:eastAsia="Times New Roman" w:cs="Arial"/>
                <w:b/>
                <w:bCs/>
                <w:color w:val="000000"/>
                <w:kern w:val="0"/>
                <w:szCs w:val="24"/>
                <w:u w:val="single"/>
                <w:lang w:val="en-GB" w:eastAsia="en-IN" w:bidi="ar-SA"/>
                <w14:ligatures w14:val="none"/>
              </w:rPr>
              <w:t>Effeciency</w:t>
            </w:r>
            <w:proofErr w:type="spellEnd"/>
            <w:r w:rsidRPr="007250A8">
              <w:rPr>
                <w:rFonts w:eastAsia="Times New Roman" w:cs="Arial"/>
                <w:b/>
                <w:bCs/>
                <w:color w:val="000000"/>
                <w:kern w:val="0"/>
                <w:szCs w:val="24"/>
                <w:u w:val="single"/>
                <w:lang w:val="en-GB" w:eastAsia="en-IN" w:bidi="ar-SA"/>
                <w14:ligatures w14:val="none"/>
              </w:rPr>
              <w:t xml:space="preserve"> Ratios </w:t>
            </w:r>
          </w:p>
        </w:tc>
        <w:tc>
          <w:tcPr>
            <w:tcW w:w="589" w:type="pct"/>
            <w:tcBorders>
              <w:top w:val="nil"/>
              <w:left w:val="nil"/>
              <w:bottom w:val="single" w:sz="4" w:space="0" w:color="auto"/>
              <w:right w:val="single" w:sz="4" w:space="0" w:color="auto"/>
            </w:tcBorders>
            <w:shd w:val="clear" w:color="000000" w:fill="8497B0"/>
            <w:noWrap/>
            <w:vAlign w:val="bottom"/>
            <w:hideMark/>
          </w:tcPr>
          <w:p w14:paraId="74C46EDC"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8497B0"/>
            <w:noWrap/>
            <w:vAlign w:val="bottom"/>
            <w:hideMark/>
          </w:tcPr>
          <w:p w14:paraId="2EDDF385"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8497B0"/>
            <w:noWrap/>
            <w:vAlign w:val="bottom"/>
            <w:hideMark/>
          </w:tcPr>
          <w:p w14:paraId="13D40A10"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c>
          <w:tcPr>
            <w:tcW w:w="500" w:type="pct"/>
            <w:tcBorders>
              <w:top w:val="nil"/>
              <w:left w:val="nil"/>
              <w:bottom w:val="single" w:sz="4" w:space="0" w:color="auto"/>
              <w:right w:val="single" w:sz="4" w:space="0" w:color="auto"/>
            </w:tcBorders>
            <w:shd w:val="clear" w:color="000000" w:fill="8497B0"/>
            <w:noWrap/>
            <w:vAlign w:val="bottom"/>
            <w:hideMark/>
          </w:tcPr>
          <w:p w14:paraId="4892CBFF"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c>
          <w:tcPr>
            <w:tcW w:w="500" w:type="pct"/>
            <w:tcBorders>
              <w:top w:val="nil"/>
              <w:left w:val="nil"/>
              <w:bottom w:val="single" w:sz="4" w:space="0" w:color="auto"/>
              <w:right w:val="single" w:sz="4" w:space="0" w:color="auto"/>
            </w:tcBorders>
            <w:shd w:val="clear" w:color="000000" w:fill="8497B0"/>
            <w:noWrap/>
            <w:vAlign w:val="bottom"/>
            <w:hideMark/>
          </w:tcPr>
          <w:p w14:paraId="42A8DAB7" w14:textId="77777777" w:rsidR="00651549" w:rsidRPr="007250A8" w:rsidRDefault="00651549" w:rsidP="00651549">
            <w:pPr>
              <w:spacing w:before="0" w:after="0" w:line="240" w:lineRule="auto"/>
              <w:jc w:val="right"/>
              <w:rPr>
                <w:rFonts w:eastAsia="Times New Roman" w:cs="Arial"/>
                <w:b/>
                <w:bCs/>
                <w:color w:val="000000"/>
                <w:kern w:val="0"/>
                <w:szCs w:val="24"/>
                <w:u w:val="single"/>
                <w:lang w:val="en-GB" w:eastAsia="en-IN" w:bidi="ar-SA"/>
                <w14:ligatures w14:val="none"/>
              </w:rPr>
            </w:pPr>
            <w:r w:rsidRPr="007250A8">
              <w:rPr>
                <w:rFonts w:eastAsia="Times New Roman" w:cs="Arial"/>
                <w:b/>
                <w:bCs/>
                <w:color w:val="000000"/>
                <w:kern w:val="0"/>
                <w:szCs w:val="24"/>
                <w:u w:val="single"/>
                <w:lang w:val="en-GB" w:eastAsia="en-IN" w:bidi="ar-SA"/>
                <w14:ligatures w14:val="none"/>
              </w:rPr>
              <w:t>2021</w:t>
            </w:r>
          </w:p>
        </w:tc>
      </w:tr>
      <w:tr w:rsidR="00651549" w:rsidRPr="007250A8" w14:paraId="771FB5C5"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18D49144"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Revenue/Inventory= Inventory turnover ratio</w:t>
            </w:r>
          </w:p>
        </w:tc>
        <w:tc>
          <w:tcPr>
            <w:tcW w:w="589" w:type="pct"/>
            <w:tcBorders>
              <w:top w:val="nil"/>
              <w:left w:val="nil"/>
              <w:bottom w:val="single" w:sz="4" w:space="0" w:color="auto"/>
              <w:right w:val="single" w:sz="4" w:space="0" w:color="auto"/>
            </w:tcBorders>
            <w:shd w:val="clear" w:color="000000" w:fill="8497B0"/>
            <w:noWrap/>
            <w:vAlign w:val="bottom"/>
            <w:hideMark/>
          </w:tcPr>
          <w:p w14:paraId="2DD59766"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82.61</w:t>
            </w:r>
          </w:p>
        </w:tc>
        <w:tc>
          <w:tcPr>
            <w:tcW w:w="589" w:type="pct"/>
            <w:tcBorders>
              <w:top w:val="nil"/>
              <w:left w:val="nil"/>
              <w:bottom w:val="single" w:sz="4" w:space="0" w:color="auto"/>
              <w:right w:val="single" w:sz="4" w:space="0" w:color="auto"/>
            </w:tcBorders>
            <w:shd w:val="clear" w:color="000000" w:fill="8497B0"/>
            <w:noWrap/>
            <w:vAlign w:val="bottom"/>
            <w:hideMark/>
          </w:tcPr>
          <w:p w14:paraId="761DF8A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85.37</w:t>
            </w:r>
          </w:p>
        </w:tc>
        <w:tc>
          <w:tcPr>
            <w:tcW w:w="589" w:type="pct"/>
            <w:tcBorders>
              <w:top w:val="nil"/>
              <w:left w:val="nil"/>
              <w:bottom w:val="single" w:sz="4" w:space="0" w:color="auto"/>
              <w:right w:val="single" w:sz="4" w:space="0" w:color="auto"/>
            </w:tcBorders>
            <w:shd w:val="clear" w:color="000000" w:fill="8497B0"/>
            <w:noWrap/>
            <w:vAlign w:val="bottom"/>
            <w:hideMark/>
          </w:tcPr>
          <w:p w14:paraId="76D8D4EA"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101.77</w:t>
            </w:r>
          </w:p>
        </w:tc>
        <w:tc>
          <w:tcPr>
            <w:tcW w:w="500" w:type="pct"/>
            <w:tcBorders>
              <w:top w:val="nil"/>
              <w:left w:val="nil"/>
              <w:bottom w:val="single" w:sz="4" w:space="0" w:color="auto"/>
              <w:right w:val="single" w:sz="4" w:space="0" w:color="auto"/>
            </w:tcBorders>
            <w:shd w:val="clear" w:color="000000" w:fill="8497B0"/>
            <w:noWrap/>
            <w:vAlign w:val="bottom"/>
            <w:hideMark/>
          </w:tcPr>
          <w:p w14:paraId="776D0253"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88.40</w:t>
            </w:r>
          </w:p>
        </w:tc>
        <w:tc>
          <w:tcPr>
            <w:tcW w:w="500" w:type="pct"/>
            <w:tcBorders>
              <w:top w:val="nil"/>
              <w:left w:val="nil"/>
              <w:bottom w:val="single" w:sz="4" w:space="0" w:color="auto"/>
              <w:right w:val="single" w:sz="4" w:space="0" w:color="auto"/>
            </w:tcBorders>
            <w:shd w:val="clear" w:color="000000" w:fill="8497B0"/>
            <w:noWrap/>
            <w:vAlign w:val="bottom"/>
            <w:hideMark/>
          </w:tcPr>
          <w:p w14:paraId="2BFF2AF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55.21</w:t>
            </w:r>
          </w:p>
        </w:tc>
      </w:tr>
      <w:tr w:rsidR="00651549" w:rsidRPr="007250A8" w14:paraId="30EDFAAA" w14:textId="77777777" w:rsidTr="00651549">
        <w:trPr>
          <w:trHeight w:val="312"/>
        </w:trPr>
        <w:tc>
          <w:tcPr>
            <w:tcW w:w="2233" w:type="pct"/>
            <w:tcBorders>
              <w:top w:val="nil"/>
              <w:left w:val="single" w:sz="4" w:space="0" w:color="auto"/>
              <w:bottom w:val="single" w:sz="4" w:space="0" w:color="auto"/>
              <w:right w:val="single" w:sz="4" w:space="0" w:color="auto"/>
            </w:tcBorders>
            <w:shd w:val="clear" w:color="000000" w:fill="8497B0"/>
            <w:noWrap/>
            <w:vAlign w:val="bottom"/>
            <w:hideMark/>
          </w:tcPr>
          <w:p w14:paraId="168D2C52" w14:textId="77777777" w:rsidR="00651549" w:rsidRPr="007250A8" w:rsidRDefault="00651549" w:rsidP="00651549">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lastRenderedPageBreak/>
              <w:t>Accounts receivable= sales/ accounts receivable</w:t>
            </w:r>
          </w:p>
        </w:tc>
        <w:tc>
          <w:tcPr>
            <w:tcW w:w="589" w:type="pct"/>
            <w:tcBorders>
              <w:top w:val="nil"/>
              <w:left w:val="nil"/>
              <w:bottom w:val="single" w:sz="4" w:space="0" w:color="auto"/>
              <w:right w:val="single" w:sz="4" w:space="0" w:color="auto"/>
            </w:tcBorders>
            <w:shd w:val="clear" w:color="000000" w:fill="8497B0"/>
            <w:noWrap/>
            <w:vAlign w:val="bottom"/>
            <w:hideMark/>
          </w:tcPr>
          <w:p w14:paraId="40EA130A"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9.00</w:t>
            </w:r>
          </w:p>
        </w:tc>
        <w:tc>
          <w:tcPr>
            <w:tcW w:w="589" w:type="pct"/>
            <w:tcBorders>
              <w:top w:val="nil"/>
              <w:left w:val="nil"/>
              <w:bottom w:val="single" w:sz="4" w:space="0" w:color="auto"/>
              <w:right w:val="single" w:sz="4" w:space="0" w:color="auto"/>
            </w:tcBorders>
            <w:shd w:val="clear" w:color="000000" w:fill="8497B0"/>
            <w:noWrap/>
            <w:vAlign w:val="bottom"/>
            <w:hideMark/>
          </w:tcPr>
          <w:p w14:paraId="6EE94AE2"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8.98</w:t>
            </w:r>
          </w:p>
        </w:tc>
        <w:tc>
          <w:tcPr>
            <w:tcW w:w="589" w:type="pct"/>
            <w:tcBorders>
              <w:top w:val="nil"/>
              <w:left w:val="nil"/>
              <w:bottom w:val="single" w:sz="4" w:space="0" w:color="auto"/>
              <w:right w:val="single" w:sz="4" w:space="0" w:color="auto"/>
            </w:tcBorders>
            <w:shd w:val="clear" w:color="000000" w:fill="8497B0"/>
            <w:noWrap/>
            <w:vAlign w:val="bottom"/>
            <w:hideMark/>
          </w:tcPr>
          <w:p w14:paraId="06EAC1A8"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8.74</w:t>
            </w:r>
          </w:p>
        </w:tc>
        <w:tc>
          <w:tcPr>
            <w:tcW w:w="500" w:type="pct"/>
            <w:tcBorders>
              <w:top w:val="nil"/>
              <w:left w:val="nil"/>
              <w:bottom w:val="single" w:sz="4" w:space="0" w:color="auto"/>
              <w:right w:val="single" w:sz="4" w:space="0" w:color="auto"/>
            </w:tcBorders>
            <w:shd w:val="clear" w:color="000000" w:fill="8497B0"/>
            <w:noWrap/>
            <w:vAlign w:val="bottom"/>
            <w:hideMark/>
          </w:tcPr>
          <w:p w14:paraId="7713FFC0"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8.08</w:t>
            </w:r>
          </w:p>
        </w:tc>
        <w:tc>
          <w:tcPr>
            <w:tcW w:w="500" w:type="pct"/>
            <w:tcBorders>
              <w:top w:val="nil"/>
              <w:left w:val="nil"/>
              <w:bottom w:val="single" w:sz="4" w:space="0" w:color="auto"/>
              <w:right w:val="single" w:sz="4" w:space="0" w:color="auto"/>
            </w:tcBorders>
            <w:shd w:val="clear" w:color="000000" w:fill="8497B0"/>
            <w:noWrap/>
            <w:vAlign w:val="bottom"/>
            <w:hideMark/>
          </w:tcPr>
          <w:p w14:paraId="55477205"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6.99</w:t>
            </w:r>
          </w:p>
        </w:tc>
      </w:tr>
      <w:tr w:rsidR="00651549" w:rsidRPr="007250A8" w14:paraId="5D3E436A" w14:textId="77777777" w:rsidTr="00651549">
        <w:trPr>
          <w:trHeight w:val="300"/>
        </w:trPr>
        <w:tc>
          <w:tcPr>
            <w:tcW w:w="2233" w:type="pct"/>
            <w:tcBorders>
              <w:top w:val="nil"/>
              <w:left w:val="nil"/>
              <w:bottom w:val="nil"/>
              <w:right w:val="nil"/>
            </w:tcBorders>
            <w:noWrap/>
            <w:vAlign w:val="bottom"/>
            <w:hideMark/>
          </w:tcPr>
          <w:p w14:paraId="34B62539" w14:textId="77777777" w:rsidR="00651549" w:rsidRPr="007250A8" w:rsidRDefault="00651549" w:rsidP="00651549">
            <w:pPr>
              <w:spacing w:before="0" w:after="0" w:line="240" w:lineRule="auto"/>
              <w:jc w:val="right"/>
              <w:rPr>
                <w:rFonts w:eastAsia="Times New Roman" w:cs="Arial"/>
                <w:b/>
                <w:bCs/>
                <w:color w:val="000000"/>
                <w:kern w:val="0"/>
                <w:szCs w:val="24"/>
                <w:lang w:val="en-GB" w:eastAsia="en-IN" w:bidi="ar-SA"/>
                <w14:ligatures w14:val="none"/>
              </w:rPr>
            </w:pPr>
          </w:p>
        </w:tc>
        <w:tc>
          <w:tcPr>
            <w:tcW w:w="589" w:type="pct"/>
            <w:tcBorders>
              <w:top w:val="nil"/>
              <w:left w:val="nil"/>
              <w:bottom w:val="nil"/>
              <w:right w:val="nil"/>
            </w:tcBorders>
            <w:noWrap/>
            <w:vAlign w:val="bottom"/>
            <w:hideMark/>
          </w:tcPr>
          <w:p w14:paraId="4ABED0E6"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1560F58D"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43B8EE93"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28A55AC4"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6A97D11D"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r>
      <w:tr w:rsidR="00651549" w:rsidRPr="007250A8" w14:paraId="442B484B" w14:textId="77777777" w:rsidTr="00651549">
        <w:trPr>
          <w:trHeight w:val="276"/>
        </w:trPr>
        <w:tc>
          <w:tcPr>
            <w:tcW w:w="2233" w:type="pct"/>
            <w:tcBorders>
              <w:top w:val="single" w:sz="4" w:space="0" w:color="auto"/>
              <w:left w:val="single" w:sz="4" w:space="0" w:color="auto"/>
              <w:bottom w:val="single" w:sz="4" w:space="0" w:color="auto"/>
              <w:right w:val="single" w:sz="4" w:space="0" w:color="auto"/>
            </w:tcBorders>
            <w:shd w:val="clear" w:color="000000" w:fill="A993E1"/>
            <w:noWrap/>
            <w:vAlign w:val="bottom"/>
            <w:hideMark/>
          </w:tcPr>
          <w:p w14:paraId="38AD1958" w14:textId="3C3FFDFE" w:rsidR="00651549" w:rsidRPr="007250A8" w:rsidRDefault="00E27C07" w:rsidP="00651549">
            <w:pPr>
              <w:spacing w:before="0" w:after="0" w:line="240" w:lineRule="auto"/>
              <w:jc w:val="lef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Investment</w:t>
            </w:r>
            <w:r w:rsidR="00651549" w:rsidRPr="007250A8">
              <w:rPr>
                <w:rFonts w:eastAsia="Times New Roman" w:cs="Arial"/>
                <w:b/>
                <w:bCs/>
                <w:color w:val="000000"/>
                <w:kern w:val="0"/>
                <w:sz w:val="22"/>
                <w:szCs w:val="22"/>
                <w:lang w:val="en-GB" w:eastAsia="en-IN" w:bidi="ar-SA"/>
                <w14:ligatures w14:val="none"/>
              </w:rPr>
              <w:t xml:space="preserve"> Ratios</w:t>
            </w:r>
          </w:p>
        </w:tc>
        <w:tc>
          <w:tcPr>
            <w:tcW w:w="589" w:type="pct"/>
            <w:tcBorders>
              <w:top w:val="single" w:sz="4" w:space="0" w:color="auto"/>
              <w:left w:val="nil"/>
              <w:bottom w:val="single" w:sz="4" w:space="0" w:color="auto"/>
              <w:right w:val="single" w:sz="4" w:space="0" w:color="auto"/>
            </w:tcBorders>
            <w:shd w:val="clear" w:color="000000" w:fill="A993E1"/>
            <w:noWrap/>
            <w:vAlign w:val="bottom"/>
            <w:hideMark/>
          </w:tcPr>
          <w:p w14:paraId="63B204A8"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2025</w:t>
            </w:r>
          </w:p>
        </w:tc>
        <w:tc>
          <w:tcPr>
            <w:tcW w:w="589" w:type="pct"/>
            <w:tcBorders>
              <w:top w:val="single" w:sz="4" w:space="0" w:color="auto"/>
              <w:left w:val="nil"/>
              <w:bottom w:val="single" w:sz="4" w:space="0" w:color="auto"/>
              <w:right w:val="single" w:sz="4" w:space="0" w:color="auto"/>
            </w:tcBorders>
            <w:shd w:val="clear" w:color="000000" w:fill="A993E1"/>
            <w:noWrap/>
            <w:vAlign w:val="bottom"/>
            <w:hideMark/>
          </w:tcPr>
          <w:p w14:paraId="3F698A02"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2024</w:t>
            </w:r>
          </w:p>
        </w:tc>
        <w:tc>
          <w:tcPr>
            <w:tcW w:w="589" w:type="pct"/>
            <w:tcBorders>
              <w:top w:val="single" w:sz="4" w:space="0" w:color="auto"/>
              <w:left w:val="nil"/>
              <w:bottom w:val="single" w:sz="4" w:space="0" w:color="auto"/>
              <w:right w:val="single" w:sz="4" w:space="0" w:color="auto"/>
            </w:tcBorders>
            <w:shd w:val="clear" w:color="000000" w:fill="A993E1"/>
            <w:noWrap/>
            <w:vAlign w:val="bottom"/>
            <w:hideMark/>
          </w:tcPr>
          <w:p w14:paraId="4EE0348F"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A993E1"/>
            <w:noWrap/>
            <w:vAlign w:val="bottom"/>
            <w:hideMark/>
          </w:tcPr>
          <w:p w14:paraId="0A4D36E2"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A993E1"/>
            <w:noWrap/>
            <w:vAlign w:val="bottom"/>
            <w:hideMark/>
          </w:tcPr>
          <w:p w14:paraId="4F3F22EA"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2021</w:t>
            </w:r>
          </w:p>
        </w:tc>
      </w:tr>
      <w:tr w:rsidR="00651549" w:rsidRPr="007250A8" w14:paraId="6453468F"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4B81448E"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 xml:space="preserve">Net Income </w:t>
            </w:r>
          </w:p>
        </w:tc>
        <w:tc>
          <w:tcPr>
            <w:tcW w:w="589" w:type="pct"/>
            <w:tcBorders>
              <w:top w:val="nil"/>
              <w:left w:val="nil"/>
              <w:bottom w:val="single" w:sz="4" w:space="0" w:color="auto"/>
              <w:right w:val="single" w:sz="4" w:space="0" w:color="auto"/>
            </w:tcBorders>
            <w:shd w:val="clear" w:color="000000" w:fill="A993E1"/>
            <w:noWrap/>
            <w:vAlign w:val="bottom"/>
            <w:hideMark/>
          </w:tcPr>
          <w:p w14:paraId="392FD739"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2,601</w:t>
            </w:r>
          </w:p>
        </w:tc>
        <w:tc>
          <w:tcPr>
            <w:tcW w:w="589" w:type="pct"/>
            <w:tcBorders>
              <w:top w:val="nil"/>
              <w:left w:val="nil"/>
              <w:bottom w:val="single" w:sz="4" w:space="0" w:color="auto"/>
              <w:right w:val="single" w:sz="4" w:space="0" w:color="auto"/>
            </w:tcBorders>
            <w:shd w:val="clear" w:color="000000" w:fill="A993E1"/>
            <w:noWrap/>
            <w:vAlign w:val="bottom"/>
            <w:hideMark/>
          </w:tcPr>
          <w:p w14:paraId="7B60852A"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2,375</w:t>
            </w:r>
          </w:p>
        </w:tc>
        <w:tc>
          <w:tcPr>
            <w:tcW w:w="589" w:type="pct"/>
            <w:tcBorders>
              <w:top w:val="nil"/>
              <w:left w:val="nil"/>
              <w:bottom w:val="single" w:sz="4" w:space="0" w:color="auto"/>
              <w:right w:val="single" w:sz="4" w:space="0" w:color="auto"/>
            </w:tcBorders>
            <w:shd w:val="clear" w:color="000000" w:fill="A993E1"/>
            <w:noWrap/>
            <w:vAlign w:val="bottom"/>
            <w:hideMark/>
          </w:tcPr>
          <w:p w14:paraId="40E185D5"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3,083</w:t>
            </w:r>
          </w:p>
        </w:tc>
        <w:tc>
          <w:tcPr>
            <w:tcW w:w="500" w:type="pct"/>
            <w:tcBorders>
              <w:top w:val="nil"/>
              <w:left w:val="nil"/>
              <w:bottom w:val="single" w:sz="4" w:space="0" w:color="auto"/>
              <w:right w:val="single" w:sz="4" w:space="0" w:color="auto"/>
            </w:tcBorders>
            <w:shd w:val="clear" w:color="000000" w:fill="A993E1"/>
            <w:noWrap/>
            <w:vAlign w:val="bottom"/>
            <w:hideMark/>
          </w:tcPr>
          <w:p w14:paraId="26D813AC"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2,358</w:t>
            </w:r>
          </w:p>
        </w:tc>
        <w:tc>
          <w:tcPr>
            <w:tcW w:w="500" w:type="pct"/>
            <w:tcBorders>
              <w:top w:val="nil"/>
              <w:left w:val="nil"/>
              <w:bottom w:val="single" w:sz="4" w:space="0" w:color="auto"/>
              <w:right w:val="single" w:sz="4" w:space="0" w:color="auto"/>
            </w:tcBorders>
            <w:shd w:val="clear" w:color="000000" w:fill="A993E1"/>
            <w:noWrap/>
            <w:vAlign w:val="bottom"/>
            <w:hideMark/>
          </w:tcPr>
          <w:p w14:paraId="4A77786A"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1,099</w:t>
            </w:r>
          </w:p>
        </w:tc>
      </w:tr>
      <w:tr w:rsidR="00651549" w:rsidRPr="007250A8" w14:paraId="460945DB"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69C6C3CC"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 xml:space="preserve">Share Outstanding </w:t>
            </w:r>
          </w:p>
        </w:tc>
        <w:tc>
          <w:tcPr>
            <w:tcW w:w="589" w:type="pct"/>
            <w:tcBorders>
              <w:top w:val="nil"/>
              <w:left w:val="nil"/>
              <w:bottom w:val="single" w:sz="4" w:space="0" w:color="auto"/>
              <w:right w:val="single" w:sz="4" w:space="0" w:color="auto"/>
            </w:tcBorders>
            <w:shd w:val="clear" w:color="000000" w:fill="A993E1"/>
            <w:noWrap/>
            <w:vAlign w:val="bottom"/>
            <w:hideMark/>
          </w:tcPr>
          <w:p w14:paraId="09525FE0"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266</w:t>
            </w:r>
          </w:p>
        </w:tc>
        <w:tc>
          <w:tcPr>
            <w:tcW w:w="589" w:type="pct"/>
            <w:tcBorders>
              <w:top w:val="nil"/>
              <w:left w:val="nil"/>
              <w:bottom w:val="single" w:sz="4" w:space="0" w:color="auto"/>
              <w:right w:val="single" w:sz="4" w:space="0" w:color="auto"/>
            </w:tcBorders>
            <w:shd w:val="clear" w:color="000000" w:fill="A993E1"/>
            <w:noWrap/>
            <w:vAlign w:val="bottom"/>
            <w:hideMark/>
          </w:tcPr>
          <w:p w14:paraId="3834C408"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277</w:t>
            </w:r>
          </w:p>
        </w:tc>
        <w:tc>
          <w:tcPr>
            <w:tcW w:w="589" w:type="pct"/>
            <w:tcBorders>
              <w:top w:val="nil"/>
              <w:left w:val="nil"/>
              <w:bottom w:val="single" w:sz="4" w:space="0" w:color="auto"/>
              <w:right w:val="single" w:sz="4" w:space="0" w:color="auto"/>
            </w:tcBorders>
            <w:shd w:val="clear" w:color="000000" w:fill="A993E1"/>
            <w:noWrap/>
            <w:vAlign w:val="bottom"/>
            <w:hideMark/>
          </w:tcPr>
          <w:p w14:paraId="5B512E76"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291</w:t>
            </w:r>
          </w:p>
        </w:tc>
        <w:tc>
          <w:tcPr>
            <w:tcW w:w="500" w:type="pct"/>
            <w:tcBorders>
              <w:top w:val="nil"/>
              <w:left w:val="nil"/>
              <w:bottom w:val="single" w:sz="4" w:space="0" w:color="auto"/>
              <w:right w:val="single" w:sz="4" w:space="0" w:color="auto"/>
            </w:tcBorders>
            <w:shd w:val="clear" w:color="000000" w:fill="A993E1"/>
            <w:noWrap/>
            <w:vAlign w:val="bottom"/>
            <w:hideMark/>
          </w:tcPr>
          <w:p w14:paraId="5470509D"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311</w:t>
            </w:r>
          </w:p>
        </w:tc>
        <w:tc>
          <w:tcPr>
            <w:tcW w:w="500" w:type="pct"/>
            <w:tcBorders>
              <w:top w:val="nil"/>
              <w:left w:val="nil"/>
              <w:bottom w:val="single" w:sz="4" w:space="0" w:color="auto"/>
              <w:right w:val="single" w:sz="4" w:space="0" w:color="auto"/>
            </w:tcBorders>
            <w:shd w:val="clear" w:color="000000" w:fill="A993E1"/>
            <w:noWrap/>
            <w:vAlign w:val="bottom"/>
            <w:hideMark/>
          </w:tcPr>
          <w:p w14:paraId="73D17884"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326</w:t>
            </w:r>
          </w:p>
        </w:tc>
      </w:tr>
      <w:tr w:rsidR="00651549" w:rsidRPr="007250A8" w14:paraId="1C24FF6B"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6CC9BD98"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 xml:space="preserve">Market Price </w:t>
            </w:r>
          </w:p>
        </w:tc>
        <w:tc>
          <w:tcPr>
            <w:tcW w:w="589" w:type="pct"/>
            <w:tcBorders>
              <w:top w:val="nil"/>
              <w:left w:val="nil"/>
              <w:bottom w:val="single" w:sz="4" w:space="0" w:color="auto"/>
              <w:right w:val="single" w:sz="4" w:space="0" w:color="auto"/>
            </w:tcBorders>
            <w:shd w:val="clear" w:color="000000" w:fill="A993E1"/>
            <w:noWrap/>
            <w:vAlign w:val="bottom"/>
            <w:hideMark/>
          </w:tcPr>
          <w:p w14:paraId="127B64A9"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309.03</w:t>
            </w:r>
          </w:p>
        </w:tc>
        <w:tc>
          <w:tcPr>
            <w:tcW w:w="589" w:type="pct"/>
            <w:tcBorders>
              <w:top w:val="nil"/>
              <w:left w:val="nil"/>
              <w:bottom w:val="single" w:sz="4" w:space="0" w:color="auto"/>
              <w:right w:val="single" w:sz="4" w:space="0" w:color="auto"/>
            </w:tcBorders>
            <w:shd w:val="clear" w:color="000000" w:fill="A993E1"/>
            <w:noWrap/>
            <w:vAlign w:val="bottom"/>
            <w:hideMark/>
          </w:tcPr>
          <w:p w14:paraId="22D1655D"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275.17</w:t>
            </w:r>
          </w:p>
        </w:tc>
        <w:tc>
          <w:tcPr>
            <w:tcW w:w="589" w:type="pct"/>
            <w:tcBorders>
              <w:top w:val="nil"/>
              <w:left w:val="nil"/>
              <w:bottom w:val="single" w:sz="4" w:space="0" w:color="auto"/>
              <w:right w:val="single" w:sz="4" w:space="0" w:color="auto"/>
            </w:tcBorders>
            <w:shd w:val="clear" w:color="000000" w:fill="A993E1"/>
            <w:noWrap/>
            <w:vAlign w:val="bottom"/>
            <w:hideMark/>
          </w:tcPr>
          <w:p w14:paraId="562A5C94"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228.91</w:t>
            </w:r>
          </w:p>
        </w:tc>
        <w:tc>
          <w:tcPr>
            <w:tcW w:w="500" w:type="pct"/>
            <w:tcBorders>
              <w:top w:val="nil"/>
              <w:left w:val="nil"/>
              <w:bottom w:val="single" w:sz="4" w:space="0" w:color="auto"/>
              <w:right w:val="single" w:sz="4" w:space="0" w:color="auto"/>
            </w:tcBorders>
            <w:shd w:val="clear" w:color="000000" w:fill="A993E1"/>
            <w:noWrap/>
            <w:vAlign w:val="bottom"/>
            <w:hideMark/>
          </w:tcPr>
          <w:p w14:paraId="322E71A8"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148.89</w:t>
            </w:r>
          </w:p>
        </w:tc>
        <w:tc>
          <w:tcPr>
            <w:tcW w:w="500" w:type="pct"/>
            <w:tcBorders>
              <w:top w:val="nil"/>
              <w:left w:val="nil"/>
              <w:bottom w:val="single" w:sz="4" w:space="0" w:color="auto"/>
              <w:right w:val="single" w:sz="4" w:space="0" w:color="auto"/>
            </w:tcBorders>
            <w:shd w:val="clear" w:color="000000" w:fill="A993E1"/>
            <w:noWrap/>
            <w:vAlign w:val="bottom"/>
            <w:hideMark/>
          </w:tcPr>
          <w:p w14:paraId="3ACB1658"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170.17</w:t>
            </w:r>
          </w:p>
        </w:tc>
      </w:tr>
      <w:tr w:rsidR="00651549" w:rsidRPr="007250A8" w14:paraId="5179834C"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5267705B" w14:textId="321C03CF" w:rsidR="00651549" w:rsidRPr="007250A8" w:rsidRDefault="00E27C07" w:rsidP="00651549">
            <w:pPr>
              <w:spacing w:before="0" w:after="0" w:line="240" w:lineRule="auto"/>
              <w:jc w:val="lef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Investment</w:t>
            </w:r>
            <w:r w:rsidR="00651549" w:rsidRPr="007250A8">
              <w:rPr>
                <w:rFonts w:eastAsia="Times New Roman" w:cs="Arial"/>
                <w:b/>
                <w:bCs/>
                <w:color w:val="000000"/>
                <w:kern w:val="0"/>
                <w:sz w:val="22"/>
                <w:szCs w:val="22"/>
                <w:u w:val="single"/>
                <w:lang w:val="en-GB" w:eastAsia="en-IN" w:bidi="ar-SA"/>
                <w14:ligatures w14:val="none"/>
              </w:rPr>
              <w:t xml:space="preserve"> Ratios</w:t>
            </w:r>
          </w:p>
        </w:tc>
        <w:tc>
          <w:tcPr>
            <w:tcW w:w="589" w:type="pct"/>
            <w:tcBorders>
              <w:top w:val="nil"/>
              <w:left w:val="nil"/>
              <w:bottom w:val="single" w:sz="4" w:space="0" w:color="auto"/>
              <w:right w:val="single" w:sz="4" w:space="0" w:color="auto"/>
            </w:tcBorders>
            <w:shd w:val="clear" w:color="000000" w:fill="A993E1"/>
            <w:noWrap/>
            <w:vAlign w:val="bottom"/>
            <w:hideMark/>
          </w:tcPr>
          <w:p w14:paraId="654E2DA5" w14:textId="77777777" w:rsidR="00651549" w:rsidRPr="007250A8" w:rsidRDefault="00651549" w:rsidP="00651549">
            <w:pPr>
              <w:spacing w:before="0" w:after="0" w:line="240" w:lineRule="auto"/>
              <w:jc w:val="righ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A993E1"/>
            <w:noWrap/>
            <w:vAlign w:val="bottom"/>
            <w:hideMark/>
          </w:tcPr>
          <w:p w14:paraId="033A03F0" w14:textId="77777777" w:rsidR="00651549" w:rsidRPr="007250A8" w:rsidRDefault="00651549" w:rsidP="00651549">
            <w:pPr>
              <w:spacing w:before="0" w:after="0" w:line="240" w:lineRule="auto"/>
              <w:jc w:val="righ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A993E1"/>
            <w:noWrap/>
            <w:vAlign w:val="bottom"/>
            <w:hideMark/>
          </w:tcPr>
          <w:p w14:paraId="63B5BE5D" w14:textId="77777777" w:rsidR="00651549" w:rsidRPr="007250A8" w:rsidRDefault="00651549" w:rsidP="00651549">
            <w:pPr>
              <w:spacing w:before="0" w:after="0" w:line="240" w:lineRule="auto"/>
              <w:jc w:val="righ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2023</w:t>
            </w:r>
          </w:p>
        </w:tc>
        <w:tc>
          <w:tcPr>
            <w:tcW w:w="500" w:type="pct"/>
            <w:tcBorders>
              <w:top w:val="nil"/>
              <w:left w:val="nil"/>
              <w:bottom w:val="single" w:sz="4" w:space="0" w:color="auto"/>
              <w:right w:val="single" w:sz="4" w:space="0" w:color="auto"/>
            </w:tcBorders>
            <w:shd w:val="clear" w:color="000000" w:fill="A993E1"/>
            <w:noWrap/>
            <w:vAlign w:val="bottom"/>
            <w:hideMark/>
          </w:tcPr>
          <w:p w14:paraId="4E54EE1F" w14:textId="77777777" w:rsidR="00651549" w:rsidRPr="007250A8" w:rsidRDefault="00651549" w:rsidP="00651549">
            <w:pPr>
              <w:spacing w:before="0" w:after="0" w:line="240" w:lineRule="auto"/>
              <w:jc w:val="righ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2022</w:t>
            </w:r>
          </w:p>
        </w:tc>
        <w:tc>
          <w:tcPr>
            <w:tcW w:w="500" w:type="pct"/>
            <w:tcBorders>
              <w:top w:val="nil"/>
              <w:left w:val="nil"/>
              <w:bottom w:val="single" w:sz="4" w:space="0" w:color="auto"/>
              <w:right w:val="single" w:sz="4" w:space="0" w:color="auto"/>
            </w:tcBorders>
            <w:shd w:val="clear" w:color="000000" w:fill="A993E1"/>
            <w:noWrap/>
            <w:vAlign w:val="bottom"/>
            <w:hideMark/>
          </w:tcPr>
          <w:p w14:paraId="2B40012A" w14:textId="77777777" w:rsidR="00651549" w:rsidRPr="007250A8" w:rsidRDefault="00651549" w:rsidP="00651549">
            <w:pPr>
              <w:spacing w:before="0" w:after="0" w:line="240" w:lineRule="auto"/>
              <w:jc w:val="right"/>
              <w:rPr>
                <w:rFonts w:eastAsia="Times New Roman" w:cs="Arial"/>
                <w:b/>
                <w:bCs/>
                <w:color w:val="000000"/>
                <w:kern w:val="0"/>
                <w:sz w:val="22"/>
                <w:szCs w:val="22"/>
                <w:u w:val="single"/>
                <w:lang w:val="en-GB" w:eastAsia="en-IN" w:bidi="ar-SA"/>
                <w14:ligatures w14:val="none"/>
              </w:rPr>
            </w:pPr>
            <w:r w:rsidRPr="007250A8">
              <w:rPr>
                <w:rFonts w:eastAsia="Times New Roman" w:cs="Arial"/>
                <w:b/>
                <w:bCs/>
                <w:color w:val="000000"/>
                <w:kern w:val="0"/>
                <w:sz w:val="22"/>
                <w:szCs w:val="22"/>
                <w:u w:val="single"/>
                <w:lang w:val="en-GB" w:eastAsia="en-IN" w:bidi="ar-SA"/>
                <w14:ligatures w14:val="none"/>
              </w:rPr>
              <w:t>2021</w:t>
            </w:r>
          </w:p>
        </w:tc>
      </w:tr>
      <w:tr w:rsidR="00651549" w:rsidRPr="007250A8" w14:paraId="34CEC91E"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3DAEC8AF" w14:textId="77777777" w:rsidR="00651549" w:rsidRPr="007250A8" w:rsidRDefault="00651549" w:rsidP="00651549">
            <w:pPr>
              <w:spacing w:before="0" w:after="0" w:line="240" w:lineRule="auto"/>
              <w:jc w:val="lef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EPS = Net Income/Share Outstanding</w:t>
            </w:r>
          </w:p>
        </w:tc>
        <w:tc>
          <w:tcPr>
            <w:tcW w:w="589" w:type="pct"/>
            <w:tcBorders>
              <w:top w:val="nil"/>
              <w:left w:val="nil"/>
              <w:bottom w:val="single" w:sz="4" w:space="0" w:color="auto"/>
              <w:right w:val="single" w:sz="4" w:space="0" w:color="auto"/>
            </w:tcBorders>
            <w:shd w:val="clear" w:color="000000" w:fill="A993E1"/>
            <w:noWrap/>
            <w:vAlign w:val="bottom"/>
            <w:hideMark/>
          </w:tcPr>
          <w:p w14:paraId="7555C5C0"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9.781872885</w:t>
            </w:r>
          </w:p>
        </w:tc>
        <w:tc>
          <w:tcPr>
            <w:tcW w:w="589" w:type="pct"/>
            <w:tcBorders>
              <w:top w:val="nil"/>
              <w:left w:val="nil"/>
              <w:bottom w:val="single" w:sz="4" w:space="0" w:color="auto"/>
              <w:right w:val="single" w:sz="4" w:space="0" w:color="auto"/>
            </w:tcBorders>
            <w:shd w:val="clear" w:color="000000" w:fill="A993E1"/>
            <w:noWrap/>
            <w:vAlign w:val="bottom"/>
            <w:hideMark/>
          </w:tcPr>
          <w:p w14:paraId="76905154"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8.583303216</w:t>
            </w:r>
          </w:p>
        </w:tc>
        <w:tc>
          <w:tcPr>
            <w:tcW w:w="589" w:type="pct"/>
            <w:tcBorders>
              <w:top w:val="nil"/>
              <w:left w:val="nil"/>
              <w:bottom w:val="single" w:sz="4" w:space="0" w:color="auto"/>
              <w:right w:val="single" w:sz="4" w:space="0" w:color="auto"/>
            </w:tcBorders>
            <w:shd w:val="clear" w:color="000000" w:fill="A993E1"/>
            <w:noWrap/>
            <w:vAlign w:val="bottom"/>
            <w:hideMark/>
          </w:tcPr>
          <w:p w14:paraId="198D0A04"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10.61273666</w:t>
            </w:r>
          </w:p>
        </w:tc>
        <w:tc>
          <w:tcPr>
            <w:tcW w:w="500" w:type="pct"/>
            <w:tcBorders>
              <w:top w:val="nil"/>
              <w:left w:val="nil"/>
              <w:bottom w:val="single" w:sz="4" w:space="0" w:color="auto"/>
              <w:right w:val="single" w:sz="4" w:space="0" w:color="auto"/>
            </w:tcBorders>
            <w:shd w:val="clear" w:color="000000" w:fill="A993E1"/>
            <w:noWrap/>
            <w:vAlign w:val="bottom"/>
            <w:hideMark/>
          </w:tcPr>
          <w:p w14:paraId="52C5F0BA"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7.591757888</w:t>
            </w:r>
          </w:p>
        </w:tc>
        <w:tc>
          <w:tcPr>
            <w:tcW w:w="500" w:type="pct"/>
            <w:tcBorders>
              <w:top w:val="nil"/>
              <w:left w:val="nil"/>
              <w:bottom w:val="single" w:sz="4" w:space="0" w:color="auto"/>
              <w:right w:val="single" w:sz="4" w:space="0" w:color="auto"/>
            </w:tcBorders>
            <w:shd w:val="clear" w:color="000000" w:fill="A993E1"/>
            <w:noWrap/>
            <w:vAlign w:val="bottom"/>
            <w:hideMark/>
          </w:tcPr>
          <w:p w14:paraId="0EB0EF08"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3.368066197</w:t>
            </w:r>
          </w:p>
        </w:tc>
      </w:tr>
      <w:tr w:rsidR="00651549" w:rsidRPr="007250A8" w14:paraId="53242572"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A993E1"/>
            <w:noWrap/>
            <w:vAlign w:val="bottom"/>
            <w:hideMark/>
          </w:tcPr>
          <w:p w14:paraId="7C065B1D" w14:textId="77777777" w:rsidR="00651549" w:rsidRPr="007250A8" w:rsidRDefault="00651549" w:rsidP="00651549">
            <w:pPr>
              <w:spacing w:before="0" w:after="0" w:line="240" w:lineRule="auto"/>
              <w:jc w:val="lef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 xml:space="preserve">Price </w:t>
            </w:r>
            <w:proofErr w:type="spellStart"/>
            <w:r w:rsidRPr="007250A8">
              <w:rPr>
                <w:rFonts w:eastAsia="Times New Roman" w:cs="Arial"/>
                <w:b/>
                <w:bCs/>
                <w:color w:val="000000"/>
                <w:kern w:val="0"/>
                <w:sz w:val="22"/>
                <w:szCs w:val="22"/>
                <w:lang w:val="en-GB" w:eastAsia="en-IN" w:bidi="ar-SA"/>
                <w14:ligatures w14:val="none"/>
              </w:rPr>
              <w:t>Earning</w:t>
            </w:r>
            <w:proofErr w:type="spellEnd"/>
            <w:r w:rsidRPr="007250A8">
              <w:rPr>
                <w:rFonts w:eastAsia="Times New Roman" w:cs="Arial"/>
                <w:b/>
                <w:bCs/>
                <w:color w:val="000000"/>
                <w:kern w:val="0"/>
                <w:sz w:val="22"/>
                <w:szCs w:val="22"/>
                <w:lang w:val="en-GB" w:eastAsia="en-IN" w:bidi="ar-SA"/>
                <w14:ligatures w14:val="none"/>
              </w:rPr>
              <w:t xml:space="preserve"> Ratio = Market Price /EPS</w:t>
            </w:r>
          </w:p>
        </w:tc>
        <w:tc>
          <w:tcPr>
            <w:tcW w:w="589" w:type="pct"/>
            <w:tcBorders>
              <w:top w:val="nil"/>
              <w:left w:val="nil"/>
              <w:bottom w:val="single" w:sz="4" w:space="0" w:color="auto"/>
              <w:right w:val="single" w:sz="4" w:space="0" w:color="auto"/>
            </w:tcBorders>
            <w:shd w:val="clear" w:color="000000" w:fill="A993E1"/>
            <w:noWrap/>
            <w:vAlign w:val="bottom"/>
            <w:hideMark/>
          </w:tcPr>
          <w:p w14:paraId="1AE251DC"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31.59210957</w:t>
            </w:r>
          </w:p>
        </w:tc>
        <w:tc>
          <w:tcPr>
            <w:tcW w:w="589" w:type="pct"/>
            <w:tcBorders>
              <w:top w:val="nil"/>
              <w:left w:val="nil"/>
              <w:bottom w:val="single" w:sz="4" w:space="0" w:color="auto"/>
              <w:right w:val="single" w:sz="4" w:space="0" w:color="auto"/>
            </w:tcBorders>
            <w:shd w:val="clear" w:color="000000" w:fill="A993E1"/>
            <w:noWrap/>
            <w:vAlign w:val="bottom"/>
            <w:hideMark/>
          </w:tcPr>
          <w:p w14:paraId="776B352B"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32.05875326</w:t>
            </w:r>
          </w:p>
        </w:tc>
        <w:tc>
          <w:tcPr>
            <w:tcW w:w="589" w:type="pct"/>
            <w:tcBorders>
              <w:top w:val="nil"/>
              <w:left w:val="nil"/>
              <w:bottom w:val="single" w:sz="4" w:space="0" w:color="auto"/>
              <w:right w:val="single" w:sz="4" w:space="0" w:color="auto"/>
            </w:tcBorders>
            <w:shd w:val="clear" w:color="000000" w:fill="A993E1"/>
            <w:noWrap/>
            <w:vAlign w:val="bottom"/>
            <w:hideMark/>
          </w:tcPr>
          <w:p w14:paraId="66E3A110"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21.56936588</w:t>
            </w:r>
          </w:p>
        </w:tc>
        <w:tc>
          <w:tcPr>
            <w:tcW w:w="500" w:type="pct"/>
            <w:tcBorders>
              <w:top w:val="nil"/>
              <w:left w:val="nil"/>
              <w:bottom w:val="single" w:sz="4" w:space="0" w:color="auto"/>
              <w:right w:val="single" w:sz="4" w:space="0" w:color="auto"/>
            </w:tcBorders>
            <w:shd w:val="clear" w:color="000000" w:fill="A993E1"/>
            <w:noWrap/>
            <w:vAlign w:val="bottom"/>
            <w:hideMark/>
          </w:tcPr>
          <w:p w14:paraId="45A6D920"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19.61205852</w:t>
            </w:r>
          </w:p>
        </w:tc>
        <w:tc>
          <w:tcPr>
            <w:tcW w:w="500" w:type="pct"/>
            <w:tcBorders>
              <w:top w:val="nil"/>
              <w:left w:val="nil"/>
              <w:bottom w:val="single" w:sz="4" w:space="0" w:color="auto"/>
              <w:right w:val="single" w:sz="4" w:space="0" w:color="auto"/>
            </w:tcBorders>
            <w:shd w:val="clear" w:color="000000" w:fill="A993E1"/>
            <w:noWrap/>
            <w:vAlign w:val="bottom"/>
            <w:hideMark/>
          </w:tcPr>
          <w:p w14:paraId="2CE47333"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50.5245414</w:t>
            </w:r>
          </w:p>
        </w:tc>
      </w:tr>
      <w:tr w:rsidR="00651549" w:rsidRPr="007250A8" w14:paraId="38D4BF49" w14:textId="77777777" w:rsidTr="00651549">
        <w:trPr>
          <w:trHeight w:val="276"/>
        </w:trPr>
        <w:tc>
          <w:tcPr>
            <w:tcW w:w="2233" w:type="pct"/>
            <w:tcBorders>
              <w:top w:val="nil"/>
              <w:left w:val="nil"/>
              <w:bottom w:val="nil"/>
              <w:right w:val="nil"/>
            </w:tcBorders>
            <w:noWrap/>
            <w:vAlign w:val="bottom"/>
            <w:hideMark/>
          </w:tcPr>
          <w:p w14:paraId="2CBD6FEA"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p>
        </w:tc>
        <w:tc>
          <w:tcPr>
            <w:tcW w:w="589" w:type="pct"/>
            <w:tcBorders>
              <w:top w:val="nil"/>
              <w:left w:val="nil"/>
              <w:bottom w:val="nil"/>
              <w:right w:val="nil"/>
            </w:tcBorders>
            <w:noWrap/>
            <w:vAlign w:val="bottom"/>
            <w:hideMark/>
          </w:tcPr>
          <w:p w14:paraId="7A7B3441"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6390900E"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89" w:type="pct"/>
            <w:tcBorders>
              <w:top w:val="nil"/>
              <w:left w:val="nil"/>
              <w:bottom w:val="nil"/>
              <w:right w:val="nil"/>
            </w:tcBorders>
            <w:noWrap/>
            <w:vAlign w:val="bottom"/>
            <w:hideMark/>
          </w:tcPr>
          <w:p w14:paraId="3BF35F66"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029F9EA1"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c>
          <w:tcPr>
            <w:tcW w:w="500" w:type="pct"/>
            <w:tcBorders>
              <w:top w:val="nil"/>
              <w:left w:val="nil"/>
              <w:bottom w:val="nil"/>
              <w:right w:val="nil"/>
            </w:tcBorders>
            <w:noWrap/>
            <w:vAlign w:val="bottom"/>
            <w:hideMark/>
          </w:tcPr>
          <w:p w14:paraId="40954068" w14:textId="77777777" w:rsidR="00651549" w:rsidRPr="007250A8" w:rsidRDefault="00651549" w:rsidP="00651549">
            <w:pPr>
              <w:spacing w:before="0" w:after="0" w:line="240" w:lineRule="auto"/>
              <w:jc w:val="left"/>
              <w:rPr>
                <w:rFonts w:ascii="Times New Roman" w:eastAsia="Times New Roman" w:hAnsi="Times New Roman" w:cs="Times New Roman"/>
                <w:kern w:val="0"/>
                <w:sz w:val="20"/>
                <w:szCs w:val="20"/>
                <w:lang w:val="en-GB" w:eastAsia="en-IN" w:bidi="ar-SA"/>
                <w14:ligatures w14:val="none"/>
              </w:rPr>
            </w:pPr>
          </w:p>
        </w:tc>
      </w:tr>
      <w:tr w:rsidR="00651549" w:rsidRPr="007250A8" w14:paraId="4DC342DF" w14:textId="77777777" w:rsidTr="00651549">
        <w:trPr>
          <w:trHeight w:val="276"/>
        </w:trPr>
        <w:tc>
          <w:tcPr>
            <w:tcW w:w="2233" w:type="pct"/>
            <w:tcBorders>
              <w:top w:val="single" w:sz="4" w:space="0" w:color="auto"/>
              <w:left w:val="single" w:sz="4" w:space="0" w:color="auto"/>
              <w:bottom w:val="single" w:sz="4" w:space="0" w:color="auto"/>
              <w:right w:val="single" w:sz="4" w:space="0" w:color="auto"/>
            </w:tcBorders>
            <w:shd w:val="clear" w:color="000000" w:fill="F6A0BB"/>
            <w:noWrap/>
            <w:vAlign w:val="bottom"/>
            <w:hideMark/>
          </w:tcPr>
          <w:p w14:paraId="54BB1468" w14:textId="77777777" w:rsidR="00651549" w:rsidRPr="007250A8" w:rsidRDefault="00651549" w:rsidP="00651549">
            <w:pPr>
              <w:spacing w:before="0" w:after="0" w:line="240" w:lineRule="auto"/>
              <w:jc w:val="lef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Cash Flow Ratios</w:t>
            </w:r>
          </w:p>
        </w:tc>
        <w:tc>
          <w:tcPr>
            <w:tcW w:w="589" w:type="pct"/>
            <w:tcBorders>
              <w:top w:val="single" w:sz="4" w:space="0" w:color="auto"/>
              <w:left w:val="nil"/>
              <w:bottom w:val="single" w:sz="4" w:space="0" w:color="auto"/>
              <w:right w:val="single" w:sz="4" w:space="0" w:color="auto"/>
            </w:tcBorders>
            <w:shd w:val="clear" w:color="000000" w:fill="F6A0BB"/>
            <w:noWrap/>
            <w:vAlign w:val="bottom"/>
            <w:hideMark/>
          </w:tcPr>
          <w:p w14:paraId="280ABF29"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2025</w:t>
            </w:r>
          </w:p>
        </w:tc>
        <w:tc>
          <w:tcPr>
            <w:tcW w:w="589" w:type="pct"/>
            <w:tcBorders>
              <w:top w:val="single" w:sz="4" w:space="0" w:color="auto"/>
              <w:left w:val="nil"/>
              <w:bottom w:val="single" w:sz="4" w:space="0" w:color="auto"/>
              <w:right w:val="single" w:sz="4" w:space="0" w:color="auto"/>
            </w:tcBorders>
            <w:shd w:val="clear" w:color="000000" w:fill="F6A0BB"/>
            <w:noWrap/>
            <w:vAlign w:val="bottom"/>
            <w:hideMark/>
          </w:tcPr>
          <w:p w14:paraId="3F545885"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2024</w:t>
            </w:r>
          </w:p>
        </w:tc>
        <w:tc>
          <w:tcPr>
            <w:tcW w:w="589" w:type="pct"/>
            <w:tcBorders>
              <w:top w:val="single" w:sz="4" w:space="0" w:color="auto"/>
              <w:left w:val="nil"/>
              <w:bottom w:val="single" w:sz="4" w:space="0" w:color="auto"/>
              <w:right w:val="single" w:sz="4" w:space="0" w:color="auto"/>
            </w:tcBorders>
            <w:shd w:val="clear" w:color="000000" w:fill="F6A0BB"/>
            <w:noWrap/>
            <w:vAlign w:val="bottom"/>
            <w:hideMark/>
          </w:tcPr>
          <w:p w14:paraId="21D4AAE1"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2023</w:t>
            </w:r>
          </w:p>
        </w:tc>
        <w:tc>
          <w:tcPr>
            <w:tcW w:w="500" w:type="pct"/>
            <w:tcBorders>
              <w:top w:val="single" w:sz="4" w:space="0" w:color="auto"/>
              <w:left w:val="nil"/>
              <w:bottom w:val="single" w:sz="4" w:space="0" w:color="auto"/>
              <w:right w:val="single" w:sz="4" w:space="0" w:color="auto"/>
            </w:tcBorders>
            <w:shd w:val="clear" w:color="000000" w:fill="F6A0BB"/>
            <w:noWrap/>
            <w:vAlign w:val="bottom"/>
            <w:hideMark/>
          </w:tcPr>
          <w:p w14:paraId="76AC34EE"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2022</w:t>
            </w:r>
          </w:p>
        </w:tc>
        <w:tc>
          <w:tcPr>
            <w:tcW w:w="500" w:type="pct"/>
            <w:tcBorders>
              <w:top w:val="single" w:sz="4" w:space="0" w:color="auto"/>
              <w:left w:val="nil"/>
              <w:bottom w:val="single" w:sz="4" w:space="0" w:color="auto"/>
              <w:right w:val="single" w:sz="4" w:space="0" w:color="auto"/>
            </w:tcBorders>
            <w:shd w:val="clear" w:color="000000" w:fill="F6A0BB"/>
            <w:noWrap/>
            <w:vAlign w:val="bottom"/>
            <w:hideMark/>
          </w:tcPr>
          <w:p w14:paraId="47777B55"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2021</w:t>
            </w:r>
          </w:p>
        </w:tc>
      </w:tr>
      <w:tr w:rsidR="00651549" w:rsidRPr="007250A8" w14:paraId="30971EBF"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56E93A6E"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Operating cash Flow (OCF)</w:t>
            </w:r>
          </w:p>
        </w:tc>
        <w:tc>
          <w:tcPr>
            <w:tcW w:w="589" w:type="pct"/>
            <w:tcBorders>
              <w:top w:val="nil"/>
              <w:left w:val="nil"/>
              <w:bottom w:val="single" w:sz="4" w:space="0" w:color="auto"/>
              <w:right w:val="single" w:sz="4" w:space="0" w:color="auto"/>
            </w:tcBorders>
            <w:shd w:val="clear" w:color="000000" w:fill="F6A0BB"/>
            <w:noWrap/>
            <w:vAlign w:val="bottom"/>
            <w:hideMark/>
          </w:tcPr>
          <w:p w14:paraId="4C736A7F"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3,212</w:t>
            </w:r>
          </w:p>
        </w:tc>
        <w:tc>
          <w:tcPr>
            <w:tcW w:w="589" w:type="pct"/>
            <w:tcBorders>
              <w:top w:val="nil"/>
              <w:left w:val="nil"/>
              <w:bottom w:val="single" w:sz="4" w:space="0" w:color="auto"/>
              <w:right w:val="single" w:sz="4" w:space="0" w:color="auto"/>
            </w:tcBorders>
            <w:shd w:val="clear" w:color="000000" w:fill="F6A0BB"/>
            <w:noWrap/>
            <w:vAlign w:val="bottom"/>
            <w:hideMark/>
          </w:tcPr>
          <w:p w14:paraId="02C9707E"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2,749</w:t>
            </w:r>
          </w:p>
        </w:tc>
        <w:tc>
          <w:tcPr>
            <w:tcW w:w="589" w:type="pct"/>
            <w:tcBorders>
              <w:top w:val="nil"/>
              <w:left w:val="nil"/>
              <w:bottom w:val="single" w:sz="4" w:space="0" w:color="auto"/>
              <w:right w:val="single" w:sz="4" w:space="0" w:color="auto"/>
            </w:tcBorders>
            <w:shd w:val="clear" w:color="000000" w:fill="F6A0BB"/>
            <w:noWrap/>
            <w:vAlign w:val="bottom"/>
            <w:hideMark/>
          </w:tcPr>
          <w:p w14:paraId="04ED49E6"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3,170</w:t>
            </w:r>
          </w:p>
        </w:tc>
        <w:tc>
          <w:tcPr>
            <w:tcW w:w="500" w:type="pct"/>
            <w:tcBorders>
              <w:top w:val="nil"/>
              <w:left w:val="nil"/>
              <w:bottom w:val="single" w:sz="4" w:space="0" w:color="auto"/>
              <w:right w:val="single" w:sz="4" w:space="0" w:color="auto"/>
            </w:tcBorders>
            <w:shd w:val="clear" w:color="000000" w:fill="F6A0BB"/>
            <w:noWrap/>
            <w:vAlign w:val="bottom"/>
            <w:hideMark/>
          </w:tcPr>
          <w:p w14:paraId="1E38B1E9"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2,363</w:t>
            </w:r>
          </w:p>
        </w:tc>
        <w:tc>
          <w:tcPr>
            <w:tcW w:w="500" w:type="pct"/>
            <w:tcBorders>
              <w:top w:val="nil"/>
              <w:left w:val="nil"/>
              <w:bottom w:val="single" w:sz="4" w:space="0" w:color="auto"/>
              <w:right w:val="single" w:sz="4" w:space="0" w:color="auto"/>
            </w:tcBorders>
            <w:shd w:val="clear" w:color="000000" w:fill="F6A0BB"/>
            <w:noWrap/>
            <w:vAlign w:val="bottom"/>
            <w:hideMark/>
          </w:tcPr>
          <w:p w14:paraId="000DE858"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1,177</w:t>
            </w:r>
          </w:p>
        </w:tc>
      </w:tr>
      <w:tr w:rsidR="00651549" w:rsidRPr="007250A8" w14:paraId="3F3A863C"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30834C02"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proofErr w:type="spellStart"/>
            <w:r w:rsidRPr="007250A8">
              <w:rPr>
                <w:rFonts w:eastAsia="Times New Roman" w:cs="Arial"/>
                <w:color w:val="000000"/>
                <w:kern w:val="0"/>
                <w:sz w:val="22"/>
                <w:szCs w:val="22"/>
                <w:lang w:val="en-GB" w:eastAsia="en-IN" w:bidi="ar-SA"/>
                <w14:ligatures w14:val="none"/>
              </w:rPr>
              <w:t>Curent</w:t>
            </w:r>
            <w:proofErr w:type="spellEnd"/>
            <w:r w:rsidRPr="007250A8">
              <w:rPr>
                <w:rFonts w:eastAsia="Times New Roman" w:cs="Arial"/>
                <w:color w:val="000000"/>
                <w:kern w:val="0"/>
                <w:sz w:val="22"/>
                <w:szCs w:val="22"/>
                <w:lang w:val="en-GB" w:eastAsia="en-IN" w:bidi="ar-SA"/>
                <w14:ligatures w14:val="none"/>
              </w:rPr>
              <w:t xml:space="preserve"> Liabilities (CL)</w:t>
            </w:r>
          </w:p>
        </w:tc>
        <w:tc>
          <w:tcPr>
            <w:tcW w:w="589" w:type="pct"/>
            <w:tcBorders>
              <w:top w:val="nil"/>
              <w:left w:val="nil"/>
              <w:bottom w:val="single" w:sz="4" w:space="0" w:color="auto"/>
              <w:right w:val="single" w:sz="4" w:space="0" w:color="auto"/>
            </w:tcBorders>
            <w:shd w:val="clear" w:color="000000" w:fill="F6A0BB"/>
            <w:noWrap/>
            <w:vAlign w:val="bottom"/>
            <w:hideMark/>
          </w:tcPr>
          <w:p w14:paraId="3807C48D"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8,398</w:t>
            </w:r>
          </w:p>
        </w:tc>
        <w:tc>
          <w:tcPr>
            <w:tcW w:w="589" w:type="pct"/>
            <w:tcBorders>
              <w:top w:val="nil"/>
              <w:left w:val="nil"/>
              <w:bottom w:val="single" w:sz="4" w:space="0" w:color="auto"/>
              <w:right w:val="single" w:sz="4" w:space="0" w:color="auto"/>
            </w:tcBorders>
            <w:shd w:val="clear" w:color="000000" w:fill="F6A0BB"/>
            <w:noWrap/>
            <w:vAlign w:val="bottom"/>
            <w:hideMark/>
          </w:tcPr>
          <w:p w14:paraId="1D0C32EC"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8,649</w:t>
            </w:r>
          </w:p>
        </w:tc>
        <w:tc>
          <w:tcPr>
            <w:tcW w:w="589" w:type="pct"/>
            <w:tcBorders>
              <w:top w:val="nil"/>
              <w:left w:val="nil"/>
              <w:bottom w:val="single" w:sz="4" w:space="0" w:color="auto"/>
              <w:right w:val="single" w:sz="4" w:space="0" w:color="auto"/>
            </w:tcBorders>
            <w:shd w:val="clear" w:color="000000" w:fill="F6A0BB"/>
            <w:noWrap/>
            <w:vAlign w:val="bottom"/>
            <w:hideMark/>
          </w:tcPr>
          <w:p w14:paraId="780A53DC"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7,762</w:t>
            </w:r>
          </w:p>
        </w:tc>
        <w:tc>
          <w:tcPr>
            <w:tcW w:w="500" w:type="pct"/>
            <w:tcBorders>
              <w:top w:val="nil"/>
              <w:left w:val="nil"/>
              <w:bottom w:val="single" w:sz="4" w:space="0" w:color="auto"/>
              <w:right w:val="single" w:sz="4" w:space="0" w:color="auto"/>
            </w:tcBorders>
            <w:shd w:val="clear" w:color="000000" w:fill="F6A0BB"/>
            <w:noWrap/>
            <w:vAlign w:val="bottom"/>
            <w:hideMark/>
          </w:tcPr>
          <w:p w14:paraId="3F400DBE"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7,339</w:t>
            </w:r>
          </w:p>
        </w:tc>
        <w:tc>
          <w:tcPr>
            <w:tcW w:w="500" w:type="pct"/>
            <w:tcBorders>
              <w:top w:val="nil"/>
              <w:left w:val="nil"/>
              <w:bottom w:val="single" w:sz="4" w:space="0" w:color="auto"/>
              <w:right w:val="single" w:sz="4" w:space="0" w:color="auto"/>
            </w:tcBorders>
            <w:shd w:val="clear" w:color="000000" w:fill="F6A0BB"/>
            <w:noWrap/>
            <w:vAlign w:val="bottom"/>
            <w:hideMark/>
          </w:tcPr>
          <w:p w14:paraId="175BFE61"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6,407</w:t>
            </w:r>
          </w:p>
        </w:tc>
      </w:tr>
      <w:tr w:rsidR="00651549" w:rsidRPr="007250A8" w14:paraId="0A741ECF"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433C9213"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Total Debt</w:t>
            </w:r>
          </w:p>
        </w:tc>
        <w:tc>
          <w:tcPr>
            <w:tcW w:w="589" w:type="pct"/>
            <w:tcBorders>
              <w:top w:val="nil"/>
              <w:left w:val="nil"/>
              <w:bottom w:val="single" w:sz="4" w:space="0" w:color="auto"/>
              <w:right w:val="single" w:sz="4" w:space="0" w:color="auto"/>
            </w:tcBorders>
            <w:shd w:val="clear" w:color="000000" w:fill="F6A0BB"/>
            <w:noWrap/>
            <w:vAlign w:val="bottom"/>
            <w:hideMark/>
          </w:tcPr>
          <w:p w14:paraId="05BCBA6C"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16,204</w:t>
            </w:r>
          </w:p>
        </w:tc>
        <w:tc>
          <w:tcPr>
            <w:tcW w:w="589" w:type="pct"/>
            <w:tcBorders>
              <w:top w:val="nil"/>
              <w:left w:val="nil"/>
              <w:bottom w:val="single" w:sz="4" w:space="0" w:color="auto"/>
              <w:right w:val="single" w:sz="4" w:space="0" w:color="auto"/>
            </w:tcBorders>
            <w:shd w:val="clear" w:color="000000" w:fill="F6A0BB"/>
            <w:noWrap/>
            <w:vAlign w:val="bottom"/>
            <w:hideMark/>
          </w:tcPr>
          <w:p w14:paraId="34487AB5"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14,447</w:t>
            </w:r>
          </w:p>
        </w:tc>
        <w:tc>
          <w:tcPr>
            <w:tcW w:w="589" w:type="pct"/>
            <w:tcBorders>
              <w:top w:val="nil"/>
              <w:left w:val="nil"/>
              <w:bottom w:val="single" w:sz="4" w:space="0" w:color="auto"/>
              <w:right w:val="single" w:sz="4" w:space="0" w:color="auto"/>
            </w:tcBorders>
            <w:shd w:val="clear" w:color="000000" w:fill="F6A0BB"/>
            <w:noWrap/>
            <w:vAlign w:val="bottom"/>
            <w:hideMark/>
          </w:tcPr>
          <w:p w14:paraId="5B983171"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11,873</w:t>
            </w:r>
          </w:p>
        </w:tc>
        <w:tc>
          <w:tcPr>
            <w:tcW w:w="500" w:type="pct"/>
            <w:tcBorders>
              <w:top w:val="nil"/>
              <w:left w:val="nil"/>
              <w:bottom w:val="single" w:sz="4" w:space="0" w:color="auto"/>
              <w:right w:val="single" w:sz="4" w:space="0" w:color="auto"/>
            </w:tcBorders>
            <w:shd w:val="clear" w:color="000000" w:fill="F6A0BB"/>
            <w:noWrap/>
            <w:vAlign w:val="bottom"/>
            <w:hideMark/>
          </w:tcPr>
          <w:p w14:paraId="78ADA506"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10,064</w:t>
            </w:r>
          </w:p>
        </w:tc>
        <w:tc>
          <w:tcPr>
            <w:tcW w:w="500" w:type="pct"/>
            <w:tcBorders>
              <w:top w:val="nil"/>
              <w:left w:val="nil"/>
              <w:bottom w:val="single" w:sz="4" w:space="0" w:color="auto"/>
              <w:right w:val="single" w:sz="4" w:space="0" w:color="auto"/>
            </w:tcBorders>
            <w:shd w:val="clear" w:color="000000" w:fill="F6A0BB"/>
            <w:noWrap/>
            <w:vAlign w:val="bottom"/>
            <w:hideMark/>
          </w:tcPr>
          <w:p w14:paraId="38A0C360"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10,138</w:t>
            </w:r>
          </w:p>
        </w:tc>
      </w:tr>
      <w:tr w:rsidR="00651549" w:rsidRPr="007250A8" w14:paraId="0561A6EF"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23CE9204" w14:textId="77777777" w:rsidR="00651549" w:rsidRPr="007250A8" w:rsidRDefault="00651549" w:rsidP="00651549">
            <w:pPr>
              <w:spacing w:before="0" w:after="0" w:line="240" w:lineRule="auto"/>
              <w:jc w:val="lef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Cash Flow Ratios</w:t>
            </w:r>
          </w:p>
        </w:tc>
        <w:tc>
          <w:tcPr>
            <w:tcW w:w="589" w:type="pct"/>
            <w:tcBorders>
              <w:top w:val="nil"/>
              <w:left w:val="nil"/>
              <w:bottom w:val="single" w:sz="4" w:space="0" w:color="auto"/>
              <w:right w:val="single" w:sz="4" w:space="0" w:color="auto"/>
            </w:tcBorders>
            <w:shd w:val="clear" w:color="000000" w:fill="F6A0BB"/>
            <w:noWrap/>
            <w:vAlign w:val="bottom"/>
            <w:hideMark/>
          </w:tcPr>
          <w:p w14:paraId="46C45A60"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2025</w:t>
            </w:r>
          </w:p>
        </w:tc>
        <w:tc>
          <w:tcPr>
            <w:tcW w:w="589" w:type="pct"/>
            <w:tcBorders>
              <w:top w:val="nil"/>
              <w:left w:val="nil"/>
              <w:bottom w:val="single" w:sz="4" w:space="0" w:color="auto"/>
              <w:right w:val="single" w:sz="4" w:space="0" w:color="auto"/>
            </w:tcBorders>
            <w:shd w:val="clear" w:color="000000" w:fill="F6A0BB"/>
            <w:noWrap/>
            <w:vAlign w:val="bottom"/>
            <w:hideMark/>
          </w:tcPr>
          <w:p w14:paraId="75CBF42E"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2024</w:t>
            </w:r>
          </w:p>
        </w:tc>
        <w:tc>
          <w:tcPr>
            <w:tcW w:w="589" w:type="pct"/>
            <w:tcBorders>
              <w:top w:val="nil"/>
              <w:left w:val="nil"/>
              <w:bottom w:val="single" w:sz="4" w:space="0" w:color="auto"/>
              <w:right w:val="single" w:sz="4" w:space="0" w:color="auto"/>
            </w:tcBorders>
            <w:shd w:val="clear" w:color="000000" w:fill="F6A0BB"/>
            <w:noWrap/>
            <w:vAlign w:val="bottom"/>
            <w:hideMark/>
          </w:tcPr>
          <w:p w14:paraId="2C638AB7"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2023</w:t>
            </w:r>
          </w:p>
        </w:tc>
        <w:tc>
          <w:tcPr>
            <w:tcW w:w="500" w:type="pct"/>
            <w:tcBorders>
              <w:top w:val="nil"/>
              <w:left w:val="nil"/>
              <w:bottom w:val="single" w:sz="4" w:space="0" w:color="auto"/>
              <w:right w:val="single" w:sz="4" w:space="0" w:color="auto"/>
            </w:tcBorders>
            <w:shd w:val="clear" w:color="000000" w:fill="F6A0BB"/>
            <w:noWrap/>
            <w:vAlign w:val="bottom"/>
            <w:hideMark/>
          </w:tcPr>
          <w:p w14:paraId="01CD47A8"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2022</w:t>
            </w:r>
          </w:p>
        </w:tc>
        <w:tc>
          <w:tcPr>
            <w:tcW w:w="500" w:type="pct"/>
            <w:tcBorders>
              <w:top w:val="nil"/>
              <w:left w:val="nil"/>
              <w:bottom w:val="single" w:sz="4" w:space="0" w:color="auto"/>
              <w:right w:val="single" w:sz="4" w:space="0" w:color="auto"/>
            </w:tcBorders>
            <w:shd w:val="clear" w:color="000000" w:fill="F6A0BB"/>
            <w:noWrap/>
            <w:vAlign w:val="bottom"/>
            <w:hideMark/>
          </w:tcPr>
          <w:p w14:paraId="3B429BD9" w14:textId="77777777" w:rsidR="00651549" w:rsidRPr="007250A8" w:rsidRDefault="00651549" w:rsidP="00651549">
            <w:pPr>
              <w:spacing w:before="0" w:after="0" w:line="240" w:lineRule="auto"/>
              <w:jc w:val="right"/>
              <w:rPr>
                <w:rFonts w:eastAsia="Times New Roman" w:cs="Arial"/>
                <w:b/>
                <w:bCs/>
                <w:color w:val="000000"/>
                <w:kern w:val="0"/>
                <w:sz w:val="22"/>
                <w:szCs w:val="22"/>
                <w:lang w:val="en-GB" w:eastAsia="en-IN" w:bidi="ar-SA"/>
                <w14:ligatures w14:val="none"/>
              </w:rPr>
            </w:pPr>
            <w:r w:rsidRPr="007250A8">
              <w:rPr>
                <w:rFonts w:eastAsia="Times New Roman" w:cs="Arial"/>
                <w:b/>
                <w:bCs/>
                <w:color w:val="000000"/>
                <w:kern w:val="0"/>
                <w:sz w:val="22"/>
                <w:szCs w:val="22"/>
                <w:lang w:val="en-GB" w:eastAsia="en-IN" w:bidi="ar-SA"/>
                <w14:ligatures w14:val="none"/>
              </w:rPr>
              <w:t>2021</w:t>
            </w:r>
          </w:p>
        </w:tc>
      </w:tr>
      <w:tr w:rsidR="00651549" w:rsidRPr="007250A8" w14:paraId="07EB24DC"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0E4DD3CD"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OCF (Operating Cash Flow) = OCF/CL</w:t>
            </w:r>
          </w:p>
        </w:tc>
        <w:tc>
          <w:tcPr>
            <w:tcW w:w="589" w:type="pct"/>
            <w:tcBorders>
              <w:top w:val="nil"/>
              <w:left w:val="nil"/>
              <w:bottom w:val="single" w:sz="4" w:space="0" w:color="auto"/>
              <w:right w:val="single" w:sz="4" w:space="0" w:color="auto"/>
            </w:tcBorders>
            <w:shd w:val="clear" w:color="000000" w:fill="F6A0BB"/>
            <w:noWrap/>
            <w:vAlign w:val="bottom"/>
            <w:hideMark/>
          </w:tcPr>
          <w:p w14:paraId="5AC3230F"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0.382472017</w:t>
            </w:r>
          </w:p>
        </w:tc>
        <w:tc>
          <w:tcPr>
            <w:tcW w:w="589" w:type="pct"/>
            <w:tcBorders>
              <w:top w:val="nil"/>
              <w:left w:val="nil"/>
              <w:bottom w:val="single" w:sz="4" w:space="0" w:color="auto"/>
              <w:right w:val="single" w:sz="4" w:space="0" w:color="auto"/>
            </w:tcBorders>
            <w:shd w:val="clear" w:color="000000" w:fill="F6A0BB"/>
            <w:noWrap/>
            <w:vAlign w:val="bottom"/>
            <w:hideMark/>
          </w:tcPr>
          <w:p w14:paraId="0B24CA26"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0.317840213</w:t>
            </w:r>
          </w:p>
        </w:tc>
        <w:tc>
          <w:tcPr>
            <w:tcW w:w="589" w:type="pct"/>
            <w:tcBorders>
              <w:top w:val="nil"/>
              <w:left w:val="nil"/>
              <w:bottom w:val="single" w:sz="4" w:space="0" w:color="auto"/>
              <w:right w:val="single" w:sz="4" w:space="0" w:color="auto"/>
            </w:tcBorders>
            <w:shd w:val="clear" w:color="000000" w:fill="F6A0BB"/>
            <w:noWrap/>
            <w:vAlign w:val="bottom"/>
            <w:hideMark/>
          </w:tcPr>
          <w:p w14:paraId="1D6BC329"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0.408399897</w:t>
            </w:r>
          </w:p>
        </w:tc>
        <w:tc>
          <w:tcPr>
            <w:tcW w:w="500" w:type="pct"/>
            <w:tcBorders>
              <w:top w:val="nil"/>
              <w:left w:val="nil"/>
              <w:bottom w:val="single" w:sz="4" w:space="0" w:color="auto"/>
              <w:right w:val="single" w:sz="4" w:space="0" w:color="auto"/>
            </w:tcBorders>
            <w:shd w:val="clear" w:color="000000" w:fill="F6A0BB"/>
            <w:noWrap/>
            <w:vAlign w:val="bottom"/>
            <w:hideMark/>
          </w:tcPr>
          <w:p w14:paraId="4A2ACDF1"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0.321978471</w:t>
            </w:r>
          </w:p>
        </w:tc>
        <w:tc>
          <w:tcPr>
            <w:tcW w:w="500" w:type="pct"/>
            <w:tcBorders>
              <w:top w:val="nil"/>
              <w:left w:val="nil"/>
              <w:bottom w:val="single" w:sz="4" w:space="0" w:color="auto"/>
              <w:right w:val="single" w:sz="4" w:space="0" w:color="auto"/>
            </w:tcBorders>
            <w:shd w:val="clear" w:color="000000" w:fill="F6A0BB"/>
            <w:noWrap/>
            <w:vAlign w:val="bottom"/>
            <w:hideMark/>
          </w:tcPr>
          <w:p w14:paraId="672B6C6B"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0.183705322</w:t>
            </w:r>
          </w:p>
        </w:tc>
      </w:tr>
      <w:tr w:rsidR="00651549" w:rsidRPr="007250A8" w14:paraId="2151E070" w14:textId="77777777" w:rsidTr="00651549">
        <w:trPr>
          <w:trHeight w:val="276"/>
        </w:trPr>
        <w:tc>
          <w:tcPr>
            <w:tcW w:w="2233" w:type="pct"/>
            <w:tcBorders>
              <w:top w:val="nil"/>
              <w:left w:val="single" w:sz="4" w:space="0" w:color="auto"/>
              <w:bottom w:val="single" w:sz="4" w:space="0" w:color="auto"/>
              <w:right w:val="single" w:sz="4" w:space="0" w:color="auto"/>
            </w:tcBorders>
            <w:shd w:val="clear" w:color="000000" w:fill="F6A0BB"/>
            <w:noWrap/>
            <w:vAlign w:val="bottom"/>
            <w:hideMark/>
          </w:tcPr>
          <w:p w14:paraId="62F1B32F" w14:textId="77777777" w:rsidR="00651549" w:rsidRPr="007250A8" w:rsidRDefault="00651549" w:rsidP="00651549">
            <w:pPr>
              <w:spacing w:before="0" w:after="0" w:line="240" w:lineRule="auto"/>
              <w:jc w:val="lef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 xml:space="preserve">Cash Flow to Debt Ratio = (OCF/Total Debt) </w:t>
            </w:r>
          </w:p>
        </w:tc>
        <w:tc>
          <w:tcPr>
            <w:tcW w:w="589" w:type="pct"/>
            <w:tcBorders>
              <w:top w:val="nil"/>
              <w:left w:val="nil"/>
              <w:bottom w:val="single" w:sz="4" w:space="0" w:color="auto"/>
              <w:right w:val="single" w:sz="4" w:space="0" w:color="auto"/>
            </w:tcBorders>
            <w:shd w:val="clear" w:color="000000" w:fill="F6A0BB"/>
            <w:noWrap/>
            <w:vAlign w:val="bottom"/>
            <w:hideMark/>
          </w:tcPr>
          <w:p w14:paraId="6D73F2CE"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0.000024</w:t>
            </w:r>
          </w:p>
        </w:tc>
        <w:tc>
          <w:tcPr>
            <w:tcW w:w="589" w:type="pct"/>
            <w:tcBorders>
              <w:top w:val="nil"/>
              <w:left w:val="nil"/>
              <w:bottom w:val="single" w:sz="4" w:space="0" w:color="auto"/>
              <w:right w:val="single" w:sz="4" w:space="0" w:color="auto"/>
            </w:tcBorders>
            <w:shd w:val="clear" w:color="000000" w:fill="F6A0BB"/>
            <w:noWrap/>
            <w:vAlign w:val="bottom"/>
            <w:hideMark/>
          </w:tcPr>
          <w:p w14:paraId="1436B5C9"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0.000022</w:t>
            </w:r>
          </w:p>
        </w:tc>
        <w:tc>
          <w:tcPr>
            <w:tcW w:w="589" w:type="pct"/>
            <w:tcBorders>
              <w:top w:val="nil"/>
              <w:left w:val="nil"/>
              <w:bottom w:val="single" w:sz="4" w:space="0" w:color="auto"/>
              <w:right w:val="single" w:sz="4" w:space="0" w:color="auto"/>
            </w:tcBorders>
            <w:shd w:val="clear" w:color="000000" w:fill="F6A0BB"/>
            <w:noWrap/>
            <w:vAlign w:val="bottom"/>
            <w:hideMark/>
          </w:tcPr>
          <w:p w14:paraId="11E897B2"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0.000034</w:t>
            </w:r>
          </w:p>
        </w:tc>
        <w:tc>
          <w:tcPr>
            <w:tcW w:w="500" w:type="pct"/>
            <w:tcBorders>
              <w:top w:val="nil"/>
              <w:left w:val="nil"/>
              <w:bottom w:val="single" w:sz="4" w:space="0" w:color="auto"/>
              <w:right w:val="single" w:sz="4" w:space="0" w:color="auto"/>
            </w:tcBorders>
            <w:shd w:val="clear" w:color="000000" w:fill="F6A0BB"/>
            <w:noWrap/>
            <w:vAlign w:val="bottom"/>
            <w:hideMark/>
          </w:tcPr>
          <w:p w14:paraId="23103992"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0.000032</w:t>
            </w:r>
          </w:p>
        </w:tc>
        <w:tc>
          <w:tcPr>
            <w:tcW w:w="500" w:type="pct"/>
            <w:tcBorders>
              <w:top w:val="nil"/>
              <w:left w:val="nil"/>
              <w:bottom w:val="single" w:sz="4" w:space="0" w:color="auto"/>
              <w:right w:val="single" w:sz="4" w:space="0" w:color="auto"/>
            </w:tcBorders>
            <w:shd w:val="clear" w:color="000000" w:fill="F6A0BB"/>
            <w:noWrap/>
            <w:vAlign w:val="bottom"/>
            <w:hideMark/>
          </w:tcPr>
          <w:p w14:paraId="407D4877" w14:textId="77777777" w:rsidR="00651549" w:rsidRPr="007250A8" w:rsidRDefault="00651549" w:rsidP="00651549">
            <w:pPr>
              <w:spacing w:before="0" w:after="0" w:line="240" w:lineRule="auto"/>
              <w:jc w:val="right"/>
              <w:rPr>
                <w:rFonts w:eastAsia="Times New Roman" w:cs="Arial"/>
                <w:color w:val="000000"/>
                <w:kern w:val="0"/>
                <w:sz w:val="22"/>
                <w:szCs w:val="22"/>
                <w:lang w:val="en-GB" w:eastAsia="en-IN" w:bidi="ar-SA"/>
                <w14:ligatures w14:val="none"/>
              </w:rPr>
            </w:pPr>
            <w:r w:rsidRPr="007250A8">
              <w:rPr>
                <w:rFonts w:eastAsia="Times New Roman" w:cs="Arial"/>
                <w:color w:val="000000"/>
                <w:kern w:val="0"/>
                <w:sz w:val="22"/>
                <w:szCs w:val="22"/>
                <w:lang w:val="en-GB" w:eastAsia="en-IN" w:bidi="ar-SA"/>
                <w14:ligatures w14:val="none"/>
              </w:rPr>
              <w:t>0.000018</w:t>
            </w:r>
          </w:p>
        </w:tc>
      </w:tr>
    </w:tbl>
    <w:p w14:paraId="68DDE637" w14:textId="4923BA12" w:rsidR="00651549" w:rsidRPr="007250A8" w:rsidRDefault="00651549" w:rsidP="000C79E1">
      <w:pPr>
        <w:rPr>
          <w:b/>
          <w:bCs/>
          <w:lang w:val="en-GB"/>
        </w:rPr>
      </w:pPr>
      <w:r w:rsidRPr="007250A8">
        <w:rPr>
          <w:b/>
          <w:bCs/>
          <w:lang w:val="en-GB"/>
        </w:rPr>
        <w:t>Graphical Ratio Analysis</w:t>
      </w:r>
    </w:p>
    <w:p w14:paraId="5307B3FA" w14:textId="3E48B409" w:rsidR="00651549" w:rsidRPr="007250A8" w:rsidRDefault="00651549" w:rsidP="00651549">
      <w:pPr>
        <w:jc w:val="center"/>
        <w:rPr>
          <w:b/>
          <w:bCs/>
          <w:lang w:val="en-GB"/>
        </w:rPr>
      </w:pPr>
      <w:r w:rsidRPr="007250A8">
        <w:rPr>
          <w:noProof/>
          <w:lang w:val="en-GB"/>
        </w:rPr>
        <w:drawing>
          <wp:inline distT="0" distB="0" distL="0" distR="0" wp14:anchorId="062FA56C" wp14:editId="6CE9E624">
            <wp:extent cx="4572000" cy="2726266"/>
            <wp:effectExtent l="0" t="0" r="0" b="17145"/>
            <wp:docPr id="1984973258" name="Chart 1">
              <a:extLst xmlns:a="http://schemas.openxmlformats.org/drawingml/2006/main">
                <a:ext uri="{FF2B5EF4-FFF2-40B4-BE49-F238E27FC236}">
                  <a16:creationId xmlns:a16="http://schemas.microsoft.com/office/drawing/2014/main" id="{428313B5-976C-4409-956F-70DA48CB0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4EE1CF6" w14:textId="14A79B7B" w:rsidR="00651549" w:rsidRPr="007250A8" w:rsidRDefault="00651549" w:rsidP="00651549">
      <w:pPr>
        <w:jc w:val="center"/>
        <w:rPr>
          <w:b/>
          <w:bCs/>
          <w:lang w:val="en-GB"/>
        </w:rPr>
      </w:pPr>
      <w:r w:rsidRPr="007250A8">
        <w:rPr>
          <w:noProof/>
          <w:lang w:val="en-GB"/>
        </w:rPr>
        <w:lastRenderedPageBreak/>
        <w:drawing>
          <wp:inline distT="0" distB="0" distL="0" distR="0" wp14:anchorId="7D048084" wp14:editId="30C3490E">
            <wp:extent cx="4572000" cy="2726267"/>
            <wp:effectExtent l="0" t="0" r="0" b="17145"/>
            <wp:docPr id="732686778" name="Chart 1">
              <a:extLst xmlns:a="http://schemas.openxmlformats.org/drawingml/2006/main">
                <a:ext uri="{FF2B5EF4-FFF2-40B4-BE49-F238E27FC236}">
                  <a16:creationId xmlns:a16="http://schemas.microsoft.com/office/drawing/2014/main" id="{08265BAC-9004-4940-940F-4E95B138A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B5E4435" w14:textId="6669012B" w:rsidR="00651549" w:rsidRPr="007250A8" w:rsidRDefault="00651549" w:rsidP="00651549">
      <w:pPr>
        <w:jc w:val="center"/>
        <w:rPr>
          <w:b/>
          <w:bCs/>
          <w:lang w:val="en-GB"/>
        </w:rPr>
      </w:pPr>
      <w:r w:rsidRPr="007250A8">
        <w:rPr>
          <w:noProof/>
          <w:lang w:val="en-GB"/>
        </w:rPr>
        <w:drawing>
          <wp:inline distT="0" distB="0" distL="0" distR="0" wp14:anchorId="655EACA7" wp14:editId="7C12814B">
            <wp:extent cx="4572000" cy="2791581"/>
            <wp:effectExtent l="0" t="0" r="0" b="8890"/>
            <wp:docPr id="28296156" name="Chart 1">
              <a:extLst xmlns:a="http://schemas.openxmlformats.org/drawingml/2006/main">
                <a:ext uri="{FF2B5EF4-FFF2-40B4-BE49-F238E27FC236}">
                  <a16:creationId xmlns:a16="http://schemas.microsoft.com/office/drawing/2014/main" id="{8CC44116-D11F-4880-B2B9-1230E66FD3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20ABD2D" w14:textId="5D7E67C7" w:rsidR="00651549" w:rsidRPr="007250A8" w:rsidRDefault="00651549" w:rsidP="00651549">
      <w:pPr>
        <w:jc w:val="center"/>
        <w:rPr>
          <w:b/>
          <w:bCs/>
          <w:lang w:val="en-GB"/>
        </w:rPr>
      </w:pPr>
      <w:r w:rsidRPr="007250A8">
        <w:rPr>
          <w:noProof/>
          <w:lang w:val="en-GB"/>
        </w:rPr>
        <w:drawing>
          <wp:inline distT="0" distB="0" distL="0" distR="0" wp14:anchorId="556037BA" wp14:editId="6746ACC4">
            <wp:extent cx="4572000" cy="2801257"/>
            <wp:effectExtent l="0" t="0" r="0" b="18415"/>
            <wp:docPr id="1206433510" name="Chart 1">
              <a:extLst xmlns:a="http://schemas.openxmlformats.org/drawingml/2006/main">
                <a:ext uri="{FF2B5EF4-FFF2-40B4-BE49-F238E27FC236}">
                  <a16:creationId xmlns:a16="http://schemas.microsoft.com/office/drawing/2014/main" id="{4FC3321B-5819-4FAA-B2B0-317514B7FF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0B38185" w14:textId="2658E9FC" w:rsidR="00651549" w:rsidRPr="007250A8" w:rsidRDefault="00651549" w:rsidP="00651549">
      <w:pPr>
        <w:jc w:val="center"/>
        <w:rPr>
          <w:b/>
          <w:bCs/>
          <w:lang w:val="en-GB"/>
        </w:rPr>
      </w:pPr>
      <w:r w:rsidRPr="007250A8">
        <w:rPr>
          <w:noProof/>
          <w:lang w:val="en-GB"/>
        </w:rPr>
        <w:lastRenderedPageBreak/>
        <w:drawing>
          <wp:inline distT="0" distB="0" distL="0" distR="0" wp14:anchorId="3C153174" wp14:editId="1416FEDE">
            <wp:extent cx="4568371" cy="2801258"/>
            <wp:effectExtent l="0" t="0" r="3810" b="18415"/>
            <wp:docPr id="1574261824" name="Chart 1">
              <a:extLst xmlns:a="http://schemas.openxmlformats.org/drawingml/2006/main">
                <a:ext uri="{FF2B5EF4-FFF2-40B4-BE49-F238E27FC236}">
                  <a16:creationId xmlns:a16="http://schemas.microsoft.com/office/drawing/2014/main" id="{7A8ECA7E-7B21-4E2E-BB2B-0B245F0196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A1012FA" w14:textId="6F98BBB0" w:rsidR="00651549" w:rsidRPr="007250A8" w:rsidRDefault="00651549" w:rsidP="00651549">
      <w:pPr>
        <w:jc w:val="center"/>
        <w:rPr>
          <w:b/>
          <w:bCs/>
          <w:lang w:val="en-GB"/>
        </w:rPr>
      </w:pPr>
      <w:r w:rsidRPr="007250A8">
        <w:rPr>
          <w:noProof/>
          <w:lang w:val="en-GB"/>
        </w:rPr>
        <w:drawing>
          <wp:inline distT="0" distB="0" distL="0" distR="0" wp14:anchorId="516534D7" wp14:editId="32A8F725">
            <wp:extent cx="4574419" cy="2801257"/>
            <wp:effectExtent l="0" t="0" r="17145" b="18415"/>
            <wp:docPr id="1091477227" name="Chart 1">
              <a:extLst xmlns:a="http://schemas.openxmlformats.org/drawingml/2006/main">
                <a:ext uri="{FF2B5EF4-FFF2-40B4-BE49-F238E27FC236}">
                  <a16:creationId xmlns:a16="http://schemas.microsoft.com/office/drawing/2014/main" id="{2ED0B963-42FF-452E-8631-2E8D78092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84BD10E" w14:textId="3694D5EE" w:rsidR="00651549" w:rsidRPr="007250A8" w:rsidRDefault="00651549" w:rsidP="00651549">
      <w:pPr>
        <w:pStyle w:val="Heading2"/>
        <w:rPr>
          <w:lang w:val="en-GB"/>
        </w:rPr>
      </w:pPr>
      <w:bookmarkStart w:id="48" w:name="_Toc237459819"/>
      <w:r w:rsidRPr="007250A8">
        <w:rPr>
          <w:lang w:val="en-GB"/>
        </w:rPr>
        <w:lastRenderedPageBreak/>
        <w:t>Appendix 2: Tend Analysis</w:t>
      </w:r>
      <w:bookmarkEnd w:id="48"/>
    </w:p>
    <w:p w14:paraId="7AC6206E" w14:textId="5F0ACAE7" w:rsidR="00651549" w:rsidRPr="007250A8" w:rsidRDefault="00651549" w:rsidP="00651549">
      <w:pPr>
        <w:jc w:val="center"/>
        <w:rPr>
          <w:lang w:val="en-GB" w:eastAsia="en-IN" w:bidi="ar-SA"/>
        </w:rPr>
      </w:pPr>
      <w:r w:rsidRPr="007250A8">
        <w:rPr>
          <w:noProof/>
          <w:lang w:val="en-GB"/>
        </w:rPr>
        <w:drawing>
          <wp:inline distT="0" distB="0" distL="0" distR="0" wp14:anchorId="3C16EAB1" wp14:editId="56365BEB">
            <wp:extent cx="4572000" cy="3131127"/>
            <wp:effectExtent l="0" t="0" r="0" b="12700"/>
            <wp:docPr id="653140456" name="Chart 1">
              <a:extLst xmlns:a="http://schemas.openxmlformats.org/drawingml/2006/main">
                <a:ext uri="{FF2B5EF4-FFF2-40B4-BE49-F238E27FC236}">
                  <a16:creationId xmlns:a16="http://schemas.microsoft.com/office/drawing/2014/main" id="{996ADD2E-E8F2-4D29-92E9-F50B7005CD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95FE85C" w14:textId="7FFC0E27" w:rsidR="00651549" w:rsidRPr="007250A8" w:rsidRDefault="00651549" w:rsidP="00651549">
      <w:pPr>
        <w:jc w:val="center"/>
        <w:rPr>
          <w:lang w:val="en-GB" w:eastAsia="en-IN" w:bidi="ar-SA"/>
        </w:rPr>
      </w:pPr>
      <w:r w:rsidRPr="007250A8">
        <w:rPr>
          <w:noProof/>
          <w:lang w:val="en-GB"/>
        </w:rPr>
        <w:drawing>
          <wp:inline distT="0" distB="0" distL="0" distR="0" wp14:anchorId="03B7FBA3" wp14:editId="443D4D4B">
            <wp:extent cx="4572000" cy="2880360"/>
            <wp:effectExtent l="0" t="0" r="0" b="15240"/>
            <wp:docPr id="2022360718" name="Chart 1">
              <a:extLst xmlns:a="http://schemas.openxmlformats.org/drawingml/2006/main">
                <a:ext uri="{FF2B5EF4-FFF2-40B4-BE49-F238E27FC236}">
                  <a16:creationId xmlns:a16="http://schemas.microsoft.com/office/drawing/2014/main" id="{B51DC4E1-4767-4FA4-BA7F-73505A0A42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25BBC86" w14:textId="21EB724E" w:rsidR="00651549" w:rsidRPr="007250A8" w:rsidRDefault="00651549" w:rsidP="00651549">
      <w:pPr>
        <w:jc w:val="center"/>
        <w:rPr>
          <w:lang w:val="en-GB" w:eastAsia="en-IN" w:bidi="ar-SA"/>
        </w:rPr>
      </w:pPr>
      <w:r w:rsidRPr="007250A8">
        <w:rPr>
          <w:noProof/>
          <w:lang w:val="en-GB"/>
        </w:rPr>
        <w:lastRenderedPageBreak/>
        <w:drawing>
          <wp:inline distT="0" distB="0" distL="0" distR="0" wp14:anchorId="608CCFAF" wp14:editId="2F615030">
            <wp:extent cx="5731510" cy="3176270"/>
            <wp:effectExtent l="0" t="0" r="2540" b="5080"/>
            <wp:docPr id="960100531" name="Chart 1">
              <a:extLst xmlns:a="http://schemas.openxmlformats.org/drawingml/2006/main">
                <a:ext uri="{FF2B5EF4-FFF2-40B4-BE49-F238E27FC236}">
                  <a16:creationId xmlns:a16="http://schemas.microsoft.com/office/drawing/2014/main" id="{00ECBDC8-42A3-4EDE-9321-613DC225A3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97C5B99" w14:textId="16D1FC11" w:rsidR="00651549" w:rsidRPr="007250A8" w:rsidRDefault="00651549" w:rsidP="00651549">
      <w:pPr>
        <w:jc w:val="center"/>
        <w:rPr>
          <w:lang w:val="en-GB" w:eastAsia="en-IN" w:bidi="ar-SA"/>
        </w:rPr>
      </w:pPr>
      <w:r w:rsidRPr="007250A8">
        <w:rPr>
          <w:noProof/>
          <w:lang w:val="en-GB"/>
        </w:rPr>
        <w:drawing>
          <wp:inline distT="0" distB="0" distL="0" distR="0" wp14:anchorId="10BFCE94" wp14:editId="44865D3B">
            <wp:extent cx="5731510" cy="3164840"/>
            <wp:effectExtent l="0" t="0" r="2540" b="16510"/>
            <wp:docPr id="683268944" name="Chart 1">
              <a:extLst xmlns:a="http://schemas.openxmlformats.org/drawingml/2006/main">
                <a:ext uri="{FF2B5EF4-FFF2-40B4-BE49-F238E27FC236}">
                  <a16:creationId xmlns:a16="http://schemas.microsoft.com/office/drawing/2014/main" id="{6D21DCB9-80F0-4679-9C08-CAC8B0CF9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6345FDCD" w14:textId="23A6C980" w:rsidR="00651549" w:rsidRPr="007250A8" w:rsidRDefault="00651549" w:rsidP="00651549">
      <w:pPr>
        <w:jc w:val="center"/>
        <w:rPr>
          <w:lang w:val="en-GB" w:eastAsia="en-IN" w:bidi="ar-SA"/>
        </w:rPr>
      </w:pPr>
      <w:r w:rsidRPr="007250A8">
        <w:rPr>
          <w:noProof/>
          <w:lang w:val="en-GB"/>
        </w:rPr>
        <w:lastRenderedPageBreak/>
        <w:drawing>
          <wp:inline distT="0" distB="0" distL="0" distR="0" wp14:anchorId="508CEBB2" wp14:editId="03B5D580">
            <wp:extent cx="5731510" cy="3585845"/>
            <wp:effectExtent l="0" t="0" r="2540" b="14605"/>
            <wp:docPr id="140362248" name="Chart 1">
              <a:extLst xmlns:a="http://schemas.openxmlformats.org/drawingml/2006/main">
                <a:ext uri="{FF2B5EF4-FFF2-40B4-BE49-F238E27FC236}">
                  <a16:creationId xmlns:a16="http://schemas.microsoft.com/office/drawing/2014/main" id="{39CA87FF-5608-4A8E-85CB-EAA3B0B5A1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50E4C680" w14:textId="7ED02758" w:rsidR="00651549" w:rsidRPr="007250A8" w:rsidRDefault="00651549" w:rsidP="00651549">
      <w:pPr>
        <w:jc w:val="center"/>
        <w:rPr>
          <w:lang w:val="en-GB" w:eastAsia="en-IN" w:bidi="ar-SA"/>
        </w:rPr>
      </w:pPr>
      <w:r w:rsidRPr="007250A8">
        <w:rPr>
          <w:noProof/>
          <w:lang w:val="en-GB"/>
        </w:rPr>
        <w:drawing>
          <wp:inline distT="0" distB="0" distL="0" distR="0" wp14:anchorId="128268BC" wp14:editId="068505EE">
            <wp:extent cx="5731510" cy="3529330"/>
            <wp:effectExtent l="0" t="0" r="2540" b="13970"/>
            <wp:docPr id="165032981" name="Chart 1">
              <a:extLst xmlns:a="http://schemas.openxmlformats.org/drawingml/2006/main">
                <a:ext uri="{FF2B5EF4-FFF2-40B4-BE49-F238E27FC236}">
                  <a16:creationId xmlns:a16="http://schemas.microsoft.com/office/drawing/2014/main" id="{9A399791-66CF-47BD-81D0-0DB16C9CD3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3C114D2F" w14:textId="0F7815F9" w:rsidR="00651549" w:rsidRPr="007250A8" w:rsidRDefault="00651549" w:rsidP="00651549">
      <w:pPr>
        <w:pStyle w:val="Heading2"/>
        <w:rPr>
          <w:lang w:val="en-GB"/>
        </w:rPr>
      </w:pPr>
      <w:bookmarkStart w:id="49" w:name="_Toc237459820"/>
      <w:r w:rsidRPr="007250A8">
        <w:rPr>
          <w:lang w:val="en-GB"/>
        </w:rPr>
        <w:t>Appendix 3</w:t>
      </w:r>
      <w:r w:rsidR="00EF46AA" w:rsidRPr="007250A8">
        <w:rPr>
          <w:lang w:val="en-GB"/>
        </w:rPr>
        <w:t xml:space="preserve">: </w:t>
      </w:r>
      <w:r w:rsidRPr="007250A8">
        <w:rPr>
          <w:lang w:val="en-GB"/>
        </w:rPr>
        <w:t>Cash Conversion Cycle</w:t>
      </w:r>
      <w:bookmarkEnd w:id="49"/>
    </w:p>
    <w:tbl>
      <w:tblPr>
        <w:tblW w:w="5000" w:type="pct"/>
        <w:tblLook w:val="04A0" w:firstRow="1" w:lastRow="0" w:firstColumn="1" w:lastColumn="0" w:noHBand="0" w:noVBand="1"/>
      </w:tblPr>
      <w:tblGrid>
        <w:gridCol w:w="4924"/>
        <w:gridCol w:w="1024"/>
        <w:gridCol w:w="767"/>
        <w:gridCol w:w="767"/>
        <w:gridCol w:w="767"/>
        <w:gridCol w:w="767"/>
      </w:tblGrid>
      <w:tr w:rsidR="00651549" w:rsidRPr="007250A8" w14:paraId="22D6216A" w14:textId="77777777" w:rsidTr="00651549">
        <w:trPr>
          <w:trHeight w:val="312"/>
        </w:trPr>
        <w:tc>
          <w:tcPr>
            <w:tcW w:w="2730" w:type="pct"/>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1264EC24" w14:textId="77777777" w:rsidR="00651549" w:rsidRPr="007250A8" w:rsidRDefault="00651549" w:rsidP="00651549">
            <w:pPr>
              <w:spacing w:before="0" w:after="0" w:line="240" w:lineRule="auto"/>
              <w:jc w:val="center"/>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Ratio</w:t>
            </w:r>
          </w:p>
        </w:tc>
        <w:tc>
          <w:tcPr>
            <w:tcW w:w="568" w:type="pct"/>
            <w:tcBorders>
              <w:top w:val="single" w:sz="4" w:space="0" w:color="auto"/>
              <w:left w:val="nil"/>
              <w:bottom w:val="single" w:sz="4" w:space="0" w:color="auto"/>
              <w:right w:val="single" w:sz="4" w:space="0" w:color="auto"/>
            </w:tcBorders>
            <w:shd w:val="clear" w:color="000000" w:fill="8EA9DB"/>
            <w:noWrap/>
            <w:vAlign w:val="center"/>
            <w:hideMark/>
          </w:tcPr>
          <w:p w14:paraId="44C3D89A"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2025</w:t>
            </w:r>
          </w:p>
        </w:tc>
        <w:tc>
          <w:tcPr>
            <w:tcW w:w="425" w:type="pct"/>
            <w:tcBorders>
              <w:top w:val="single" w:sz="4" w:space="0" w:color="auto"/>
              <w:left w:val="nil"/>
              <w:bottom w:val="single" w:sz="4" w:space="0" w:color="auto"/>
              <w:right w:val="single" w:sz="4" w:space="0" w:color="auto"/>
            </w:tcBorders>
            <w:shd w:val="clear" w:color="000000" w:fill="8EA9DB"/>
            <w:noWrap/>
            <w:vAlign w:val="center"/>
            <w:hideMark/>
          </w:tcPr>
          <w:p w14:paraId="28595647"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2024</w:t>
            </w:r>
          </w:p>
        </w:tc>
        <w:tc>
          <w:tcPr>
            <w:tcW w:w="425" w:type="pct"/>
            <w:tcBorders>
              <w:top w:val="single" w:sz="4" w:space="0" w:color="auto"/>
              <w:left w:val="nil"/>
              <w:bottom w:val="single" w:sz="4" w:space="0" w:color="auto"/>
              <w:right w:val="single" w:sz="4" w:space="0" w:color="auto"/>
            </w:tcBorders>
            <w:shd w:val="clear" w:color="000000" w:fill="8EA9DB"/>
            <w:noWrap/>
            <w:vAlign w:val="bottom"/>
            <w:hideMark/>
          </w:tcPr>
          <w:p w14:paraId="064F9C77"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2023</w:t>
            </w:r>
          </w:p>
        </w:tc>
        <w:tc>
          <w:tcPr>
            <w:tcW w:w="425" w:type="pct"/>
            <w:tcBorders>
              <w:top w:val="single" w:sz="4" w:space="0" w:color="auto"/>
              <w:left w:val="nil"/>
              <w:bottom w:val="single" w:sz="4" w:space="0" w:color="auto"/>
              <w:right w:val="single" w:sz="4" w:space="0" w:color="auto"/>
            </w:tcBorders>
            <w:shd w:val="clear" w:color="000000" w:fill="8EA9DB"/>
            <w:noWrap/>
            <w:vAlign w:val="center"/>
            <w:hideMark/>
          </w:tcPr>
          <w:p w14:paraId="37323D53"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2022</w:t>
            </w:r>
          </w:p>
        </w:tc>
        <w:tc>
          <w:tcPr>
            <w:tcW w:w="425" w:type="pct"/>
            <w:tcBorders>
              <w:top w:val="single" w:sz="4" w:space="0" w:color="auto"/>
              <w:left w:val="nil"/>
              <w:bottom w:val="single" w:sz="4" w:space="0" w:color="auto"/>
              <w:right w:val="single" w:sz="4" w:space="0" w:color="auto"/>
            </w:tcBorders>
            <w:shd w:val="clear" w:color="000000" w:fill="8EA9DB"/>
            <w:noWrap/>
            <w:vAlign w:val="center"/>
            <w:hideMark/>
          </w:tcPr>
          <w:p w14:paraId="1D67668E"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2021</w:t>
            </w:r>
          </w:p>
        </w:tc>
      </w:tr>
      <w:tr w:rsidR="00651549" w:rsidRPr="007250A8" w14:paraId="253163E1"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0BCCB275"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Cost of Sales</w:t>
            </w:r>
          </w:p>
        </w:tc>
        <w:tc>
          <w:tcPr>
            <w:tcW w:w="568" w:type="pct"/>
            <w:tcBorders>
              <w:top w:val="nil"/>
              <w:left w:val="nil"/>
              <w:bottom w:val="single" w:sz="4" w:space="0" w:color="auto"/>
              <w:right w:val="single" w:sz="4" w:space="0" w:color="auto"/>
            </w:tcBorders>
            <w:shd w:val="clear" w:color="000000" w:fill="8EA9DB"/>
            <w:noWrap/>
            <w:vAlign w:val="center"/>
            <w:hideMark/>
          </w:tcPr>
          <w:p w14:paraId="46E6E8E7"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21,016</w:t>
            </w:r>
          </w:p>
        </w:tc>
        <w:tc>
          <w:tcPr>
            <w:tcW w:w="425" w:type="pct"/>
            <w:tcBorders>
              <w:top w:val="nil"/>
              <w:left w:val="nil"/>
              <w:bottom w:val="single" w:sz="4" w:space="0" w:color="auto"/>
              <w:right w:val="single" w:sz="4" w:space="0" w:color="auto"/>
            </w:tcBorders>
            <w:shd w:val="clear" w:color="000000" w:fill="8EA9DB"/>
            <w:noWrap/>
            <w:vAlign w:val="center"/>
            <w:hideMark/>
          </w:tcPr>
          <w:p w14:paraId="2381BAD0"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20,276</w:t>
            </w:r>
          </w:p>
        </w:tc>
        <w:tc>
          <w:tcPr>
            <w:tcW w:w="425" w:type="pct"/>
            <w:tcBorders>
              <w:top w:val="nil"/>
              <w:left w:val="nil"/>
              <w:bottom w:val="single" w:sz="4" w:space="0" w:color="auto"/>
              <w:right w:val="single" w:sz="4" w:space="0" w:color="auto"/>
            </w:tcBorders>
            <w:shd w:val="clear" w:color="000000" w:fill="8EA9DB"/>
            <w:noWrap/>
            <w:vAlign w:val="bottom"/>
            <w:hideMark/>
          </w:tcPr>
          <w:p w14:paraId="42E88FAF"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18,889</w:t>
            </w:r>
          </w:p>
        </w:tc>
        <w:tc>
          <w:tcPr>
            <w:tcW w:w="425" w:type="pct"/>
            <w:tcBorders>
              <w:top w:val="nil"/>
              <w:left w:val="nil"/>
              <w:bottom w:val="single" w:sz="4" w:space="0" w:color="auto"/>
              <w:right w:val="single" w:sz="4" w:space="0" w:color="auto"/>
            </w:tcBorders>
            <w:shd w:val="clear" w:color="000000" w:fill="8EA9DB"/>
            <w:noWrap/>
            <w:vAlign w:val="bottom"/>
            <w:hideMark/>
          </w:tcPr>
          <w:p w14:paraId="6EDD0968"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16,695</w:t>
            </w:r>
          </w:p>
        </w:tc>
        <w:tc>
          <w:tcPr>
            <w:tcW w:w="425" w:type="pct"/>
            <w:tcBorders>
              <w:top w:val="nil"/>
              <w:left w:val="nil"/>
              <w:bottom w:val="single" w:sz="4" w:space="0" w:color="auto"/>
              <w:right w:val="single" w:sz="4" w:space="0" w:color="auto"/>
            </w:tcBorders>
            <w:shd w:val="clear" w:color="000000" w:fill="8EA9DB"/>
            <w:noWrap/>
            <w:vAlign w:val="bottom"/>
            <w:hideMark/>
          </w:tcPr>
          <w:p w14:paraId="30BEDD02"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11,163</w:t>
            </w:r>
          </w:p>
        </w:tc>
      </w:tr>
      <w:tr w:rsidR="00651549" w:rsidRPr="007250A8" w14:paraId="72FF8AAA" w14:textId="77777777" w:rsidTr="00651549">
        <w:trPr>
          <w:trHeight w:val="300"/>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72D17385"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Average Inventory</w:t>
            </w:r>
          </w:p>
        </w:tc>
        <w:tc>
          <w:tcPr>
            <w:tcW w:w="568" w:type="pct"/>
            <w:tcBorders>
              <w:top w:val="nil"/>
              <w:left w:val="nil"/>
              <w:bottom w:val="single" w:sz="4" w:space="0" w:color="auto"/>
              <w:right w:val="single" w:sz="4" w:space="0" w:color="auto"/>
            </w:tcBorders>
            <w:shd w:val="clear" w:color="000000" w:fill="8EA9DB"/>
            <w:noWrap/>
            <w:vAlign w:val="center"/>
            <w:hideMark/>
          </w:tcPr>
          <w:p w14:paraId="6849ABC7"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317</w:t>
            </w:r>
          </w:p>
        </w:tc>
        <w:tc>
          <w:tcPr>
            <w:tcW w:w="425" w:type="pct"/>
            <w:tcBorders>
              <w:top w:val="nil"/>
              <w:left w:val="nil"/>
              <w:bottom w:val="single" w:sz="4" w:space="0" w:color="auto"/>
              <w:right w:val="single" w:sz="4" w:space="0" w:color="auto"/>
            </w:tcBorders>
            <w:shd w:val="clear" w:color="000000" w:fill="8EA9DB"/>
            <w:noWrap/>
            <w:vAlign w:val="center"/>
            <w:hideMark/>
          </w:tcPr>
          <w:p w14:paraId="6D4FD1E0"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294</w:t>
            </w:r>
          </w:p>
        </w:tc>
        <w:tc>
          <w:tcPr>
            <w:tcW w:w="425" w:type="pct"/>
            <w:tcBorders>
              <w:top w:val="nil"/>
              <w:left w:val="nil"/>
              <w:bottom w:val="single" w:sz="4" w:space="0" w:color="auto"/>
              <w:right w:val="single" w:sz="4" w:space="0" w:color="auto"/>
            </w:tcBorders>
            <w:shd w:val="clear" w:color="000000" w:fill="8EA9DB"/>
            <w:noWrap/>
            <w:vAlign w:val="center"/>
            <w:hideMark/>
          </w:tcPr>
          <w:p w14:paraId="2A335D63"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233</w:t>
            </w:r>
          </w:p>
        </w:tc>
        <w:tc>
          <w:tcPr>
            <w:tcW w:w="425" w:type="pct"/>
            <w:tcBorders>
              <w:top w:val="nil"/>
              <w:left w:val="nil"/>
              <w:bottom w:val="single" w:sz="4" w:space="0" w:color="auto"/>
              <w:right w:val="single" w:sz="4" w:space="0" w:color="auto"/>
            </w:tcBorders>
            <w:shd w:val="clear" w:color="000000" w:fill="8EA9DB"/>
            <w:noWrap/>
            <w:vAlign w:val="center"/>
            <w:hideMark/>
          </w:tcPr>
          <w:p w14:paraId="0F925EBB"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235</w:t>
            </w:r>
          </w:p>
        </w:tc>
        <w:tc>
          <w:tcPr>
            <w:tcW w:w="425" w:type="pct"/>
            <w:tcBorders>
              <w:top w:val="nil"/>
              <w:left w:val="nil"/>
              <w:bottom w:val="single" w:sz="4" w:space="0" w:color="auto"/>
              <w:right w:val="single" w:sz="4" w:space="0" w:color="auto"/>
            </w:tcBorders>
            <w:shd w:val="clear" w:color="000000" w:fill="8EA9DB"/>
            <w:noWrap/>
            <w:vAlign w:val="center"/>
            <w:hideMark/>
          </w:tcPr>
          <w:p w14:paraId="7D48F582"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251</w:t>
            </w:r>
          </w:p>
        </w:tc>
      </w:tr>
      <w:tr w:rsidR="00651549" w:rsidRPr="007250A8" w14:paraId="6E68AEE1" w14:textId="77777777" w:rsidTr="00651549">
        <w:trPr>
          <w:trHeight w:val="300"/>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50778123"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lastRenderedPageBreak/>
              <w:t>Sales</w:t>
            </w:r>
          </w:p>
        </w:tc>
        <w:tc>
          <w:tcPr>
            <w:tcW w:w="568" w:type="pct"/>
            <w:tcBorders>
              <w:top w:val="nil"/>
              <w:left w:val="nil"/>
              <w:bottom w:val="single" w:sz="4" w:space="0" w:color="auto"/>
              <w:right w:val="single" w:sz="4" w:space="0" w:color="auto"/>
            </w:tcBorders>
            <w:shd w:val="clear" w:color="000000" w:fill="8EA9DB"/>
            <w:noWrap/>
            <w:vAlign w:val="center"/>
            <w:hideMark/>
          </w:tcPr>
          <w:p w14:paraId="13A1EC6A"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26,186</w:t>
            </w:r>
          </w:p>
        </w:tc>
        <w:tc>
          <w:tcPr>
            <w:tcW w:w="425" w:type="pct"/>
            <w:tcBorders>
              <w:top w:val="nil"/>
              <w:left w:val="nil"/>
              <w:bottom w:val="single" w:sz="4" w:space="0" w:color="auto"/>
              <w:right w:val="single" w:sz="4" w:space="0" w:color="auto"/>
            </w:tcBorders>
            <w:shd w:val="clear" w:color="000000" w:fill="8EA9DB"/>
            <w:noWrap/>
            <w:vAlign w:val="center"/>
            <w:hideMark/>
          </w:tcPr>
          <w:p w14:paraId="45F76A09"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25,100</w:t>
            </w:r>
          </w:p>
        </w:tc>
        <w:tc>
          <w:tcPr>
            <w:tcW w:w="425" w:type="pct"/>
            <w:tcBorders>
              <w:top w:val="nil"/>
              <w:left w:val="nil"/>
              <w:bottom w:val="single" w:sz="4" w:space="0" w:color="auto"/>
              <w:right w:val="single" w:sz="4" w:space="0" w:color="auto"/>
            </w:tcBorders>
            <w:shd w:val="clear" w:color="000000" w:fill="8EA9DB"/>
            <w:noWrap/>
            <w:vAlign w:val="center"/>
            <w:hideMark/>
          </w:tcPr>
          <w:p w14:paraId="3FABB8B5"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23,713</w:t>
            </w:r>
          </w:p>
        </w:tc>
        <w:tc>
          <w:tcPr>
            <w:tcW w:w="425" w:type="pct"/>
            <w:tcBorders>
              <w:top w:val="nil"/>
              <w:left w:val="nil"/>
              <w:bottom w:val="single" w:sz="4" w:space="0" w:color="auto"/>
              <w:right w:val="single" w:sz="4" w:space="0" w:color="auto"/>
            </w:tcBorders>
            <w:shd w:val="clear" w:color="000000" w:fill="8EA9DB"/>
            <w:noWrap/>
            <w:vAlign w:val="center"/>
            <w:hideMark/>
          </w:tcPr>
          <w:p w14:paraId="39D9BEA3"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20,773</w:t>
            </w:r>
          </w:p>
        </w:tc>
        <w:tc>
          <w:tcPr>
            <w:tcW w:w="425" w:type="pct"/>
            <w:tcBorders>
              <w:top w:val="nil"/>
              <w:left w:val="nil"/>
              <w:bottom w:val="single" w:sz="4" w:space="0" w:color="auto"/>
              <w:right w:val="single" w:sz="4" w:space="0" w:color="auto"/>
            </w:tcBorders>
            <w:shd w:val="clear" w:color="000000" w:fill="8EA9DB"/>
            <w:noWrap/>
            <w:vAlign w:val="center"/>
            <w:hideMark/>
          </w:tcPr>
          <w:p w14:paraId="7173469B"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13,857</w:t>
            </w:r>
          </w:p>
        </w:tc>
      </w:tr>
      <w:tr w:rsidR="00651549" w:rsidRPr="007250A8" w14:paraId="25A11A86" w14:textId="77777777" w:rsidTr="00651549">
        <w:trPr>
          <w:trHeight w:val="300"/>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4109D045"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Accounts Receivable</w:t>
            </w:r>
          </w:p>
        </w:tc>
        <w:tc>
          <w:tcPr>
            <w:tcW w:w="568" w:type="pct"/>
            <w:tcBorders>
              <w:top w:val="nil"/>
              <w:left w:val="nil"/>
              <w:bottom w:val="single" w:sz="4" w:space="0" w:color="auto"/>
              <w:right w:val="single" w:sz="4" w:space="0" w:color="auto"/>
            </w:tcBorders>
            <w:shd w:val="clear" w:color="000000" w:fill="8EA9DB"/>
            <w:noWrap/>
            <w:vAlign w:val="center"/>
            <w:hideMark/>
          </w:tcPr>
          <w:p w14:paraId="3087BB83"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2,909</w:t>
            </w:r>
          </w:p>
        </w:tc>
        <w:tc>
          <w:tcPr>
            <w:tcW w:w="425" w:type="pct"/>
            <w:tcBorders>
              <w:top w:val="nil"/>
              <w:left w:val="nil"/>
              <w:bottom w:val="single" w:sz="4" w:space="0" w:color="auto"/>
              <w:right w:val="single" w:sz="4" w:space="0" w:color="auto"/>
            </w:tcBorders>
            <w:shd w:val="clear" w:color="000000" w:fill="8EA9DB"/>
            <w:noWrap/>
            <w:vAlign w:val="center"/>
            <w:hideMark/>
          </w:tcPr>
          <w:p w14:paraId="62315F43"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2,795</w:t>
            </w:r>
          </w:p>
        </w:tc>
        <w:tc>
          <w:tcPr>
            <w:tcW w:w="425" w:type="pct"/>
            <w:tcBorders>
              <w:top w:val="nil"/>
              <w:left w:val="nil"/>
              <w:bottom w:val="single" w:sz="4" w:space="0" w:color="auto"/>
              <w:right w:val="single" w:sz="4" w:space="0" w:color="auto"/>
            </w:tcBorders>
            <w:shd w:val="clear" w:color="000000" w:fill="8EA9DB"/>
            <w:noWrap/>
            <w:vAlign w:val="center"/>
            <w:hideMark/>
          </w:tcPr>
          <w:p w14:paraId="1B2082E8"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2,712</w:t>
            </w:r>
          </w:p>
        </w:tc>
        <w:tc>
          <w:tcPr>
            <w:tcW w:w="425" w:type="pct"/>
            <w:tcBorders>
              <w:top w:val="nil"/>
              <w:left w:val="nil"/>
              <w:bottom w:val="single" w:sz="4" w:space="0" w:color="auto"/>
              <w:right w:val="single" w:sz="4" w:space="0" w:color="auto"/>
            </w:tcBorders>
            <w:shd w:val="clear" w:color="000000" w:fill="8EA9DB"/>
            <w:noWrap/>
            <w:vAlign w:val="center"/>
            <w:hideMark/>
          </w:tcPr>
          <w:p w14:paraId="494AB188"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2,571</w:t>
            </w:r>
          </w:p>
        </w:tc>
        <w:tc>
          <w:tcPr>
            <w:tcW w:w="425" w:type="pct"/>
            <w:tcBorders>
              <w:top w:val="nil"/>
              <w:left w:val="nil"/>
              <w:bottom w:val="single" w:sz="4" w:space="0" w:color="auto"/>
              <w:right w:val="single" w:sz="4" w:space="0" w:color="auto"/>
            </w:tcBorders>
            <w:shd w:val="clear" w:color="000000" w:fill="8EA9DB"/>
            <w:noWrap/>
            <w:vAlign w:val="center"/>
            <w:hideMark/>
          </w:tcPr>
          <w:p w14:paraId="51899189"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1,982</w:t>
            </w:r>
          </w:p>
        </w:tc>
      </w:tr>
      <w:tr w:rsidR="00651549" w:rsidRPr="007250A8" w14:paraId="0C64EAFB"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308353C8"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Inventory Turnover = Cost of Sales / Average Inventory</w:t>
            </w:r>
          </w:p>
        </w:tc>
        <w:tc>
          <w:tcPr>
            <w:tcW w:w="568" w:type="pct"/>
            <w:tcBorders>
              <w:top w:val="nil"/>
              <w:left w:val="nil"/>
              <w:bottom w:val="single" w:sz="4" w:space="0" w:color="auto"/>
              <w:right w:val="single" w:sz="4" w:space="0" w:color="auto"/>
            </w:tcBorders>
            <w:shd w:val="clear" w:color="000000" w:fill="8EA9DB"/>
            <w:noWrap/>
            <w:vAlign w:val="center"/>
            <w:hideMark/>
          </w:tcPr>
          <w:p w14:paraId="3931F5F9"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66.30</w:t>
            </w:r>
          </w:p>
        </w:tc>
        <w:tc>
          <w:tcPr>
            <w:tcW w:w="425" w:type="pct"/>
            <w:tcBorders>
              <w:top w:val="nil"/>
              <w:left w:val="nil"/>
              <w:bottom w:val="single" w:sz="4" w:space="0" w:color="auto"/>
              <w:right w:val="single" w:sz="4" w:space="0" w:color="auto"/>
            </w:tcBorders>
            <w:shd w:val="clear" w:color="000000" w:fill="8EA9DB"/>
            <w:noWrap/>
            <w:vAlign w:val="center"/>
            <w:hideMark/>
          </w:tcPr>
          <w:p w14:paraId="4CB634E3"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68.97</w:t>
            </w:r>
          </w:p>
        </w:tc>
        <w:tc>
          <w:tcPr>
            <w:tcW w:w="425" w:type="pct"/>
            <w:tcBorders>
              <w:top w:val="nil"/>
              <w:left w:val="nil"/>
              <w:bottom w:val="single" w:sz="4" w:space="0" w:color="auto"/>
              <w:right w:val="single" w:sz="4" w:space="0" w:color="auto"/>
            </w:tcBorders>
            <w:shd w:val="clear" w:color="000000" w:fill="8EA9DB"/>
            <w:noWrap/>
            <w:vAlign w:val="center"/>
            <w:hideMark/>
          </w:tcPr>
          <w:p w14:paraId="0517C3BB"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81.07</w:t>
            </w:r>
          </w:p>
        </w:tc>
        <w:tc>
          <w:tcPr>
            <w:tcW w:w="425" w:type="pct"/>
            <w:tcBorders>
              <w:top w:val="nil"/>
              <w:left w:val="nil"/>
              <w:bottom w:val="single" w:sz="4" w:space="0" w:color="auto"/>
              <w:right w:val="single" w:sz="4" w:space="0" w:color="auto"/>
            </w:tcBorders>
            <w:shd w:val="clear" w:color="000000" w:fill="8EA9DB"/>
            <w:noWrap/>
            <w:vAlign w:val="center"/>
            <w:hideMark/>
          </w:tcPr>
          <w:p w14:paraId="7BBC998C"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71.04</w:t>
            </w:r>
          </w:p>
        </w:tc>
        <w:tc>
          <w:tcPr>
            <w:tcW w:w="425" w:type="pct"/>
            <w:tcBorders>
              <w:top w:val="nil"/>
              <w:left w:val="nil"/>
              <w:bottom w:val="single" w:sz="4" w:space="0" w:color="auto"/>
              <w:right w:val="single" w:sz="4" w:space="0" w:color="auto"/>
            </w:tcBorders>
            <w:shd w:val="clear" w:color="000000" w:fill="8EA9DB"/>
            <w:noWrap/>
            <w:vAlign w:val="center"/>
            <w:hideMark/>
          </w:tcPr>
          <w:p w14:paraId="0D5B8E0B"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44.47</w:t>
            </w:r>
          </w:p>
        </w:tc>
      </w:tr>
      <w:tr w:rsidR="00651549" w:rsidRPr="007250A8" w14:paraId="09F1A206"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8EA9DB"/>
            <w:noWrap/>
            <w:vAlign w:val="center"/>
            <w:hideMark/>
          </w:tcPr>
          <w:p w14:paraId="16974E64"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Receivable Turnover = Sales / Accounts Receivable</w:t>
            </w:r>
          </w:p>
        </w:tc>
        <w:tc>
          <w:tcPr>
            <w:tcW w:w="568" w:type="pct"/>
            <w:tcBorders>
              <w:top w:val="nil"/>
              <w:left w:val="nil"/>
              <w:bottom w:val="single" w:sz="4" w:space="0" w:color="auto"/>
              <w:right w:val="single" w:sz="4" w:space="0" w:color="auto"/>
            </w:tcBorders>
            <w:shd w:val="clear" w:color="000000" w:fill="8EA9DB"/>
            <w:noWrap/>
            <w:vAlign w:val="center"/>
            <w:hideMark/>
          </w:tcPr>
          <w:p w14:paraId="45A71670"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9.00</w:t>
            </w:r>
          </w:p>
        </w:tc>
        <w:tc>
          <w:tcPr>
            <w:tcW w:w="425" w:type="pct"/>
            <w:tcBorders>
              <w:top w:val="nil"/>
              <w:left w:val="nil"/>
              <w:bottom w:val="single" w:sz="4" w:space="0" w:color="auto"/>
              <w:right w:val="single" w:sz="4" w:space="0" w:color="auto"/>
            </w:tcBorders>
            <w:shd w:val="clear" w:color="000000" w:fill="8EA9DB"/>
            <w:noWrap/>
            <w:vAlign w:val="center"/>
            <w:hideMark/>
          </w:tcPr>
          <w:p w14:paraId="3614A4CC"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8.98</w:t>
            </w:r>
          </w:p>
        </w:tc>
        <w:tc>
          <w:tcPr>
            <w:tcW w:w="425" w:type="pct"/>
            <w:tcBorders>
              <w:top w:val="nil"/>
              <w:left w:val="nil"/>
              <w:bottom w:val="single" w:sz="4" w:space="0" w:color="auto"/>
              <w:right w:val="single" w:sz="4" w:space="0" w:color="auto"/>
            </w:tcBorders>
            <w:shd w:val="clear" w:color="000000" w:fill="8EA9DB"/>
            <w:noWrap/>
            <w:vAlign w:val="center"/>
            <w:hideMark/>
          </w:tcPr>
          <w:p w14:paraId="51030558"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8.74</w:t>
            </w:r>
          </w:p>
        </w:tc>
        <w:tc>
          <w:tcPr>
            <w:tcW w:w="425" w:type="pct"/>
            <w:tcBorders>
              <w:top w:val="nil"/>
              <w:left w:val="nil"/>
              <w:bottom w:val="single" w:sz="4" w:space="0" w:color="auto"/>
              <w:right w:val="single" w:sz="4" w:space="0" w:color="auto"/>
            </w:tcBorders>
            <w:shd w:val="clear" w:color="000000" w:fill="8EA9DB"/>
            <w:noWrap/>
            <w:vAlign w:val="center"/>
            <w:hideMark/>
          </w:tcPr>
          <w:p w14:paraId="7BF0D5A2"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8.08</w:t>
            </w:r>
          </w:p>
        </w:tc>
        <w:tc>
          <w:tcPr>
            <w:tcW w:w="425" w:type="pct"/>
            <w:tcBorders>
              <w:top w:val="nil"/>
              <w:left w:val="nil"/>
              <w:bottom w:val="single" w:sz="4" w:space="0" w:color="auto"/>
              <w:right w:val="single" w:sz="4" w:space="0" w:color="auto"/>
            </w:tcBorders>
            <w:shd w:val="clear" w:color="000000" w:fill="8EA9DB"/>
            <w:noWrap/>
            <w:vAlign w:val="center"/>
            <w:hideMark/>
          </w:tcPr>
          <w:p w14:paraId="6140B1CB"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6.99</w:t>
            </w:r>
          </w:p>
        </w:tc>
      </w:tr>
      <w:tr w:rsidR="00651549" w:rsidRPr="007250A8" w14:paraId="6E9AA3F1" w14:textId="77777777" w:rsidTr="00651549">
        <w:trPr>
          <w:trHeight w:val="312"/>
        </w:trPr>
        <w:tc>
          <w:tcPr>
            <w:tcW w:w="2730" w:type="pct"/>
            <w:tcBorders>
              <w:top w:val="nil"/>
              <w:left w:val="nil"/>
              <w:bottom w:val="nil"/>
              <w:right w:val="nil"/>
            </w:tcBorders>
            <w:noWrap/>
            <w:vAlign w:val="bottom"/>
            <w:hideMark/>
          </w:tcPr>
          <w:p w14:paraId="15E17B87"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p>
        </w:tc>
        <w:tc>
          <w:tcPr>
            <w:tcW w:w="568" w:type="pct"/>
            <w:tcBorders>
              <w:top w:val="nil"/>
              <w:left w:val="nil"/>
              <w:bottom w:val="nil"/>
              <w:right w:val="nil"/>
            </w:tcBorders>
            <w:noWrap/>
            <w:vAlign w:val="bottom"/>
            <w:hideMark/>
          </w:tcPr>
          <w:p w14:paraId="064C9821" w14:textId="77777777" w:rsidR="00651549" w:rsidRPr="007250A8" w:rsidRDefault="00651549" w:rsidP="00651549">
            <w:pPr>
              <w:spacing w:before="0" w:after="0" w:line="240" w:lineRule="auto"/>
              <w:jc w:val="left"/>
              <w:rPr>
                <w:rFonts w:ascii="Times New Roman" w:eastAsia="Times New Roman" w:hAnsi="Times New Roman" w:cs="Times New Roman"/>
                <w:kern w:val="0"/>
                <w:sz w:val="18"/>
                <w:szCs w:val="18"/>
                <w:lang w:val="en-GB" w:eastAsia="en-IN" w:bidi="ar-SA"/>
                <w14:ligatures w14:val="none"/>
              </w:rPr>
            </w:pPr>
          </w:p>
        </w:tc>
        <w:tc>
          <w:tcPr>
            <w:tcW w:w="425" w:type="pct"/>
            <w:tcBorders>
              <w:top w:val="nil"/>
              <w:left w:val="nil"/>
              <w:bottom w:val="nil"/>
              <w:right w:val="nil"/>
            </w:tcBorders>
            <w:noWrap/>
            <w:vAlign w:val="bottom"/>
            <w:hideMark/>
          </w:tcPr>
          <w:p w14:paraId="4374D24D" w14:textId="77777777" w:rsidR="00651549" w:rsidRPr="007250A8" w:rsidRDefault="00651549" w:rsidP="00651549">
            <w:pPr>
              <w:spacing w:before="0" w:after="0" w:line="240" w:lineRule="auto"/>
              <w:jc w:val="left"/>
              <w:rPr>
                <w:rFonts w:ascii="Times New Roman" w:eastAsia="Times New Roman" w:hAnsi="Times New Roman" w:cs="Times New Roman"/>
                <w:kern w:val="0"/>
                <w:sz w:val="18"/>
                <w:szCs w:val="18"/>
                <w:lang w:val="en-GB" w:eastAsia="en-IN" w:bidi="ar-SA"/>
                <w14:ligatures w14:val="none"/>
              </w:rPr>
            </w:pPr>
          </w:p>
        </w:tc>
        <w:tc>
          <w:tcPr>
            <w:tcW w:w="425" w:type="pct"/>
            <w:tcBorders>
              <w:top w:val="nil"/>
              <w:left w:val="nil"/>
              <w:bottom w:val="nil"/>
              <w:right w:val="nil"/>
            </w:tcBorders>
            <w:noWrap/>
            <w:vAlign w:val="bottom"/>
            <w:hideMark/>
          </w:tcPr>
          <w:p w14:paraId="73B4A32B" w14:textId="77777777" w:rsidR="00651549" w:rsidRPr="007250A8" w:rsidRDefault="00651549" w:rsidP="00651549">
            <w:pPr>
              <w:spacing w:before="0" w:after="0" w:line="240" w:lineRule="auto"/>
              <w:jc w:val="left"/>
              <w:rPr>
                <w:rFonts w:ascii="Times New Roman" w:eastAsia="Times New Roman" w:hAnsi="Times New Roman" w:cs="Times New Roman"/>
                <w:kern w:val="0"/>
                <w:sz w:val="18"/>
                <w:szCs w:val="18"/>
                <w:lang w:val="en-GB" w:eastAsia="en-IN" w:bidi="ar-SA"/>
                <w14:ligatures w14:val="none"/>
              </w:rPr>
            </w:pPr>
          </w:p>
        </w:tc>
        <w:tc>
          <w:tcPr>
            <w:tcW w:w="425" w:type="pct"/>
            <w:tcBorders>
              <w:top w:val="nil"/>
              <w:left w:val="nil"/>
              <w:bottom w:val="nil"/>
              <w:right w:val="nil"/>
            </w:tcBorders>
            <w:noWrap/>
            <w:vAlign w:val="bottom"/>
            <w:hideMark/>
          </w:tcPr>
          <w:p w14:paraId="73E4A899" w14:textId="77777777" w:rsidR="00651549" w:rsidRPr="007250A8" w:rsidRDefault="00651549" w:rsidP="00651549">
            <w:pPr>
              <w:spacing w:before="0" w:after="0" w:line="240" w:lineRule="auto"/>
              <w:jc w:val="left"/>
              <w:rPr>
                <w:rFonts w:ascii="Times New Roman" w:eastAsia="Times New Roman" w:hAnsi="Times New Roman" w:cs="Times New Roman"/>
                <w:kern w:val="0"/>
                <w:sz w:val="18"/>
                <w:szCs w:val="18"/>
                <w:lang w:val="en-GB" w:eastAsia="en-IN" w:bidi="ar-SA"/>
                <w14:ligatures w14:val="none"/>
              </w:rPr>
            </w:pPr>
          </w:p>
        </w:tc>
        <w:tc>
          <w:tcPr>
            <w:tcW w:w="425" w:type="pct"/>
            <w:tcBorders>
              <w:top w:val="nil"/>
              <w:left w:val="nil"/>
              <w:bottom w:val="nil"/>
              <w:right w:val="nil"/>
            </w:tcBorders>
            <w:noWrap/>
            <w:vAlign w:val="bottom"/>
            <w:hideMark/>
          </w:tcPr>
          <w:p w14:paraId="2624D8B7" w14:textId="77777777" w:rsidR="00651549" w:rsidRPr="007250A8" w:rsidRDefault="00651549" w:rsidP="00651549">
            <w:pPr>
              <w:spacing w:before="0" w:after="0" w:line="240" w:lineRule="auto"/>
              <w:jc w:val="left"/>
              <w:rPr>
                <w:rFonts w:ascii="Times New Roman" w:eastAsia="Times New Roman" w:hAnsi="Times New Roman" w:cs="Times New Roman"/>
                <w:kern w:val="0"/>
                <w:sz w:val="18"/>
                <w:szCs w:val="18"/>
                <w:lang w:val="en-GB" w:eastAsia="en-IN" w:bidi="ar-SA"/>
                <w14:ligatures w14:val="none"/>
              </w:rPr>
            </w:pPr>
          </w:p>
        </w:tc>
      </w:tr>
      <w:tr w:rsidR="00651549" w:rsidRPr="007250A8" w14:paraId="539BD903" w14:textId="77777777" w:rsidTr="00651549">
        <w:trPr>
          <w:trHeight w:val="312"/>
        </w:trPr>
        <w:tc>
          <w:tcPr>
            <w:tcW w:w="2730" w:type="pct"/>
            <w:tcBorders>
              <w:top w:val="single" w:sz="4" w:space="0" w:color="auto"/>
              <w:left w:val="single" w:sz="4" w:space="0" w:color="auto"/>
              <w:bottom w:val="single" w:sz="4" w:space="0" w:color="auto"/>
              <w:right w:val="single" w:sz="4" w:space="0" w:color="auto"/>
            </w:tcBorders>
            <w:shd w:val="clear" w:color="000000" w:fill="C9C9C9"/>
            <w:noWrap/>
            <w:vAlign w:val="bottom"/>
            <w:hideMark/>
          </w:tcPr>
          <w:p w14:paraId="3D904EFC" w14:textId="77777777"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Ratio</w:t>
            </w:r>
          </w:p>
        </w:tc>
        <w:tc>
          <w:tcPr>
            <w:tcW w:w="568" w:type="pct"/>
            <w:tcBorders>
              <w:top w:val="single" w:sz="4" w:space="0" w:color="auto"/>
              <w:left w:val="nil"/>
              <w:bottom w:val="single" w:sz="4" w:space="0" w:color="auto"/>
              <w:right w:val="single" w:sz="4" w:space="0" w:color="auto"/>
            </w:tcBorders>
            <w:shd w:val="clear" w:color="000000" w:fill="C9C9C9"/>
            <w:noWrap/>
            <w:vAlign w:val="bottom"/>
            <w:hideMark/>
          </w:tcPr>
          <w:p w14:paraId="6432EBE4"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2025</w:t>
            </w:r>
          </w:p>
        </w:tc>
        <w:tc>
          <w:tcPr>
            <w:tcW w:w="425" w:type="pct"/>
            <w:tcBorders>
              <w:top w:val="single" w:sz="4" w:space="0" w:color="auto"/>
              <w:left w:val="nil"/>
              <w:bottom w:val="single" w:sz="4" w:space="0" w:color="auto"/>
              <w:right w:val="single" w:sz="4" w:space="0" w:color="auto"/>
            </w:tcBorders>
            <w:shd w:val="clear" w:color="000000" w:fill="C9C9C9"/>
            <w:noWrap/>
            <w:vAlign w:val="bottom"/>
            <w:hideMark/>
          </w:tcPr>
          <w:p w14:paraId="10907B93"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2024</w:t>
            </w:r>
          </w:p>
        </w:tc>
        <w:tc>
          <w:tcPr>
            <w:tcW w:w="425" w:type="pct"/>
            <w:tcBorders>
              <w:top w:val="single" w:sz="4" w:space="0" w:color="auto"/>
              <w:left w:val="nil"/>
              <w:bottom w:val="single" w:sz="4" w:space="0" w:color="auto"/>
              <w:right w:val="single" w:sz="4" w:space="0" w:color="auto"/>
            </w:tcBorders>
            <w:shd w:val="clear" w:color="000000" w:fill="C9C9C9"/>
            <w:noWrap/>
            <w:vAlign w:val="bottom"/>
            <w:hideMark/>
          </w:tcPr>
          <w:p w14:paraId="11E15F8B"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2023</w:t>
            </w:r>
          </w:p>
        </w:tc>
        <w:tc>
          <w:tcPr>
            <w:tcW w:w="425" w:type="pct"/>
            <w:tcBorders>
              <w:top w:val="single" w:sz="4" w:space="0" w:color="auto"/>
              <w:left w:val="nil"/>
              <w:bottom w:val="single" w:sz="4" w:space="0" w:color="auto"/>
              <w:right w:val="single" w:sz="4" w:space="0" w:color="auto"/>
            </w:tcBorders>
            <w:shd w:val="clear" w:color="000000" w:fill="C9C9C9"/>
            <w:noWrap/>
            <w:vAlign w:val="bottom"/>
            <w:hideMark/>
          </w:tcPr>
          <w:p w14:paraId="0E1B0043"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2022</w:t>
            </w:r>
          </w:p>
        </w:tc>
        <w:tc>
          <w:tcPr>
            <w:tcW w:w="425" w:type="pct"/>
            <w:tcBorders>
              <w:top w:val="single" w:sz="4" w:space="0" w:color="auto"/>
              <w:left w:val="nil"/>
              <w:bottom w:val="single" w:sz="4" w:space="0" w:color="auto"/>
              <w:right w:val="single" w:sz="4" w:space="0" w:color="auto"/>
            </w:tcBorders>
            <w:shd w:val="clear" w:color="000000" w:fill="C9C9C9"/>
            <w:noWrap/>
            <w:vAlign w:val="bottom"/>
            <w:hideMark/>
          </w:tcPr>
          <w:p w14:paraId="3CE5B69F"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2021</w:t>
            </w:r>
          </w:p>
        </w:tc>
      </w:tr>
      <w:tr w:rsidR="00651549" w:rsidRPr="007250A8" w14:paraId="3C825046"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ACB9CA"/>
            <w:noWrap/>
            <w:vAlign w:val="bottom"/>
            <w:hideMark/>
          </w:tcPr>
          <w:p w14:paraId="1CE12D78"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Inventory Days</w:t>
            </w:r>
          </w:p>
        </w:tc>
        <w:tc>
          <w:tcPr>
            <w:tcW w:w="568" w:type="pct"/>
            <w:tcBorders>
              <w:top w:val="nil"/>
              <w:left w:val="nil"/>
              <w:bottom w:val="nil"/>
              <w:right w:val="nil"/>
            </w:tcBorders>
            <w:shd w:val="clear" w:color="000000" w:fill="ACB9CA"/>
            <w:vAlign w:val="center"/>
            <w:hideMark/>
          </w:tcPr>
          <w:p w14:paraId="059A2538"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5.5</w:t>
            </w:r>
          </w:p>
        </w:tc>
        <w:tc>
          <w:tcPr>
            <w:tcW w:w="425" w:type="pct"/>
            <w:tcBorders>
              <w:top w:val="nil"/>
              <w:left w:val="nil"/>
              <w:bottom w:val="nil"/>
              <w:right w:val="nil"/>
            </w:tcBorders>
            <w:shd w:val="clear" w:color="000000" w:fill="ACB9CA"/>
            <w:vAlign w:val="center"/>
            <w:hideMark/>
          </w:tcPr>
          <w:p w14:paraId="059299E8"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5.29</w:t>
            </w:r>
          </w:p>
        </w:tc>
        <w:tc>
          <w:tcPr>
            <w:tcW w:w="425" w:type="pct"/>
            <w:tcBorders>
              <w:top w:val="nil"/>
              <w:left w:val="nil"/>
              <w:bottom w:val="nil"/>
              <w:right w:val="nil"/>
            </w:tcBorders>
            <w:shd w:val="clear" w:color="000000" w:fill="ACB9CA"/>
            <w:vAlign w:val="center"/>
            <w:hideMark/>
          </w:tcPr>
          <w:p w14:paraId="64271479"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4.5</w:t>
            </w:r>
          </w:p>
        </w:tc>
        <w:tc>
          <w:tcPr>
            <w:tcW w:w="425" w:type="pct"/>
            <w:tcBorders>
              <w:top w:val="nil"/>
              <w:left w:val="nil"/>
              <w:bottom w:val="nil"/>
              <w:right w:val="nil"/>
            </w:tcBorders>
            <w:shd w:val="clear" w:color="000000" w:fill="ACB9CA"/>
            <w:vAlign w:val="center"/>
            <w:hideMark/>
          </w:tcPr>
          <w:p w14:paraId="4A4952D4"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5.14</w:t>
            </w:r>
          </w:p>
        </w:tc>
        <w:tc>
          <w:tcPr>
            <w:tcW w:w="425" w:type="pct"/>
            <w:tcBorders>
              <w:top w:val="nil"/>
              <w:left w:val="nil"/>
              <w:bottom w:val="nil"/>
              <w:right w:val="nil"/>
            </w:tcBorders>
            <w:shd w:val="clear" w:color="000000" w:fill="ACB9CA"/>
            <w:vAlign w:val="center"/>
            <w:hideMark/>
          </w:tcPr>
          <w:p w14:paraId="79FB65EE"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8.21</w:t>
            </w:r>
          </w:p>
        </w:tc>
      </w:tr>
      <w:tr w:rsidR="00651549" w:rsidRPr="007250A8" w14:paraId="10F2EAEF"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ACB9CA"/>
            <w:noWrap/>
            <w:vAlign w:val="bottom"/>
            <w:hideMark/>
          </w:tcPr>
          <w:p w14:paraId="6E4E6E29"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 xml:space="preserve">Receivable Days </w:t>
            </w:r>
          </w:p>
        </w:tc>
        <w:tc>
          <w:tcPr>
            <w:tcW w:w="568" w:type="pct"/>
            <w:tcBorders>
              <w:top w:val="nil"/>
              <w:left w:val="nil"/>
              <w:bottom w:val="nil"/>
              <w:right w:val="nil"/>
            </w:tcBorders>
            <w:shd w:val="clear" w:color="000000" w:fill="ACB9CA"/>
            <w:vAlign w:val="center"/>
            <w:hideMark/>
          </w:tcPr>
          <w:p w14:paraId="51E507D7"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40.55</w:t>
            </w:r>
          </w:p>
        </w:tc>
        <w:tc>
          <w:tcPr>
            <w:tcW w:w="425" w:type="pct"/>
            <w:tcBorders>
              <w:top w:val="nil"/>
              <w:left w:val="nil"/>
              <w:bottom w:val="nil"/>
              <w:right w:val="nil"/>
            </w:tcBorders>
            <w:shd w:val="clear" w:color="000000" w:fill="ACB9CA"/>
            <w:vAlign w:val="center"/>
            <w:hideMark/>
          </w:tcPr>
          <w:p w14:paraId="5A6AA124"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40.64</w:t>
            </w:r>
          </w:p>
        </w:tc>
        <w:tc>
          <w:tcPr>
            <w:tcW w:w="425" w:type="pct"/>
            <w:tcBorders>
              <w:top w:val="nil"/>
              <w:left w:val="nil"/>
              <w:bottom w:val="nil"/>
              <w:right w:val="nil"/>
            </w:tcBorders>
            <w:shd w:val="clear" w:color="000000" w:fill="ACB9CA"/>
            <w:vAlign w:val="center"/>
            <w:hideMark/>
          </w:tcPr>
          <w:p w14:paraId="47B4BA58"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41.74</w:t>
            </w:r>
          </w:p>
        </w:tc>
        <w:tc>
          <w:tcPr>
            <w:tcW w:w="425" w:type="pct"/>
            <w:tcBorders>
              <w:top w:val="nil"/>
              <w:left w:val="nil"/>
              <w:bottom w:val="nil"/>
              <w:right w:val="nil"/>
            </w:tcBorders>
            <w:shd w:val="clear" w:color="000000" w:fill="ACB9CA"/>
            <w:vAlign w:val="center"/>
            <w:hideMark/>
          </w:tcPr>
          <w:p w14:paraId="7B5D9AC1"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45.17</w:t>
            </w:r>
          </w:p>
        </w:tc>
        <w:tc>
          <w:tcPr>
            <w:tcW w:w="425" w:type="pct"/>
            <w:tcBorders>
              <w:top w:val="nil"/>
              <w:left w:val="nil"/>
              <w:bottom w:val="nil"/>
              <w:right w:val="nil"/>
            </w:tcBorders>
            <w:shd w:val="clear" w:color="000000" w:fill="ACB9CA"/>
            <w:vAlign w:val="center"/>
            <w:hideMark/>
          </w:tcPr>
          <w:p w14:paraId="5106E7AE"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52.21</w:t>
            </w:r>
          </w:p>
        </w:tc>
      </w:tr>
      <w:tr w:rsidR="00651549" w:rsidRPr="007250A8" w14:paraId="2D7BE1D6"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ACB9CA"/>
            <w:noWrap/>
            <w:vAlign w:val="bottom"/>
            <w:hideMark/>
          </w:tcPr>
          <w:p w14:paraId="522B9BCE" w14:textId="33FC9D66"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 xml:space="preserve">Payable Days </w:t>
            </w:r>
          </w:p>
        </w:tc>
        <w:tc>
          <w:tcPr>
            <w:tcW w:w="568" w:type="pct"/>
            <w:tcBorders>
              <w:top w:val="nil"/>
              <w:left w:val="nil"/>
              <w:bottom w:val="nil"/>
              <w:right w:val="nil"/>
            </w:tcBorders>
            <w:shd w:val="clear" w:color="000000" w:fill="ACB9CA"/>
            <w:vAlign w:val="center"/>
            <w:hideMark/>
          </w:tcPr>
          <w:p w14:paraId="6E050487"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66.36</w:t>
            </w:r>
          </w:p>
        </w:tc>
        <w:tc>
          <w:tcPr>
            <w:tcW w:w="425" w:type="pct"/>
            <w:tcBorders>
              <w:top w:val="nil"/>
              <w:left w:val="nil"/>
              <w:bottom w:val="nil"/>
              <w:right w:val="nil"/>
            </w:tcBorders>
            <w:shd w:val="clear" w:color="000000" w:fill="ACB9CA"/>
            <w:vAlign w:val="center"/>
            <w:hideMark/>
          </w:tcPr>
          <w:p w14:paraId="518B8EF3"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70.59</w:t>
            </w:r>
          </w:p>
        </w:tc>
        <w:tc>
          <w:tcPr>
            <w:tcW w:w="425" w:type="pct"/>
            <w:tcBorders>
              <w:top w:val="nil"/>
              <w:left w:val="nil"/>
              <w:bottom w:val="nil"/>
              <w:right w:val="nil"/>
            </w:tcBorders>
            <w:shd w:val="clear" w:color="000000" w:fill="ACB9CA"/>
            <w:vAlign w:val="center"/>
            <w:hideMark/>
          </w:tcPr>
          <w:p w14:paraId="71F7ED4C"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82.33</w:t>
            </w:r>
          </w:p>
        </w:tc>
        <w:tc>
          <w:tcPr>
            <w:tcW w:w="425" w:type="pct"/>
            <w:tcBorders>
              <w:top w:val="nil"/>
              <w:left w:val="nil"/>
              <w:bottom w:val="nil"/>
              <w:right w:val="nil"/>
            </w:tcBorders>
            <w:shd w:val="clear" w:color="000000" w:fill="ACB9CA"/>
            <w:vAlign w:val="center"/>
            <w:hideMark/>
          </w:tcPr>
          <w:p w14:paraId="4F576176"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92.48</w:t>
            </w:r>
          </w:p>
        </w:tc>
        <w:tc>
          <w:tcPr>
            <w:tcW w:w="425" w:type="pct"/>
            <w:tcBorders>
              <w:top w:val="nil"/>
              <w:left w:val="nil"/>
              <w:bottom w:val="nil"/>
              <w:right w:val="nil"/>
            </w:tcBorders>
            <w:shd w:val="clear" w:color="000000" w:fill="ACB9CA"/>
            <w:vAlign w:val="center"/>
            <w:hideMark/>
          </w:tcPr>
          <w:p w14:paraId="6642D896" w14:textId="77777777" w:rsidR="00651549" w:rsidRPr="007250A8" w:rsidRDefault="00651549" w:rsidP="00651549">
            <w:pPr>
              <w:spacing w:before="0" w:after="0" w:line="240" w:lineRule="auto"/>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99.53</w:t>
            </w:r>
          </w:p>
        </w:tc>
      </w:tr>
      <w:tr w:rsidR="00651549" w:rsidRPr="007250A8" w14:paraId="3739084F" w14:textId="77777777" w:rsidTr="00651549">
        <w:trPr>
          <w:trHeight w:val="312"/>
        </w:trPr>
        <w:tc>
          <w:tcPr>
            <w:tcW w:w="2730" w:type="pct"/>
            <w:tcBorders>
              <w:top w:val="nil"/>
              <w:left w:val="single" w:sz="4" w:space="0" w:color="auto"/>
              <w:bottom w:val="single" w:sz="4" w:space="0" w:color="auto"/>
              <w:right w:val="single" w:sz="4" w:space="0" w:color="auto"/>
            </w:tcBorders>
            <w:shd w:val="clear" w:color="000000" w:fill="ACB9CA"/>
            <w:noWrap/>
            <w:vAlign w:val="bottom"/>
            <w:hideMark/>
          </w:tcPr>
          <w:p w14:paraId="0493A570" w14:textId="77777777" w:rsidR="00651549" w:rsidRPr="007250A8" w:rsidRDefault="00651549" w:rsidP="00651549">
            <w:pPr>
              <w:spacing w:before="0" w:after="0" w:line="240" w:lineRule="auto"/>
              <w:jc w:val="left"/>
              <w:rPr>
                <w:rFonts w:eastAsia="Times New Roman" w:cs="Arial"/>
                <w:color w:val="000000"/>
                <w:kern w:val="0"/>
                <w:sz w:val="18"/>
                <w:szCs w:val="18"/>
                <w:lang w:val="en-GB" w:eastAsia="en-IN" w:bidi="ar-SA"/>
                <w14:ligatures w14:val="none"/>
              </w:rPr>
            </w:pPr>
            <w:r w:rsidRPr="007250A8">
              <w:rPr>
                <w:rFonts w:eastAsia="Times New Roman" w:cs="Arial"/>
                <w:color w:val="000000"/>
                <w:kern w:val="0"/>
                <w:sz w:val="18"/>
                <w:szCs w:val="18"/>
                <w:lang w:val="en-GB" w:eastAsia="en-IN" w:bidi="ar-SA"/>
                <w14:ligatures w14:val="none"/>
              </w:rPr>
              <w:t> </w:t>
            </w:r>
          </w:p>
        </w:tc>
        <w:tc>
          <w:tcPr>
            <w:tcW w:w="568" w:type="pct"/>
            <w:tcBorders>
              <w:top w:val="single" w:sz="4" w:space="0" w:color="auto"/>
              <w:left w:val="nil"/>
              <w:bottom w:val="single" w:sz="4" w:space="0" w:color="auto"/>
              <w:right w:val="single" w:sz="4" w:space="0" w:color="auto"/>
            </w:tcBorders>
            <w:shd w:val="clear" w:color="000000" w:fill="ACB9CA"/>
            <w:noWrap/>
            <w:vAlign w:val="bottom"/>
            <w:hideMark/>
          </w:tcPr>
          <w:p w14:paraId="2F3E733C"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2025</w:t>
            </w:r>
          </w:p>
        </w:tc>
        <w:tc>
          <w:tcPr>
            <w:tcW w:w="425" w:type="pct"/>
            <w:tcBorders>
              <w:top w:val="single" w:sz="4" w:space="0" w:color="auto"/>
              <w:left w:val="nil"/>
              <w:bottom w:val="single" w:sz="4" w:space="0" w:color="auto"/>
              <w:right w:val="single" w:sz="4" w:space="0" w:color="auto"/>
            </w:tcBorders>
            <w:shd w:val="clear" w:color="000000" w:fill="ACB9CA"/>
            <w:noWrap/>
            <w:vAlign w:val="bottom"/>
            <w:hideMark/>
          </w:tcPr>
          <w:p w14:paraId="09D78B75"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2024</w:t>
            </w:r>
          </w:p>
        </w:tc>
        <w:tc>
          <w:tcPr>
            <w:tcW w:w="425" w:type="pct"/>
            <w:tcBorders>
              <w:top w:val="single" w:sz="4" w:space="0" w:color="auto"/>
              <w:left w:val="nil"/>
              <w:bottom w:val="single" w:sz="4" w:space="0" w:color="auto"/>
              <w:right w:val="single" w:sz="4" w:space="0" w:color="auto"/>
            </w:tcBorders>
            <w:shd w:val="clear" w:color="000000" w:fill="ACB9CA"/>
            <w:noWrap/>
            <w:vAlign w:val="bottom"/>
            <w:hideMark/>
          </w:tcPr>
          <w:p w14:paraId="2D0DC5FF"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2023</w:t>
            </w:r>
          </w:p>
        </w:tc>
        <w:tc>
          <w:tcPr>
            <w:tcW w:w="425" w:type="pct"/>
            <w:tcBorders>
              <w:top w:val="single" w:sz="4" w:space="0" w:color="auto"/>
              <w:left w:val="nil"/>
              <w:bottom w:val="single" w:sz="4" w:space="0" w:color="auto"/>
              <w:right w:val="single" w:sz="4" w:space="0" w:color="auto"/>
            </w:tcBorders>
            <w:shd w:val="clear" w:color="000000" w:fill="ACB9CA"/>
            <w:noWrap/>
            <w:vAlign w:val="bottom"/>
            <w:hideMark/>
          </w:tcPr>
          <w:p w14:paraId="04718DD9"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2022</w:t>
            </w:r>
          </w:p>
        </w:tc>
        <w:tc>
          <w:tcPr>
            <w:tcW w:w="425" w:type="pct"/>
            <w:tcBorders>
              <w:top w:val="single" w:sz="4" w:space="0" w:color="auto"/>
              <w:left w:val="nil"/>
              <w:bottom w:val="single" w:sz="4" w:space="0" w:color="auto"/>
              <w:right w:val="single" w:sz="4" w:space="0" w:color="auto"/>
            </w:tcBorders>
            <w:shd w:val="clear" w:color="000000" w:fill="ACB9CA"/>
            <w:noWrap/>
            <w:vAlign w:val="bottom"/>
            <w:hideMark/>
          </w:tcPr>
          <w:p w14:paraId="135B78E1"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2021</w:t>
            </w:r>
          </w:p>
        </w:tc>
      </w:tr>
      <w:tr w:rsidR="00651549" w:rsidRPr="007250A8" w14:paraId="544558B0" w14:textId="77777777" w:rsidTr="00651549">
        <w:trPr>
          <w:trHeight w:val="624"/>
        </w:trPr>
        <w:tc>
          <w:tcPr>
            <w:tcW w:w="2730" w:type="pct"/>
            <w:tcBorders>
              <w:top w:val="nil"/>
              <w:left w:val="single" w:sz="4" w:space="0" w:color="auto"/>
              <w:bottom w:val="single" w:sz="4" w:space="0" w:color="auto"/>
              <w:right w:val="single" w:sz="4" w:space="0" w:color="auto"/>
            </w:tcBorders>
            <w:shd w:val="clear" w:color="000000" w:fill="ACB9CA"/>
            <w:vAlign w:val="bottom"/>
            <w:hideMark/>
          </w:tcPr>
          <w:p w14:paraId="22009DDC" w14:textId="343FE785" w:rsidR="00651549" w:rsidRPr="007250A8" w:rsidRDefault="00651549" w:rsidP="00651549">
            <w:pPr>
              <w:spacing w:before="0" w:after="0" w:line="240" w:lineRule="auto"/>
              <w:jc w:val="lef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 xml:space="preserve">Cash Conversion Cycle (Inventory Days + Receivable Days + Payable Days) </w:t>
            </w:r>
          </w:p>
        </w:tc>
        <w:tc>
          <w:tcPr>
            <w:tcW w:w="568" w:type="pct"/>
            <w:tcBorders>
              <w:top w:val="nil"/>
              <w:left w:val="nil"/>
              <w:bottom w:val="single" w:sz="4" w:space="0" w:color="auto"/>
              <w:right w:val="single" w:sz="4" w:space="0" w:color="auto"/>
            </w:tcBorders>
            <w:shd w:val="clear" w:color="000000" w:fill="ACB9CA"/>
            <w:noWrap/>
            <w:vAlign w:val="bottom"/>
            <w:hideMark/>
          </w:tcPr>
          <w:p w14:paraId="0CB4CEA0"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112.41</w:t>
            </w:r>
          </w:p>
        </w:tc>
        <w:tc>
          <w:tcPr>
            <w:tcW w:w="425" w:type="pct"/>
            <w:tcBorders>
              <w:top w:val="nil"/>
              <w:left w:val="nil"/>
              <w:bottom w:val="single" w:sz="4" w:space="0" w:color="auto"/>
              <w:right w:val="single" w:sz="4" w:space="0" w:color="auto"/>
            </w:tcBorders>
            <w:shd w:val="clear" w:color="000000" w:fill="ACB9CA"/>
            <w:noWrap/>
            <w:vAlign w:val="bottom"/>
            <w:hideMark/>
          </w:tcPr>
          <w:p w14:paraId="0F679177"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116.52</w:t>
            </w:r>
          </w:p>
        </w:tc>
        <w:tc>
          <w:tcPr>
            <w:tcW w:w="425" w:type="pct"/>
            <w:tcBorders>
              <w:top w:val="nil"/>
              <w:left w:val="nil"/>
              <w:bottom w:val="single" w:sz="4" w:space="0" w:color="auto"/>
              <w:right w:val="single" w:sz="4" w:space="0" w:color="auto"/>
            </w:tcBorders>
            <w:shd w:val="clear" w:color="000000" w:fill="ACB9CA"/>
            <w:noWrap/>
            <w:vAlign w:val="bottom"/>
            <w:hideMark/>
          </w:tcPr>
          <w:p w14:paraId="134444B2"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128.57</w:t>
            </w:r>
          </w:p>
        </w:tc>
        <w:tc>
          <w:tcPr>
            <w:tcW w:w="425" w:type="pct"/>
            <w:tcBorders>
              <w:top w:val="nil"/>
              <w:left w:val="nil"/>
              <w:bottom w:val="single" w:sz="4" w:space="0" w:color="auto"/>
              <w:right w:val="single" w:sz="4" w:space="0" w:color="auto"/>
            </w:tcBorders>
            <w:shd w:val="clear" w:color="000000" w:fill="ACB9CA"/>
            <w:noWrap/>
            <w:vAlign w:val="bottom"/>
            <w:hideMark/>
          </w:tcPr>
          <w:p w14:paraId="3D0C1890"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142.79</w:t>
            </w:r>
          </w:p>
        </w:tc>
        <w:tc>
          <w:tcPr>
            <w:tcW w:w="425" w:type="pct"/>
            <w:tcBorders>
              <w:top w:val="nil"/>
              <w:left w:val="nil"/>
              <w:bottom w:val="single" w:sz="4" w:space="0" w:color="auto"/>
              <w:right w:val="single" w:sz="4" w:space="0" w:color="auto"/>
            </w:tcBorders>
            <w:shd w:val="clear" w:color="000000" w:fill="ACB9CA"/>
            <w:noWrap/>
            <w:vAlign w:val="bottom"/>
            <w:hideMark/>
          </w:tcPr>
          <w:p w14:paraId="1417131F" w14:textId="77777777" w:rsidR="00651549" w:rsidRPr="007250A8" w:rsidRDefault="00651549" w:rsidP="00651549">
            <w:pPr>
              <w:spacing w:before="0" w:after="0" w:line="240" w:lineRule="auto"/>
              <w:jc w:val="right"/>
              <w:rPr>
                <w:rFonts w:eastAsia="Times New Roman" w:cs="Arial"/>
                <w:b/>
                <w:bCs/>
                <w:color w:val="000000"/>
                <w:kern w:val="0"/>
                <w:sz w:val="18"/>
                <w:szCs w:val="18"/>
                <w:lang w:val="en-GB" w:eastAsia="en-IN" w:bidi="ar-SA"/>
                <w14:ligatures w14:val="none"/>
              </w:rPr>
            </w:pPr>
            <w:r w:rsidRPr="007250A8">
              <w:rPr>
                <w:rFonts w:eastAsia="Times New Roman" w:cs="Arial"/>
                <w:b/>
                <w:bCs/>
                <w:color w:val="000000"/>
                <w:kern w:val="0"/>
                <w:sz w:val="18"/>
                <w:szCs w:val="18"/>
                <w:lang w:val="en-GB" w:eastAsia="en-IN" w:bidi="ar-SA"/>
                <w14:ligatures w14:val="none"/>
              </w:rPr>
              <w:t>159.95</w:t>
            </w:r>
          </w:p>
        </w:tc>
      </w:tr>
    </w:tbl>
    <w:p w14:paraId="2EA782D2" w14:textId="4A6C190F" w:rsidR="00651549" w:rsidRPr="007250A8" w:rsidRDefault="00651549" w:rsidP="00651549">
      <w:pPr>
        <w:rPr>
          <w:lang w:val="en-GB" w:eastAsia="en-IN" w:bidi="ar-SA"/>
        </w:rPr>
      </w:pPr>
      <w:r w:rsidRPr="007250A8">
        <w:rPr>
          <w:noProof/>
          <w:lang w:val="en-GB"/>
        </w:rPr>
        <w:drawing>
          <wp:inline distT="0" distB="0" distL="0" distR="0" wp14:anchorId="300A2BBE" wp14:editId="5CAE273E">
            <wp:extent cx="5731510" cy="3402965"/>
            <wp:effectExtent l="0" t="0" r="2540" b="6985"/>
            <wp:docPr id="495900710" name="Chart 1">
              <a:extLst xmlns:a="http://schemas.openxmlformats.org/drawingml/2006/main">
                <a:ext uri="{FF2B5EF4-FFF2-40B4-BE49-F238E27FC236}">
                  <a16:creationId xmlns:a16="http://schemas.microsoft.com/office/drawing/2014/main" id="{40E058E9-6167-457D-8F72-CD146331D6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63C90F1F" w14:textId="308922A2" w:rsidR="007273CC" w:rsidRPr="007250A8" w:rsidRDefault="007273CC" w:rsidP="007273CC">
      <w:pPr>
        <w:pStyle w:val="Heading2"/>
        <w:rPr>
          <w:lang w:val="en-GB"/>
        </w:rPr>
      </w:pPr>
      <w:bookmarkStart w:id="50" w:name="_Toc237459821"/>
      <w:r w:rsidRPr="007250A8">
        <w:rPr>
          <w:lang w:val="en-GB"/>
        </w:rPr>
        <w:t>Appendix 4: Investment Appraisals</w:t>
      </w:r>
      <w:bookmarkEnd w:id="50"/>
    </w:p>
    <w:tbl>
      <w:tblPr>
        <w:tblW w:w="8899" w:type="dxa"/>
        <w:tblLook w:val="04A0" w:firstRow="1" w:lastRow="0" w:firstColumn="1" w:lastColumn="0" w:noHBand="0" w:noVBand="1"/>
      </w:tblPr>
      <w:tblGrid>
        <w:gridCol w:w="3141"/>
        <w:gridCol w:w="2721"/>
        <w:gridCol w:w="3037"/>
      </w:tblGrid>
      <w:tr w:rsidR="007273CC" w:rsidRPr="007250A8" w14:paraId="4CDCABB8" w14:textId="77777777" w:rsidTr="007273CC">
        <w:trPr>
          <w:trHeight w:val="314"/>
        </w:trPr>
        <w:tc>
          <w:tcPr>
            <w:tcW w:w="8899" w:type="dxa"/>
            <w:gridSpan w:val="3"/>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079727C0" w14:textId="1971C518" w:rsidR="007273CC" w:rsidRPr="007250A8" w:rsidRDefault="007273CC" w:rsidP="007273CC">
            <w:pPr>
              <w:spacing w:before="0" w:after="0" w:line="240" w:lineRule="auto"/>
              <w:jc w:val="center"/>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Project A - Investment Appraisals</w:t>
            </w:r>
          </w:p>
        </w:tc>
      </w:tr>
      <w:tr w:rsidR="007273CC" w:rsidRPr="007250A8" w14:paraId="519DD8F3"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48B489CF"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Year </w:t>
            </w:r>
          </w:p>
        </w:tc>
        <w:tc>
          <w:tcPr>
            <w:tcW w:w="2721" w:type="dxa"/>
            <w:tcBorders>
              <w:top w:val="nil"/>
              <w:left w:val="nil"/>
              <w:bottom w:val="single" w:sz="4" w:space="0" w:color="auto"/>
              <w:right w:val="single" w:sz="4" w:space="0" w:color="auto"/>
            </w:tcBorders>
            <w:shd w:val="clear" w:color="000000" w:fill="A9D08E"/>
            <w:noWrap/>
            <w:vAlign w:val="bottom"/>
            <w:hideMark/>
          </w:tcPr>
          <w:p w14:paraId="5117AD7A"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Cash Flow </w:t>
            </w:r>
          </w:p>
        </w:tc>
        <w:tc>
          <w:tcPr>
            <w:tcW w:w="3036" w:type="dxa"/>
            <w:tcBorders>
              <w:top w:val="nil"/>
              <w:left w:val="nil"/>
              <w:bottom w:val="single" w:sz="4" w:space="0" w:color="auto"/>
              <w:right w:val="single" w:sz="4" w:space="0" w:color="auto"/>
            </w:tcBorders>
            <w:shd w:val="clear" w:color="000000" w:fill="A9D08E"/>
            <w:noWrap/>
            <w:vAlign w:val="bottom"/>
            <w:hideMark/>
          </w:tcPr>
          <w:p w14:paraId="14671503" w14:textId="296C92E4"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Cumilative Cashflow</w:t>
            </w:r>
          </w:p>
        </w:tc>
      </w:tr>
      <w:tr w:rsidR="007273CC" w:rsidRPr="007250A8" w14:paraId="11D2C0B0"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2F98B958"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w:t>
            </w:r>
          </w:p>
        </w:tc>
        <w:tc>
          <w:tcPr>
            <w:tcW w:w="2721" w:type="dxa"/>
            <w:tcBorders>
              <w:top w:val="nil"/>
              <w:left w:val="nil"/>
              <w:bottom w:val="single" w:sz="4" w:space="0" w:color="auto"/>
              <w:right w:val="single" w:sz="4" w:space="0" w:color="auto"/>
            </w:tcBorders>
            <w:shd w:val="clear" w:color="000000" w:fill="A9D08E"/>
            <w:noWrap/>
            <w:vAlign w:val="bottom"/>
            <w:hideMark/>
          </w:tcPr>
          <w:p w14:paraId="110B415C"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40.00 </w:t>
            </w:r>
          </w:p>
        </w:tc>
        <w:tc>
          <w:tcPr>
            <w:tcW w:w="3036" w:type="dxa"/>
            <w:tcBorders>
              <w:top w:val="nil"/>
              <w:left w:val="nil"/>
              <w:bottom w:val="single" w:sz="4" w:space="0" w:color="auto"/>
              <w:right w:val="single" w:sz="4" w:space="0" w:color="auto"/>
            </w:tcBorders>
            <w:shd w:val="clear" w:color="000000" w:fill="A9D08E"/>
            <w:noWrap/>
            <w:vAlign w:val="bottom"/>
            <w:hideMark/>
          </w:tcPr>
          <w:p w14:paraId="77D71879"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40.00 </w:t>
            </w:r>
          </w:p>
        </w:tc>
      </w:tr>
      <w:tr w:rsidR="007273CC" w:rsidRPr="007250A8" w14:paraId="6A8D2FEA"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5D36D49C"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w:t>
            </w:r>
          </w:p>
        </w:tc>
        <w:tc>
          <w:tcPr>
            <w:tcW w:w="2721" w:type="dxa"/>
            <w:tcBorders>
              <w:top w:val="nil"/>
              <w:left w:val="nil"/>
              <w:bottom w:val="single" w:sz="4" w:space="0" w:color="auto"/>
              <w:right w:val="single" w:sz="4" w:space="0" w:color="auto"/>
            </w:tcBorders>
            <w:shd w:val="clear" w:color="000000" w:fill="A9D08E"/>
            <w:noWrap/>
            <w:vAlign w:val="bottom"/>
            <w:hideMark/>
          </w:tcPr>
          <w:p w14:paraId="1B87591D"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10.00 </w:t>
            </w:r>
          </w:p>
        </w:tc>
        <w:tc>
          <w:tcPr>
            <w:tcW w:w="3036" w:type="dxa"/>
            <w:tcBorders>
              <w:top w:val="nil"/>
              <w:left w:val="nil"/>
              <w:bottom w:val="single" w:sz="4" w:space="0" w:color="auto"/>
              <w:right w:val="single" w:sz="4" w:space="0" w:color="auto"/>
            </w:tcBorders>
            <w:shd w:val="clear" w:color="000000" w:fill="A9D08E"/>
            <w:noWrap/>
            <w:vAlign w:val="bottom"/>
            <w:hideMark/>
          </w:tcPr>
          <w:p w14:paraId="32726B5A"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30.00 </w:t>
            </w:r>
          </w:p>
        </w:tc>
      </w:tr>
      <w:tr w:rsidR="007273CC" w:rsidRPr="007250A8" w14:paraId="4AA809DF"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45740424"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w:t>
            </w:r>
          </w:p>
        </w:tc>
        <w:tc>
          <w:tcPr>
            <w:tcW w:w="2721" w:type="dxa"/>
            <w:tcBorders>
              <w:top w:val="nil"/>
              <w:left w:val="nil"/>
              <w:bottom w:val="single" w:sz="4" w:space="0" w:color="auto"/>
              <w:right w:val="single" w:sz="4" w:space="0" w:color="auto"/>
            </w:tcBorders>
            <w:shd w:val="clear" w:color="000000" w:fill="A9D08E"/>
            <w:noWrap/>
            <w:vAlign w:val="bottom"/>
            <w:hideMark/>
          </w:tcPr>
          <w:p w14:paraId="0ECFB4A5"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12.00 </w:t>
            </w:r>
          </w:p>
        </w:tc>
        <w:tc>
          <w:tcPr>
            <w:tcW w:w="3036" w:type="dxa"/>
            <w:tcBorders>
              <w:top w:val="nil"/>
              <w:left w:val="nil"/>
              <w:bottom w:val="single" w:sz="4" w:space="0" w:color="auto"/>
              <w:right w:val="single" w:sz="4" w:space="0" w:color="auto"/>
            </w:tcBorders>
            <w:shd w:val="clear" w:color="000000" w:fill="A9D08E"/>
            <w:noWrap/>
            <w:vAlign w:val="bottom"/>
            <w:hideMark/>
          </w:tcPr>
          <w:p w14:paraId="5151D011"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18.00 </w:t>
            </w:r>
          </w:p>
        </w:tc>
      </w:tr>
      <w:tr w:rsidR="007273CC" w:rsidRPr="007250A8" w14:paraId="266EB4C0"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2B8F86DB"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w:t>
            </w:r>
          </w:p>
        </w:tc>
        <w:tc>
          <w:tcPr>
            <w:tcW w:w="2721" w:type="dxa"/>
            <w:tcBorders>
              <w:top w:val="nil"/>
              <w:left w:val="nil"/>
              <w:bottom w:val="single" w:sz="4" w:space="0" w:color="auto"/>
              <w:right w:val="single" w:sz="4" w:space="0" w:color="auto"/>
            </w:tcBorders>
            <w:shd w:val="clear" w:color="000000" w:fill="A9D08E"/>
            <w:noWrap/>
            <w:vAlign w:val="bottom"/>
            <w:hideMark/>
          </w:tcPr>
          <w:p w14:paraId="3C35470A"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14.00 </w:t>
            </w:r>
          </w:p>
        </w:tc>
        <w:tc>
          <w:tcPr>
            <w:tcW w:w="3036" w:type="dxa"/>
            <w:tcBorders>
              <w:top w:val="nil"/>
              <w:left w:val="nil"/>
              <w:bottom w:val="single" w:sz="4" w:space="0" w:color="auto"/>
              <w:right w:val="single" w:sz="4" w:space="0" w:color="auto"/>
            </w:tcBorders>
            <w:shd w:val="clear" w:color="000000" w:fill="A9D08E"/>
            <w:noWrap/>
            <w:vAlign w:val="bottom"/>
            <w:hideMark/>
          </w:tcPr>
          <w:p w14:paraId="62F32F69"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4.00 </w:t>
            </w:r>
          </w:p>
        </w:tc>
      </w:tr>
      <w:tr w:rsidR="007273CC" w:rsidRPr="007250A8" w14:paraId="54CDCB00"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0018E8EB"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w:t>
            </w:r>
          </w:p>
        </w:tc>
        <w:tc>
          <w:tcPr>
            <w:tcW w:w="2721" w:type="dxa"/>
            <w:tcBorders>
              <w:top w:val="nil"/>
              <w:left w:val="nil"/>
              <w:bottom w:val="single" w:sz="4" w:space="0" w:color="auto"/>
              <w:right w:val="single" w:sz="4" w:space="0" w:color="auto"/>
            </w:tcBorders>
            <w:shd w:val="clear" w:color="000000" w:fill="A9D08E"/>
            <w:noWrap/>
            <w:vAlign w:val="bottom"/>
            <w:hideMark/>
          </w:tcPr>
          <w:p w14:paraId="56AC3791"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10.00 </w:t>
            </w:r>
          </w:p>
        </w:tc>
        <w:tc>
          <w:tcPr>
            <w:tcW w:w="3036" w:type="dxa"/>
            <w:tcBorders>
              <w:top w:val="nil"/>
              <w:left w:val="nil"/>
              <w:bottom w:val="single" w:sz="4" w:space="0" w:color="auto"/>
              <w:right w:val="single" w:sz="4" w:space="0" w:color="auto"/>
            </w:tcBorders>
            <w:shd w:val="clear" w:color="000000" w:fill="A9D08E"/>
            <w:noWrap/>
            <w:vAlign w:val="bottom"/>
            <w:hideMark/>
          </w:tcPr>
          <w:p w14:paraId="27DC985C"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6.00 </w:t>
            </w:r>
          </w:p>
        </w:tc>
      </w:tr>
      <w:tr w:rsidR="007273CC" w:rsidRPr="007250A8" w14:paraId="6325B653"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75F1A713"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5</w:t>
            </w:r>
          </w:p>
        </w:tc>
        <w:tc>
          <w:tcPr>
            <w:tcW w:w="2721" w:type="dxa"/>
            <w:tcBorders>
              <w:top w:val="nil"/>
              <w:left w:val="nil"/>
              <w:bottom w:val="single" w:sz="4" w:space="0" w:color="auto"/>
              <w:right w:val="single" w:sz="4" w:space="0" w:color="auto"/>
            </w:tcBorders>
            <w:shd w:val="clear" w:color="000000" w:fill="A9D08E"/>
            <w:noWrap/>
            <w:vAlign w:val="bottom"/>
            <w:hideMark/>
          </w:tcPr>
          <w:p w14:paraId="52A36934"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8.00 </w:t>
            </w:r>
          </w:p>
        </w:tc>
        <w:tc>
          <w:tcPr>
            <w:tcW w:w="3036" w:type="dxa"/>
            <w:tcBorders>
              <w:top w:val="nil"/>
              <w:left w:val="nil"/>
              <w:bottom w:val="single" w:sz="4" w:space="0" w:color="auto"/>
              <w:right w:val="single" w:sz="4" w:space="0" w:color="auto"/>
            </w:tcBorders>
            <w:shd w:val="clear" w:color="000000" w:fill="A9D08E"/>
            <w:noWrap/>
            <w:vAlign w:val="bottom"/>
            <w:hideMark/>
          </w:tcPr>
          <w:p w14:paraId="6207DFE8"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14.00 </w:t>
            </w:r>
          </w:p>
        </w:tc>
      </w:tr>
      <w:tr w:rsidR="007273CC" w:rsidRPr="007250A8" w14:paraId="11B34297"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A9D08E"/>
            <w:noWrap/>
            <w:vAlign w:val="bottom"/>
            <w:hideMark/>
          </w:tcPr>
          <w:p w14:paraId="38D06F56"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Cash Flow </w:t>
            </w:r>
          </w:p>
        </w:tc>
        <w:tc>
          <w:tcPr>
            <w:tcW w:w="5757" w:type="dxa"/>
            <w:gridSpan w:val="2"/>
            <w:tcBorders>
              <w:top w:val="single" w:sz="4" w:space="0" w:color="auto"/>
              <w:left w:val="nil"/>
              <w:bottom w:val="single" w:sz="4" w:space="0" w:color="auto"/>
              <w:right w:val="single" w:sz="4" w:space="0" w:color="000000"/>
            </w:tcBorders>
            <w:shd w:val="clear" w:color="000000" w:fill="A9D08E"/>
            <w:noWrap/>
            <w:vAlign w:val="bottom"/>
            <w:hideMark/>
          </w:tcPr>
          <w:p w14:paraId="2F4C0046"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54.00 </w:t>
            </w:r>
          </w:p>
        </w:tc>
      </w:tr>
      <w:tr w:rsidR="007273CC" w:rsidRPr="007250A8" w14:paraId="66745FFB" w14:textId="77777777" w:rsidTr="007273CC">
        <w:trPr>
          <w:trHeight w:val="326"/>
        </w:trPr>
        <w:tc>
          <w:tcPr>
            <w:tcW w:w="3141" w:type="dxa"/>
            <w:tcBorders>
              <w:top w:val="nil"/>
              <w:left w:val="single" w:sz="4" w:space="0" w:color="auto"/>
              <w:bottom w:val="nil"/>
              <w:right w:val="single" w:sz="4" w:space="0" w:color="auto"/>
            </w:tcBorders>
            <w:shd w:val="clear" w:color="000000" w:fill="A9D08E"/>
            <w:noWrap/>
            <w:vAlign w:val="bottom"/>
            <w:hideMark/>
          </w:tcPr>
          <w:p w14:paraId="250E676F"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Average Annual Profit </w:t>
            </w:r>
          </w:p>
        </w:tc>
        <w:tc>
          <w:tcPr>
            <w:tcW w:w="5757" w:type="dxa"/>
            <w:gridSpan w:val="2"/>
            <w:tcBorders>
              <w:top w:val="single" w:sz="4" w:space="0" w:color="auto"/>
              <w:left w:val="nil"/>
              <w:bottom w:val="nil"/>
              <w:right w:val="single" w:sz="4" w:space="0" w:color="000000"/>
            </w:tcBorders>
            <w:shd w:val="clear" w:color="000000" w:fill="A9D08E"/>
            <w:noWrap/>
            <w:vAlign w:val="bottom"/>
            <w:hideMark/>
          </w:tcPr>
          <w:p w14:paraId="34A2D93A"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10.80 </w:t>
            </w:r>
          </w:p>
        </w:tc>
      </w:tr>
      <w:tr w:rsidR="007273CC" w:rsidRPr="007250A8" w14:paraId="3DB8735B" w14:textId="77777777" w:rsidTr="007273CC">
        <w:trPr>
          <w:trHeight w:val="302"/>
        </w:trPr>
        <w:tc>
          <w:tcPr>
            <w:tcW w:w="3141" w:type="dxa"/>
            <w:tcBorders>
              <w:top w:val="single" w:sz="8" w:space="0" w:color="auto"/>
              <w:left w:val="single" w:sz="8" w:space="0" w:color="auto"/>
              <w:bottom w:val="single" w:sz="4" w:space="0" w:color="auto"/>
              <w:right w:val="single" w:sz="4" w:space="0" w:color="auto"/>
            </w:tcBorders>
            <w:shd w:val="clear" w:color="000000" w:fill="A9D08E"/>
            <w:noWrap/>
            <w:vAlign w:val="bottom"/>
            <w:hideMark/>
          </w:tcPr>
          <w:p w14:paraId="19931F31"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lastRenderedPageBreak/>
              <w:t>Payback Period</w:t>
            </w:r>
          </w:p>
        </w:tc>
        <w:tc>
          <w:tcPr>
            <w:tcW w:w="5757" w:type="dxa"/>
            <w:gridSpan w:val="2"/>
            <w:tcBorders>
              <w:top w:val="single" w:sz="8" w:space="0" w:color="auto"/>
              <w:left w:val="nil"/>
              <w:bottom w:val="single" w:sz="4" w:space="0" w:color="auto"/>
              <w:right w:val="single" w:sz="8" w:space="0" w:color="000000"/>
            </w:tcBorders>
            <w:shd w:val="clear" w:color="000000" w:fill="A9D08E"/>
            <w:noWrap/>
            <w:vAlign w:val="bottom"/>
            <w:hideMark/>
          </w:tcPr>
          <w:p w14:paraId="3C2049B5"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4</w:t>
            </w:r>
          </w:p>
        </w:tc>
      </w:tr>
      <w:tr w:rsidR="007273CC" w:rsidRPr="007250A8" w14:paraId="363F7628"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A9D08E"/>
            <w:noWrap/>
            <w:vAlign w:val="bottom"/>
            <w:hideMark/>
          </w:tcPr>
          <w:p w14:paraId="682E324A"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ARR</w:t>
            </w:r>
          </w:p>
        </w:tc>
        <w:tc>
          <w:tcPr>
            <w:tcW w:w="5757" w:type="dxa"/>
            <w:gridSpan w:val="2"/>
            <w:tcBorders>
              <w:top w:val="single" w:sz="4" w:space="0" w:color="auto"/>
              <w:left w:val="nil"/>
              <w:bottom w:val="single" w:sz="4" w:space="0" w:color="auto"/>
              <w:right w:val="single" w:sz="8" w:space="0" w:color="000000"/>
            </w:tcBorders>
            <w:shd w:val="clear" w:color="000000" w:fill="A9D08E"/>
            <w:noWrap/>
            <w:vAlign w:val="bottom"/>
            <w:hideMark/>
          </w:tcPr>
          <w:p w14:paraId="4F4C1E9E"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-27%</w:t>
            </w:r>
          </w:p>
        </w:tc>
      </w:tr>
      <w:tr w:rsidR="007273CC" w:rsidRPr="007250A8" w14:paraId="60824DEB"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A9D08E"/>
            <w:noWrap/>
            <w:vAlign w:val="bottom"/>
            <w:hideMark/>
          </w:tcPr>
          <w:p w14:paraId="3BA49F71"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NPV</w:t>
            </w:r>
          </w:p>
        </w:tc>
        <w:tc>
          <w:tcPr>
            <w:tcW w:w="5757" w:type="dxa"/>
            <w:gridSpan w:val="2"/>
            <w:tcBorders>
              <w:top w:val="single" w:sz="4" w:space="0" w:color="auto"/>
              <w:left w:val="nil"/>
              <w:bottom w:val="single" w:sz="4" w:space="0" w:color="auto"/>
              <w:right w:val="single" w:sz="8" w:space="0" w:color="000000"/>
            </w:tcBorders>
            <w:shd w:val="clear" w:color="000000" w:fill="A9D08E"/>
            <w:noWrap/>
            <w:vAlign w:val="bottom"/>
            <w:hideMark/>
          </w:tcPr>
          <w:p w14:paraId="358593C2"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3.46 </w:t>
            </w:r>
          </w:p>
        </w:tc>
      </w:tr>
      <w:tr w:rsidR="007273CC" w:rsidRPr="007250A8" w14:paraId="141C9597"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A9D08E"/>
            <w:noWrap/>
            <w:vAlign w:val="bottom"/>
            <w:hideMark/>
          </w:tcPr>
          <w:p w14:paraId="01F4256A"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Profitability Index (PI) </w:t>
            </w:r>
          </w:p>
        </w:tc>
        <w:tc>
          <w:tcPr>
            <w:tcW w:w="5757" w:type="dxa"/>
            <w:gridSpan w:val="2"/>
            <w:tcBorders>
              <w:top w:val="single" w:sz="4" w:space="0" w:color="auto"/>
              <w:left w:val="nil"/>
              <w:bottom w:val="single" w:sz="4" w:space="0" w:color="auto"/>
              <w:right w:val="single" w:sz="8" w:space="0" w:color="000000"/>
            </w:tcBorders>
            <w:shd w:val="clear" w:color="000000" w:fill="A9D08E"/>
            <w:noWrap/>
            <w:vAlign w:val="bottom"/>
            <w:hideMark/>
          </w:tcPr>
          <w:p w14:paraId="0E4BFC59"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0.91 </w:t>
            </w:r>
          </w:p>
        </w:tc>
      </w:tr>
      <w:tr w:rsidR="007273CC" w:rsidRPr="007250A8" w14:paraId="71EEEC77" w14:textId="77777777" w:rsidTr="007273CC">
        <w:trPr>
          <w:trHeight w:val="326"/>
        </w:trPr>
        <w:tc>
          <w:tcPr>
            <w:tcW w:w="3141" w:type="dxa"/>
            <w:tcBorders>
              <w:top w:val="nil"/>
              <w:left w:val="single" w:sz="8" w:space="0" w:color="auto"/>
              <w:bottom w:val="single" w:sz="8" w:space="0" w:color="auto"/>
              <w:right w:val="single" w:sz="4" w:space="0" w:color="auto"/>
            </w:tcBorders>
            <w:shd w:val="clear" w:color="000000" w:fill="A9D08E"/>
            <w:noWrap/>
            <w:vAlign w:val="bottom"/>
            <w:hideMark/>
          </w:tcPr>
          <w:p w14:paraId="27A36F44"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IRR </w:t>
            </w:r>
          </w:p>
        </w:tc>
        <w:tc>
          <w:tcPr>
            <w:tcW w:w="5757" w:type="dxa"/>
            <w:gridSpan w:val="2"/>
            <w:tcBorders>
              <w:top w:val="single" w:sz="4" w:space="0" w:color="auto"/>
              <w:left w:val="nil"/>
              <w:bottom w:val="single" w:sz="8" w:space="0" w:color="auto"/>
              <w:right w:val="single" w:sz="8" w:space="0" w:color="000000"/>
            </w:tcBorders>
            <w:shd w:val="clear" w:color="000000" w:fill="A9D08E"/>
            <w:noWrap/>
            <w:vAlign w:val="bottom"/>
            <w:hideMark/>
          </w:tcPr>
          <w:p w14:paraId="43F03A07"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11%</w:t>
            </w:r>
          </w:p>
        </w:tc>
      </w:tr>
      <w:tr w:rsidR="007273CC" w:rsidRPr="007250A8" w14:paraId="08000AE0" w14:textId="77777777" w:rsidTr="007273CC">
        <w:trPr>
          <w:trHeight w:val="314"/>
        </w:trPr>
        <w:tc>
          <w:tcPr>
            <w:tcW w:w="3141" w:type="dxa"/>
            <w:tcBorders>
              <w:top w:val="nil"/>
              <w:left w:val="nil"/>
              <w:bottom w:val="nil"/>
              <w:right w:val="nil"/>
            </w:tcBorders>
            <w:noWrap/>
            <w:vAlign w:val="bottom"/>
            <w:hideMark/>
          </w:tcPr>
          <w:p w14:paraId="75F28DD5"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p>
        </w:tc>
        <w:tc>
          <w:tcPr>
            <w:tcW w:w="2721" w:type="dxa"/>
            <w:tcBorders>
              <w:top w:val="nil"/>
              <w:left w:val="nil"/>
              <w:bottom w:val="nil"/>
              <w:right w:val="nil"/>
            </w:tcBorders>
            <w:noWrap/>
            <w:vAlign w:val="bottom"/>
            <w:hideMark/>
          </w:tcPr>
          <w:p w14:paraId="75382747" w14:textId="77777777" w:rsidR="007273CC" w:rsidRPr="007250A8" w:rsidRDefault="007273CC" w:rsidP="007273CC">
            <w:pPr>
              <w:spacing w:before="0" w:after="0" w:line="240" w:lineRule="auto"/>
              <w:jc w:val="left"/>
              <w:rPr>
                <w:rFonts w:eastAsia="Times New Roman" w:cs="Arial"/>
                <w:kern w:val="0"/>
                <w:sz w:val="20"/>
                <w:szCs w:val="20"/>
                <w:lang w:val="en-GB" w:eastAsia="en-IN" w:bidi="ar-SA"/>
                <w14:ligatures w14:val="none"/>
              </w:rPr>
            </w:pPr>
          </w:p>
        </w:tc>
        <w:tc>
          <w:tcPr>
            <w:tcW w:w="3036" w:type="dxa"/>
            <w:tcBorders>
              <w:top w:val="nil"/>
              <w:left w:val="nil"/>
              <w:bottom w:val="nil"/>
              <w:right w:val="nil"/>
            </w:tcBorders>
            <w:noWrap/>
            <w:vAlign w:val="bottom"/>
            <w:hideMark/>
          </w:tcPr>
          <w:p w14:paraId="0647B539" w14:textId="77777777" w:rsidR="007273CC" w:rsidRPr="007250A8" w:rsidRDefault="007273CC" w:rsidP="007273CC">
            <w:pPr>
              <w:spacing w:before="0" w:after="0" w:line="240" w:lineRule="auto"/>
              <w:jc w:val="left"/>
              <w:rPr>
                <w:rFonts w:eastAsia="Times New Roman" w:cs="Arial"/>
                <w:kern w:val="0"/>
                <w:sz w:val="20"/>
                <w:szCs w:val="20"/>
                <w:lang w:val="en-GB" w:eastAsia="en-IN" w:bidi="ar-SA"/>
                <w14:ligatures w14:val="none"/>
              </w:rPr>
            </w:pPr>
          </w:p>
        </w:tc>
      </w:tr>
      <w:tr w:rsidR="007273CC" w:rsidRPr="007250A8" w14:paraId="1F3322B9" w14:textId="77777777" w:rsidTr="007273CC">
        <w:trPr>
          <w:trHeight w:val="314"/>
        </w:trPr>
        <w:tc>
          <w:tcPr>
            <w:tcW w:w="8899" w:type="dxa"/>
            <w:gridSpan w:val="3"/>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04ADEB93" w14:textId="06E356C2" w:rsidR="007273CC" w:rsidRPr="007250A8" w:rsidRDefault="007273CC" w:rsidP="007273CC">
            <w:pPr>
              <w:spacing w:before="0" w:after="0" w:line="240" w:lineRule="auto"/>
              <w:jc w:val="center"/>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Project B - Investment Appraisals</w:t>
            </w:r>
          </w:p>
        </w:tc>
      </w:tr>
      <w:tr w:rsidR="007273CC" w:rsidRPr="007250A8" w14:paraId="7B393BED"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07C7CF27"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Year </w:t>
            </w:r>
          </w:p>
        </w:tc>
        <w:tc>
          <w:tcPr>
            <w:tcW w:w="2721" w:type="dxa"/>
            <w:tcBorders>
              <w:top w:val="nil"/>
              <w:left w:val="nil"/>
              <w:bottom w:val="single" w:sz="4" w:space="0" w:color="auto"/>
              <w:right w:val="single" w:sz="4" w:space="0" w:color="auto"/>
            </w:tcBorders>
            <w:shd w:val="clear" w:color="000000" w:fill="F4B084"/>
            <w:noWrap/>
            <w:vAlign w:val="bottom"/>
            <w:hideMark/>
          </w:tcPr>
          <w:p w14:paraId="1762CAA3"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Cash Flow </w:t>
            </w:r>
          </w:p>
        </w:tc>
        <w:tc>
          <w:tcPr>
            <w:tcW w:w="3036" w:type="dxa"/>
            <w:tcBorders>
              <w:top w:val="nil"/>
              <w:left w:val="nil"/>
              <w:bottom w:val="single" w:sz="4" w:space="0" w:color="auto"/>
              <w:right w:val="single" w:sz="4" w:space="0" w:color="auto"/>
            </w:tcBorders>
            <w:shd w:val="clear" w:color="000000" w:fill="F4B084"/>
            <w:noWrap/>
            <w:vAlign w:val="bottom"/>
            <w:hideMark/>
          </w:tcPr>
          <w:p w14:paraId="44047CEC" w14:textId="11546DE0"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Cumilative Cashflow</w:t>
            </w:r>
          </w:p>
        </w:tc>
      </w:tr>
      <w:tr w:rsidR="007273CC" w:rsidRPr="007250A8" w14:paraId="240ECF13"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5DBCFD44"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w:t>
            </w:r>
          </w:p>
        </w:tc>
        <w:tc>
          <w:tcPr>
            <w:tcW w:w="2721" w:type="dxa"/>
            <w:tcBorders>
              <w:top w:val="nil"/>
              <w:left w:val="nil"/>
              <w:bottom w:val="single" w:sz="4" w:space="0" w:color="auto"/>
              <w:right w:val="single" w:sz="4" w:space="0" w:color="auto"/>
            </w:tcBorders>
            <w:shd w:val="clear" w:color="000000" w:fill="F4B084"/>
            <w:noWrap/>
            <w:vAlign w:val="bottom"/>
            <w:hideMark/>
          </w:tcPr>
          <w:p w14:paraId="364CF172"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30.00 </w:t>
            </w:r>
          </w:p>
        </w:tc>
        <w:tc>
          <w:tcPr>
            <w:tcW w:w="3036" w:type="dxa"/>
            <w:tcBorders>
              <w:top w:val="nil"/>
              <w:left w:val="nil"/>
              <w:bottom w:val="single" w:sz="4" w:space="0" w:color="auto"/>
              <w:right w:val="single" w:sz="4" w:space="0" w:color="auto"/>
            </w:tcBorders>
            <w:shd w:val="clear" w:color="000000" w:fill="F4B084"/>
            <w:noWrap/>
            <w:vAlign w:val="bottom"/>
            <w:hideMark/>
          </w:tcPr>
          <w:p w14:paraId="40D770CA"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30.00 </w:t>
            </w:r>
          </w:p>
        </w:tc>
      </w:tr>
      <w:tr w:rsidR="007273CC" w:rsidRPr="007250A8" w14:paraId="5429BCA5"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672ACFA3"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w:t>
            </w:r>
          </w:p>
        </w:tc>
        <w:tc>
          <w:tcPr>
            <w:tcW w:w="2721" w:type="dxa"/>
            <w:tcBorders>
              <w:top w:val="nil"/>
              <w:left w:val="nil"/>
              <w:bottom w:val="single" w:sz="4" w:space="0" w:color="auto"/>
              <w:right w:val="single" w:sz="4" w:space="0" w:color="auto"/>
            </w:tcBorders>
            <w:shd w:val="clear" w:color="000000" w:fill="F4B084"/>
            <w:noWrap/>
            <w:vAlign w:val="bottom"/>
            <w:hideMark/>
          </w:tcPr>
          <w:p w14:paraId="706C81D8"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c>
          <w:tcPr>
            <w:tcW w:w="3036" w:type="dxa"/>
            <w:tcBorders>
              <w:top w:val="nil"/>
              <w:left w:val="nil"/>
              <w:bottom w:val="single" w:sz="4" w:space="0" w:color="auto"/>
              <w:right w:val="single" w:sz="4" w:space="0" w:color="auto"/>
            </w:tcBorders>
            <w:shd w:val="clear" w:color="000000" w:fill="F4B084"/>
            <w:noWrap/>
            <w:vAlign w:val="bottom"/>
            <w:hideMark/>
          </w:tcPr>
          <w:p w14:paraId="0DBE2F50"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19.00 </w:t>
            </w:r>
          </w:p>
        </w:tc>
      </w:tr>
      <w:tr w:rsidR="007273CC" w:rsidRPr="007250A8" w14:paraId="688C126A"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6036E2B3"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w:t>
            </w:r>
          </w:p>
        </w:tc>
        <w:tc>
          <w:tcPr>
            <w:tcW w:w="2721" w:type="dxa"/>
            <w:tcBorders>
              <w:top w:val="nil"/>
              <w:left w:val="nil"/>
              <w:bottom w:val="single" w:sz="4" w:space="0" w:color="auto"/>
              <w:right w:val="single" w:sz="4" w:space="0" w:color="auto"/>
            </w:tcBorders>
            <w:shd w:val="clear" w:color="000000" w:fill="F4B084"/>
            <w:noWrap/>
            <w:vAlign w:val="bottom"/>
            <w:hideMark/>
          </w:tcPr>
          <w:p w14:paraId="34A3E849"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c>
          <w:tcPr>
            <w:tcW w:w="3036" w:type="dxa"/>
            <w:tcBorders>
              <w:top w:val="nil"/>
              <w:left w:val="nil"/>
              <w:bottom w:val="single" w:sz="4" w:space="0" w:color="auto"/>
              <w:right w:val="single" w:sz="4" w:space="0" w:color="auto"/>
            </w:tcBorders>
            <w:shd w:val="clear" w:color="000000" w:fill="F4B084"/>
            <w:noWrap/>
            <w:vAlign w:val="bottom"/>
            <w:hideMark/>
          </w:tcPr>
          <w:p w14:paraId="0F130AA5"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8.00 </w:t>
            </w:r>
          </w:p>
        </w:tc>
      </w:tr>
      <w:tr w:rsidR="007273CC" w:rsidRPr="007250A8" w14:paraId="08E298D1"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60AB485E"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w:t>
            </w:r>
          </w:p>
        </w:tc>
        <w:tc>
          <w:tcPr>
            <w:tcW w:w="2721" w:type="dxa"/>
            <w:tcBorders>
              <w:top w:val="nil"/>
              <w:left w:val="nil"/>
              <w:bottom w:val="single" w:sz="4" w:space="0" w:color="auto"/>
              <w:right w:val="single" w:sz="4" w:space="0" w:color="auto"/>
            </w:tcBorders>
            <w:shd w:val="clear" w:color="000000" w:fill="F4B084"/>
            <w:noWrap/>
            <w:vAlign w:val="bottom"/>
            <w:hideMark/>
          </w:tcPr>
          <w:p w14:paraId="26043284"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c>
          <w:tcPr>
            <w:tcW w:w="3036" w:type="dxa"/>
            <w:tcBorders>
              <w:top w:val="nil"/>
              <w:left w:val="nil"/>
              <w:bottom w:val="single" w:sz="4" w:space="0" w:color="auto"/>
              <w:right w:val="single" w:sz="4" w:space="0" w:color="auto"/>
            </w:tcBorders>
            <w:shd w:val="clear" w:color="000000" w:fill="F4B084"/>
            <w:noWrap/>
            <w:vAlign w:val="bottom"/>
            <w:hideMark/>
          </w:tcPr>
          <w:p w14:paraId="0A12A8CE"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3.00 </w:t>
            </w:r>
          </w:p>
        </w:tc>
      </w:tr>
      <w:tr w:rsidR="007273CC" w:rsidRPr="007250A8" w14:paraId="7ADC867F"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780D4351"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w:t>
            </w:r>
          </w:p>
        </w:tc>
        <w:tc>
          <w:tcPr>
            <w:tcW w:w="2721" w:type="dxa"/>
            <w:tcBorders>
              <w:top w:val="nil"/>
              <w:left w:val="nil"/>
              <w:bottom w:val="single" w:sz="4" w:space="0" w:color="auto"/>
              <w:right w:val="single" w:sz="4" w:space="0" w:color="auto"/>
            </w:tcBorders>
            <w:shd w:val="clear" w:color="000000" w:fill="F4B084"/>
            <w:noWrap/>
            <w:vAlign w:val="bottom"/>
            <w:hideMark/>
          </w:tcPr>
          <w:p w14:paraId="2FDC7FE0"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c>
          <w:tcPr>
            <w:tcW w:w="3036" w:type="dxa"/>
            <w:tcBorders>
              <w:top w:val="nil"/>
              <w:left w:val="nil"/>
              <w:bottom w:val="single" w:sz="4" w:space="0" w:color="auto"/>
              <w:right w:val="single" w:sz="4" w:space="0" w:color="auto"/>
            </w:tcBorders>
            <w:shd w:val="clear" w:color="000000" w:fill="F4B084"/>
            <w:noWrap/>
            <w:vAlign w:val="bottom"/>
            <w:hideMark/>
          </w:tcPr>
          <w:p w14:paraId="39227B2F"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14.00 </w:t>
            </w:r>
          </w:p>
        </w:tc>
      </w:tr>
      <w:tr w:rsidR="007273CC" w:rsidRPr="007250A8" w14:paraId="5BFEE986"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7920C0D3"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5</w:t>
            </w:r>
          </w:p>
        </w:tc>
        <w:tc>
          <w:tcPr>
            <w:tcW w:w="2721" w:type="dxa"/>
            <w:tcBorders>
              <w:top w:val="nil"/>
              <w:left w:val="nil"/>
              <w:bottom w:val="single" w:sz="4" w:space="0" w:color="auto"/>
              <w:right w:val="single" w:sz="4" w:space="0" w:color="auto"/>
            </w:tcBorders>
            <w:shd w:val="clear" w:color="000000" w:fill="F4B084"/>
            <w:noWrap/>
            <w:vAlign w:val="bottom"/>
            <w:hideMark/>
          </w:tcPr>
          <w:p w14:paraId="7892673E"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c>
          <w:tcPr>
            <w:tcW w:w="3036" w:type="dxa"/>
            <w:tcBorders>
              <w:top w:val="nil"/>
              <w:left w:val="nil"/>
              <w:bottom w:val="single" w:sz="4" w:space="0" w:color="auto"/>
              <w:right w:val="single" w:sz="4" w:space="0" w:color="auto"/>
            </w:tcBorders>
            <w:shd w:val="clear" w:color="000000" w:fill="F4B084"/>
            <w:noWrap/>
            <w:vAlign w:val="bottom"/>
            <w:hideMark/>
          </w:tcPr>
          <w:p w14:paraId="238FBAD3"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25.00 </w:t>
            </w:r>
          </w:p>
        </w:tc>
      </w:tr>
      <w:tr w:rsidR="007273CC" w:rsidRPr="007250A8" w14:paraId="450B06D8"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4B084"/>
            <w:noWrap/>
            <w:vAlign w:val="bottom"/>
            <w:hideMark/>
          </w:tcPr>
          <w:p w14:paraId="5D518E59"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Cash Flow </w:t>
            </w:r>
          </w:p>
        </w:tc>
        <w:tc>
          <w:tcPr>
            <w:tcW w:w="5757" w:type="dxa"/>
            <w:gridSpan w:val="2"/>
            <w:tcBorders>
              <w:top w:val="single" w:sz="4" w:space="0" w:color="auto"/>
              <w:left w:val="nil"/>
              <w:bottom w:val="single" w:sz="4" w:space="0" w:color="auto"/>
              <w:right w:val="single" w:sz="4" w:space="0" w:color="000000"/>
            </w:tcBorders>
            <w:shd w:val="clear" w:color="000000" w:fill="F4B084"/>
            <w:noWrap/>
            <w:vAlign w:val="bottom"/>
            <w:hideMark/>
          </w:tcPr>
          <w:p w14:paraId="1CCECFEA"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55.00 </w:t>
            </w:r>
          </w:p>
        </w:tc>
      </w:tr>
      <w:tr w:rsidR="007273CC" w:rsidRPr="007250A8" w14:paraId="300D2A97" w14:textId="77777777" w:rsidTr="007273CC">
        <w:trPr>
          <w:trHeight w:val="326"/>
        </w:trPr>
        <w:tc>
          <w:tcPr>
            <w:tcW w:w="3141" w:type="dxa"/>
            <w:tcBorders>
              <w:top w:val="nil"/>
              <w:left w:val="single" w:sz="4" w:space="0" w:color="auto"/>
              <w:bottom w:val="nil"/>
              <w:right w:val="single" w:sz="4" w:space="0" w:color="auto"/>
            </w:tcBorders>
            <w:shd w:val="clear" w:color="000000" w:fill="F4B084"/>
            <w:noWrap/>
            <w:vAlign w:val="bottom"/>
            <w:hideMark/>
          </w:tcPr>
          <w:p w14:paraId="53126735"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Average Annual Profit </w:t>
            </w:r>
          </w:p>
        </w:tc>
        <w:tc>
          <w:tcPr>
            <w:tcW w:w="5757" w:type="dxa"/>
            <w:gridSpan w:val="2"/>
            <w:tcBorders>
              <w:top w:val="single" w:sz="4" w:space="0" w:color="auto"/>
              <w:left w:val="nil"/>
              <w:bottom w:val="nil"/>
              <w:right w:val="single" w:sz="4" w:space="0" w:color="000000"/>
            </w:tcBorders>
            <w:shd w:val="clear" w:color="000000" w:fill="F4B084"/>
            <w:noWrap/>
            <w:vAlign w:val="bottom"/>
            <w:hideMark/>
          </w:tcPr>
          <w:p w14:paraId="040E34D3"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11.00 </w:t>
            </w:r>
          </w:p>
        </w:tc>
      </w:tr>
      <w:tr w:rsidR="007273CC" w:rsidRPr="007250A8" w14:paraId="4603D305" w14:textId="77777777" w:rsidTr="007273CC">
        <w:trPr>
          <w:trHeight w:val="314"/>
        </w:trPr>
        <w:tc>
          <w:tcPr>
            <w:tcW w:w="3141" w:type="dxa"/>
            <w:tcBorders>
              <w:top w:val="single" w:sz="8" w:space="0" w:color="auto"/>
              <w:left w:val="single" w:sz="8" w:space="0" w:color="auto"/>
              <w:bottom w:val="single" w:sz="4" w:space="0" w:color="auto"/>
              <w:right w:val="single" w:sz="4" w:space="0" w:color="auto"/>
            </w:tcBorders>
            <w:shd w:val="clear" w:color="000000" w:fill="F4B084"/>
            <w:noWrap/>
            <w:vAlign w:val="bottom"/>
            <w:hideMark/>
          </w:tcPr>
          <w:p w14:paraId="0427B595"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Payback Period</w:t>
            </w:r>
          </w:p>
        </w:tc>
        <w:tc>
          <w:tcPr>
            <w:tcW w:w="5757" w:type="dxa"/>
            <w:gridSpan w:val="2"/>
            <w:tcBorders>
              <w:top w:val="single" w:sz="8" w:space="0" w:color="auto"/>
              <w:left w:val="nil"/>
              <w:bottom w:val="single" w:sz="4" w:space="0" w:color="auto"/>
              <w:right w:val="single" w:sz="8" w:space="0" w:color="000000"/>
            </w:tcBorders>
            <w:shd w:val="clear" w:color="000000" w:fill="F4B084"/>
            <w:noWrap/>
            <w:vAlign w:val="bottom"/>
            <w:hideMark/>
          </w:tcPr>
          <w:p w14:paraId="026DB6A0"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3</w:t>
            </w:r>
          </w:p>
        </w:tc>
      </w:tr>
      <w:tr w:rsidR="007273CC" w:rsidRPr="007250A8" w14:paraId="7D3401FA"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4B084"/>
            <w:noWrap/>
            <w:vAlign w:val="bottom"/>
            <w:hideMark/>
          </w:tcPr>
          <w:p w14:paraId="1BC337D2"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ARR</w:t>
            </w:r>
          </w:p>
        </w:tc>
        <w:tc>
          <w:tcPr>
            <w:tcW w:w="5757" w:type="dxa"/>
            <w:gridSpan w:val="2"/>
            <w:tcBorders>
              <w:top w:val="single" w:sz="4" w:space="0" w:color="auto"/>
              <w:left w:val="nil"/>
              <w:bottom w:val="single" w:sz="4" w:space="0" w:color="auto"/>
              <w:right w:val="single" w:sz="8" w:space="0" w:color="000000"/>
            </w:tcBorders>
            <w:shd w:val="clear" w:color="000000" w:fill="F4B084"/>
            <w:noWrap/>
            <w:vAlign w:val="bottom"/>
            <w:hideMark/>
          </w:tcPr>
          <w:p w14:paraId="2B4124F8"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-37%</w:t>
            </w:r>
          </w:p>
        </w:tc>
      </w:tr>
      <w:tr w:rsidR="007273CC" w:rsidRPr="007250A8" w14:paraId="228C7FBB"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4B084"/>
            <w:noWrap/>
            <w:vAlign w:val="bottom"/>
            <w:hideMark/>
          </w:tcPr>
          <w:p w14:paraId="4F3CC363"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NPV</w:t>
            </w:r>
          </w:p>
        </w:tc>
        <w:tc>
          <w:tcPr>
            <w:tcW w:w="5757" w:type="dxa"/>
            <w:gridSpan w:val="2"/>
            <w:tcBorders>
              <w:top w:val="single" w:sz="4" w:space="0" w:color="auto"/>
              <w:left w:val="nil"/>
              <w:bottom w:val="single" w:sz="4" w:space="0" w:color="auto"/>
              <w:right w:val="single" w:sz="8" w:space="0" w:color="000000"/>
            </w:tcBorders>
            <w:shd w:val="clear" w:color="000000" w:fill="F4B084"/>
            <w:noWrap/>
            <w:vAlign w:val="bottom"/>
            <w:hideMark/>
          </w:tcPr>
          <w:p w14:paraId="692098A2"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13.92 </w:t>
            </w:r>
          </w:p>
        </w:tc>
      </w:tr>
      <w:tr w:rsidR="007273CC" w:rsidRPr="007250A8" w14:paraId="446778B3"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4B084"/>
            <w:noWrap/>
            <w:vAlign w:val="bottom"/>
            <w:hideMark/>
          </w:tcPr>
          <w:p w14:paraId="030CEC99"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Profitability Index (PI) </w:t>
            </w:r>
          </w:p>
        </w:tc>
        <w:tc>
          <w:tcPr>
            <w:tcW w:w="5757" w:type="dxa"/>
            <w:gridSpan w:val="2"/>
            <w:tcBorders>
              <w:top w:val="single" w:sz="4" w:space="0" w:color="auto"/>
              <w:left w:val="nil"/>
              <w:bottom w:val="single" w:sz="4" w:space="0" w:color="auto"/>
              <w:right w:val="single" w:sz="8" w:space="0" w:color="000000"/>
            </w:tcBorders>
            <w:shd w:val="clear" w:color="000000" w:fill="F4B084"/>
            <w:noWrap/>
            <w:vAlign w:val="bottom"/>
            <w:hideMark/>
          </w:tcPr>
          <w:p w14:paraId="21DD5DE2"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0.54 </w:t>
            </w:r>
          </w:p>
        </w:tc>
      </w:tr>
      <w:tr w:rsidR="007273CC" w:rsidRPr="007250A8" w14:paraId="6F388E6F" w14:textId="77777777" w:rsidTr="007273CC">
        <w:trPr>
          <w:trHeight w:val="326"/>
        </w:trPr>
        <w:tc>
          <w:tcPr>
            <w:tcW w:w="3141" w:type="dxa"/>
            <w:tcBorders>
              <w:top w:val="nil"/>
              <w:left w:val="single" w:sz="8" w:space="0" w:color="auto"/>
              <w:bottom w:val="single" w:sz="8" w:space="0" w:color="auto"/>
              <w:right w:val="single" w:sz="4" w:space="0" w:color="auto"/>
            </w:tcBorders>
            <w:shd w:val="clear" w:color="000000" w:fill="F4B084"/>
            <w:noWrap/>
            <w:vAlign w:val="bottom"/>
            <w:hideMark/>
          </w:tcPr>
          <w:p w14:paraId="508E5473"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IRR </w:t>
            </w:r>
          </w:p>
        </w:tc>
        <w:tc>
          <w:tcPr>
            <w:tcW w:w="5757" w:type="dxa"/>
            <w:gridSpan w:val="2"/>
            <w:tcBorders>
              <w:top w:val="single" w:sz="4" w:space="0" w:color="auto"/>
              <w:left w:val="nil"/>
              <w:bottom w:val="single" w:sz="8" w:space="0" w:color="auto"/>
              <w:right w:val="single" w:sz="8" w:space="0" w:color="000000"/>
            </w:tcBorders>
            <w:shd w:val="clear" w:color="000000" w:fill="F4B084"/>
            <w:noWrap/>
            <w:vAlign w:val="bottom"/>
            <w:hideMark/>
          </w:tcPr>
          <w:p w14:paraId="7F4AAF6B"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24%</w:t>
            </w:r>
          </w:p>
        </w:tc>
      </w:tr>
      <w:tr w:rsidR="007273CC" w:rsidRPr="007250A8" w14:paraId="4370FC25" w14:textId="77777777" w:rsidTr="007273CC">
        <w:trPr>
          <w:trHeight w:val="314"/>
        </w:trPr>
        <w:tc>
          <w:tcPr>
            <w:tcW w:w="3141" w:type="dxa"/>
            <w:tcBorders>
              <w:top w:val="nil"/>
              <w:left w:val="nil"/>
              <w:bottom w:val="nil"/>
              <w:right w:val="nil"/>
            </w:tcBorders>
            <w:noWrap/>
            <w:vAlign w:val="bottom"/>
            <w:hideMark/>
          </w:tcPr>
          <w:p w14:paraId="67BD2E2F"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p>
        </w:tc>
        <w:tc>
          <w:tcPr>
            <w:tcW w:w="2721" w:type="dxa"/>
            <w:tcBorders>
              <w:top w:val="nil"/>
              <w:left w:val="nil"/>
              <w:bottom w:val="nil"/>
              <w:right w:val="nil"/>
            </w:tcBorders>
            <w:noWrap/>
            <w:vAlign w:val="bottom"/>
            <w:hideMark/>
          </w:tcPr>
          <w:p w14:paraId="5FA1B6A3" w14:textId="77777777" w:rsidR="007273CC" w:rsidRPr="007250A8" w:rsidRDefault="007273CC" w:rsidP="007273CC">
            <w:pPr>
              <w:spacing w:before="0" w:after="0" w:line="240" w:lineRule="auto"/>
              <w:jc w:val="left"/>
              <w:rPr>
                <w:rFonts w:eastAsia="Times New Roman" w:cs="Arial"/>
                <w:kern w:val="0"/>
                <w:sz w:val="20"/>
                <w:szCs w:val="20"/>
                <w:lang w:val="en-GB" w:eastAsia="en-IN" w:bidi="ar-SA"/>
                <w14:ligatures w14:val="none"/>
              </w:rPr>
            </w:pPr>
          </w:p>
        </w:tc>
        <w:tc>
          <w:tcPr>
            <w:tcW w:w="3036" w:type="dxa"/>
            <w:tcBorders>
              <w:top w:val="nil"/>
              <w:left w:val="nil"/>
              <w:bottom w:val="nil"/>
              <w:right w:val="nil"/>
            </w:tcBorders>
            <w:noWrap/>
            <w:vAlign w:val="bottom"/>
            <w:hideMark/>
          </w:tcPr>
          <w:p w14:paraId="59E864D4" w14:textId="77777777" w:rsidR="007273CC" w:rsidRPr="007250A8" w:rsidRDefault="007273CC" w:rsidP="007273CC">
            <w:pPr>
              <w:spacing w:before="0" w:after="0" w:line="240" w:lineRule="auto"/>
              <w:jc w:val="left"/>
              <w:rPr>
                <w:rFonts w:eastAsia="Times New Roman" w:cs="Arial"/>
                <w:kern w:val="0"/>
                <w:sz w:val="20"/>
                <w:szCs w:val="20"/>
                <w:lang w:val="en-GB" w:eastAsia="en-IN" w:bidi="ar-SA"/>
                <w14:ligatures w14:val="none"/>
              </w:rPr>
            </w:pPr>
          </w:p>
        </w:tc>
      </w:tr>
      <w:tr w:rsidR="007273CC" w:rsidRPr="007250A8" w14:paraId="0F4F3445" w14:textId="77777777" w:rsidTr="007273CC">
        <w:trPr>
          <w:trHeight w:val="314"/>
        </w:trPr>
        <w:tc>
          <w:tcPr>
            <w:tcW w:w="8899" w:type="dxa"/>
            <w:gridSpan w:val="3"/>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6085FD31" w14:textId="1E555315" w:rsidR="007273CC" w:rsidRPr="007250A8" w:rsidRDefault="007273CC" w:rsidP="007273CC">
            <w:pPr>
              <w:spacing w:before="0" w:after="0" w:line="240" w:lineRule="auto"/>
              <w:jc w:val="center"/>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Project C - Investment Appraisals</w:t>
            </w:r>
          </w:p>
        </w:tc>
      </w:tr>
      <w:tr w:rsidR="007273CC" w:rsidRPr="007250A8" w14:paraId="5503A2A8"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6C94EB05"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Year </w:t>
            </w:r>
          </w:p>
        </w:tc>
        <w:tc>
          <w:tcPr>
            <w:tcW w:w="2721" w:type="dxa"/>
            <w:tcBorders>
              <w:top w:val="nil"/>
              <w:left w:val="nil"/>
              <w:bottom w:val="single" w:sz="4" w:space="0" w:color="auto"/>
              <w:right w:val="single" w:sz="4" w:space="0" w:color="auto"/>
            </w:tcBorders>
            <w:shd w:val="clear" w:color="000000" w:fill="FFD966"/>
            <w:noWrap/>
            <w:vAlign w:val="bottom"/>
            <w:hideMark/>
          </w:tcPr>
          <w:p w14:paraId="2809023F"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Cash Flow </w:t>
            </w:r>
          </w:p>
        </w:tc>
        <w:tc>
          <w:tcPr>
            <w:tcW w:w="3036" w:type="dxa"/>
            <w:tcBorders>
              <w:top w:val="nil"/>
              <w:left w:val="nil"/>
              <w:bottom w:val="single" w:sz="4" w:space="0" w:color="auto"/>
              <w:right w:val="single" w:sz="4" w:space="0" w:color="auto"/>
            </w:tcBorders>
            <w:shd w:val="clear" w:color="000000" w:fill="FFD966"/>
            <w:noWrap/>
            <w:vAlign w:val="bottom"/>
            <w:hideMark/>
          </w:tcPr>
          <w:p w14:paraId="7CA80639" w14:textId="1C0D636A"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Cumilative Cashflow</w:t>
            </w:r>
          </w:p>
        </w:tc>
      </w:tr>
      <w:tr w:rsidR="007273CC" w:rsidRPr="007250A8" w14:paraId="4762C7BC"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0783DAE1"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0</w:t>
            </w:r>
          </w:p>
        </w:tc>
        <w:tc>
          <w:tcPr>
            <w:tcW w:w="2721" w:type="dxa"/>
            <w:tcBorders>
              <w:top w:val="nil"/>
              <w:left w:val="nil"/>
              <w:bottom w:val="single" w:sz="4" w:space="0" w:color="auto"/>
              <w:right w:val="single" w:sz="4" w:space="0" w:color="auto"/>
            </w:tcBorders>
            <w:shd w:val="clear" w:color="000000" w:fill="FFD966"/>
            <w:noWrap/>
            <w:vAlign w:val="bottom"/>
            <w:hideMark/>
          </w:tcPr>
          <w:p w14:paraId="6870A707"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50.00 </w:t>
            </w:r>
          </w:p>
        </w:tc>
        <w:tc>
          <w:tcPr>
            <w:tcW w:w="3036" w:type="dxa"/>
            <w:tcBorders>
              <w:top w:val="nil"/>
              <w:left w:val="nil"/>
              <w:bottom w:val="single" w:sz="4" w:space="0" w:color="auto"/>
              <w:right w:val="single" w:sz="4" w:space="0" w:color="auto"/>
            </w:tcBorders>
            <w:shd w:val="clear" w:color="000000" w:fill="FFD966"/>
            <w:noWrap/>
            <w:vAlign w:val="bottom"/>
            <w:hideMark/>
          </w:tcPr>
          <w:p w14:paraId="44C4A7B6"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50.00 </w:t>
            </w:r>
          </w:p>
        </w:tc>
      </w:tr>
      <w:tr w:rsidR="007273CC" w:rsidRPr="007250A8" w14:paraId="5BC066DA"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3395503D"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1</w:t>
            </w:r>
          </w:p>
        </w:tc>
        <w:tc>
          <w:tcPr>
            <w:tcW w:w="2721" w:type="dxa"/>
            <w:tcBorders>
              <w:top w:val="nil"/>
              <w:left w:val="nil"/>
              <w:bottom w:val="single" w:sz="4" w:space="0" w:color="auto"/>
              <w:right w:val="single" w:sz="4" w:space="0" w:color="auto"/>
            </w:tcBorders>
            <w:shd w:val="clear" w:color="000000" w:fill="FFD966"/>
            <w:noWrap/>
            <w:vAlign w:val="bottom"/>
            <w:hideMark/>
          </w:tcPr>
          <w:p w14:paraId="0233FEF1"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5.00 </w:t>
            </w:r>
          </w:p>
        </w:tc>
        <w:tc>
          <w:tcPr>
            <w:tcW w:w="3036" w:type="dxa"/>
            <w:tcBorders>
              <w:top w:val="nil"/>
              <w:left w:val="nil"/>
              <w:bottom w:val="single" w:sz="4" w:space="0" w:color="auto"/>
              <w:right w:val="single" w:sz="4" w:space="0" w:color="auto"/>
            </w:tcBorders>
            <w:shd w:val="clear" w:color="000000" w:fill="FFD966"/>
            <w:noWrap/>
            <w:vAlign w:val="bottom"/>
            <w:hideMark/>
          </w:tcPr>
          <w:p w14:paraId="1FC821AB"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45.00 </w:t>
            </w:r>
          </w:p>
        </w:tc>
      </w:tr>
      <w:tr w:rsidR="007273CC" w:rsidRPr="007250A8" w14:paraId="45849565"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7F369FD8"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2</w:t>
            </w:r>
          </w:p>
        </w:tc>
        <w:tc>
          <w:tcPr>
            <w:tcW w:w="2721" w:type="dxa"/>
            <w:tcBorders>
              <w:top w:val="nil"/>
              <w:left w:val="nil"/>
              <w:bottom w:val="single" w:sz="4" w:space="0" w:color="auto"/>
              <w:right w:val="single" w:sz="4" w:space="0" w:color="auto"/>
            </w:tcBorders>
            <w:shd w:val="clear" w:color="000000" w:fill="FFD966"/>
            <w:noWrap/>
            <w:vAlign w:val="bottom"/>
            <w:hideMark/>
          </w:tcPr>
          <w:p w14:paraId="6D9F1BD3"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10.00 </w:t>
            </w:r>
          </w:p>
        </w:tc>
        <w:tc>
          <w:tcPr>
            <w:tcW w:w="3036" w:type="dxa"/>
            <w:tcBorders>
              <w:top w:val="nil"/>
              <w:left w:val="nil"/>
              <w:bottom w:val="single" w:sz="4" w:space="0" w:color="auto"/>
              <w:right w:val="single" w:sz="4" w:space="0" w:color="auto"/>
            </w:tcBorders>
            <w:shd w:val="clear" w:color="000000" w:fill="FFD966"/>
            <w:noWrap/>
            <w:vAlign w:val="bottom"/>
            <w:hideMark/>
          </w:tcPr>
          <w:p w14:paraId="0BFB5F52"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35.00 </w:t>
            </w:r>
          </w:p>
        </w:tc>
      </w:tr>
      <w:tr w:rsidR="007273CC" w:rsidRPr="007250A8" w14:paraId="08C9A046"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0A641DE9"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3</w:t>
            </w:r>
          </w:p>
        </w:tc>
        <w:tc>
          <w:tcPr>
            <w:tcW w:w="2721" w:type="dxa"/>
            <w:tcBorders>
              <w:top w:val="nil"/>
              <w:left w:val="nil"/>
              <w:bottom w:val="single" w:sz="4" w:space="0" w:color="auto"/>
              <w:right w:val="single" w:sz="4" w:space="0" w:color="auto"/>
            </w:tcBorders>
            <w:shd w:val="clear" w:color="000000" w:fill="FFD966"/>
            <w:noWrap/>
            <w:vAlign w:val="bottom"/>
            <w:hideMark/>
          </w:tcPr>
          <w:p w14:paraId="3DDC1B6F"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20.00 </w:t>
            </w:r>
          </w:p>
        </w:tc>
        <w:tc>
          <w:tcPr>
            <w:tcW w:w="3036" w:type="dxa"/>
            <w:tcBorders>
              <w:top w:val="nil"/>
              <w:left w:val="nil"/>
              <w:bottom w:val="single" w:sz="4" w:space="0" w:color="auto"/>
              <w:right w:val="single" w:sz="4" w:space="0" w:color="auto"/>
            </w:tcBorders>
            <w:shd w:val="clear" w:color="000000" w:fill="FFD966"/>
            <w:noWrap/>
            <w:vAlign w:val="bottom"/>
            <w:hideMark/>
          </w:tcPr>
          <w:p w14:paraId="4015361C"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15.00 </w:t>
            </w:r>
          </w:p>
        </w:tc>
      </w:tr>
      <w:tr w:rsidR="007273CC" w:rsidRPr="007250A8" w14:paraId="1C91F22E"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3A165793"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4</w:t>
            </w:r>
          </w:p>
        </w:tc>
        <w:tc>
          <w:tcPr>
            <w:tcW w:w="2721" w:type="dxa"/>
            <w:tcBorders>
              <w:top w:val="nil"/>
              <w:left w:val="nil"/>
              <w:bottom w:val="single" w:sz="4" w:space="0" w:color="auto"/>
              <w:right w:val="single" w:sz="4" w:space="0" w:color="auto"/>
            </w:tcBorders>
            <w:shd w:val="clear" w:color="000000" w:fill="FFD966"/>
            <w:noWrap/>
            <w:vAlign w:val="bottom"/>
            <w:hideMark/>
          </w:tcPr>
          <w:p w14:paraId="062A7A72"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25.00 </w:t>
            </w:r>
          </w:p>
        </w:tc>
        <w:tc>
          <w:tcPr>
            <w:tcW w:w="3036" w:type="dxa"/>
            <w:tcBorders>
              <w:top w:val="nil"/>
              <w:left w:val="nil"/>
              <w:bottom w:val="single" w:sz="4" w:space="0" w:color="auto"/>
              <w:right w:val="single" w:sz="4" w:space="0" w:color="auto"/>
            </w:tcBorders>
            <w:shd w:val="clear" w:color="000000" w:fill="FFD966"/>
            <w:noWrap/>
            <w:vAlign w:val="bottom"/>
            <w:hideMark/>
          </w:tcPr>
          <w:p w14:paraId="26A82B4D"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10.00 </w:t>
            </w:r>
          </w:p>
        </w:tc>
      </w:tr>
      <w:tr w:rsidR="007273CC" w:rsidRPr="007250A8" w14:paraId="352F8698"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260493F2" w14:textId="77777777" w:rsidR="007273CC" w:rsidRPr="007250A8" w:rsidRDefault="007273CC" w:rsidP="007273CC">
            <w:pPr>
              <w:spacing w:before="0" w:after="0" w:line="240" w:lineRule="auto"/>
              <w:jc w:val="righ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5</w:t>
            </w:r>
          </w:p>
        </w:tc>
        <w:tc>
          <w:tcPr>
            <w:tcW w:w="2721" w:type="dxa"/>
            <w:tcBorders>
              <w:top w:val="nil"/>
              <w:left w:val="nil"/>
              <w:bottom w:val="single" w:sz="4" w:space="0" w:color="auto"/>
              <w:right w:val="single" w:sz="4" w:space="0" w:color="auto"/>
            </w:tcBorders>
            <w:shd w:val="clear" w:color="000000" w:fill="FFD966"/>
            <w:noWrap/>
            <w:vAlign w:val="bottom"/>
            <w:hideMark/>
          </w:tcPr>
          <w:p w14:paraId="18AC7E76"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5.00 </w:t>
            </w:r>
          </w:p>
        </w:tc>
        <w:tc>
          <w:tcPr>
            <w:tcW w:w="3036" w:type="dxa"/>
            <w:tcBorders>
              <w:top w:val="nil"/>
              <w:left w:val="nil"/>
              <w:bottom w:val="single" w:sz="4" w:space="0" w:color="auto"/>
              <w:right w:val="single" w:sz="4" w:space="0" w:color="auto"/>
            </w:tcBorders>
            <w:shd w:val="clear" w:color="000000" w:fill="FFD966"/>
            <w:noWrap/>
            <w:vAlign w:val="bottom"/>
            <w:hideMark/>
          </w:tcPr>
          <w:p w14:paraId="2C7C3CA6"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15.00 </w:t>
            </w:r>
          </w:p>
        </w:tc>
      </w:tr>
      <w:tr w:rsidR="007273CC" w:rsidRPr="007250A8" w14:paraId="6130A39D" w14:textId="77777777" w:rsidTr="007273CC">
        <w:trPr>
          <w:trHeight w:val="314"/>
        </w:trPr>
        <w:tc>
          <w:tcPr>
            <w:tcW w:w="3141" w:type="dxa"/>
            <w:tcBorders>
              <w:top w:val="nil"/>
              <w:left w:val="single" w:sz="4" w:space="0" w:color="auto"/>
              <w:bottom w:val="single" w:sz="4" w:space="0" w:color="auto"/>
              <w:right w:val="single" w:sz="4" w:space="0" w:color="auto"/>
            </w:tcBorders>
            <w:shd w:val="clear" w:color="000000" w:fill="FFD966"/>
            <w:noWrap/>
            <w:vAlign w:val="bottom"/>
            <w:hideMark/>
          </w:tcPr>
          <w:p w14:paraId="7B4B4A56"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Total Cash Flow </w:t>
            </w:r>
          </w:p>
        </w:tc>
        <w:tc>
          <w:tcPr>
            <w:tcW w:w="5757" w:type="dxa"/>
            <w:gridSpan w:val="2"/>
            <w:tcBorders>
              <w:top w:val="single" w:sz="4" w:space="0" w:color="auto"/>
              <w:left w:val="nil"/>
              <w:bottom w:val="single" w:sz="4" w:space="0" w:color="auto"/>
              <w:right w:val="single" w:sz="4" w:space="0" w:color="000000"/>
            </w:tcBorders>
            <w:shd w:val="clear" w:color="000000" w:fill="FFD966"/>
            <w:noWrap/>
            <w:vAlign w:val="bottom"/>
            <w:hideMark/>
          </w:tcPr>
          <w:p w14:paraId="126FAC46"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65.00 </w:t>
            </w:r>
          </w:p>
        </w:tc>
      </w:tr>
      <w:tr w:rsidR="007273CC" w:rsidRPr="007250A8" w14:paraId="0D7702FE" w14:textId="77777777" w:rsidTr="007273CC">
        <w:trPr>
          <w:trHeight w:val="326"/>
        </w:trPr>
        <w:tc>
          <w:tcPr>
            <w:tcW w:w="3141" w:type="dxa"/>
            <w:tcBorders>
              <w:top w:val="nil"/>
              <w:left w:val="single" w:sz="4" w:space="0" w:color="auto"/>
              <w:bottom w:val="nil"/>
              <w:right w:val="single" w:sz="4" w:space="0" w:color="auto"/>
            </w:tcBorders>
            <w:shd w:val="clear" w:color="000000" w:fill="FFD966"/>
            <w:noWrap/>
            <w:vAlign w:val="bottom"/>
            <w:hideMark/>
          </w:tcPr>
          <w:p w14:paraId="2201A1FE" w14:textId="77777777" w:rsidR="007273CC" w:rsidRPr="007250A8" w:rsidRDefault="007273CC" w:rsidP="007273CC">
            <w:pPr>
              <w:spacing w:before="0" w:after="0" w:line="240" w:lineRule="auto"/>
              <w:jc w:val="left"/>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Average Annual Profit </w:t>
            </w:r>
          </w:p>
        </w:tc>
        <w:tc>
          <w:tcPr>
            <w:tcW w:w="5757" w:type="dxa"/>
            <w:gridSpan w:val="2"/>
            <w:tcBorders>
              <w:top w:val="single" w:sz="4" w:space="0" w:color="auto"/>
              <w:left w:val="nil"/>
              <w:bottom w:val="nil"/>
              <w:right w:val="single" w:sz="4" w:space="0" w:color="000000"/>
            </w:tcBorders>
            <w:shd w:val="clear" w:color="000000" w:fill="FFD966"/>
            <w:noWrap/>
            <w:vAlign w:val="bottom"/>
            <w:hideMark/>
          </w:tcPr>
          <w:p w14:paraId="33B04C97" w14:textId="77777777" w:rsidR="007273CC" w:rsidRPr="007250A8" w:rsidRDefault="007273CC" w:rsidP="007273CC">
            <w:pPr>
              <w:spacing w:before="0" w:after="0" w:line="240" w:lineRule="auto"/>
              <w:jc w:val="center"/>
              <w:rPr>
                <w:rFonts w:eastAsia="Times New Roman" w:cs="Arial"/>
                <w:color w:val="000000"/>
                <w:kern w:val="0"/>
                <w:szCs w:val="24"/>
                <w:lang w:val="en-GB" w:eastAsia="en-IN" w:bidi="ar-SA"/>
                <w14:ligatures w14:val="none"/>
              </w:rPr>
            </w:pPr>
            <w:r w:rsidRPr="007250A8">
              <w:rPr>
                <w:rFonts w:eastAsia="Times New Roman" w:cs="Arial"/>
                <w:color w:val="000000"/>
                <w:kern w:val="0"/>
                <w:szCs w:val="24"/>
                <w:lang w:val="en-GB" w:eastAsia="en-IN" w:bidi="ar-SA"/>
                <w14:ligatures w14:val="none"/>
              </w:rPr>
              <w:t xml:space="preserve"> £                                                              13.00 </w:t>
            </w:r>
          </w:p>
        </w:tc>
      </w:tr>
      <w:tr w:rsidR="007273CC" w:rsidRPr="007250A8" w14:paraId="4C8B57C0" w14:textId="77777777" w:rsidTr="007273CC">
        <w:trPr>
          <w:trHeight w:val="314"/>
        </w:trPr>
        <w:tc>
          <w:tcPr>
            <w:tcW w:w="3141" w:type="dxa"/>
            <w:tcBorders>
              <w:top w:val="single" w:sz="8" w:space="0" w:color="auto"/>
              <w:left w:val="single" w:sz="8" w:space="0" w:color="auto"/>
              <w:bottom w:val="single" w:sz="4" w:space="0" w:color="auto"/>
              <w:right w:val="single" w:sz="4" w:space="0" w:color="auto"/>
            </w:tcBorders>
            <w:shd w:val="clear" w:color="000000" w:fill="FFD966"/>
            <w:noWrap/>
            <w:vAlign w:val="bottom"/>
            <w:hideMark/>
          </w:tcPr>
          <w:p w14:paraId="29BA7E5A"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Payback Period</w:t>
            </w:r>
          </w:p>
        </w:tc>
        <w:tc>
          <w:tcPr>
            <w:tcW w:w="5757" w:type="dxa"/>
            <w:gridSpan w:val="2"/>
            <w:tcBorders>
              <w:top w:val="single" w:sz="8" w:space="0" w:color="auto"/>
              <w:left w:val="nil"/>
              <w:bottom w:val="single" w:sz="4" w:space="0" w:color="auto"/>
              <w:right w:val="single" w:sz="8" w:space="0" w:color="000000"/>
            </w:tcBorders>
            <w:shd w:val="clear" w:color="000000" w:fill="FFD966"/>
            <w:noWrap/>
            <w:vAlign w:val="bottom"/>
            <w:hideMark/>
          </w:tcPr>
          <w:p w14:paraId="728DFF62"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4</w:t>
            </w:r>
          </w:p>
        </w:tc>
      </w:tr>
      <w:tr w:rsidR="007273CC" w:rsidRPr="007250A8" w14:paraId="5D53E0E5"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FD966"/>
            <w:noWrap/>
            <w:vAlign w:val="bottom"/>
            <w:hideMark/>
          </w:tcPr>
          <w:p w14:paraId="18B2320D"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ARR</w:t>
            </w:r>
          </w:p>
        </w:tc>
        <w:tc>
          <w:tcPr>
            <w:tcW w:w="5757" w:type="dxa"/>
            <w:gridSpan w:val="2"/>
            <w:tcBorders>
              <w:top w:val="single" w:sz="4" w:space="0" w:color="auto"/>
              <w:left w:val="nil"/>
              <w:bottom w:val="single" w:sz="4" w:space="0" w:color="auto"/>
              <w:right w:val="single" w:sz="8" w:space="0" w:color="000000"/>
            </w:tcBorders>
            <w:shd w:val="clear" w:color="000000" w:fill="FFD966"/>
            <w:noWrap/>
            <w:vAlign w:val="bottom"/>
            <w:hideMark/>
          </w:tcPr>
          <w:p w14:paraId="0736D346"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-26%</w:t>
            </w:r>
          </w:p>
        </w:tc>
      </w:tr>
      <w:tr w:rsidR="007273CC" w:rsidRPr="007250A8" w14:paraId="097B4B8B"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FD966"/>
            <w:noWrap/>
            <w:vAlign w:val="bottom"/>
            <w:hideMark/>
          </w:tcPr>
          <w:p w14:paraId="75E7A16E"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NPV</w:t>
            </w:r>
          </w:p>
        </w:tc>
        <w:tc>
          <w:tcPr>
            <w:tcW w:w="5757" w:type="dxa"/>
            <w:gridSpan w:val="2"/>
            <w:tcBorders>
              <w:top w:val="single" w:sz="4" w:space="0" w:color="auto"/>
              <w:left w:val="nil"/>
              <w:bottom w:val="single" w:sz="4" w:space="0" w:color="auto"/>
              <w:right w:val="single" w:sz="8" w:space="0" w:color="000000"/>
            </w:tcBorders>
            <w:shd w:val="clear" w:color="000000" w:fill="FFD966"/>
            <w:noWrap/>
            <w:vAlign w:val="bottom"/>
            <w:hideMark/>
          </w:tcPr>
          <w:p w14:paraId="5228FCE9"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0.86 </w:t>
            </w:r>
          </w:p>
        </w:tc>
      </w:tr>
      <w:tr w:rsidR="007273CC" w:rsidRPr="007250A8" w14:paraId="28FE00A4" w14:textId="77777777" w:rsidTr="007273CC">
        <w:trPr>
          <w:trHeight w:val="314"/>
        </w:trPr>
        <w:tc>
          <w:tcPr>
            <w:tcW w:w="3141" w:type="dxa"/>
            <w:tcBorders>
              <w:top w:val="nil"/>
              <w:left w:val="single" w:sz="8" w:space="0" w:color="auto"/>
              <w:bottom w:val="single" w:sz="4" w:space="0" w:color="auto"/>
              <w:right w:val="single" w:sz="4" w:space="0" w:color="auto"/>
            </w:tcBorders>
            <w:shd w:val="clear" w:color="000000" w:fill="FFD966"/>
            <w:noWrap/>
            <w:vAlign w:val="bottom"/>
            <w:hideMark/>
          </w:tcPr>
          <w:p w14:paraId="5A0DBF41"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Profitability Index (PI) </w:t>
            </w:r>
          </w:p>
        </w:tc>
        <w:tc>
          <w:tcPr>
            <w:tcW w:w="5757" w:type="dxa"/>
            <w:gridSpan w:val="2"/>
            <w:tcBorders>
              <w:top w:val="single" w:sz="4" w:space="0" w:color="auto"/>
              <w:left w:val="nil"/>
              <w:bottom w:val="single" w:sz="4" w:space="0" w:color="auto"/>
              <w:right w:val="single" w:sz="8" w:space="0" w:color="000000"/>
            </w:tcBorders>
            <w:shd w:val="clear" w:color="000000" w:fill="FFD966"/>
            <w:noWrap/>
            <w:vAlign w:val="bottom"/>
            <w:hideMark/>
          </w:tcPr>
          <w:p w14:paraId="5C6EFD73"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 £                                                                0.98 </w:t>
            </w:r>
          </w:p>
        </w:tc>
      </w:tr>
      <w:tr w:rsidR="007273CC" w:rsidRPr="007250A8" w14:paraId="2F551A2A" w14:textId="77777777" w:rsidTr="007273CC">
        <w:trPr>
          <w:trHeight w:val="326"/>
        </w:trPr>
        <w:tc>
          <w:tcPr>
            <w:tcW w:w="3141" w:type="dxa"/>
            <w:tcBorders>
              <w:top w:val="nil"/>
              <w:left w:val="single" w:sz="8" w:space="0" w:color="auto"/>
              <w:bottom w:val="single" w:sz="8" w:space="0" w:color="auto"/>
              <w:right w:val="single" w:sz="4" w:space="0" w:color="auto"/>
            </w:tcBorders>
            <w:shd w:val="clear" w:color="000000" w:fill="FFD966"/>
            <w:noWrap/>
            <w:vAlign w:val="bottom"/>
            <w:hideMark/>
          </w:tcPr>
          <w:p w14:paraId="336B6194" w14:textId="77777777" w:rsidR="007273CC" w:rsidRPr="007250A8" w:rsidRDefault="007273CC" w:rsidP="007273CC">
            <w:pPr>
              <w:spacing w:before="0" w:after="0" w:line="240" w:lineRule="auto"/>
              <w:jc w:val="lef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 xml:space="preserve">IRR </w:t>
            </w:r>
          </w:p>
        </w:tc>
        <w:tc>
          <w:tcPr>
            <w:tcW w:w="5757" w:type="dxa"/>
            <w:gridSpan w:val="2"/>
            <w:tcBorders>
              <w:top w:val="single" w:sz="4" w:space="0" w:color="auto"/>
              <w:left w:val="nil"/>
              <w:bottom w:val="single" w:sz="8" w:space="0" w:color="auto"/>
              <w:right w:val="single" w:sz="8" w:space="0" w:color="000000"/>
            </w:tcBorders>
            <w:shd w:val="clear" w:color="000000" w:fill="FFD966"/>
            <w:noWrap/>
            <w:vAlign w:val="bottom"/>
            <w:hideMark/>
          </w:tcPr>
          <w:p w14:paraId="398B47FA" w14:textId="77777777" w:rsidR="007273CC" w:rsidRPr="007250A8" w:rsidRDefault="007273CC" w:rsidP="007273CC">
            <w:pPr>
              <w:spacing w:before="0" w:after="0" w:line="240" w:lineRule="auto"/>
              <w:jc w:val="right"/>
              <w:rPr>
                <w:rFonts w:eastAsia="Times New Roman" w:cs="Arial"/>
                <w:b/>
                <w:bCs/>
                <w:color w:val="000000"/>
                <w:kern w:val="0"/>
                <w:szCs w:val="24"/>
                <w:lang w:val="en-GB" w:eastAsia="en-IN" w:bidi="ar-SA"/>
                <w14:ligatures w14:val="none"/>
              </w:rPr>
            </w:pPr>
            <w:r w:rsidRPr="007250A8">
              <w:rPr>
                <w:rFonts w:eastAsia="Times New Roman" w:cs="Arial"/>
                <w:b/>
                <w:bCs/>
                <w:color w:val="000000"/>
                <w:kern w:val="0"/>
                <w:szCs w:val="24"/>
                <w:lang w:val="en-GB" w:eastAsia="en-IN" w:bidi="ar-SA"/>
                <w14:ligatures w14:val="none"/>
              </w:rPr>
              <w:t>27%</w:t>
            </w:r>
          </w:p>
        </w:tc>
      </w:tr>
    </w:tbl>
    <w:p w14:paraId="07D30BF8" w14:textId="77777777" w:rsidR="007273CC" w:rsidRPr="007250A8" w:rsidRDefault="007273CC" w:rsidP="00651549">
      <w:pPr>
        <w:rPr>
          <w:lang w:val="en-GB" w:eastAsia="en-IN" w:bidi="ar-SA"/>
        </w:rPr>
      </w:pPr>
    </w:p>
    <w:sectPr w:rsidR="007273CC" w:rsidRPr="007250A8" w:rsidSect="00343385">
      <w:footerReference w:type="defaul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C8F76" w14:textId="77777777" w:rsidR="00E63977" w:rsidRDefault="00E63977" w:rsidP="00343385">
      <w:pPr>
        <w:spacing w:before="0" w:after="0" w:line="240" w:lineRule="auto"/>
      </w:pPr>
      <w:r>
        <w:separator/>
      </w:r>
    </w:p>
  </w:endnote>
  <w:endnote w:type="continuationSeparator" w:id="0">
    <w:p w14:paraId="49EF88B4" w14:textId="77777777" w:rsidR="00E63977" w:rsidRDefault="00E63977" w:rsidP="003433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9659765"/>
      <w:docPartObj>
        <w:docPartGallery w:val="Page Numbers (Bottom of Page)"/>
        <w:docPartUnique/>
      </w:docPartObj>
    </w:sdtPr>
    <w:sdtContent>
      <w:p w14:paraId="60B2BB0C" w14:textId="6C7A5F3C" w:rsidR="00343385" w:rsidRDefault="0034338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D1B32C" w14:textId="77777777" w:rsidR="00343385" w:rsidRDefault="00343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26EE0" w14:textId="77777777" w:rsidR="00E63977" w:rsidRDefault="00E63977" w:rsidP="00343385">
      <w:pPr>
        <w:spacing w:before="0" w:after="0" w:line="240" w:lineRule="auto"/>
      </w:pPr>
      <w:r>
        <w:separator/>
      </w:r>
    </w:p>
  </w:footnote>
  <w:footnote w:type="continuationSeparator" w:id="0">
    <w:p w14:paraId="69EBD477" w14:textId="77777777" w:rsidR="00E63977" w:rsidRDefault="00E63977" w:rsidP="003433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D1BAC"/>
    <w:multiLevelType w:val="hybridMultilevel"/>
    <w:tmpl w:val="8182F4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6B52A96"/>
    <w:multiLevelType w:val="hybridMultilevel"/>
    <w:tmpl w:val="DDCEC9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8C73CA"/>
    <w:multiLevelType w:val="hybridMultilevel"/>
    <w:tmpl w:val="E0B664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2E51197"/>
    <w:multiLevelType w:val="multilevel"/>
    <w:tmpl w:val="26A4C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FF38A1"/>
    <w:multiLevelType w:val="multilevel"/>
    <w:tmpl w:val="49BE9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0021F6"/>
    <w:multiLevelType w:val="multilevel"/>
    <w:tmpl w:val="1E9C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0C04C6"/>
    <w:multiLevelType w:val="hybridMultilevel"/>
    <w:tmpl w:val="8F040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B57FE2"/>
    <w:multiLevelType w:val="hybridMultilevel"/>
    <w:tmpl w:val="CF383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D852617"/>
    <w:multiLevelType w:val="hybridMultilevel"/>
    <w:tmpl w:val="11CAEE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77789355">
    <w:abstractNumId w:val="4"/>
  </w:num>
  <w:num w:numId="2" w16cid:durableId="1186018239">
    <w:abstractNumId w:val="3"/>
  </w:num>
  <w:num w:numId="3" w16cid:durableId="1805079499">
    <w:abstractNumId w:val="5"/>
  </w:num>
  <w:num w:numId="4" w16cid:durableId="217908323">
    <w:abstractNumId w:val="7"/>
  </w:num>
  <w:num w:numId="5" w16cid:durableId="1869832547">
    <w:abstractNumId w:val="6"/>
  </w:num>
  <w:num w:numId="6" w16cid:durableId="147524532">
    <w:abstractNumId w:val="1"/>
  </w:num>
  <w:num w:numId="7" w16cid:durableId="1520465570">
    <w:abstractNumId w:val="8"/>
  </w:num>
  <w:num w:numId="8" w16cid:durableId="1305885983">
    <w:abstractNumId w:val="0"/>
  </w:num>
  <w:num w:numId="9" w16cid:durableId="8981751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C6"/>
    <w:rsid w:val="00025AB7"/>
    <w:rsid w:val="0004316F"/>
    <w:rsid w:val="00043943"/>
    <w:rsid w:val="00063C83"/>
    <w:rsid w:val="000769E3"/>
    <w:rsid w:val="00080548"/>
    <w:rsid w:val="00086F8C"/>
    <w:rsid w:val="000908D6"/>
    <w:rsid w:val="000A145C"/>
    <w:rsid w:val="000A5C13"/>
    <w:rsid w:val="000C4713"/>
    <w:rsid w:val="000C5AB2"/>
    <w:rsid w:val="000C79E1"/>
    <w:rsid w:val="001073E3"/>
    <w:rsid w:val="00123FB4"/>
    <w:rsid w:val="001321B6"/>
    <w:rsid w:val="00133E67"/>
    <w:rsid w:val="001B129A"/>
    <w:rsid w:val="001B29CB"/>
    <w:rsid w:val="0022778C"/>
    <w:rsid w:val="00231FCD"/>
    <w:rsid w:val="00252DCB"/>
    <w:rsid w:val="00254387"/>
    <w:rsid w:val="0027114A"/>
    <w:rsid w:val="00276C34"/>
    <w:rsid w:val="00277CBD"/>
    <w:rsid w:val="002E4781"/>
    <w:rsid w:val="003162BF"/>
    <w:rsid w:val="00343385"/>
    <w:rsid w:val="00343BF5"/>
    <w:rsid w:val="003479C6"/>
    <w:rsid w:val="00360BBE"/>
    <w:rsid w:val="00361E14"/>
    <w:rsid w:val="00396021"/>
    <w:rsid w:val="003966F2"/>
    <w:rsid w:val="003E1519"/>
    <w:rsid w:val="0040502C"/>
    <w:rsid w:val="004203B9"/>
    <w:rsid w:val="004304B6"/>
    <w:rsid w:val="00456E9C"/>
    <w:rsid w:val="00475960"/>
    <w:rsid w:val="00494818"/>
    <w:rsid w:val="004C044F"/>
    <w:rsid w:val="004F51EF"/>
    <w:rsid w:val="00512B47"/>
    <w:rsid w:val="00543467"/>
    <w:rsid w:val="00595637"/>
    <w:rsid w:val="005B7875"/>
    <w:rsid w:val="006007EA"/>
    <w:rsid w:val="006113A8"/>
    <w:rsid w:val="00642A1F"/>
    <w:rsid w:val="00651549"/>
    <w:rsid w:val="006A7049"/>
    <w:rsid w:val="006D0CC9"/>
    <w:rsid w:val="006D3335"/>
    <w:rsid w:val="007250A8"/>
    <w:rsid w:val="007273CC"/>
    <w:rsid w:val="00782094"/>
    <w:rsid w:val="007C6693"/>
    <w:rsid w:val="007E788B"/>
    <w:rsid w:val="008464DE"/>
    <w:rsid w:val="00847A05"/>
    <w:rsid w:val="008668C5"/>
    <w:rsid w:val="008678B3"/>
    <w:rsid w:val="00870ECF"/>
    <w:rsid w:val="00897331"/>
    <w:rsid w:val="008C0FDF"/>
    <w:rsid w:val="008C7A1F"/>
    <w:rsid w:val="008E2353"/>
    <w:rsid w:val="008E23A4"/>
    <w:rsid w:val="008F19C7"/>
    <w:rsid w:val="00901C93"/>
    <w:rsid w:val="00903CD4"/>
    <w:rsid w:val="00906365"/>
    <w:rsid w:val="009221AF"/>
    <w:rsid w:val="009227AD"/>
    <w:rsid w:val="009C0E82"/>
    <w:rsid w:val="009C4404"/>
    <w:rsid w:val="009E3CEF"/>
    <w:rsid w:val="009F1BEA"/>
    <w:rsid w:val="00A6553F"/>
    <w:rsid w:val="00A657DA"/>
    <w:rsid w:val="00A802D4"/>
    <w:rsid w:val="00AF3985"/>
    <w:rsid w:val="00B41AB5"/>
    <w:rsid w:val="00B53750"/>
    <w:rsid w:val="00B651BF"/>
    <w:rsid w:val="00C00773"/>
    <w:rsid w:val="00C06368"/>
    <w:rsid w:val="00C465D0"/>
    <w:rsid w:val="00C93C51"/>
    <w:rsid w:val="00D043AA"/>
    <w:rsid w:val="00D15ABE"/>
    <w:rsid w:val="00D30A9D"/>
    <w:rsid w:val="00D457B3"/>
    <w:rsid w:val="00D51074"/>
    <w:rsid w:val="00D61C03"/>
    <w:rsid w:val="00D803D0"/>
    <w:rsid w:val="00D94EB2"/>
    <w:rsid w:val="00D94F3B"/>
    <w:rsid w:val="00D94FA0"/>
    <w:rsid w:val="00DB2574"/>
    <w:rsid w:val="00DB57CF"/>
    <w:rsid w:val="00E27C07"/>
    <w:rsid w:val="00E41EBD"/>
    <w:rsid w:val="00E46816"/>
    <w:rsid w:val="00E63977"/>
    <w:rsid w:val="00E87A1F"/>
    <w:rsid w:val="00E92508"/>
    <w:rsid w:val="00EA1091"/>
    <w:rsid w:val="00EB54FF"/>
    <w:rsid w:val="00EB6C5D"/>
    <w:rsid w:val="00EC60D5"/>
    <w:rsid w:val="00EE1324"/>
    <w:rsid w:val="00EE4E2A"/>
    <w:rsid w:val="00EF46AA"/>
    <w:rsid w:val="00F05A35"/>
    <w:rsid w:val="00F05C9B"/>
    <w:rsid w:val="00F213E8"/>
    <w:rsid w:val="00F36CD4"/>
    <w:rsid w:val="00F4150E"/>
    <w:rsid w:val="00F432C1"/>
    <w:rsid w:val="00FC3750"/>
    <w:rsid w:val="00FC3B14"/>
    <w:rsid w:val="00FE7C88"/>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D8E6"/>
  <w15:chartTrackingRefBased/>
  <w15:docId w15:val="{FAEE2F50-C70E-48DE-9A27-7E6FD3FAB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IN"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404"/>
    <w:pPr>
      <w:spacing w:before="240" w:after="240" w:line="360" w:lineRule="auto"/>
      <w:jc w:val="both"/>
    </w:pPr>
    <w:rPr>
      <w:rFonts w:ascii="Arial" w:hAnsi="Arial"/>
    </w:rPr>
  </w:style>
  <w:style w:type="paragraph" w:styleId="Heading1">
    <w:name w:val="heading 1"/>
    <w:basedOn w:val="Normal"/>
    <w:next w:val="Normal"/>
    <w:link w:val="Heading1Char"/>
    <w:uiPriority w:val="9"/>
    <w:qFormat/>
    <w:rsid w:val="00276C34"/>
    <w:pPr>
      <w:keepNext/>
      <w:keepLines/>
      <w:outlineLvl w:val="0"/>
    </w:pPr>
    <w:rPr>
      <w:rFonts w:eastAsiaTheme="majorEastAsia" w:cstheme="majorBidi"/>
      <w:b/>
      <w:color w:val="000000" w:themeColor="text1"/>
      <w:sz w:val="28"/>
      <w:szCs w:val="50"/>
    </w:rPr>
  </w:style>
  <w:style w:type="paragraph" w:styleId="Heading2">
    <w:name w:val="heading 2"/>
    <w:basedOn w:val="Normal"/>
    <w:next w:val="Normal"/>
    <w:link w:val="Heading2Char"/>
    <w:uiPriority w:val="9"/>
    <w:unhideWhenUsed/>
    <w:qFormat/>
    <w:rsid w:val="007E788B"/>
    <w:pPr>
      <w:keepNext/>
      <w:keepLines/>
      <w:outlineLvl w:val="1"/>
    </w:pPr>
    <w:rPr>
      <w:rFonts w:eastAsiaTheme="majorEastAsia" w:cstheme="majorBidi"/>
      <w:b/>
      <w:color w:val="000000" w:themeColor="text1"/>
      <w:kern w:val="0"/>
      <w:sz w:val="26"/>
      <w:szCs w:val="40"/>
      <w:lang w:val="en" w:eastAsia="en-IN" w:bidi="ar-SA"/>
      <w14:ligatures w14:val="none"/>
    </w:rPr>
  </w:style>
  <w:style w:type="paragraph" w:styleId="Heading3">
    <w:name w:val="heading 3"/>
    <w:basedOn w:val="Normal"/>
    <w:next w:val="Normal"/>
    <w:link w:val="Heading3Char"/>
    <w:uiPriority w:val="9"/>
    <w:unhideWhenUsed/>
    <w:qFormat/>
    <w:rsid w:val="006113A8"/>
    <w:pPr>
      <w:keepNext/>
      <w:keepLines/>
      <w:outlineLvl w:val="2"/>
    </w:pPr>
    <w:rPr>
      <w:rFonts w:eastAsiaTheme="majorEastAsia" w:cstheme="majorBidi"/>
      <w:b/>
      <w:color w:val="000000" w:themeColor="text1"/>
      <w:szCs w:val="35"/>
    </w:rPr>
  </w:style>
  <w:style w:type="paragraph" w:styleId="Heading4">
    <w:name w:val="heading 4"/>
    <w:basedOn w:val="Normal"/>
    <w:next w:val="Normal"/>
    <w:link w:val="Heading4Char"/>
    <w:uiPriority w:val="9"/>
    <w:semiHidden/>
    <w:unhideWhenUsed/>
    <w:qFormat/>
    <w:rsid w:val="003479C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479C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479C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479C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479C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479C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C34"/>
    <w:rPr>
      <w:rFonts w:ascii="Times New Roman" w:eastAsiaTheme="majorEastAsia" w:hAnsi="Times New Roman" w:cstheme="majorBidi"/>
      <w:b/>
      <w:color w:val="000000" w:themeColor="text1"/>
      <w:sz w:val="28"/>
      <w:szCs w:val="50"/>
    </w:rPr>
  </w:style>
  <w:style w:type="character" w:customStyle="1" w:styleId="Heading2Char">
    <w:name w:val="Heading 2 Char"/>
    <w:basedOn w:val="DefaultParagraphFont"/>
    <w:link w:val="Heading2"/>
    <w:uiPriority w:val="9"/>
    <w:rsid w:val="007E788B"/>
    <w:rPr>
      <w:rFonts w:ascii="Times New Roman" w:eastAsiaTheme="majorEastAsia" w:hAnsi="Times New Roman" w:cstheme="majorBidi"/>
      <w:b/>
      <w:color w:val="000000" w:themeColor="text1"/>
      <w:kern w:val="0"/>
      <w:sz w:val="26"/>
      <w:szCs w:val="40"/>
      <w:lang w:val="en" w:eastAsia="en-IN" w:bidi="ar-SA"/>
      <w14:ligatures w14:val="none"/>
    </w:rPr>
  </w:style>
  <w:style w:type="character" w:customStyle="1" w:styleId="Heading3Char">
    <w:name w:val="Heading 3 Char"/>
    <w:basedOn w:val="DefaultParagraphFont"/>
    <w:link w:val="Heading3"/>
    <w:uiPriority w:val="9"/>
    <w:rsid w:val="006113A8"/>
    <w:rPr>
      <w:rFonts w:ascii="Times New Roman" w:eastAsiaTheme="majorEastAsia" w:hAnsi="Times New Roman" w:cstheme="majorBidi"/>
      <w:b/>
      <w:color w:val="000000" w:themeColor="text1"/>
      <w:szCs w:val="35"/>
    </w:rPr>
  </w:style>
  <w:style w:type="character" w:customStyle="1" w:styleId="Heading4Char">
    <w:name w:val="Heading 4 Char"/>
    <w:basedOn w:val="DefaultParagraphFont"/>
    <w:link w:val="Heading4"/>
    <w:uiPriority w:val="9"/>
    <w:semiHidden/>
    <w:rsid w:val="00347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9C6"/>
    <w:rPr>
      <w:rFonts w:eastAsiaTheme="majorEastAsia" w:cstheme="majorBidi"/>
      <w:color w:val="272727" w:themeColor="text1" w:themeTint="D8"/>
    </w:rPr>
  </w:style>
  <w:style w:type="paragraph" w:styleId="Title">
    <w:name w:val="Title"/>
    <w:basedOn w:val="Normal"/>
    <w:next w:val="Normal"/>
    <w:link w:val="TitleChar"/>
    <w:uiPriority w:val="10"/>
    <w:qFormat/>
    <w:rsid w:val="003479C6"/>
    <w:pPr>
      <w:spacing w:before="0"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479C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479C6"/>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479C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479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479C6"/>
    <w:rPr>
      <w:rFonts w:ascii="Times New Roman" w:hAnsi="Times New Roman"/>
      <w:i/>
      <w:iCs/>
      <w:color w:val="404040" w:themeColor="text1" w:themeTint="BF"/>
    </w:rPr>
  </w:style>
  <w:style w:type="paragraph" w:styleId="ListParagraph">
    <w:name w:val="List Paragraph"/>
    <w:basedOn w:val="Normal"/>
    <w:uiPriority w:val="34"/>
    <w:qFormat/>
    <w:rsid w:val="003479C6"/>
    <w:pPr>
      <w:ind w:left="720"/>
      <w:contextualSpacing/>
    </w:pPr>
  </w:style>
  <w:style w:type="character" w:styleId="IntenseEmphasis">
    <w:name w:val="Intense Emphasis"/>
    <w:basedOn w:val="DefaultParagraphFont"/>
    <w:uiPriority w:val="21"/>
    <w:qFormat/>
    <w:rsid w:val="003479C6"/>
    <w:rPr>
      <w:i/>
      <w:iCs/>
      <w:color w:val="0F4761" w:themeColor="accent1" w:themeShade="BF"/>
    </w:rPr>
  </w:style>
  <w:style w:type="paragraph" w:styleId="IntenseQuote">
    <w:name w:val="Intense Quote"/>
    <w:basedOn w:val="Normal"/>
    <w:next w:val="Normal"/>
    <w:link w:val="IntenseQuoteChar"/>
    <w:uiPriority w:val="30"/>
    <w:qFormat/>
    <w:rsid w:val="00347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9C6"/>
    <w:rPr>
      <w:rFonts w:ascii="Times New Roman" w:hAnsi="Times New Roman"/>
      <w:i/>
      <w:iCs/>
      <w:color w:val="0F4761" w:themeColor="accent1" w:themeShade="BF"/>
    </w:rPr>
  </w:style>
  <w:style w:type="character" w:styleId="IntenseReference">
    <w:name w:val="Intense Reference"/>
    <w:basedOn w:val="DefaultParagraphFont"/>
    <w:uiPriority w:val="32"/>
    <w:qFormat/>
    <w:rsid w:val="003479C6"/>
    <w:rPr>
      <w:b/>
      <w:bCs/>
      <w:smallCaps/>
      <w:color w:val="0F4761" w:themeColor="accent1" w:themeShade="BF"/>
      <w:spacing w:val="5"/>
    </w:rPr>
  </w:style>
  <w:style w:type="table" w:styleId="TableGrid">
    <w:name w:val="Table Grid"/>
    <w:basedOn w:val="TableNormal"/>
    <w:uiPriority w:val="39"/>
    <w:rsid w:val="003479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E1519"/>
    <w:pPr>
      <w:spacing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3E1519"/>
    <w:pPr>
      <w:spacing w:after="100"/>
    </w:pPr>
  </w:style>
  <w:style w:type="paragraph" w:styleId="TOC2">
    <w:name w:val="toc 2"/>
    <w:basedOn w:val="Normal"/>
    <w:next w:val="Normal"/>
    <w:autoRedefine/>
    <w:uiPriority w:val="39"/>
    <w:unhideWhenUsed/>
    <w:rsid w:val="003E1519"/>
    <w:pPr>
      <w:spacing w:after="100"/>
      <w:ind w:left="240"/>
    </w:pPr>
  </w:style>
  <w:style w:type="paragraph" w:styleId="TOC3">
    <w:name w:val="toc 3"/>
    <w:basedOn w:val="Normal"/>
    <w:next w:val="Normal"/>
    <w:autoRedefine/>
    <w:uiPriority w:val="39"/>
    <w:unhideWhenUsed/>
    <w:rsid w:val="003E1519"/>
    <w:pPr>
      <w:spacing w:after="100"/>
      <w:ind w:left="480"/>
    </w:pPr>
  </w:style>
  <w:style w:type="character" w:styleId="Hyperlink">
    <w:name w:val="Hyperlink"/>
    <w:basedOn w:val="DefaultParagraphFont"/>
    <w:uiPriority w:val="99"/>
    <w:unhideWhenUsed/>
    <w:rsid w:val="003E1519"/>
    <w:rPr>
      <w:color w:val="467886" w:themeColor="hyperlink"/>
      <w:u w:val="single"/>
    </w:rPr>
  </w:style>
  <w:style w:type="table" w:styleId="GridTable6Colorful-Accent1">
    <w:name w:val="Grid Table 6 Colorful Accent 1"/>
    <w:basedOn w:val="TableNormal"/>
    <w:uiPriority w:val="51"/>
    <w:rsid w:val="003E1519"/>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3">
    <w:name w:val="Grid Table 6 Colorful Accent 3"/>
    <w:basedOn w:val="TableNormal"/>
    <w:uiPriority w:val="51"/>
    <w:rsid w:val="003E1519"/>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5">
    <w:name w:val="Grid Table 6 Colorful Accent 5"/>
    <w:basedOn w:val="TableNormal"/>
    <w:uiPriority w:val="51"/>
    <w:rsid w:val="003E1519"/>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6">
    <w:name w:val="Grid Table 6 Colorful Accent 6"/>
    <w:basedOn w:val="TableNormal"/>
    <w:uiPriority w:val="51"/>
    <w:rsid w:val="003E1519"/>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Accent2">
    <w:name w:val="Grid Table 7 Colorful Accent 2"/>
    <w:basedOn w:val="TableNormal"/>
    <w:uiPriority w:val="52"/>
    <w:rsid w:val="003E1519"/>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6Colorful-Accent4">
    <w:name w:val="Grid Table 6 Colorful Accent 4"/>
    <w:basedOn w:val="TableNormal"/>
    <w:uiPriority w:val="51"/>
    <w:rsid w:val="003E1519"/>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
    <w:name w:val="Grid Table 6 Colorful"/>
    <w:basedOn w:val="TableNormal"/>
    <w:uiPriority w:val="51"/>
    <w:rsid w:val="003E151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27114A"/>
    <w:rPr>
      <w:color w:val="605E5C"/>
      <w:shd w:val="clear" w:color="auto" w:fill="E1DFDD"/>
    </w:rPr>
  </w:style>
  <w:style w:type="paragraph" w:styleId="Header">
    <w:name w:val="header"/>
    <w:basedOn w:val="Normal"/>
    <w:link w:val="HeaderChar"/>
    <w:uiPriority w:val="99"/>
    <w:unhideWhenUsed/>
    <w:rsid w:val="0034338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43385"/>
    <w:rPr>
      <w:rFonts w:ascii="Arial" w:hAnsi="Arial"/>
    </w:rPr>
  </w:style>
  <w:style w:type="paragraph" w:styleId="Footer">
    <w:name w:val="footer"/>
    <w:basedOn w:val="Normal"/>
    <w:link w:val="FooterChar"/>
    <w:uiPriority w:val="99"/>
    <w:unhideWhenUsed/>
    <w:rsid w:val="0034338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43385"/>
    <w:rPr>
      <w:rFonts w:ascii="Arial" w:hAnsi="Arial"/>
    </w:rPr>
  </w:style>
  <w:style w:type="character" w:styleId="CommentReference">
    <w:name w:val="annotation reference"/>
    <w:basedOn w:val="DefaultParagraphFont"/>
    <w:uiPriority w:val="99"/>
    <w:semiHidden/>
    <w:unhideWhenUsed/>
    <w:rsid w:val="006007EA"/>
    <w:rPr>
      <w:sz w:val="16"/>
      <w:szCs w:val="16"/>
    </w:rPr>
  </w:style>
  <w:style w:type="paragraph" w:styleId="CommentText">
    <w:name w:val="annotation text"/>
    <w:basedOn w:val="Normal"/>
    <w:link w:val="CommentTextChar"/>
    <w:uiPriority w:val="99"/>
    <w:unhideWhenUsed/>
    <w:rsid w:val="006007EA"/>
    <w:pPr>
      <w:spacing w:line="240" w:lineRule="auto"/>
    </w:pPr>
    <w:rPr>
      <w:sz w:val="20"/>
      <w:szCs w:val="25"/>
    </w:rPr>
  </w:style>
  <w:style w:type="character" w:customStyle="1" w:styleId="CommentTextChar">
    <w:name w:val="Comment Text Char"/>
    <w:basedOn w:val="DefaultParagraphFont"/>
    <w:link w:val="CommentText"/>
    <w:uiPriority w:val="99"/>
    <w:rsid w:val="006007EA"/>
    <w:rPr>
      <w:rFonts w:ascii="Arial" w:hAnsi="Arial"/>
      <w:sz w:val="20"/>
      <w:szCs w:val="25"/>
    </w:rPr>
  </w:style>
  <w:style w:type="paragraph" w:styleId="CommentSubject">
    <w:name w:val="annotation subject"/>
    <w:basedOn w:val="CommentText"/>
    <w:next w:val="CommentText"/>
    <w:link w:val="CommentSubjectChar"/>
    <w:uiPriority w:val="99"/>
    <w:semiHidden/>
    <w:unhideWhenUsed/>
    <w:rsid w:val="006007EA"/>
    <w:rPr>
      <w:b/>
      <w:bCs/>
    </w:rPr>
  </w:style>
  <w:style w:type="character" w:customStyle="1" w:styleId="CommentSubjectChar">
    <w:name w:val="Comment Subject Char"/>
    <w:basedOn w:val="CommentTextChar"/>
    <w:link w:val="CommentSubject"/>
    <w:uiPriority w:val="99"/>
    <w:semiHidden/>
    <w:rsid w:val="006007EA"/>
    <w:rPr>
      <w:rFonts w:ascii="Arial" w:hAnsi="Arial"/>
      <w:b/>
      <w:bCs/>
      <w:sz w:val="20"/>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02/csr.2389" TargetMode="External"/><Relationship Id="rId18" Type="http://schemas.openxmlformats.org/officeDocument/2006/relationships/hyperlink" Target="https://reposit.nupp.edu.ua/files/original/19/13384/66502834570e63bbc36682a5d39b88fef55758ba.pdf" TargetMode="External"/><Relationship Id="rId26" Type="http://schemas.openxmlformats.org/officeDocument/2006/relationships/hyperlink" Target="https://eem.com.ua/web/uploads/pdf/Economics,%20Entrepreneurship,%20Management,%20Vol%2011,%20No%202,%202024-65-76.pdf" TargetMode="External"/><Relationship Id="rId39" Type="http://schemas.openxmlformats.org/officeDocument/2006/relationships/hyperlink" Target="http://ojs.feb.uajm.ac.id/index.php/simak/article/view/658" TargetMode="External"/><Relationship Id="rId21" Type="http://schemas.openxmlformats.org/officeDocument/2006/relationships/hyperlink" Target="https://bura.brunel.ac.uk/bitstream/2438/21867/2/FullText.pdf" TargetMode="External"/><Relationship Id="rId34" Type="http://schemas.openxmlformats.org/officeDocument/2006/relationships/hyperlink" Target="https://ejournal.uinsaizu.ac.id/index.php/insania/article/view/9278" TargetMode="External"/><Relationship Id="rId42" Type="http://schemas.openxmlformats.org/officeDocument/2006/relationships/hyperlink" Target="http://www.ejournal.imperiuminstitute.org/index.php/JRMB/article/view/987" TargetMode="External"/><Relationship Id="rId47" Type="http://schemas.openxmlformats.org/officeDocument/2006/relationships/chart" Target="charts/chart5.xml"/><Relationship Id="rId50" Type="http://schemas.openxmlformats.org/officeDocument/2006/relationships/chart" Target="charts/chart8.xml"/><Relationship Id="rId55" Type="http://schemas.openxmlformats.org/officeDocument/2006/relationships/chart" Target="charts/chart1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space.mit.edu/handle/1721.1/153722" TargetMode="External"/><Relationship Id="rId29" Type="http://schemas.openxmlformats.org/officeDocument/2006/relationships/hyperlink" Target="https://marriott.gcs-web.com/static-files/9cf0e9b0-bbfa-48a6-9e21-ffbdbc4b2d78" TargetMode="External"/><Relationship Id="rId11" Type="http://schemas.openxmlformats.org/officeDocument/2006/relationships/hyperlink" Target="https://www.emerald.com/bl/article/37/1/1/1219799" TargetMode="External"/><Relationship Id="rId24" Type="http://schemas.openxmlformats.org/officeDocument/2006/relationships/hyperlink" Target="https://www.sciencedirect.com/science/article/pii/S2666990024000120" TargetMode="External"/><Relationship Id="rId32" Type="http://schemas.openxmlformats.org/officeDocument/2006/relationships/hyperlink" Target="https://webthesis.biblio.polito.it/32044/" TargetMode="External"/><Relationship Id="rId37" Type="http://schemas.openxmlformats.org/officeDocument/2006/relationships/hyperlink" Target="https://jurnaljam.ub.ac.id/index.php/jam/article/view/3120" TargetMode="External"/><Relationship Id="rId40" Type="http://schemas.openxmlformats.org/officeDocument/2006/relationships/hyperlink" Target="https://www.cell.com/heliyon/fulltext/S2405-8440(25)00375-5" TargetMode="External"/><Relationship Id="rId45" Type="http://schemas.openxmlformats.org/officeDocument/2006/relationships/chart" Target="charts/chart3.xml"/><Relationship Id="rId53" Type="http://schemas.openxmlformats.org/officeDocument/2006/relationships/chart" Target="charts/chart1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onlinelibrary.wiley.com/doi/abs/10.1111/jofi.13162" TargetMode="External"/><Relationship Id="rId4" Type="http://schemas.openxmlformats.org/officeDocument/2006/relationships/settings" Target="settings.xml"/><Relationship Id="rId9" Type="http://schemas.openxmlformats.org/officeDocument/2006/relationships/hyperlink" Target="https://jeasiq.uobaghdad.edu.iq/index.php/JEASIQ/article/download/3254/2289" TargetMode="External"/><Relationship Id="rId14" Type="http://schemas.openxmlformats.org/officeDocument/2006/relationships/hyperlink" Target="https://openurl.ebsco.com/contentitem/gcd:190173029?sid=ebsco:plink:crawler-gcd&amp;id=ebsco:gcd:190173029&amp;crl=c&amp;jrnl=00989258" TargetMode="External"/><Relationship Id="rId22" Type="http://schemas.openxmlformats.org/officeDocument/2006/relationships/hyperlink" Target="https://journal.unita.ac.id/index.php/jat/article/download/1344/720" TargetMode="External"/><Relationship Id="rId27" Type="http://schemas.openxmlformats.org/officeDocument/2006/relationships/hyperlink" Target="https://digitalcommons.newhaven.edu/americanbusinessreview/vol29/iss1/3/" TargetMode="External"/><Relationship Id="rId30" Type="http://schemas.openxmlformats.org/officeDocument/2006/relationships/hyperlink" Target="https://books.google.com/books?hl=en&amp;lr=&amp;id=N6iIEAAAQBAJ&amp;oi=fnd&amp;pg=PT18&amp;dq=Collaboration+with+foreign+hospitality,+technology+or+travel+businesses+will+assist+to+gain+access+in+new+markets,+technologies+and+resources&amp;ots=EI1jKD0X92&amp;sig=P6uL7pWOgybN3mxGW4nnULlvDIE" TargetMode="External"/><Relationship Id="rId35" Type="http://schemas.openxmlformats.org/officeDocument/2006/relationships/hyperlink" Target="https://www.mdpi.com/2071-1050/14/21/14447" TargetMode="External"/><Relationship Id="rId43" Type="http://schemas.openxmlformats.org/officeDocument/2006/relationships/chart" Target="charts/chart1.xml"/><Relationship Id="rId48" Type="http://schemas.openxmlformats.org/officeDocument/2006/relationships/chart" Target="charts/chart6.xm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chart" Target="charts/chart9.xml"/><Relationship Id="rId3" Type="http://schemas.openxmlformats.org/officeDocument/2006/relationships/styles" Target="styles.xml"/><Relationship Id="rId12" Type="http://schemas.openxmlformats.org/officeDocument/2006/relationships/hyperlink" Target="https://papers.ssrn.com/sol3/papers.cfm?abstract_id=5004465" TargetMode="External"/><Relationship Id="rId17" Type="http://schemas.openxmlformats.org/officeDocument/2006/relationships/hyperlink" Target="https://mail.jurnal.konselingindonesia.com/index.php/jkp/article/view/1458" TargetMode="External"/><Relationship Id="rId25" Type="http://schemas.openxmlformats.org/officeDocument/2006/relationships/hyperlink" Target="https://books.google.com/books?hl=en&amp;lr=&amp;id=CeKuEQAAQBAJ&amp;oi=fnd&amp;pg=PA1&amp;dq=Efficient+management+of+inventory,+accounts+receivable+and+payable+enables+Marriott+to+operate+efficiently+and+maintain+cash+flows&amp;ots=-293K_5XIl&amp;sig=U38SRzwAZE0_JuUmlRX7WmQRtsQ" TargetMode="External"/><Relationship Id="rId33" Type="http://schemas.openxmlformats.org/officeDocument/2006/relationships/hyperlink" Target="https://mapub.org/ojs/index.php/mapeh/article/view/55" TargetMode="External"/><Relationship Id="rId38" Type="http://schemas.openxmlformats.org/officeDocument/2006/relationships/hyperlink" Target="https://www.sciencedirect.com/science/article/pii/S0278431924003098" TargetMode="External"/><Relationship Id="rId46" Type="http://schemas.openxmlformats.org/officeDocument/2006/relationships/chart" Target="charts/chart4.xml"/><Relationship Id="rId20" Type="http://schemas.openxmlformats.org/officeDocument/2006/relationships/hyperlink" Target="https://www.mdpi.com/2071-1050/14/9/5182" TargetMode="External"/><Relationship Id="rId41" Type="http://schemas.openxmlformats.org/officeDocument/2006/relationships/hyperlink" Target="https://journal.jnec.edu.bt/index.php/jaetm/article/view/55" TargetMode="External"/><Relationship Id="rId54"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tlantis-press.com/proceedings/icdeba-24/126008558" TargetMode="External"/><Relationship Id="rId23" Type="http://schemas.openxmlformats.org/officeDocument/2006/relationships/hyperlink" Target="https://www.mdpi.com/2071-1050/15/11/8488" TargetMode="External"/><Relationship Id="rId28" Type="http://schemas.openxmlformats.org/officeDocument/2006/relationships/hyperlink" Target="https://marriott.gcs-web.com/static-files/a7664c0f-5bd1-4066-9fc9-b05eb6c93772" TargetMode="External"/><Relationship Id="rId36" Type="http://schemas.openxmlformats.org/officeDocument/2006/relationships/hyperlink" Target="https://www.atlantis-press.com/proceedings/icemed-22/125975449" TargetMode="External"/><Relationship Id="rId49" Type="http://schemas.openxmlformats.org/officeDocument/2006/relationships/chart" Target="charts/chart7.xml"/><Relationship Id="rId57" Type="http://schemas.openxmlformats.org/officeDocument/2006/relationships/fontTable" Target="fontTable.xml"/><Relationship Id="rId10" Type="http://schemas.openxmlformats.org/officeDocument/2006/relationships/hyperlink" Target="https://link.springer.com/article/10.1007/s43621-024-00422-z" TargetMode="External"/><Relationship Id="rId31" Type="http://schemas.openxmlformats.org/officeDocument/2006/relationships/hyperlink" Target="https://conference.ut.ac.id/index.php/osc/article/view/4847" TargetMode="External"/><Relationship Id="rId44" Type="http://schemas.openxmlformats.org/officeDocument/2006/relationships/chart" Target="charts/chart2.xml"/><Relationship Id="rId52" Type="http://schemas.openxmlformats.org/officeDocument/2006/relationships/chart" Target="charts/chart10.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sahas\Downloads\TS_51096.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Arial" panose="020B0604020202020204" pitchFamily="34" charset="0"/>
                <a:ea typeface="+mn-ea"/>
                <a:cs typeface="Arial" panose="020B0604020202020204" pitchFamily="34" charset="0"/>
              </a:defRPr>
            </a:pPr>
            <a:r>
              <a:rPr lang="en-IN"/>
              <a:t>Liquidity Ratio</a:t>
            </a:r>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tx>
            <c:strRef>
              <c:f>Ratio!$A$8</c:f>
              <c:strCache>
                <c:ptCount val="1"/>
                <c:pt idx="0">
                  <c:v>CA/CL = Current ratio </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Ratio!$B$7:$F$7</c:f>
              <c:numCache>
                <c:formatCode>General</c:formatCode>
                <c:ptCount val="5"/>
                <c:pt idx="0">
                  <c:v>2025</c:v>
                </c:pt>
                <c:pt idx="1">
                  <c:v>2024</c:v>
                </c:pt>
                <c:pt idx="2">
                  <c:v>2023</c:v>
                </c:pt>
                <c:pt idx="3">
                  <c:v>2022</c:v>
                </c:pt>
                <c:pt idx="4">
                  <c:v>2021</c:v>
                </c:pt>
              </c:numCache>
            </c:numRef>
          </c:cat>
          <c:val>
            <c:numRef>
              <c:f>Ratio!$B$8:$F$8</c:f>
              <c:numCache>
                <c:formatCode>0.00</c:formatCode>
                <c:ptCount val="5"/>
                <c:pt idx="0">
                  <c:v>0.42676827816146701</c:v>
                </c:pt>
                <c:pt idx="1">
                  <c:v>0.40293675569429993</c:v>
                </c:pt>
                <c:pt idx="2">
                  <c:v>0.42656531821695437</c:v>
                </c:pt>
                <c:pt idx="3">
                  <c:v>0.45142389971385749</c:v>
                </c:pt>
                <c:pt idx="4">
                  <c:v>0.5659434992976432</c:v>
                </c:pt>
              </c:numCache>
            </c:numRef>
          </c:val>
          <c:smooth val="0"/>
          <c:extLst>
            <c:ext xmlns:c16="http://schemas.microsoft.com/office/drawing/2014/chart" uri="{C3380CC4-5D6E-409C-BE32-E72D297353CC}">
              <c16:uniqueId val="{00000000-D531-4541-808F-074934641F46}"/>
            </c:ext>
          </c:extLst>
        </c:ser>
        <c:ser>
          <c:idx val="1"/>
          <c:order val="1"/>
          <c:tx>
            <c:strRef>
              <c:f>Ratio!$A$9</c:f>
              <c:strCache>
                <c:ptCount val="1"/>
                <c:pt idx="0">
                  <c:v>CA- inventories / CL = Acid test ratio </c:v>
                </c:pt>
              </c:strCache>
            </c:strRef>
          </c:tx>
          <c:spPr>
            <a:ln w="19050" cap="rnd" cmpd="sng" algn="ctr">
              <a:solidFill>
                <a:schemeClr val="accent2">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2"/>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Ratio!$B$7:$F$7</c:f>
              <c:numCache>
                <c:formatCode>General</c:formatCode>
                <c:ptCount val="5"/>
                <c:pt idx="0">
                  <c:v>2025</c:v>
                </c:pt>
                <c:pt idx="1">
                  <c:v>2024</c:v>
                </c:pt>
                <c:pt idx="2">
                  <c:v>2023</c:v>
                </c:pt>
                <c:pt idx="3">
                  <c:v>2022</c:v>
                </c:pt>
                <c:pt idx="4">
                  <c:v>2021</c:v>
                </c:pt>
              </c:numCache>
            </c:numRef>
          </c:cat>
          <c:val>
            <c:numRef>
              <c:f>Ratio!$B$9:$F$9</c:f>
              <c:numCache>
                <c:formatCode>0.00</c:formatCode>
                <c:ptCount val="5"/>
                <c:pt idx="0">
                  <c:v>0.3890211955227435</c:v>
                </c:pt>
                <c:pt idx="1">
                  <c:v>0.36894438663429296</c:v>
                </c:pt>
                <c:pt idx="2">
                  <c:v>0.39654728162844627</c:v>
                </c:pt>
                <c:pt idx="3">
                  <c:v>0.41940318844529229</c:v>
                </c:pt>
                <c:pt idx="4">
                  <c:v>0.52676759793975336</c:v>
                </c:pt>
              </c:numCache>
            </c:numRef>
          </c:val>
          <c:smooth val="0"/>
          <c:extLst>
            <c:ext xmlns:c16="http://schemas.microsoft.com/office/drawing/2014/chart" uri="{C3380CC4-5D6E-409C-BE32-E72D297353CC}">
              <c16:uniqueId val="{00000001-D531-4541-808F-074934641F46}"/>
            </c:ext>
          </c:extLst>
        </c:ser>
        <c:dLbls>
          <c:dLblPos val="ctr"/>
          <c:showLegendKey val="0"/>
          <c:showVal val="1"/>
          <c:showCatName val="0"/>
          <c:showSerName val="0"/>
          <c:showPercent val="0"/>
          <c:showBubbleSize val="0"/>
        </c:dLbls>
        <c:marker val="1"/>
        <c:smooth val="0"/>
        <c:axId val="374709848"/>
        <c:axId val="374711488"/>
      </c:lineChart>
      <c:catAx>
        <c:axId val="37470984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374711488"/>
        <c:crosses val="autoZero"/>
        <c:auto val="1"/>
        <c:lblAlgn val="ctr"/>
        <c:lblOffset val="100"/>
        <c:noMultiLvlLbl val="0"/>
      </c:catAx>
      <c:valAx>
        <c:axId val="374711488"/>
        <c:scaling>
          <c:orientation val="minMax"/>
        </c:scaling>
        <c:delete val="1"/>
        <c:axPos val="l"/>
        <c:numFmt formatCode="0.00" sourceLinked="1"/>
        <c:majorTickMark val="none"/>
        <c:minorTickMark val="none"/>
        <c:tickLblPos val="nextTo"/>
        <c:crossAx val="374709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Profitability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cked"/>
        <c:varyColors val="0"/>
        <c:ser>
          <c:idx val="0"/>
          <c:order val="0"/>
          <c:tx>
            <c:strRef>
              <c:f>Ratio!$A$16</c:f>
              <c:strCache>
                <c:ptCount val="1"/>
                <c:pt idx="0">
                  <c:v>Net income/ Sales = Net margin ratio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Ratio!$B$15:$F$15</c:f>
              <c:numCache>
                <c:formatCode>General</c:formatCode>
                <c:ptCount val="5"/>
                <c:pt idx="0">
                  <c:v>2025</c:v>
                </c:pt>
                <c:pt idx="1">
                  <c:v>2024</c:v>
                </c:pt>
                <c:pt idx="2">
                  <c:v>2023</c:v>
                </c:pt>
                <c:pt idx="3">
                  <c:v>2022</c:v>
                </c:pt>
                <c:pt idx="4">
                  <c:v>2021</c:v>
                </c:pt>
              </c:numCache>
            </c:numRef>
          </c:cat>
          <c:val>
            <c:numRef>
              <c:f>Ratio!$B$16:$F$16</c:f>
              <c:numCache>
                <c:formatCode>0%</c:formatCode>
                <c:ptCount val="5"/>
                <c:pt idx="0">
                  <c:v>9.932788512945849E-2</c:v>
                </c:pt>
                <c:pt idx="1">
                  <c:v>9.4621513944223107E-2</c:v>
                </c:pt>
                <c:pt idx="2">
                  <c:v>0.13001307299793363</c:v>
                </c:pt>
                <c:pt idx="3">
                  <c:v>0.11351273287440428</c:v>
                </c:pt>
                <c:pt idx="4">
                  <c:v>7.9310095980370934E-2</c:v>
                </c:pt>
              </c:numCache>
            </c:numRef>
          </c:val>
          <c:smooth val="0"/>
          <c:extLst>
            <c:ext xmlns:c16="http://schemas.microsoft.com/office/drawing/2014/chart" uri="{C3380CC4-5D6E-409C-BE32-E72D297353CC}">
              <c16:uniqueId val="{00000000-1090-470A-AD3C-289A9DA13F0D}"/>
            </c:ext>
          </c:extLst>
        </c:ser>
        <c:ser>
          <c:idx val="1"/>
          <c:order val="1"/>
          <c:tx>
            <c:strRef>
              <c:f>Ratio!$A$17</c:f>
              <c:strCache>
                <c:ptCount val="1"/>
                <c:pt idx="0">
                  <c:v>Gross income/ sales = Gross margin ratio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Ratio!$B$15:$F$15</c:f>
              <c:numCache>
                <c:formatCode>General</c:formatCode>
                <c:ptCount val="5"/>
                <c:pt idx="0">
                  <c:v>2025</c:v>
                </c:pt>
                <c:pt idx="1">
                  <c:v>2024</c:v>
                </c:pt>
                <c:pt idx="2">
                  <c:v>2023</c:v>
                </c:pt>
                <c:pt idx="3">
                  <c:v>2022</c:v>
                </c:pt>
                <c:pt idx="4">
                  <c:v>2021</c:v>
                </c:pt>
              </c:numCache>
            </c:numRef>
          </c:cat>
          <c:val>
            <c:numRef>
              <c:f>Ratio!$B$17:$F$17</c:f>
              <c:numCache>
                <c:formatCode>0%</c:formatCode>
                <c:ptCount val="5"/>
                <c:pt idx="0">
                  <c:v>0.19743374322156879</c:v>
                </c:pt>
                <c:pt idx="1">
                  <c:v>0.19219123505976096</c:v>
                </c:pt>
                <c:pt idx="2">
                  <c:v>0.20343271623160292</c:v>
                </c:pt>
                <c:pt idx="3">
                  <c:v>0.19631252106099265</c:v>
                </c:pt>
                <c:pt idx="4">
                  <c:v>0.19441437540593201</c:v>
                </c:pt>
              </c:numCache>
            </c:numRef>
          </c:val>
          <c:smooth val="0"/>
          <c:extLst>
            <c:ext xmlns:c16="http://schemas.microsoft.com/office/drawing/2014/chart" uri="{C3380CC4-5D6E-409C-BE32-E72D297353CC}">
              <c16:uniqueId val="{00000001-1090-470A-AD3C-289A9DA13F0D}"/>
            </c:ext>
          </c:extLst>
        </c:ser>
        <c:dLbls>
          <c:dLblPos val="t"/>
          <c:showLegendKey val="0"/>
          <c:showVal val="1"/>
          <c:showCatName val="0"/>
          <c:showSerName val="0"/>
          <c:showPercent val="0"/>
          <c:showBubbleSize val="0"/>
        </c:dLbls>
        <c:upDownBars>
          <c:gapWidth val="315"/>
          <c:upBars>
            <c:spPr>
              <a:solidFill>
                <a:schemeClr val="lt1"/>
              </a:solidFill>
              <a:ln w="9525">
                <a:solidFill>
                  <a:schemeClr val="tx1">
                    <a:lumMod val="15000"/>
                    <a:lumOff val="85000"/>
                  </a:schemeClr>
                </a:solidFill>
              </a:ln>
              <a:effectLst/>
            </c:spPr>
          </c:upBars>
          <c:downBars>
            <c:spPr>
              <a:solidFill>
                <a:schemeClr val="dk1">
                  <a:lumMod val="65000"/>
                  <a:lumOff val="35000"/>
                </a:schemeClr>
              </a:solidFill>
              <a:ln w="9525">
                <a:solidFill>
                  <a:schemeClr val="tx1">
                    <a:lumMod val="65000"/>
                    <a:lumOff val="35000"/>
                  </a:schemeClr>
                </a:solidFill>
              </a:ln>
              <a:effectLst/>
            </c:spPr>
          </c:downBars>
        </c:upDownBars>
        <c:smooth val="0"/>
        <c:axId val="368323408"/>
        <c:axId val="368321112"/>
      </c:lineChart>
      <c:catAx>
        <c:axId val="3683234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368321112"/>
        <c:crosses val="autoZero"/>
        <c:auto val="1"/>
        <c:lblAlgn val="ctr"/>
        <c:lblOffset val="100"/>
        <c:noMultiLvlLbl val="0"/>
      </c:catAx>
      <c:valAx>
        <c:axId val="36832111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368323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r>
              <a:rPr lang="en-IN"/>
              <a:t>Leverage Ratio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Ratio!$A$24</c:f>
              <c:strCache>
                <c:ptCount val="1"/>
                <c:pt idx="0">
                  <c:v>Total debt ratio = Debt/ Total assets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Ratio!$B$23:$F$23</c:f>
              <c:numCache>
                <c:formatCode>General</c:formatCode>
                <c:ptCount val="5"/>
                <c:pt idx="0">
                  <c:v>2025</c:v>
                </c:pt>
                <c:pt idx="1">
                  <c:v>2024</c:v>
                </c:pt>
                <c:pt idx="2">
                  <c:v>2023</c:v>
                </c:pt>
                <c:pt idx="3">
                  <c:v>2022</c:v>
                </c:pt>
                <c:pt idx="4">
                  <c:v>2021</c:v>
                </c:pt>
              </c:numCache>
            </c:numRef>
          </c:cat>
          <c:val>
            <c:numRef>
              <c:f>Ratio!$B$24:$F$24</c:f>
              <c:numCache>
                <c:formatCode>0.00</c:formatCode>
                <c:ptCount val="5"/>
                <c:pt idx="0">
                  <c:v>1.1369281045751634</c:v>
                </c:pt>
                <c:pt idx="1">
                  <c:v>1.1142769841876099</c:v>
                </c:pt>
                <c:pt idx="2">
                  <c:v>1.0265638389031706</c:v>
                </c:pt>
                <c:pt idx="3">
                  <c:v>0.97711061857747328</c:v>
                </c:pt>
                <c:pt idx="4">
                  <c:v>0.94466403162055335</c:v>
                </c:pt>
              </c:numCache>
            </c:numRef>
          </c:val>
          <c:extLst>
            <c:ext xmlns:c16="http://schemas.microsoft.com/office/drawing/2014/chart" uri="{C3380CC4-5D6E-409C-BE32-E72D297353CC}">
              <c16:uniqueId val="{00000000-A695-4F39-983B-5D95C2599593}"/>
            </c:ext>
          </c:extLst>
        </c:ser>
        <c:ser>
          <c:idx val="1"/>
          <c:order val="1"/>
          <c:tx>
            <c:strRef>
              <c:f>Ratio!$A$25</c:f>
              <c:strCache>
                <c:ptCount val="1"/>
                <c:pt idx="0">
                  <c:v>Total debt/ T equity = Debt to equity ratio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numRef>
              <c:f>Ratio!$B$23:$F$23</c:f>
              <c:numCache>
                <c:formatCode>General</c:formatCode>
                <c:ptCount val="5"/>
                <c:pt idx="0">
                  <c:v>2025</c:v>
                </c:pt>
                <c:pt idx="1">
                  <c:v>2024</c:v>
                </c:pt>
                <c:pt idx="2">
                  <c:v>2023</c:v>
                </c:pt>
                <c:pt idx="3">
                  <c:v>2022</c:v>
                </c:pt>
                <c:pt idx="4">
                  <c:v>2021</c:v>
                </c:pt>
              </c:numCache>
            </c:numRef>
          </c:cat>
          <c:val>
            <c:numRef>
              <c:f>Ratio!$B$25:$F$25</c:f>
              <c:numCache>
                <c:formatCode>0.00</c:formatCode>
                <c:ptCount val="5"/>
                <c:pt idx="0">
                  <c:v>1.1369281045751634</c:v>
                </c:pt>
                <c:pt idx="1">
                  <c:v>1.1142769841876099</c:v>
                </c:pt>
                <c:pt idx="2">
                  <c:v>1.0265638389031706</c:v>
                </c:pt>
                <c:pt idx="3">
                  <c:v>0.97711061857747328</c:v>
                </c:pt>
                <c:pt idx="4">
                  <c:v>0.94466403162055335</c:v>
                </c:pt>
              </c:numCache>
            </c:numRef>
          </c:val>
          <c:extLst>
            <c:ext xmlns:c16="http://schemas.microsoft.com/office/drawing/2014/chart" uri="{C3380CC4-5D6E-409C-BE32-E72D297353CC}">
              <c16:uniqueId val="{00000001-A695-4F39-983B-5D95C2599593}"/>
            </c:ext>
          </c:extLst>
        </c:ser>
        <c:ser>
          <c:idx val="2"/>
          <c:order val="2"/>
          <c:tx>
            <c:strRef>
              <c:f>Ratio!$A$26</c:f>
              <c:strCache>
                <c:ptCount val="1"/>
                <c:pt idx="0">
                  <c:v>Shaeholder's Equity/Total Asset= Equity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numRef>
              <c:f>Ratio!$B$23:$F$23</c:f>
              <c:numCache>
                <c:formatCode>General</c:formatCode>
                <c:ptCount val="5"/>
                <c:pt idx="0">
                  <c:v>2025</c:v>
                </c:pt>
                <c:pt idx="1">
                  <c:v>2024</c:v>
                </c:pt>
                <c:pt idx="2">
                  <c:v>2023</c:v>
                </c:pt>
                <c:pt idx="3">
                  <c:v>2022</c:v>
                </c:pt>
                <c:pt idx="4">
                  <c:v>2021</c:v>
                </c:pt>
              </c:numCache>
            </c:numRef>
          </c:cat>
          <c:val>
            <c:numRef>
              <c:f>Ratio!$B$26:$F$26</c:f>
              <c:numCache>
                <c:formatCode>0.00</c:formatCode>
                <c:ptCount val="5"/>
                <c:pt idx="0">
                  <c:v>1</c:v>
                </c:pt>
                <c:pt idx="1">
                  <c:v>1</c:v>
                </c:pt>
                <c:pt idx="2">
                  <c:v>1</c:v>
                </c:pt>
                <c:pt idx="3">
                  <c:v>1</c:v>
                </c:pt>
                <c:pt idx="4">
                  <c:v>1</c:v>
                </c:pt>
              </c:numCache>
            </c:numRef>
          </c:val>
          <c:extLst>
            <c:ext xmlns:c16="http://schemas.microsoft.com/office/drawing/2014/chart" uri="{C3380CC4-5D6E-409C-BE32-E72D297353CC}">
              <c16:uniqueId val="{00000002-A695-4F39-983B-5D95C2599593}"/>
            </c:ext>
          </c:extLst>
        </c:ser>
        <c:dLbls>
          <c:showLegendKey val="0"/>
          <c:showVal val="0"/>
          <c:showCatName val="0"/>
          <c:showSerName val="0"/>
          <c:showPercent val="0"/>
          <c:showBubbleSize val="0"/>
        </c:dLbls>
        <c:gapWidth val="100"/>
        <c:overlap val="-24"/>
        <c:axId val="503858104"/>
        <c:axId val="503858432"/>
      </c:barChart>
      <c:catAx>
        <c:axId val="5038581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503858432"/>
        <c:crosses val="autoZero"/>
        <c:auto val="1"/>
        <c:lblAlgn val="ctr"/>
        <c:lblOffset val="100"/>
        <c:noMultiLvlLbl val="0"/>
      </c:catAx>
      <c:valAx>
        <c:axId val="503858432"/>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503858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r>
              <a:rPr lang="en-IN"/>
              <a:t>Effeciency Ratios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Ratio!$A$33</c:f>
              <c:strCache>
                <c:ptCount val="1"/>
                <c:pt idx="0">
                  <c:v>Revenue/Inventory= Inventory turnover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Ratio!$B$32:$F$32</c:f>
              <c:numCache>
                <c:formatCode>General</c:formatCode>
                <c:ptCount val="5"/>
                <c:pt idx="0">
                  <c:v>2025</c:v>
                </c:pt>
                <c:pt idx="1">
                  <c:v>2024</c:v>
                </c:pt>
                <c:pt idx="2">
                  <c:v>2021</c:v>
                </c:pt>
                <c:pt idx="3">
                  <c:v>2021</c:v>
                </c:pt>
                <c:pt idx="4">
                  <c:v>2021</c:v>
                </c:pt>
              </c:numCache>
            </c:numRef>
          </c:cat>
          <c:val>
            <c:numRef>
              <c:f>Ratio!$B$33:$F$33</c:f>
              <c:numCache>
                <c:formatCode>0.00</c:formatCode>
                <c:ptCount val="5"/>
                <c:pt idx="0">
                  <c:v>82.605678233438482</c:v>
                </c:pt>
                <c:pt idx="1">
                  <c:v>85.374149659863946</c:v>
                </c:pt>
                <c:pt idx="2">
                  <c:v>101.7725321888412</c:v>
                </c:pt>
                <c:pt idx="3">
                  <c:v>88.395744680851067</c:v>
                </c:pt>
                <c:pt idx="4">
                  <c:v>55.207171314741039</c:v>
                </c:pt>
              </c:numCache>
            </c:numRef>
          </c:val>
          <c:extLst>
            <c:ext xmlns:c16="http://schemas.microsoft.com/office/drawing/2014/chart" uri="{C3380CC4-5D6E-409C-BE32-E72D297353CC}">
              <c16:uniqueId val="{00000000-9A00-4133-9E3A-12220B2329DF}"/>
            </c:ext>
          </c:extLst>
        </c:ser>
        <c:ser>
          <c:idx val="1"/>
          <c:order val="1"/>
          <c:tx>
            <c:strRef>
              <c:f>Ratio!$A$34</c:f>
              <c:strCache>
                <c:ptCount val="1"/>
                <c:pt idx="0">
                  <c:v>Accounts receivable= sales/ accounts receivable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Ratio!$B$32:$F$32</c:f>
              <c:numCache>
                <c:formatCode>General</c:formatCode>
                <c:ptCount val="5"/>
                <c:pt idx="0">
                  <c:v>2025</c:v>
                </c:pt>
                <c:pt idx="1">
                  <c:v>2024</c:v>
                </c:pt>
                <c:pt idx="2">
                  <c:v>2021</c:v>
                </c:pt>
                <c:pt idx="3">
                  <c:v>2021</c:v>
                </c:pt>
                <c:pt idx="4">
                  <c:v>2021</c:v>
                </c:pt>
              </c:numCache>
            </c:numRef>
          </c:cat>
          <c:val>
            <c:numRef>
              <c:f>Ratio!$B$34:$F$34</c:f>
              <c:numCache>
                <c:formatCode>0.00</c:formatCode>
                <c:ptCount val="5"/>
                <c:pt idx="0">
                  <c:v>9.0017188037126168</c:v>
                </c:pt>
                <c:pt idx="1">
                  <c:v>8.9803220035778182</c:v>
                </c:pt>
                <c:pt idx="2">
                  <c:v>8.7437315634218287</c:v>
                </c:pt>
                <c:pt idx="3">
                  <c:v>8.0797355114741354</c:v>
                </c:pt>
                <c:pt idx="4">
                  <c:v>6.9914228052472254</c:v>
                </c:pt>
              </c:numCache>
            </c:numRef>
          </c:val>
          <c:extLst>
            <c:ext xmlns:c16="http://schemas.microsoft.com/office/drawing/2014/chart" uri="{C3380CC4-5D6E-409C-BE32-E72D297353CC}">
              <c16:uniqueId val="{00000001-9A00-4133-9E3A-12220B2329DF}"/>
            </c:ext>
          </c:extLst>
        </c:ser>
        <c:dLbls>
          <c:showLegendKey val="0"/>
          <c:showVal val="1"/>
          <c:showCatName val="0"/>
          <c:showSerName val="0"/>
          <c:showPercent val="0"/>
          <c:showBubbleSize val="0"/>
        </c:dLbls>
        <c:gapWidth val="150"/>
        <c:shape val="box"/>
        <c:axId val="497174312"/>
        <c:axId val="503722592"/>
        <c:axId val="0"/>
      </c:bar3DChart>
      <c:catAx>
        <c:axId val="49717431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503722592"/>
        <c:crosses val="autoZero"/>
        <c:auto val="1"/>
        <c:lblAlgn val="ctr"/>
        <c:lblOffset val="100"/>
        <c:noMultiLvlLbl val="0"/>
      </c:catAx>
      <c:valAx>
        <c:axId val="503722592"/>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497174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r>
              <a:rPr lang="en-IN"/>
              <a:t>Invesrment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title>
    <c:autoTitleDeleted val="0"/>
    <c:plotArea>
      <c:layout/>
      <c:areaChart>
        <c:grouping val="stacked"/>
        <c:varyColors val="0"/>
        <c:ser>
          <c:idx val="0"/>
          <c:order val="0"/>
          <c:tx>
            <c:strRef>
              <c:f>Ratio!$A$41</c:f>
              <c:strCache>
                <c:ptCount val="1"/>
                <c:pt idx="0">
                  <c:v>EPS = Net Income/Share Outstanding</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cat>
            <c:numRef>
              <c:f>Ratio!$B$40:$F$40</c:f>
              <c:numCache>
                <c:formatCode>General</c:formatCode>
                <c:ptCount val="5"/>
                <c:pt idx="0">
                  <c:v>2025</c:v>
                </c:pt>
                <c:pt idx="1">
                  <c:v>2024</c:v>
                </c:pt>
                <c:pt idx="2">
                  <c:v>2023</c:v>
                </c:pt>
                <c:pt idx="3">
                  <c:v>2022</c:v>
                </c:pt>
                <c:pt idx="4">
                  <c:v>2021</c:v>
                </c:pt>
              </c:numCache>
            </c:numRef>
          </c:cat>
          <c:val>
            <c:numRef>
              <c:f>Ratio!$B$41:$F$41</c:f>
              <c:numCache>
                <c:formatCode>General</c:formatCode>
                <c:ptCount val="5"/>
                <c:pt idx="0">
                  <c:v>9.7818728845430627</c:v>
                </c:pt>
                <c:pt idx="1">
                  <c:v>8.5833032164799423</c:v>
                </c:pt>
                <c:pt idx="2">
                  <c:v>10.612736660929432</c:v>
                </c:pt>
                <c:pt idx="3">
                  <c:v>7.5917578879587886</c:v>
                </c:pt>
                <c:pt idx="4">
                  <c:v>3.3680661967514558</c:v>
                </c:pt>
              </c:numCache>
            </c:numRef>
          </c:val>
          <c:extLst>
            <c:ext xmlns:c16="http://schemas.microsoft.com/office/drawing/2014/chart" uri="{C3380CC4-5D6E-409C-BE32-E72D297353CC}">
              <c16:uniqueId val="{00000000-A0D2-40E6-B6E7-0C7A6415B900}"/>
            </c:ext>
          </c:extLst>
        </c:ser>
        <c:ser>
          <c:idx val="1"/>
          <c:order val="1"/>
          <c:tx>
            <c:strRef>
              <c:f>Ratio!$A$42</c:f>
              <c:strCache>
                <c:ptCount val="1"/>
                <c:pt idx="0">
                  <c:v>Price Earning Ratio = Market Price /EPS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cat>
            <c:numRef>
              <c:f>Ratio!$B$40:$F$40</c:f>
              <c:numCache>
                <c:formatCode>General</c:formatCode>
                <c:ptCount val="5"/>
                <c:pt idx="0">
                  <c:v>2025</c:v>
                </c:pt>
                <c:pt idx="1">
                  <c:v>2024</c:v>
                </c:pt>
                <c:pt idx="2">
                  <c:v>2023</c:v>
                </c:pt>
                <c:pt idx="3">
                  <c:v>2022</c:v>
                </c:pt>
                <c:pt idx="4">
                  <c:v>2021</c:v>
                </c:pt>
              </c:numCache>
            </c:numRef>
          </c:cat>
          <c:val>
            <c:numRef>
              <c:f>Ratio!$B$42:$F$42</c:f>
              <c:numCache>
                <c:formatCode>General</c:formatCode>
                <c:ptCount val="5"/>
                <c:pt idx="0">
                  <c:v>31.592109573241054</c:v>
                </c:pt>
                <c:pt idx="1">
                  <c:v>32.058753263157897</c:v>
                </c:pt>
                <c:pt idx="2">
                  <c:v>21.569365877392151</c:v>
                </c:pt>
                <c:pt idx="3">
                  <c:v>19.61205852417303</c:v>
                </c:pt>
                <c:pt idx="4">
                  <c:v>50.524541401273879</c:v>
                </c:pt>
              </c:numCache>
            </c:numRef>
          </c:val>
          <c:extLst>
            <c:ext xmlns:c16="http://schemas.microsoft.com/office/drawing/2014/chart" uri="{C3380CC4-5D6E-409C-BE32-E72D297353CC}">
              <c16:uniqueId val="{00000001-A0D2-40E6-B6E7-0C7A6415B900}"/>
            </c:ext>
          </c:extLst>
        </c:ser>
        <c:dLbls>
          <c:showLegendKey val="0"/>
          <c:showVal val="0"/>
          <c:showCatName val="0"/>
          <c:showSerName val="0"/>
          <c:showPercent val="0"/>
          <c:showBubbleSize val="0"/>
        </c:dLbls>
        <c:axId val="529692312"/>
        <c:axId val="529686080"/>
      </c:areaChart>
      <c:catAx>
        <c:axId val="529692312"/>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529686080"/>
        <c:crosses val="autoZero"/>
        <c:auto val="1"/>
        <c:lblAlgn val="ctr"/>
        <c:lblOffset val="100"/>
        <c:noMultiLvlLbl val="0"/>
      </c:catAx>
      <c:valAx>
        <c:axId val="52968608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crossAx val="5296923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Arial" panose="020B0604020202020204" pitchFamily="34" charset="0"/>
              <a:ea typeface="+mn-ea"/>
              <a:cs typeface="Arial" panose="020B0604020202020204" pitchFamily="34" charset="0"/>
            </a:defRPr>
          </a:pPr>
          <a:endParaRPr lang="en-US"/>
        </a:p>
      </c:txPr>
    </c:legend>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Cash Flow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Ratio!$A$49</c:f>
              <c:strCache>
                <c:ptCount val="1"/>
                <c:pt idx="0">
                  <c:v>OCF (Operating Cash Flow) = OCF/CL</c:v>
                </c:pt>
              </c:strCache>
            </c:strRef>
          </c:tx>
          <c:spPr>
            <a:solidFill>
              <a:schemeClr val="accent2">
                <a:shade val="76000"/>
              </a:schemeClr>
            </a:solidFill>
            <a:ln>
              <a:noFill/>
            </a:ln>
            <a:effectLst/>
            <a:sp3d/>
          </c:spPr>
          <c:invertIfNegative val="0"/>
          <c:cat>
            <c:numRef>
              <c:f>Ratio!$B$48:$F$48</c:f>
              <c:numCache>
                <c:formatCode>General</c:formatCode>
                <c:ptCount val="5"/>
                <c:pt idx="0">
                  <c:v>2025</c:v>
                </c:pt>
                <c:pt idx="1">
                  <c:v>2024</c:v>
                </c:pt>
                <c:pt idx="2">
                  <c:v>2023</c:v>
                </c:pt>
                <c:pt idx="3">
                  <c:v>2022</c:v>
                </c:pt>
                <c:pt idx="4">
                  <c:v>2021</c:v>
                </c:pt>
              </c:numCache>
            </c:numRef>
          </c:cat>
          <c:val>
            <c:numRef>
              <c:f>Ratio!$B$49:$F$49</c:f>
              <c:numCache>
                <c:formatCode>General</c:formatCode>
                <c:ptCount val="5"/>
                <c:pt idx="0">
                  <c:v>0.38247201714693974</c:v>
                </c:pt>
                <c:pt idx="1">
                  <c:v>0.31784021274135738</c:v>
                </c:pt>
                <c:pt idx="2">
                  <c:v>0.40839989693377993</c:v>
                </c:pt>
                <c:pt idx="3">
                  <c:v>0.32197847118135986</c:v>
                </c:pt>
                <c:pt idx="4">
                  <c:v>0.1837053223037303</c:v>
                </c:pt>
              </c:numCache>
            </c:numRef>
          </c:val>
          <c:extLst>
            <c:ext xmlns:c16="http://schemas.microsoft.com/office/drawing/2014/chart" uri="{C3380CC4-5D6E-409C-BE32-E72D297353CC}">
              <c16:uniqueId val="{00000000-AAA1-4E76-B535-A039B67B669C}"/>
            </c:ext>
          </c:extLst>
        </c:ser>
        <c:ser>
          <c:idx val="1"/>
          <c:order val="1"/>
          <c:tx>
            <c:strRef>
              <c:f>Ratio!$A$50</c:f>
              <c:strCache>
                <c:ptCount val="1"/>
                <c:pt idx="0">
                  <c:v>Cash Flow to Debt Ratio = (OCF/Total Debt) </c:v>
                </c:pt>
              </c:strCache>
            </c:strRef>
          </c:tx>
          <c:spPr>
            <a:solidFill>
              <a:schemeClr val="accent2">
                <a:tint val="77000"/>
              </a:schemeClr>
            </a:solidFill>
            <a:ln>
              <a:noFill/>
            </a:ln>
            <a:effectLst/>
            <a:sp3d/>
          </c:spPr>
          <c:invertIfNegative val="0"/>
          <c:cat>
            <c:numRef>
              <c:f>Ratio!$B$48:$F$48</c:f>
              <c:numCache>
                <c:formatCode>General</c:formatCode>
                <c:ptCount val="5"/>
                <c:pt idx="0">
                  <c:v>2025</c:v>
                </c:pt>
                <c:pt idx="1">
                  <c:v>2024</c:v>
                </c:pt>
                <c:pt idx="2">
                  <c:v>2023</c:v>
                </c:pt>
                <c:pt idx="3">
                  <c:v>2022</c:v>
                </c:pt>
                <c:pt idx="4">
                  <c:v>2021</c:v>
                </c:pt>
              </c:numCache>
            </c:numRef>
          </c:cat>
          <c:val>
            <c:numRef>
              <c:f>Ratio!$B$50:$F$50</c:f>
              <c:numCache>
                <c:formatCode>0.000000</c:formatCode>
                <c:ptCount val="5"/>
                <c:pt idx="0">
                  <c:v>2.3603555736049106E-5</c:v>
                </c:pt>
                <c:pt idx="1">
                  <c:v>2.2000430036779772E-5</c:v>
                </c:pt>
                <c:pt idx="2">
                  <c:v>3.43973635082776E-5</c:v>
                </c:pt>
                <c:pt idx="3">
                  <c:v>3.1993091333600937E-5</c:v>
                </c:pt>
                <c:pt idx="4">
                  <c:v>1.8120469747852662E-5</c:v>
                </c:pt>
              </c:numCache>
            </c:numRef>
          </c:val>
          <c:extLst>
            <c:ext xmlns:c16="http://schemas.microsoft.com/office/drawing/2014/chart" uri="{C3380CC4-5D6E-409C-BE32-E72D297353CC}">
              <c16:uniqueId val="{00000001-AAA1-4E76-B535-A039B67B669C}"/>
            </c:ext>
          </c:extLst>
        </c:ser>
        <c:dLbls>
          <c:showLegendKey val="0"/>
          <c:showVal val="0"/>
          <c:showCatName val="0"/>
          <c:showSerName val="0"/>
          <c:showPercent val="0"/>
          <c:showBubbleSize val="0"/>
        </c:dLbls>
        <c:gapWidth val="150"/>
        <c:shape val="box"/>
        <c:axId val="529691328"/>
        <c:axId val="529685752"/>
        <c:axId val="0"/>
      </c:bar3DChart>
      <c:catAx>
        <c:axId val="5296913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9685752"/>
        <c:crosses val="autoZero"/>
        <c:auto val="1"/>
        <c:lblAlgn val="ctr"/>
        <c:lblOffset val="100"/>
        <c:noMultiLvlLbl val="0"/>
      </c:catAx>
      <c:valAx>
        <c:axId val="529685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52969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r>
              <a:rPr lang="en-IN"/>
              <a:t>Trend of Liquidity Ratio</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endParaRPr lang="en-IN"/>
        </a:p>
      </c:txPr>
    </c:title>
    <c:autoTitleDeleted val="0"/>
    <c:plotArea>
      <c:layout/>
      <c:lineChart>
        <c:grouping val="standard"/>
        <c:varyColors val="0"/>
        <c:ser>
          <c:idx val="0"/>
          <c:order val="0"/>
          <c:tx>
            <c:strRef>
              <c:f>'Trend Analysis'!$B$2</c:f>
              <c:strCache>
                <c:ptCount val="1"/>
                <c:pt idx="0">
                  <c:v>Current Ratio</c:v>
                </c:pt>
              </c:strCache>
            </c:strRef>
          </c:tx>
          <c:spPr>
            <a:ln w="22225" cap="rnd">
              <a:solidFill>
                <a:schemeClr val="accent1"/>
              </a:solidFill>
              <a:round/>
            </a:ln>
            <a:effectLst/>
          </c:spPr>
          <c:marker>
            <c:symbol val="none"/>
          </c:marker>
          <c:trendline>
            <c:spPr>
              <a:ln w="19050" cap="rnd">
                <a:solidFill>
                  <a:schemeClr val="accent1"/>
                </a:solidFill>
              </a:ln>
              <a:effectLst/>
            </c:spPr>
            <c:trendlineType val="linear"/>
            <c:dispRSqr val="0"/>
            <c:dispEq val="0"/>
          </c:trendline>
          <c:cat>
            <c:numRef>
              <c:f>'Trend Analysis'!$A$3:$A$7</c:f>
              <c:numCache>
                <c:formatCode>General</c:formatCode>
                <c:ptCount val="5"/>
                <c:pt idx="0">
                  <c:v>2021</c:v>
                </c:pt>
                <c:pt idx="1">
                  <c:v>2022</c:v>
                </c:pt>
                <c:pt idx="2">
                  <c:v>2023</c:v>
                </c:pt>
                <c:pt idx="3">
                  <c:v>2024</c:v>
                </c:pt>
                <c:pt idx="4">
                  <c:v>2025</c:v>
                </c:pt>
              </c:numCache>
            </c:numRef>
          </c:cat>
          <c:val>
            <c:numRef>
              <c:f>'Trend Analysis'!$B$3:$B$7</c:f>
              <c:numCache>
                <c:formatCode>General</c:formatCode>
                <c:ptCount val="5"/>
                <c:pt idx="0">
                  <c:v>0.56999999999999995</c:v>
                </c:pt>
                <c:pt idx="1">
                  <c:v>0.45</c:v>
                </c:pt>
                <c:pt idx="2">
                  <c:v>0.43</c:v>
                </c:pt>
                <c:pt idx="3">
                  <c:v>0.4</c:v>
                </c:pt>
                <c:pt idx="4">
                  <c:v>0.43</c:v>
                </c:pt>
              </c:numCache>
            </c:numRef>
          </c:val>
          <c:smooth val="0"/>
          <c:extLst>
            <c:ext xmlns:c16="http://schemas.microsoft.com/office/drawing/2014/chart" uri="{C3380CC4-5D6E-409C-BE32-E72D297353CC}">
              <c16:uniqueId val="{00000001-3598-4104-901E-F565906548CE}"/>
            </c:ext>
          </c:extLst>
        </c:ser>
        <c:ser>
          <c:idx val="1"/>
          <c:order val="1"/>
          <c:tx>
            <c:strRef>
              <c:f>'Trend Analysis'!$C$2</c:f>
              <c:strCache>
                <c:ptCount val="1"/>
                <c:pt idx="0">
                  <c:v>Acid Test</c:v>
                </c:pt>
              </c:strCache>
            </c:strRef>
          </c:tx>
          <c:spPr>
            <a:ln w="22225" cap="rnd">
              <a:solidFill>
                <a:schemeClr val="accent2"/>
              </a:solidFill>
              <a:round/>
            </a:ln>
            <a:effectLst/>
          </c:spPr>
          <c:marker>
            <c:symbol val="none"/>
          </c:marker>
          <c:trendline>
            <c:spPr>
              <a:ln w="19050" cap="rnd">
                <a:solidFill>
                  <a:schemeClr val="accent2"/>
                </a:solidFill>
              </a:ln>
              <a:effectLst/>
            </c:spPr>
            <c:trendlineType val="linear"/>
            <c:dispRSqr val="0"/>
            <c:dispEq val="0"/>
          </c:trendline>
          <c:cat>
            <c:numRef>
              <c:f>'Trend Analysis'!$A$3:$A$7</c:f>
              <c:numCache>
                <c:formatCode>General</c:formatCode>
                <c:ptCount val="5"/>
                <c:pt idx="0">
                  <c:v>2021</c:v>
                </c:pt>
                <c:pt idx="1">
                  <c:v>2022</c:v>
                </c:pt>
                <c:pt idx="2">
                  <c:v>2023</c:v>
                </c:pt>
                <c:pt idx="3">
                  <c:v>2024</c:v>
                </c:pt>
                <c:pt idx="4">
                  <c:v>2025</c:v>
                </c:pt>
              </c:numCache>
            </c:numRef>
          </c:cat>
          <c:val>
            <c:numRef>
              <c:f>'Trend Analysis'!$C$3:$C$7</c:f>
              <c:numCache>
                <c:formatCode>General</c:formatCode>
                <c:ptCount val="5"/>
                <c:pt idx="0">
                  <c:v>0.53</c:v>
                </c:pt>
                <c:pt idx="1">
                  <c:v>0.42</c:v>
                </c:pt>
                <c:pt idx="2">
                  <c:v>0.4</c:v>
                </c:pt>
                <c:pt idx="3">
                  <c:v>0.37</c:v>
                </c:pt>
                <c:pt idx="4">
                  <c:v>0.39</c:v>
                </c:pt>
              </c:numCache>
            </c:numRef>
          </c:val>
          <c:smooth val="0"/>
          <c:extLst>
            <c:ext xmlns:c16="http://schemas.microsoft.com/office/drawing/2014/chart" uri="{C3380CC4-5D6E-409C-BE32-E72D297353CC}">
              <c16:uniqueId val="{00000003-3598-4104-901E-F565906548CE}"/>
            </c:ext>
          </c:extLst>
        </c:ser>
        <c:dLbls>
          <c:showLegendKey val="0"/>
          <c:showVal val="0"/>
          <c:showCatName val="0"/>
          <c:showSerName val="0"/>
          <c:showPercent val="0"/>
          <c:showBubbleSize val="0"/>
        </c:dLbls>
        <c:smooth val="0"/>
        <c:axId val="592240544"/>
        <c:axId val="592242184"/>
      </c:lineChart>
      <c:catAx>
        <c:axId val="59224054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92242184"/>
        <c:crosses val="autoZero"/>
        <c:auto val="1"/>
        <c:lblAlgn val="ctr"/>
        <c:lblOffset val="100"/>
        <c:noMultiLvlLbl val="0"/>
      </c:catAx>
      <c:valAx>
        <c:axId val="592242184"/>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9224054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Trend of Profitability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IN"/>
        </a:p>
      </c:txPr>
    </c:title>
    <c:autoTitleDeleted val="0"/>
    <c:plotArea>
      <c:layout/>
      <c:lineChart>
        <c:grouping val="standard"/>
        <c:varyColors val="0"/>
        <c:ser>
          <c:idx val="0"/>
          <c:order val="0"/>
          <c:tx>
            <c:strRef>
              <c:f>'Trend Analysis'!$B$10:$B$11</c:f>
              <c:strCache>
                <c:ptCount val="2"/>
                <c:pt idx="0">
                  <c:v>Profitability Ratios</c:v>
                </c:pt>
                <c:pt idx="1">
                  <c:v>Net Margin (%)</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trendline>
            <c:spPr>
              <a:ln w="19050" cap="rnd">
                <a:solidFill>
                  <a:schemeClr val="accent1"/>
                </a:solidFill>
              </a:ln>
              <a:effectLst/>
            </c:spPr>
            <c:trendlineType val="linear"/>
            <c:dispRSqr val="0"/>
            <c:dispEq val="0"/>
          </c:trendline>
          <c:cat>
            <c:numRef>
              <c:f>'Trend Analysis'!$A$12:$A$16</c:f>
              <c:numCache>
                <c:formatCode>General</c:formatCode>
                <c:ptCount val="5"/>
                <c:pt idx="0">
                  <c:v>2021</c:v>
                </c:pt>
                <c:pt idx="1">
                  <c:v>2022</c:v>
                </c:pt>
                <c:pt idx="2">
                  <c:v>2023</c:v>
                </c:pt>
                <c:pt idx="3">
                  <c:v>2024</c:v>
                </c:pt>
                <c:pt idx="4">
                  <c:v>2025</c:v>
                </c:pt>
              </c:numCache>
            </c:numRef>
          </c:cat>
          <c:val>
            <c:numRef>
              <c:f>'Trend Analysis'!$B$12:$B$16</c:f>
              <c:numCache>
                <c:formatCode>General</c:formatCode>
                <c:ptCount val="5"/>
                <c:pt idx="0">
                  <c:v>8</c:v>
                </c:pt>
                <c:pt idx="1">
                  <c:v>11</c:v>
                </c:pt>
                <c:pt idx="2">
                  <c:v>13</c:v>
                </c:pt>
                <c:pt idx="3">
                  <c:v>9</c:v>
                </c:pt>
                <c:pt idx="4">
                  <c:v>10</c:v>
                </c:pt>
              </c:numCache>
            </c:numRef>
          </c:val>
          <c:smooth val="0"/>
          <c:extLst>
            <c:ext xmlns:c16="http://schemas.microsoft.com/office/drawing/2014/chart" uri="{C3380CC4-5D6E-409C-BE32-E72D297353CC}">
              <c16:uniqueId val="{00000001-3D25-4558-BEA4-162CCC2477E9}"/>
            </c:ext>
          </c:extLst>
        </c:ser>
        <c:ser>
          <c:idx val="1"/>
          <c:order val="1"/>
          <c:tx>
            <c:strRef>
              <c:f>'Trend Analysis'!$C$10:$C$11</c:f>
              <c:strCache>
                <c:ptCount val="2"/>
                <c:pt idx="0">
                  <c:v>Profitability Ratios</c:v>
                </c:pt>
                <c:pt idx="1">
                  <c:v>Gross Margin (%)</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trendline>
            <c:spPr>
              <a:ln w="19050" cap="rnd">
                <a:solidFill>
                  <a:schemeClr val="accent3"/>
                </a:solidFill>
              </a:ln>
              <a:effectLst/>
            </c:spPr>
            <c:trendlineType val="linear"/>
            <c:dispRSqr val="0"/>
            <c:dispEq val="0"/>
          </c:trendline>
          <c:trendline>
            <c:spPr>
              <a:ln w="19050" cap="rnd">
                <a:solidFill>
                  <a:schemeClr val="accent3"/>
                </a:solidFill>
              </a:ln>
              <a:effectLst/>
            </c:spPr>
            <c:trendlineType val="movingAvg"/>
            <c:period val="2"/>
            <c:dispRSqr val="0"/>
            <c:dispEq val="0"/>
          </c:trendline>
          <c:cat>
            <c:numRef>
              <c:f>'Trend Analysis'!$A$12:$A$16</c:f>
              <c:numCache>
                <c:formatCode>General</c:formatCode>
                <c:ptCount val="5"/>
                <c:pt idx="0">
                  <c:v>2021</c:v>
                </c:pt>
                <c:pt idx="1">
                  <c:v>2022</c:v>
                </c:pt>
                <c:pt idx="2">
                  <c:v>2023</c:v>
                </c:pt>
                <c:pt idx="3">
                  <c:v>2024</c:v>
                </c:pt>
                <c:pt idx="4">
                  <c:v>2025</c:v>
                </c:pt>
              </c:numCache>
            </c:numRef>
          </c:cat>
          <c:val>
            <c:numRef>
              <c:f>'Trend Analysis'!$C$12:$C$16</c:f>
              <c:numCache>
                <c:formatCode>General</c:formatCode>
                <c:ptCount val="5"/>
                <c:pt idx="0">
                  <c:v>19</c:v>
                </c:pt>
                <c:pt idx="1">
                  <c:v>20</c:v>
                </c:pt>
                <c:pt idx="2">
                  <c:v>20</c:v>
                </c:pt>
                <c:pt idx="3">
                  <c:v>19</c:v>
                </c:pt>
                <c:pt idx="4">
                  <c:v>20</c:v>
                </c:pt>
              </c:numCache>
            </c:numRef>
          </c:val>
          <c:smooth val="0"/>
          <c:extLst>
            <c:ext xmlns:c16="http://schemas.microsoft.com/office/drawing/2014/chart" uri="{C3380CC4-5D6E-409C-BE32-E72D297353CC}">
              <c16:uniqueId val="{00000004-3D25-4558-BEA4-162CCC2477E9}"/>
            </c:ext>
          </c:extLst>
        </c:ser>
        <c:dLbls>
          <c:showLegendKey val="0"/>
          <c:showVal val="0"/>
          <c:showCatName val="0"/>
          <c:showSerName val="0"/>
          <c:showPercent val="0"/>
          <c:showBubbleSize val="0"/>
        </c:dLbls>
        <c:smooth val="0"/>
        <c:axId val="611204192"/>
        <c:axId val="611202224"/>
      </c:lineChart>
      <c:catAx>
        <c:axId val="61120419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611202224"/>
        <c:crosses val="autoZero"/>
        <c:auto val="1"/>
        <c:lblAlgn val="ctr"/>
        <c:lblOffset val="100"/>
        <c:noMultiLvlLbl val="0"/>
      </c:catAx>
      <c:valAx>
        <c:axId val="611202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61120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Arial" panose="020B0604020202020204" pitchFamily="34" charset="0"/>
                <a:ea typeface="+mn-ea"/>
                <a:cs typeface="Arial" panose="020B0604020202020204" pitchFamily="34" charset="0"/>
              </a:defRPr>
            </a:pPr>
            <a:r>
              <a:rPr lang="en-IN"/>
              <a:t>Trend of Leverage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Arial" panose="020B0604020202020204" pitchFamily="34" charset="0"/>
              <a:ea typeface="+mn-ea"/>
              <a:cs typeface="Arial" panose="020B0604020202020204" pitchFamily="34" charset="0"/>
            </a:defRPr>
          </a:pPr>
          <a:endParaRPr lang="en-IN"/>
        </a:p>
      </c:txPr>
    </c:title>
    <c:autoTitleDeleted val="0"/>
    <c:plotArea>
      <c:layout/>
      <c:lineChart>
        <c:grouping val="standard"/>
        <c:varyColors val="0"/>
        <c:ser>
          <c:idx val="0"/>
          <c:order val="0"/>
          <c:tx>
            <c:strRef>
              <c:f>'Trend Analysis'!$B$19:$B$20</c:f>
              <c:strCache>
                <c:ptCount val="2"/>
                <c:pt idx="0">
                  <c:v>Leverage Ratios</c:v>
                </c:pt>
                <c:pt idx="1">
                  <c:v>Debt Ratio</c:v>
                </c:pt>
              </c:strCache>
            </c:strRef>
          </c:tx>
          <c:spPr>
            <a:ln w="22225" cap="rnd" cmpd="sng" algn="ctr">
              <a:solidFill>
                <a:schemeClr val="accent6"/>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6"/>
                </a:solidFill>
              </a:ln>
              <a:effectLst/>
            </c:spPr>
            <c:trendlineType val="linear"/>
            <c:dispRSqr val="0"/>
            <c:dispEq val="0"/>
          </c:trendline>
          <c:cat>
            <c:numRef>
              <c:f>'Trend Analysis'!$A$21:$A$25</c:f>
              <c:numCache>
                <c:formatCode>General</c:formatCode>
                <c:ptCount val="5"/>
                <c:pt idx="0">
                  <c:v>2021</c:v>
                </c:pt>
                <c:pt idx="1">
                  <c:v>2022</c:v>
                </c:pt>
                <c:pt idx="2">
                  <c:v>2023</c:v>
                </c:pt>
                <c:pt idx="3">
                  <c:v>2024</c:v>
                </c:pt>
                <c:pt idx="4">
                  <c:v>2025</c:v>
                </c:pt>
              </c:numCache>
            </c:numRef>
          </c:cat>
          <c:val>
            <c:numRef>
              <c:f>'Trend Analysis'!$B$21:$B$25</c:f>
              <c:numCache>
                <c:formatCode>General</c:formatCode>
                <c:ptCount val="5"/>
                <c:pt idx="0">
                  <c:v>0.94</c:v>
                </c:pt>
                <c:pt idx="1">
                  <c:v>0.98</c:v>
                </c:pt>
                <c:pt idx="2">
                  <c:v>1.03</c:v>
                </c:pt>
                <c:pt idx="3">
                  <c:v>1.1100000000000001</c:v>
                </c:pt>
                <c:pt idx="4">
                  <c:v>1.1399999999999999</c:v>
                </c:pt>
              </c:numCache>
            </c:numRef>
          </c:val>
          <c:smooth val="0"/>
          <c:extLst>
            <c:ext xmlns:c16="http://schemas.microsoft.com/office/drawing/2014/chart" uri="{C3380CC4-5D6E-409C-BE32-E72D297353CC}">
              <c16:uniqueId val="{00000001-2BB8-47A4-8267-25B4914753B2}"/>
            </c:ext>
          </c:extLst>
        </c:ser>
        <c:ser>
          <c:idx val="1"/>
          <c:order val="1"/>
          <c:tx>
            <c:strRef>
              <c:f>'Trend Analysis'!$C$19:$C$20</c:f>
              <c:strCache>
                <c:ptCount val="2"/>
                <c:pt idx="0">
                  <c:v>Leverage Ratios</c:v>
                </c:pt>
                <c:pt idx="1">
                  <c:v>Debt-to-Equity Ratio</c:v>
                </c:pt>
              </c:strCache>
            </c:strRef>
          </c:tx>
          <c:spPr>
            <a:ln w="22225" cap="rnd" cmpd="sng" algn="ctr">
              <a:solidFill>
                <a:schemeClr val="accent5"/>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5"/>
                </a:solidFill>
              </a:ln>
              <a:effectLst/>
            </c:spPr>
            <c:trendlineType val="linear"/>
            <c:dispRSqr val="0"/>
            <c:dispEq val="0"/>
          </c:trendline>
          <c:cat>
            <c:numRef>
              <c:f>'Trend Analysis'!$A$21:$A$25</c:f>
              <c:numCache>
                <c:formatCode>General</c:formatCode>
                <c:ptCount val="5"/>
                <c:pt idx="0">
                  <c:v>2021</c:v>
                </c:pt>
                <c:pt idx="1">
                  <c:v>2022</c:v>
                </c:pt>
                <c:pt idx="2">
                  <c:v>2023</c:v>
                </c:pt>
                <c:pt idx="3">
                  <c:v>2024</c:v>
                </c:pt>
                <c:pt idx="4">
                  <c:v>2025</c:v>
                </c:pt>
              </c:numCache>
            </c:numRef>
          </c:cat>
          <c:val>
            <c:numRef>
              <c:f>'Trend Analysis'!$C$21:$C$25</c:f>
              <c:numCache>
                <c:formatCode>General</c:formatCode>
                <c:ptCount val="5"/>
                <c:pt idx="0">
                  <c:v>0.94</c:v>
                </c:pt>
                <c:pt idx="1">
                  <c:v>0.98</c:v>
                </c:pt>
                <c:pt idx="2">
                  <c:v>1.03</c:v>
                </c:pt>
                <c:pt idx="3">
                  <c:v>1.1100000000000001</c:v>
                </c:pt>
                <c:pt idx="4">
                  <c:v>1.1399999999999999</c:v>
                </c:pt>
              </c:numCache>
            </c:numRef>
          </c:val>
          <c:smooth val="0"/>
          <c:extLst>
            <c:ext xmlns:c16="http://schemas.microsoft.com/office/drawing/2014/chart" uri="{C3380CC4-5D6E-409C-BE32-E72D297353CC}">
              <c16:uniqueId val="{00000003-2BB8-47A4-8267-25B4914753B2}"/>
            </c:ext>
          </c:extLst>
        </c:ser>
        <c:ser>
          <c:idx val="2"/>
          <c:order val="2"/>
          <c:tx>
            <c:strRef>
              <c:f>'Trend Analysis'!$D$19:$D$20</c:f>
              <c:strCache>
                <c:ptCount val="2"/>
                <c:pt idx="0">
                  <c:v>Leverage Ratios</c:v>
                </c:pt>
                <c:pt idx="1">
                  <c:v>Equity Ratio</c:v>
                </c:pt>
              </c:strCache>
            </c:strRef>
          </c:tx>
          <c:spPr>
            <a:ln w="22225" cap="rnd" cmpd="sng" algn="ctr">
              <a:solidFill>
                <a:schemeClr val="accent4"/>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4"/>
                </a:solidFill>
              </a:ln>
              <a:effectLst/>
            </c:spPr>
            <c:trendlineType val="linear"/>
            <c:dispRSqr val="0"/>
            <c:dispEq val="0"/>
          </c:trendline>
          <c:cat>
            <c:numRef>
              <c:f>'Trend Analysis'!$A$21:$A$25</c:f>
              <c:numCache>
                <c:formatCode>General</c:formatCode>
                <c:ptCount val="5"/>
                <c:pt idx="0">
                  <c:v>2021</c:v>
                </c:pt>
                <c:pt idx="1">
                  <c:v>2022</c:v>
                </c:pt>
                <c:pt idx="2">
                  <c:v>2023</c:v>
                </c:pt>
                <c:pt idx="3">
                  <c:v>2024</c:v>
                </c:pt>
                <c:pt idx="4">
                  <c:v>2025</c:v>
                </c:pt>
              </c:numCache>
            </c:numRef>
          </c:cat>
          <c:val>
            <c:numRef>
              <c:f>'Trend Analysis'!$D$21:$D$25</c:f>
              <c:numCache>
                <c:formatCode>General</c:formatCode>
                <c:ptCount val="5"/>
                <c:pt idx="0">
                  <c:v>1</c:v>
                </c:pt>
                <c:pt idx="1">
                  <c:v>1</c:v>
                </c:pt>
                <c:pt idx="2">
                  <c:v>1</c:v>
                </c:pt>
                <c:pt idx="3">
                  <c:v>1</c:v>
                </c:pt>
                <c:pt idx="4">
                  <c:v>1</c:v>
                </c:pt>
              </c:numCache>
            </c:numRef>
          </c:val>
          <c:smooth val="0"/>
          <c:extLst>
            <c:ext xmlns:c16="http://schemas.microsoft.com/office/drawing/2014/chart" uri="{C3380CC4-5D6E-409C-BE32-E72D297353CC}">
              <c16:uniqueId val="{00000005-2BB8-47A4-8267-25B4914753B2}"/>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50857552"/>
        <c:axId val="550857880"/>
      </c:lineChart>
      <c:catAx>
        <c:axId val="55085755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50857880"/>
        <c:crosses val="autoZero"/>
        <c:auto val="1"/>
        <c:lblAlgn val="ctr"/>
        <c:lblOffset val="100"/>
        <c:noMultiLvlLbl val="0"/>
      </c:catAx>
      <c:valAx>
        <c:axId val="550857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50857552"/>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Trend of Efficiency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IN"/>
        </a:p>
      </c:txPr>
    </c:title>
    <c:autoTitleDeleted val="0"/>
    <c:plotArea>
      <c:layout/>
      <c:lineChart>
        <c:grouping val="standard"/>
        <c:varyColors val="0"/>
        <c:ser>
          <c:idx val="0"/>
          <c:order val="0"/>
          <c:tx>
            <c:strRef>
              <c:f>'Trend Analysis'!$B$28:$B$29</c:f>
              <c:strCache>
                <c:ptCount val="2"/>
                <c:pt idx="0">
                  <c:v>Efficiency Ratios</c:v>
                </c:pt>
                <c:pt idx="1">
                  <c:v>Inventory Turnover</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1"/>
                </a:solidFill>
              </a:ln>
              <a:effectLst/>
            </c:spPr>
            <c:trendlineType val="linear"/>
            <c:dispRSqr val="0"/>
            <c:dispEq val="0"/>
          </c:trendline>
          <c:cat>
            <c:numRef>
              <c:f>'Trend Analysis'!$A$30:$A$34</c:f>
              <c:numCache>
                <c:formatCode>General</c:formatCode>
                <c:ptCount val="5"/>
                <c:pt idx="0">
                  <c:v>2021</c:v>
                </c:pt>
                <c:pt idx="1">
                  <c:v>2022</c:v>
                </c:pt>
                <c:pt idx="2">
                  <c:v>2023</c:v>
                </c:pt>
                <c:pt idx="3">
                  <c:v>2024</c:v>
                </c:pt>
                <c:pt idx="4">
                  <c:v>2025</c:v>
                </c:pt>
              </c:numCache>
            </c:numRef>
          </c:cat>
          <c:val>
            <c:numRef>
              <c:f>'Trend Analysis'!$B$30:$B$34</c:f>
              <c:numCache>
                <c:formatCode>General</c:formatCode>
                <c:ptCount val="5"/>
                <c:pt idx="0">
                  <c:v>55.21</c:v>
                </c:pt>
                <c:pt idx="1">
                  <c:v>88.4</c:v>
                </c:pt>
                <c:pt idx="2">
                  <c:v>101.77</c:v>
                </c:pt>
                <c:pt idx="3">
                  <c:v>85.37</c:v>
                </c:pt>
                <c:pt idx="4">
                  <c:v>82.61</c:v>
                </c:pt>
              </c:numCache>
            </c:numRef>
          </c:val>
          <c:smooth val="0"/>
          <c:extLst>
            <c:ext xmlns:c16="http://schemas.microsoft.com/office/drawing/2014/chart" uri="{C3380CC4-5D6E-409C-BE32-E72D297353CC}">
              <c16:uniqueId val="{00000001-33BC-42DB-9FB4-65CAE0048912}"/>
            </c:ext>
          </c:extLst>
        </c:ser>
        <c:ser>
          <c:idx val="1"/>
          <c:order val="1"/>
          <c:tx>
            <c:strRef>
              <c:f>'Trend Analysis'!$C$28:$C$29</c:f>
              <c:strCache>
                <c:ptCount val="2"/>
                <c:pt idx="0">
                  <c:v>Efficiency Ratios</c:v>
                </c:pt>
                <c:pt idx="1">
                  <c:v>Receivable Turnover</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trendline>
            <c:spPr>
              <a:ln w="19050" cap="rnd">
                <a:solidFill>
                  <a:schemeClr val="accent2"/>
                </a:solidFill>
              </a:ln>
              <a:effectLst/>
            </c:spPr>
            <c:trendlineType val="linear"/>
            <c:dispRSqr val="0"/>
            <c:dispEq val="0"/>
          </c:trendline>
          <c:cat>
            <c:numRef>
              <c:f>'Trend Analysis'!$A$30:$A$34</c:f>
              <c:numCache>
                <c:formatCode>General</c:formatCode>
                <c:ptCount val="5"/>
                <c:pt idx="0">
                  <c:v>2021</c:v>
                </c:pt>
                <c:pt idx="1">
                  <c:v>2022</c:v>
                </c:pt>
                <c:pt idx="2">
                  <c:v>2023</c:v>
                </c:pt>
                <c:pt idx="3">
                  <c:v>2024</c:v>
                </c:pt>
                <c:pt idx="4">
                  <c:v>2025</c:v>
                </c:pt>
              </c:numCache>
            </c:numRef>
          </c:cat>
          <c:val>
            <c:numRef>
              <c:f>'Trend Analysis'!$C$30:$C$34</c:f>
              <c:numCache>
                <c:formatCode>General</c:formatCode>
                <c:ptCount val="5"/>
                <c:pt idx="0">
                  <c:v>6.99</c:v>
                </c:pt>
                <c:pt idx="1">
                  <c:v>8.08</c:v>
                </c:pt>
                <c:pt idx="2">
                  <c:v>8.74</c:v>
                </c:pt>
                <c:pt idx="3">
                  <c:v>8.98</c:v>
                </c:pt>
                <c:pt idx="4">
                  <c:v>9</c:v>
                </c:pt>
              </c:numCache>
            </c:numRef>
          </c:val>
          <c:smooth val="0"/>
          <c:extLst>
            <c:ext xmlns:c16="http://schemas.microsoft.com/office/drawing/2014/chart" uri="{C3380CC4-5D6E-409C-BE32-E72D297353CC}">
              <c16:uniqueId val="{00000003-33BC-42DB-9FB4-65CAE0048912}"/>
            </c:ext>
          </c:extLst>
        </c:ser>
        <c:dLbls>
          <c:dLblPos val="ctr"/>
          <c:showLegendKey val="0"/>
          <c:showVal val="1"/>
          <c:showCatName val="0"/>
          <c:showSerName val="0"/>
          <c:showPercent val="0"/>
          <c:showBubbleSize val="0"/>
        </c:dLbls>
        <c:marker val="1"/>
        <c:smooth val="0"/>
        <c:axId val="611191072"/>
        <c:axId val="611192712"/>
      </c:lineChart>
      <c:catAx>
        <c:axId val="6111910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611192712"/>
        <c:crosses val="autoZero"/>
        <c:auto val="1"/>
        <c:lblAlgn val="ctr"/>
        <c:lblOffset val="100"/>
        <c:noMultiLvlLbl val="0"/>
      </c:catAx>
      <c:valAx>
        <c:axId val="6111927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111910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r>
              <a:rPr lang="en-IN"/>
              <a:t>Trend of Investment Ratio</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Arial" panose="020B0604020202020204" pitchFamily="34" charset="0"/>
              <a:ea typeface="+mj-ea"/>
              <a:cs typeface="Arial" panose="020B0604020202020204" pitchFamily="34" charset="0"/>
            </a:defRPr>
          </a:pPr>
          <a:endParaRPr lang="en-IN"/>
        </a:p>
      </c:txPr>
    </c:title>
    <c:autoTitleDeleted val="0"/>
    <c:plotArea>
      <c:layout/>
      <c:lineChart>
        <c:grouping val="standard"/>
        <c:varyColors val="0"/>
        <c:ser>
          <c:idx val="0"/>
          <c:order val="0"/>
          <c:tx>
            <c:strRef>
              <c:f>'Trend Analysis'!$B$37:$B$38</c:f>
              <c:strCache>
                <c:ptCount val="2"/>
                <c:pt idx="0">
                  <c:v>Investment Ratios</c:v>
                </c:pt>
                <c:pt idx="1">
                  <c:v>Earnings per Share (EPS)</c:v>
                </c:pt>
              </c:strCache>
            </c:strRef>
          </c:tx>
          <c:spPr>
            <a:ln w="22225" cap="rnd">
              <a:solidFill>
                <a:schemeClr val="accent2">
                  <a:shade val="76000"/>
                </a:schemeClr>
              </a:solidFill>
              <a:round/>
            </a:ln>
            <a:effectLst/>
          </c:spPr>
          <c:marker>
            <c:symbol val="none"/>
          </c:marker>
          <c:trendline>
            <c:spPr>
              <a:ln w="19050" cap="rnd">
                <a:solidFill>
                  <a:schemeClr val="accent2">
                    <a:shade val="76000"/>
                  </a:schemeClr>
                </a:solidFill>
              </a:ln>
              <a:effectLst/>
            </c:spPr>
            <c:trendlineType val="linear"/>
            <c:dispRSqr val="0"/>
            <c:dispEq val="0"/>
          </c:trendline>
          <c:cat>
            <c:numRef>
              <c:f>'Trend Analysis'!$A$39:$A$43</c:f>
              <c:numCache>
                <c:formatCode>General</c:formatCode>
                <c:ptCount val="5"/>
                <c:pt idx="0">
                  <c:v>2021</c:v>
                </c:pt>
                <c:pt idx="1">
                  <c:v>2022</c:v>
                </c:pt>
                <c:pt idx="2">
                  <c:v>2023</c:v>
                </c:pt>
                <c:pt idx="3">
                  <c:v>2024</c:v>
                </c:pt>
                <c:pt idx="4">
                  <c:v>2025</c:v>
                </c:pt>
              </c:numCache>
            </c:numRef>
          </c:cat>
          <c:val>
            <c:numRef>
              <c:f>'Trend Analysis'!$B$39:$B$43</c:f>
              <c:numCache>
                <c:formatCode>General</c:formatCode>
                <c:ptCount val="5"/>
                <c:pt idx="0">
                  <c:v>3.36</c:v>
                </c:pt>
                <c:pt idx="1">
                  <c:v>7.6</c:v>
                </c:pt>
                <c:pt idx="2">
                  <c:v>10.6</c:v>
                </c:pt>
                <c:pt idx="3">
                  <c:v>8.5</c:v>
                </c:pt>
                <c:pt idx="4">
                  <c:v>9.6999999999999993</c:v>
                </c:pt>
              </c:numCache>
            </c:numRef>
          </c:val>
          <c:smooth val="0"/>
          <c:extLst>
            <c:ext xmlns:c16="http://schemas.microsoft.com/office/drawing/2014/chart" uri="{C3380CC4-5D6E-409C-BE32-E72D297353CC}">
              <c16:uniqueId val="{00000001-0924-4CE8-A11D-3720948E5C60}"/>
            </c:ext>
          </c:extLst>
        </c:ser>
        <c:ser>
          <c:idx val="1"/>
          <c:order val="1"/>
          <c:tx>
            <c:strRef>
              <c:f>'Trend Analysis'!$C$37:$C$38</c:f>
              <c:strCache>
                <c:ptCount val="2"/>
                <c:pt idx="0">
                  <c:v>Investment Ratios</c:v>
                </c:pt>
                <c:pt idx="1">
                  <c:v>Price–Earnings Ratio (P/E)</c:v>
                </c:pt>
              </c:strCache>
            </c:strRef>
          </c:tx>
          <c:spPr>
            <a:ln w="22225" cap="rnd">
              <a:solidFill>
                <a:schemeClr val="accent2">
                  <a:tint val="77000"/>
                </a:schemeClr>
              </a:solidFill>
              <a:round/>
            </a:ln>
            <a:effectLst/>
          </c:spPr>
          <c:marker>
            <c:symbol val="none"/>
          </c:marker>
          <c:trendline>
            <c:spPr>
              <a:ln w="19050" cap="rnd">
                <a:solidFill>
                  <a:schemeClr val="accent2">
                    <a:tint val="77000"/>
                  </a:schemeClr>
                </a:solidFill>
              </a:ln>
              <a:effectLst/>
            </c:spPr>
            <c:trendlineType val="linear"/>
            <c:dispRSqr val="0"/>
            <c:dispEq val="0"/>
          </c:trendline>
          <c:cat>
            <c:numRef>
              <c:f>'Trend Analysis'!$A$39:$A$43</c:f>
              <c:numCache>
                <c:formatCode>General</c:formatCode>
                <c:ptCount val="5"/>
                <c:pt idx="0">
                  <c:v>2021</c:v>
                </c:pt>
                <c:pt idx="1">
                  <c:v>2022</c:v>
                </c:pt>
                <c:pt idx="2">
                  <c:v>2023</c:v>
                </c:pt>
                <c:pt idx="3">
                  <c:v>2024</c:v>
                </c:pt>
                <c:pt idx="4">
                  <c:v>2025</c:v>
                </c:pt>
              </c:numCache>
            </c:numRef>
          </c:cat>
          <c:val>
            <c:numRef>
              <c:f>'Trend Analysis'!$C$39:$C$43</c:f>
              <c:numCache>
                <c:formatCode>General</c:formatCode>
                <c:ptCount val="5"/>
                <c:pt idx="0">
                  <c:v>50.5</c:v>
                </c:pt>
                <c:pt idx="1">
                  <c:v>19.600000000000001</c:v>
                </c:pt>
                <c:pt idx="2">
                  <c:v>21.5</c:v>
                </c:pt>
                <c:pt idx="3">
                  <c:v>32.049999999999997</c:v>
                </c:pt>
                <c:pt idx="4">
                  <c:v>31.59</c:v>
                </c:pt>
              </c:numCache>
            </c:numRef>
          </c:val>
          <c:smooth val="0"/>
          <c:extLst>
            <c:ext xmlns:c16="http://schemas.microsoft.com/office/drawing/2014/chart" uri="{C3380CC4-5D6E-409C-BE32-E72D297353CC}">
              <c16:uniqueId val="{00000003-0924-4CE8-A11D-3720948E5C60}"/>
            </c:ext>
          </c:extLst>
        </c:ser>
        <c:dLbls>
          <c:showLegendKey val="0"/>
          <c:showVal val="0"/>
          <c:showCatName val="0"/>
          <c:showSerName val="0"/>
          <c:showPercent val="0"/>
          <c:showBubbleSize val="0"/>
        </c:dLbls>
        <c:smooth val="0"/>
        <c:axId val="553869712"/>
        <c:axId val="553870040"/>
      </c:lineChart>
      <c:catAx>
        <c:axId val="553869712"/>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53870040"/>
        <c:crosses val="autoZero"/>
        <c:auto val="1"/>
        <c:lblAlgn val="ctr"/>
        <c:lblOffset val="100"/>
        <c:noMultiLvlLbl val="0"/>
      </c:catAx>
      <c:valAx>
        <c:axId val="553870040"/>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crossAx val="55386971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Trend of Cash Flow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lineChart>
        <c:grouping val="standard"/>
        <c:varyColors val="0"/>
        <c:ser>
          <c:idx val="0"/>
          <c:order val="0"/>
          <c:tx>
            <c:strRef>
              <c:f>'Trend Analysis'!$B$46:$B$47</c:f>
              <c:strCache>
                <c:ptCount val="2"/>
                <c:pt idx="0">
                  <c:v>Cash Flow Ratios</c:v>
                </c:pt>
                <c:pt idx="1">
                  <c:v>Operating Cash Flow Ratio (OCF/CL)</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'Trend Analysis'!$A$48:$A$52</c:f>
              <c:numCache>
                <c:formatCode>General</c:formatCode>
                <c:ptCount val="5"/>
                <c:pt idx="0">
                  <c:v>2021</c:v>
                </c:pt>
                <c:pt idx="1">
                  <c:v>2022</c:v>
                </c:pt>
                <c:pt idx="2">
                  <c:v>2023</c:v>
                </c:pt>
                <c:pt idx="3">
                  <c:v>2024</c:v>
                </c:pt>
                <c:pt idx="4">
                  <c:v>2025</c:v>
                </c:pt>
              </c:numCache>
            </c:numRef>
          </c:cat>
          <c:val>
            <c:numRef>
              <c:f>'Trend Analysis'!$B$48:$B$52</c:f>
              <c:numCache>
                <c:formatCode>General</c:formatCode>
                <c:ptCount val="5"/>
                <c:pt idx="0">
                  <c:v>0.18</c:v>
                </c:pt>
                <c:pt idx="1">
                  <c:v>0.32</c:v>
                </c:pt>
                <c:pt idx="2">
                  <c:v>0.4</c:v>
                </c:pt>
                <c:pt idx="3">
                  <c:v>0.31</c:v>
                </c:pt>
                <c:pt idx="4">
                  <c:v>0.38</c:v>
                </c:pt>
              </c:numCache>
            </c:numRef>
          </c:val>
          <c:smooth val="0"/>
          <c:extLst>
            <c:ext xmlns:c16="http://schemas.microsoft.com/office/drawing/2014/chart" uri="{C3380CC4-5D6E-409C-BE32-E72D297353CC}">
              <c16:uniqueId val="{00000001-C00A-4F9B-AF4A-5415A4A96D12}"/>
            </c:ext>
          </c:extLst>
        </c:ser>
        <c:ser>
          <c:idx val="1"/>
          <c:order val="1"/>
          <c:tx>
            <c:strRef>
              <c:f>'Trend Analysis'!$C$46:$C$47</c:f>
              <c:strCache>
                <c:ptCount val="2"/>
                <c:pt idx="0">
                  <c:v>Cash Flow Ratios</c:v>
                </c:pt>
                <c:pt idx="1">
                  <c:v>Cash Flow to Debt Ratio</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0"/>
            <c:dispEq val="0"/>
          </c:trendline>
          <c:cat>
            <c:numRef>
              <c:f>'Trend Analysis'!$A$48:$A$52</c:f>
              <c:numCache>
                <c:formatCode>General</c:formatCode>
                <c:ptCount val="5"/>
                <c:pt idx="0">
                  <c:v>2021</c:v>
                </c:pt>
                <c:pt idx="1">
                  <c:v>2022</c:v>
                </c:pt>
                <c:pt idx="2">
                  <c:v>2023</c:v>
                </c:pt>
                <c:pt idx="3">
                  <c:v>2024</c:v>
                </c:pt>
                <c:pt idx="4">
                  <c:v>2025</c:v>
                </c:pt>
              </c:numCache>
            </c:numRef>
          </c:cat>
          <c:val>
            <c:numRef>
              <c:f>'Trend Analysis'!$C$48:$C$52</c:f>
              <c:numCache>
                <c:formatCode>General</c:formatCode>
                <c:ptCount val="5"/>
                <c:pt idx="0">
                  <c:v>1.8000000000000001E-4</c:v>
                </c:pt>
                <c:pt idx="1">
                  <c:v>3.1999999999999999E-5</c:v>
                </c:pt>
                <c:pt idx="2">
                  <c:v>3.4E-5</c:v>
                </c:pt>
                <c:pt idx="3">
                  <c:v>2.1999999999999999E-5</c:v>
                </c:pt>
                <c:pt idx="4">
                  <c:v>2.4000000000000001E-5</c:v>
                </c:pt>
              </c:numCache>
            </c:numRef>
          </c:val>
          <c:smooth val="0"/>
          <c:extLst>
            <c:ext xmlns:c16="http://schemas.microsoft.com/office/drawing/2014/chart" uri="{C3380CC4-5D6E-409C-BE32-E72D297353CC}">
              <c16:uniqueId val="{00000003-C00A-4F9B-AF4A-5415A4A96D12}"/>
            </c:ext>
          </c:extLst>
        </c:ser>
        <c:dLbls>
          <c:dLblPos val="ctr"/>
          <c:showLegendKey val="0"/>
          <c:showVal val="1"/>
          <c:showCatName val="0"/>
          <c:showSerName val="0"/>
          <c:showPercent val="0"/>
          <c:showBubbleSize val="0"/>
        </c:dLbls>
        <c:smooth val="0"/>
        <c:axId val="496396224"/>
        <c:axId val="496397536"/>
      </c:lineChart>
      <c:catAx>
        <c:axId val="496396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96397536"/>
        <c:crosses val="autoZero"/>
        <c:auto val="1"/>
        <c:lblAlgn val="ctr"/>
        <c:lblOffset val="100"/>
        <c:noMultiLvlLbl val="0"/>
      </c:catAx>
      <c:valAx>
        <c:axId val="496397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96396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CCC!$A$14</c:f>
              <c:strCache>
                <c:ptCount val="1"/>
                <c:pt idx="0">
                  <c:v>Cash Conversion Cycle (Inventory Days + Receivable Days + Payable Days) </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CCC!$B$13:$F$13</c:f>
              <c:numCache>
                <c:formatCode>General</c:formatCode>
                <c:ptCount val="5"/>
                <c:pt idx="0">
                  <c:v>2025</c:v>
                </c:pt>
                <c:pt idx="1">
                  <c:v>2024</c:v>
                </c:pt>
                <c:pt idx="2">
                  <c:v>2023</c:v>
                </c:pt>
                <c:pt idx="3">
                  <c:v>2022</c:v>
                </c:pt>
                <c:pt idx="4">
                  <c:v>2021</c:v>
                </c:pt>
              </c:numCache>
            </c:numRef>
          </c:cat>
          <c:val>
            <c:numRef>
              <c:f>CCC!$B$14:$F$14</c:f>
              <c:numCache>
                <c:formatCode>General</c:formatCode>
                <c:ptCount val="5"/>
                <c:pt idx="0">
                  <c:v>112.41</c:v>
                </c:pt>
                <c:pt idx="1">
                  <c:v>116.52000000000001</c:v>
                </c:pt>
                <c:pt idx="2">
                  <c:v>128.57</c:v>
                </c:pt>
                <c:pt idx="3">
                  <c:v>142.79000000000002</c:v>
                </c:pt>
                <c:pt idx="4">
                  <c:v>159.94999999999999</c:v>
                </c:pt>
              </c:numCache>
            </c:numRef>
          </c:val>
          <c:extLst>
            <c:ext xmlns:c16="http://schemas.microsoft.com/office/drawing/2014/chart" uri="{C3380CC4-5D6E-409C-BE32-E72D297353CC}">
              <c16:uniqueId val="{00000000-A4A9-453F-8440-CA19C08902C1}"/>
            </c:ext>
          </c:extLst>
        </c:ser>
        <c:dLbls>
          <c:dLblPos val="inEnd"/>
          <c:showLegendKey val="0"/>
          <c:showVal val="1"/>
          <c:showCatName val="0"/>
          <c:showSerName val="0"/>
          <c:showPercent val="0"/>
          <c:showBubbleSize val="0"/>
        </c:dLbls>
        <c:gapWidth val="100"/>
        <c:overlap val="-24"/>
        <c:axId val="479001936"/>
        <c:axId val="479003248"/>
      </c:barChart>
      <c:catAx>
        <c:axId val="479001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crossAx val="479003248"/>
        <c:crosses val="autoZero"/>
        <c:auto val="1"/>
        <c:lblAlgn val="ctr"/>
        <c:lblOffset val="100"/>
        <c:noMultiLvlLbl val="0"/>
      </c:catAx>
      <c:valAx>
        <c:axId val="479003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crossAx val="479001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withinLinear" id="15">
  <a:schemeClr val="accent2"/>
</cs:colorStyle>
</file>

<file path=word/charts/colors1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8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spPr>
      <a:ln w="9525" cap="flat" cmpd="sng" algn="ctr">
        <a:solidFill>
          <a:schemeClr val="tx2">
            <a:lumMod val="40000"/>
            <a:lumOff val="60000"/>
          </a:schemeClr>
        </a:solidFill>
        <a:round/>
      </a:ln>
    </cs:spPr>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9FCBA-13DF-4B3A-9930-63B4EEDE9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8484</Words>
  <Characters>48361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Sajan Vekariya</dc:creator>
  <cp:keywords/>
  <dc:description/>
  <cp:lastModifiedBy>Sajan Vekariya</cp:lastModifiedBy>
  <cp:revision>2</cp:revision>
  <dcterms:created xsi:type="dcterms:W3CDTF">2026-08-13T01:41:00Z</dcterms:created>
  <dcterms:modified xsi:type="dcterms:W3CDTF">2026-08-13T01:41:00Z</dcterms:modified>
</cp:coreProperties>
</file>