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A5ACE" w14:textId="56BEA08F" w:rsidR="001277AB" w:rsidRPr="001277AB" w:rsidRDefault="001277AB" w:rsidP="001277AB">
      <w:pPr>
        <w:spacing w:line="360" w:lineRule="auto"/>
        <w:jc w:val="both"/>
        <w:rPr>
          <w:rFonts w:asciiTheme="minorHAnsi" w:eastAsia="Times New Roman" w:hAnsiTheme="minorHAnsi" w:cstheme="minorHAnsi"/>
          <w:color w:val="auto"/>
        </w:rPr>
      </w:pPr>
      <w:r w:rsidRPr="001277AB">
        <w:rPr>
          <w:rFonts w:asciiTheme="minorHAnsi" w:eastAsia="Times New Roman" w:hAnsiTheme="minorHAnsi" w:cstheme="minorHAnsi"/>
          <w:b/>
          <w:bCs/>
          <w:color w:val="auto"/>
        </w:rPr>
        <w:t>INTRODUCTION</w:t>
      </w:r>
      <w:r w:rsidRPr="001277AB">
        <w:rPr>
          <w:rFonts w:asciiTheme="minorHAnsi" w:eastAsia="Times New Roman" w:hAnsiTheme="minorHAnsi" w:cstheme="minorHAnsi"/>
          <w:color w:val="auto"/>
        </w:rPr>
        <w:t xml:space="preserve"> </w:t>
      </w:r>
    </w:p>
    <w:p w14:paraId="6D7A6B6C" w14:textId="77777777" w:rsidR="001277AB" w:rsidRPr="001277AB" w:rsidRDefault="001277AB" w:rsidP="001277AB">
      <w:pPr>
        <w:spacing w:line="360" w:lineRule="auto"/>
        <w:jc w:val="both"/>
        <w:rPr>
          <w:rFonts w:asciiTheme="minorHAnsi" w:hAnsiTheme="minorHAnsi" w:cstheme="minorHAnsi"/>
          <w:color w:val="auto"/>
        </w:rPr>
      </w:pPr>
    </w:p>
    <w:p w14:paraId="0C77FF3B" w14:textId="77777777" w:rsidR="001277AB" w:rsidRPr="001277AB" w:rsidRDefault="001277AB" w:rsidP="001277AB">
      <w:pPr>
        <w:spacing w:line="360" w:lineRule="auto"/>
        <w:jc w:val="both"/>
        <w:rPr>
          <w:rFonts w:asciiTheme="minorHAnsi" w:hAnsiTheme="minorHAnsi" w:cstheme="minorHAnsi"/>
          <w:color w:val="auto"/>
        </w:rPr>
      </w:pPr>
      <w:r w:rsidRPr="001277AB">
        <w:rPr>
          <w:rFonts w:asciiTheme="minorHAnsi" w:hAnsiTheme="minorHAnsi" w:cstheme="minorHAnsi"/>
          <w:color w:val="auto"/>
        </w:rPr>
        <w:t xml:space="preserve">As required by the assignment, I took a passive role in a classroom to observe a live lesson and recognise a critical incident which I will research and evaluate in relation to pupil’s progress. I will use my findings to expand my professional development and apply it to my future practice. </w:t>
      </w:r>
    </w:p>
    <w:p w14:paraId="72872A9C" w14:textId="77777777" w:rsidR="001277AB" w:rsidRPr="001277AB" w:rsidRDefault="001277AB" w:rsidP="001277AB">
      <w:pPr>
        <w:spacing w:line="360" w:lineRule="auto"/>
        <w:jc w:val="both"/>
        <w:rPr>
          <w:rFonts w:asciiTheme="minorHAnsi" w:hAnsiTheme="minorHAnsi" w:cstheme="minorHAnsi"/>
          <w:color w:val="auto"/>
        </w:rPr>
      </w:pPr>
      <w:r w:rsidRPr="001277AB">
        <w:rPr>
          <w:rFonts w:asciiTheme="minorHAnsi" w:hAnsiTheme="minorHAnsi" w:cstheme="minorHAnsi"/>
          <w:color w:val="auto"/>
        </w:rPr>
        <w:t>From the observation I have identified the lesson strategy I do, We do, You do which led me to the ‘gradual release of responsibility’ model (Pearson and Gallagher (1983). At the core of this strategy lies the social constructivism theory, I will analyse how theory helped mold this framework, find its strengths and explore why it’s such a popular practice in teaching. From there I will consider how relevant this traditional approach to teaching is in the modern-day classroom and discuss if its suitable within Donaldson (2015) four purposes of the curriculum for Wales and an inclusive education.</w:t>
      </w:r>
    </w:p>
    <w:p w14:paraId="467A9B02" w14:textId="77777777" w:rsidR="001277AB" w:rsidRPr="001277AB" w:rsidRDefault="001277AB" w:rsidP="001277AB">
      <w:pPr>
        <w:spacing w:line="360" w:lineRule="auto"/>
        <w:jc w:val="both"/>
        <w:rPr>
          <w:rFonts w:asciiTheme="minorHAnsi" w:hAnsiTheme="minorHAnsi" w:cstheme="minorHAnsi"/>
          <w:color w:val="auto"/>
        </w:rPr>
      </w:pPr>
    </w:p>
    <w:p w14:paraId="68996AC6" w14:textId="1A5F87FD" w:rsidR="001277AB" w:rsidRPr="001277AB" w:rsidRDefault="001F6B57" w:rsidP="001277AB">
      <w:pPr>
        <w:spacing w:line="360" w:lineRule="auto"/>
        <w:jc w:val="both"/>
        <w:rPr>
          <w:rFonts w:asciiTheme="minorHAnsi" w:hAnsiTheme="minorHAnsi" w:cstheme="minorHAnsi"/>
          <w:color w:val="auto"/>
        </w:rPr>
      </w:pPr>
      <w:r>
        <w:rPr>
          <w:rFonts w:asciiTheme="minorHAnsi" w:hAnsiTheme="minorHAnsi" w:cstheme="minorHAnsi"/>
          <w:b/>
          <w:bCs/>
          <w:color w:val="auto"/>
        </w:rPr>
        <w:t>THE ROLE OF CRITICAL REFLECTION</w:t>
      </w:r>
    </w:p>
    <w:p w14:paraId="60A21FF8" w14:textId="77777777" w:rsidR="001277AB" w:rsidRPr="001277AB" w:rsidRDefault="001277AB" w:rsidP="001277AB">
      <w:pPr>
        <w:spacing w:line="360" w:lineRule="auto"/>
        <w:jc w:val="both"/>
        <w:rPr>
          <w:rFonts w:asciiTheme="minorHAnsi" w:hAnsiTheme="minorHAnsi" w:cstheme="minorHAnsi"/>
          <w:color w:val="auto"/>
        </w:rPr>
      </w:pPr>
    </w:p>
    <w:p w14:paraId="46B15877" w14:textId="77777777" w:rsidR="001277AB" w:rsidRPr="001277AB" w:rsidRDefault="001277AB" w:rsidP="001277AB">
      <w:pPr>
        <w:spacing w:line="360" w:lineRule="auto"/>
        <w:jc w:val="both"/>
        <w:rPr>
          <w:rFonts w:asciiTheme="minorHAnsi" w:hAnsiTheme="minorHAnsi" w:cstheme="minorHAnsi"/>
          <w:color w:val="auto"/>
        </w:rPr>
      </w:pPr>
      <w:r w:rsidRPr="001277AB">
        <w:rPr>
          <w:rFonts w:asciiTheme="minorHAnsi" w:hAnsiTheme="minorHAnsi" w:cstheme="minorHAnsi"/>
          <w:color w:val="auto"/>
        </w:rPr>
        <w:t xml:space="preserve">Considering the recent reform in education in Wales and the influence of Graham Donaldson’s Successful Futures (2015), the new Welsh curriculum framework has been created to support young people to develop the skills they need to make the most of life, to become confident, capable and compassionate citizens – citizens of Wales and citizens of the world. To achieve this, all practitioners will work to the new Professional Standards for Teaching and Leadership which embody the “skills, knowledge and behaviours that characterise excellent practice and support professional growth” (Welsh Government 2021). There is huge importance for ITE students to engage with their professional learning and the realise how it supports their work in relation to the professional standards. A vital part of this learning is professional reflection which will develop critical thinking and evaluation and to develop a more integrated approach to learning. </w:t>
      </w:r>
    </w:p>
    <w:p w14:paraId="1C9BB23C" w14:textId="7BAD41BA" w:rsidR="001277AB" w:rsidRPr="001277AB" w:rsidRDefault="001277AB" w:rsidP="001277AB">
      <w:pPr>
        <w:spacing w:line="360" w:lineRule="auto"/>
        <w:jc w:val="both"/>
        <w:rPr>
          <w:rFonts w:asciiTheme="minorHAnsi" w:hAnsiTheme="minorHAnsi" w:cstheme="minorHAnsi"/>
          <w:color w:val="auto"/>
        </w:rPr>
      </w:pPr>
      <w:r w:rsidRPr="001277AB">
        <w:rPr>
          <w:rFonts w:asciiTheme="minorHAnsi" w:hAnsiTheme="minorHAnsi" w:cstheme="minorHAnsi"/>
          <w:color w:val="auto"/>
        </w:rPr>
        <w:t xml:space="preserve">Practitioners will use critical reflection to customise their teaching approaches to pupil needs and evaluate their success on pupils’ progress which will inform future teaching and learning. Great importance in the curriculum framework is based on assessment for learners and therefore practitioners too. </w:t>
      </w:r>
      <w:r w:rsidRPr="001277AB">
        <w:rPr>
          <w:rFonts w:asciiTheme="minorHAnsi" w:hAnsiTheme="minorHAnsi" w:cstheme="minorHAnsi"/>
          <w:color w:val="auto"/>
          <w:shd w:val="clear" w:color="auto" w:fill="FFFFFF"/>
        </w:rPr>
        <w:t xml:space="preserve"> “If we teach the students how to evaluate their own learning, </w:t>
      </w:r>
      <w:r w:rsidRPr="001277AB">
        <w:rPr>
          <w:rFonts w:asciiTheme="minorHAnsi" w:hAnsiTheme="minorHAnsi" w:cstheme="minorHAnsi"/>
          <w:color w:val="auto"/>
          <w:shd w:val="clear" w:color="auto" w:fill="FFFFFF"/>
        </w:rPr>
        <w:lastRenderedPageBreak/>
        <w:t xml:space="preserve">that’s what the key </w:t>
      </w:r>
      <w:r w:rsidRPr="001277AB">
        <w:rPr>
          <w:rFonts w:asciiTheme="minorHAnsi" w:hAnsiTheme="minorHAnsi" w:cstheme="minorHAnsi"/>
          <w:color w:val="auto"/>
          <w:shd w:val="clear" w:color="auto" w:fill="FFFFFF"/>
        </w:rPr>
        <w:t>to</w:t>
      </w:r>
      <w:r w:rsidRPr="001277AB">
        <w:rPr>
          <w:rFonts w:asciiTheme="minorHAnsi" w:hAnsiTheme="minorHAnsi" w:cstheme="minorHAnsi"/>
          <w:color w:val="auto"/>
          <w:shd w:val="clear" w:color="auto" w:fill="FFFFFF"/>
        </w:rPr>
        <w:t xml:space="preserve"> formative assessment is. And of course, if you’re going to teach the students that, the teachers have to know it to teach the students” (Hattie 2012).</w:t>
      </w:r>
      <w:r w:rsidRPr="001277AB">
        <w:rPr>
          <w:rFonts w:asciiTheme="minorHAnsi" w:hAnsiTheme="minorHAnsi" w:cstheme="minorHAnsi"/>
          <w:color w:val="auto"/>
        </w:rPr>
        <w:t xml:space="preserve"> </w:t>
      </w:r>
    </w:p>
    <w:p w14:paraId="1C117BF2" w14:textId="77777777" w:rsidR="001277AB" w:rsidRPr="001277AB" w:rsidRDefault="001277AB" w:rsidP="001277AB">
      <w:pPr>
        <w:spacing w:line="360" w:lineRule="auto"/>
        <w:jc w:val="both"/>
        <w:rPr>
          <w:rFonts w:asciiTheme="minorHAnsi" w:hAnsiTheme="minorHAnsi" w:cstheme="minorHAnsi"/>
          <w:color w:val="auto"/>
        </w:rPr>
      </w:pPr>
    </w:p>
    <w:p w14:paraId="65CCA5B7" w14:textId="77777777" w:rsidR="001277AB" w:rsidRPr="001277AB" w:rsidRDefault="001277AB" w:rsidP="001277AB">
      <w:pPr>
        <w:spacing w:line="360" w:lineRule="auto"/>
        <w:jc w:val="both"/>
        <w:rPr>
          <w:rFonts w:asciiTheme="minorHAnsi" w:hAnsiTheme="minorHAnsi" w:cstheme="minorHAnsi"/>
          <w:color w:val="auto"/>
          <w:shd w:val="clear" w:color="auto" w:fill="FFFFFF"/>
        </w:rPr>
      </w:pPr>
      <w:r w:rsidRPr="001277AB">
        <w:rPr>
          <w:rFonts w:asciiTheme="minorHAnsi" w:hAnsiTheme="minorHAnsi" w:cstheme="minorHAnsi"/>
          <w:color w:val="auto"/>
        </w:rPr>
        <w:t>Using theory in reflection helps to adapt and improve practice. It is a teachers own responsibility to oversee their continuous professional learning and get a higher awareness of their own teaching</w:t>
      </w:r>
      <w:r w:rsidRPr="001277AB">
        <w:rPr>
          <w:rFonts w:asciiTheme="minorHAnsi" w:hAnsiTheme="minorHAnsi" w:cstheme="minorHAnsi"/>
          <w:b/>
          <w:bCs/>
          <w:color w:val="auto"/>
        </w:rPr>
        <w:t xml:space="preserve">. </w:t>
      </w:r>
      <w:r w:rsidRPr="001277AB">
        <w:rPr>
          <w:rStyle w:val="Strong"/>
          <w:rFonts w:asciiTheme="minorHAnsi" w:hAnsiTheme="minorHAnsi" w:cstheme="minorHAnsi"/>
          <w:b w:val="0"/>
          <w:bCs w:val="0"/>
          <w:color w:val="auto"/>
          <w:shd w:val="clear" w:color="auto" w:fill="FFFFFF"/>
        </w:rPr>
        <w:t>“Reflecting on what we do is essential to the development of professional judgement, but unless our reflection involves some form of challenge to and critique of ourselves and our professional values, we simply reinforce existing patterns and tendencies” (Tripp, D., 1993, p. 12)</w:t>
      </w:r>
      <w:r w:rsidRPr="001277AB">
        <w:rPr>
          <w:rFonts w:asciiTheme="minorHAnsi" w:hAnsiTheme="minorHAnsi" w:cstheme="minorHAnsi"/>
          <w:b/>
          <w:bCs/>
          <w:color w:val="auto"/>
        </w:rPr>
        <w:t xml:space="preserve"> </w:t>
      </w:r>
      <w:r w:rsidRPr="001277AB">
        <w:rPr>
          <w:rFonts w:asciiTheme="minorHAnsi" w:hAnsiTheme="minorHAnsi" w:cstheme="minorHAnsi"/>
          <w:color w:val="auto"/>
          <w:shd w:val="clear" w:color="auto" w:fill="FFFFFF"/>
        </w:rPr>
        <w:t xml:space="preserve">Tripp is just one of many reflective theorists with reflective models to offer practitioners, there isn’t one perfect model, practitioners should choose the most suitable for their practice. </w:t>
      </w:r>
    </w:p>
    <w:p w14:paraId="76FE3D29" w14:textId="77777777" w:rsidR="001277AB" w:rsidRPr="001277AB" w:rsidRDefault="001277AB" w:rsidP="001277AB">
      <w:pPr>
        <w:spacing w:line="360" w:lineRule="auto"/>
        <w:jc w:val="both"/>
        <w:rPr>
          <w:rFonts w:asciiTheme="minorHAnsi" w:hAnsiTheme="minorHAnsi" w:cstheme="minorHAnsi"/>
          <w:color w:val="auto"/>
        </w:rPr>
      </w:pPr>
      <w:r w:rsidRPr="001277AB">
        <w:rPr>
          <w:rFonts w:asciiTheme="minorHAnsi" w:hAnsiTheme="minorHAnsi" w:cstheme="minorHAnsi"/>
          <w:color w:val="auto"/>
        </w:rPr>
        <w:t xml:space="preserve">There are many theorists with different structured approaches to reflection, while none may be the ‘correct’ way to reflect, using theory in reflection helps to adapt and improve practice. </w:t>
      </w:r>
      <w:r w:rsidRPr="001277AB">
        <w:rPr>
          <w:rFonts w:asciiTheme="minorHAnsi" w:hAnsiTheme="minorHAnsi" w:cstheme="minorHAnsi"/>
          <w:color w:val="auto"/>
          <w:shd w:val="clear" w:color="auto" w:fill="FFFFFF"/>
        </w:rPr>
        <w:t>“The most important attitude that can be formed is that of desire to go on learning.” (Dewey 1933)</w:t>
      </w:r>
    </w:p>
    <w:p w14:paraId="127D4C60" w14:textId="77777777" w:rsidR="001277AB" w:rsidRPr="001277AB" w:rsidRDefault="001277AB" w:rsidP="001277AB">
      <w:pPr>
        <w:spacing w:line="360" w:lineRule="auto"/>
        <w:jc w:val="both"/>
        <w:rPr>
          <w:rFonts w:asciiTheme="minorHAnsi" w:hAnsiTheme="minorHAnsi" w:cstheme="minorHAnsi"/>
          <w:color w:val="auto"/>
        </w:rPr>
      </w:pPr>
      <w:r w:rsidRPr="001277AB">
        <w:rPr>
          <w:rFonts w:asciiTheme="minorHAnsi" w:hAnsiTheme="minorHAnsi" w:cstheme="minorHAnsi"/>
          <w:color w:val="auto"/>
          <w:shd w:val="clear" w:color="auto" w:fill="FFFFFF"/>
        </w:rPr>
        <w:t xml:space="preserve">Schön (1983; 1987) based his theory on two perspectives: reflection-in-action, which is more concerned about thinking through the incident; and reflection-on-action, which is more concerned about contemplation once the practice is concluded. </w:t>
      </w:r>
      <w:r w:rsidRPr="001277AB">
        <w:rPr>
          <w:rFonts w:asciiTheme="minorHAnsi" w:hAnsiTheme="minorHAnsi" w:cstheme="minorHAnsi"/>
          <w:color w:val="auto"/>
        </w:rPr>
        <w:t xml:space="preserve"> Dewey (1933) observed that teachers who do not bother to think intelligently about their work become slaves to routine, and he noted that one of the main challenges of learning was learning how to think intelligently. Brookfield (2017) four lenses is an important reflection to consider gaining as many perspectives and vantage points as possible and importantly encourages practitioners to collaborate. </w:t>
      </w:r>
    </w:p>
    <w:p w14:paraId="6BE7C9BA" w14:textId="39F5C141" w:rsidR="001277AB" w:rsidRDefault="001277AB" w:rsidP="001277AB">
      <w:pPr>
        <w:spacing w:line="360" w:lineRule="auto"/>
        <w:jc w:val="both"/>
        <w:rPr>
          <w:rFonts w:asciiTheme="minorHAnsi" w:hAnsiTheme="minorHAnsi" w:cstheme="minorHAnsi"/>
          <w:color w:val="auto"/>
        </w:rPr>
      </w:pPr>
    </w:p>
    <w:p w14:paraId="3EEF03A3" w14:textId="77777777" w:rsidR="001F6B57" w:rsidRPr="001F6B57" w:rsidRDefault="001F6B57" w:rsidP="001F6B57">
      <w:pPr>
        <w:spacing w:line="360" w:lineRule="auto"/>
        <w:jc w:val="both"/>
        <w:rPr>
          <w:rFonts w:asciiTheme="minorHAnsi" w:eastAsia="Times New Roman" w:hAnsiTheme="minorHAnsi" w:cs="Times New Roman"/>
          <w:b/>
          <w:bCs/>
          <w:color w:val="auto"/>
        </w:rPr>
      </w:pPr>
      <w:r w:rsidRPr="001F6B57">
        <w:rPr>
          <w:rFonts w:asciiTheme="minorHAnsi" w:eastAsia="Times New Roman" w:hAnsiTheme="minorHAnsi" w:cs="Times New Roman"/>
          <w:b/>
          <w:bCs/>
          <w:color w:val="auto"/>
        </w:rPr>
        <w:t>LITERATURE REVIEW</w:t>
      </w:r>
    </w:p>
    <w:p w14:paraId="726B66E5" w14:textId="77777777" w:rsidR="001F6B57" w:rsidRPr="00340922" w:rsidRDefault="001F6B57" w:rsidP="001F6B57">
      <w:pPr>
        <w:spacing w:line="360" w:lineRule="auto"/>
        <w:jc w:val="both"/>
        <w:rPr>
          <w:rFonts w:asciiTheme="minorHAnsi" w:hAnsiTheme="minorHAnsi"/>
          <w:color w:val="auto"/>
        </w:rPr>
      </w:pPr>
    </w:p>
    <w:p w14:paraId="1D574180" w14:textId="77777777" w:rsidR="001F6B57" w:rsidRPr="00340922" w:rsidRDefault="001F6B57" w:rsidP="001F6B57">
      <w:pPr>
        <w:spacing w:line="360" w:lineRule="auto"/>
        <w:jc w:val="both"/>
        <w:rPr>
          <w:rFonts w:asciiTheme="minorHAnsi" w:hAnsiTheme="minorHAnsi"/>
          <w:color w:val="auto"/>
        </w:rPr>
      </w:pPr>
      <w:r w:rsidRPr="00340922">
        <w:rPr>
          <w:rFonts w:asciiTheme="minorHAnsi" w:hAnsiTheme="minorHAnsi"/>
          <w:color w:val="auto"/>
        </w:rPr>
        <w:t>The I do, we do, you do model is just one adapted version of the gradual release of responsibility (GRR). The GRR model as it’s known today was created by Douglas and Frey (2007). They framework was represented as a 4-step process showing the gradual shift of responsibility from the teacher to the student.</w:t>
      </w:r>
    </w:p>
    <w:p w14:paraId="37788AF7" w14:textId="77777777" w:rsidR="001F6B57" w:rsidRPr="00340922" w:rsidRDefault="001F6B57" w:rsidP="001F6B57">
      <w:pPr>
        <w:spacing w:line="360" w:lineRule="auto"/>
        <w:jc w:val="both"/>
        <w:rPr>
          <w:rFonts w:asciiTheme="minorHAnsi" w:hAnsiTheme="minorHAnsi" w:cs="Open Sans"/>
          <w:color w:val="auto"/>
          <w:shd w:val="clear" w:color="auto" w:fill="FFFFFF"/>
        </w:rPr>
      </w:pPr>
      <w:r w:rsidRPr="00340922">
        <w:rPr>
          <w:rFonts w:asciiTheme="minorHAnsi" w:hAnsiTheme="minorHAnsi"/>
          <w:color w:val="auto"/>
        </w:rPr>
        <w:t>The GRR model is steeped in educational theory, (Pearson and Gallagher, 1983) originally created as a 3-step theoretical model rather than a method for lesson planning. “</w:t>
      </w:r>
      <w:r w:rsidRPr="00340922">
        <w:rPr>
          <w:rFonts w:asciiTheme="minorHAnsi" w:hAnsiTheme="minorHAnsi" w:cs="Open Sans"/>
          <w:color w:val="auto"/>
          <w:shd w:val="clear" w:color="auto" w:fill="FFFFFF"/>
        </w:rPr>
        <w:t xml:space="preserve">They </w:t>
      </w:r>
      <w:r w:rsidRPr="00340922">
        <w:rPr>
          <w:rFonts w:asciiTheme="minorHAnsi" w:hAnsiTheme="minorHAnsi" w:cs="Open Sans"/>
          <w:color w:val="auto"/>
          <w:shd w:val="clear" w:color="auto" w:fill="FFFFFF"/>
        </w:rPr>
        <w:lastRenderedPageBreak/>
        <w:t>recognised a need for teachers to be responsible for leading and scaffolding instruction, even as they supported learners in moving toward independent application of strategies and independence in reading” (Pearson McVee and Shanahan, 2019).</w:t>
      </w:r>
    </w:p>
    <w:p w14:paraId="2677F9CD" w14:textId="77777777" w:rsidR="001F6B57" w:rsidRPr="00340922" w:rsidRDefault="001F6B57" w:rsidP="001F6B57">
      <w:pPr>
        <w:pStyle w:val="NormalWeb"/>
        <w:shd w:val="clear" w:color="auto" w:fill="FFFFFF"/>
        <w:spacing w:before="240" w:beforeAutospacing="0" w:after="165" w:afterAutospacing="0" w:line="360" w:lineRule="auto"/>
        <w:jc w:val="both"/>
        <w:rPr>
          <w:rFonts w:asciiTheme="minorHAnsi" w:hAnsiTheme="minorHAnsi"/>
          <w:color w:val="auto"/>
          <w:shd w:val="clear" w:color="auto" w:fill="FFFFFF"/>
        </w:rPr>
      </w:pPr>
      <w:r w:rsidRPr="00340922">
        <w:rPr>
          <w:rFonts w:asciiTheme="minorHAnsi" w:hAnsiTheme="minorHAnsi"/>
          <w:color w:val="auto"/>
        </w:rPr>
        <w:t>Central to this framework and throughout this review is social constructivism and (Vygotsky 1934) ‘zone of proximal development (ZPD)’. Challenging the learner to move beyond their comfort zone to promote the maximum cognitive growth, using a more knowledgeable other (MKO). Bruner (1983 concurred with Vygotsky that the social environment around a child affects their learning and an adult or other people should play an active role through the process of scaffolding.</w:t>
      </w:r>
      <w:r w:rsidRPr="00340922">
        <w:rPr>
          <w:rFonts w:asciiTheme="minorHAnsi" w:hAnsiTheme="minorHAnsi"/>
          <w:color w:val="auto"/>
          <w:shd w:val="clear" w:color="auto" w:fill="FFFFFF"/>
        </w:rPr>
        <w:t xml:space="preserve"> </w:t>
      </w:r>
      <w:r w:rsidRPr="00340922">
        <w:rPr>
          <w:rFonts w:asciiTheme="minorHAnsi" w:hAnsiTheme="minorHAnsi"/>
          <w:color w:val="auto"/>
        </w:rPr>
        <w:t xml:space="preserve">We know from these theories that scaffolding, instructional learning and modelling are imperative to the GRR framework and its success. </w:t>
      </w:r>
      <w:r w:rsidRPr="00340922">
        <w:rPr>
          <w:rFonts w:asciiTheme="minorHAnsi" w:hAnsiTheme="minorHAnsi"/>
          <w:color w:val="auto"/>
          <w:shd w:val="clear" w:color="auto" w:fill="FFFFFF"/>
        </w:rPr>
        <w:t>However, a study by Verinikina (2008) showed that</w:t>
      </w:r>
      <w:r w:rsidRPr="00340922">
        <w:rPr>
          <w:rFonts w:asciiTheme="minorHAnsi" w:hAnsiTheme="minorHAnsi"/>
          <w:color w:val="auto"/>
        </w:rPr>
        <w:t xml:space="preserve"> scaffolding “can become a hindrance for children's development as active, self-directed learners…. A deeper understanding of the theoretical underpinning of the scaffolding metaphor will promote its creative and informed use by educators.” </w:t>
      </w:r>
      <w:r w:rsidRPr="00340922">
        <w:rPr>
          <w:rFonts w:asciiTheme="minorHAnsi" w:hAnsiTheme="minorHAnsi"/>
          <w:color w:val="auto"/>
          <w:shd w:val="clear" w:color="auto" w:fill="FFFFFF"/>
        </w:rPr>
        <w:t xml:space="preserve">This was a small study but showed that many teachers may need to relay back to the theory behind scaffolding to ensure they use it effectively. </w:t>
      </w:r>
      <w:r w:rsidRPr="00340922">
        <w:rPr>
          <w:rFonts w:asciiTheme="minorHAnsi" w:hAnsiTheme="minorHAnsi"/>
          <w:color w:val="auto"/>
        </w:rPr>
        <w:t>Donovan and Smolkin (2002) also support this through their study.</w:t>
      </w:r>
    </w:p>
    <w:p w14:paraId="63B6FFAB" w14:textId="77777777" w:rsidR="001F6B57" w:rsidRPr="00340922" w:rsidRDefault="001F6B57" w:rsidP="001F6B57">
      <w:pPr>
        <w:pStyle w:val="NormalWeb"/>
        <w:shd w:val="clear" w:color="auto" w:fill="FFFFFF"/>
        <w:spacing w:before="0" w:beforeAutospacing="0" w:after="165" w:afterAutospacing="0" w:line="360" w:lineRule="auto"/>
        <w:jc w:val="both"/>
        <w:rPr>
          <w:rFonts w:asciiTheme="minorHAnsi" w:hAnsiTheme="minorHAnsi"/>
          <w:color w:val="auto"/>
          <w:shd w:val="clear" w:color="auto" w:fill="FFFFFF"/>
        </w:rPr>
      </w:pPr>
      <w:r w:rsidRPr="00340922">
        <w:rPr>
          <w:rFonts w:asciiTheme="minorHAnsi" w:hAnsiTheme="minorHAnsi"/>
          <w:color w:val="auto"/>
          <w:shd w:val="clear" w:color="auto" w:fill="FFFFFF"/>
        </w:rPr>
        <w:t>Rosenshine (1997, p5) wrote an article complaining about the fashionable idea of ​</w:t>
      </w:r>
      <w:r w:rsidRPr="00340922">
        <w:rPr>
          <w:rStyle w:val="pull-double"/>
          <w:rFonts w:asciiTheme="minorHAnsi" w:hAnsiTheme="minorHAnsi"/>
          <w:color w:val="auto"/>
          <w:bdr w:val="single" w:sz="2" w:space="0" w:color="EEEEEE" w:frame="1"/>
          <w:shd w:val="clear" w:color="auto" w:fill="FFFFFF"/>
        </w:rPr>
        <w:t>“</w:t>
      </w:r>
      <w:r w:rsidRPr="00340922">
        <w:rPr>
          <w:rFonts w:asciiTheme="minorHAnsi" w:hAnsiTheme="minorHAnsi"/>
          <w:color w:val="auto"/>
          <w:shd w:val="clear" w:color="auto" w:fill="FFFFFF"/>
        </w:rPr>
        <w:t>learning by discovery” and the belief that skills are ​</w:t>
      </w:r>
      <w:r w:rsidRPr="00340922">
        <w:rPr>
          <w:rStyle w:val="pull-double"/>
          <w:rFonts w:asciiTheme="minorHAnsi" w:hAnsiTheme="minorHAnsi"/>
          <w:color w:val="auto"/>
          <w:bdr w:val="single" w:sz="2" w:space="0" w:color="EEEEEE" w:frame="1"/>
          <w:shd w:val="clear" w:color="auto" w:fill="FFFFFF"/>
        </w:rPr>
        <w:t>“</w:t>
      </w:r>
      <w:r w:rsidRPr="00340922">
        <w:rPr>
          <w:rFonts w:asciiTheme="minorHAnsi" w:hAnsiTheme="minorHAnsi"/>
          <w:color w:val="auto"/>
          <w:shd w:val="clear" w:color="auto" w:fill="FFFFFF"/>
        </w:rPr>
        <w:t xml:space="preserve">better caught than taught” he strongly felt that explicit instruction was the strongest idea. However, </w:t>
      </w:r>
      <w:r w:rsidRPr="00340922">
        <w:rPr>
          <w:rFonts w:asciiTheme="minorHAnsi" w:hAnsiTheme="minorHAnsi"/>
          <w:color w:val="auto"/>
        </w:rPr>
        <w:t>Bruner (1986) disagreed with learners being spoon fed information and the foundation of their learning should begin with the knowledge they already have, and the teacher should facilitate their problem-solving skills. Bruner’s (1986) ‘discovery learning’ put students in charge of their own learning, encouraged engagement, critical thinking and autonomy. This demonstrates the constructivist approach and synonymous attributes and outcomes of the GRR model but a different instructional method. It is well deliberated in various subject fields, whether discovery learning, or a more traditional approach is more suitable in the classroom (</w:t>
      </w:r>
      <w:r w:rsidRPr="00340922">
        <w:rPr>
          <w:rFonts w:asciiTheme="minorHAnsi" w:hAnsiTheme="minorHAnsi" w:cs="Arial"/>
          <w:color w:val="auto"/>
          <w:shd w:val="clear" w:color="auto" w:fill="FFFFFF"/>
        </w:rPr>
        <w:t xml:space="preserve">Khalaf and Mohammed Zin, 2018), (Vlassi and Karaliota, 2013), (Hussain, Azeem and Shakoor, 2011), there are advantages and disadvantages to both and is evident from the review of literature so far.  </w:t>
      </w:r>
      <w:r w:rsidRPr="00340922">
        <w:rPr>
          <w:rFonts w:asciiTheme="minorHAnsi" w:hAnsiTheme="minorHAnsi"/>
          <w:color w:val="auto"/>
        </w:rPr>
        <w:t xml:space="preserve">One specific argument for inquiry learning stood out, “Businesses are becoming more interested in employees with the ability to solve problems” (Castronova 2002). Businesses look for 21st century employees and struggle to find them. Our society now expects graduates from school </w:t>
      </w:r>
      <w:r w:rsidRPr="00340922">
        <w:rPr>
          <w:rFonts w:asciiTheme="minorHAnsi" w:hAnsiTheme="minorHAnsi"/>
          <w:color w:val="auto"/>
        </w:rPr>
        <w:lastRenderedPageBreak/>
        <w:t xml:space="preserve">who can collaborate, work in teams, teach others and negotiate (Rice &amp; Wilson, 1999 cited in Castronova, 2002). This is even more prevalent in 2022 and Donaldson’s four purposes aim to help children achieve these qualities in their future careers. Many jobs that they will be applying don’t even exist yet, so learners need to build the skills from an early age. The research conclusions here are outdated as test scores, standardised curriculums and lack of professionally trained teacher with pedagogy and theory knowledge were referenced as hindrances but the Welsh curriculum framework has addressed many of these.  </w:t>
      </w:r>
    </w:p>
    <w:p w14:paraId="7E7B26EC" w14:textId="77777777" w:rsidR="001F6B57" w:rsidRPr="00340922" w:rsidRDefault="001F6B57" w:rsidP="001F6B57">
      <w:pPr>
        <w:pStyle w:val="NormalWeb"/>
        <w:shd w:val="clear" w:color="auto" w:fill="FFFFFF"/>
        <w:spacing w:before="0" w:beforeAutospacing="0" w:after="165" w:afterAutospacing="0" w:line="360" w:lineRule="auto"/>
        <w:jc w:val="both"/>
        <w:rPr>
          <w:rFonts w:asciiTheme="minorHAnsi" w:hAnsiTheme="minorHAnsi"/>
          <w:color w:val="auto"/>
        </w:rPr>
      </w:pPr>
      <w:r w:rsidRPr="00340922">
        <w:rPr>
          <w:rFonts w:asciiTheme="minorHAnsi" w:hAnsiTheme="minorHAnsi"/>
          <w:color w:val="auto"/>
        </w:rPr>
        <w:t>Fisher and Frey (2021) added a significant fourth phase to the GRR model to include ‘collaborative learning’ also known as ‘we do together’. Learners will develop metacognitive skills through self-reflection on what knowledge they can share, and what they can receive from others. Fisher (2013) explained the GRR can be used in any order and educators are using the framework too rigidly. He explains it as a cyclic process; however, the important aspect is to include all 4 steps each day for learning to be effective. “What holds it all together is the teacher ‘noticing what students need and pivoting to next instructional move” (Frey 2021). So, this idea brings flexibility to the GRR framework for teachers to use for a variety of subjects and lessons. Education psychologist Ann L Brown, famous for her classroom program ‘reciprocal reading’ was a big advocator of collaborative learning in small groups, dividing up tasks and supporting each other. In one of their studies, Palincsar and Brown (1983) compared traditional teaching methods to the reciprocal method which reported greater gains especially independency and maintaining those gains over a longer amount of time, a key practice for metacognition.</w:t>
      </w:r>
    </w:p>
    <w:p w14:paraId="559129D6" w14:textId="77777777" w:rsidR="001F6B57" w:rsidRPr="00340922" w:rsidRDefault="001F6B57" w:rsidP="001F6B57">
      <w:pPr>
        <w:pStyle w:val="NormalWeb"/>
        <w:shd w:val="clear" w:color="auto" w:fill="FFFFFF"/>
        <w:spacing w:before="0" w:beforeAutospacing="0" w:after="0" w:afterAutospacing="0" w:line="360" w:lineRule="auto"/>
        <w:jc w:val="both"/>
        <w:textAlignment w:val="baseline"/>
        <w:rPr>
          <w:rFonts w:asciiTheme="minorHAnsi" w:hAnsiTheme="minorHAnsi"/>
          <w:color w:val="auto"/>
        </w:rPr>
      </w:pPr>
      <w:r w:rsidRPr="00340922">
        <w:rPr>
          <w:rFonts w:asciiTheme="minorHAnsi" w:hAnsiTheme="minorHAnsi"/>
          <w:color w:val="auto"/>
        </w:rPr>
        <w:t xml:space="preserve">From the review of research so far it can be seen that GRR </w:t>
      </w:r>
      <w:r w:rsidRPr="00E50EF9">
        <w:rPr>
          <w:rFonts w:asciiTheme="minorHAnsi" w:hAnsiTheme="minorHAnsi"/>
          <w:color w:val="auto"/>
        </w:rPr>
        <w:t>is more geared toward students who are going to take a traditional path through the education system</w:t>
      </w:r>
      <w:r w:rsidRPr="00340922">
        <w:rPr>
          <w:rFonts w:asciiTheme="minorHAnsi" w:hAnsiTheme="minorHAnsi"/>
          <w:color w:val="auto"/>
        </w:rPr>
        <w:t xml:space="preserve"> but access to a good education is every child’s right. The Welsh curriculum framework strives to provide inclusion and equity in classrooms, so schools and teachers need to use effective strategies for diverse learners with varying individual needs. There has been no reference within the GRR framework of how it can be implemented for diverse learners, but this literature review has now discussed there is flexibility within each stage. GRR may not necessarily be the best approach for all students. </w:t>
      </w:r>
      <w:r w:rsidRPr="00340922">
        <w:rPr>
          <w:rStyle w:val="normaltextrun"/>
          <w:rFonts w:asciiTheme="minorHAnsi" w:hAnsiTheme="minorHAnsi" w:cs="Arial"/>
          <w:color w:val="auto"/>
        </w:rPr>
        <w:t xml:space="preserve">There are many discussions and assumptions on the difficulties of using GRR for whole class instruction and mixed attainment levels. (Fisher 2022) emphasises </w:t>
      </w:r>
      <w:r w:rsidRPr="00340922">
        <w:rPr>
          <w:rFonts w:asciiTheme="minorHAnsi" w:hAnsiTheme="minorHAnsi"/>
          <w:color w:val="auto"/>
        </w:rPr>
        <w:t xml:space="preserve">“…evidence on effective literacy teaching, which includes small group instruction, </w:t>
      </w:r>
      <w:r w:rsidRPr="00340922">
        <w:rPr>
          <w:rFonts w:asciiTheme="minorHAnsi" w:hAnsiTheme="minorHAnsi"/>
          <w:color w:val="auto"/>
        </w:rPr>
        <w:lastRenderedPageBreak/>
        <w:t xml:space="preserve">differentiation, and a response to intervention, presents a challenge for many teachers and schools. </w:t>
      </w:r>
      <w:r w:rsidRPr="00340922">
        <w:rPr>
          <w:rFonts w:asciiTheme="minorHAnsi" w:hAnsiTheme="minorHAnsi" w:cs="Arial"/>
          <w:color w:val="auto"/>
        </w:rPr>
        <w:t>Furthermore, GRR presents a ‘right way’ of doing things, which is reinforced by the teacher. Such an approach does not allow students to learn through their own learning styles. However, all children have diverse needs according to the ‘experiential learning cycle’ (Kolb 1984). Consequently, all learners can benefit from differentiation, from ALN through to the gifted children. </w:t>
      </w:r>
      <w:r w:rsidRPr="00340922">
        <w:rPr>
          <w:rFonts w:asciiTheme="minorHAnsi" w:hAnsiTheme="minorHAnsi"/>
          <w:color w:val="auto"/>
          <w:shd w:val="clear" w:color="auto" w:fill="FFFFFF"/>
        </w:rPr>
        <w:t>Tomlinson (2008) agrees that teachers should adapt their lesson plans to the readiness of the learners, their interests and preferred methods of learning.</w:t>
      </w:r>
      <w:r w:rsidRPr="00340922">
        <w:rPr>
          <w:rFonts w:asciiTheme="minorHAnsi" w:hAnsiTheme="minorHAnsi" w:cs="Arial"/>
          <w:color w:val="auto"/>
        </w:rPr>
        <w:t xml:space="preserve"> </w:t>
      </w:r>
      <w:r w:rsidRPr="00340922">
        <w:rPr>
          <w:rFonts w:asciiTheme="minorHAnsi" w:hAnsiTheme="minorHAnsi"/>
          <w:color w:val="auto"/>
        </w:rPr>
        <w:t xml:space="preserve">Differentiation can liberate students from labels, offering students individual opportunities to perform at their best (Tomlinson, 2003). She argues that differentiation should be viewed as a way of thinking and learning rather than teaching methods and instructional strategies. However, if this thinking is put into GRR then it would make a significant effect on the learners involved. </w:t>
      </w:r>
      <w:r w:rsidRPr="00340922">
        <w:rPr>
          <w:rFonts w:asciiTheme="minorHAnsi" w:hAnsiTheme="minorHAnsi" w:cs="Arial"/>
          <w:color w:val="auto"/>
        </w:rPr>
        <w:t xml:space="preserve">Tomlinson believes that all students should have access to the same information, dumbing down the curriculum for some learners isn’t differentiation, each learner should have the opportunity to the subject in a way that works for them. </w:t>
      </w:r>
      <w:r w:rsidRPr="00340922">
        <w:rPr>
          <w:rFonts w:asciiTheme="minorHAnsi" w:hAnsiTheme="minorHAnsi"/>
          <w:color w:val="auto"/>
        </w:rPr>
        <w:t>Chamberlin and Powers (2010 p.114) stated that “differentiated instruction is not synonymous with individualized instruction in which the teacher varies instruction for every student” they say this approach can be extremely time consuming, whole class instruction is integrated if there is meaningful purpose. Osuafor and Okigbo (2013) determined that in a setting with biology students who had previously received only a traditional style of instruction led by lectures, there were significant improvements made by all students who received differentiated instructional methods.</w:t>
      </w:r>
      <w:r w:rsidRPr="00340922">
        <w:rPr>
          <w:rFonts w:asciiTheme="minorHAnsi" w:hAnsiTheme="minorHAnsi" w:cs="Arial"/>
          <w:color w:val="auto"/>
          <w:shd w:val="clear" w:color="auto" w:fill="FFFFFF"/>
        </w:rPr>
        <w:t xml:space="preserve"> Tomlinson (2000). </w:t>
      </w:r>
      <w:r w:rsidRPr="00340922">
        <w:rPr>
          <w:rFonts w:asciiTheme="minorHAnsi" w:hAnsiTheme="minorHAnsi"/>
          <w:color w:val="auto"/>
        </w:rPr>
        <w:t>There is no one ‘right way’ to create an effective differentiated classroom; teachers craft responsive learning places in ways that are a good match for their teaching styles, as well as for learners’ needs, GRR and differentiate how the potential to work in harmony with the shared outcome of focused, motivated and independent learners.</w:t>
      </w:r>
    </w:p>
    <w:p w14:paraId="3CFEEB8E" w14:textId="77777777" w:rsidR="001F6B57" w:rsidRPr="00340922" w:rsidRDefault="001F6B57" w:rsidP="001F6B57">
      <w:pPr>
        <w:pStyle w:val="paragraph"/>
        <w:spacing w:before="0" w:beforeAutospacing="0" w:after="0" w:afterAutospacing="0" w:line="360" w:lineRule="auto"/>
        <w:jc w:val="both"/>
        <w:textAlignment w:val="baseline"/>
        <w:rPr>
          <w:rStyle w:val="normaltextrun"/>
          <w:rFonts w:asciiTheme="minorHAnsi" w:hAnsiTheme="minorHAnsi" w:cs="Arial"/>
          <w:color w:val="auto"/>
        </w:rPr>
      </w:pPr>
    </w:p>
    <w:p w14:paraId="64BBDBED" w14:textId="77777777" w:rsidR="00E10D09" w:rsidRPr="00EA64FD" w:rsidRDefault="00E10D09" w:rsidP="00E10D09">
      <w:pPr>
        <w:spacing w:line="360" w:lineRule="auto"/>
        <w:jc w:val="both"/>
        <w:rPr>
          <w:rFonts w:asciiTheme="minorHAnsi" w:hAnsiTheme="minorHAnsi"/>
          <w:color w:val="auto"/>
        </w:rPr>
      </w:pPr>
    </w:p>
    <w:p w14:paraId="15F1000C" w14:textId="762A19C2" w:rsidR="00E10D09" w:rsidRPr="00EA64FD" w:rsidRDefault="00E10D09" w:rsidP="00E10D09">
      <w:pPr>
        <w:spacing w:line="360" w:lineRule="auto"/>
        <w:jc w:val="both"/>
        <w:rPr>
          <w:rFonts w:asciiTheme="minorHAnsi" w:hAnsiTheme="minorHAnsi"/>
          <w:b/>
          <w:bCs/>
          <w:color w:val="auto"/>
        </w:rPr>
      </w:pPr>
      <w:r w:rsidRPr="00EA64FD">
        <w:rPr>
          <w:rFonts w:asciiTheme="minorHAnsi" w:hAnsiTheme="minorHAnsi"/>
          <w:b/>
          <w:bCs/>
          <w:color w:val="auto"/>
        </w:rPr>
        <w:t>REFLECTION / EVALUATION</w:t>
      </w:r>
    </w:p>
    <w:p w14:paraId="599B83E1" w14:textId="77777777" w:rsidR="00E10D09" w:rsidRPr="00EA64FD" w:rsidRDefault="00E10D09" w:rsidP="00E10D09">
      <w:pPr>
        <w:spacing w:line="360" w:lineRule="auto"/>
        <w:jc w:val="both"/>
        <w:rPr>
          <w:rFonts w:asciiTheme="minorHAnsi" w:hAnsiTheme="minorHAnsi"/>
          <w:color w:val="auto"/>
        </w:rPr>
      </w:pPr>
    </w:p>
    <w:p w14:paraId="3E1F3F6E" w14:textId="77777777" w:rsidR="00E10D09" w:rsidRPr="00EA64FD" w:rsidRDefault="00E10D09" w:rsidP="00E10D09">
      <w:pPr>
        <w:spacing w:line="360" w:lineRule="auto"/>
        <w:jc w:val="both"/>
        <w:rPr>
          <w:rFonts w:asciiTheme="minorHAnsi" w:hAnsiTheme="minorHAnsi"/>
          <w:color w:val="auto"/>
        </w:rPr>
      </w:pPr>
      <w:r w:rsidRPr="00EA64FD">
        <w:rPr>
          <w:rFonts w:asciiTheme="minorHAnsi" w:hAnsiTheme="minorHAnsi"/>
          <w:color w:val="auto"/>
        </w:rPr>
        <w:t xml:space="preserve">GRR can be considered as a traditional teaching method, in the sense that from the outset the structure seems very rigid and the teacher ‘lectures’ to the students and gives them the knowledge and facts that they are to remember and use independently. From my review of </w:t>
      </w:r>
      <w:r w:rsidRPr="00EA64FD">
        <w:rPr>
          <w:rFonts w:asciiTheme="minorHAnsi" w:hAnsiTheme="minorHAnsi"/>
          <w:color w:val="auto"/>
        </w:rPr>
        <w:lastRenderedPageBreak/>
        <w:t xml:space="preserve">literature, it is now obvious that the deep-rooted theory behind the GRR framework is very much student oriented, and the framework is much more flexible that I originally assumed. </w:t>
      </w:r>
    </w:p>
    <w:p w14:paraId="2990D5BB" w14:textId="33CDF921" w:rsidR="00E10D09" w:rsidRPr="00E10D09" w:rsidRDefault="00E10D09" w:rsidP="00E10D09">
      <w:pPr>
        <w:pStyle w:val="paragraph"/>
        <w:spacing w:before="240" w:beforeAutospacing="0" w:after="0" w:afterAutospacing="0" w:line="360" w:lineRule="auto"/>
        <w:jc w:val="both"/>
        <w:textAlignment w:val="baseline"/>
        <w:rPr>
          <w:rFonts w:asciiTheme="minorHAnsi" w:hAnsiTheme="minorHAnsi"/>
          <w:color w:val="auto"/>
        </w:rPr>
      </w:pPr>
      <w:r w:rsidRPr="00EA64FD">
        <w:rPr>
          <w:rFonts w:asciiTheme="minorHAnsi" w:hAnsiTheme="minorHAnsi"/>
          <w:color w:val="auto"/>
        </w:rPr>
        <w:t>I am grateful for this opportunity to research theory and practice on differentiation, the assignment doesn’t allow for me to delve in deeper but as part of my own professional development I will be researching further. I feel is extremely important to my success in teaching and for pupils learning and I will be applying this to my ethos as a teacher from the very beginning. As Tomlinson (2017) believes “</w:t>
      </w:r>
      <w:r w:rsidRPr="00EA64FD">
        <w:rPr>
          <w:rFonts w:asciiTheme="minorHAnsi" w:hAnsiTheme="minorHAnsi" w:cs="Arial"/>
          <w:color w:val="auto"/>
          <w:shd w:val="clear" w:color="auto" w:fill="FEFEFE"/>
        </w:rPr>
        <w:t>It really requires many teachers to change their approach to teaching as a whole—how we think about students and their capabilities, how we use assessment, how curriculum is crafted, flexible instruction to ensure that students go where they need to go”. </w:t>
      </w:r>
      <w:r w:rsidRPr="00EA64FD">
        <w:rPr>
          <w:rFonts w:asciiTheme="minorHAnsi" w:hAnsiTheme="minorHAnsi"/>
          <w:color w:val="auto"/>
        </w:rPr>
        <w:t>Differentiation is not a new challenge but I will be challenging myself to apply this throughout my practice so my teaching is more effective and give learners the best experience possible.</w:t>
      </w:r>
      <w:r>
        <w:rPr>
          <w:rFonts w:asciiTheme="minorHAnsi" w:hAnsiTheme="minorHAnsi"/>
          <w:color w:val="auto"/>
        </w:rPr>
        <w:t xml:space="preserve"> Collaboration phase of the GRR is a significant area for exploration and it wasn’t seen in the critical incident. It wasn’t an area that was originally planned to reflect on but its key to the diversification of the framework, for deeper learning, motivation, confidence and autonomy.</w:t>
      </w:r>
    </w:p>
    <w:p w14:paraId="34643456" w14:textId="77777777" w:rsidR="00E10D09" w:rsidRPr="00EA64FD" w:rsidRDefault="00E10D09" w:rsidP="00E10D09">
      <w:pPr>
        <w:spacing w:line="360" w:lineRule="auto"/>
        <w:jc w:val="both"/>
        <w:rPr>
          <w:rFonts w:asciiTheme="minorHAnsi" w:hAnsiTheme="minorHAnsi"/>
          <w:color w:val="auto"/>
        </w:rPr>
      </w:pPr>
      <w:r w:rsidRPr="00EA64FD">
        <w:rPr>
          <w:rFonts w:asciiTheme="minorHAnsi" w:hAnsiTheme="minorHAnsi"/>
          <w:color w:val="auto"/>
        </w:rPr>
        <w:t xml:space="preserve">Looking back at the critical incident, the lesson easily transcended into total independence from the learners but using what I know about differentiation then this high ability maybe needed more of a challenge. I will be taking this into my own teaching and ensuring I am assessing students’ ability effectively. Without this critical reflection then I assumed that the GRR model was a one size fits all framework and potentially used it incorrectly. Teacher X was applying the framework in a suitable manner for the learners needs in his class and I realise the importance to be flexible in my approach. An important quote that I will take from this reflection is “What holds it all together is the teacher ‘noticing what students need and pivoting to next instructional move” (Frey 2021). </w:t>
      </w:r>
      <w:r w:rsidRPr="00EA64FD">
        <w:rPr>
          <w:rStyle w:val="normaltextrun"/>
          <w:rFonts w:asciiTheme="minorHAnsi" w:hAnsiTheme="minorHAnsi" w:cs="Arial"/>
          <w:color w:val="auto"/>
        </w:rPr>
        <w:t>To use GRR teachers need to implement each stage effectively, depending on students learning ability and assessment of their learning.</w:t>
      </w:r>
    </w:p>
    <w:p w14:paraId="03389313" w14:textId="77777777" w:rsidR="00E10D09" w:rsidRPr="00EA64FD" w:rsidRDefault="00E10D09" w:rsidP="00E10D09">
      <w:pPr>
        <w:spacing w:line="360" w:lineRule="auto"/>
        <w:jc w:val="both"/>
        <w:rPr>
          <w:rFonts w:asciiTheme="minorHAnsi" w:hAnsiTheme="minorHAnsi"/>
          <w:color w:val="auto"/>
        </w:rPr>
      </w:pPr>
      <w:r w:rsidRPr="00EA64FD">
        <w:rPr>
          <w:rFonts w:asciiTheme="minorHAnsi" w:hAnsiTheme="minorHAnsi"/>
          <w:color w:val="auto"/>
        </w:rPr>
        <w:t xml:space="preserve">Independent learning, which ever strategy is used is a powerful skill, I can see from the literature that the end purpose of GRR isn’t just simply independence but to be an effective learner and have a deep understanding of the new learning and be able to transfer the skills across context and throughout their lives. This is important to my future teaching as it ties back in with the four purposes, specifically on all children “being ambitious and capable </w:t>
      </w:r>
      <w:r w:rsidRPr="00EA64FD">
        <w:rPr>
          <w:rFonts w:asciiTheme="minorHAnsi" w:hAnsiTheme="minorHAnsi"/>
          <w:color w:val="auto"/>
        </w:rPr>
        <w:lastRenderedPageBreak/>
        <w:t>learners who are building up a body of knowledge and have the skills to connect and apply that knowledge in different contexts” (Donaldson, 2015). Many independent learning tasks are used as formative assessments, designed to check for understanding and to identify needs for reteaching – tie in with the curriculum now. An interesting part of You Do is to identify which learners are struggling. The importance of formative assessment and how it collectively works with GRR and independence was an unexpected discovery through this reflection. I feel that differentiation can be used to address individual needs to bridge the gaps of learning as a result of lockdown.</w:t>
      </w:r>
    </w:p>
    <w:p w14:paraId="2C6EEC7C" w14:textId="33E28032" w:rsidR="00E10D09" w:rsidRDefault="00E10D09" w:rsidP="00E10D09">
      <w:pPr>
        <w:spacing w:line="360" w:lineRule="auto"/>
        <w:jc w:val="both"/>
        <w:rPr>
          <w:rFonts w:asciiTheme="minorHAnsi" w:hAnsiTheme="minorHAnsi"/>
          <w:color w:val="auto"/>
        </w:rPr>
      </w:pPr>
      <w:r w:rsidRPr="00EA64FD">
        <w:rPr>
          <w:rFonts w:asciiTheme="minorHAnsi" w:hAnsiTheme="minorHAnsi"/>
          <w:color w:val="auto"/>
        </w:rPr>
        <w:t>This critical reflection has shown me the importance of strong relationship with pupils and knowing my learners is key “For many students, lack of connection with the teacher spells academic failure” Tomlinson (2008)</w:t>
      </w:r>
    </w:p>
    <w:p w14:paraId="135CCB0B" w14:textId="69E62668" w:rsidR="00FF14FE" w:rsidRDefault="00FF14FE" w:rsidP="00E10D09">
      <w:pPr>
        <w:spacing w:line="360" w:lineRule="auto"/>
        <w:jc w:val="both"/>
        <w:rPr>
          <w:rFonts w:asciiTheme="minorHAnsi" w:hAnsiTheme="minorHAnsi"/>
          <w:color w:val="auto"/>
        </w:rPr>
      </w:pPr>
    </w:p>
    <w:p w14:paraId="3D5C5393" w14:textId="21020395" w:rsidR="00FF14FE" w:rsidRPr="00FF14FE" w:rsidRDefault="00FF14FE" w:rsidP="00E10D09">
      <w:pPr>
        <w:spacing w:line="360" w:lineRule="auto"/>
        <w:jc w:val="both"/>
        <w:rPr>
          <w:rFonts w:asciiTheme="minorHAnsi" w:hAnsiTheme="minorHAnsi"/>
          <w:b/>
          <w:bCs/>
          <w:color w:val="auto"/>
        </w:rPr>
      </w:pPr>
      <w:r w:rsidRPr="00FF14FE">
        <w:rPr>
          <w:rFonts w:asciiTheme="minorHAnsi" w:hAnsiTheme="minorHAnsi"/>
          <w:b/>
          <w:bCs/>
          <w:color w:val="auto"/>
        </w:rPr>
        <w:t>CONCLUSION</w:t>
      </w:r>
    </w:p>
    <w:p w14:paraId="4782C88A" w14:textId="7F54210F" w:rsidR="00FF14FE" w:rsidRDefault="00FF14FE" w:rsidP="00E10D09">
      <w:pPr>
        <w:spacing w:line="360" w:lineRule="auto"/>
        <w:jc w:val="both"/>
        <w:rPr>
          <w:rFonts w:asciiTheme="minorHAnsi" w:hAnsiTheme="minorHAnsi"/>
          <w:color w:val="auto"/>
        </w:rPr>
      </w:pPr>
    </w:p>
    <w:p w14:paraId="6563BC35" w14:textId="77777777" w:rsidR="00FF14FE" w:rsidRDefault="00FF14FE" w:rsidP="00FF14FE">
      <w:pPr>
        <w:spacing w:line="360" w:lineRule="auto"/>
        <w:jc w:val="both"/>
      </w:pPr>
      <w:r>
        <w:t xml:space="preserve">GRR or inquiry – there is a place for both in the AoLE’s, and as GRR can be used flexibly and not as a linear framework. GRR, discovery and differentiation can work hand in hand. All these learning theories link up here and hold the same worth so it seems clear to me that they I will use these methods going forward. </w:t>
      </w:r>
    </w:p>
    <w:p w14:paraId="3E383AFC" w14:textId="11671DC7" w:rsidR="00FF14FE" w:rsidRPr="00072D93" w:rsidRDefault="00FF14FE" w:rsidP="00FF14FE">
      <w:pPr>
        <w:spacing w:line="360" w:lineRule="auto"/>
        <w:jc w:val="both"/>
        <w:rPr>
          <w:rFonts w:asciiTheme="minorHAnsi" w:hAnsiTheme="minorHAnsi"/>
          <w:color w:val="auto"/>
          <w:shd w:val="clear" w:color="auto" w:fill="FFFFFF"/>
        </w:rPr>
      </w:pPr>
      <w:r w:rsidRPr="001D028D">
        <w:rPr>
          <w:rStyle w:val="Strong"/>
          <w:rFonts w:asciiTheme="minorHAnsi" w:hAnsiTheme="minorHAnsi"/>
          <w:b w:val="0"/>
          <w:bCs w:val="0"/>
          <w:color w:val="auto"/>
          <w:shd w:val="clear" w:color="auto" w:fill="FFFFFF"/>
        </w:rPr>
        <w:t>The gradual release of responsibility plan is beneficial</w:t>
      </w:r>
      <w:r w:rsidRPr="001D028D">
        <w:rPr>
          <w:rFonts w:asciiTheme="minorHAnsi" w:hAnsiTheme="minorHAnsi"/>
          <w:color w:val="auto"/>
          <w:shd w:val="clear" w:color="auto" w:fill="FFFFFF"/>
        </w:rPr>
        <w:t xml:space="preserve"> in </w:t>
      </w:r>
      <w:r>
        <w:rPr>
          <w:rFonts w:asciiTheme="minorHAnsi" w:hAnsiTheme="minorHAnsi"/>
          <w:color w:val="auto"/>
          <w:shd w:val="clear" w:color="auto" w:fill="FFFFFF"/>
        </w:rPr>
        <w:t xml:space="preserve">the </w:t>
      </w:r>
      <w:r>
        <w:rPr>
          <w:rFonts w:asciiTheme="minorHAnsi" w:hAnsiTheme="minorHAnsi"/>
          <w:color w:val="auto"/>
          <w:shd w:val="clear" w:color="auto" w:fill="FFFFFF"/>
        </w:rPr>
        <w:t>modern-day</w:t>
      </w:r>
      <w:r>
        <w:rPr>
          <w:rFonts w:asciiTheme="minorHAnsi" w:hAnsiTheme="minorHAnsi"/>
          <w:color w:val="auto"/>
          <w:shd w:val="clear" w:color="auto" w:fill="FFFFFF"/>
        </w:rPr>
        <w:t xml:space="preserve"> classroom</w:t>
      </w:r>
      <w:r w:rsidRPr="001D028D">
        <w:rPr>
          <w:rFonts w:asciiTheme="minorHAnsi" w:hAnsiTheme="minorHAnsi"/>
          <w:color w:val="auto"/>
          <w:shd w:val="clear" w:color="auto" w:fill="FFFFFF"/>
        </w:rPr>
        <w:t xml:space="preserve"> because it encourages children to learn both independently and collaboratively, usually leaving them with a deeper understanding of a topic however I will not limit my teacher to just one framework. As explored here then there are many frameworks to be considered and used appropriately. “The major message, however, is that rather than recommending a particular teaching method, teachers need to be evaluators of the effect of the methods that they choose.” (Hattie 2</w:t>
      </w:r>
      <w:r>
        <w:rPr>
          <w:rFonts w:asciiTheme="minorHAnsi" w:hAnsiTheme="minorHAnsi"/>
          <w:color w:val="auto"/>
          <w:shd w:val="clear" w:color="auto" w:fill="FFFFFF"/>
        </w:rPr>
        <w:t>0</w:t>
      </w:r>
      <w:r w:rsidRPr="001D028D">
        <w:rPr>
          <w:rFonts w:asciiTheme="minorHAnsi" w:hAnsiTheme="minorHAnsi"/>
          <w:color w:val="auto"/>
          <w:shd w:val="clear" w:color="auto" w:fill="FFFFFF"/>
        </w:rPr>
        <w:t>12)</w:t>
      </w:r>
      <w:r>
        <w:rPr>
          <w:rFonts w:asciiTheme="minorHAnsi" w:hAnsiTheme="minorHAnsi"/>
          <w:color w:val="auto"/>
          <w:shd w:val="clear" w:color="auto" w:fill="FFFFFF"/>
        </w:rPr>
        <w:t xml:space="preserve">. </w:t>
      </w:r>
      <w:r>
        <w:t xml:space="preserve">The GRR framework is relevant to the following teaching standards “The teacher consistently secures the best outcomes for learners through progressively refining teaching, influencing learners and advancing learning” (Welsh Government 2017) As a student teacher and NQT I will be working towards the four purpose and the GRR ticks a wide range of boxes to help learners achieve these goals specifically when supporting ambitious and capable learners. </w:t>
      </w:r>
    </w:p>
    <w:p w14:paraId="0E3BA772" w14:textId="77777777" w:rsidR="00FF14FE" w:rsidRDefault="00FF14FE" w:rsidP="00FF14FE">
      <w:pPr>
        <w:spacing w:line="360" w:lineRule="auto"/>
        <w:jc w:val="both"/>
      </w:pPr>
      <w:r>
        <w:lastRenderedPageBreak/>
        <w:t>Traditional teaching is still relevant through the GRR but practitioners must understand the theory and rationale behind the methods. How the framework is used is key to its success.</w:t>
      </w:r>
    </w:p>
    <w:p w14:paraId="35E1D6F0" w14:textId="77777777" w:rsidR="00072D93" w:rsidRDefault="00072D93" w:rsidP="00FF14FE">
      <w:pPr>
        <w:spacing w:line="360" w:lineRule="auto"/>
        <w:jc w:val="both"/>
      </w:pPr>
    </w:p>
    <w:p w14:paraId="6E60EE3D" w14:textId="77777777" w:rsidR="00072D93" w:rsidRDefault="00072D93" w:rsidP="00FF14FE">
      <w:pPr>
        <w:spacing w:line="360" w:lineRule="auto"/>
        <w:jc w:val="both"/>
      </w:pPr>
    </w:p>
    <w:p w14:paraId="0488B368" w14:textId="77777777" w:rsidR="00072D93" w:rsidRDefault="00072D93" w:rsidP="00FF14FE">
      <w:pPr>
        <w:spacing w:line="360" w:lineRule="auto"/>
        <w:jc w:val="both"/>
      </w:pPr>
    </w:p>
    <w:p w14:paraId="2CEE8556" w14:textId="77777777" w:rsidR="00072D93" w:rsidRDefault="00072D93" w:rsidP="00FF14FE">
      <w:pPr>
        <w:spacing w:line="360" w:lineRule="auto"/>
        <w:jc w:val="both"/>
      </w:pPr>
    </w:p>
    <w:p w14:paraId="5BF29B36" w14:textId="77777777" w:rsidR="00072D93" w:rsidRDefault="00072D93" w:rsidP="00FF14FE">
      <w:pPr>
        <w:spacing w:line="360" w:lineRule="auto"/>
        <w:jc w:val="both"/>
      </w:pPr>
    </w:p>
    <w:p w14:paraId="011FB208" w14:textId="77777777" w:rsidR="00072D93" w:rsidRDefault="00072D93" w:rsidP="00FF14FE">
      <w:pPr>
        <w:spacing w:line="360" w:lineRule="auto"/>
        <w:jc w:val="both"/>
      </w:pPr>
    </w:p>
    <w:p w14:paraId="16DDA2AA" w14:textId="77777777" w:rsidR="00072D93" w:rsidRDefault="00072D93" w:rsidP="00FF14FE">
      <w:pPr>
        <w:spacing w:line="360" w:lineRule="auto"/>
        <w:jc w:val="both"/>
      </w:pPr>
    </w:p>
    <w:p w14:paraId="161AD0A5" w14:textId="77777777" w:rsidR="00072D93" w:rsidRDefault="00072D93" w:rsidP="00FF14FE">
      <w:pPr>
        <w:spacing w:line="360" w:lineRule="auto"/>
        <w:jc w:val="both"/>
      </w:pPr>
    </w:p>
    <w:p w14:paraId="5B7E0F2E" w14:textId="77777777" w:rsidR="00072D93" w:rsidRDefault="00072D93" w:rsidP="00FF14FE">
      <w:pPr>
        <w:spacing w:line="360" w:lineRule="auto"/>
        <w:jc w:val="both"/>
      </w:pPr>
    </w:p>
    <w:p w14:paraId="7B549470" w14:textId="77777777" w:rsidR="00072D93" w:rsidRDefault="00072D93" w:rsidP="00FF14FE">
      <w:pPr>
        <w:spacing w:line="360" w:lineRule="auto"/>
        <w:jc w:val="both"/>
      </w:pPr>
    </w:p>
    <w:p w14:paraId="12C19F90" w14:textId="77777777" w:rsidR="00072D93" w:rsidRDefault="00072D93" w:rsidP="00FF14FE">
      <w:pPr>
        <w:spacing w:line="360" w:lineRule="auto"/>
        <w:jc w:val="both"/>
      </w:pPr>
    </w:p>
    <w:p w14:paraId="5A697ADD" w14:textId="77777777" w:rsidR="00072D93" w:rsidRDefault="00072D93" w:rsidP="00FF14FE">
      <w:pPr>
        <w:spacing w:line="360" w:lineRule="auto"/>
        <w:jc w:val="both"/>
      </w:pPr>
    </w:p>
    <w:p w14:paraId="324BDEB5" w14:textId="77777777" w:rsidR="00072D93" w:rsidRDefault="00072D93" w:rsidP="00FF14FE">
      <w:pPr>
        <w:spacing w:line="360" w:lineRule="auto"/>
        <w:jc w:val="both"/>
      </w:pPr>
    </w:p>
    <w:p w14:paraId="099DA153" w14:textId="77777777" w:rsidR="00072D93" w:rsidRDefault="00072D93" w:rsidP="00FF14FE">
      <w:pPr>
        <w:spacing w:line="360" w:lineRule="auto"/>
        <w:jc w:val="both"/>
      </w:pPr>
    </w:p>
    <w:p w14:paraId="3CF8F10E" w14:textId="77777777" w:rsidR="00072D93" w:rsidRDefault="00072D93" w:rsidP="00FF14FE">
      <w:pPr>
        <w:spacing w:line="360" w:lineRule="auto"/>
        <w:jc w:val="both"/>
      </w:pPr>
    </w:p>
    <w:p w14:paraId="1D011A66" w14:textId="77777777" w:rsidR="00072D93" w:rsidRDefault="00072D93" w:rsidP="00FF14FE">
      <w:pPr>
        <w:spacing w:line="360" w:lineRule="auto"/>
        <w:jc w:val="both"/>
      </w:pPr>
    </w:p>
    <w:p w14:paraId="174A6E83" w14:textId="77777777" w:rsidR="00072D93" w:rsidRDefault="00072D93" w:rsidP="00FF14FE">
      <w:pPr>
        <w:spacing w:line="360" w:lineRule="auto"/>
        <w:jc w:val="both"/>
      </w:pPr>
    </w:p>
    <w:p w14:paraId="13F27BBE" w14:textId="77777777" w:rsidR="00072D93" w:rsidRDefault="00072D93" w:rsidP="00FF14FE">
      <w:pPr>
        <w:spacing w:line="360" w:lineRule="auto"/>
        <w:jc w:val="both"/>
      </w:pPr>
    </w:p>
    <w:p w14:paraId="0B9D2ED8" w14:textId="77777777" w:rsidR="00072D93" w:rsidRDefault="00072D93" w:rsidP="00FF14FE">
      <w:pPr>
        <w:spacing w:line="360" w:lineRule="auto"/>
        <w:jc w:val="both"/>
      </w:pPr>
    </w:p>
    <w:p w14:paraId="2738D7CB" w14:textId="77777777" w:rsidR="00072D93" w:rsidRDefault="00072D93" w:rsidP="00FF14FE">
      <w:pPr>
        <w:spacing w:line="360" w:lineRule="auto"/>
        <w:jc w:val="both"/>
      </w:pPr>
    </w:p>
    <w:p w14:paraId="0FA3811E" w14:textId="77777777" w:rsidR="00072D93" w:rsidRDefault="00072D93" w:rsidP="00FF14FE">
      <w:pPr>
        <w:spacing w:line="360" w:lineRule="auto"/>
        <w:jc w:val="both"/>
      </w:pPr>
    </w:p>
    <w:p w14:paraId="3CA28DAF" w14:textId="77777777" w:rsidR="00072D93" w:rsidRDefault="00072D93" w:rsidP="00FF14FE">
      <w:pPr>
        <w:spacing w:line="360" w:lineRule="auto"/>
        <w:jc w:val="both"/>
      </w:pPr>
    </w:p>
    <w:p w14:paraId="13003108" w14:textId="77777777" w:rsidR="00072D93" w:rsidRDefault="00072D93" w:rsidP="00FF14FE">
      <w:pPr>
        <w:spacing w:line="360" w:lineRule="auto"/>
        <w:jc w:val="both"/>
      </w:pPr>
    </w:p>
    <w:p w14:paraId="1F31F62C" w14:textId="77777777" w:rsidR="00072D93" w:rsidRDefault="00072D93" w:rsidP="00FF14FE">
      <w:pPr>
        <w:spacing w:line="360" w:lineRule="auto"/>
        <w:jc w:val="both"/>
      </w:pPr>
    </w:p>
    <w:p w14:paraId="38D028E7" w14:textId="77777777" w:rsidR="00072D93" w:rsidRDefault="00072D93" w:rsidP="00FF14FE">
      <w:pPr>
        <w:spacing w:line="360" w:lineRule="auto"/>
        <w:jc w:val="both"/>
      </w:pPr>
    </w:p>
    <w:p w14:paraId="26C795A2" w14:textId="77777777" w:rsidR="00072D93" w:rsidRDefault="00072D93" w:rsidP="00FF14FE">
      <w:pPr>
        <w:spacing w:line="360" w:lineRule="auto"/>
        <w:jc w:val="both"/>
      </w:pPr>
    </w:p>
    <w:p w14:paraId="7135B3AD" w14:textId="77777777" w:rsidR="00072D93" w:rsidRDefault="00072D93" w:rsidP="00FF14FE">
      <w:pPr>
        <w:spacing w:line="360" w:lineRule="auto"/>
        <w:jc w:val="both"/>
      </w:pPr>
    </w:p>
    <w:p w14:paraId="5432EE29" w14:textId="77777777" w:rsidR="00072D93" w:rsidRDefault="00072D93" w:rsidP="00FF14FE">
      <w:pPr>
        <w:spacing w:line="360" w:lineRule="auto"/>
        <w:jc w:val="both"/>
      </w:pPr>
    </w:p>
    <w:p w14:paraId="09DDC8D4" w14:textId="77777777" w:rsidR="00072D93" w:rsidRDefault="00072D93" w:rsidP="00FF14FE">
      <w:pPr>
        <w:spacing w:line="360" w:lineRule="auto"/>
        <w:jc w:val="both"/>
      </w:pPr>
    </w:p>
    <w:p w14:paraId="5050EF7A" w14:textId="77777777" w:rsidR="00072D93" w:rsidRDefault="00072D93" w:rsidP="00FF14FE">
      <w:pPr>
        <w:spacing w:line="360" w:lineRule="auto"/>
        <w:jc w:val="both"/>
      </w:pPr>
    </w:p>
    <w:p w14:paraId="74B6B822" w14:textId="77777777" w:rsidR="00D94761" w:rsidRPr="002E5E20" w:rsidRDefault="00D94761" w:rsidP="00D94761">
      <w:pPr>
        <w:spacing w:line="360" w:lineRule="auto"/>
        <w:rPr>
          <w:rFonts w:cstheme="minorHAnsi"/>
          <w:b/>
          <w:bCs/>
          <w:color w:val="222222"/>
          <w:shd w:val="clear" w:color="auto" w:fill="FFFFFF"/>
        </w:rPr>
      </w:pPr>
      <w:r w:rsidRPr="002E5E20">
        <w:rPr>
          <w:rFonts w:cstheme="minorHAnsi"/>
          <w:b/>
          <w:bCs/>
          <w:color w:val="222222"/>
          <w:shd w:val="clear" w:color="auto" w:fill="FFFFFF"/>
        </w:rPr>
        <w:lastRenderedPageBreak/>
        <w:t>Citations</w:t>
      </w:r>
    </w:p>
    <w:p w14:paraId="20C2E252" w14:textId="77777777" w:rsidR="00D94761" w:rsidRPr="00654D84" w:rsidRDefault="00D94761" w:rsidP="00D94761">
      <w:pPr>
        <w:spacing w:line="360" w:lineRule="auto"/>
        <w:rPr>
          <w:rFonts w:asciiTheme="minorHAnsi" w:hAnsiTheme="minorHAnsi" w:cstheme="minorHAnsi"/>
          <w:color w:val="auto"/>
        </w:rPr>
      </w:pPr>
      <w:r w:rsidRPr="00654D84">
        <w:rPr>
          <w:rFonts w:asciiTheme="minorHAnsi" w:hAnsiTheme="minorHAnsi" w:cstheme="minorHAnsi"/>
          <w:color w:val="auto"/>
        </w:rPr>
        <w:t>Assistant Head. (2022) Email to Ria Jones, 29 October 2022.</w:t>
      </w:r>
    </w:p>
    <w:p w14:paraId="6F7121E7" w14:textId="77777777" w:rsidR="00D94761" w:rsidRPr="00C3701E" w:rsidRDefault="00D94761" w:rsidP="00D94761">
      <w:pPr>
        <w:spacing w:line="360" w:lineRule="auto"/>
        <w:rPr>
          <w:rFonts w:asciiTheme="minorHAnsi" w:hAnsiTheme="minorHAnsi" w:cstheme="minorHAnsi"/>
        </w:rPr>
      </w:pPr>
      <w:r w:rsidRPr="00654D84">
        <w:rPr>
          <w:rFonts w:asciiTheme="minorHAnsi" w:hAnsiTheme="minorHAnsi" w:cstheme="minorHAnsi"/>
          <w:color w:val="auto"/>
        </w:rPr>
        <w:t xml:space="preserve">Aubrey, A and Riley, A (2016) </w:t>
      </w:r>
      <w:r w:rsidRPr="00654D84">
        <w:rPr>
          <w:rFonts w:asciiTheme="minorHAnsi" w:hAnsiTheme="minorHAnsi" w:cstheme="minorHAnsi"/>
          <w:i/>
          <w:iCs/>
          <w:color w:val="auto"/>
        </w:rPr>
        <w:t>Understanding and Using Educational Theories</w:t>
      </w:r>
      <w:r w:rsidRPr="00654D84">
        <w:rPr>
          <w:rFonts w:asciiTheme="minorHAnsi" w:hAnsiTheme="minorHAnsi" w:cstheme="minorHAnsi"/>
          <w:color w:val="auto"/>
        </w:rPr>
        <w:t xml:space="preserve">. Sage </w:t>
      </w:r>
      <w:r w:rsidRPr="00C3701E">
        <w:rPr>
          <w:rFonts w:asciiTheme="minorHAnsi" w:hAnsiTheme="minorHAnsi" w:cstheme="minorHAnsi"/>
          <w:color w:val="auto"/>
        </w:rPr>
        <w:t>Publications Ltd.</w:t>
      </w:r>
    </w:p>
    <w:p w14:paraId="622E8B02" w14:textId="77777777" w:rsidR="00D94761" w:rsidRPr="00C3701E" w:rsidRDefault="00D94761" w:rsidP="00D94761">
      <w:pPr>
        <w:spacing w:line="360" w:lineRule="auto"/>
        <w:rPr>
          <w:rFonts w:asciiTheme="minorHAnsi" w:hAnsiTheme="minorHAnsi" w:cstheme="minorHAnsi"/>
          <w:color w:val="auto"/>
        </w:rPr>
      </w:pPr>
      <w:r w:rsidRPr="00C3701E">
        <w:rPr>
          <w:rFonts w:asciiTheme="minorHAnsi" w:hAnsiTheme="minorHAnsi" w:cstheme="minorHAnsi"/>
          <w:color w:val="222222"/>
          <w:shd w:val="clear" w:color="auto" w:fill="FFFFFF"/>
        </w:rPr>
        <w:t xml:space="preserve">Brookfield, S.D. </w:t>
      </w:r>
      <w:r>
        <w:rPr>
          <w:rFonts w:cstheme="minorHAnsi"/>
          <w:color w:val="222222"/>
          <w:shd w:val="clear" w:color="auto" w:fill="FFFFFF"/>
        </w:rPr>
        <w:t>(</w:t>
      </w:r>
      <w:r w:rsidRPr="00C3701E">
        <w:rPr>
          <w:rFonts w:asciiTheme="minorHAnsi" w:hAnsiTheme="minorHAnsi" w:cstheme="minorHAnsi"/>
          <w:color w:val="222222"/>
          <w:shd w:val="clear" w:color="auto" w:fill="FFFFFF"/>
        </w:rPr>
        <w:t>2017</w:t>
      </w:r>
      <w:r>
        <w:rPr>
          <w:rFonts w:cstheme="minorHAnsi"/>
          <w:color w:val="222222"/>
          <w:shd w:val="clear" w:color="auto" w:fill="FFFFFF"/>
        </w:rPr>
        <w:t>)</w:t>
      </w:r>
      <w:r w:rsidRPr="00C3701E">
        <w:rPr>
          <w:rFonts w:asciiTheme="minorHAnsi" w:hAnsiTheme="minorHAnsi" w:cstheme="minorHAnsi"/>
          <w:color w:val="222222"/>
          <w:shd w:val="clear" w:color="auto" w:fill="FFFFFF"/>
        </w:rPr>
        <w:t> </w:t>
      </w:r>
      <w:r w:rsidRPr="00C3701E">
        <w:rPr>
          <w:rFonts w:asciiTheme="minorHAnsi" w:hAnsiTheme="minorHAnsi" w:cstheme="minorHAnsi"/>
          <w:i/>
          <w:iCs/>
          <w:color w:val="222222"/>
          <w:shd w:val="clear" w:color="auto" w:fill="FFFFFF"/>
        </w:rPr>
        <w:t>Becoming a critically reflective teacher</w:t>
      </w:r>
      <w:r w:rsidRPr="00C3701E">
        <w:rPr>
          <w:rFonts w:asciiTheme="minorHAnsi" w:hAnsiTheme="minorHAnsi" w:cstheme="minorHAnsi"/>
          <w:color w:val="222222"/>
          <w:shd w:val="clear" w:color="auto" w:fill="FFFFFF"/>
        </w:rPr>
        <w:t>. John Wiley &amp; Sons.</w:t>
      </w:r>
    </w:p>
    <w:p w14:paraId="2E97C1BD" w14:textId="77777777" w:rsidR="00D94761" w:rsidRPr="00654D84" w:rsidRDefault="00D94761" w:rsidP="00D94761">
      <w:pPr>
        <w:spacing w:before="240" w:line="360" w:lineRule="auto"/>
        <w:rPr>
          <w:rFonts w:asciiTheme="minorHAnsi" w:hAnsiTheme="minorHAnsi" w:cstheme="minorHAnsi"/>
          <w:color w:val="auto"/>
        </w:rPr>
      </w:pPr>
      <w:r w:rsidRPr="00654D84">
        <w:rPr>
          <w:rFonts w:asciiTheme="minorHAnsi" w:hAnsiTheme="minorHAnsi" w:cstheme="minorHAnsi"/>
          <w:color w:val="auto"/>
        </w:rPr>
        <w:t xml:space="preserve">Bruner J. (1986). </w:t>
      </w:r>
      <w:r w:rsidRPr="00654D84">
        <w:rPr>
          <w:rFonts w:asciiTheme="minorHAnsi" w:hAnsiTheme="minorHAnsi" w:cstheme="minorHAnsi"/>
          <w:i/>
          <w:iCs/>
          <w:color w:val="auto"/>
        </w:rPr>
        <w:t>Actual minds, possible worlds</w:t>
      </w:r>
      <w:r w:rsidRPr="00654D84">
        <w:rPr>
          <w:rFonts w:asciiTheme="minorHAnsi" w:hAnsiTheme="minorHAnsi" w:cstheme="minorHAnsi"/>
          <w:color w:val="auto"/>
        </w:rPr>
        <w:t>. Cambridge, MA: Harvard University Press</w:t>
      </w:r>
    </w:p>
    <w:p w14:paraId="0EF04CB9" w14:textId="77777777" w:rsidR="00D94761" w:rsidRPr="00654D84" w:rsidRDefault="00D94761" w:rsidP="00D94761">
      <w:pPr>
        <w:spacing w:before="240"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Bruner, J.S. (1966) </w:t>
      </w:r>
      <w:r w:rsidRPr="00654D84">
        <w:rPr>
          <w:rStyle w:val="Emphasis"/>
          <w:rFonts w:asciiTheme="minorHAnsi" w:hAnsiTheme="minorHAnsi" w:cstheme="minorHAnsi"/>
          <w:color w:val="auto"/>
          <w:shd w:val="clear" w:color="auto" w:fill="FFFFFF"/>
        </w:rPr>
        <w:t>Towards a Theory of Instruction</w:t>
      </w:r>
      <w:r w:rsidRPr="00654D84">
        <w:rPr>
          <w:rFonts w:asciiTheme="minorHAnsi" w:hAnsiTheme="minorHAnsi" w:cstheme="minorHAnsi"/>
          <w:color w:val="auto"/>
          <w:shd w:val="clear" w:color="auto" w:fill="FFFFFF"/>
        </w:rPr>
        <w:t>. New York: W.W. Norton.</w:t>
      </w:r>
    </w:p>
    <w:p w14:paraId="33BC1F9D" w14:textId="77777777" w:rsidR="00D94761" w:rsidRPr="00654D84" w:rsidRDefault="00D94761" w:rsidP="00D94761">
      <w:pPr>
        <w:spacing w:before="240" w:line="360" w:lineRule="auto"/>
        <w:rPr>
          <w:rFonts w:asciiTheme="minorHAnsi" w:hAnsiTheme="minorHAnsi" w:cstheme="minorHAnsi"/>
          <w:color w:val="auto"/>
        </w:rPr>
      </w:pPr>
      <w:r w:rsidRPr="00654D84">
        <w:rPr>
          <w:rFonts w:asciiTheme="minorHAnsi" w:hAnsiTheme="minorHAnsi" w:cstheme="minorHAnsi"/>
          <w:color w:val="auto"/>
          <w:shd w:val="clear" w:color="auto" w:fill="FFFFFF"/>
        </w:rPr>
        <w:t xml:space="preserve">Castronova, J.A., (2002) </w:t>
      </w:r>
      <w:r w:rsidRPr="00654D84">
        <w:rPr>
          <w:rFonts w:asciiTheme="minorHAnsi" w:hAnsiTheme="minorHAnsi" w:cstheme="minorHAnsi"/>
          <w:i/>
          <w:iCs/>
          <w:color w:val="auto"/>
          <w:shd w:val="clear" w:color="auto" w:fill="FFFFFF"/>
        </w:rPr>
        <w:t>Discovery learning for the 21st century: What is it and how does it compare to traditional learning in effectiveness in the 21st century</w:t>
      </w:r>
      <w:r w:rsidRPr="00654D84">
        <w:rPr>
          <w:rFonts w:asciiTheme="minorHAnsi" w:hAnsiTheme="minorHAnsi" w:cstheme="minorHAnsi"/>
          <w:color w:val="auto"/>
          <w:shd w:val="clear" w:color="auto" w:fill="FFFFFF"/>
        </w:rPr>
        <w:t>. Action research exchange, 1(1), pp.1-12.</w:t>
      </w:r>
    </w:p>
    <w:p w14:paraId="53158BAC" w14:textId="77777777" w:rsidR="00D94761" w:rsidRPr="00654D84" w:rsidRDefault="00D94761" w:rsidP="00D94761">
      <w:pPr>
        <w:spacing w:line="360" w:lineRule="auto"/>
        <w:rPr>
          <w:rFonts w:asciiTheme="minorHAnsi" w:hAnsiTheme="minorHAnsi" w:cstheme="minorHAnsi"/>
          <w:color w:val="auto"/>
          <w:shd w:val="clear" w:color="auto" w:fill="C0A154"/>
        </w:rPr>
      </w:pPr>
      <w:r w:rsidRPr="00654D84">
        <w:rPr>
          <w:rFonts w:asciiTheme="minorHAnsi" w:hAnsiTheme="minorHAnsi" w:cstheme="minorHAnsi"/>
          <w:color w:val="auto"/>
        </w:rPr>
        <w:t>Chamberlin, M., &amp; Powers, R. (2010</w:t>
      </w:r>
      <w:r w:rsidRPr="00654D84">
        <w:rPr>
          <w:rFonts w:asciiTheme="minorHAnsi" w:hAnsiTheme="minorHAnsi" w:cstheme="minorHAnsi"/>
          <w:i/>
          <w:iCs/>
          <w:color w:val="auto"/>
        </w:rPr>
        <w:t>). The promise of differentiated instruction for enhancing the mathematical understandings of college students</w:t>
      </w:r>
      <w:r w:rsidRPr="00654D84">
        <w:rPr>
          <w:rFonts w:asciiTheme="minorHAnsi" w:hAnsiTheme="minorHAnsi" w:cstheme="minorHAnsi"/>
          <w:color w:val="auto"/>
        </w:rPr>
        <w:t>. Teaching Mathematics and Its Applications, 29(3), 113-139. doi:10.1093/teamat/hrq006</w:t>
      </w:r>
    </w:p>
    <w:p w14:paraId="7C9C23D1"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de Bono, E. (1987) </w:t>
      </w:r>
      <w:r w:rsidRPr="00654D84">
        <w:rPr>
          <w:rFonts w:asciiTheme="minorHAnsi" w:hAnsiTheme="minorHAnsi" w:cstheme="minorHAnsi"/>
          <w:i/>
          <w:iCs/>
          <w:color w:val="auto"/>
          <w:shd w:val="clear" w:color="auto" w:fill="FFFFFF"/>
        </w:rPr>
        <w:t>The CoRT Thinking Course</w:t>
      </w:r>
      <w:r w:rsidRPr="00654D84">
        <w:rPr>
          <w:rFonts w:asciiTheme="minorHAnsi" w:hAnsiTheme="minorHAnsi" w:cstheme="minorHAnsi"/>
          <w:color w:val="auto"/>
          <w:shd w:val="clear" w:color="auto" w:fill="FFFFFF"/>
        </w:rPr>
        <w:t>. London: Pergamon.</w:t>
      </w:r>
    </w:p>
    <w:p w14:paraId="0D16FD11" w14:textId="77777777" w:rsidR="00D94761" w:rsidRPr="00654D84" w:rsidRDefault="00D94761" w:rsidP="00D94761">
      <w:pPr>
        <w:spacing w:line="360" w:lineRule="auto"/>
        <w:rPr>
          <w:rFonts w:asciiTheme="minorHAnsi" w:hAnsiTheme="minorHAnsi" w:cstheme="minorHAnsi"/>
          <w:color w:val="auto"/>
          <w:u w:val="single"/>
        </w:rPr>
      </w:pPr>
      <w:r w:rsidRPr="00654D84">
        <w:rPr>
          <w:rFonts w:asciiTheme="minorHAnsi" w:hAnsiTheme="minorHAnsi" w:cstheme="minorHAnsi"/>
          <w:color w:val="auto"/>
          <w:shd w:val="clear" w:color="auto" w:fill="FFFFFF"/>
        </w:rPr>
        <w:t>Donaldson, G. (2015) </w:t>
      </w:r>
      <w:r w:rsidRPr="00654D84">
        <w:rPr>
          <w:rFonts w:asciiTheme="minorHAnsi" w:hAnsiTheme="minorHAnsi" w:cstheme="minorHAnsi"/>
          <w:i/>
          <w:iCs/>
          <w:color w:val="auto"/>
          <w:shd w:val="clear" w:color="auto" w:fill="FFFFFF"/>
        </w:rPr>
        <w:t>Successful Futures: Independent review of curriculum and assessment arrangements in Wales</w:t>
      </w:r>
      <w:r w:rsidRPr="00654D84">
        <w:rPr>
          <w:rFonts w:asciiTheme="minorHAnsi" w:hAnsiTheme="minorHAnsi" w:cstheme="minorHAnsi"/>
          <w:color w:val="auto"/>
          <w:shd w:val="clear" w:color="auto" w:fill="FFFFFF"/>
        </w:rPr>
        <w:t>. Caerdydd: Llywodraeth Cenedlaethol Cymru.</w:t>
      </w:r>
    </w:p>
    <w:p w14:paraId="45F73DA2"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Donovan, C.A. and Smolkin, L.B. (2002) </w:t>
      </w:r>
      <w:r w:rsidRPr="00654D84">
        <w:rPr>
          <w:rFonts w:asciiTheme="minorHAnsi" w:hAnsiTheme="minorHAnsi" w:cstheme="minorHAnsi"/>
          <w:i/>
          <w:iCs/>
          <w:color w:val="auto"/>
          <w:shd w:val="clear" w:color="auto" w:fill="FFFFFF"/>
        </w:rPr>
        <w:t>Children's genre knowledge: An examination of K‐5 students' performance on multiple tasks providing differing levels of scaffolding</w:t>
      </w:r>
      <w:r w:rsidRPr="00654D84">
        <w:rPr>
          <w:rFonts w:asciiTheme="minorHAnsi" w:hAnsiTheme="minorHAnsi" w:cstheme="minorHAnsi"/>
          <w:color w:val="auto"/>
          <w:shd w:val="clear" w:color="auto" w:fill="FFFFFF"/>
        </w:rPr>
        <w:t>. Reading Research Quarterly, 37(4), pp.428-465.</w:t>
      </w:r>
    </w:p>
    <w:p w14:paraId="39043C21" w14:textId="77777777" w:rsidR="00D94761" w:rsidRPr="00654D84" w:rsidRDefault="00D94761" w:rsidP="00D94761">
      <w:pPr>
        <w:spacing w:line="360" w:lineRule="auto"/>
        <w:rPr>
          <w:rFonts w:asciiTheme="minorHAnsi" w:hAnsiTheme="minorHAnsi" w:cstheme="minorHAnsi"/>
          <w:color w:val="auto"/>
        </w:rPr>
      </w:pPr>
      <w:r w:rsidRPr="00654D84">
        <w:rPr>
          <w:rFonts w:asciiTheme="minorHAnsi" w:hAnsiTheme="minorHAnsi" w:cstheme="minorHAnsi"/>
          <w:color w:val="auto"/>
        </w:rPr>
        <w:t xml:space="preserve">Estyn (2018) </w:t>
      </w:r>
      <w:r w:rsidRPr="00654D84">
        <w:rPr>
          <w:rFonts w:asciiTheme="minorHAnsi" w:hAnsiTheme="minorHAnsi" w:cstheme="minorHAnsi"/>
          <w:i/>
          <w:iCs/>
          <w:color w:val="auto"/>
        </w:rPr>
        <w:t>Inspection report School X</w:t>
      </w:r>
      <w:r w:rsidRPr="00654D84">
        <w:rPr>
          <w:rFonts w:asciiTheme="minorHAnsi" w:hAnsiTheme="minorHAnsi" w:cstheme="minorHAnsi"/>
          <w:color w:val="auto"/>
        </w:rPr>
        <w:t xml:space="preserve"> Available at: </w:t>
      </w:r>
      <w:hyperlink r:id="rId4" w:history="1">
        <w:r w:rsidRPr="00654D84">
          <w:rPr>
            <w:rStyle w:val="Hyperlink"/>
            <w:rFonts w:asciiTheme="minorHAnsi" w:hAnsiTheme="minorHAnsi" w:cstheme="minorHAnsi"/>
            <w:color w:val="auto"/>
            <w:shd w:val="clear" w:color="auto" w:fill="FFFFFF"/>
          </w:rPr>
          <w:t>https://www.estyn.gov.wales/provider/XXXXXX</w:t>
        </w:r>
      </w:hyperlink>
      <w:r w:rsidRPr="00654D84">
        <w:rPr>
          <w:rFonts w:asciiTheme="minorHAnsi" w:hAnsiTheme="minorHAnsi" w:cstheme="minorHAnsi"/>
          <w:color w:val="auto"/>
          <w:shd w:val="clear" w:color="auto" w:fill="FFFFFF"/>
        </w:rPr>
        <w:t xml:space="preserve"> Accessed on 5 October 2022</w:t>
      </w:r>
    </w:p>
    <w:p w14:paraId="72839461" w14:textId="77777777" w:rsidR="00D94761" w:rsidRPr="00654D84" w:rsidRDefault="00D94761" w:rsidP="00D94761">
      <w:pPr>
        <w:spacing w:line="360" w:lineRule="auto"/>
        <w:rPr>
          <w:rFonts w:asciiTheme="minorHAnsi" w:hAnsiTheme="minorHAnsi" w:cstheme="minorHAnsi"/>
          <w:color w:val="auto"/>
        </w:rPr>
      </w:pPr>
      <w:r w:rsidRPr="00654D84">
        <w:rPr>
          <w:rFonts w:asciiTheme="minorHAnsi" w:hAnsiTheme="minorHAnsi" w:cstheme="minorHAnsi"/>
          <w:color w:val="auto"/>
          <w:shd w:val="clear" w:color="auto" w:fill="FFFFFF"/>
        </w:rPr>
        <w:t>Fisher, D. (2008</w:t>
      </w:r>
      <w:r w:rsidRPr="00654D84">
        <w:rPr>
          <w:rFonts w:asciiTheme="minorHAnsi" w:hAnsiTheme="minorHAnsi" w:cstheme="minorHAnsi"/>
          <w:i/>
          <w:iCs/>
          <w:color w:val="auto"/>
          <w:shd w:val="clear" w:color="auto" w:fill="FFFFFF"/>
        </w:rPr>
        <w:t>) Effective use of the gradual release of responsibility model</w:t>
      </w:r>
      <w:r w:rsidRPr="00654D84">
        <w:rPr>
          <w:rFonts w:asciiTheme="minorHAnsi" w:hAnsiTheme="minorHAnsi" w:cstheme="minorHAnsi"/>
          <w:color w:val="auto"/>
          <w:shd w:val="clear" w:color="auto" w:fill="FFFFFF"/>
        </w:rPr>
        <w:t>. Author Monographs, pp.1-4.</w:t>
      </w:r>
    </w:p>
    <w:p w14:paraId="3CE037A3" w14:textId="77777777" w:rsidR="00D94761" w:rsidRPr="00654D84" w:rsidRDefault="00D94761" w:rsidP="00D94761">
      <w:pPr>
        <w:spacing w:before="240" w:line="360" w:lineRule="auto"/>
        <w:rPr>
          <w:rFonts w:asciiTheme="minorHAnsi" w:hAnsiTheme="minorHAnsi" w:cstheme="minorHAnsi"/>
          <w:color w:val="auto"/>
        </w:rPr>
      </w:pPr>
      <w:r w:rsidRPr="00654D84">
        <w:rPr>
          <w:rFonts w:asciiTheme="minorHAnsi" w:hAnsiTheme="minorHAnsi" w:cstheme="minorHAnsi"/>
          <w:color w:val="auto"/>
        </w:rPr>
        <w:t xml:space="preserve">Fisher, D. (2013). </w:t>
      </w:r>
      <w:r w:rsidRPr="00654D84">
        <w:rPr>
          <w:rFonts w:asciiTheme="minorHAnsi" w:hAnsiTheme="minorHAnsi" w:cstheme="minorHAnsi"/>
          <w:i/>
          <w:iCs/>
          <w:color w:val="auto"/>
        </w:rPr>
        <w:t>Gradual Release of Responsibility</w:t>
      </w:r>
      <w:r w:rsidRPr="00654D84">
        <w:rPr>
          <w:rFonts w:asciiTheme="minorHAnsi" w:hAnsiTheme="minorHAnsi" w:cstheme="minorHAnsi"/>
          <w:color w:val="auto"/>
        </w:rPr>
        <w:t xml:space="preserve"> [video] Available at: </w:t>
      </w:r>
      <w:hyperlink r:id="rId5" w:history="1">
        <w:r w:rsidRPr="00654D84">
          <w:rPr>
            <w:rStyle w:val="Hyperlink"/>
            <w:rFonts w:asciiTheme="minorHAnsi" w:hAnsiTheme="minorHAnsi" w:cstheme="minorHAnsi"/>
            <w:color w:val="auto"/>
          </w:rPr>
          <w:t>(8) Gradual Release of Responsibility - YouTube</w:t>
        </w:r>
      </w:hyperlink>
      <w:r w:rsidRPr="00654D84">
        <w:rPr>
          <w:rFonts w:asciiTheme="minorHAnsi" w:hAnsiTheme="minorHAnsi" w:cstheme="minorHAnsi"/>
          <w:color w:val="auto"/>
        </w:rPr>
        <w:t xml:space="preserve"> (Accessed: 30</w:t>
      </w:r>
      <w:r w:rsidRPr="00654D84">
        <w:rPr>
          <w:rFonts w:asciiTheme="minorHAnsi" w:hAnsiTheme="minorHAnsi" w:cstheme="minorHAnsi"/>
          <w:color w:val="auto"/>
          <w:vertAlign w:val="superscript"/>
        </w:rPr>
        <w:t xml:space="preserve"> </w:t>
      </w:r>
      <w:r w:rsidRPr="00654D84">
        <w:rPr>
          <w:rFonts w:asciiTheme="minorHAnsi" w:hAnsiTheme="minorHAnsi" w:cstheme="minorHAnsi"/>
          <w:color w:val="auto"/>
        </w:rPr>
        <w:t>October 2022).</w:t>
      </w:r>
    </w:p>
    <w:p w14:paraId="00C33F5C" w14:textId="77777777" w:rsidR="00D94761" w:rsidRPr="00654D84" w:rsidRDefault="00D94761" w:rsidP="00D94761">
      <w:pPr>
        <w:spacing w:before="240" w:line="360" w:lineRule="auto"/>
        <w:rPr>
          <w:rFonts w:asciiTheme="minorHAnsi" w:hAnsiTheme="minorHAnsi" w:cstheme="minorHAnsi"/>
          <w:color w:val="auto"/>
        </w:rPr>
      </w:pPr>
      <w:r w:rsidRPr="00654D84">
        <w:rPr>
          <w:rFonts w:asciiTheme="minorHAnsi" w:hAnsiTheme="minorHAnsi" w:cstheme="minorHAnsi"/>
          <w:color w:val="auto"/>
        </w:rPr>
        <w:t>Fisher, D. (2021</w:t>
      </w:r>
      <w:r w:rsidRPr="00654D84">
        <w:rPr>
          <w:rFonts w:asciiTheme="minorHAnsi" w:hAnsiTheme="minorHAnsi" w:cstheme="minorHAnsi"/>
          <w:i/>
          <w:iCs/>
          <w:color w:val="auto"/>
        </w:rPr>
        <w:t>). Keys to Great Teaching - Gradual Release of Responsibility</w:t>
      </w:r>
      <w:r w:rsidRPr="00654D84">
        <w:rPr>
          <w:rFonts w:asciiTheme="minorHAnsi" w:hAnsiTheme="minorHAnsi" w:cstheme="minorHAnsi"/>
          <w:color w:val="auto"/>
        </w:rPr>
        <w:t xml:space="preserve"> [video] Available at: </w:t>
      </w:r>
      <w:hyperlink r:id="rId6" w:history="1">
        <w:r w:rsidRPr="00654D84">
          <w:rPr>
            <w:rStyle w:val="Hyperlink"/>
            <w:rFonts w:asciiTheme="minorHAnsi" w:hAnsiTheme="minorHAnsi" w:cstheme="minorHAnsi"/>
            <w:color w:val="auto"/>
          </w:rPr>
          <w:t>(8) KEYS to Great Teaching - Gradual Release of Responsibility - YouTube</w:t>
        </w:r>
      </w:hyperlink>
    </w:p>
    <w:p w14:paraId="5D626969" w14:textId="77777777" w:rsidR="00D94761" w:rsidRPr="00654D84" w:rsidRDefault="00D94761" w:rsidP="00D94761">
      <w:pPr>
        <w:spacing w:before="240" w:line="360" w:lineRule="auto"/>
        <w:rPr>
          <w:rFonts w:asciiTheme="minorHAnsi" w:hAnsiTheme="minorHAnsi" w:cstheme="minorHAnsi"/>
          <w:color w:val="auto"/>
        </w:rPr>
      </w:pPr>
      <w:r w:rsidRPr="00654D84">
        <w:rPr>
          <w:rFonts w:asciiTheme="minorHAnsi" w:hAnsiTheme="minorHAnsi" w:cstheme="minorHAnsi"/>
          <w:color w:val="auto"/>
          <w:shd w:val="clear" w:color="auto" w:fill="FFFFFF"/>
        </w:rPr>
        <w:lastRenderedPageBreak/>
        <w:t>Fisher, D. and Frey, N., (2021). </w:t>
      </w:r>
      <w:r w:rsidRPr="00654D84">
        <w:rPr>
          <w:rFonts w:asciiTheme="minorHAnsi" w:hAnsiTheme="minorHAnsi" w:cstheme="minorHAnsi"/>
          <w:i/>
          <w:iCs/>
          <w:color w:val="auto"/>
          <w:shd w:val="clear" w:color="auto" w:fill="FFFFFF"/>
        </w:rPr>
        <w:t>Better learning through structured teaching: A framework for the gradual release of responsibility</w:t>
      </w:r>
      <w:r w:rsidRPr="00654D84">
        <w:rPr>
          <w:rFonts w:asciiTheme="minorHAnsi" w:hAnsiTheme="minorHAnsi" w:cstheme="minorHAnsi"/>
          <w:color w:val="auto"/>
          <w:shd w:val="clear" w:color="auto" w:fill="FFFFFF"/>
        </w:rPr>
        <w:t>. 3</w:t>
      </w:r>
      <w:r w:rsidRPr="00654D84">
        <w:rPr>
          <w:rFonts w:asciiTheme="minorHAnsi" w:hAnsiTheme="minorHAnsi" w:cstheme="minorHAnsi"/>
          <w:color w:val="auto"/>
          <w:shd w:val="clear" w:color="auto" w:fill="FFFFFF"/>
          <w:vertAlign w:val="superscript"/>
        </w:rPr>
        <w:t>rd</w:t>
      </w:r>
      <w:r w:rsidRPr="00654D84">
        <w:rPr>
          <w:rFonts w:asciiTheme="minorHAnsi" w:hAnsiTheme="minorHAnsi" w:cstheme="minorHAnsi"/>
          <w:color w:val="auto"/>
          <w:shd w:val="clear" w:color="auto" w:fill="FFFFFF"/>
        </w:rPr>
        <w:t xml:space="preserve"> Edition. ASCD.</w:t>
      </w:r>
    </w:p>
    <w:p w14:paraId="2372DBCE" w14:textId="77777777" w:rsidR="00D94761" w:rsidRPr="005E5DED" w:rsidRDefault="00D94761" w:rsidP="00D94761">
      <w:pPr>
        <w:spacing w:line="360" w:lineRule="auto"/>
        <w:rPr>
          <w:rFonts w:asciiTheme="minorHAnsi" w:hAnsiTheme="minorHAnsi" w:cstheme="minorHAnsi"/>
          <w:shd w:val="clear" w:color="auto" w:fill="FFFFFF"/>
        </w:rPr>
      </w:pPr>
      <w:r w:rsidRPr="00654D84">
        <w:rPr>
          <w:rFonts w:asciiTheme="minorHAnsi" w:hAnsiTheme="minorHAnsi" w:cstheme="minorHAnsi"/>
          <w:color w:val="auto"/>
          <w:shd w:val="clear" w:color="auto" w:fill="FFFFFF"/>
        </w:rPr>
        <w:t>Fisher, D., Frey, N. and Hattie, J. (2016). </w:t>
      </w:r>
      <w:r w:rsidRPr="00654D84">
        <w:rPr>
          <w:rFonts w:asciiTheme="minorHAnsi" w:hAnsiTheme="minorHAnsi" w:cstheme="minorHAnsi"/>
          <w:i/>
          <w:iCs/>
          <w:color w:val="auto"/>
          <w:shd w:val="clear" w:color="auto" w:fill="FFFFFF"/>
        </w:rPr>
        <w:t xml:space="preserve">Visible learning for literacy, grades K-12: </w:t>
      </w:r>
      <w:r w:rsidRPr="005E5DED">
        <w:rPr>
          <w:rFonts w:asciiTheme="minorHAnsi" w:hAnsiTheme="minorHAnsi" w:cstheme="minorHAnsi"/>
          <w:i/>
          <w:iCs/>
          <w:color w:val="auto"/>
          <w:shd w:val="clear" w:color="auto" w:fill="FFFFFF"/>
        </w:rPr>
        <w:t>Implementing the practices that work best to accelerate student learning</w:t>
      </w:r>
      <w:r w:rsidRPr="005E5DED">
        <w:rPr>
          <w:rFonts w:asciiTheme="minorHAnsi" w:hAnsiTheme="minorHAnsi" w:cstheme="minorHAnsi"/>
          <w:color w:val="auto"/>
          <w:shd w:val="clear" w:color="auto" w:fill="FFFFFF"/>
        </w:rPr>
        <w:t>. Corwin Press.</w:t>
      </w:r>
    </w:p>
    <w:p w14:paraId="08673A0B" w14:textId="77777777" w:rsidR="00D94761" w:rsidRPr="005E5DED" w:rsidRDefault="00D94761" w:rsidP="00D94761">
      <w:pPr>
        <w:spacing w:line="360" w:lineRule="auto"/>
        <w:rPr>
          <w:rFonts w:asciiTheme="minorHAnsi" w:hAnsiTheme="minorHAnsi" w:cstheme="minorHAnsi"/>
          <w:color w:val="auto"/>
          <w:shd w:val="clear" w:color="auto" w:fill="FFFFFF"/>
        </w:rPr>
      </w:pPr>
      <w:r w:rsidRPr="005E5DED">
        <w:rPr>
          <w:rFonts w:asciiTheme="minorHAnsi" w:hAnsiTheme="minorHAnsi" w:cstheme="minorHAnsi"/>
          <w:color w:val="222222"/>
          <w:shd w:val="clear" w:color="auto" w:fill="FFFFFF"/>
        </w:rPr>
        <w:t>Hattie, J. (2012) </w:t>
      </w:r>
      <w:r w:rsidRPr="005E5DED">
        <w:rPr>
          <w:rFonts w:asciiTheme="minorHAnsi" w:hAnsiTheme="minorHAnsi" w:cstheme="minorHAnsi"/>
          <w:i/>
          <w:iCs/>
          <w:color w:val="222222"/>
          <w:shd w:val="clear" w:color="auto" w:fill="FFFFFF"/>
        </w:rPr>
        <w:t>Visible learning for teachers: Maximizing impact on learning</w:t>
      </w:r>
      <w:r w:rsidRPr="005E5DED">
        <w:rPr>
          <w:rFonts w:asciiTheme="minorHAnsi" w:hAnsiTheme="minorHAnsi" w:cstheme="minorHAnsi"/>
          <w:color w:val="222222"/>
          <w:shd w:val="clear" w:color="auto" w:fill="FFFFFF"/>
        </w:rPr>
        <w:t>. Routledge.</w:t>
      </w:r>
    </w:p>
    <w:p w14:paraId="7B2A610E" w14:textId="77777777" w:rsidR="00D94761" w:rsidRPr="00654D84" w:rsidRDefault="00D94761" w:rsidP="00D94761">
      <w:pPr>
        <w:spacing w:line="360" w:lineRule="auto"/>
        <w:rPr>
          <w:rFonts w:asciiTheme="minorHAnsi" w:hAnsiTheme="minorHAnsi" w:cstheme="minorHAnsi"/>
          <w:color w:val="auto"/>
        </w:rPr>
      </w:pPr>
      <w:r w:rsidRPr="00654D84">
        <w:rPr>
          <w:rFonts w:asciiTheme="minorHAnsi" w:hAnsiTheme="minorHAnsi" w:cstheme="minorHAnsi"/>
          <w:color w:val="auto"/>
          <w:shd w:val="clear" w:color="auto" w:fill="FFFFFF"/>
        </w:rPr>
        <w:t xml:space="preserve">Hussain, A., Azeem, M. and Shakoor, A. (2011) </w:t>
      </w:r>
      <w:r w:rsidRPr="00654D84">
        <w:rPr>
          <w:rFonts w:asciiTheme="minorHAnsi" w:hAnsiTheme="minorHAnsi" w:cstheme="minorHAnsi"/>
          <w:i/>
          <w:iCs/>
          <w:color w:val="auto"/>
          <w:shd w:val="clear" w:color="auto" w:fill="FFFFFF"/>
        </w:rPr>
        <w:t>Physics teaching methods: scientific inquiry vs traditional lecture.</w:t>
      </w:r>
      <w:r w:rsidRPr="00654D84">
        <w:rPr>
          <w:rFonts w:asciiTheme="minorHAnsi" w:hAnsiTheme="minorHAnsi" w:cstheme="minorHAnsi"/>
          <w:color w:val="auto"/>
          <w:shd w:val="clear" w:color="auto" w:fill="FFFFFF"/>
        </w:rPr>
        <w:t> International Journal of Humanities and Social Science, </w:t>
      </w:r>
      <w:r w:rsidRPr="00654D84">
        <w:rPr>
          <w:rFonts w:asciiTheme="minorHAnsi" w:hAnsiTheme="minorHAnsi" w:cstheme="minorHAnsi"/>
          <w:i/>
          <w:iCs/>
          <w:color w:val="auto"/>
          <w:shd w:val="clear" w:color="auto" w:fill="FFFFFF"/>
        </w:rPr>
        <w:t>1</w:t>
      </w:r>
      <w:r w:rsidRPr="00654D84">
        <w:rPr>
          <w:rFonts w:asciiTheme="minorHAnsi" w:hAnsiTheme="minorHAnsi" w:cstheme="minorHAnsi"/>
          <w:color w:val="auto"/>
          <w:shd w:val="clear" w:color="auto" w:fill="FFFFFF"/>
        </w:rPr>
        <w:t>(19), pp.269-276.</w:t>
      </w:r>
    </w:p>
    <w:p w14:paraId="23DA449B" w14:textId="77777777" w:rsidR="00D94761" w:rsidRPr="00654D84" w:rsidRDefault="00D94761" w:rsidP="00D94761">
      <w:pPr>
        <w:spacing w:line="360" w:lineRule="auto"/>
        <w:rPr>
          <w:rFonts w:asciiTheme="minorHAnsi" w:hAnsiTheme="minorHAnsi" w:cstheme="minorHAnsi"/>
          <w:color w:val="auto"/>
        </w:rPr>
      </w:pPr>
      <w:r w:rsidRPr="00654D84">
        <w:rPr>
          <w:rFonts w:asciiTheme="minorHAnsi" w:hAnsiTheme="minorHAnsi" w:cstheme="minorHAnsi"/>
          <w:color w:val="auto"/>
          <w:shd w:val="clear" w:color="auto" w:fill="FFFFFF"/>
        </w:rPr>
        <w:t xml:space="preserve">Khalaf, B.K. and Mohammed Zin, Z.B. </w:t>
      </w:r>
      <w:r>
        <w:rPr>
          <w:rFonts w:cstheme="minorHAnsi"/>
          <w:shd w:val="clear" w:color="auto" w:fill="FFFFFF"/>
        </w:rPr>
        <w:t>(2</w:t>
      </w:r>
      <w:r w:rsidRPr="00654D84">
        <w:rPr>
          <w:rFonts w:asciiTheme="minorHAnsi" w:hAnsiTheme="minorHAnsi" w:cstheme="minorHAnsi"/>
          <w:color w:val="auto"/>
          <w:shd w:val="clear" w:color="auto" w:fill="FFFFFF"/>
        </w:rPr>
        <w:t xml:space="preserve">018) </w:t>
      </w:r>
      <w:r w:rsidRPr="00654D84">
        <w:rPr>
          <w:rFonts w:asciiTheme="minorHAnsi" w:hAnsiTheme="minorHAnsi" w:cstheme="minorHAnsi"/>
          <w:i/>
          <w:iCs/>
          <w:color w:val="auto"/>
          <w:shd w:val="clear" w:color="auto" w:fill="FFFFFF"/>
        </w:rPr>
        <w:t>Traditional and Inquiry-Based Learning Pedagogy: A Systematic Critical Review</w:t>
      </w:r>
      <w:r w:rsidRPr="00654D84">
        <w:rPr>
          <w:rFonts w:asciiTheme="minorHAnsi" w:hAnsiTheme="minorHAnsi" w:cstheme="minorHAnsi"/>
          <w:color w:val="auto"/>
          <w:shd w:val="clear" w:color="auto" w:fill="FFFFFF"/>
        </w:rPr>
        <w:t>. International Journal of Instruction, </w:t>
      </w:r>
      <w:r w:rsidRPr="00654D84">
        <w:rPr>
          <w:rFonts w:asciiTheme="minorHAnsi" w:hAnsiTheme="minorHAnsi" w:cstheme="minorHAnsi"/>
          <w:i/>
          <w:iCs/>
          <w:color w:val="auto"/>
          <w:shd w:val="clear" w:color="auto" w:fill="FFFFFF"/>
        </w:rPr>
        <w:t>11</w:t>
      </w:r>
      <w:r w:rsidRPr="00654D84">
        <w:rPr>
          <w:rFonts w:asciiTheme="minorHAnsi" w:hAnsiTheme="minorHAnsi" w:cstheme="minorHAnsi"/>
          <w:color w:val="auto"/>
          <w:shd w:val="clear" w:color="auto" w:fill="FFFFFF"/>
        </w:rPr>
        <w:t>(4), pp.545-564.</w:t>
      </w:r>
    </w:p>
    <w:p w14:paraId="0786C527" w14:textId="77777777" w:rsidR="00D94761" w:rsidRPr="00654D84" w:rsidRDefault="00D94761" w:rsidP="00D94761">
      <w:pPr>
        <w:spacing w:line="360" w:lineRule="auto"/>
        <w:rPr>
          <w:rFonts w:asciiTheme="minorHAnsi" w:hAnsiTheme="minorHAnsi" w:cstheme="minorHAnsi"/>
          <w:color w:val="auto"/>
        </w:rPr>
      </w:pPr>
      <w:r w:rsidRPr="00654D84">
        <w:rPr>
          <w:rFonts w:asciiTheme="minorHAnsi" w:hAnsiTheme="minorHAnsi" w:cstheme="minorHAnsi"/>
          <w:color w:val="auto"/>
          <w:shd w:val="clear" w:color="auto" w:fill="FFFFFF"/>
        </w:rPr>
        <w:t>Kolb, D. A. (1984). </w:t>
      </w:r>
      <w:r w:rsidRPr="00654D84">
        <w:rPr>
          <w:rStyle w:val="Emphasis"/>
          <w:rFonts w:asciiTheme="minorHAnsi" w:hAnsiTheme="minorHAnsi" w:cstheme="minorHAnsi"/>
          <w:color w:val="auto"/>
          <w:shd w:val="clear" w:color="auto" w:fill="FFFFFF"/>
        </w:rPr>
        <w:t>Experiential learning: Experience as the source of learning and development</w:t>
      </w:r>
      <w:r w:rsidRPr="00654D84">
        <w:rPr>
          <w:rFonts w:asciiTheme="minorHAnsi" w:hAnsiTheme="minorHAnsi" w:cstheme="minorHAnsi"/>
          <w:color w:val="auto"/>
          <w:shd w:val="clear" w:color="auto" w:fill="FFFFFF"/>
        </w:rPr>
        <w:t> (Vol. 1). Englewood Cliffs, NJ: Prentice-Hall.</w:t>
      </w:r>
    </w:p>
    <w:p w14:paraId="584630A6"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McKechnie, L.E. (2008) </w:t>
      </w:r>
      <w:r w:rsidRPr="00654D84">
        <w:rPr>
          <w:rFonts w:asciiTheme="minorHAnsi" w:hAnsiTheme="minorHAnsi" w:cstheme="minorHAnsi"/>
          <w:i/>
          <w:iCs/>
          <w:color w:val="auto"/>
          <w:shd w:val="clear" w:color="auto" w:fill="FFFFFF"/>
        </w:rPr>
        <w:t>Observational research</w:t>
      </w:r>
      <w:r w:rsidRPr="00654D84">
        <w:rPr>
          <w:rFonts w:asciiTheme="minorHAnsi" w:hAnsiTheme="minorHAnsi" w:cstheme="minorHAnsi"/>
          <w:color w:val="auto"/>
          <w:shd w:val="clear" w:color="auto" w:fill="FFFFFF"/>
        </w:rPr>
        <w:t xml:space="preserve">. The SAGE encyclopedia of qualitative research methods, 1, pp.573-575. Cited in Smit, B., &amp; Onwuegbuzie, A. J. (2018). </w:t>
      </w:r>
    </w:p>
    <w:p w14:paraId="17C53516"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Osuafor, A.M. and Okigbo, E.C. (2013) </w:t>
      </w:r>
      <w:r w:rsidRPr="00654D84">
        <w:rPr>
          <w:rFonts w:asciiTheme="minorHAnsi" w:hAnsiTheme="minorHAnsi" w:cstheme="minorHAnsi"/>
          <w:i/>
          <w:iCs/>
          <w:color w:val="auto"/>
          <w:shd w:val="clear" w:color="auto" w:fill="FFFFFF"/>
        </w:rPr>
        <w:t>Effect of differentiated instruction on the academic achievement of Nigerian secondary school biology students</w:t>
      </w:r>
      <w:r w:rsidRPr="00654D84">
        <w:rPr>
          <w:rFonts w:asciiTheme="minorHAnsi" w:hAnsiTheme="minorHAnsi" w:cstheme="minorHAnsi"/>
          <w:color w:val="auto"/>
          <w:shd w:val="clear" w:color="auto" w:fill="FFFFFF"/>
        </w:rPr>
        <w:t>. Educational Research, 4(7), pp.555-560.</w:t>
      </w:r>
    </w:p>
    <w:p w14:paraId="03924C3C" w14:textId="77777777" w:rsidR="00D94761" w:rsidRPr="0088653F" w:rsidRDefault="00D94761" w:rsidP="00D94761">
      <w:pPr>
        <w:spacing w:line="360" w:lineRule="auto"/>
        <w:rPr>
          <w:rFonts w:asciiTheme="minorHAnsi" w:hAnsiTheme="minorHAnsi" w:cstheme="minorHAnsi"/>
          <w:color w:val="auto"/>
          <w:shd w:val="clear" w:color="auto" w:fill="FFFFFF"/>
        </w:rPr>
      </w:pPr>
      <w:r w:rsidRPr="0088653F">
        <w:rPr>
          <w:rFonts w:asciiTheme="minorHAnsi" w:hAnsiTheme="minorHAnsi" w:cstheme="minorHAnsi"/>
          <w:color w:val="auto"/>
          <w:shd w:val="clear" w:color="auto" w:fill="FFFFFF"/>
        </w:rPr>
        <w:t>Palincsar, A.S. and Brown, A.L. (1983</w:t>
      </w:r>
      <w:r w:rsidRPr="0088653F">
        <w:rPr>
          <w:rFonts w:asciiTheme="minorHAnsi" w:hAnsiTheme="minorHAnsi" w:cstheme="minorHAnsi"/>
          <w:i/>
          <w:iCs/>
          <w:color w:val="auto"/>
          <w:shd w:val="clear" w:color="auto" w:fill="FFFFFF"/>
        </w:rPr>
        <w:t>) Reciprocal teaching of comprehension-monitoring activities.</w:t>
      </w:r>
      <w:r w:rsidRPr="0088653F">
        <w:rPr>
          <w:rFonts w:asciiTheme="minorHAnsi" w:hAnsiTheme="minorHAnsi" w:cstheme="minorHAnsi"/>
          <w:color w:val="auto"/>
          <w:shd w:val="clear" w:color="auto" w:fill="FFFFFF"/>
        </w:rPr>
        <w:t> Center for the Study of Reading Technical Report</w:t>
      </w:r>
      <w:r w:rsidRPr="0088653F">
        <w:rPr>
          <w:rFonts w:asciiTheme="minorHAnsi" w:hAnsiTheme="minorHAnsi" w:cstheme="minorHAnsi"/>
          <w:i/>
          <w:iCs/>
          <w:color w:val="auto"/>
          <w:shd w:val="clear" w:color="auto" w:fill="FFFFFF"/>
        </w:rPr>
        <w:t>; no. 269</w:t>
      </w:r>
      <w:r w:rsidRPr="0088653F">
        <w:rPr>
          <w:rFonts w:asciiTheme="minorHAnsi" w:hAnsiTheme="minorHAnsi" w:cstheme="minorHAnsi"/>
          <w:color w:val="auto"/>
          <w:shd w:val="clear" w:color="auto" w:fill="FFFFFF"/>
        </w:rPr>
        <w:t>.</w:t>
      </w:r>
    </w:p>
    <w:p w14:paraId="1E8358F7" w14:textId="77777777" w:rsidR="00D94761" w:rsidRPr="0088653F" w:rsidRDefault="00D94761" w:rsidP="00D94761">
      <w:pPr>
        <w:spacing w:before="240" w:line="360" w:lineRule="auto"/>
        <w:rPr>
          <w:rFonts w:asciiTheme="minorHAnsi" w:hAnsiTheme="minorHAnsi" w:cstheme="minorHAnsi"/>
          <w:color w:val="auto"/>
          <w:shd w:val="clear" w:color="auto" w:fill="FFFFFF"/>
        </w:rPr>
      </w:pPr>
      <w:r w:rsidRPr="0088653F">
        <w:rPr>
          <w:rFonts w:asciiTheme="minorHAnsi" w:hAnsiTheme="minorHAnsi" w:cstheme="minorHAnsi"/>
          <w:color w:val="auto"/>
          <w:shd w:val="clear" w:color="auto" w:fill="FFFFFF"/>
        </w:rPr>
        <w:t xml:space="preserve">Pearson, P.D. and Gallagher, G. (1983) </w:t>
      </w:r>
      <w:r w:rsidRPr="0088653F">
        <w:rPr>
          <w:rFonts w:asciiTheme="minorHAnsi" w:hAnsiTheme="minorHAnsi" w:cstheme="minorHAnsi"/>
          <w:i/>
          <w:iCs/>
          <w:color w:val="auto"/>
          <w:shd w:val="clear" w:color="auto" w:fill="FFFFFF"/>
        </w:rPr>
        <w:t>The gradual release of responsibility model of instruction.</w:t>
      </w:r>
      <w:r w:rsidRPr="0088653F">
        <w:rPr>
          <w:rFonts w:asciiTheme="minorHAnsi" w:hAnsiTheme="minorHAnsi" w:cstheme="minorHAnsi"/>
          <w:color w:val="auto"/>
          <w:shd w:val="clear" w:color="auto" w:fill="FFFFFF"/>
        </w:rPr>
        <w:t> Contemporary Educational Psychology, 8(3), pp.112-123.</w:t>
      </w:r>
    </w:p>
    <w:p w14:paraId="2FF8B3EE" w14:textId="77777777" w:rsidR="00D94761" w:rsidRPr="00654D84" w:rsidRDefault="00D94761" w:rsidP="00D94761">
      <w:pPr>
        <w:spacing w:line="360" w:lineRule="auto"/>
        <w:rPr>
          <w:rFonts w:asciiTheme="minorHAnsi" w:hAnsiTheme="minorHAnsi" w:cstheme="minorHAnsi"/>
          <w:color w:val="auto"/>
          <w:highlight w:val="yellow"/>
        </w:rPr>
      </w:pPr>
      <w:r w:rsidRPr="0088653F">
        <w:rPr>
          <w:rFonts w:asciiTheme="minorHAnsi" w:hAnsiTheme="minorHAnsi" w:cstheme="minorHAnsi"/>
          <w:color w:val="auto"/>
          <w:shd w:val="clear" w:color="auto" w:fill="FFFFFF"/>
        </w:rPr>
        <w:t xml:space="preserve">Pearson, P.D., McVee, M.B. and Shanahan, L.E. (2019) </w:t>
      </w:r>
      <w:r w:rsidRPr="0088653F">
        <w:rPr>
          <w:rFonts w:asciiTheme="minorHAnsi" w:hAnsiTheme="minorHAnsi" w:cstheme="minorHAnsi"/>
          <w:i/>
          <w:iCs/>
          <w:color w:val="auto"/>
          <w:shd w:val="clear" w:color="auto" w:fill="FFFFFF"/>
        </w:rPr>
        <w:t>In the Beginning: The Historical and Conceptual Genesis of the Gradual Release of Responsibility1.</w:t>
      </w:r>
      <w:r w:rsidRPr="0088653F">
        <w:rPr>
          <w:rFonts w:asciiTheme="minorHAnsi" w:hAnsiTheme="minorHAnsi" w:cstheme="minorHAnsi"/>
          <w:color w:val="auto"/>
          <w:shd w:val="clear" w:color="auto" w:fill="FFFFFF"/>
        </w:rPr>
        <w:t xml:space="preserve"> In The gradual release </w:t>
      </w:r>
      <w:r w:rsidRPr="00654D84">
        <w:rPr>
          <w:rFonts w:asciiTheme="minorHAnsi" w:hAnsiTheme="minorHAnsi" w:cstheme="minorHAnsi"/>
          <w:color w:val="auto"/>
          <w:shd w:val="clear" w:color="auto" w:fill="FFFFFF"/>
        </w:rPr>
        <w:t>of responsibility in literacy research and practice. Emerald Publishing Limited.</w:t>
      </w:r>
    </w:p>
    <w:p w14:paraId="731B6DC7" w14:textId="77777777" w:rsidR="00D94761" w:rsidRPr="00654D84" w:rsidRDefault="00D94761" w:rsidP="00D94761">
      <w:pPr>
        <w:spacing w:line="360" w:lineRule="auto"/>
        <w:rPr>
          <w:rFonts w:asciiTheme="minorHAnsi" w:hAnsiTheme="minorHAnsi" w:cstheme="minorHAnsi"/>
          <w:color w:val="auto"/>
        </w:rPr>
      </w:pPr>
      <w:r w:rsidRPr="00654D84">
        <w:rPr>
          <w:rFonts w:asciiTheme="minorHAnsi" w:hAnsiTheme="minorHAnsi" w:cstheme="minorHAnsi"/>
          <w:color w:val="auto"/>
          <w:shd w:val="clear" w:color="auto" w:fill="FFFFFF"/>
        </w:rPr>
        <w:t xml:space="preserve">Rosenshine, B. (1997) </w:t>
      </w:r>
      <w:r w:rsidRPr="00654D84">
        <w:rPr>
          <w:rFonts w:asciiTheme="minorHAnsi" w:hAnsiTheme="minorHAnsi" w:cstheme="minorHAnsi"/>
          <w:i/>
          <w:iCs/>
          <w:color w:val="auto"/>
          <w:shd w:val="clear" w:color="auto" w:fill="FFFFFF"/>
        </w:rPr>
        <w:t>The case for explicit, teacher-led, cognitive strategy instruction</w:t>
      </w:r>
      <w:r w:rsidRPr="00654D84">
        <w:rPr>
          <w:rFonts w:asciiTheme="minorHAnsi" w:hAnsiTheme="minorHAnsi" w:cstheme="minorHAnsi"/>
          <w:color w:val="auto"/>
          <w:shd w:val="clear" w:color="auto" w:fill="FFFFFF"/>
        </w:rPr>
        <w:t>. MF Graves (Chair), What sort of comprehension strategy instruction should schools provide.</w:t>
      </w:r>
    </w:p>
    <w:p w14:paraId="7E4F4D98" w14:textId="77777777" w:rsidR="00D94761" w:rsidRPr="00654D84" w:rsidRDefault="00D94761" w:rsidP="00D94761">
      <w:pPr>
        <w:spacing w:before="240" w:line="360" w:lineRule="auto"/>
        <w:rPr>
          <w:rFonts w:asciiTheme="minorHAnsi" w:hAnsiTheme="minorHAnsi" w:cstheme="minorHAnsi"/>
          <w:color w:val="auto"/>
          <w:highlight w:val="yellow"/>
        </w:rPr>
      </w:pPr>
      <w:r w:rsidRPr="00654D84">
        <w:rPr>
          <w:rFonts w:asciiTheme="minorHAnsi" w:hAnsiTheme="minorHAnsi" w:cstheme="minorHAnsi"/>
          <w:color w:val="auto"/>
          <w:shd w:val="clear" w:color="auto" w:fill="FFFFFF"/>
        </w:rPr>
        <w:t xml:space="preserve">Rosenshine, B. (2010) </w:t>
      </w:r>
      <w:r w:rsidRPr="00654D84">
        <w:rPr>
          <w:rFonts w:asciiTheme="minorHAnsi" w:hAnsiTheme="minorHAnsi" w:cstheme="minorHAnsi"/>
          <w:i/>
          <w:iCs/>
          <w:color w:val="auto"/>
          <w:shd w:val="clear" w:color="auto" w:fill="FFFFFF"/>
        </w:rPr>
        <w:t>Principles of Instruction. Educational Practices Series-21</w:t>
      </w:r>
      <w:r w:rsidRPr="00654D84">
        <w:rPr>
          <w:rFonts w:asciiTheme="minorHAnsi" w:hAnsiTheme="minorHAnsi" w:cstheme="minorHAnsi"/>
          <w:color w:val="auto"/>
          <w:shd w:val="clear" w:color="auto" w:fill="FFFFFF"/>
        </w:rPr>
        <w:t>. UNESCO International Bureau of Education.</w:t>
      </w:r>
      <w:r w:rsidRPr="00654D84">
        <w:rPr>
          <w:rFonts w:asciiTheme="minorHAnsi" w:hAnsiTheme="minorHAnsi" w:cstheme="minorHAnsi"/>
          <w:color w:val="auto"/>
          <w:highlight w:val="yellow"/>
        </w:rPr>
        <w:t xml:space="preserve"> </w:t>
      </w:r>
    </w:p>
    <w:p w14:paraId="4360CC69" w14:textId="77777777" w:rsidR="00D94761" w:rsidRPr="00654D84" w:rsidRDefault="00D94761" w:rsidP="00D94761">
      <w:pPr>
        <w:spacing w:before="240" w:line="360" w:lineRule="auto"/>
        <w:rPr>
          <w:rFonts w:asciiTheme="minorHAnsi" w:hAnsiTheme="minorHAnsi" w:cstheme="minorHAnsi"/>
          <w:color w:val="auto"/>
        </w:rPr>
      </w:pPr>
      <w:r w:rsidRPr="00654D84">
        <w:rPr>
          <w:rFonts w:asciiTheme="minorHAnsi" w:hAnsiTheme="minorHAnsi" w:cstheme="minorHAnsi"/>
          <w:color w:val="auto"/>
          <w:shd w:val="clear" w:color="auto" w:fill="FFFFFF"/>
        </w:rPr>
        <w:lastRenderedPageBreak/>
        <w:t>Rosenshine, B. (2010) </w:t>
      </w:r>
      <w:r w:rsidRPr="00654D84">
        <w:rPr>
          <w:rFonts w:asciiTheme="minorHAnsi" w:hAnsiTheme="minorHAnsi" w:cstheme="minorHAnsi"/>
          <w:i/>
          <w:iCs/>
          <w:color w:val="auto"/>
          <w:shd w:val="clear" w:color="auto" w:fill="FFFFFF"/>
        </w:rPr>
        <w:t>Principles of instruction</w:t>
      </w:r>
      <w:r w:rsidRPr="00654D84">
        <w:rPr>
          <w:rFonts w:asciiTheme="minorHAnsi" w:hAnsiTheme="minorHAnsi" w:cstheme="minorHAnsi"/>
          <w:color w:val="auto"/>
          <w:shd w:val="clear" w:color="auto" w:fill="FFFFFF"/>
        </w:rPr>
        <w:t>. Brussels, Belgium: International Academy of Education.</w:t>
      </w:r>
    </w:p>
    <w:p w14:paraId="738EAC49"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Rosenshine, B. (2012) </w:t>
      </w:r>
      <w:r w:rsidRPr="00654D84">
        <w:rPr>
          <w:rFonts w:asciiTheme="minorHAnsi" w:hAnsiTheme="minorHAnsi" w:cstheme="minorHAnsi"/>
          <w:i/>
          <w:iCs/>
          <w:color w:val="auto"/>
          <w:shd w:val="clear" w:color="auto" w:fill="FFFFFF"/>
        </w:rPr>
        <w:t>Principles of instruction: Research-based strategies that all teachers should know</w:t>
      </w:r>
      <w:r w:rsidRPr="00654D84">
        <w:rPr>
          <w:rFonts w:asciiTheme="minorHAnsi" w:hAnsiTheme="minorHAnsi" w:cstheme="minorHAnsi"/>
          <w:color w:val="auto"/>
          <w:shd w:val="clear" w:color="auto" w:fill="FFFFFF"/>
        </w:rPr>
        <w:t>. American educator, </w:t>
      </w:r>
      <w:r w:rsidRPr="00654D84">
        <w:rPr>
          <w:rFonts w:asciiTheme="minorHAnsi" w:hAnsiTheme="minorHAnsi" w:cstheme="minorHAnsi"/>
          <w:i/>
          <w:iCs/>
          <w:color w:val="auto"/>
          <w:shd w:val="clear" w:color="auto" w:fill="FFFFFF"/>
        </w:rPr>
        <w:t>36</w:t>
      </w:r>
      <w:r w:rsidRPr="00654D84">
        <w:rPr>
          <w:rFonts w:asciiTheme="minorHAnsi" w:hAnsiTheme="minorHAnsi" w:cstheme="minorHAnsi"/>
          <w:color w:val="auto"/>
          <w:shd w:val="clear" w:color="auto" w:fill="FFFFFF"/>
        </w:rPr>
        <w:t>(1), p.12.</w:t>
      </w:r>
    </w:p>
    <w:p w14:paraId="43746C0C"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Smit, J., AA van Eerde, H. and Bakker, A. (2013) </w:t>
      </w:r>
      <w:r w:rsidRPr="00654D84">
        <w:rPr>
          <w:rFonts w:asciiTheme="minorHAnsi" w:hAnsiTheme="minorHAnsi" w:cstheme="minorHAnsi"/>
          <w:i/>
          <w:iCs/>
          <w:color w:val="auto"/>
          <w:shd w:val="clear" w:color="auto" w:fill="FFFFFF"/>
        </w:rPr>
        <w:t>A conceptualisation of whole‐class scaffolding</w:t>
      </w:r>
      <w:r w:rsidRPr="00654D84">
        <w:rPr>
          <w:rFonts w:asciiTheme="minorHAnsi" w:hAnsiTheme="minorHAnsi" w:cstheme="minorHAnsi"/>
          <w:color w:val="auto"/>
          <w:shd w:val="clear" w:color="auto" w:fill="FFFFFF"/>
        </w:rPr>
        <w:t>. British Educational Research Journal, </w:t>
      </w:r>
      <w:r w:rsidRPr="00654D84">
        <w:rPr>
          <w:rFonts w:asciiTheme="minorHAnsi" w:hAnsiTheme="minorHAnsi" w:cstheme="minorHAnsi"/>
          <w:i/>
          <w:iCs/>
          <w:color w:val="auto"/>
          <w:shd w:val="clear" w:color="auto" w:fill="FFFFFF"/>
        </w:rPr>
        <w:t>39</w:t>
      </w:r>
      <w:r w:rsidRPr="00654D84">
        <w:rPr>
          <w:rFonts w:asciiTheme="minorHAnsi" w:hAnsiTheme="minorHAnsi" w:cstheme="minorHAnsi"/>
          <w:color w:val="auto"/>
          <w:shd w:val="clear" w:color="auto" w:fill="FFFFFF"/>
        </w:rPr>
        <w:t>(5), pp.817-834.</w:t>
      </w:r>
    </w:p>
    <w:p w14:paraId="6461E831"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Tomlinson, C. A. (1999) </w:t>
      </w:r>
      <w:r w:rsidRPr="00654D84">
        <w:rPr>
          <w:rFonts w:asciiTheme="minorHAnsi" w:hAnsiTheme="minorHAnsi" w:cstheme="minorHAnsi"/>
          <w:i/>
          <w:iCs/>
          <w:color w:val="auto"/>
          <w:shd w:val="clear" w:color="auto" w:fill="FFFFFF"/>
        </w:rPr>
        <w:t>Mapping a route toward differentiated instruction</w:t>
      </w:r>
      <w:r w:rsidRPr="00654D84">
        <w:rPr>
          <w:rFonts w:asciiTheme="minorHAnsi" w:hAnsiTheme="minorHAnsi" w:cstheme="minorHAnsi"/>
          <w:color w:val="auto"/>
          <w:shd w:val="clear" w:color="auto" w:fill="FFFFFF"/>
        </w:rPr>
        <w:t>. Educational Leadership, 57(1)</w:t>
      </w:r>
    </w:p>
    <w:p w14:paraId="1B1585DB"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Tomlinson, C.A. (2008) </w:t>
      </w:r>
      <w:r w:rsidRPr="00654D84">
        <w:rPr>
          <w:rFonts w:asciiTheme="minorHAnsi" w:hAnsiTheme="minorHAnsi" w:cstheme="minorHAnsi"/>
          <w:i/>
          <w:iCs/>
          <w:color w:val="auto"/>
          <w:shd w:val="clear" w:color="auto" w:fill="FFFFFF"/>
        </w:rPr>
        <w:t>The goals of differentiation</w:t>
      </w:r>
      <w:r w:rsidRPr="00654D84">
        <w:rPr>
          <w:rFonts w:asciiTheme="minorHAnsi" w:hAnsiTheme="minorHAnsi" w:cstheme="minorHAnsi"/>
          <w:color w:val="auto"/>
          <w:shd w:val="clear" w:color="auto" w:fill="FFFFFF"/>
        </w:rPr>
        <w:t>. Educational leadership, 66(3), pp.26-30.</w:t>
      </w:r>
    </w:p>
    <w:p w14:paraId="23BCE52C"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Tomlinson, C.A. (2014) </w:t>
      </w:r>
      <w:r w:rsidRPr="00654D84">
        <w:rPr>
          <w:rFonts w:asciiTheme="minorHAnsi" w:hAnsiTheme="minorHAnsi" w:cstheme="minorHAnsi"/>
          <w:i/>
          <w:iCs/>
          <w:color w:val="auto"/>
          <w:shd w:val="clear" w:color="auto" w:fill="FFFFFF"/>
        </w:rPr>
        <w:t>The differentiated classroom: Responding to the needs of all learners</w:t>
      </w:r>
      <w:r w:rsidRPr="00654D84">
        <w:rPr>
          <w:rFonts w:asciiTheme="minorHAnsi" w:hAnsiTheme="minorHAnsi" w:cstheme="minorHAnsi"/>
          <w:color w:val="auto"/>
          <w:shd w:val="clear" w:color="auto" w:fill="FFFFFF"/>
        </w:rPr>
        <w:t>. Ascd.</w:t>
      </w:r>
    </w:p>
    <w:p w14:paraId="20B08ED2"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Tomlinson, C.A. (2017) </w:t>
      </w:r>
      <w:r w:rsidRPr="00654D84">
        <w:rPr>
          <w:rFonts w:asciiTheme="minorHAnsi" w:hAnsiTheme="minorHAnsi" w:cstheme="minorHAnsi"/>
          <w:i/>
          <w:iCs/>
          <w:color w:val="auto"/>
          <w:shd w:val="clear" w:color="auto" w:fill="FFFFFF"/>
        </w:rPr>
        <w:t>Faculty Conversation – Carol Tomlinson on differentiation, University of Virginia</w:t>
      </w:r>
      <w:r w:rsidRPr="00654D84">
        <w:rPr>
          <w:rFonts w:asciiTheme="minorHAnsi" w:hAnsiTheme="minorHAnsi" w:cstheme="minorHAnsi"/>
          <w:color w:val="auto"/>
          <w:shd w:val="clear" w:color="auto" w:fill="FFFFFF"/>
        </w:rPr>
        <w:t xml:space="preserve">, August 10 2017 Available at: </w:t>
      </w:r>
      <w:r w:rsidRPr="00654D84">
        <w:rPr>
          <w:rStyle w:val="HTMLCite"/>
          <w:rFonts w:asciiTheme="minorHAnsi" w:hAnsiTheme="minorHAnsi" w:cstheme="minorHAnsi"/>
          <w:i w:val="0"/>
          <w:iCs w:val="0"/>
          <w:color w:val="auto"/>
          <w:shd w:val="clear" w:color="auto" w:fill="FFFFFF"/>
        </w:rPr>
        <w:t>https://education.virginia.edu/news/faculty-conversation-carol...</w:t>
      </w:r>
      <w:r w:rsidRPr="00654D84">
        <w:rPr>
          <w:rFonts w:asciiTheme="minorHAnsi" w:hAnsiTheme="minorHAnsi" w:cstheme="minorHAnsi"/>
          <w:color w:val="auto"/>
        </w:rPr>
        <w:t xml:space="preserve"> Accessed: 29 October 2022</w:t>
      </w:r>
    </w:p>
    <w:p w14:paraId="3063CCDB"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Tripp, D. (2012</w:t>
      </w:r>
      <w:r w:rsidRPr="00654D84">
        <w:rPr>
          <w:rFonts w:asciiTheme="minorHAnsi" w:hAnsiTheme="minorHAnsi" w:cstheme="minorHAnsi"/>
          <w:i/>
          <w:iCs/>
          <w:color w:val="auto"/>
          <w:shd w:val="clear" w:color="auto" w:fill="FFFFFF"/>
        </w:rPr>
        <w:t>) Critical Incidents in Teaching: Developing Professional Judgement</w:t>
      </w:r>
      <w:r w:rsidRPr="00654D84">
        <w:rPr>
          <w:rFonts w:asciiTheme="minorHAnsi" w:hAnsiTheme="minorHAnsi" w:cstheme="minorHAnsi"/>
          <w:color w:val="auto"/>
          <w:shd w:val="clear" w:color="auto" w:fill="FFFFFF"/>
        </w:rPr>
        <w:t>. London; New York: Routledge Falmer</w:t>
      </w:r>
    </w:p>
    <w:p w14:paraId="7FB6BABB"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Verenikina, I. (2008) </w:t>
      </w:r>
      <w:r w:rsidRPr="00654D84">
        <w:rPr>
          <w:rFonts w:asciiTheme="minorHAnsi" w:hAnsiTheme="minorHAnsi" w:cstheme="minorHAnsi"/>
          <w:i/>
          <w:iCs/>
          <w:color w:val="auto"/>
          <w:shd w:val="clear" w:color="auto" w:fill="FFFFFF"/>
        </w:rPr>
        <w:t>Scaffolding and learning: Its role in nurturing new learners</w:t>
      </w:r>
      <w:r w:rsidRPr="00654D84">
        <w:rPr>
          <w:rFonts w:asciiTheme="minorHAnsi" w:hAnsiTheme="minorHAnsi" w:cstheme="minorHAnsi"/>
          <w:color w:val="auto"/>
          <w:shd w:val="clear" w:color="auto" w:fill="FFFFFF"/>
        </w:rPr>
        <w:t>.</w:t>
      </w:r>
    </w:p>
    <w:p w14:paraId="20269B96"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Vlassi, M. and Karaliota, A. (2013) </w:t>
      </w:r>
      <w:r w:rsidRPr="00654D84">
        <w:rPr>
          <w:rFonts w:asciiTheme="minorHAnsi" w:hAnsiTheme="minorHAnsi" w:cstheme="minorHAnsi"/>
          <w:i/>
          <w:iCs/>
          <w:color w:val="auto"/>
          <w:shd w:val="clear" w:color="auto" w:fill="FFFFFF"/>
        </w:rPr>
        <w:t>The comparison between guided inquiry and traditional teaching method. A case study for the teaching of the structure of matter to 8th grade Greek students</w:t>
      </w:r>
      <w:r w:rsidRPr="00654D84">
        <w:rPr>
          <w:rFonts w:asciiTheme="minorHAnsi" w:hAnsiTheme="minorHAnsi" w:cstheme="minorHAnsi"/>
          <w:color w:val="auto"/>
          <w:shd w:val="clear" w:color="auto" w:fill="FFFFFF"/>
        </w:rPr>
        <w:t>. Procedia-Social and Behavioral Sciences, 93, pp.494-497.</w:t>
      </w:r>
    </w:p>
    <w:p w14:paraId="042B8284"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Vygotsky, L.S. and Cole, M. (1978) </w:t>
      </w:r>
      <w:r w:rsidRPr="00654D84">
        <w:rPr>
          <w:rFonts w:asciiTheme="minorHAnsi" w:hAnsiTheme="minorHAnsi" w:cstheme="minorHAnsi"/>
          <w:i/>
          <w:iCs/>
          <w:color w:val="auto"/>
          <w:shd w:val="clear" w:color="auto" w:fill="FFFFFF"/>
        </w:rPr>
        <w:t>Mind in society: Development of higher psychological processes</w:t>
      </w:r>
      <w:r w:rsidRPr="00654D84">
        <w:rPr>
          <w:rFonts w:asciiTheme="minorHAnsi" w:hAnsiTheme="minorHAnsi" w:cstheme="minorHAnsi"/>
          <w:color w:val="auto"/>
          <w:shd w:val="clear" w:color="auto" w:fill="FFFFFF"/>
        </w:rPr>
        <w:t>. Harvard university press.</w:t>
      </w:r>
    </w:p>
    <w:p w14:paraId="143ABE33" w14:textId="77777777" w:rsidR="00D94761" w:rsidRPr="00654D84" w:rsidRDefault="00D94761" w:rsidP="00D94761">
      <w:pPr>
        <w:spacing w:line="360" w:lineRule="auto"/>
        <w:rPr>
          <w:rFonts w:asciiTheme="minorHAnsi" w:hAnsiTheme="minorHAnsi" w:cstheme="minorHAnsi"/>
          <w:color w:val="auto"/>
        </w:rPr>
      </w:pPr>
      <w:r w:rsidRPr="00654D84">
        <w:rPr>
          <w:rStyle w:val="author"/>
          <w:rFonts w:asciiTheme="minorHAnsi" w:hAnsiTheme="minorHAnsi" w:cstheme="minorHAnsi"/>
          <w:color w:val="auto"/>
          <w:shd w:val="clear" w:color="auto" w:fill="FFFFFF"/>
        </w:rPr>
        <w:t>Webb, S.</w:t>
      </w:r>
      <w:r w:rsidRPr="00654D84">
        <w:rPr>
          <w:rFonts w:asciiTheme="minorHAnsi" w:hAnsiTheme="minorHAnsi" w:cstheme="minorHAnsi"/>
          <w:color w:val="auto"/>
          <w:shd w:val="clear" w:color="auto" w:fill="FFFFFF"/>
        </w:rPr>
        <w:t>, </w:t>
      </w:r>
      <w:r w:rsidRPr="00654D84">
        <w:rPr>
          <w:rStyle w:val="author"/>
          <w:rFonts w:asciiTheme="minorHAnsi" w:hAnsiTheme="minorHAnsi" w:cstheme="minorHAnsi"/>
          <w:color w:val="auto"/>
          <w:shd w:val="clear" w:color="auto" w:fill="FFFFFF"/>
        </w:rPr>
        <w:t>Massey, D.</w:t>
      </w:r>
      <w:r w:rsidRPr="00654D84">
        <w:rPr>
          <w:rFonts w:asciiTheme="minorHAnsi" w:hAnsiTheme="minorHAnsi" w:cstheme="minorHAnsi"/>
          <w:color w:val="auto"/>
          <w:shd w:val="clear" w:color="auto" w:fill="FFFFFF"/>
        </w:rPr>
        <w:t>, </w:t>
      </w:r>
      <w:r w:rsidRPr="00654D84">
        <w:rPr>
          <w:rStyle w:val="author"/>
          <w:rFonts w:asciiTheme="minorHAnsi" w:hAnsiTheme="minorHAnsi" w:cstheme="minorHAnsi"/>
          <w:color w:val="auto"/>
          <w:shd w:val="clear" w:color="auto" w:fill="FFFFFF"/>
        </w:rPr>
        <w:t>Goggans, M.</w:t>
      </w:r>
      <w:r w:rsidRPr="00654D84">
        <w:rPr>
          <w:rFonts w:asciiTheme="minorHAnsi" w:hAnsiTheme="minorHAnsi" w:cstheme="minorHAnsi"/>
          <w:color w:val="auto"/>
          <w:shd w:val="clear" w:color="auto" w:fill="FFFFFF"/>
        </w:rPr>
        <w:t>, &amp; </w:t>
      </w:r>
      <w:r w:rsidRPr="00654D84">
        <w:rPr>
          <w:rStyle w:val="author"/>
          <w:rFonts w:asciiTheme="minorHAnsi" w:hAnsiTheme="minorHAnsi" w:cstheme="minorHAnsi"/>
          <w:color w:val="auto"/>
          <w:shd w:val="clear" w:color="auto" w:fill="FFFFFF"/>
        </w:rPr>
        <w:t>Flajole, K.</w:t>
      </w:r>
      <w:r w:rsidRPr="00654D84">
        <w:rPr>
          <w:rFonts w:asciiTheme="minorHAnsi" w:hAnsiTheme="minorHAnsi" w:cstheme="minorHAnsi"/>
          <w:color w:val="auto"/>
          <w:shd w:val="clear" w:color="auto" w:fill="FFFFFF"/>
        </w:rPr>
        <w:t> (</w:t>
      </w:r>
      <w:r w:rsidRPr="00654D84">
        <w:rPr>
          <w:rStyle w:val="pubyear"/>
          <w:rFonts w:asciiTheme="minorHAnsi" w:hAnsiTheme="minorHAnsi" w:cstheme="minorHAnsi"/>
          <w:color w:val="auto"/>
          <w:shd w:val="clear" w:color="auto" w:fill="FFFFFF"/>
        </w:rPr>
        <w:t>2019</w:t>
      </w:r>
      <w:r w:rsidRPr="00654D84">
        <w:rPr>
          <w:rFonts w:asciiTheme="minorHAnsi" w:hAnsiTheme="minorHAnsi" w:cstheme="minorHAnsi"/>
          <w:color w:val="auto"/>
          <w:shd w:val="clear" w:color="auto" w:fill="FFFFFF"/>
        </w:rPr>
        <w:t>) </w:t>
      </w:r>
      <w:r w:rsidRPr="00654D84">
        <w:rPr>
          <w:rStyle w:val="articletitle"/>
          <w:rFonts w:asciiTheme="minorHAnsi" w:hAnsiTheme="minorHAnsi" w:cstheme="minorHAnsi"/>
          <w:i/>
          <w:iCs/>
          <w:color w:val="auto"/>
          <w:shd w:val="clear" w:color="auto" w:fill="FFFFFF"/>
        </w:rPr>
        <w:t>Thirty-Five Years of the Gradual Release of Responsibility: Scaffolding Toward Complex and Responsive Teaching</w:t>
      </w:r>
      <w:r w:rsidRPr="00654D84">
        <w:rPr>
          <w:rFonts w:asciiTheme="minorHAnsi" w:hAnsiTheme="minorHAnsi" w:cstheme="minorHAnsi"/>
          <w:color w:val="auto"/>
          <w:shd w:val="clear" w:color="auto" w:fill="FFFFFF"/>
        </w:rPr>
        <w:t>. The Reading Teacher, </w:t>
      </w:r>
      <w:r w:rsidRPr="00654D84">
        <w:rPr>
          <w:rStyle w:val="vol"/>
          <w:rFonts w:asciiTheme="minorHAnsi" w:hAnsiTheme="minorHAnsi" w:cstheme="minorHAnsi"/>
          <w:color w:val="auto"/>
          <w:shd w:val="clear" w:color="auto" w:fill="FFFFFF"/>
        </w:rPr>
        <w:t>73</w:t>
      </w:r>
      <w:r w:rsidRPr="00654D84">
        <w:rPr>
          <w:rFonts w:asciiTheme="minorHAnsi" w:hAnsiTheme="minorHAnsi" w:cstheme="minorHAnsi"/>
          <w:color w:val="auto"/>
          <w:shd w:val="clear" w:color="auto" w:fill="FFFFFF"/>
        </w:rPr>
        <w:t>( </w:t>
      </w:r>
      <w:r w:rsidRPr="00654D84">
        <w:rPr>
          <w:rStyle w:val="citedissue"/>
          <w:rFonts w:asciiTheme="minorHAnsi" w:hAnsiTheme="minorHAnsi" w:cstheme="minorHAnsi"/>
          <w:color w:val="auto"/>
          <w:shd w:val="clear" w:color="auto" w:fill="FFFFFF"/>
        </w:rPr>
        <w:t>1</w:t>
      </w:r>
      <w:r w:rsidRPr="00654D84">
        <w:rPr>
          <w:rFonts w:asciiTheme="minorHAnsi" w:hAnsiTheme="minorHAnsi" w:cstheme="minorHAnsi"/>
          <w:color w:val="auto"/>
          <w:shd w:val="clear" w:color="auto" w:fill="FFFFFF"/>
        </w:rPr>
        <w:t>), </w:t>
      </w:r>
      <w:r w:rsidRPr="00654D84">
        <w:rPr>
          <w:rStyle w:val="pagefirst"/>
          <w:rFonts w:asciiTheme="minorHAnsi" w:hAnsiTheme="minorHAnsi" w:cstheme="minorHAnsi"/>
          <w:color w:val="auto"/>
          <w:shd w:val="clear" w:color="auto" w:fill="FFFFFF"/>
        </w:rPr>
        <w:t>75</w:t>
      </w:r>
      <w:r w:rsidRPr="00654D84">
        <w:rPr>
          <w:rFonts w:asciiTheme="minorHAnsi" w:hAnsiTheme="minorHAnsi" w:cstheme="minorHAnsi"/>
          <w:color w:val="auto"/>
          <w:shd w:val="clear" w:color="auto" w:fill="FFFFFF"/>
        </w:rPr>
        <w:t>– </w:t>
      </w:r>
      <w:r w:rsidRPr="00654D84">
        <w:rPr>
          <w:rStyle w:val="pagelast"/>
          <w:rFonts w:asciiTheme="minorHAnsi" w:hAnsiTheme="minorHAnsi" w:cstheme="minorHAnsi"/>
          <w:color w:val="auto"/>
          <w:shd w:val="clear" w:color="auto" w:fill="FFFFFF"/>
        </w:rPr>
        <w:t>83</w:t>
      </w:r>
      <w:r w:rsidRPr="00654D84">
        <w:rPr>
          <w:rFonts w:asciiTheme="minorHAnsi" w:hAnsiTheme="minorHAnsi" w:cstheme="minorHAnsi"/>
          <w:color w:val="auto"/>
          <w:shd w:val="clear" w:color="auto" w:fill="FFFFFF"/>
        </w:rPr>
        <w:t>. </w:t>
      </w:r>
      <w:hyperlink r:id="rId7" w:history="1">
        <w:r w:rsidRPr="00654D84">
          <w:rPr>
            <w:rStyle w:val="Hyperlink"/>
            <w:rFonts w:asciiTheme="minorHAnsi" w:hAnsiTheme="minorHAnsi" w:cstheme="minorHAnsi"/>
            <w:color w:val="auto"/>
            <w:shd w:val="clear" w:color="auto" w:fill="FFFFFF"/>
          </w:rPr>
          <w:t>https</w:t>
        </w:r>
        <w:r w:rsidRPr="00654D84">
          <w:rPr>
            <w:rStyle w:val="Hyperlink"/>
            <w:rFonts w:asciiTheme="minorHAnsi" w:hAnsiTheme="minorHAnsi" w:cstheme="minorHAnsi"/>
            <w:color w:val="auto"/>
            <w:shd w:val="clear" w:color="auto" w:fill="FFFFFF"/>
          </w:rPr>
          <w:t>:</w:t>
        </w:r>
        <w:r w:rsidRPr="00654D84">
          <w:rPr>
            <w:rStyle w:val="Hyperlink"/>
            <w:rFonts w:asciiTheme="minorHAnsi" w:hAnsiTheme="minorHAnsi" w:cstheme="minorHAnsi"/>
            <w:color w:val="auto"/>
            <w:shd w:val="clear" w:color="auto" w:fill="FFFFFF"/>
          </w:rPr>
          <w:t>//doi.org/10.1002/trtr.1799</w:t>
        </w:r>
      </w:hyperlink>
    </w:p>
    <w:p w14:paraId="2C9F5F81"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Welsh Government (2017) </w:t>
      </w:r>
      <w:r w:rsidRPr="00654D84">
        <w:rPr>
          <w:rFonts w:asciiTheme="minorHAnsi" w:hAnsiTheme="minorHAnsi" w:cstheme="minorHAnsi"/>
          <w:i/>
          <w:iCs/>
          <w:color w:val="auto"/>
          <w:shd w:val="clear" w:color="auto" w:fill="FFFFFF"/>
        </w:rPr>
        <w:t>Curriculum for Wales: An Overview.</w:t>
      </w:r>
      <w:r w:rsidRPr="00654D84">
        <w:rPr>
          <w:rFonts w:asciiTheme="minorHAnsi" w:hAnsiTheme="minorHAnsi" w:cstheme="minorHAnsi"/>
          <w:color w:val="auto"/>
          <w:shd w:val="clear" w:color="auto" w:fill="FFFFFF"/>
        </w:rPr>
        <w:t xml:space="preserve"> Available at: </w:t>
      </w:r>
      <w:hyperlink r:id="rId8" w:history="1">
        <w:r w:rsidRPr="00654D84">
          <w:rPr>
            <w:rStyle w:val="Hyperlink"/>
            <w:rFonts w:asciiTheme="minorHAnsi" w:hAnsiTheme="minorHAnsi" w:cstheme="minorHAnsi"/>
            <w:color w:val="auto"/>
            <w:shd w:val="clear" w:color="auto" w:fill="FFFFFF"/>
          </w:rPr>
          <w:t>https://gov.wales/curriculum-wales-overview</w:t>
        </w:r>
      </w:hyperlink>
      <w:r w:rsidRPr="00654D84">
        <w:rPr>
          <w:rFonts w:asciiTheme="minorHAnsi" w:hAnsiTheme="minorHAnsi" w:cstheme="minorHAnsi"/>
          <w:color w:val="auto"/>
          <w:shd w:val="clear" w:color="auto" w:fill="FFFFFF"/>
        </w:rPr>
        <w:t xml:space="preserve"> (Accessed: 10 October 2022)</w:t>
      </w:r>
    </w:p>
    <w:p w14:paraId="791F9B72"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Welsh Government (2018) </w:t>
      </w:r>
      <w:r w:rsidRPr="00654D84">
        <w:rPr>
          <w:rFonts w:asciiTheme="minorHAnsi" w:hAnsiTheme="minorHAnsi" w:cstheme="minorHAnsi"/>
          <w:i/>
          <w:iCs/>
          <w:color w:val="auto"/>
          <w:shd w:val="clear" w:color="auto" w:fill="FFFFFF"/>
        </w:rPr>
        <w:t>Education is changing</w:t>
      </w:r>
      <w:r w:rsidRPr="00654D84">
        <w:rPr>
          <w:rFonts w:asciiTheme="minorHAnsi" w:hAnsiTheme="minorHAnsi" w:cstheme="minorHAnsi"/>
          <w:color w:val="auto"/>
          <w:shd w:val="clear" w:color="auto" w:fill="FFFFFF"/>
        </w:rPr>
        <w:t xml:space="preserve">. Available at: </w:t>
      </w:r>
      <w:hyperlink r:id="rId9" w:history="1">
        <w:r w:rsidRPr="00654D84">
          <w:rPr>
            <w:rStyle w:val="Hyperlink"/>
            <w:rFonts w:asciiTheme="minorHAnsi" w:hAnsiTheme="minorHAnsi" w:cstheme="minorHAnsi"/>
            <w:color w:val="auto"/>
            <w:shd w:val="clear" w:color="auto" w:fill="FFFFFF"/>
          </w:rPr>
          <w:t>https://gov.wales/education-changing</w:t>
        </w:r>
      </w:hyperlink>
      <w:r w:rsidRPr="00654D84">
        <w:rPr>
          <w:rFonts w:asciiTheme="minorHAnsi" w:hAnsiTheme="minorHAnsi" w:cstheme="minorHAnsi"/>
          <w:color w:val="auto"/>
          <w:shd w:val="clear" w:color="auto" w:fill="FFFFFF"/>
        </w:rPr>
        <w:t xml:space="preserve"> (Accessed: 10 October 2022)</w:t>
      </w:r>
    </w:p>
    <w:p w14:paraId="4C9B5E79" w14:textId="77777777" w:rsidR="00D94761" w:rsidRPr="00654D84" w:rsidRDefault="00D94761" w:rsidP="00D94761">
      <w:pPr>
        <w:spacing w:line="360" w:lineRule="auto"/>
        <w:rPr>
          <w:rFonts w:asciiTheme="minorHAnsi" w:hAnsiTheme="minorHAnsi" w:cstheme="minorHAnsi"/>
          <w:color w:val="auto"/>
          <w:shd w:val="clear" w:color="auto" w:fill="FFFFFF"/>
        </w:rPr>
      </w:pPr>
      <w:r w:rsidRPr="00654D84">
        <w:rPr>
          <w:rFonts w:asciiTheme="minorHAnsi" w:hAnsiTheme="minorHAnsi" w:cstheme="minorHAnsi"/>
          <w:color w:val="auto"/>
          <w:shd w:val="clear" w:color="auto" w:fill="FFFFFF"/>
        </w:rPr>
        <w:t xml:space="preserve">Wood, D., Bruner, J.S. and Ross, G. (1976) </w:t>
      </w:r>
      <w:r w:rsidRPr="00654D84">
        <w:rPr>
          <w:rFonts w:asciiTheme="minorHAnsi" w:hAnsiTheme="minorHAnsi" w:cstheme="minorHAnsi"/>
          <w:i/>
          <w:iCs/>
          <w:color w:val="auto"/>
          <w:shd w:val="clear" w:color="auto" w:fill="FFFFFF"/>
        </w:rPr>
        <w:t>The role of tutoring in problem solving</w:t>
      </w:r>
      <w:r w:rsidRPr="00654D84">
        <w:rPr>
          <w:rFonts w:asciiTheme="minorHAnsi" w:hAnsiTheme="minorHAnsi" w:cstheme="minorHAnsi"/>
          <w:color w:val="auto"/>
          <w:shd w:val="clear" w:color="auto" w:fill="FFFFFF"/>
        </w:rPr>
        <w:t>. Child Psychology &amp; Psychiatry &amp; Allied Disciplines.</w:t>
      </w:r>
    </w:p>
    <w:p w14:paraId="41BB198A" w14:textId="77777777" w:rsidR="00072D93" w:rsidRDefault="00072D93" w:rsidP="00FF14FE">
      <w:pPr>
        <w:spacing w:line="360" w:lineRule="auto"/>
        <w:jc w:val="both"/>
      </w:pPr>
    </w:p>
    <w:p w14:paraId="21938859" w14:textId="77777777" w:rsidR="00FF14FE" w:rsidRPr="00171A0B" w:rsidRDefault="00FF14FE" w:rsidP="00FF14FE">
      <w:pPr>
        <w:spacing w:line="360" w:lineRule="auto"/>
        <w:jc w:val="both"/>
        <w:rPr>
          <w:rFonts w:ascii="Roboto" w:hAnsi="Roboto"/>
          <w:color w:val="677583"/>
          <w:sz w:val="26"/>
          <w:szCs w:val="26"/>
          <w:shd w:val="clear" w:color="auto" w:fill="FFFFFF"/>
        </w:rPr>
      </w:pPr>
    </w:p>
    <w:p w14:paraId="59852EDD" w14:textId="77777777" w:rsidR="00FF14FE" w:rsidRDefault="00FF14FE" w:rsidP="00E10D09">
      <w:pPr>
        <w:spacing w:line="360" w:lineRule="auto"/>
        <w:jc w:val="both"/>
        <w:rPr>
          <w:rFonts w:asciiTheme="minorHAnsi" w:hAnsiTheme="minorHAnsi"/>
          <w:color w:val="auto"/>
        </w:rPr>
      </w:pPr>
    </w:p>
    <w:p w14:paraId="36E69AB1" w14:textId="47C940AE" w:rsidR="00E10D09" w:rsidRDefault="00E10D09" w:rsidP="00E10D09">
      <w:pPr>
        <w:spacing w:line="360" w:lineRule="auto"/>
        <w:jc w:val="both"/>
        <w:rPr>
          <w:rFonts w:asciiTheme="minorHAnsi" w:hAnsiTheme="minorHAnsi"/>
          <w:color w:val="auto"/>
        </w:rPr>
      </w:pPr>
    </w:p>
    <w:p w14:paraId="0EC33EE3" w14:textId="77777777" w:rsidR="00E10D09" w:rsidRPr="00EA64FD" w:rsidRDefault="00E10D09" w:rsidP="00E10D09">
      <w:pPr>
        <w:spacing w:line="360" w:lineRule="auto"/>
        <w:jc w:val="both"/>
        <w:rPr>
          <w:rFonts w:asciiTheme="minorHAnsi" w:hAnsiTheme="minorHAnsi"/>
          <w:color w:val="auto"/>
        </w:rPr>
      </w:pPr>
    </w:p>
    <w:p w14:paraId="2403C025" w14:textId="77777777" w:rsidR="001F6B57" w:rsidRPr="001277AB" w:rsidRDefault="001F6B57" w:rsidP="001277AB">
      <w:pPr>
        <w:spacing w:line="360" w:lineRule="auto"/>
        <w:jc w:val="both"/>
        <w:rPr>
          <w:rFonts w:asciiTheme="minorHAnsi" w:hAnsiTheme="minorHAnsi" w:cstheme="minorHAnsi"/>
          <w:color w:val="auto"/>
        </w:rPr>
      </w:pPr>
    </w:p>
    <w:p w14:paraId="3D7C61C4" w14:textId="0405704B" w:rsidR="00DB71A8" w:rsidRPr="001277AB" w:rsidRDefault="00DB71A8" w:rsidP="001277AB">
      <w:pPr>
        <w:spacing w:line="360" w:lineRule="auto"/>
        <w:jc w:val="both"/>
        <w:rPr>
          <w:rFonts w:asciiTheme="minorHAnsi" w:hAnsiTheme="minorHAnsi" w:cstheme="minorHAnsi"/>
          <w:color w:val="auto"/>
        </w:rPr>
      </w:pPr>
    </w:p>
    <w:sectPr w:rsidR="00DB71A8" w:rsidRPr="001277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7AB"/>
    <w:rsid w:val="00052C74"/>
    <w:rsid w:val="00072D93"/>
    <w:rsid w:val="001277AB"/>
    <w:rsid w:val="001F6B57"/>
    <w:rsid w:val="00623E31"/>
    <w:rsid w:val="00D94761"/>
    <w:rsid w:val="00DB71A8"/>
    <w:rsid w:val="00E10D09"/>
    <w:rsid w:val="00FF1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221D3"/>
  <w15:chartTrackingRefBased/>
  <w15:docId w15:val="{8184A732-848E-4BEE-AF60-B4445754D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7AB"/>
    <w:pPr>
      <w:spacing w:after="0" w:line="240" w:lineRule="auto"/>
    </w:pPr>
    <w:rPr>
      <w:rFonts w:ascii="Cambria" w:eastAsiaTheme="minorEastAsia" w:hAnsi="Cambria" w:cs="Tahoma"/>
      <w:color w:val="000000"/>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277AB"/>
    <w:rPr>
      <w:b/>
      <w:bCs/>
    </w:rPr>
  </w:style>
  <w:style w:type="paragraph" w:styleId="NormalWeb">
    <w:name w:val="Normal (Web)"/>
    <w:basedOn w:val="Normal"/>
    <w:uiPriority w:val="99"/>
    <w:unhideWhenUsed/>
    <w:rsid w:val="001F6B57"/>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1F6B5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1F6B57"/>
  </w:style>
  <w:style w:type="character" w:customStyle="1" w:styleId="pull-double">
    <w:name w:val="pull-double"/>
    <w:basedOn w:val="DefaultParagraphFont"/>
    <w:rsid w:val="001F6B57"/>
  </w:style>
  <w:style w:type="character" w:styleId="Hyperlink">
    <w:name w:val="Hyperlink"/>
    <w:basedOn w:val="DefaultParagraphFont"/>
    <w:uiPriority w:val="99"/>
    <w:unhideWhenUsed/>
    <w:rsid w:val="00D94761"/>
    <w:rPr>
      <w:color w:val="0000FF"/>
      <w:u w:val="single"/>
    </w:rPr>
  </w:style>
  <w:style w:type="character" w:styleId="HTMLCite">
    <w:name w:val="HTML Cite"/>
    <w:basedOn w:val="DefaultParagraphFont"/>
    <w:uiPriority w:val="99"/>
    <w:semiHidden/>
    <w:unhideWhenUsed/>
    <w:rsid w:val="00D94761"/>
    <w:rPr>
      <w:i/>
      <w:iCs/>
    </w:rPr>
  </w:style>
  <w:style w:type="character" w:customStyle="1" w:styleId="author">
    <w:name w:val="author"/>
    <w:basedOn w:val="DefaultParagraphFont"/>
    <w:rsid w:val="00D94761"/>
  </w:style>
  <w:style w:type="character" w:customStyle="1" w:styleId="pubyear">
    <w:name w:val="pubyear"/>
    <w:basedOn w:val="DefaultParagraphFont"/>
    <w:rsid w:val="00D94761"/>
  </w:style>
  <w:style w:type="character" w:customStyle="1" w:styleId="articletitle">
    <w:name w:val="articletitle"/>
    <w:basedOn w:val="DefaultParagraphFont"/>
    <w:rsid w:val="00D94761"/>
  </w:style>
  <w:style w:type="character" w:customStyle="1" w:styleId="vol">
    <w:name w:val="vol"/>
    <w:basedOn w:val="DefaultParagraphFont"/>
    <w:rsid w:val="00D94761"/>
  </w:style>
  <w:style w:type="character" w:customStyle="1" w:styleId="citedissue">
    <w:name w:val="citedissue"/>
    <w:basedOn w:val="DefaultParagraphFont"/>
    <w:rsid w:val="00D94761"/>
  </w:style>
  <w:style w:type="character" w:customStyle="1" w:styleId="pagefirst">
    <w:name w:val="pagefirst"/>
    <w:basedOn w:val="DefaultParagraphFont"/>
    <w:rsid w:val="00D94761"/>
  </w:style>
  <w:style w:type="character" w:customStyle="1" w:styleId="pagelast">
    <w:name w:val="pagelast"/>
    <w:basedOn w:val="DefaultParagraphFont"/>
    <w:rsid w:val="00D94761"/>
  </w:style>
  <w:style w:type="character" w:styleId="Emphasis">
    <w:name w:val="Emphasis"/>
    <w:basedOn w:val="DefaultParagraphFont"/>
    <w:uiPriority w:val="20"/>
    <w:qFormat/>
    <w:rsid w:val="00D94761"/>
    <w:rPr>
      <w:i/>
      <w:iCs/>
    </w:rPr>
  </w:style>
  <w:style w:type="character" w:styleId="FollowedHyperlink">
    <w:name w:val="FollowedHyperlink"/>
    <w:basedOn w:val="DefaultParagraphFont"/>
    <w:uiPriority w:val="99"/>
    <w:semiHidden/>
    <w:unhideWhenUsed/>
    <w:rsid w:val="00D947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curriculum-wales-overview" TargetMode="External"/><Relationship Id="rId3" Type="http://schemas.openxmlformats.org/officeDocument/2006/relationships/webSettings" Target="webSettings.xml"/><Relationship Id="rId7" Type="http://schemas.openxmlformats.org/officeDocument/2006/relationships/hyperlink" Target="https://doi.org/10.1002/trtr.179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z2iNggN__QA" TargetMode="External"/><Relationship Id="rId11" Type="http://schemas.openxmlformats.org/officeDocument/2006/relationships/theme" Target="theme/theme1.xml"/><Relationship Id="rId5" Type="http://schemas.openxmlformats.org/officeDocument/2006/relationships/hyperlink" Target="https://www.youtube.com/watch?v=cjURdvzty4c" TargetMode="External"/><Relationship Id="rId10" Type="http://schemas.openxmlformats.org/officeDocument/2006/relationships/fontTable" Target="fontTable.xml"/><Relationship Id="rId4" Type="http://schemas.openxmlformats.org/officeDocument/2006/relationships/hyperlink" Target="https://www.estyn.gov.wales/provider/XXXXXX" TargetMode="External"/><Relationship Id="rId9" Type="http://schemas.openxmlformats.org/officeDocument/2006/relationships/hyperlink" Target="https://gov.wales/education-chang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3603</Words>
  <Characters>20539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 Jones</dc:creator>
  <cp:keywords/>
  <dc:description/>
  <cp:lastModifiedBy>Ria Jones</cp:lastModifiedBy>
  <cp:revision>3</cp:revision>
  <dcterms:created xsi:type="dcterms:W3CDTF">2022-11-07T22:15:00Z</dcterms:created>
  <dcterms:modified xsi:type="dcterms:W3CDTF">2022-11-07T23:53:00Z</dcterms:modified>
</cp:coreProperties>
</file>