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779303885"/>
        <w:docPartObj>
          <w:docPartGallery w:val="Cover Pages"/>
          <w:docPartUnique/>
        </w:docPartObj>
      </w:sdtPr>
      <w:sdtEndPr>
        <w:rPr>
          <w:color w:val="auto"/>
        </w:rPr>
      </w:sdtEndPr>
      <w:sdtContent>
        <w:p w14:paraId="396499A5" w14:textId="13A827B3" w:rsidR="000E64A1" w:rsidRDefault="000E64A1">
          <w:pPr>
            <w:pStyle w:val="NoSpacing"/>
            <w:spacing w:before="1540" w:after="240"/>
            <w:jc w:val="center"/>
            <w:rPr>
              <w:color w:val="4472C4" w:themeColor="accent1"/>
            </w:rPr>
          </w:pPr>
          <w:r>
            <w:rPr>
              <w:noProof/>
              <w:color w:val="4472C4" w:themeColor="accent1"/>
            </w:rPr>
            <w:drawing>
              <wp:inline distT="0" distB="0" distL="0" distR="0" wp14:anchorId="5AD0105A" wp14:editId="7B103D9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837BA7170EE4C7B9A4B367832E5EFF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671466" w14:textId="29F1ED55" w:rsidR="000E64A1" w:rsidRDefault="000E64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global business environment(</w:t>
              </w:r>
              <w:r>
                <w:rPr>
                  <w:rFonts w:asciiTheme="majorHAnsi" w:eastAsiaTheme="majorEastAsia" w:hAnsiTheme="majorHAnsi" w:cstheme="majorBidi"/>
                  <w:caps/>
                  <w:color w:val="4472C4" w:themeColor="accent1"/>
                  <w:sz w:val="72"/>
                  <w:szCs w:val="72"/>
                  <w:lang w:val="en-GB"/>
                </w:rPr>
                <w:t>lcbb4005-birm) EXAM</w:t>
              </w:r>
            </w:p>
          </w:sdtContent>
        </w:sdt>
        <w:sdt>
          <w:sdtPr>
            <w:rPr>
              <w:color w:val="4472C4" w:themeColor="accent1"/>
              <w:sz w:val="28"/>
              <w:szCs w:val="28"/>
            </w:rPr>
            <w:alias w:val="Subtitle"/>
            <w:tag w:val=""/>
            <w:id w:val="328029620"/>
            <w:placeholder>
              <w:docPart w:val="99B06E1AEEE144B386826F66511F262D"/>
            </w:placeholder>
            <w:dataBinding w:prefixMappings="xmlns:ns0='http://purl.org/dc/elements/1.1/' xmlns:ns1='http://schemas.openxmlformats.org/package/2006/metadata/core-properties' " w:xpath="/ns1:coreProperties[1]/ns0:subject[1]" w:storeItemID="{6C3C8BC8-F283-45AE-878A-BAB7291924A1}"/>
            <w:text/>
          </w:sdtPr>
          <w:sdtEndPr/>
          <w:sdtContent>
            <w:p w14:paraId="04867582" w14:textId="3F6E47EE" w:rsidR="000E64A1" w:rsidRDefault="000E64A1">
              <w:pPr>
                <w:pStyle w:val="NoSpacing"/>
                <w:jc w:val="center"/>
                <w:rPr>
                  <w:color w:val="4472C4" w:themeColor="accent1"/>
                  <w:sz w:val="28"/>
                  <w:szCs w:val="28"/>
                </w:rPr>
              </w:pPr>
              <w:r>
                <w:rPr>
                  <w:color w:val="4472C4" w:themeColor="accent1"/>
                  <w:sz w:val="28"/>
                  <w:szCs w:val="28"/>
                </w:rPr>
                <w:t>DR. ERIC OSEI</w:t>
              </w:r>
            </w:p>
          </w:sdtContent>
        </w:sdt>
        <w:p w14:paraId="3556B7A5" w14:textId="77777777" w:rsidR="000E64A1" w:rsidRDefault="000E64A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9187F9C" wp14:editId="7BE459E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7T00:00:00Z">
                                    <w:dateFormat w:val="MMMM d, yyyy"/>
                                    <w:lid w:val="en-US"/>
                                    <w:storeMappedDataAs w:val="dateTime"/>
                                    <w:calendar w:val="gregorian"/>
                                  </w:date>
                                </w:sdtPr>
                                <w:sdtEndPr/>
                                <w:sdtContent>
                                  <w:p w14:paraId="66FEDA05" w14:textId="0C2EBB89" w:rsidR="000E64A1" w:rsidRDefault="000E64A1">
                                    <w:pPr>
                                      <w:pStyle w:val="NoSpacing"/>
                                      <w:spacing w:after="40"/>
                                      <w:jc w:val="center"/>
                                      <w:rPr>
                                        <w:caps/>
                                        <w:color w:val="4472C4" w:themeColor="accent1"/>
                                        <w:sz w:val="28"/>
                                        <w:szCs w:val="28"/>
                                      </w:rPr>
                                    </w:pPr>
                                    <w:r>
                                      <w:rPr>
                                        <w:caps/>
                                        <w:color w:val="4472C4" w:themeColor="accent1"/>
                                        <w:sz w:val="28"/>
                                        <w:szCs w:val="28"/>
                                      </w:rPr>
                                      <w:t>July 27, 2021</w:t>
                                    </w:r>
                                  </w:p>
                                </w:sdtContent>
                              </w:sdt>
                              <w:p w14:paraId="59FEF085" w14:textId="4A76B328" w:rsidR="000E64A1" w:rsidRDefault="002300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E64A1">
                                      <w:rPr>
                                        <w:caps/>
                                        <w:color w:val="4472C4" w:themeColor="accent1"/>
                                      </w:rPr>
                                      <w:t>MADALINA MARIA MARINESCU</w:t>
                                    </w:r>
                                  </w:sdtContent>
                                </w:sdt>
                              </w:p>
                              <w:p w14:paraId="245DFE14" w14:textId="58223FD6" w:rsidR="000E64A1" w:rsidRDefault="002300C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E64A1">
                                      <w:rPr>
                                        <w:color w:val="4472C4" w:themeColor="accent1"/>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9187F9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7T00:00:00Z">
                              <w:dateFormat w:val="MMMM d, yyyy"/>
                              <w:lid w:val="en-US"/>
                              <w:storeMappedDataAs w:val="dateTime"/>
                              <w:calendar w:val="gregorian"/>
                            </w:date>
                          </w:sdtPr>
                          <w:sdtEndPr/>
                          <w:sdtContent>
                            <w:p w14:paraId="66FEDA05" w14:textId="0C2EBB89" w:rsidR="000E64A1" w:rsidRDefault="000E64A1">
                              <w:pPr>
                                <w:pStyle w:val="NoSpacing"/>
                                <w:spacing w:after="40"/>
                                <w:jc w:val="center"/>
                                <w:rPr>
                                  <w:caps/>
                                  <w:color w:val="4472C4" w:themeColor="accent1"/>
                                  <w:sz w:val="28"/>
                                  <w:szCs w:val="28"/>
                                </w:rPr>
                              </w:pPr>
                              <w:r>
                                <w:rPr>
                                  <w:caps/>
                                  <w:color w:val="4472C4" w:themeColor="accent1"/>
                                  <w:sz w:val="28"/>
                                  <w:szCs w:val="28"/>
                                </w:rPr>
                                <w:t>July 27, 2021</w:t>
                              </w:r>
                            </w:p>
                          </w:sdtContent>
                        </w:sdt>
                        <w:p w14:paraId="59FEF085" w14:textId="4A76B328" w:rsidR="000E64A1" w:rsidRDefault="002300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E64A1">
                                <w:rPr>
                                  <w:caps/>
                                  <w:color w:val="4472C4" w:themeColor="accent1"/>
                                </w:rPr>
                                <w:t>MADALINA MARIA MARINESCU</w:t>
                              </w:r>
                            </w:sdtContent>
                          </w:sdt>
                        </w:p>
                        <w:p w14:paraId="245DFE14" w14:textId="58223FD6" w:rsidR="000E64A1" w:rsidRDefault="002300C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E64A1">
                                <w:rPr>
                                  <w:color w:val="4472C4" w:themeColor="accent1"/>
                                </w:rPr>
                                <w:t>2020638</w:t>
                              </w:r>
                            </w:sdtContent>
                          </w:sdt>
                        </w:p>
                      </w:txbxContent>
                    </v:textbox>
                    <w10:wrap anchorx="margin" anchory="page"/>
                  </v:shape>
                </w:pict>
              </mc:Fallback>
            </mc:AlternateContent>
          </w:r>
          <w:r>
            <w:rPr>
              <w:noProof/>
              <w:color w:val="4472C4" w:themeColor="accent1"/>
            </w:rPr>
            <w:drawing>
              <wp:inline distT="0" distB="0" distL="0" distR="0" wp14:anchorId="025A4279" wp14:editId="5BB4D52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BECD34" w14:textId="20F95426" w:rsidR="000E64A1" w:rsidRDefault="000E64A1">
          <w:r>
            <w:br w:type="page"/>
          </w:r>
        </w:p>
      </w:sdtContent>
    </w:sdt>
    <w:p w14:paraId="618165F5" w14:textId="25869B15" w:rsidR="00062BDF" w:rsidRPr="004E74BD" w:rsidRDefault="00062BDF" w:rsidP="00062BDF">
      <w:pPr>
        <w:rPr>
          <w:rFonts w:ascii="Arial" w:hAnsi="Arial" w:cs="Arial"/>
          <w:lang w:val="en-US"/>
        </w:rPr>
      </w:pPr>
      <w:r w:rsidRPr="002300C3">
        <w:rPr>
          <w:rFonts w:ascii="Arial" w:hAnsi="Arial" w:cs="Arial"/>
          <w:b/>
          <w:bCs/>
          <w:sz w:val="24"/>
          <w:szCs w:val="24"/>
        </w:rPr>
        <w:lastRenderedPageBreak/>
        <w:t>1.a</w:t>
      </w:r>
      <w:r w:rsidRPr="004E74BD">
        <w:rPr>
          <w:rFonts w:ascii="Arial" w:hAnsi="Arial" w:cs="Arial"/>
        </w:rPr>
        <w:t>.</w:t>
      </w:r>
      <w:r w:rsidRPr="004E74BD">
        <w:rPr>
          <w:rFonts w:ascii="Arial" w:eastAsia="Times New Roman" w:hAnsi="Arial" w:cs="Arial"/>
          <w:b/>
          <w:bCs/>
          <w:lang w:val="en-US"/>
        </w:rPr>
        <w:t xml:space="preserve"> </w:t>
      </w:r>
      <w:r w:rsidRPr="004E74BD">
        <w:rPr>
          <w:rFonts w:ascii="Arial" w:hAnsi="Arial" w:cs="Arial"/>
          <w:b/>
          <w:bCs/>
          <w:lang w:val="en-US"/>
        </w:rPr>
        <w:t>BCG Matrix of DARIUS PROCESSING COMPANY</w:t>
      </w:r>
    </w:p>
    <w:p w14:paraId="3C314CEF" w14:textId="77777777" w:rsidR="00062BDF" w:rsidRPr="004E74BD" w:rsidRDefault="00062BDF" w:rsidP="00062BDF">
      <w:pPr>
        <w:rPr>
          <w:rFonts w:ascii="Arial" w:hAnsi="Arial" w:cs="Arial"/>
          <w:lang w:val="en-US"/>
        </w:rPr>
      </w:pPr>
      <w:r w:rsidRPr="004E74BD">
        <w:rPr>
          <w:rFonts w:ascii="Arial" w:hAnsi="Arial" w:cs="Arial"/>
          <w:lang w:val="en-US"/>
        </w:rPr>
        <w:t>The BCG Matrix for DARIUS PROCESSING COMPANY will assist the company in implementing the business-level strategy for its various business divisions. The study will begin by determining where DARIUS PROCESSING COMPANY's strategic business units fit inside the BCG Matrix.</w:t>
      </w:r>
    </w:p>
    <w:p w14:paraId="4A613A00" w14:textId="77777777" w:rsidR="00062BDF" w:rsidRPr="004E74BD" w:rsidRDefault="00062BDF" w:rsidP="00062BDF">
      <w:pPr>
        <w:rPr>
          <w:rFonts w:ascii="Arial" w:hAnsi="Arial" w:cs="Arial"/>
          <w:lang w:val="en-US"/>
        </w:rPr>
      </w:pPr>
      <w:r w:rsidRPr="004E74BD">
        <w:rPr>
          <w:rFonts w:ascii="Arial" w:hAnsi="Arial" w:cs="Arial"/>
          <w:b/>
          <w:bCs/>
          <w:lang w:val="en-US"/>
        </w:rPr>
        <w:t>Stars</w:t>
      </w:r>
    </w:p>
    <w:p w14:paraId="52057AA7" w14:textId="6E428795" w:rsidR="00062BDF" w:rsidRPr="004E74BD" w:rsidRDefault="00062BDF" w:rsidP="00062BDF">
      <w:pPr>
        <w:rPr>
          <w:rFonts w:ascii="Arial" w:hAnsi="Arial" w:cs="Arial"/>
          <w:lang w:val="en-US"/>
        </w:rPr>
      </w:pPr>
      <w:r w:rsidRPr="004E74BD">
        <w:rPr>
          <w:rFonts w:ascii="Arial" w:hAnsi="Arial" w:cs="Arial"/>
          <w:lang w:val="en-US"/>
        </w:rPr>
        <w:t>The DARIUS PROCESSING COMPANY's financial services strategic business unit is a star in the BCG matrix because it works in a market with future growth potential. This SBU contributes a substantial portion of DARIUS PROCESSING COMPANY's revenue. DARIUS PROCESSING COMPANY should vertically integrate by purchasing other supply chain companies. As this Strategic business unit has potential, it will be able to make greater earnings because of this.                                                                                                                      The DARIUS PROCESSING COMPANY's Number 1 brand Strategic business unit is a star in the BCG matrix, and it is also the product that produces the most sales within its product line. Consumers seek these and comparable items; therefore, there is a lot of potential in this industry. Therefore, DARIUS PROCESSING COMPANY should implement a product development plan for this SBU, in which it researches and creates novel features for this product. DARIUS PROCESSING COMPANY will benefit from this by drawing more consumers and increasing revenue.                                                                                           Because DARIUS PROCESSING COMPANY has a 20% market share in this category, the Number 2 brand Strategic business unit is a star in the BCG matrix of DARIUS PROCESSING COMPANY. In this area, it is also the market leader. In the next five years, the entire category is anticipated to expand at a pace of 5%, indicating that the market growth rate will stay strong. To get into the market, DARIUS PROCESSING COMPANY should leverage its present products. This may be accomplished by strengthening its distribution channels, which will allow it to reach out to hitherto untapped markets. DARIUS PROCESSING COMPANY'S sales will benefit from this.</w:t>
      </w:r>
    </w:p>
    <w:p w14:paraId="373F3821" w14:textId="77777777" w:rsidR="00062BDF" w:rsidRPr="004E74BD" w:rsidRDefault="00062BDF" w:rsidP="00062BDF">
      <w:pPr>
        <w:rPr>
          <w:rFonts w:ascii="Arial" w:hAnsi="Arial" w:cs="Arial"/>
          <w:lang w:val="en-US"/>
        </w:rPr>
      </w:pPr>
      <w:r w:rsidRPr="004E74BD">
        <w:rPr>
          <w:rFonts w:ascii="Arial" w:hAnsi="Arial" w:cs="Arial"/>
          <w:b/>
          <w:bCs/>
          <w:lang w:val="en-US"/>
        </w:rPr>
        <w:t>Cash Cows</w:t>
      </w:r>
    </w:p>
    <w:p w14:paraId="5A9DF181" w14:textId="3DD0C97E" w:rsidR="00062BDF" w:rsidRPr="004E74BD" w:rsidRDefault="00062BDF" w:rsidP="00062BDF">
      <w:pPr>
        <w:rPr>
          <w:rFonts w:ascii="Arial" w:hAnsi="Arial" w:cs="Arial"/>
          <w:lang w:val="en-US"/>
        </w:rPr>
      </w:pPr>
      <w:r w:rsidRPr="004E74BD">
        <w:rPr>
          <w:rFonts w:ascii="Arial" w:hAnsi="Arial" w:cs="Arial"/>
          <w:lang w:val="en-US"/>
        </w:rPr>
        <w:t>The strategic business unit of supplier management services is a cash cow in DARIUS PROCESSING COMPANY's BCG matrix.                                                                                            This has been in business for decades and has generated a considerable amount of money for the DARIUS PROCESSING COMPANY. DARIUS PROCESSING COMPANY has a significant market share, but the total market is shrinking as firms control their suppliers rather than outsourcing them. Therefore, DARIUS PROCESSING COMPANY's advised approach is to stop investing in this business and continue operating this critical business unit as long as it is profitable. In DARIUS PROCESSING COMPANY's BCG matrix, the Number 3 brand strategic business unit is a cash cow. This is a ground-breaking product with a 25% market share in its sector.                                                                                                        In this area, DARIUS PROCESSING COMPANY is likewise the market leader. In recent years, the overall category has been progressively decreasing. In this area, DARIUS PROCESSING COMPANY also could affect the market. As a result, it should spend on research and development to reinvent the brand. This will aid in the growth of the category and transform this cash cow into a star. DARIUS PROCESSING COMPANY'S full advantage would be an increase in revenue.                                                                                       DARIUS PROCESSING COMPANY's worldwide food strategic business unit is a cash cow in the BCG matrix.</w:t>
      </w:r>
    </w:p>
    <w:p w14:paraId="7846C97C" w14:textId="77777777" w:rsidR="00062BDF" w:rsidRPr="004E74BD" w:rsidRDefault="00062BDF" w:rsidP="00062BDF">
      <w:pPr>
        <w:rPr>
          <w:rFonts w:ascii="Arial" w:hAnsi="Arial" w:cs="Arial"/>
          <w:lang w:val="en-US"/>
        </w:rPr>
      </w:pPr>
      <w:r w:rsidRPr="004E74BD">
        <w:rPr>
          <w:rFonts w:ascii="Arial" w:hAnsi="Arial" w:cs="Arial"/>
          <w:lang w:val="en-US"/>
        </w:rPr>
        <w:lastRenderedPageBreak/>
        <w:t>This business unit has a 30% market share in its sector, but consumers are becoming less interested in international cuisine. As a result of the shift in patterns, the market's growth rate has slowed. Therefore, DARIUS PROCESSING COMPANY should invest enough to maintain this critical business unit operational. DARIUS PROCESSING COMPANY should sell this strategic asset if it ceases to be lucrative and becomes a dog.</w:t>
      </w:r>
    </w:p>
    <w:p w14:paraId="4EACA244" w14:textId="77777777" w:rsidR="00062BDF" w:rsidRPr="004E74BD" w:rsidRDefault="00062BDF" w:rsidP="00062BDF">
      <w:pPr>
        <w:rPr>
          <w:rFonts w:ascii="Arial" w:hAnsi="Arial" w:cs="Arial"/>
          <w:lang w:val="en-US"/>
        </w:rPr>
      </w:pPr>
      <w:r w:rsidRPr="004E74BD">
        <w:rPr>
          <w:rFonts w:ascii="Arial" w:hAnsi="Arial" w:cs="Arial"/>
          <w:b/>
          <w:bCs/>
          <w:lang w:val="en-US"/>
        </w:rPr>
        <w:t>Question Marks</w:t>
      </w:r>
    </w:p>
    <w:p w14:paraId="4AB5B767" w14:textId="398D258E" w:rsidR="00062BDF" w:rsidRPr="004E74BD" w:rsidRDefault="00062BDF" w:rsidP="00062BDF">
      <w:pPr>
        <w:rPr>
          <w:rFonts w:ascii="Arial" w:hAnsi="Arial" w:cs="Arial"/>
          <w:lang w:val="en-US"/>
        </w:rPr>
      </w:pPr>
      <w:r w:rsidRPr="004E74BD">
        <w:rPr>
          <w:rFonts w:ascii="Arial" w:hAnsi="Arial" w:cs="Arial"/>
          <w:lang w:val="en-US"/>
        </w:rPr>
        <w:t>DARIUS PROCESSING COMPANY's local foods strategic business unit is a question mark on the BCG matrix.                                                                                                                      Consumers are increasingly focused on local foods, according to recent market trends. As a result, this market is seeing rapid expansion. DARIUS PROCESSING COMPANY, on the other hand, has a small market share in this sector. Therefore, DARIUS PROCESSING COMPANY's advised approach is to spend research &amp; development to develop new features. This product development plan will ensure that this crucial business unit becomes a cash cow in the future, bringing revenues to the organization.                                                 DARIUS PROCESSING COMPANY's Number 4 brand strategic business unit is a question mark in the BCG matrix.                                                                                                                       This fundamental business unit operates in a fast-expanding market. However, in recent years, this strategic business unit has been losing money. It has also failed in research and development teams' attempts at innovation. Therefore, the best course of action for DARIUS PROCESSING COMPANY is to divest and avoid any further losses.                                                       In the BCG matrix for DARIUS PROCESSING COMPANY, the confectionary strategic business unit is a question mark.                                                                                                    The confectionery business is a lucrative one that has been increasing steadily over time.            DARIUS PROCESSING COMPANY, on the other hand, has a small market share in this lucrative sector. The low sales are due to DARIUS PROCESSING COMPANY's low reach and inadequate distribution in this market. Therefore, DARIUS PROCESSING COMPANY's advised approach is to pursue market penetration, which entails pushing to get its goods into additional outlets. This will boost DARIUS PROCESSING COMPANY's revenues and turn this vital business unit into a cash cow.</w:t>
      </w:r>
    </w:p>
    <w:p w14:paraId="3849D079" w14:textId="77777777" w:rsidR="00062BDF" w:rsidRPr="004E74BD" w:rsidRDefault="00062BDF" w:rsidP="00062BDF">
      <w:pPr>
        <w:rPr>
          <w:rFonts w:ascii="Arial" w:hAnsi="Arial" w:cs="Arial"/>
          <w:lang w:val="en-US"/>
        </w:rPr>
      </w:pPr>
      <w:r w:rsidRPr="004E74BD">
        <w:rPr>
          <w:rFonts w:ascii="Arial" w:hAnsi="Arial" w:cs="Arial"/>
          <w:b/>
          <w:bCs/>
          <w:lang w:val="en-US"/>
        </w:rPr>
        <w:t>Dogs</w:t>
      </w:r>
    </w:p>
    <w:p w14:paraId="17798EE8" w14:textId="221E441E" w:rsidR="00062BDF" w:rsidRPr="004E74BD" w:rsidRDefault="00062BDF" w:rsidP="00062BDF">
      <w:pPr>
        <w:rPr>
          <w:rFonts w:ascii="Arial" w:hAnsi="Arial" w:cs="Arial"/>
          <w:lang w:val="en-US"/>
        </w:rPr>
      </w:pPr>
      <w:r w:rsidRPr="004E74BD">
        <w:rPr>
          <w:rFonts w:ascii="Arial" w:hAnsi="Arial" w:cs="Arial"/>
          <w:lang w:val="en-US"/>
        </w:rPr>
        <w:t xml:space="preserve">The plastic bags strategic business unit is a dog in the BCG matrix of DARIUS PROCESSING COMPANY.                                                                                                              This strategic business unit has been in the loss for the last five years. It also operates in a market that is declining due to more significant environmental concerns. The recommended strategy for DARIUS PROCESSING COMPANY s to divest this strategic business unit and minimize its losses. The Number 5 brand strategic business unit is a dog in the BCG matrix for DARIUS PROCESSING COMPANY. This is operating in a market segment that is declining in the past five years. The company also has negative profits for this strategic business unit. However, it is expected that the market will grow in the future with environmental changes. The recommended strategy for DARIUS PROCESSING COMPANY is to invest in the business enough to convert into a cash cow. This will ensure profits for DARIUS PROCESSING COMPANY if the market starts growing again in the future.          The synthetic fiber products strategic business unit is a dog in the BCG matrix of DARIUS PROCESSING COMPANY. The market for such products has been declining, and because of this decline. DARIUS PROCESSING COMPANY has been facing a loss in the past three years. The market share for it is also less than 5%. Therefore, the recommended strategy for DARIUS PROCESSING COMPANY is to divest this strategic business unit to minimize any further losses. The artificially flavored products strategic business unit is a dog in the BCG </w:t>
      </w:r>
      <w:r w:rsidRPr="004E74BD">
        <w:rPr>
          <w:rFonts w:ascii="Arial" w:hAnsi="Arial" w:cs="Arial"/>
          <w:lang w:val="en-US"/>
        </w:rPr>
        <w:lastRenderedPageBreak/>
        <w:t>matrix for DARIUS PROCESSING COMPANY. These products were launched recently, with the prediction that this segment would grow. However, with increasing health consciousness, people are now refraining from the consumption of artificial flavors. The market is shrinking, and DARIUS PROCESSING COMPANY has no significant market share. The</w:t>
      </w:r>
      <w:r w:rsidR="0077339E" w:rsidRPr="004E74BD">
        <w:rPr>
          <w:rFonts w:ascii="Arial" w:hAnsi="Arial" w:cs="Arial"/>
          <w:lang w:val="en-US"/>
        </w:rPr>
        <w:t xml:space="preserve"> </w:t>
      </w:r>
      <w:r w:rsidRPr="004E74BD">
        <w:rPr>
          <w:rFonts w:ascii="Arial" w:hAnsi="Arial" w:cs="Arial"/>
          <w:lang w:val="en-US"/>
        </w:rPr>
        <w:t>recommended strategy for DARIUS PROCESSING COMPANY is to call back this product.</w:t>
      </w:r>
    </w:p>
    <w:p w14:paraId="5877D07D" w14:textId="73303EA3" w:rsidR="008916F2" w:rsidRPr="004E74BD" w:rsidRDefault="0054241D" w:rsidP="008916F2">
      <w:pPr>
        <w:rPr>
          <w:rFonts w:ascii="Arial" w:hAnsi="Arial" w:cs="Arial"/>
        </w:rPr>
      </w:pPr>
      <w:r w:rsidRPr="002300C3">
        <w:rPr>
          <w:rFonts w:ascii="Arial" w:hAnsi="Arial" w:cs="Arial"/>
          <w:b/>
          <w:bCs/>
          <w:sz w:val="24"/>
          <w:szCs w:val="24"/>
        </w:rPr>
        <w:t>1.</w:t>
      </w:r>
      <w:r w:rsidR="00B37FEF" w:rsidRPr="002300C3">
        <w:rPr>
          <w:rFonts w:ascii="Arial" w:hAnsi="Arial" w:cs="Arial"/>
          <w:b/>
          <w:bCs/>
          <w:sz w:val="24"/>
          <w:szCs w:val="24"/>
        </w:rPr>
        <w:t>b</w:t>
      </w:r>
      <w:r w:rsidR="00B37FEF" w:rsidRPr="004E74BD">
        <w:rPr>
          <w:rFonts w:ascii="Arial" w:hAnsi="Arial" w:cs="Arial"/>
        </w:rPr>
        <w:t xml:space="preserve">. </w:t>
      </w:r>
      <w:r w:rsidR="00840280" w:rsidRPr="004E74BD">
        <w:rPr>
          <w:rFonts w:ascii="Arial" w:hAnsi="Arial" w:cs="Arial"/>
        </w:rPr>
        <w:t xml:space="preserve">Some of Darius Processing Company's strategic business units defined in the BCG matrix have the potential to change from their present categorization. A dog, for example, may transform into a cash cow. This was discovered in the Darius Processing Company's BCG matrix, and advised measures to guarantee that such a shift was implemented as </w:t>
      </w:r>
      <w:r w:rsidR="001D6B67" w:rsidRPr="004E74BD">
        <w:rPr>
          <w:rFonts w:ascii="Arial" w:hAnsi="Arial" w:cs="Arial"/>
        </w:rPr>
        <w:t>well.</w:t>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r>
      <w:r w:rsidR="00331A88" w:rsidRPr="004E74BD">
        <w:rPr>
          <w:rFonts w:ascii="Arial" w:hAnsi="Arial" w:cs="Arial"/>
        </w:rPr>
        <w:tab/>
        <w:t xml:space="preserve">     </w:t>
      </w:r>
      <w:r w:rsidR="00331A88" w:rsidRPr="002300C3">
        <w:rPr>
          <w:rFonts w:ascii="Arial" w:hAnsi="Arial" w:cs="Arial"/>
          <w:b/>
          <w:bCs/>
          <w:sz w:val="24"/>
          <w:szCs w:val="24"/>
        </w:rPr>
        <w:t>2.</w:t>
      </w:r>
      <w:r w:rsidR="005E4B31" w:rsidRPr="002300C3">
        <w:rPr>
          <w:rFonts w:ascii="Arial" w:hAnsi="Arial" w:cs="Arial"/>
          <w:b/>
          <w:bCs/>
          <w:sz w:val="24"/>
          <w:szCs w:val="24"/>
        </w:rPr>
        <w:t>a</w:t>
      </w:r>
      <w:r w:rsidR="005E4B31" w:rsidRPr="004E74BD">
        <w:rPr>
          <w:rFonts w:ascii="Arial" w:hAnsi="Arial" w:cs="Arial"/>
        </w:rPr>
        <w:t>. The quantity of a commodity that people are willing to buy at a particular price is referred to as demand. The quantity that manufacturers are willing to produce at a particular price is referred to as supply. The price of an item is determined by the tugs and pushes of supply and demand in an economy.</w:t>
      </w:r>
      <w:r w:rsidR="00765BE6" w:rsidRPr="004E74BD">
        <w:rPr>
          <w:rFonts w:ascii="Arial" w:hAnsi="Arial" w:cs="Arial"/>
        </w:rPr>
        <w:tab/>
      </w:r>
      <w:r w:rsidR="00AB7FE7" w:rsidRPr="004E74BD">
        <w:rPr>
          <w:rFonts w:ascii="Arial" w:hAnsi="Arial" w:cs="Arial"/>
        </w:rPr>
        <w:t xml:space="preserve">                                                                                                            </w:t>
      </w:r>
      <w:r w:rsidR="00B72489" w:rsidRPr="002300C3">
        <w:rPr>
          <w:rFonts w:ascii="Arial" w:hAnsi="Arial" w:cs="Arial"/>
          <w:b/>
          <w:bCs/>
          <w:sz w:val="24"/>
          <w:szCs w:val="24"/>
        </w:rPr>
        <w:t>2.b</w:t>
      </w:r>
      <w:r w:rsidR="006A5BC8" w:rsidRPr="002300C3">
        <w:rPr>
          <w:rFonts w:ascii="Arial" w:hAnsi="Arial" w:cs="Arial"/>
          <w:sz w:val="24"/>
          <w:szCs w:val="24"/>
        </w:rPr>
        <w:t xml:space="preserve">. </w:t>
      </w:r>
      <w:r w:rsidR="006A5BC8" w:rsidRPr="004E74BD">
        <w:rPr>
          <w:rFonts w:ascii="Arial" w:hAnsi="Arial" w:cs="Arial"/>
        </w:rPr>
        <w:t>Loss of earnings from stock outs, expenditures to resurrect the firm, and expenses spent during the stock out time. Maintain equal to demand to avoid stock out costs, if carrying costs do not exceed stock out costs. When a corporation experiences a stock out, it incurs a stock out cost, which results in a loss of sales revenue. The stock out cost occurs when the firm is unable to satisfy client demand or orders, resulting in a loss of contribution margin. The stock out cost is sometimes referred to as a shortfall cost.</w:t>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r>
      <w:r w:rsidR="006A5BC8" w:rsidRPr="004E74BD">
        <w:rPr>
          <w:rFonts w:ascii="Arial" w:hAnsi="Arial" w:cs="Arial"/>
        </w:rPr>
        <w:tab/>
        <w:t xml:space="preserve">     </w:t>
      </w:r>
      <w:r w:rsidR="006A5BC8" w:rsidRPr="002300C3">
        <w:rPr>
          <w:rFonts w:ascii="Arial" w:hAnsi="Arial" w:cs="Arial"/>
          <w:b/>
          <w:bCs/>
          <w:sz w:val="24"/>
          <w:szCs w:val="24"/>
        </w:rPr>
        <w:t>3.</w:t>
      </w:r>
      <w:r w:rsidR="002B7F11" w:rsidRPr="002300C3">
        <w:rPr>
          <w:rFonts w:ascii="Arial" w:hAnsi="Arial" w:cs="Arial"/>
          <w:b/>
          <w:bCs/>
          <w:sz w:val="24"/>
          <w:szCs w:val="24"/>
        </w:rPr>
        <w:t>a.</w:t>
      </w:r>
      <w:r w:rsidR="002300C3">
        <w:rPr>
          <w:rFonts w:ascii="Arial" w:hAnsi="Arial" w:cs="Arial"/>
        </w:rPr>
        <w:t xml:space="preserve"> </w:t>
      </w:r>
      <w:r w:rsidR="008916F2" w:rsidRPr="004E74BD">
        <w:rPr>
          <w:rFonts w:ascii="Arial" w:hAnsi="Arial" w:cs="Arial"/>
        </w:rPr>
        <w:t xml:space="preserve">Customers' requirements and desires are met through the creation of luxury automobiles. Bentley racing vehicles, Bentley continental coupe, and modifications in design such as sedan, coupe convertible, and all of these are done according to the needs of the customers, making these exquisite items even more fascinating to </w:t>
      </w:r>
      <w:r w:rsidR="00A3753A" w:rsidRPr="004E74BD">
        <w:rPr>
          <w:rFonts w:ascii="Arial" w:hAnsi="Arial" w:cs="Arial"/>
        </w:rPr>
        <w:t>them. Bentley</w:t>
      </w:r>
      <w:r w:rsidR="008916F2" w:rsidRPr="004E74BD">
        <w:rPr>
          <w:rFonts w:ascii="Arial" w:hAnsi="Arial" w:cs="Arial"/>
        </w:rPr>
        <w:t xml:space="preserve"> is a luxury automobile; thus, the quality of the product cannot be compromised. Bentley needs to employ high-grade engines and highly engineered craftsmanship to satisfy the product's standard quality. Bentley's pricing is significantly more than the cost of a typical automobile to pay the expense of expensive raw materials, to recoup the high compensation of engineers, and to make a profit. Bentley's marketing mix price approach primarily targets the wealthy client groups, who also desire to have a high-quality automobile for a premium payment. All race cars, continental cars, and various model vehicles are built to the user's convenience, with alterations made to the automobile to meet the needs of the buyer. Bentley automobiles range in price from Rs. 3.2 crore to Rs. 4 crores in India, with prices starting at $180,000 and up to $300,000+. Bentley never sacrifices product quality for the sake of cost </w:t>
      </w:r>
      <w:r w:rsidR="00A3753A" w:rsidRPr="004E74BD">
        <w:rPr>
          <w:rFonts w:ascii="Arial" w:hAnsi="Arial" w:cs="Arial"/>
        </w:rPr>
        <w:t>savings. Bentley</w:t>
      </w:r>
      <w:r w:rsidR="008916F2" w:rsidRPr="004E74BD">
        <w:rPr>
          <w:rFonts w:ascii="Arial" w:hAnsi="Arial" w:cs="Arial"/>
        </w:rPr>
        <w:t xml:space="preserve"> has established a worldwide franchise network. It sells its vehicles to a franchising agent, who then distributes them to the ultimate user. Around 80% to 85% of all automobiles produced are distributed globally. This demonstrates the high demand for high-end automobiles. Bentley has a sizable market share in China, where the expanding economy has created a great demand for luxury vehicles such as Bentleys. It also preferred to enter emerging markets in various locations across the world. The emerging market offers a lot of promise for Bentley because as the economy grows, the number of wealthy individuals who want to travel in a nice automobile grows as well, resulting in a big prospective market for </w:t>
      </w:r>
      <w:r w:rsidR="00A3753A" w:rsidRPr="004E74BD">
        <w:rPr>
          <w:rFonts w:ascii="Arial" w:hAnsi="Arial" w:cs="Arial"/>
        </w:rPr>
        <w:t>Bentley. Bentley</w:t>
      </w:r>
      <w:r w:rsidR="008916F2" w:rsidRPr="004E74BD">
        <w:rPr>
          <w:rFonts w:ascii="Arial" w:hAnsi="Arial" w:cs="Arial"/>
        </w:rPr>
        <w:t xml:space="preserve"> is a firm believer in ethical marketing above flashy marketing. Bentley feels that selling automobiles to people is pointless if there is no genuine demand. When it debuts new goods, it employs some of the most creative advertising strategies. Bentley ensures that their new product reaches their target client with effective marketing and advertisements on television and the internet. Bentley also use excellent technical marketing tactics to increase the visibility of its product on a global scale. Participation in other branded shows also helps to raise awareness of the </w:t>
      </w:r>
      <w:r w:rsidR="008916F2" w:rsidRPr="004E74BD">
        <w:rPr>
          <w:rFonts w:ascii="Arial" w:hAnsi="Arial" w:cs="Arial"/>
        </w:rPr>
        <w:lastRenderedPageBreak/>
        <w:t>new Bentley product. As a result, the Bentley marketing mix is complete. Bentley is a firm believer in ethical marketing above flashy marketing. Bentley feels that selling automobiles to people is pointless if there is no genuine demand. When it debuts new goods, it employs some of the most creative advertising strategies. Bentley ensures that their new product reaches their target client with effective marketing and advertisements on television and the internet. Bentley also use excellent technical marketing tactics to increase the visibility of its product on a global scale. Participation in other branded shows also helps to raise awareness of the new Bentley product. As a result, the Bentley marketing mix is complete.</w:t>
      </w:r>
    </w:p>
    <w:p w14:paraId="4C599F26" w14:textId="67A807CA" w:rsidR="00BB64F7" w:rsidRPr="004E74BD" w:rsidRDefault="008916F2" w:rsidP="00BB64F7">
      <w:pPr>
        <w:spacing w:after="0" w:line="240" w:lineRule="auto"/>
        <w:rPr>
          <w:rFonts w:ascii="Arial" w:eastAsia="Arial" w:hAnsi="Arial" w:cs="Arial"/>
          <w:color w:val="252525"/>
          <w:lang w:eastAsia="en-GB"/>
        </w:rPr>
      </w:pPr>
      <w:r w:rsidRPr="002300C3">
        <w:rPr>
          <w:rFonts w:ascii="Arial" w:hAnsi="Arial" w:cs="Arial"/>
          <w:b/>
          <w:bCs/>
          <w:sz w:val="24"/>
          <w:szCs w:val="24"/>
        </w:rPr>
        <w:t>3.</w:t>
      </w:r>
      <w:r w:rsidR="00A3753A" w:rsidRPr="002300C3">
        <w:rPr>
          <w:rFonts w:ascii="Arial" w:hAnsi="Arial" w:cs="Arial"/>
          <w:b/>
          <w:bCs/>
          <w:sz w:val="24"/>
          <w:szCs w:val="24"/>
        </w:rPr>
        <w:t>b.</w:t>
      </w:r>
      <w:r w:rsidR="00A3753A" w:rsidRPr="002300C3">
        <w:rPr>
          <w:rFonts w:ascii="Arial" w:eastAsia="Arial" w:hAnsi="Arial" w:cs="Arial"/>
          <w:color w:val="252525"/>
          <w:sz w:val="24"/>
          <w:szCs w:val="24"/>
          <w:lang w:eastAsia="en-GB"/>
        </w:rPr>
        <w:t xml:space="preserve"> </w:t>
      </w:r>
      <w:r w:rsidR="00A3753A" w:rsidRPr="004E74BD">
        <w:rPr>
          <w:rFonts w:ascii="Arial" w:eastAsia="Arial" w:hAnsi="Arial" w:cs="Arial"/>
          <w:color w:val="252525"/>
          <w:lang w:eastAsia="en-GB"/>
        </w:rPr>
        <w:t>At</w:t>
      </w:r>
      <w:r w:rsidR="00BB64F7" w:rsidRPr="004E74BD">
        <w:rPr>
          <w:rFonts w:ascii="Arial" w:eastAsia="Arial" w:hAnsi="Arial" w:cs="Arial"/>
          <w:color w:val="252525"/>
          <w:lang w:eastAsia="en-GB"/>
        </w:rPr>
        <w:t xml:space="preserve"> the business level, they must continue to be cost leaders. In Australia, supermarkets are a well-established industry. Aldi may diversify into sectors that operate similarly to supermarkets, such as fuel and liquor, as a low-cost leader.</w:t>
      </w:r>
    </w:p>
    <w:p w14:paraId="5367400B" w14:textId="71CE92C5" w:rsidR="00BB64F7" w:rsidRPr="004E74BD" w:rsidRDefault="00BB64F7" w:rsidP="00BB64F7">
      <w:pPr>
        <w:spacing w:after="0" w:line="240" w:lineRule="auto"/>
        <w:rPr>
          <w:rFonts w:ascii="Arial" w:eastAsiaTheme="minorEastAsia" w:hAnsi="Arial" w:cs="Arial"/>
          <w:lang w:eastAsia="en-GB"/>
        </w:rPr>
      </w:pPr>
      <w:r w:rsidRPr="004E74BD">
        <w:rPr>
          <w:rFonts w:ascii="Arial" w:eastAsia="Arial" w:hAnsi="Arial" w:cs="Arial"/>
          <w:color w:val="252525"/>
          <w:lang w:eastAsia="en-GB"/>
        </w:rPr>
        <w:t>Aldi should get more active in local events to help with social integration and to provide the greatest possible partnership between the local community and the government, which will help to develop a favourable brand name.</w:t>
      </w:r>
    </w:p>
    <w:p w14:paraId="0E9A2997" w14:textId="77777777" w:rsidR="00BB64F7" w:rsidRPr="004E74BD" w:rsidRDefault="00BB64F7" w:rsidP="00BB64F7">
      <w:pPr>
        <w:spacing w:after="0" w:line="240" w:lineRule="auto"/>
        <w:rPr>
          <w:rFonts w:ascii="Arial" w:eastAsia="Arial" w:hAnsi="Arial" w:cs="Arial"/>
          <w:color w:val="252525"/>
          <w:lang w:eastAsia="en-GB"/>
        </w:rPr>
      </w:pPr>
      <w:r w:rsidRPr="004E74BD">
        <w:rPr>
          <w:rFonts w:ascii="Arial" w:eastAsia="Arial" w:hAnsi="Arial" w:cs="Arial"/>
          <w:color w:val="252525"/>
          <w:lang w:eastAsia="en-GB"/>
        </w:rPr>
        <w:t>Because they are presently operating in a narrow region, Aldi's expansion should be geographically in Australia. Aldi's rapid development is possible because the cost of opening an Aldi store is relatively inexpensive when compared to its competitors. The company's strong financial skills will allow it to develop quickly.</w:t>
      </w:r>
    </w:p>
    <w:p w14:paraId="0C180C5E" w14:textId="5DD2C71A" w:rsidR="00BB64F7" w:rsidRPr="004E74BD" w:rsidRDefault="00BB64F7" w:rsidP="00BB64F7">
      <w:pPr>
        <w:spacing w:after="0" w:line="240" w:lineRule="auto"/>
        <w:rPr>
          <w:rFonts w:ascii="Arial" w:eastAsiaTheme="minorEastAsia" w:hAnsi="Arial" w:cs="Arial"/>
          <w:lang w:eastAsia="en-GB"/>
        </w:rPr>
      </w:pPr>
      <w:r w:rsidRPr="004E74BD">
        <w:rPr>
          <w:rFonts w:ascii="Arial" w:eastAsia="Arial" w:hAnsi="Arial" w:cs="Arial"/>
          <w:color w:val="252525"/>
          <w:lang w:eastAsia="en-GB"/>
        </w:rPr>
        <w:t>Goods must be priced in a way that responds to market competition. Products must be less costly than those offered by competitors. It's also tough to grow quickly because of this.</w:t>
      </w:r>
    </w:p>
    <w:p w14:paraId="1AD477EE" w14:textId="125087B3" w:rsidR="00BB64F7" w:rsidRPr="004E74BD" w:rsidRDefault="00BB64F7" w:rsidP="00BB64F7">
      <w:pPr>
        <w:spacing w:after="0" w:line="240" w:lineRule="auto"/>
        <w:rPr>
          <w:rFonts w:ascii="Arial" w:eastAsia="Arial" w:hAnsi="Arial" w:cs="Arial"/>
          <w:color w:val="252525"/>
          <w:lang w:eastAsia="en-GB"/>
        </w:rPr>
      </w:pPr>
      <w:r w:rsidRPr="004E74BD">
        <w:rPr>
          <w:rFonts w:ascii="Arial" w:eastAsia="Arial" w:hAnsi="Arial" w:cs="Arial"/>
          <w:color w:val="252525"/>
          <w:lang w:eastAsia="en-GB"/>
        </w:rPr>
        <w:t>Increased service schedules may aid in the acquisition of a larger client base. Because Aldi supermarkets' operating hours match with the working hours of many office workers, extending the hours of Aldi stores in certain areas is profitable. Aldi will profit from the expanded service hours, even though it is a cost-cutting move.</w:t>
      </w:r>
    </w:p>
    <w:p w14:paraId="20C71D0B" w14:textId="60177707" w:rsidR="00BB64F7" w:rsidRPr="004E74BD" w:rsidRDefault="00BB64F7" w:rsidP="00BB64F7">
      <w:pPr>
        <w:spacing w:after="0" w:line="240" w:lineRule="auto"/>
        <w:rPr>
          <w:rFonts w:ascii="Arial" w:eastAsiaTheme="minorEastAsia" w:hAnsi="Arial" w:cs="Arial"/>
          <w:lang w:eastAsia="en-GB"/>
        </w:rPr>
      </w:pPr>
      <w:r w:rsidRPr="004E74BD">
        <w:rPr>
          <w:rFonts w:ascii="Arial" w:eastAsia="Arial" w:hAnsi="Arial" w:cs="Arial"/>
          <w:color w:val="252525"/>
          <w:lang w:eastAsia="en-GB"/>
        </w:rPr>
        <w:t>Aldi also has the option of pursuing a worldwide approach. Aldi is a feasible export to other supply chain challenged nations because its supply chain management is so strong and has become a key skill. This has the potential to be a big focus for this company, and it is an opportunity that should be pursued as soon as possible.</w:t>
      </w:r>
    </w:p>
    <w:p w14:paraId="68B01507" w14:textId="3AB760EB" w:rsidR="00A3753A" w:rsidRPr="004E74BD" w:rsidRDefault="00A3753A" w:rsidP="00BB64F7">
      <w:pPr>
        <w:spacing w:after="0" w:line="204" w:lineRule="auto"/>
        <w:rPr>
          <w:rFonts w:ascii="Arial" w:eastAsia="Arial" w:hAnsi="Arial" w:cs="Arial"/>
          <w:color w:val="252525"/>
          <w:lang w:eastAsia="en-GB"/>
        </w:rPr>
      </w:pPr>
      <w:r w:rsidRPr="004E74BD">
        <w:rPr>
          <w:rFonts w:ascii="Arial" w:eastAsia="Arial" w:hAnsi="Arial" w:cs="Arial"/>
          <w:color w:val="252525"/>
          <w:lang w:eastAsia="en-GB"/>
        </w:rPr>
        <w:t>Aldi might expand into other industries such as fuel and liquor sales. The selling pattern in these businesses is like that of supermarkets. As the low-cost grocery leader, Aldi can easily penetrate these two market sectors.</w:t>
      </w:r>
    </w:p>
    <w:p w14:paraId="7024AF4F" w14:textId="3DD7CAC1" w:rsidR="00BB64F7" w:rsidRPr="004E74BD" w:rsidRDefault="00A3753A" w:rsidP="00BB64F7">
      <w:pPr>
        <w:spacing w:after="0" w:line="204" w:lineRule="auto"/>
        <w:rPr>
          <w:rFonts w:ascii="Arial" w:eastAsiaTheme="minorEastAsia" w:hAnsi="Arial" w:cs="Arial"/>
          <w:lang w:eastAsia="en-GB"/>
        </w:rPr>
      </w:pPr>
      <w:r w:rsidRPr="004E74BD">
        <w:rPr>
          <w:rFonts w:ascii="Arial" w:eastAsia="Arial" w:hAnsi="Arial" w:cs="Arial"/>
          <w:color w:val="252525"/>
          <w:lang w:eastAsia="en-GB"/>
        </w:rPr>
        <w:t>Because the products Aldi sells are rather limited, they must extend the number of items they provide to consumers. While this allows them to be a low-cost leader, it frequently pushes potential customers away from the store because they want more alternatives. Aldi may create a cooperation with the petroleum and liquor retail businesses to give discounts on fuel in exchange for forward or backward payments Consumers who leave Aldi will visit petrol stations and liquor shops, while customers who visit gas stations and liquor stores will visit the Aldi retail store. Because the grocery market is still developing and has few competitions, Aldi may be able to focus on Asia and the Middle East. As part of its worldwide strategy, the firm may apply what it has learned in the western market to expand into other parts of the globe.</w:t>
      </w:r>
    </w:p>
    <w:p w14:paraId="744C8A82" w14:textId="06E838C3" w:rsidR="0038648A" w:rsidRPr="0038648A" w:rsidRDefault="0022670B" w:rsidP="0038648A">
      <w:pPr>
        <w:shd w:val="clear" w:color="auto" w:fill="FFFFFF"/>
        <w:spacing w:after="300" w:line="240" w:lineRule="auto"/>
        <w:jc w:val="both"/>
        <w:rPr>
          <w:rFonts w:ascii="Arial" w:eastAsia="Times New Roman" w:hAnsi="Arial" w:cs="Arial"/>
          <w:color w:val="54595F"/>
          <w:lang w:eastAsia="en-GB"/>
        </w:rPr>
      </w:pPr>
      <w:r w:rsidRPr="002300C3">
        <w:rPr>
          <w:rFonts w:ascii="Arial" w:hAnsi="Arial" w:cs="Arial"/>
          <w:b/>
          <w:bCs/>
          <w:sz w:val="24"/>
          <w:szCs w:val="24"/>
        </w:rPr>
        <w:t>3.</w:t>
      </w:r>
      <w:r w:rsidR="002300C3" w:rsidRPr="002300C3">
        <w:rPr>
          <w:rFonts w:ascii="Arial" w:hAnsi="Arial" w:cs="Arial"/>
          <w:b/>
          <w:bCs/>
          <w:sz w:val="24"/>
          <w:szCs w:val="24"/>
        </w:rPr>
        <w:t>c</w:t>
      </w:r>
      <w:r w:rsidR="002300C3">
        <w:rPr>
          <w:rFonts w:ascii="Arial" w:hAnsi="Arial" w:cs="Arial"/>
          <w:b/>
          <w:bCs/>
        </w:rPr>
        <w:t>.</w:t>
      </w:r>
      <w:r w:rsidR="002300C3" w:rsidRPr="004E74BD">
        <w:rPr>
          <w:rFonts w:ascii="Arial" w:hAnsi="Arial" w:cs="Arial"/>
          <w:color w:val="54595F"/>
          <w:shd w:val="clear" w:color="auto" w:fill="FFFFFF"/>
        </w:rPr>
        <w:t xml:space="preserve"> The</w:t>
      </w:r>
      <w:r w:rsidR="004E74BD" w:rsidRPr="004E74BD">
        <w:rPr>
          <w:rFonts w:ascii="Arial" w:hAnsi="Arial" w:cs="Arial"/>
          <w:color w:val="54595F"/>
          <w:shd w:val="clear" w:color="auto" w:fill="FFFFFF"/>
        </w:rPr>
        <w:t xml:space="preserve"> global market is divided into seven regions by OPPO's market strategy (China, India, South Asia, West Europe, East Europe, Asia-Pacific, Middle East Africa, Japan). According to IDC, OPPO grew rapidly in the foreign market in 2016, with a growth rate of 183.8 </w:t>
      </w:r>
      <w:r w:rsidR="0038648A" w:rsidRPr="004E74BD">
        <w:rPr>
          <w:rFonts w:ascii="Arial" w:hAnsi="Arial" w:cs="Arial"/>
          <w:color w:val="54595F"/>
          <w:shd w:val="clear" w:color="auto" w:fill="FFFFFF"/>
        </w:rPr>
        <w:t>percent.</w:t>
      </w:r>
      <w:r w:rsidR="0038648A">
        <w:rPr>
          <w:rFonts w:ascii="Arial" w:eastAsia="Times New Roman" w:hAnsi="Arial" w:cs="Arial"/>
          <w:color w:val="54595F"/>
          <w:lang w:eastAsia="en-GB"/>
        </w:rPr>
        <w:t xml:space="preserve"> In 2009, OPPO began its international expansion in Thailand. According to IDC (2017), the brand has the second largest market share in Thailand's smartphone market. The impact of OPPO's market approach may be observed in the Indian market, in addition to the Thai market. In the first quarter of 2018, OPPO's Indian market share was 7.4 percent. OPPO has branch offices and factories in India since it is a significant market. Following its success in Asia, the Chinese smartphone brand moved into Europe, including Russia. OPPO was registered in more than 140 countries throughout the world till 2018, and its mobile phone business spanned 31 nations and regional marketplaces.</w:t>
      </w:r>
    </w:p>
    <w:p w14:paraId="5879184F" w14:textId="6555D9B7" w:rsidR="00A85044" w:rsidRPr="004E74BD" w:rsidRDefault="00A76B74" w:rsidP="00A76B74">
      <w:pPr>
        <w:rPr>
          <w:rFonts w:ascii="Arial" w:hAnsi="Arial" w:cs="Arial"/>
          <w:bCs/>
        </w:rPr>
      </w:pP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r>
      <w:r w:rsidRPr="004E74BD">
        <w:rPr>
          <w:rFonts w:ascii="Arial" w:hAnsi="Arial" w:cs="Arial"/>
        </w:rPr>
        <w:tab/>
        <w:t xml:space="preserve">  </w:t>
      </w:r>
      <w:r w:rsidR="0038648A">
        <w:rPr>
          <w:rFonts w:ascii="Arial" w:hAnsi="Arial" w:cs="Arial"/>
        </w:rPr>
        <w:t xml:space="preserve">                          </w:t>
      </w:r>
      <w:r w:rsidRPr="004E74BD">
        <w:rPr>
          <w:rFonts w:ascii="Arial" w:hAnsi="Arial" w:cs="Arial"/>
        </w:rPr>
        <w:t xml:space="preserve">    </w:t>
      </w:r>
      <w:r w:rsidRPr="002300C3">
        <w:rPr>
          <w:rFonts w:ascii="Arial" w:hAnsi="Arial" w:cs="Arial"/>
          <w:b/>
          <w:bCs/>
          <w:sz w:val="24"/>
          <w:szCs w:val="24"/>
        </w:rPr>
        <w:t>4</w:t>
      </w:r>
      <w:r w:rsidR="0038648A">
        <w:rPr>
          <w:rFonts w:ascii="Arial" w:hAnsi="Arial" w:cs="Arial"/>
        </w:rPr>
        <w:t>.</w:t>
      </w:r>
      <w:r w:rsidRPr="004E74BD">
        <w:rPr>
          <w:rFonts w:ascii="Arial" w:hAnsi="Arial" w:cs="Arial"/>
          <w:bCs/>
        </w:rPr>
        <w:t xml:space="preserve">Although Brexit was proclaimed completed a month ago, the difficult process of negotiating </w:t>
      </w:r>
      <w:r w:rsidRPr="004E74BD">
        <w:rPr>
          <w:rFonts w:ascii="Arial" w:hAnsi="Arial" w:cs="Arial"/>
          <w:bCs/>
        </w:rPr>
        <w:lastRenderedPageBreak/>
        <w:t>an EU trade deal has just recently begun. Jamie Gough and John Kirby examine why business will gain from Brexit in the second of a two-part series.</w:t>
      </w:r>
      <w:r w:rsidRPr="004E74BD">
        <w:rPr>
          <w:rFonts w:ascii="Arial" w:hAnsi="Arial" w:cs="Arial"/>
        </w:rPr>
        <w:t xml:space="preserve"> The United Kingdom has finally departed the European Union. The Trade and Cooperation Agreement (TCA), signed on December 23, 2020, replaces the single market and the customs union as the foundation of the new UK-EU relationship. For many, the end of a long process in which the Tory party has turned against the interests of British businesses has arrived.</w:t>
      </w:r>
      <w:r w:rsidRPr="004E74BD">
        <w:rPr>
          <w:rFonts w:ascii="Arial" w:hAnsi="Arial" w:cs="Arial"/>
          <w:bCs/>
        </w:rPr>
        <w:t xml:space="preserve"> </w:t>
      </w:r>
      <w:r w:rsidRPr="004E74BD">
        <w:rPr>
          <w:rFonts w:ascii="Arial" w:hAnsi="Arial" w:cs="Arial"/>
        </w:rPr>
        <w:t>According to this line of reasoning, the Tory party has been taken over by a reactionary clique of fantasists yearning for the (bygone ‘glory') of the British Empire and disconnected from the demands of modern British and worldwide capital. However, such an assessment is inaccurate considering the current circumstances. There are several ways in which this agreement helps company</w:t>
      </w:r>
      <w:r w:rsidR="004E74BD">
        <w:rPr>
          <w:rFonts w:ascii="Arial" w:hAnsi="Arial" w:cs="Arial"/>
        </w:rPr>
        <w:t>.</w:t>
      </w:r>
      <w:r w:rsidR="00A3753A" w:rsidRPr="004E74BD">
        <w:rPr>
          <w:rFonts w:ascii="Arial" w:hAnsi="Arial" w:cs="Arial"/>
        </w:rPr>
        <w:tab/>
      </w:r>
    </w:p>
    <w:sectPr w:rsidR="00A85044" w:rsidRPr="004E74BD" w:rsidSect="000E64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NTMxMzIzsjSxNDdS0lEKTi0uzszPAykwrAUADzoJjiwAAAA="/>
  </w:docVars>
  <w:rsids>
    <w:rsidRoot w:val="000E64A1"/>
    <w:rsid w:val="00062BDF"/>
    <w:rsid w:val="000E64A1"/>
    <w:rsid w:val="00194517"/>
    <w:rsid w:val="001D6B67"/>
    <w:rsid w:val="0022670B"/>
    <w:rsid w:val="002300C3"/>
    <w:rsid w:val="002B7F11"/>
    <w:rsid w:val="002C56C9"/>
    <w:rsid w:val="002F7EE7"/>
    <w:rsid w:val="0032037C"/>
    <w:rsid w:val="00331A88"/>
    <w:rsid w:val="00343F58"/>
    <w:rsid w:val="0038648A"/>
    <w:rsid w:val="003A2FC3"/>
    <w:rsid w:val="003B23D3"/>
    <w:rsid w:val="003C3699"/>
    <w:rsid w:val="0048591F"/>
    <w:rsid w:val="004A088C"/>
    <w:rsid w:val="004C2F47"/>
    <w:rsid w:val="004E74BD"/>
    <w:rsid w:val="0054241D"/>
    <w:rsid w:val="005E4B31"/>
    <w:rsid w:val="006A5BC8"/>
    <w:rsid w:val="006C12C2"/>
    <w:rsid w:val="00765BE6"/>
    <w:rsid w:val="007701B7"/>
    <w:rsid w:val="0077339E"/>
    <w:rsid w:val="00805EB0"/>
    <w:rsid w:val="00840280"/>
    <w:rsid w:val="008916F2"/>
    <w:rsid w:val="008C7E54"/>
    <w:rsid w:val="009263C8"/>
    <w:rsid w:val="0095080C"/>
    <w:rsid w:val="009E4323"/>
    <w:rsid w:val="009F1BC7"/>
    <w:rsid w:val="00A3753A"/>
    <w:rsid w:val="00A76B74"/>
    <w:rsid w:val="00A85044"/>
    <w:rsid w:val="00AB7FE7"/>
    <w:rsid w:val="00B101A5"/>
    <w:rsid w:val="00B37FEF"/>
    <w:rsid w:val="00B72489"/>
    <w:rsid w:val="00BB64F7"/>
    <w:rsid w:val="00BD37CF"/>
    <w:rsid w:val="00C64160"/>
    <w:rsid w:val="00CD7A91"/>
    <w:rsid w:val="00E95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B8D18"/>
  <w15:chartTrackingRefBased/>
  <w15:docId w15:val="{99BAFAC9-685C-4660-87DC-7A364C8EB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64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64A1"/>
    <w:rPr>
      <w:rFonts w:eastAsiaTheme="minorEastAsia"/>
      <w:lang w:val="en-US"/>
    </w:rPr>
  </w:style>
  <w:style w:type="paragraph" w:styleId="NormalWeb">
    <w:name w:val="Normal (Web)"/>
    <w:basedOn w:val="Normal"/>
    <w:uiPriority w:val="99"/>
    <w:unhideWhenUsed/>
    <w:rsid w:val="005E4B31"/>
    <w:pPr>
      <w:spacing w:after="120" w:line="36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6599907">
      <w:bodyDiv w:val="1"/>
      <w:marLeft w:val="0"/>
      <w:marRight w:val="0"/>
      <w:marTop w:val="0"/>
      <w:marBottom w:val="0"/>
      <w:divBdr>
        <w:top w:val="none" w:sz="0" w:space="0" w:color="auto"/>
        <w:left w:val="none" w:sz="0" w:space="0" w:color="auto"/>
        <w:bottom w:val="none" w:sz="0" w:space="0" w:color="auto"/>
        <w:right w:val="none" w:sz="0" w:space="0" w:color="auto"/>
      </w:divBdr>
    </w:div>
    <w:div w:id="1935475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837BA7170EE4C7B9A4B367832E5EFF4"/>
        <w:category>
          <w:name w:val="General"/>
          <w:gallery w:val="placeholder"/>
        </w:category>
        <w:types>
          <w:type w:val="bbPlcHdr"/>
        </w:types>
        <w:behaviors>
          <w:behavior w:val="content"/>
        </w:behaviors>
        <w:guid w:val="{C0E0492A-12E2-485B-8413-9C71F4CD71E2}"/>
      </w:docPartPr>
      <w:docPartBody>
        <w:p w:rsidR="00E336F6" w:rsidRDefault="000148DD" w:rsidP="000148DD">
          <w:pPr>
            <w:pStyle w:val="0837BA7170EE4C7B9A4B367832E5EFF4"/>
          </w:pPr>
          <w:r>
            <w:rPr>
              <w:rFonts w:asciiTheme="majorHAnsi" w:eastAsiaTheme="majorEastAsia" w:hAnsiTheme="majorHAnsi" w:cstheme="majorBidi"/>
              <w:caps/>
              <w:color w:val="4472C4" w:themeColor="accent1"/>
              <w:sz w:val="80"/>
              <w:szCs w:val="80"/>
            </w:rPr>
            <w:t>[Document title]</w:t>
          </w:r>
        </w:p>
      </w:docPartBody>
    </w:docPart>
    <w:docPart>
      <w:docPartPr>
        <w:name w:val="99B06E1AEEE144B386826F66511F262D"/>
        <w:category>
          <w:name w:val="General"/>
          <w:gallery w:val="placeholder"/>
        </w:category>
        <w:types>
          <w:type w:val="bbPlcHdr"/>
        </w:types>
        <w:behaviors>
          <w:behavior w:val="content"/>
        </w:behaviors>
        <w:guid w:val="{24E69469-1FD6-4A90-82AC-C6D3F66EFF08}"/>
      </w:docPartPr>
      <w:docPartBody>
        <w:p w:rsidR="00E336F6" w:rsidRDefault="000148DD" w:rsidP="000148DD">
          <w:pPr>
            <w:pStyle w:val="99B06E1AEEE144B386826F66511F262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8DD"/>
    <w:rsid w:val="000148DD"/>
    <w:rsid w:val="00906FF5"/>
    <w:rsid w:val="00E33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837BA7170EE4C7B9A4B367832E5EFF4">
    <w:name w:val="0837BA7170EE4C7B9A4B367832E5EFF4"/>
    <w:rsid w:val="000148DD"/>
  </w:style>
  <w:style w:type="paragraph" w:customStyle="1" w:styleId="99B06E1AEEE144B386826F66511F262D">
    <w:name w:val="99B06E1AEEE144B386826F66511F262D"/>
    <w:rsid w:val="000148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71"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3731F10-C574-485A-8485-1A4ADE11DD44}">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2021-07-27T00:00:00</PublishDate>
  <Abstract/>
  <CompanyAddress>2020638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6</Pages>
  <Words>2649</Words>
  <Characters>15100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MADALINA MARIA MARINESCU</Company>
  <LinksUpToDate>false</LinksUpToDate>
  <CharactersWithSpaces>17714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environment(lcbb4005-birm) EXAM</dc:title>
  <dc:subject>DR. ERIC OSEI</dc:subject>
  <dc:creator>Madalina Marinescu</dc:creator>
  <cp:keywords/>
  <dc:description/>
  <cp:lastModifiedBy>Madalina Marinescu</cp:lastModifiedBy>
  <cp:revision>45</cp:revision>
  <dcterms:created xsi:type="dcterms:W3CDTF">2021-07-27T08:16:00Z</dcterms:created>
  <dcterms:modified xsi:type="dcterms:W3CDTF">2021-07-27T10:55:00Z</dcterms:modified>
</cp:coreProperties>
</file>