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56BBB" w:rsidRDefault="00856BBB" w:rsidP="00856BBB">
      <w:pPr>
        <w:pStyle w:val="Normal1"/>
        <w:jc w:val="center"/>
        <w:rPr>
          <w:rFonts w:eastAsia="Times New Roman" w:cs="Times New Roman"/>
          <w:b/>
          <w:sz w:val="32"/>
          <w:szCs w:val="32"/>
        </w:rPr>
      </w:pPr>
      <w:r>
        <w:rPr>
          <w:rFonts w:eastAsia="Times New Roman" w:cs="Times New Roman"/>
          <w:b/>
          <w:sz w:val="32"/>
          <w:szCs w:val="32"/>
        </w:rPr>
        <w:t>BA Business Manag</w:t>
      </w:r>
      <w:r w:rsidR="00F9022F">
        <w:rPr>
          <w:rFonts w:eastAsia="Times New Roman" w:cs="Times New Roman"/>
          <w:b/>
          <w:sz w:val="32"/>
          <w:szCs w:val="32"/>
        </w:rPr>
        <w:t>ement</w:t>
      </w:r>
    </w:p>
    <w:p w:rsidR="00856BBB" w:rsidRPr="00F9022F" w:rsidRDefault="00B51B7B" w:rsidP="00856BBB">
      <w:pPr>
        <w:pStyle w:val="Normal1"/>
        <w:jc w:val="center"/>
        <w:rPr>
          <w:rFonts w:eastAsia="Times New Roman" w:cs="Times New Roman"/>
          <w:b/>
          <w:sz w:val="28"/>
          <w:szCs w:val="28"/>
        </w:rPr>
      </w:pPr>
      <w:r w:rsidRPr="00F9022F">
        <w:rPr>
          <w:rFonts w:eastAsia="Times New Roman" w:cs="Times New Roman"/>
          <w:b/>
          <w:sz w:val="28"/>
          <w:szCs w:val="28"/>
        </w:rPr>
        <w:t>Community Engagement</w:t>
      </w:r>
    </w:p>
    <w:p w:rsidR="00FC69D4" w:rsidRPr="00831151" w:rsidRDefault="00B51B7B">
      <w:pPr>
        <w:pStyle w:val="Normal1"/>
        <w:jc w:val="center"/>
        <w:rPr>
          <w:rFonts w:eastAsia="Times New Roman" w:cs="Times New Roman"/>
          <w:bCs/>
          <w:szCs w:val="24"/>
        </w:rPr>
      </w:pPr>
      <w:r w:rsidRPr="00831151">
        <w:rPr>
          <w:rFonts w:eastAsia="Times New Roman" w:cs="Times New Roman"/>
          <w:bCs/>
          <w:szCs w:val="24"/>
        </w:rPr>
        <w:t xml:space="preserve">Student Name: </w:t>
      </w:r>
      <w:r w:rsidRPr="00831151">
        <w:rPr>
          <w:rFonts w:eastAsia="Times New Roman" w:cs="Times New Roman"/>
          <w:bCs/>
          <w:szCs w:val="24"/>
        </w:rPr>
        <w:t>Mihail Cristian</w:t>
      </w:r>
    </w:p>
    <w:p w:rsidR="00FC69D4" w:rsidRPr="00831151" w:rsidRDefault="00B51B7B">
      <w:pPr>
        <w:pStyle w:val="Normal1"/>
        <w:jc w:val="center"/>
        <w:rPr>
          <w:rFonts w:eastAsia="Times New Roman" w:cs="Times New Roman"/>
          <w:bCs/>
          <w:szCs w:val="24"/>
        </w:rPr>
      </w:pPr>
      <w:r w:rsidRPr="00831151">
        <w:rPr>
          <w:rFonts w:eastAsia="Times New Roman" w:cs="Times New Roman"/>
          <w:bCs/>
          <w:szCs w:val="24"/>
        </w:rPr>
        <w:t>Student ID:</w:t>
      </w:r>
      <w:r w:rsidRPr="00831151">
        <w:rPr>
          <w:rFonts w:eastAsia="Times New Roman" w:cs="Times New Roman"/>
          <w:bCs/>
          <w:szCs w:val="24"/>
        </w:rPr>
        <w:t xml:space="preserve"> 2112321</w:t>
      </w:r>
    </w:p>
    <w:p w:rsidR="0051071D" w:rsidRPr="00831151" w:rsidRDefault="0051071D">
      <w:pPr>
        <w:pStyle w:val="Normal1"/>
        <w:jc w:val="center"/>
        <w:rPr>
          <w:rFonts w:eastAsia="Times New Roman" w:cs="Times New Roman"/>
          <w:bCs/>
          <w:szCs w:val="24"/>
        </w:rPr>
      </w:pPr>
      <w:r w:rsidRPr="00831151">
        <w:rPr>
          <w:rFonts w:eastAsia="Times New Roman" w:cs="Times New Roman"/>
          <w:bCs/>
          <w:szCs w:val="24"/>
        </w:rPr>
        <w:t>Assessment 2</w:t>
      </w:r>
    </w:p>
    <w:p w:rsidR="003F4AAF" w:rsidRPr="00831151" w:rsidRDefault="003F4AAF">
      <w:pPr>
        <w:pStyle w:val="Normal1"/>
        <w:jc w:val="center"/>
        <w:rPr>
          <w:rFonts w:eastAsia="Times New Roman" w:cs="Times New Roman"/>
          <w:bCs/>
          <w:szCs w:val="24"/>
        </w:rPr>
      </w:pPr>
      <w:r w:rsidRPr="00831151">
        <w:rPr>
          <w:rFonts w:eastAsia="Times New Roman" w:cs="Times New Roman"/>
          <w:bCs/>
          <w:szCs w:val="24"/>
        </w:rPr>
        <w:t>Module Code: LCBB4002</w:t>
      </w:r>
    </w:p>
    <w:p w:rsidR="003F4AAF" w:rsidRPr="00831151" w:rsidRDefault="003F4AAF">
      <w:pPr>
        <w:pStyle w:val="Normal1"/>
        <w:jc w:val="center"/>
        <w:rPr>
          <w:rFonts w:eastAsia="Times New Roman" w:cs="Times New Roman"/>
          <w:bCs/>
          <w:szCs w:val="24"/>
        </w:rPr>
      </w:pPr>
      <w:r w:rsidRPr="00831151">
        <w:rPr>
          <w:rFonts w:eastAsia="Times New Roman" w:cs="Times New Roman"/>
          <w:bCs/>
          <w:szCs w:val="24"/>
        </w:rPr>
        <w:t>Lecturer: Faizu Edu</w:t>
      </w:r>
      <w:r w:rsidR="0016688B" w:rsidRPr="00831151">
        <w:rPr>
          <w:rFonts w:eastAsia="Times New Roman" w:cs="Times New Roman"/>
          <w:bCs/>
          <w:szCs w:val="24"/>
        </w:rPr>
        <w:t xml:space="preserve"> </w:t>
      </w:r>
    </w:p>
    <w:p w:rsidR="00FC69D4" w:rsidRDefault="00B51B7B">
      <w:pPr>
        <w:pStyle w:val="Normal1"/>
        <w:jc w:val="center"/>
        <w:rPr>
          <w:rFonts w:eastAsia="Times New Roman" w:cs="Times New Roman"/>
          <w:b/>
          <w:szCs w:val="24"/>
        </w:rPr>
      </w:pPr>
      <w:r>
        <w:br w:type="page"/>
      </w:r>
    </w:p>
    <w:p w:rsidR="00FC69D4" w:rsidRDefault="00B51B7B">
      <w:pPr>
        <w:pStyle w:val="Titlucuprins"/>
        <w:jc w:val="center"/>
        <w:rPr>
          <w:rFonts w:ascii="Times New Roman" w:hAnsi="Times New Roman" w:cs="Times New Roman"/>
          <w:color w:val="auto"/>
        </w:rPr>
      </w:pPr>
      <w:r>
        <w:rPr>
          <w:rFonts w:ascii="Times New Roman" w:hAnsi="Times New Roman" w:cs="Times New Roman"/>
          <w:color w:val="auto"/>
        </w:rPr>
        <w:lastRenderedPageBreak/>
        <w:t>Table of Contents</w:t>
      </w:r>
    </w:p>
    <w:p w:rsidR="00FC69D4" w:rsidRDefault="00B51B7B">
      <w:pPr>
        <w:pStyle w:val="Cuprins1"/>
        <w:tabs>
          <w:tab w:val="right" w:leader="dot" w:pos="9350"/>
        </w:tabs>
        <w:spacing w:line="360" w:lineRule="auto"/>
        <w:jc w:val="both"/>
        <w:rPr>
          <w:rFonts w:ascii="Times New Roman" w:eastAsia="SimSu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100610865" w:history="1">
        <w:r>
          <w:rPr>
            <w:rStyle w:val="Hyperlink"/>
            <w:rFonts w:ascii="Times New Roman" w:hAnsi="Times New Roman" w:cs="Times New Roman"/>
            <w:noProof/>
            <w:color w:val="auto"/>
            <w:sz w:val="24"/>
            <w:szCs w:val="24"/>
          </w:rPr>
          <w:t>Introduction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_Toc100610865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Pr>
            <w:rFonts w:ascii="Times New Roman" w:hAnsi="Times New Roman" w:cs="Times New Roman"/>
            <w:noProof/>
            <w:webHidden/>
            <w:sz w:val="24"/>
            <w:szCs w:val="24"/>
          </w:rPr>
          <w:fldChar w:fldCharType="end"/>
        </w:r>
      </w:hyperlink>
    </w:p>
    <w:p w:rsidR="00FC69D4" w:rsidRDefault="00B51B7B">
      <w:pPr>
        <w:pStyle w:val="Cuprins1"/>
        <w:tabs>
          <w:tab w:val="right" w:leader="dot" w:pos="9350"/>
        </w:tabs>
        <w:spacing w:line="360" w:lineRule="auto"/>
        <w:jc w:val="both"/>
        <w:rPr>
          <w:rFonts w:ascii="Times New Roman" w:eastAsia="SimSun" w:hAnsi="Times New Roman" w:cs="Times New Roman"/>
          <w:noProof/>
          <w:sz w:val="24"/>
          <w:szCs w:val="24"/>
        </w:rPr>
      </w:pPr>
      <w:hyperlink w:anchor="_Toc100610866" w:history="1">
        <w:r>
          <w:rPr>
            <w:rStyle w:val="Hyperlink"/>
            <w:rFonts w:ascii="Times New Roman" w:hAnsi="Times New Roman" w:cs="Times New Roman"/>
            <w:noProof/>
            <w:color w:val="auto"/>
            <w:sz w:val="24"/>
            <w:szCs w:val="24"/>
          </w:rPr>
          <w:t>Discussion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_Toc100610866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Pr>
            <w:rFonts w:ascii="Times New Roman" w:hAnsi="Times New Roman" w:cs="Times New Roman"/>
            <w:noProof/>
            <w:webHidden/>
            <w:sz w:val="24"/>
            <w:szCs w:val="24"/>
          </w:rPr>
          <w:fldChar w:fldCharType="end"/>
        </w:r>
      </w:hyperlink>
    </w:p>
    <w:p w:rsidR="00FC69D4" w:rsidRDefault="00B51B7B">
      <w:pPr>
        <w:pStyle w:val="Cuprins2"/>
        <w:tabs>
          <w:tab w:val="right" w:leader="dot" w:pos="9350"/>
        </w:tabs>
        <w:spacing w:line="360" w:lineRule="auto"/>
        <w:jc w:val="both"/>
        <w:rPr>
          <w:rFonts w:ascii="Times New Roman" w:eastAsia="SimSun" w:hAnsi="Times New Roman" w:cs="Times New Roman"/>
          <w:noProof/>
          <w:sz w:val="24"/>
          <w:szCs w:val="24"/>
        </w:rPr>
      </w:pPr>
      <w:hyperlink w:anchor="_Toc100610867" w:history="1">
        <w:r>
          <w:rPr>
            <w:rStyle w:val="Hyperlink"/>
            <w:rFonts w:ascii="Times New Roman" w:hAnsi="Times New Roman" w:cs="Times New Roman"/>
            <w:noProof/>
            <w:color w:val="auto"/>
            <w:sz w:val="24"/>
            <w:szCs w:val="24"/>
          </w:rPr>
          <w:t>The dissimilarity between the projects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_Toc100610867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Pr>
            <w:rFonts w:ascii="Times New Roman" w:hAnsi="Times New Roman" w:cs="Times New Roman"/>
            <w:noProof/>
            <w:webHidden/>
            <w:sz w:val="24"/>
            <w:szCs w:val="24"/>
          </w:rPr>
          <w:fldChar w:fldCharType="end"/>
        </w:r>
      </w:hyperlink>
    </w:p>
    <w:p w:rsidR="00FC69D4" w:rsidRDefault="00B51B7B">
      <w:pPr>
        <w:pStyle w:val="Cuprins2"/>
        <w:tabs>
          <w:tab w:val="right" w:leader="dot" w:pos="9350"/>
        </w:tabs>
        <w:spacing w:line="360" w:lineRule="auto"/>
        <w:jc w:val="both"/>
        <w:rPr>
          <w:rFonts w:ascii="Times New Roman" w:eastAsia="SimSun" w:hAnsi="Times New Roman" w:cs="Times New Roman"/>
          <w:noProof/>
          <w:sz w:val="24"/>
          <w:szCs w:val="24"/>
        </w:rPr>
      </w:pPr>
      <w:hyperlink w:anchor="_Toc100610868" w:history="1">
        <w:r>
          <w:rPr>
            <w:rStyle w:val="Hyperlink"/>
            <w:rFonts w:ascii="Times New Roman" w:hAnsi="Times New Roman" w:cs="Times New Roman"/>
            <w:noProof/>
            <w:color w:val="auto"/>
            <w:sz w:val="24"/>
            <w:szCs w:val="24"/>
          </w:rPr>
          <w:t>Effectual Consultation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_Toc100610868 </w:instrText>
        </w:r>
        <w:r>
          <w:rPr>
            <w:rFonts w:ascii="Times New Roman" w:hAnsi="Times New Roman" w:cs="Times New Roman"/>
            <w:noProof/>
            <w:webHidden/>
            <w:sz w:val="24"/>
            <w:szCs w:val="24"/>
          </w:rPr>
          <w:instrText xml:space="preserve">\h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Pr>
            <w:rFonts w:ascii="Times New Roman" w:hAnsi="Times New Roman" w:cs="Times New Roman"/>
            <w:noProof/>
            <w:webHidden/>
            <w:sz w:val="24"/>
            <w:szCs w:val="24"/>
          </w:rPr>
          <w:fldChar w:fldCharType="end"/>
        </w:r>
      </w:hyperlink>
    </w:p>
    <w:p w:rsidR="00FC69D4" w:rsidRDefault="00B51B7B">
      <w:pPr>
        <w:pStyle w:val="Cuprins2"/>
        <w:tabs>
          <w:tab w:val="right" w:leader="dot" w:pos="9350"/>
        </w:tabs>
        <w:spacing w:line="360" w:lineRule="auto"/>
        <w:jc w:val="both"/>
        <w:rPr>
          <w:rFonts w:ascii="Times New Roman" w:eastAsia="SimSun" w:hAnsi="Times New Roman" w:cs="Times New Roman"/>
          <w:noProof/>
          <w:sz w:val="24"/>
          <w:szCs w:val="24"/>
        </w:rPr>
      </w:pPr>
      <w:hyperlink w:anchor="_Toc100610869" w:history="1">
        <w:r>
          <w:rPr>
            <w:rStyle w:val="Hyperlink"/>
            <w:rFonts w:ascii="Times New Roman" w:hAnsi="Times New Roman" w:cs="Times New Roman"/>
            <w:noProof/>
            <w:color w:val="auto"/>
            <w:sz w:val="24"/>
            <w:szCs w:val="24"/>
          </w:rPr>
          <w:t>Significant Communication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_Toc100610869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Pr>
            <w:rFonts w:ascii="Times New Roman" w:hAnsi="Times New Roman" w:cs="Times New Roman"/>
            <w:noProof/>
            <w:webHidden/>
            <w:sz w:val="24"/>
            <w:szCs w:val="24"/>
          </w:rPr>
          <w:fldChar w:fldCharType="end"/>
        </w:r>
      </w:hyperlink>
    </w:p>
    <w:p w:rsidR="00FC69D4" w:rsidRDefault="00B51B7B">
      <w:pPr>
        <w:pStyle w:val="Cuprins2"/>
        <w:tabs>
          <w:tab w:val="right" w:leader="dot" w:pos="9350"/>
        </w:tabs>
        <w:spacing w:line="360" w:lineRule="auto"/>
        <w:jc w:val="both"/>
        <w:rPr>
          <w:rFonts w:ascii="Times New Roman" w:eastAsia="SimSun" w:hAnsi="Times New Roman" w:cs="Times New Roman"/>
          <w:noProof/>
          <w:sz w:val="24"/>
          <w:szCs w:val="24"/>
        </w:rPr>
      </w:pPr>
      <w:hyperlink w:anchor="_Toc100610870" w:history="1">
        <w:r>
          <w:rPr>
            <w:rStyle w:val="Hyperlink"/>
            <w:rFonts w:ascii="Times New Roman" w:hAnsi="Times New Roman" w:cs="Times New Roman"/>
            <w:noProof/>
            <w:color w:val="auto"/>
            <w:sz w:val="24"/>
            <w:szCs w:val="24"/>
          </w:rPr>
          <w:t>Engagement of Stakeholders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_Toc100610870 \h</w:instrText>
        </w:r>
        <w:r>
          <w:rPr>
            <w:rFonts w:ascii="Times New Roman" w:hAnsi="Times New Roman" w:cs="Times New Roman"/>
            <w:noProof/>
            <w:webHidden/>
            <w:sz w:val="24"/>
            <w:szCs w:val="24"/>
          </w:rPr>
          <w:instrText xml:space="preserve">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Pr>
            <w:rFonts w:ascii="Times New Roman" w:hAnsi="Times New Roman" w:cs="Times New Roman"/>
            <w:noProof/>
            <w:webHidden/>
            <w:sz w:val="24"/>
            <w:szCs w:val="24"/>
          </w:rPr>
          <w:fldChar w:fldCharType="end"/>
        </w:r>
      </w:hyperlink>
    </w:p>
    <w:p w:rsidR="00FC69D4" w:rsidRDefault="00B51B7B">
      <w:pPr>
        <w:pStyle w:val="Cuprins2"/>
        <w:tabs>
          <w:tab w:val="right" w:leader="dot" w:pos="9350"/>
        </w:tabs>
        <w:spacing w:line="360" w:lineRule="auto"/>
        <w:jc w:val="both"/>
        <w:rPr>
          <w:rFonts w:ascii="Times New Roman" w:eastAsia="SimSun" w:hAnsi="Times New Roman" w:cs="Times New Roman"/>
          <w:noProof/>
          <w:sz w:val="24"/>
          <w:szCs w:val="24"/>
        </w:rPr>
      </w:pPr>
      <w:hyperlink w:anchor="_Toc100610871" w:history="1">
        <w:r>
          <w:rPr>
            <w:rStyle w:val="Hyperlink"/>
            <w:rFonts w:ascii="Times New Roman" w:hAnsi="Times New Roman" w:cs="Times New Roman"/>
            <w:noProof/>
            <w:color w:val="auto"/>
            <w:sz w:val="24"/>
            <w:szCs w:val="24"/>
          </w:rPr>
          <w:t>Incorporation of Future Approaches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_Toc100610871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Pr>
            <w:rFonts w:ascii="Times New Roman" w:hAnsi="Times New Roman" w:cs="Times New Roman"/>
            <w:noProof/>
            <w:webHidden/>
            <w:sz w:val="24"/>
            <w:szCs w:val="24"/>
          </w:rPr>
          <w:fldChar w:fldCharType="end"/>
        </w:r>
      </w:hyperlink>
    </w:p>
    <w:p w:rsidR="00FC69D4" w:rsidRDefault="00B51B7B">
      <w:pPr>
        <w:pStyle w:val="Cuprins1"/>
        <w:tabs>
          <w:tab w:val="right" w:leader="dot" w:pos="9350"/>
        </w:tabs>
        <w:spacing w:line="360" w:lineRule="auto"/>
        <w:jc w:val="both"/>
        <w:rPr>
          <w:rFonts w:ascii="Times New Roman" w:eastAsia="SimSun" w:hAnsi="Times New Roman" w:cs="Times New Roman"/>
          <w:noProof/>
          <w:sz w:val="24"/>
          <w:szCs w:val="24"/>
        </w:rPr>
      </w:pPr>
      <w:hyperlink w:anchor="_Toc100610872" w:history="1">
        <w:r>
          <w:rPr>
            <w:rStyle w:val="Hyperlink"/>
            <w:rFonts w:ascii="Times New Roman" w:hAnsi="Times New Roman" w:cs="Times New Roman"/>
            <w:noProof/>
            <w:color w:val="auto"/>
            <w:sz w:val="24"/>
            <w:szCs w:val="24"/>
          </w:rPr>
          <w:t>Analysis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_Toc100610872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Pr>
            <w:rFonts w:ascii="Times New Roman" w:hAnsi="Times New Roman" w:cs="Times New Roman"/>
            <w:noProof/>
            <w:webHidden/>
            <w:sz w:val="24"/>
            <w:szCs w:val="24"/>
          </w:rPr>
          <w:fldChar w:fldCharType="end"/>
        </w:r>
      </w:hyperlink>
    </w:p>
    <w:p w:rsidR="00FC69D4" w:rsidRDefault="00B51B7B">
      <w:pPr>
        <w:pStyle w:val="Cuprins2"/>
        <w:tabs>
          <w:tab w:val="right" w:leader="dot" w:pos="9350"/>
        </w:tabs>
        <w:spacing w:line="360" w:lineRule="auto"/>
        <w:jc w:val="both"/>
        <w:rPr>
          <w:rFonts w:ascii="Times New Roman" w:eastAsia="SimSun" w:hAnsi="Times New Roman" w:cs="Times New Roman"/>
          <w:noProof/>
          <w:sz w:val="24"/>
          <w:szCs w:val="24"/>
        </w:rPr>
      </w:pPr>
      <w:hyperlink w:anchor="_Toc100610873" w:history="1">
        <w:r>
          <w:rPr>
            <w:rStyle w:val="Hyperlink"/>
            <w:rFonts w:ascii="Times New Roman" w:hAnsi="Times New Roman" w:cs="Times New Roman"/>
            <w:noProof/>
            <w:color w:val="auto"/>
            <w:sz w:val="24"/>
            <w:szCs w:val="24"/>
          </w:rPr>
          <w:t>Graphing of the community</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_Toc100610873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Pr>
            <w:rFonts w:ascii="Times New Roman" w:hAnsi="Times New Roman" w:cs="Times New Roman"/>
            <w:noProof/>
            <w:webHidden/>
            <w:sz w:val="24"/>
            <w:szCs w:val="24"/>
          </w:rPr>
          <w:fldChar w:fldCharType="end"/>
        </w:r>
      </w:hyperlink>
    </w:p>
    <w:p w:rsidR="00FC69D4" w:rsidRDefault="00B51B7B">
      <w:pPr>
        <w:pStyle w:val="Cuprins2"/>
        <w:tabs>
          <w:tab w:val="right" w:leader="dot" w:pos="9350"/>
        </w:tabs>
        <w:spacing w:line="360" w:lineRule="auto"/>
        <w:jc w:val="both"/>
        <w:rPr>
          <w:rFonts w:ascii="Times New Roman" w:eastAsia="SimSun" w:hAnsi="Times New Roman" w:cs="Times New Roman"/>
          <w:noProof/>
          <w:sz w:val="24"/>
          <w:szCs w:val="24"/>
        </w:rPr>
      </w:pPr>
      <w:hyperlink w:anchor="_Toc100610874" w:history="1">
        <w:r>
          <w:rPr>
            <w:rStyle w:val="Hyperlink"/>
            <w:rFonts w:ascii="Times New Roman" w:hAnsi="Times New Roman" w:cs="Times New Roman"/>
            <w:noProof/>
            <w:color w:val="auto"/>
            <w:sz w:val="24"/>
            <w:szCs w:val="24"/>
          </w:rPr>
          <w:t>Social Involvement</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_Toc100610874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Pr>
            <w:rFonts w:ascii="Times New Roman" w:hAnsi="Times New Roman" w:cs="Times New Roman"/>
            <w:noProof/>
            <w:webHidden/>
            <w:sz w:val="24"/>
            <w:szCs w:val="24"/>
          </w:rPr>
          <w:fldChar w:fldCharType="end"/>
        </w:r>
      </w:hyperlink>
    </w:p>
    <w:p w:rsidR="00FC69D4" w:rsidRDefault="00B51B7B">
      <w:pPr>
        <w:pStyle w:val="Cuprins2"/>
        <w:tabs>
          <w:tab w:val="right" w:leader="dot" w:pos="9350"/>
        </w:tabs>
        <w:spacing w:line="360" w:lineRule="auto"/>
        <w:jc w:val="both"/>
        <w:rPr>
          <w:rFonts w:ascii="Times New Roman" w:eastAsia="SimSun" w:hAnsi="Times New Roman" w:cs="Times New Roman"/>
          <w:noProof/>
          <w:sz w:val="24"/>
          <w:szCs w:val="24"/>
        </w:rPr>
      </w:pPr>
      <w:hyperlink w:anchor="_Toc100610875" w:history="1">
        <w:r>
          <w:rPr>
            <w:rStyle w:val="Hyperlink"/>
            <w:rFonts w:ascii="Times New Roman" w:hAnsi="Times New Roman" w:cs="Times New Roman"/>
            <w:noProof/>
            <w:color w:val="auto"/>
            <w:sz w:val="24"/>
            <w:szCs w:val="24"/>
          </w:rPr>
          <w:t>Interpretive Analysis of Projects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_Toc100610875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Pr>
            <w:rFonts w:ascii="Times New Roman" w:hAnsi="Times New Roman" w:cs="Times New Roman"/>
            <w:noProof/>
            <w:webHidden/>
            <w:sz w:val="24"/>
            <w:szCs w:val="24"/>
          </w:rPr>
          <w:fldChar w:fldCharType="end"/>
        </w:r>
      </w:hyperlink>
    </w:p>
    <w:p w:rsidR="00FC69D4" w:rsidRDefault="00B51B7B">
      <w:pPr>
        <w:pStyle w:val="Cuprins2"/>
        <w:tabs>
          <w:tab w:val="right" w:leader="dot" w:pos="9350"/>
        </w:tabs>
        <w:spacing w:line="360" w:lineRule="auto"/>
        <w:jc w:val="both"/>
        <w:rPr>
          <w:rFonts w:ascii="Times New Roman" w:eastAsia="SimSun" w:hAnsi="Times New Roman" w:cs="Times New Roman"/>
          <w:noProof/>
          <w:sz w:val="24"/>
          <w:szCs w:val="24"/>
        </w:rPr>
      </w:pPr>
      <w:hyperlink w:anchor="_Toc100610876" w:history="1">
        <w:r>
          <w:rPr>
            <w:rStyle w:val="Hyperlink"/>
            <w:rFonts w:ascii="Times New Roman" w:hAnsi="Times New Roman" w:cs="Times New Roman"/>
            <w:noProof/>
            <w:color w:val="auto"/>
            <w:sz w:val="24"/>
            <w:szCs w:val="24"/>
          </w:rPr>
          <w:t>Estimation Judgment of the Projects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_Toc100610876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Pr>
            <w:rFonts w:ascii="Times New Roman" w:hAnsi="Times New Roman" w:cs="Times New Roman"/>
            <w:noProof/>
            <w:webHidden/>
            <w:sz w:val="24"/>
            <w:szCs w:val="24"/>
          </w:rPr>
          <w:fldChar w:fldCharType="end"/>
        </w:r>
      </w:hyperlink>
    </w:p>
    <w:p w:rsidR="00FC69D4" w:rsidRDefault="00B51B7B">
      <w:pPr>
        <w:pStyle w:val="Cuprins2"/>
        <w:tabs>
          <w:tab w:val="right" w:leader="dot" w:pos="9350"/>
        </w:tabs>
        <w:spacing w:line="360" w:lineRule="auto"/>
        <w:jc w:val="both"/>
        <w:rPr>
          <w:rFonts w:ascii="Times New Roman" w:eastAsia="SimSun" w:hAnsi="Times New Roman" w:cs="Times New Roman"/>
          <w:noProof/>
          <w:sz w:val="24"/>
          <w:szCs w:val="24"/>
        </w:rPr>
      </w:pPr>
      <w:hyperlink w:anchor="_Toc100610877" w:history="1">
        <w:r>
          <w:rPr>
            <w:rStyle w:val="Hyperlink"/>
            <w:rFonts w:ascii="Times New Roman" w:hAnsi="Times New Roman" w:cs="Times New Roman"/>
            <w:noProof/>
            <w:color w:val="auto"/>
            <w:sz w:val="24"/>
            <w:szCs w:val="24"/>
          </w:rPr>
          <w:t>Finest Executions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_Toc100610877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Pr>
            <w:rFonts w:ascii="Times New Roman" w:hAnsi="Times New Roman" w:cs="Times New Roman"/>
            <w:noProof/>
            <w:webHidden/>
            <w:sz w:val="24"/>
            <w:szCs w:val="24"/>
          </w:rPr>
          <w:fldChar w:fldCharType="end"/>
        </w:r>
      </w:hyperlink>
    </w:p>
    <w:p w:rsidR="00FC69D4" w:rsidRDefault="00B51B7B">
      <w:pPr>
        <w:pStyle w:val="Cuprins1"/>
        <w:tabs>
          <w:tab w:val="right" w:leader="dot" w:pos="9350"/>
        </w:tabs>
        <w:spacing w:line="360" w:lineRule="auto"/>
        <w:jc w:val="both"/>
        <w:rPr>
          <w:rFonts w:ascii="Times New Roman" w:eastAsia="SimSun" w:hAnsi="Times New Roman" w:cs="Times New Roman"/>
          <w:noProof/>
          <w:sz w:val="24"/>
          <w:szCs w:val="24"/>
        </w:rPr>
      </w:pPr>
      <w:hyperlink w:anchor="_Toc100610878" w:history="1">
        <w:r>
          <w:rPr>
            <w:rStyle w:val="Hyperlink"/>
            <w:rFonts w:ascii="Times New Roman" w:hAnsi="Times New Roman" w:cs="Times New Roman"/>
            <w:noProof/>
            <w:color w:val="auto"/>
            <w:sz w:val="24"/>
            <w:szCs w:val="24"/>
          </w:rPr>
          <w:t>Conclusion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_Toc100610878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Pr>
            <w:rFonts w:ascii="Times New Roman" w:hAnsi="Times New Roman" w:cs="Times New Roman"/>
            <w:noProof/>
            <w:webHidden/>
            <w:sz w:val="24"/>
            <w:szCs w:val="24"/>
          </w:rPr>
          <w:fldChar w:fldCharType="end"/>
        </w:r>
      </w:hyperlink>
    </w:p>
    <w:p w:rsidR="00FC69D4" w:rsidRDefault="00B51B7B">
      <w:pPr>
        <w:pStyle w:val="Cuprins1"/>
        <w:tabs>
          <w:tab w:val="right" w:leader="dot" w:pos="9350"/>
        </w:tabs>
        <w:spacing w:line="360" w:lineRule="auto"/>
        <w:jc w:val="both"/>
        <w:rPr>
          <w:rFonts w:ascii="Times New Roman" w:eastAsia="SimSun" w:hAnsi="Times New Roman" w:cs="Times New Roman"/>
          <w:noProof/>
          <w:sz w:val="24"/>
          <w:szCs w:val="24"/>
        </w:rPr>
      </w:pPr>
      <w:hyperlink w:anchor="_Toc100610879" w:history="1">
        <w:r>
          <w:rPr>
            <w:rStyle w:val="Hyperlink"/>
            <w:rFonts w:ascii="Times New Roman" w:hAnsi="Times New Roman" w:cs="Times New Roman"/>
            <w:noProof/>
            <w:color w:val="auto"/>
            <w:sz w:val="24"/>
            <w:szCs w:val="24"/>
          </w:rPr>
          <w:t>Reference List</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_Toc100610879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Pr>
            <w:rFonts w:ascii="Times New Roman" w:hAnsi="Times New Roman" w:cs="Times New Roman"/>
            <w:noProof/>
            <w:webHidden/>
            <w:sz w:val="24"/>
            <w:szCs w:val="24"/>
          </w:rPr>
          <w:fldChar w:fldCharType="end"/>
        </w:r>
      </w:hyperlink>
    </w:p>
    <w:p w:rsidR="00FC69D4" w:rsidRDefault="00B51B7B">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rsidR="00FC69D4" w:rsidRDefault="00B51B7B">
      <w:pPr>
        <w:rPr>
          <w:rFonts w:ascii="Times New Roman" w:hAnsi="Times New Roman"/>
          <w:b/>
          <w:sz w:val="28"/>
          <w:szCs w:val="40"/>
        </w:rPr>
      </w:pPr>
      <w:r>
        <w:br w:type="page"/>
      </w:r>
    </w:p>
    <w:p w:rsidR="00FC69D4" w:rsidRDefault="00B51B7B">
      <w:pPr>
        <w:pStyle w:val="Titlu1"/>
      </w:pPr>
      <w:bookmarkStart w:id="0" w:name="_Toc100610865"/>
      <w:r>
        <w:lastRenderedPageBreak/>
        <w:t>Introduction</w:t>
      </w:r>
      <w:bookmarkEnd w:id="0"/>
      <w:r>
        <w:t xml:space="preserve"> </w:t>
      </w:r>
    </w:p>
    <w:p w:rsidR="00FC69D4" w:rsidRDefault="00B51B7B">
      <w:pPr>
        <w:pStyle w:val="Normal1"/>
        <w:rPr>
          <w:szCs w:val="24"/>
        </w:rPr>
      </w:pPr>
      <w:r>
        <w:rPr>
          <w:szCs w:val="24"/>
        </w:rPr>
        <w:t>The term community engagement defines a combined way of working ambience within a created group or in the chain of individuals. Irrespective of the number of people present in the chain service, t</w:t>
      </w:r>
      <w:r>
        <w:rPr>
          <w:szCs w:val="24"/>
        </w:rPr>
        <w:t>he common perspective of everyone should be to contribute to social development or socio-economic welfare. The voluntary service of keeping the society under the good wrap can be referred to as Community Engagement (Gilmore et al., 2020). The motive of com</w:t>
      </w:r>
      <w:r>
        <w:rPr>
          <w:szCs w:val="24"/>
        </w:rPr>
        <w:t xml:space="preserve">munity engagement can be only social such as arranging blood donation camps, or socio-economic such as fundraising for the treatment of the cancer patients. Social contribution to women empowerment or child malnutrition can also be considered as community </w:t>
      </w:r>
      <w:r>
        <w:rPr>
          <w:szCs w:val="24"/>
        </w:rPr>
        <w:t>engagement. In the context of comparing two community engagements, one is found from assessment 1. It depicts that Plan International, a British charitable organisation works on children's rights and equality for girls. For the same, they arrange different</w:t>
      </w:r>
      <w:r>
        <w:rPr>
          <w:szCs w:val="24"/>
        </w:rPr>
        <w:t xml:space="preserve"> fundraising events such as Virtu</w:t>
      </w:r>
      <w:r>
        <w:t>al Walk Challenge and others. o</w:t>
      </w:r>
      <w:r>
        <w:rPr>
          <w:szCs w:val="24"/>
        </w:rPr>
        <w:t>n the other hand, another organisation works pon giving shelter to the raped women or shelterless females who were bound to leave the home after being victimised by domestic violence. This org</w:t>
      </w:r>
      <w:r>
        <w:rPr>
          <w:szCs w:val="24"/>
        </w:rPr>
        <w:t xml:space="preserve">anisation also involves different fundraising events such as selling hand-made products made by those women. In this report, a clear differentiation between the two projects will be submitted under the below segments. </w:t>
      </w:r>
    </w:p>
    <w:p w:rsidR="00FC69D4" w:rsidRDefault="00B51B7B">
      <w:pPr>
        <w:pStyle w:val="Titlu1"/>
        <w:rPr>
          <w:sz w:val="24"/>
        </w:rPr>
      </w:pPr>
      <w:bookmarkStart w:id="1" w:name="_Toc100610866"/>
      <w:r>
        <w:t>Discussion</w:t>
      </w:r>
      <w:bookmarkEnd w:id="1"/>
      <w:r>
        <w:t xml:space="preserve"> </w:t>
      </w:r>
    </w:p>
    <w:p w:rsidR="00FC69D4" w:rsidRDefault="00B51B7B">
      <w:pPr>
        <w:pStyle w:val="Titlu2"/>
      </w:pPr>
      <w:bookmarkStart w:id="2" w:name="_Toc100610867"/>
      <w:r>
        <w:t>The diss</w:t>
      </w:r>
      <w:r>
        <w:t>imilarity between the projects</w:t>
      </w:r>
      <w:bookmarkEnd w:id="2"/>
    </w:p>
    <w:p w:rsidR="00FC69D4" w:rsidRDefault="00B51B7B">
      <w:pPr>
        <w:pStyle w:val="Normal1"/>
      </w:pPr>
      <w:r>
        <w:t>The data found from assessment 1 explains the techniques used by Plan International to establish their project. Plan international is an organisation that works only on the child and women. It secures their health, stay, lack of food and clothes as well as</w:t>
      </w:r>
      <w:r>
        <w:t xml:space="preserve"> looks forward to the education of the children. The enormous fight has been given by Plan International during the covid19 pandemics by supplying essential amenities and education kits to underprivileged children across the world. </w:t>
      </w:r>
    </w:p>
    <w:p w:rsidR="00FC69D4" w:rsidRDefault="00B51B7B">
      <w:pPr>
        <w:pStyle w:val="Normal1"/>
      </w:pPr>
      <w:r>
        <w:t xml:space="preserve">On the other side, the </w:t>
      </w:r>
      <w:r>
        <w:t>second organisation works on a charitable basis to provide shelter and societal placement to the raped women for the last six years which is comparatively extreme new. They also extend their services to those women who were bound to leave their homes becau</w:t>
      </w:r>
      <w:r>
        <w:t xml:space="preserve">se of domestic abuse (De Weger et al., 2018). The organisation works effectively to create awareness </w:t>
      </w:r>
      <w:r>
        <w:lastRenderedPageBreak/>
        <w:t xml:space="preserve">among the society to keep these women established in the mainstream rather than keeping them aloof. As an independent organisation, they also focus on the </w:t>
      </w:r>
      <w:r>
        <w:t xml:space="preserve">economic independence of women. </w:t>
      </w:r>
    </w:p>
    <w:p w:rsidR="00FC69D4" w:rsidRDefault="00B51B7B">
      <w:pPr>
        <w:pStyle w:val="Titlu2"/>
      </w:pPr>
      <w:bookmarkStart w:id="3" w:name="_Toc100610868"/>
      <w:r>
        <w:t>Effectual Consultation</w:t>
      </w:r>
      <w:bookmarkEnd w:id="3"/>
      <w:r>
        <w:t xml:space="preserve"> </w:t>
      </w:r>
    </w:p>
    <w:p w:rsidR="00FC69D4" w:rsidRDefault="00B51B7B">
      <w:pPr>
        <w:pStyle w:val="Normal1"/>
      </w:pPr>
      <w:r>
        <w:t xml:space="preserve">Effectual consultation mainly guides those principles which are set to control the project so that any non-essential incorporation of wealth or brainstorming takes place. In simple words, it focuses </w:t>
      </w:r>
      <w:r>
        <w:t>on the statutory disciplines of the project. In the activity of Plan International, it has been found that the organisation goes through different international services by sending their team to the underprivileged countries or with the support of technolo</w:t>
      </w:r>
      <w:r>
        <w:t xml:space="preserve">gical enhancement, they retrieve the data for creating the project to keep maximum children under the safeguard. </w:t>
      </w:r>
    </w:p>
    <w:p w:rsidR="00FC69D4" w:rsidRDefault="00B51B7B">
      <w:pPr>
        <w:pStyle w:val="Normal1"/>
      </w:pPr>
      <w:r>
        <w:t>Similarly, the second organisation works at the regional territory level to find out helpless women who need any sort of assistance for leadin</w:t>
      </w:r>
      <w:r>
        <w:t>g a good life (Burgess et al., 2021). To execute the same, they contact local police stations to understand the recording of the cases related to rape or domestic violence. Also, they take a survey on a door to door basis to figure out the rate of financia</w:t>
      </w:r>
      <w:r>
        <w:t xml:space="preserve">l independence among women. </w:t>
      </w:r>
    </w:p>
    <w:p w:rsidR="00FC69D4" w:rsidRDefault="00B51B7B">
      <w:pPr>
        <w:pStyle w:val="Titlu2"/>
      </w:pPr>
      <w:bookmarkStart w:id="4" w:name="_Toc100610869"/>
      <w:r>
        <w:t>Significant Communication</w:t>
      </w:r>
      <w:bookmarkEnd w:id="4"/>
      <w:r>
        <w:t xml:space="preserve"> </w:t>
      </w:r>
    </w:p>
    <w:p w:rsidR="00FC69D4" w:rsidRDefault="00B51B7B">
      <w:pPr>
        <w:pStyle w:val="Normal1"/>
      </w:pPr>
      <w:r>
        <w:t>To place any project successfully is needed to enhance significant communication in the internal and external parts. It is believed that communication has a power-packed appearance to promote any prod</w:t>
      </w:r>
      <w:r>
        <w:t xml:space="preserve">uct or service. The Plan International exercises its communication strategies daily to gain maximum success (Perrotta, 20210. They post advertisements on social media, their website and electronic media to receive a maximum response from the clients. Here </w:t>
      </w:r>
      <w:r>
        <w:t xml:space="preserve">the response means loading the section on participation, fundraising, donations and sponsorships. </w:t>
      </w:r>
    </w:p>
    <w:p w:rsidR="00FC69D4" w:rsidRDefault="00B51B7B">
      <w:pPr>
        <w:pStyle w:val="Normal1"/>
      </w:pPr>
      <w:r>
        <w:t>At the same time, the second organisation has chosen social media pages and local print media as their advertisement tools. Their projects based on providing</w:t>
      </w:r>
      <w:r>
        <w:t xml:space="preserve"> shelters to victimised women need a lot of funds. Therefore, they often arrange campaigns with the purpose of women empowerment and equal legal rights for everyone. As a whole, they receive less response merely due to their newest appearance but few of th</w:t>
      </w:r>
      <w:r>
        <w:t xml:space="preserve">e eminent personalities have joined their hands with the organisation to promote their project under the valued banner. </w:t>
      </w:r>
    </w:p>
    <w:p w:rsidR="00FC69D4" w:rsidRDefault="00B51B7B">
      <w:pPr>
        <w:pStyle w:val="Titlu2"/>
      </w:pPr>
      <w:bookmarkStart w:id="5" w:name="_Toc100610870"/>
      <w:r>
        <w:lastRenderedPageBreak/>
        <w:t>Engagement of Stakeholders</w:t>
      </w:r>
      <w:bookmarkEnd w:id="5"/>
      <w:r>
        <w:t xml:space="preserve"> </w:t>
      </w:r>
    </w:p>
    <w:p w:rsidR="00FC69D4" w:rsidRDefault="00B51B7B">
      <w:pPr>
        <w:pStyle w:val="Normal1"/>
      </w:pPr>
      <w:r>
        <w:t>The stakeholders are considered the backbone of any organisation. Especially in such noble works, the prese</w:t>
      </w:r>
      <w:r>
        <w:t>nce of good stakeholders is very important to create the brand face of the p\rojecrt. In the case of Plan International, they have divided their stakeholders into participants, donors, sponsorships and employees (Barker et al., 2020). For the better growth</w:t>
      </w:r>
      <w:r>
        <w:t xml:space="preserve"> of the charitable organisation, they focus on massive fundraisers so that their investment in noble causes never gets stopped. They also maintain a diplomatic and esthetic role play with the local community to keep them involved with their project which e</w:t>
      </w:r>
      <w:r>
        <w:t xml:space="preserve">nhances the brand value. </w:t>
      </w:r>
    </w:p>
    <w:p w:rsidR="00FC69D4" w:rsidRDefault="00B51B7B">
      <w:pPr>
        <w:pStyle w:val="Normal1"/>
      </w:pPr>
      <w:r>
        <w:t>While coming to the second organisation, they have associated themselves not only with local political parties, police headquarters but also proudly added a few names of renowned social activists lists, feminist authors and female</w:t>
      </w:r>
      <w:r>
        <w:t xml:space="preserve"> industrialists to empower their project which can be easily granted by the local community and homeless women will get a better stand in the society. </w:t>
      </w:r>
    </w:p>
    <w:p w:rsidR="00FC69D4" w:rsidRDefault="00B51B7B">
      <w:pPr>
        <w:pStyle w:val="Titlu2"/>
      </w:pPr>
      <w:bookmarkStart w:id="6" w:name="_Toc100610871"/>
      <w:r>
        <w:t>Incorporation of Future Approaches</w:t>
      </w:r>
      <w:bookmarkEnd w:id="6"/>
      <w:r>
        <w:t xml:space="preserve"> </w:t>
      </w:r>
    </w:p>
    <w:p w:rsidR="00FC69D4" w:rsidRDefault="00B51B7B">
      <w:pPr>
        <w:pStyle w:val="Normal1"/>
      </w:pPr>
      <w:r>
        <w:t>The Plan International is presently working with 75 countries across</w:t>
      </w:r>
      <w:r>
        <w:t xml:space="preserve"> the world with a dream of expanding their projects and organisation to every corner of the globe. To satisfy the needs of all the children and women, they are eager to plan more and more virtual and physical events which will better the scope for fundrais</w:t>
      </w:r>
      <w:r>
        <w:t xml:space="preserve">ing (Galiatsatos et al., 2020). In the year 2022, they have planned for multiple events which need to be successful in terms of funds and entertainment as well as fundraising, donations and sponsorships. </w:t>
      </w:r>
    </w:p>
    <w:p w:rsidR="00FC69D4" w:rsidRDefault="00B51B7B">
      <w:pPr>
        <w:pStyle w:val="Normal1"/>
      </w:pPr>
      <w:r>
        <w:t>Similarly, the new age organisation has several pro</w:t>
      </w:r>
      <w:r>
        <w:t>grammes in their pipeline. They are looking forward to the legislation for bringing such strict and punishable acts which will be given exemplary punishments to the rapists or domestic abusers. They are already in a plan to establish a stronghold in the co</w:t>
      </w:r>
      <w:r>
        <w:t xml:space="preserve">urt by signing petitions for the punishment act. At the same time, they are thinking of making contracts with several companies that will either sponsor their projects or provide employment to the endangered women based on their eligibility. </w:t>
      </w:r>
    </w:p>
    <w:p w:rsidR="00FC69D4" w:rsidRDefault="00B51B7B">
      <w:pPr>
        <w:pStyle w:val="Titlu1"/>
        <w:rPr>
          <w:sz w:val="24"/>
        </w:rPr>
      </w:pPr>
      <w:bookmarkStart w:id="7" w:name="_Toc100610872"/>
      <w:r>
        <w:lastRenderedPageBreak/>
        <w:t>Analysis</w:t>
      </w:r>
      <w:bookmarkEnd w:id="7"/>
      <w:r>
        <w:t xml:space="preserve"> </w:t>
      </w:r>
    </w:p>
    <w:p w:rsidR="00FC69D4" w:rsidRDefault="00B51B7B">
      <w:pPr>
        <w:pStyle w:val="Titlu2"/>
      </w:pPr>
      <w:bookmarkStart w:id="8" w:name="_Toc100610873"/>
      <w:r>
        <w:t>Gra</w:t>
      </w:r>
      <w:r>
        <w:t>phing of the community</w:t>
      </w:r>
      <w:bookmarkEnd w:id="8"/>
      <w:r>
        <w:t xml:space="preserve"> </w:t>
      </w:r>
    </w:p>
    <w:p w:rsidR="00FC69D4" w:rsidRDefault="00B51B7B">
      <w:pPr>
        <w:pStyle w:val="Normal1"/>
      </w:pPr>
      <w:r>
        <w:t>It is very important to figure out the status of the community where the project is getting launched. Therefore, a survey on the same is needed at the local community level. Plan International has worked on graphing the community to</w:t>
      </w:r>
      <w:r>
        <w:t xml:space="preserve"> understand the mentality of the territory and the mental health of the people to understand the cause of community engagement. </w:t>
      </w:r>
    </w:p>
    <w:p w:rsidR="00FC69D4" w:rsidRDefault="00B51B7B">
      <w:pPr>
        <w:pStyle w:val="Normal1"/>
      </w:pPr>
      <w:r>
        <w:t xml:space="preserve">At the same time, the second organisation has followed a deeply rooted door to door survey which has helped them to understand </w:t>
      </w:r>
      <w:r>
        <w:t xml:space="preserve">the pulse of the community from the ground level (Tambo et al., 2021). As they are working with sensitive issues, they felt a necessity of extra consciousness while handling the project. </w:t>
      </w:r>
    </w:p>
    <w:p w:rsidR="00FC69D4" w:rsidRDefault="00B51B7B">
      <w:pPr>
        <w:pStyle w:val="Titlu2"/>
      </w:pPr>
      <w:bookmarkStart w:id="9" w:name="_Toc100610874"/>
      <w:r>
        <w:t>Social Involvement</w:t>
      </w:r>
      <w:bookmarkEnd w:id="9"/>
      <w:r>
        <w:t xml:space="preserve"> </w:t>
      </w:r>
    </w:p>
    <w:p w:rsidR="00FC69D4" w:rsidRDefault="00B51B7B">
      <w:pPr>
        <w:pStyle w:val="Normal1"/>
      </w:pPr>
      <w:r>
        <w:t>Digitalisation has brought societies close to ea</w:t>
      </w:r>
      <w:r>
        <w:t>ch other and found an easy way to communicate or instruct a larger group of people. Social involvement not only refers to staying in society or using social media. Rather, to a greater extent, it can be said as participation and activeness to form a commun</w:t>
      </w:r>
      <w:r>
        <w:t>ity engagement programme. Plan International has primarily focused on the social media campaigns with their projects to attract customers and invest in the noble cause (Magaço et al., 2021). Along with this, they kept the scope of entertainment for the peo</w:t>
      </w:r>
      <w:r>
        <w:t xml:space="preserve">ple to maximise the fundraising. </w:t>
      </w:r>
    </w:p>
    <w:p w:rsidR="00FC69D4" w:rsidRDefault="00B51B7B">
      <w:pPr>
        <w:pStyle w:val="Normal1"/>
      </w:pPr>
      <w:r>
        <w:t>On the other hand, the new organisation has figured out the force of the campaign to be distributed in both the digital and print media. Digital media may pull the youngsters to get associated with the project. At the same</w:t>
      </w:r>
      <w:r>
        <w:t xml:space="preserve"> time, if the print media is also kept as an option of social involvement, many elderly people will also get the chance to change their stereotype mentality by knowing about those campaigns. </w:t>
      </w:r>
    </w:p>
    <w:p w:rsidR="00FC69D4" w:rsidRDefault="00B51B7B">
      <w:pPr>
        <w:pStyle w:val="Titlu2"/>
      </w:pPr>
      <w:bookmarkStart w:id="10" w:name="_Toc100610875"/>
      <w:r>
        <w:t>Interpretive Analysis of Projects</w:t>
      </w:r>
      <w:bookmarkEnd w:id="10"/>
      <w:r>
        <w:t xml:space="preserve"> </w:t>
      </w:r>
    </w:p>
    <w:p w:rsidR="00FC69D4" w:rsidRDefault="00B51B7B">
      <w:pPr>
        <w:pStyle w:val="Normal1"/>
      </w:pPr>
      <w:r>
        <w:t>Intrusive analysis of the pro</w:t>
      </w:r>
      <w:r>
        <w:t>jects is essential to find out the best contribution to society. This analysis also makes sure about the essentiality of the project in future. The important factor of this analysis is that it is done by the local community members (Ohmer et al., 2022). In</w:t>
      </w:r>
      <w:r>
        <w:t xml:space="preserve"> the case of the Plan International, their project was exclusively accepted by the local, national and international </w:t>
      </w:r>
      <w:r>
        <w:lastRenderedPageBreak/>
        <w:t>communities as they extended their hands across the world to sustain childrens’ life which was absolutely at stake due to the huge growth r</w:t>
      </w:r>
      <w:r>
        <w:t xml:space="preserve">ate of the pandemics. </w:t>
      </w:r>
    </w:p>
    <w:p w:rsidR="00FC69D4" w:rsidRDefault="00B51B7B">
      <w:pPr>
        <w:pStyle w:val="Normal1"/>
      </w:pPr>
      <w:r>
        <w:t>On the other ground, rehabilitation of victimised women still needs to be promoted more for creating social awareness and helping people to change their mentality and change their focus. Few of the community members have supported th</w:t>
      </w:r>
      <w:r>
        <w:t xml:space="preserve">is project while the maximum was non-responsive and a certain percentage denied continuing this project because of the old haggard mentality. </w:t>
      </w:r>
    </w:p>
    <w:p w:rsidR="00FC69D4" w:rsidRDefault="00B51B7B">
      <w:pPr>
        <w:pStyle w:val="Titlu2"/>
      </w:pPr>
      <w:bookmarkStart w:id="11" w:name="_Toc100610876"/>
      <w:r>
        <w:t>Estimation Judgment of the Projects</w:t>
      </w:r>
      <w:bookmarkEnd w:id="11"/>
      <w:r>
        <w:t xml:space="preserve"> </w:t>
      </w:r>
    </w:p>
    <w:p w:rsidR="00FC69D4" w:rsidRDefault="00B51B7B">
      <w:pPr>
        <w:pStyle w:val="Normal1"/>
      </w:pPr>
      <w:r>
        <w:t>While judging a project, it is very important to go through the steps follow</w:t>
      </w:r>
      <w:r>
        <w:t>ed while creating the project. It is also important to judge the requirement of local community participation. Many territories do not take the external appearance of the companies in a good way. As a consequence, graphing of the community needs to be spec</w:t>
      </w:r>
      <w:r>
        <w:t>ially planned and executed. While the project is already creating an impact on the community and engagement is in a greater way, the organisation needs to be more specific in monitoring the project (Magaço et al., 2021). They should also look after the sen</w:t>
      </w:r>
      <w:r>
        <w:t>suousness and different reactions of individual community members. At the same time, workers of the organisation also need to be especially skilled to understand the direction of the leaders or managers. The sensitivity of the local community needs to be k</w:t>
      </w:r>
      <w:r>
        <w:t xml:space="preserve">ept in the foremost area to create a balance between the imposed decision and the fears of the community members.  </w:t>
      </w:r>
    </w:p>
    <w:p w:rsidR="00FC69D4" w:rsidRDefault="00B51B7B">
      <w:pPr>
        <w:pStyle w:val="Titlu2"/>
      </w:pPr>
      <w:bookmarkStart w:id="12" w:name="_Toc100610877"/>
      <w:r>
        <w:t>Finest Executions</w:t>
      </w:r>
      <w:bookmarkEnd w:id="12"/>
      <w:r>
        <w:t xml:space="preserve"> </w:t>
      </w:r>
    </w:p>
    <w:p w:rsidR="00FC69D4" w:rsidRDefault="00B51B7B">
      <w:pPr>
        <w:pStyle w:val="Normal1"/>
        <w:rPr>
          <w:rFonts w:eastAsia="Times New Roman" w:cs="Times New Roman"/>
          <w:color w:val="0E101A"/>
          <w:szCs w:val="24"/>
        </w:rPr>
      </w:pPr>
      <w:r>
        <w:rPr>
          <w:rFonts w:eastAsia="Times New Roman" w:cs="Times New Roman"/>
          <w:color w:val="0E101A"/>
          <w:szCs w:val="24"/>
        </w:rPr>
        <w:t xml:space="preserve">Any organisation irrespective of its size should look forward to the finest techniques to execute its projects and </w:t>
      </w:r>
      <w:r>
        <w:rPr>
          <w:rFonts w:eastAsia="Times New Roman" w:cs="Times New Roman"/>
          <w:color w:val="0E101A"/>
          <w:szCs w:val="24"/>
        </w:rPr>
        <w:t>achieve maximum success. Following are the studied tools found:</w:t>
      </w:r>
    </w:p>
    <w:p w:rsidR="00FC69D4" w:rsidRDefault="00B51B7B">
      <w:pPr>
        <w:pStyle w:val="Normal1"/>
        <w:rPr>
          <w:rFonts w:eastAsia="Times New Roman" w:cs="Times New Roman"/>
          <w:color w:val="0E101A"/>
          <w:szCs w:val="24"/>
        </w:rPr>
      </w:pPr>
      <w:r>
        <w:rPr>
          <w:rFonts w:eastAsia="Times New Roman" w:cs="Times New Roman"/>
          <w:b/>
          <w:color w:val="0E101A"/>
          <w:szCs w:val="24"/>
        </w:rPr>
        <w:t>Communication skills:</w:t>
      </w:r>
      <w:r>
        <w:rPr>
          <w:rFonts w:eastAsia="Times New Roman" w:cs="Times New Roman"/>
          <w:color w:val="0E101A"/>
          <w:szCs w:val="24"/>
        </w:rPr>
        <w:t xml:space="preserve"> The face of the project needs to be handled by persons who are efficient in placing the propaganda of the project. Creating the right track during the continuation of ext</w:t>
      </w:r>
      <w:r>
        <w:rPr>
          <w:rFonts w:eastAsia="Times New Roman" w:cs="Times New Roman"/>
          <w:color w:val="0E101A"/>
          <w:szCs w:val="24"/>
        </w:rPr>
        <w:t xml:space="preserve">empo helps to gain the confidence of the listeners or the audience. </w:t>
      </w:r>
    </w:p>
    <w:p w:rsidR="00FC69D4" w:rsidRDefault="00B51B7B">
      <w:pPr>
        <w:pStyle w:val="Normal1"/>
        <w:rPr>
          <w:rFonts w:eastAsia="Times New Roman" w:cs="Times New Roman"/>
          <w:color w:val="0E101A"/>
          <w:szCs w:val="24"/>
        </w:rPr>
      </w:pPr>
      <w:r>
        <w:rPr>
          <w:rFonts w:eastAsia="Times New Roman" w:cs="Times New Roman"/>
          <w:b/>
          <w:color w:val="0E101A"/>
          <w:szCs w:val="24"/>
        </w:rPr>
        <w:t>Honesty and transparency:</w:t>
      </w:r>
      <w:r>
        <w:rPr>
          <w:rFonts w:eastAsia="Times New Roman" w:cs="Times New Roman"/>
          <w:color w:val="0E101A"/>
          <w:szCs w:val="24"/>
        </w:rPr>
        <w:t xml:space="preserve"> Organisations must create an honest and transparent image in front of the community members so that they can gain maximum brand value from there. Nowadays, both </w:t>
      </w:r>
      <w:r>
        <w:rPr>
          <w:rFonts w:eastAsia="Times New Roman" w:cs="Times New Roman"/>
          <w:color w:val="0E101A"/>
          <w:szCs w:val="24"/>
        </w:rPr>
        <w:t xml:space="preserve">honesty and transparency in the work format elope (Burgess et al., 2021). Keeping the faith in self-knowledge, the projects can be submitted with the presence of honesty and transparency. </w:t>
      </w:r>
    </w:p>
    <w:p w:rsidR="00FC69D4" w:rsidRDefault="00B51B7B">
      <w:pPr>
        <w:pStyle w:val="Normal1"/>
        <w:rPr>
          <w:rFonts w:eastAsia="Times New Roman" w:cs="Times New Roman"/>
          <w:color w:val="0E101A"/>
          <w:szCs w:val="24"/>
        </w:rPr>
      </w:pPr>
      <w:r>
        <w:rPr>
          <w:rFonts w:eastAsia="Times New Roman" w:cs="Times New Roman"/>
          <w:b/>
          <w:color w:val="0E101A"/>
          <w:szCs w:val="24"/>
        </w:rPr>
        <w:t>Creating Brand Value:</w:t>
      </w:r>
      <w:r>
        <w:rPr>
          <w:rFonts w:eastAsia="Times New Roman" w:cs="Times New Roman"/>
          <w:color w:val="0E101A"/>
          <w:szCs w:val="24"/>
        </w:rPr>
        <w:t xml:space="preserve"> It is very important to create brand value fo</w:t>
      </w:r>
      <w:r>
        <w:rPr>
          <w:rFonts w:eastAsia="Times New Roman" w:cs="Times New Roman"/>
          <w:color w:val="0E101A"/>
          <w:szCs w:val="24"/>
        </w:rPr>
        <w:t xml:space="preserve">r the organisation before launching any project. The new or unknown organisation needs to face the challenge of retrieving </w:t>
      </w:r>
      <w:r>
        <w:rPr>
          <w:rFonts w:eastAsia="Times New Roman" w:cs="Times New Roman"/>
          <w:color w:val="0E101A"/>
          <w:szCs w:val="24"/>
        </w:rPr>
        <w:lastRenderedPageBreak/>
        <w:t xml:space="preserve">clients' data because they are not familiar with society. Therefore, the organisation needs to work on establishing its brand value. </w:t>
      </w:r>
    </w:p>
    <w:p w:rsidR="00FC69D4" w:rsidRDefault="00B51B7B">
      <w:pPr>
        <w:pStyle w:val="Titlu1"/>
      </w:pPr>
      <w:bookmarkStart w:id="13" w:name="_Toc100610878"/>
      <w:r>
        <w:t>Conclusion</w:t>
      </w:r>
      <w:bookmarkEnd w:id="13"/>
      <w:r>
        <w:t xml:space="preserve"> </w:t>
      </w:r>
    </w:p>
    <w:p w:rsidR="00FC69D4" w:rsidRDefault="00B51B7B">
      <w:pPr>
        <w:pStyle w:val="Normal1"/>
      </w:pPr>
      <w:r>
        <w:t>Therefore, to conclude from the aforesaid report, it has been understood that community engagement has a strong requirement in the society for the development of the socio-economic configuration. There are many community engagements establishe</w:t>
      </w:r>
      <w:r>
        <w:t>d in the society and everyone has specified objectives. Throughout this report, a comparison has been drawn between the Plan International and the newly formed organisation. Plan International is a well-recognised British charitable organisation that is wo</w:t>
      </w:r>
      <w:r>
        <w:t>rking at present with 75 countries. Their trend of work is to celebrate humanitarian rights in the form of giving a healthy lifestyle to the children and the women. For the execution of the project, Plan International forms different events for fundraising</w:t>
      </w:r>
      <w:r>
        <w:t xml:space="preserve"> purpose\s. It is reported that Plan International formed two events known as Virtual Walk Challenge and Just Give a Page Challenge in which registration was free but a donation needs to be submitted before entering the community engagement ground. They ha</w:t>
      </w:r>
      <w:r>
        <w:t xml:space="preserve">ve also opted for donors and sponsorships to run their project in a better way. For fundraising events, they have taken the option of using social media for promotional purposes. On the other hand, the new organisation has established their project on the </w:t>
      </w:r>
      <w:r>
        <w:t>raped and victimised women to give them shelter and establishment in the society. For the sake of successful projects, they have done door to door surveys and kept eminent background people as the stakeholders. Lastly, it can be said that this report has j</w:t>
      </w:r>
      <w:r>
        <w:t xml:space="preserve">ustified the comparison and comparative discussion among the two community engagements with distinctive visions and missions. </w:t>
      </w:r>
    </w:p>
    <w:p w:rsidR="00FC69D4" w:rsidRDefault="00FC69D4">
      <w:pPr>
        <w:pStyle w:val="Normal1"/>
      </w:pPr>
    </w:p>
    <w:p w:rsidR="00FC69D4" w:rsidRDefault="00B51B7B">
      <w:pPr>
        <w:pStyle w:val="Normal1"/>
      </w:pPr>
      <w:r>
        <w:t xml:space="preserve"> </w:t>
      </w:r>
    </w:p>
    <w:p w:rsidR="00FC69D4" w:rsidRDefault="00FC69D4">
      <w:pPr>
        <w:pStyle w:val="Normal1"/>
      </w:pPr>
    </w:p>
    <w:p w:rsidR="00FC69D4" w:rsidRDefault="00B51B7B">
      <w:pPr>
        <w:pStyle w:val="Normal1"/>
      </w:pPr>
      <w:r>
        <w:br w:type="page"/>
      </w:r>
    </w:p>
    <w:p w:rsidR="00FC69D4" w:rsidRDefault="00B51B7B">
      <w:pPr>
        <w:pStyle w:val="Titlu1"/>
      </w:pPr>
      <w:bookmarkStart w:id="14" w:name="_Toc100610879"/>
      <w:r>
        <w:lastRenderedPageBreak/>
        <w:t>Reference List</w:t>
      </w:r>
      <w:bookmarkEnd w:id="14"/>
      <w:r>
        <w:t xml:space="preserve"> </w:t>
      </w:r>
    </w:p>
    <w:p w:rsidR="00FC69D4" w:rsidRDefault="00B51B7B">
      <w:pPr>
        <w:pStyle w:val="Normal1"/>
      </w:pPr>
      <w:r>
        <w:t>Barker, K.M., Ling, E.J., Fallah, M., VanDeBogert, B., Kodl, Y., Macauley, R.J., Viswanath, K. and Kruk, M.</w:t>
      </w:r>
      <w:r>
        <w:t xml:space="preserve">E., 2020. Community engagement for health system resilience: evidence from Liberia’s Ebola epidemic. Health policy and planning, 35(4), pp.416-423. Available at: </w:t>
      </w:r>
      <w:hyperlink r:id="rId7" w:history="1">
        <w:r>
          <w:t>https://scholar.archive</w:t>
        </w:r>
        <w:r>
          <w:t>.org/work/a32ljh6lw5av7lononezokg5bm/access/wayback/https://watermark.silverchair.com/czz174.pdf?token=AQECAHi208BE49Ooan9kkhW_Ercy7Dm3ZL_9Cf3qfKAc485ysgAAAqMwggKfBgkqhkiG9w0BBwagggKQMIICjAIBADCCAoUGCSqGSIb3DQEHATAeBglghkgBZQMEAS4wEQQMjMpaot2DxKf26peHAgEQg</w:t>
        </w:r>
        <w:r>
          <w:t>IICVsrs2MOF6zAaiK8R9FZLm01uAvlHbAQEL_6P1UxW7N7XFzeihiT2uEduPjAj88TfDoNBgz-BBWDhboNOsQ9gpDQcGdSxr8w9G3254UfUaJznX3OZUFhBSqC9M3rmww8iZGLerLCLr2wK1I_SU2duQA8TnMQj3rBy9PkKH_JTGg2rJIkk388wSJAoFGrIg96xoBFIuNBEI2nZVJfYzWuOm12InUUsooePj6nXJKh8vfL4D2AN77H6ITqiHyJK7</w:t>
        </w:r>
        <w:r>
          <w:t>rQvvQLSzvzdjf4WPcYUguHsMQx-tN_maE9aRwt_QACRpTbSa7_-33J1YrEdlY1VqvrABr6New77IsfdbxIj0bIh7KJOSnFHLmMO7nS3y0vUW3miG5X5sJ-pQW2fP83cv-xbpOUyF5urTZqy6J_CYWk26WdKykKr8N5AhSnPWX1CjVrd3QpAXtjAr8zfREbppU91hPtaFeSI6QgNPNAVU5rzGsxOAA9U0HrO-LeGDeLIgOvan0odvcKMFDaNJMlSq</w:t>
        </w:r>
        <w:r>
          <w:t>1pCq-uACJMoJxuCLZfUc-DpybSByWF0y3V3Ehdq4fjCkH9KBMtav34vfydE85c4TVwbiAXBBgPaTdB9gBQTbCwoGOO_NzDx3uoLXHIuBoiqdAaRLXqLw6VQ4EE1Wt1YUNN9zJYYyrKki1AKX7nt5lzlUGn5Y5mOTbJki3I9-hCbYC_qz2FsyOf2RgVPrBdTQC5G992rDq8VFJrth3cI3QrVGbQFR8cYE17mihLvEpiDXxPniPEVLUUjA3lJay7r_</w:t>
        </w:r>
        <w:r>
          <w:t>u2B55_gDkW1PjYOvYenD4Y3gqwyLyJv9B8</w:t>
        </w:r>
      </w:hyperlink>
      <w:r>
        <w:t xml:space="preserve"> </w:t>
      </w:r>
    </w:p>
    <w:p w:rsidR="00FC69D4" w:rsidRDefault="00B51B7B">
      <w:pPr>
        <w:pStyle w:val="Normal1"/>
      </w:pPr>
      <w:r>
        <w:t xml:space="preserve">Burgess, R.A., Osborne, R.H., Yongabi, K.A., Greenhalgh, T., Gurdasani, D., Kang, G., Falade, A.G., Odone, A., Busse, R., Martin-Moreno, J.M. and Reicher, S., 2021. The COVID-19 vaccines rush: participatory community </w:t>
      </w:r>
      <w:r>
        <w:t xml:space="preserve">engagement matters more than ever. The Lancet, 397(10268), pp.8-10. Available at: </w:t>
      </w:r>
      <w:hyperlink r:id="rId8" w:history="1">
        <w:r>
          <w:t>https://www.ncbi.nlm.nih.gov/pmc/articles/PMC7832461/</w:t>
        </w:r>
      </w:hyperlink>
      <w:r>
        <w:t xml:space="preserve"> </w:t>
      </w:r>
    </w:p>
    <w:p w:rsidR="00FC69D4" w:rsidRDefault="00B51B7B">
      <w:pPr>
        <w:pStyle w:val="Normal1"/>
      </w:pPr>
      <w:r>
        <w:t xml:space="preserve">De Weger, E., Van Vooren, N., Luijkx, K.G., Baan, C.A. and Drewes, H.W., 2018. Achieving successful community engagement: a rapid realist review. BMC health services research, 18(1), pp.1-18. Available at: </w:t>
      </w:r>
      <w:hyperlink r:id="rId9" w:history="1">
        <w:r>
          <w:t>https://bmchealthservres.biomedcentral.com/articles/10.1186/s12913-018-3090-1</w:t>
        </w:r>
      </w:hyperlink>
      <w:r>
        <w:t xml:space="preserve"> </w:t>
      </w:r>
    </w:p>
    <w:p w:rsidR="00FC69D4" w:rsidRDefault="00B51B7B">
      <w:pPr>
        <w:pStyle w:val="Normal1"/>
      </w:pPr>
      <w:r>
        <w:lastRenderedPageBreak/>
        <w:t>Galiatsatos, P., Monson, K., Oluyinka, M., Negro, D., Hughes, N., Maydan, D., Golden, S.H., Teague, P. and Hale, W.D., 2020. Communit</w:t>
      </w:r>
      <w:r>
        <w:t xml:space="preserve">y calls: Lessons and insights gained from a medical–religious community engagement during the COVID-19 pandemic. Journal of religion and health, 59(5), pp.2256-2262. Available at: </w:t>
      </w:r>
      <w:hyperlink r:id="rId10" w:history="1">
        <w:r>
          <w:t>ht</w:t>
        </w:r>
        <w:r>
          <w:t>tps://link.springer.com/article/10.1007/s10943-020-01057-w</w:t>
        </w:r>
      </w:hyperlink>
      <w:r>
        <w:t xml:space="preserve"> </w:t>
      </w:r>
    </w:p>
    <w:p w:rsidR="00FC69D4" w:rsidRDefault="00B51B7B">
      <w:pPr>
        <w:pStyle w:val="Normal1"/>
      </w:pPr>
      <w:r>
        <w:t xml:space="preserve">Gilmore, B., Ndejjo, R., Tchetchia, A., De Claro, V., Mago, E., Lopes, C. and Bhattacharyya, S., 2020. Community engagement for COVID-19 prevention and control: a rapid evidence synthesis. BMJ </w:t>
      </w:r>
      <w:r>
        <w:t xml:space="preserve">global health, 5(10), p.e003188. Available at: </w:t>
      </w:r>
      <w:hyperlink r:id="rId11" w:history="1">
        <w:r>
          <w:t>https://gh.bmj.com/content/5/10/e003188.abstract</w:t>
        </w:r>
      </w:hyperlink>
      <w:r>
        <w:t xml:space="preserve"> </w:t>
      </w:r>
    </w:p>
    <w:p w:rsidR="00FC69D4" w:rsidRDefault="00B51B7B">
      <w:pPr>
        <w:pStyle w:val="Normal1"/>
      </w:pPr>
      <w:r>
        <w:t>Magaço, A., Munguambe, K., Nhacolo, A., Ambrósio, C., Nhacolo, F., Cossa, S., Macete, E. and M</w:t>
      </w:r>
      <w:r>
        <w:t xml:space="preserve">andomando, I., 2021. Challenges and needs for social behavioural research and community engagement activities during the COVID-19 pandemic in rural Mozambique. Global Public Health, 16(1), pp.153-157. Available at: </w:t>
      </w:r>
      <w:hyperlink r:id="rId12" w:history="1">
        <w:r>
          <w:t>https://www.academia.edu/download/68395380/17441692.2020.pdf</w:t>
        </w:r>
      </w:hyperlink>
      <w:r>
        <w:t xml:space="preserve"> </w:t>
      </w:r>
    </w:p>
    <w:p w:rsidR="00FC69D4" w:rsidRDefault="00B51B7B">
      <w:pPr>
        <w:pStyle w:val="Normal1"/>
      </w:pPr>
      <w:r>
        <w:t>Ngubane-Mokiwa, S.A. and Chisale, S.S., 2019. Male rape or consensual sex: Hidden hegemonic masculinities by Zulu speaking men with disabilities. Journal of C</w:t>
      </w:r>
      <w:r>
        <w:t xml:space="preserve">onflict and Social Transformafion, 8(2), pp.107-124. Available at: </w:t>
      </w:r>
      <w:hyperlink r:id="rId13" w:history="1">
        <w:r>
          <w:t>https://www.researchgate.net/profile/Sindile-Ngubane-Mokiwa/publication/338033459_Male_rape_or_consensual_sex_hidden_he</w:t>
        </w:r>
        <w:r>
          <w:t>gemonic_masculinities_by_Zulu_speaking_men_with_disabilities/links/6048fafb92851c1bd4dee63e/Male-rape-or-consensual-sex-hidden-hegemonic-masculinities-by-Zulu-speaking-men-with-disabilities.pdf</w:t>
        </w:r>
      </w:hyperlink>
      <w:r>
        <w:t xml:space="preserve"> </w:t>
      </w:r>
    </w:p>
    <w:p w:rsidR="00FC69D4" w:rsidRDefault="00B51B7B">
      <w:pPr>
        <w:pStyle w:val="Normal1"/>
      </w:pPr>
      <w:r>
        <w:t>Ohmer, M., Finkelstein, C., Dostilio, L., Durham, A. and M</w:t>
      </w:r>
      <w:r>
        <w:t xml:space="preserve">elnick, A., 2022. University-Community Engagement during a Pandemic: Moving Beyond “Helping” to Public Problem Solving. Metropolitan Universities, 32(3), pp.81-91. Available at: </w:t>
      </w:r>
      <w:hyperlink r:id="rId14" w:history="1">
        <w:r>
          <w:t>https://yearbooksyarn.co.uk/journals.iupui.edu/index.php/muj/article/download/25329/24180</w:t>
        </w:r>
      </w:hyperlink>
      <w:r>
        <w:t xml:space="preserve"> </w:t>
      </w:r>
    </w:p>
    <w:p w:rsidR="00FC69D4" w:rsidRDefault="00B51B7B">
      <w:pPr>
        <w:pStyle w:val="Normal1"/>
      </w:pPr>
      <w:r>
        <w:t xml:space="preserve">Perrotta, D., 2021. Universities and Covid-19 in Argentina: from community engagement to regulation. Studies in Higher Education, 46(1), </w:t>
      </w:r>
      <w:r>
        <w:t xml:space="preserve">pp.30-43. Available at: </w:t>
      </w:r>
      <w:hyperlink r:id="rId15" w:history="1">
        <w:r>
          <w:t>https://ri.conicet.gov.ar/bitstream/handle/11336/121676/CONICET_Digital_Nro.5ecc12dc-29c7</w:t>
        </w:r>
        <w:r>
          <w:t>-4218-aa55-9462b39c2d3d_A.pdf?sequence=2</w:t>
        </w:r>
      </w:hyperlink>
      <w:r>
        <w:t xml:space="preserve"> </w:t>
      </w:r>
    </w:p>
    <w:p w:rsidR="00FC69D4" w:rsidRDefault="00B51B7B">
      <w:pPr>
        <w:pStyle w:val="Normal1"/>
      </w:pPr>
      <w:r>
        <w:t>Tambo, E., Djuikoue, I.C., Tazemda, G.K., Fotsing, M.F. and Zhou, X.N., 2021. Early stage risk communication and community engagement (RCCE) strategies and measures against the coronavirus disease 2019 (COVID-19</w:t>
      </w:r>
      <w:r>
        <w:t xml:space="preserve">) pandemic crisis. Global Health Journal, 5(1), pp.44-50. Available at: </w:t>
      </w:r>
      <w:hyperlink r:id="rId16" w:history="1">
        <w:r>
          <w:t>https://www.sciencedirect.com/science/article/pii/S2414644721000099</w:t>
        </w:r>
      </w:hyperlink>
      <w:r>
        <w:t xml:space="preserve"> </w:t>
      </w:r>
    </w:p>
    <w:sectPr w:rsidR="00FC69D4">
      <w:footerReference w:type="default" r:id="rId1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B51B7B">
      <w:pPr>
        <w:spacing w:line="240" w:lineRule="auto"/>
      </w:pPr>
      <w:r>
        <w:separator/>
      </w:r>
    </w:p>
  </w:endnote>
  <w:endnote w:type="continuationSeparator" w:id="0">
    <w:p w:rsidR="00000000" w:rsidRDefault="00B51B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69D4" w:rsidRDefault="00B51B7B">
    <w:pPr>
      <w:pStyle w:val="Subsol"/>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rsidR="00FC69D4" w:rsidRDefault="00FC69D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B51B7B">
      <w:pPr>
        <w:spacing w:line="240" w:lineRule="auto"/>
      </w:pPr>
      <w:r>
        <w:separator/>
      </w:r>
    </w:p>
  </w:footnote>
  <w:footnote w:type="continuationSeparator" w:id="0">
    <w:p w:rsidR="00000000" w:rsidRDefault="00B51B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9D4"/>
    <w:rsid w:val="0016688B"/>
    <w:rsid w:val="003F4AAF"/>
    <w:rsid w:val="0051071D"/>
    <w:rsid w:val="006D2CAA"/>
    <w:rsid w:val="00831151"/>
    <w:rsid w:val="00856BBB"/>
    <w:rsid w:val="00B51B7B"/>
    <w:rsid w:val="00F9022F"/>
    <w:rsid w:val="00FC6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993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uiPriority w:val="9"/>
    <w:qFormat/>
    <w:pPr>
      <w:keepNext/>
      <w:keepLines/>
      <w:spacing w:before="400" w:after="120"/>
      <w:outlineLvl w:val="0"/>
    </w:pPr>
    <w:rPr>
      <w:b/>
      <w:sz w:val="28"/>
      <w:szCs w:val="40"/>
    </w:rPr>
  </w:style>
  <w:style w:type="paragraph" w:styleId="Titlu2">
    <w:name w:val="heading 2"/>
    <w:basedOn w:val="Normal1"/>
    <w:next w:val="Normal1"/>
    <w:uiPriority w:val="9"/>
    <w:unhideWhenUsed/>
    <w:qFormat/>
    <w:pPr>
      <w:keepNext/>
      <w:keepLines/>
      <w:spacing w:before="360" w:after="120"/>
      <w:outlineLvl w:val="1"/>
    </w:pPr>
    <w:rPr>
      <w:b/>
      <w:szCs w:val="32"/>
    </w:rPr>
  </w:style>
  <w:style w:type="paragraph" w:styleId="Titlu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Titlu4">
    <w:name w:val="heading 4"/>
    <w:basedOn w:val="Normal1"/>
    <w:next w:val="Normal1"/>
    <w:uiPriority w:val="9"/>
    <w:semiHidden/>
    <w:unhideWhenUsed/>
    <w:qFormat/>
    <w:pPr>
      <w:keepNext/>
      <w:keepLines/>
      <w:spacing w:before="280" w:after="80"/>
      <w:outlineLvl w:val="3"/>
    </w:pPr>
    <w:rPr>
      <w:color w:val="666666"/>
      <w:szCs w:val="24"/>
    </w:rPr>
  </w:style>
  <w:style w:type="paragraph" w:styleId="Titlu5">
    <w:name w:val="heading 5"/>
    <w:basedOn w:val="Normal1"/>
    <w:next w:val="Normal1"/>
    <w:uiPriority w:val="9"/>
    <w:semiHidden/>
    <w:unhideWhenUsed/>
    <w:qFormat/>
    <w:pPr>
      <w:keepNext/>
      <w:keepLines/>
      <w:spacing w:before="240" w:after="80"/>
      <w:outlineLvl w:val="4"/>
    </w:pPr>
    <w:rPr>
      <w:color w:val="666666"/>
      <w:sz w:val="22"/>
    </w:rPr>
  </w:style>
  <w:style w:type="paragraph" w:styleId="Titlu6">
    <w:name w:val="heading 6"/>
    <w:basedOn w:val="Normal1"/>
    <w:next w:val="Normal1"/>
    <w:uiPriority w:val="9"/>
    <w:semiHidden/>
    <w:unhideWhenUsed/>
    <w:qFormat/>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pPr>
      <w:spacing w:line="360" w:lineRule="auto"/>
      <w:jc w:val="both"/>
    </w:pPr>
    <w:rPr>
      <w:rFonts w:ascii="Times New Roman" w:hAnsi="Times New Roman"/>
      <w:sz w:val="24"/>
    </w:rPr>
  </w:style>
  <w:style w:type="paragraph" w:styleId="Titlu">
    <w:name w:val="Title"/>
    <w:basedOn w:val="Normal1"/>
    <w:next w:val="Normal1"/>
    <w:uiPriority w:val="10"/>
    <w:qFormat/>
    <w:pPr>
      <w:keepNext/>
      <w:keepLines/>
      <w:spacing w:after="60"/>
    </w:pPr>
    <w:rPr>
      <w:sz w:val="52"/>
      <w:szCs w:val="52"/>
    </w:rPr>
  </w:style>
  <w:style w:type="paragraph" w:styleId="Subtitlu">
    <w:name w:val="Subtitle"/>
    <w:basedOn w:val="Normal1"/>
    <w:next w:val="Normal1"/>
    <w:uiPriority w:val="11"/>
    <w:qFormat/>
    <w:pPr>
      <w:keepNext/>
      <w:keepLines/>
      <w:spacing w:after="320"/>
    </w:pPr>
    <w:rPr>
      <w:rFonts w:ascii="Arial" w:hAnsi="Arial"/>
      <w:color w:val="666666"/>
      <w:sz w:val="30"/>
      <w:szCs w:val="30"/>
    </w:rPr>
  </w:style>
  <w:style w:type="paragraph" w:styleId="Antet">
    <w:name w:val="header"/>
    <w:basedOn w:val="Normal"/>
    <w:link w:val="AntetCaracter"/>
    <w:uiPriority w:val="99"/>
    <w:pPr>
      <w:tabs>
        <w:tab w:val="center" w:pos="4680"/>
        <w:tab w:val="right" w:pos="9360"/>
      </w:tabs>
      <w:spacing w:line="240" w:lineRule="auto"/>
    </w:pPr>
  </w:style>
  <w:style w:type="character" w:customStyle="1" w:styleId="AntetCaracter">
    <w:name w:val="Antet Caracter"/>
    <w:basedOn w:val="Fontdeparagrafimplicit"/>
    <w:link w:val="Antet"/>
    <w:uiPriority w:val="99"/>
  </w:style>
  <w:style w:type="paragraph" w:styleId="Subsol">
    <w:name w:val="footer"/>
    <w:basedOn w:val="Normal"/>
    <w:link w:val="SubsolCaracter"/>
    <w:uiPriority w:val="99"/>
    <w:pPr>
      <w:tabs>
        <w:tab w:val="center" w:pos="4680"/>
        <w:tab w:val="right" w:pos="9360"/>
      </w:tabs>
      <w:spacing w:line="240" w:lineRule="auto"/>
    </w:pPr>
  </w:style>
  <w:style w:type="character" w:customStyle="1" w:styleId="SubsolCaracter">
    <w:name w:val="Subsol Caracter"/>
    <w:basedOn w:val="Fontdeparagrafimplicit"/>
    <w:link w:val="Subsol"/>
    <w:uiPriority w:val="99"/>
  </w:style>
  <w:style w:type="paragraph" w:styleId="Titlucuprins">
    <w:name w:val="TOC Heading"/>
    <w:basedOn w:val="Titlu1"/>
    <w:next w:val="Normal"/>
    <w:uiPriority w:val="39"/>
    <w:qFormat/>
    <w:pPr>
      <w:spacing w:before="480" w:after="0" w:line="276" w:lineRule="auto"/>
      <w:jc w:val="left"/>
      <w:outlineLvl w:val="9"/>
    </w:pPr>
    <w:rPr>
      <w:rFonts w:ascii="Calibri" w:eastAsia="SimSun" w:hAnsi="Calibri" w:cs="SimSun"/>
      <w:bCs/>
      <w:color w:val="365F91"/>
      <w:szCs w:val="28"/>
    </w:rPr>
  </w:style>
  <w:style w:type="paragraph" w:styleId="Cuprins1">
    <w:name w:val="toc 1"/>
    <w:basedOn w:val="Normal"/>
    <w:next w:val="Normal"/>
    <w:uiPriority w:val="39"/>
    <w:pPr>
      <w:spacing w:after="100"/>
    </w:pPr>
  </w:style>
  <w:style w:type="paragraph" w:styleId="Cuprins2">
    <w:name w:val="toc 2"/>
    <w:basedOn w:val="Normal"/>
    <w:next w:val="Normal"/>
    <w:uiPriority w:val="39"/>
    <w:pPr>
      <w:spacing w:after="100"/>
      <w:ind w:left="220"/>
    </w:pPr>
  </w:style>
  <w:style w:type="character" w:styleId="Hyperlink">
    <w:name w:val="Hyperlink"/>
    <w:basedOn w:val="Fontdeparagrafimplicit"/>
    <w:uiPriority w:val="99"/>
    <w:rPr>
      <w:color w:val="0000FF"/>
      <w:u w:val="single"/>
    </w:rPr>
  </w:style>
  <w:style w:type="paragraph" w:styleId="TextnBalon">
    <w:name w:val="Balloon Text"/>
    <w:basedOn w:val="Normal"/>
    <w:link w:val="TextnBalonCaracter"/>
    <w:uiPriority w:val="99"/>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7832461/" TargetMode="External" /><Relationship Id="rId13" Type="http://schemas.openxmlformats.org/officeDocument/2006/relationships/hyperlink" Target="https://www.researchgate.net/profile/Sindile-Ngubane-Mokiwa/publication/338033459_Male_rape_or_consensual_sex_hidden_hegemonic_masculinities_by_Zulu_speaking_men_with_disabilities/links/6048fafb92851c1bd4dee63e/Male-rape-or-consensual-sex-hidden-hegemonic-masculinities-by-Zulu-speaking-men-with-disabilities.pdf"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scholar.archive.org/work/a32ljh6lw5av7lononezokg5bm/access/wayback/https://watermark.silverchair.com/czz174.pdf?token=AQECAHi208BE49Ooan9kkhW_Ercy7Dm3ZL_9Cf3qfKAc485ysgAAAqMwggKfBgkqhkiG9w0BBwagggKQMIICjAIBADCCAoUGCSqGSIb3DQEHATAeBglghkgBZQMEAS4wEQQMjMpaot2DxKf26peHAgEQgIICVsrs2MOF6zAaiK8R9FZLm01uAvlHbAQEL_6P1UxW7N7XFzeihiT2uEduPjAj88TfDoNBgz-BBWDhboNOsQ9gpDQcGdSxr8w9G3254UfUaJznX3OZUFhBSqC9M3rmww8iZGLerLCLr2wK1I_SU2duQA8TnMQj3rBy9PkKH_JTGg2rJIkk388wSJAoFGrIg96xoBFIuNBEI2nZVJfYzWuOm12InUUsooePj6nXJKh8vfL4D2AN77H6ITqiHyJK7rQvvQLSzvzdjf4WPcYUguHsMQx-tN_maE9aRwt_QACRpTbSa7_-33J1YrEdlY1VqvrABr6New77IsfdbxIj0bIh7KJOSnFHLmMO7nS3y0vUW3miG5X5sJ-pQW2fP83cv-xbpOUyF5urTZqy6J_CYWk26WdKykKr8N5AhSnPWX1CjVrd3QpAXtjAr8zfREbppU91hPtaFeSI6QgNPNAVU5rzGsxOAA9U0HrO-LeGDeLIgOvan0odvcKMFDaNJMlSq1pCq-uACJMoJxuCLZfUc-DpybSByWF0y3V3Ehdq4fjCkH9KBMtav34vfydE85c4TVwbiAXBBgPaTdB9gBQTbCwoGOO_NzDx3uoLXHIuBoiqdAaRLXqLw6VQ4EE1Wt1YUNN9zJYYyrKki1AKX7nt5lzlUGn5Y5mOTbJki3I9-hCbYC_qz2FsyOf2RgVPrBdTQC5G992rDq8VFJrth3cI3QrVGbQFR8cYE17mihLvEpiDXxPniPEVLUUjA3lJay7r_u2B55_gDkW1PjYOvYenD4Y3gqwyLyJv9B8" TargetMode="External" /><Relationship Id="rId12" Type="http://schemas.openxmlformats.org/officeDocument/2006/relationships/hyperlink" Target="https://www.academia.edu/download/68395380/17441692.2020.pdf" TargetMode="External"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sciencedirect.com/science/article/pii/S2414644721000099"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gh.bmj.com/content/5/10/e003188.abstract" TargetMode="External" /><Relationship Id="rId5" Type="http://schemas.openxmlformats.org/officeDocument/2006/relationships/footnotes" Target="footnotes.xml" /><Relationship Id="rId15" Type="http://schemas.openxmlformats.org/officeDocument/2006/relationships/hyperlink" Target="https://ri.conicet.gov.ar/bitstream/handle/11336/121676/CONICET_Digital_Nro.5ecc12dc-29c7-4218-aa55-9462b39c2d3d_A.pdf?sequence=2" TargetMode="External" /><Relationship Id="rId10" Type="http://schemas.openxmlformats.org/officeDocument/2006/relationships/hyperlink" Target="https://link.springer.com/article/10.1007/s10943-020-01057-w"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bmchealthservres.biomedcentral.com/articles/10.1186/s12913-018-3090-1" TargetMode="External" /><Relationship Id="rId14" Type="http://schemas.openxmlformats.org/officeDocument/2006/relationships/hyperlink" Target="https://yearbooksyarn.co.uk/journals.iupui.edu/index.php/muj/article/download/25329/2418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F4CDC-3431-46BB-9FFE-C3A8DA1FD2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3179</Words>
  <Characters>18443</Characters>
  <Application>Microsoft Office Word</Application>
  <DocSecurity>0</DocSecurity>
  <Lines>153</Lines>
  <Paragraphs>43</Paragraphs>
  <ScaleCrop>false</ScaleCrop>
  <LinksUpToDate>false</LinksUpToDate>
  <CharactersWithSpaces>21579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2022-04-27T14:32:00Z</dcterms:created>
  <dcterms:modified xsi:type="dcterms:W3CDTF">2022-04-27T14:32:00Z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80b49b3ca5214b968c8731c7dfc7813d</vt:lpwstr>
  </property>
</Properties>
</file>