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959752635"/>
        <w:docPartObj>
          <w:docPartGallery w:val="Cover Pages"/>
          <w:docPartUnique/>
        </w:docPartObj>
      </w:sdtPr>
      <w:sdtContent>
        <w:p w14:paraId="61B61FA7" w14:textId="7952C541" w:rsidR="00E95F6E" w:rsidRDefault="00EB36AE" w:rsidP="00E95F6E">
          <w:r>
            <w:rPr>
              <w:noProof/>
            </w:rPr>
            <mc:AlternateContent>
              <mc:Choice Requires="wps">
                <w:drawing>
                  <wp:anchor distT="0" distB="0" distL="182880" distR="182880" simplePos="0" relativeHeight="251660288" behindDoc="0" locked="0" layoutInCell="1" allowOverlap="1" wp14:anchorId="2EBC5F07" wp14:editId="0B964D23">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32"/>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4572EB6" w14:textId="27D644DD" w:rsidR="00EB36AE" w:rsidRDefault="00000000">
                                <w:pPr>
                                  <w:pStyle w:val="NoSpacing"/>
                                  <w:spacing w:before="40" w:after="560" w:line="216" w:lineRule="auto"/>
                                  <w:rPr>
                                    <w:color w:val="156082" w:themeColor="accent1"/>
                                    <w:sz w:val="72"/>
                                    <w:szCs w:val="72"/>
                                  </w:rPr>
                                </w:pPr>
                                <w:sdt>
                                  <w:sdtPr>
                                    <w:rPr>
                                      <w:color w:val="15608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CC1D18">
                                      <w:rPr>
                                        <w:color w:val="156082" w:themeColor="accent1"/>
                                        <w:sz w:val="72"/>
                                        <w:szCs w:val="72"/>
                                      </w:rPr>
                                      <w:t>COMMUNICABLE DISEASE</w:t>
                                    </w:r>
                                  </w:sdtContent>
                                </w:sdt>
                              </w:p>
                              <w:sdt>
                                <w:sdtPr>
                                  <w:rPr>
                                    <w:caps/>
                                    <w:color w:val="50154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4FA7F98C" w14:textId="02B037CE" w:rsidR="00EB36AE" w:rsidRDefault="00CC1D18">
                                    <w:pPr>
                                      <w:pStyle w:val="NoSpacing"/>
                                      <w:spacing w:before="40" w:after="40"/>
                                      <w:rPr>
                                        <w:caps/>
                                        <w:color w:val="501549" w:themeColor="accent5" w:themeShade="80"/>
                                        <w:sz w:val="28"/>
                                        <w:szCs w:val="28"/>
                                      </w:rPr>
                                    </w:pPr>
                                    <w:r>
                                      <w:rPr>
                                        <w:caps/>
                                        <w:color w:val="501549" w:themeColor="accent5" w:themeShade="80"/>
                                        <w:sz w:val="28"/>
                                        <w:szCs w:val="28"/>
                                      </w:rPr>
                                      <w:t>MEASLES</w:t>
                                    </w:r>
                                  </w:p>
                                </w:sdtContent>
                              </w:sdt>
                              <w:sdt>
                                <w:sdtPr>
                                  <w:rPr>
                                    <w:caps/>
                                    <w:color w:val="A02B93"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7A1D4C65" w14:textId="72027BF3" w:rsidR="00EB36AE" w:rsidRDefault="00EB36AE">
                                    <w:pPr>
                                      <w:pStyle w:val="NoSpacing"/>
                                      <w:spacing w:before="80" w:after="40"/>
                                      <w:rPr>
                                        <w:caps/>
                                        <w:color w:val="A02B93" w:themeColor="accent5"/>
                                        <w:sz w:val="24"/>
                                        <w:szCs w:val="24"/>
                                      </w:rPr>
                                    </w:pPr>
                                    <w:r>
                                      <w:rPr>
                                        <w:caps/>
                                        <w:color w:val="A02B93" w:themeColor="accent5"/>
                                        <w:sz w:val="24"/>
                                        <w:szCs w:val="24"/>
                                      </w:rPr>
                                      <w:t>Cristina Sandu</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2EBC5F07" id="_x0000_t202" coordsize="21600,21600" o:spt="202" path="m,l,21600r21600,l21600,xe">
                    <v:stroke joinstyle="miter"/>
                    <v:path gradientshapeok="t" o:connecttype="rect"/>
                  </v:shapetype>
                  <v:shape id="Text Box 32"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" filled="f" stroked="f" strokeweight=".5pt">
                    <v:textbox style="mso-fit-shape-to-text:t" inset="0,0,0,0">
                      <w:txbxContent>
                        <w:p w14:paraId="74572EB6" w14:textId="27D644DD" w:rsidR="00EB36AE" w:rsidRDefault="00EB36AE">
                          <w:pPr>
                            <w:pStyle w:val="NoSpacing"/>
                            <w:spacing w:before="40" w:after="560" w:line="216" w:lineRule="auto"/>
                            <w:rPr>
                              <w:color w:val="156082" w:themeColor="accent1"/>
                              <w:sz w:val="72"/>
                              <w:szCs w:val="72"/>
                            </w:rPr>
                          </w:pPr>
                          <w:sdt>
                            <w:sdtPr>
                              <w:rPr>
                                <w:color w:val="15608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CC1D18">
                                <w:rPr>
                                  <w:color w:val="156082" w:themeColor="accent1"/>
                                  <w:sz w:val="72"/>
                                  <w:szCs w:val="72"/>
                                </w:rPr>
                                <w:t>COMMUNICABLE DISEASE</w:t>
                              </w:r>
                            </w:sdtContent>
                          </w:sdt>
                        </w:p>
                        <w:sdt>
                          <w:sdtPr>
                            <w:rPr>
                              <w:caps/>
                              <w:color w:val="50154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4FA7F98C" w14:textId="02B037CE" w:rsidR="00EB36AE" w:rsidRDefault="00CC1D18">
                              <w:pPr>
                                <w:pStyle w:val="NoSpacing"/>
                                <w:spacing w:before="40" w:after="40"/>
                                <w:rPr>
                                  <w:caps/>
                                  <w:color w:val="501549" w:themeColor="accent5" w:themeShade="80"/>
                                  <w:sz w:val="28"/>
                                  <w:szCs w:val="28"/>
                                </w:rPr>
                              </w:pPr>
                              <w:r>
                                <w:rPr>
                                  <w:caps/>
                                  <w:color w:val="501549" w:themeColor="accent5" w:themeShade="80"/>
                                  <w:sz w:val="28"/>
                                  <w:szCs w:val="28"/>
                                </w:rPr>
                                <w:t>MEASLES</w:t>
                              </w:r>
                            </w:p>
                          </w:sdtContent>
                        </w:sdt>
                        <w:sdt>
                          <w:sdtPr>
                            <w:rPr>
                              <w:caps/>
                              <w:color w:val="A02B93"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7A1D4C65" w14:textId="72027BF3" w:rsidR="00EB36AE" w:rsidRDefault="00EB36AE">
                              <w:pPr>
                                <w:pStyle w:val="NoSpacing"/>
                                <w:spacing w:before="80" w:after="40"/>
                                <w:rPr>
                                  <w:caps/>
                                  <w:color w:val="A02B93" w:themeColor="accent5"/>
                                  <w:sz w:val="24"/>
                                  <w:szCs w:val="24"/>
                                </w:rPr>
                              </w:pPr>
                              <w:r>
                                <w:rPr>
                                  <w:caps/>
                                  <w:color w:val="A02B93" w:themeColor="accent5"/>
                                  <w:sz w:val="24"/>
                                  <w:szCs w:val="24"/>
                                </w:rPr>
                                <w:t>Cristina Sandu</w:t>
                              </w:r>
                            </w:p>
                          </w:sdtContent>
                        </w:sdt>
                      </w:txbxContent>
                    </v:textbox>
                    <w10:wrap type="square" anchorx="margin" anchory="page"/>
                  </v:shape>
                </w:pict>
              </mc:Fallback>
            </mc:AlternateContent>
          </w:r>
        </w:p>
      </w:sdtContent>
    </w:sdt>
    <w:p w14:paraId="27A9E71F" w14:textId="77777777" w:rsidR="002B4916" w:rsidRDefault="002B4916"/>
    <w:p w14:paraId="29912034" w14:textId="77777777" w:rsidR="00033B6C" w:rsidRDefault="00033B6C"/>
    <w:p w14:paraId="28E6135E" w14:textId="77777777" w:rsidR="00033B6C" w:rsidRDefault="00033B6C"/>
    <w:p w14:paraId="15DFDF17" w14:textId="078CB17A" w:rsidR="00EE66CA" w:rsidRDefault="00EE66CA"/>
    <w:p w14:paraId="3B813D68" w14:textId="77777777" w:rsidR="00EE66CA" w:rsidRDefault="00EE66CA">
      <w:r>
        <w:br w:type="page"/>
      </w:r>
    </w:p>
    <w:sdt>
      <w:sdtPr>
        <w:rPr>
          <w:rFonts w:asciiTheme="minorHAnsi" w:eastAsiaTheme="minorHAnsi" w:hAnsiTheme="minorHAnsi" w:cstheme="minorBidi"/>
          <w:color w:val="auto"/>
          <w:kern w:val="2"/>
          <w:sz w:val="24"/>
          <w:szCs w:val="24"/>
          <w:lang w:eastAsia="en-US"/>
          <w14:ligatures w14:val="standardContextual"/>
        </w:rPr>
        <w:id w:val="1883363228"/>
        <w:docPartObj>
          <w:docPartGallery w:val="Table of Contents"/>
          <w:docPartUnique/>
        </w:docPartObj>
      </w:sdtPr>
      <w:sdtContent>
        <w:p w14:paraId="7C98D404" w14:textId="77777777" w:rsidR="001D5955" w:rsidRDefault="001D5955" w:rsidP="001B77FD">
          <w:pPr>
            <w:pStyle w:val="TOCHeading"/>
          </w:pPr>
        </w:p>
        <w:p w14:paraId="465ADE48" w14:textId="77777777" w:rsidR="001D5955" w:rsidRDefault="001D5955" w:rsidP="001B77FD">
          <w:pPr>
            <w:pStyle w:val="TOCHeading"/>
          </w:pPr>
        </w:p>
        <w:p w14:paraId="696D767D" w14:textId="77777777" w:rsidR="001D5955" w:rsidRDefault="001D5955" w:rsidP="001B77FD">
          <w:pPr>
            <w:pStyle w:val="TOCHeading"/>
          </w:pPr>
        </w:p>
        <w:p w14:paraId="0D140EAD" w14:textId="77777777" w:rsidR="001E746D" w:rsidRDefault="001E746D" w:rsidP="00F65A6E">
          <w:pPr>
            <w:pStyle w:val="TOCHeading"/>
          </w:pPr>
        </w:p>
        <w:p w14:paraId="13695997" w14:textId="3D0BE9C5" w:rsidR="00F65A6E" w:rsidRDefault="001B77FD" w:rsidP="00F65A6E">
          <w:pPr>
            <w:pStyle w:val="TOCHeading"/>
          </w:pPr>
          <w:r>
            <w:t>Table of Content</w:t>
          </w:r>
        </w:p>
        <w:p w14:paraId="65ECA126" w14:textId="70AF5569" w:rsidR="00471ABA" w:rsidRDefault="001E746D" w:rsidP="002154B9">
          <w:pPr>
            <w:pStyle w:val="TOCHeading"/>
            <w:rPr>
              <w:b/>
              <w:bCs/>
            </w:rPr>
          </w:pPr>
          <w:r>
            <w:t xml:space="preserve">1. </w:t>
          </w:r>
          <w:r w:rsidR="003903DA">
            <w:t>Introduction…………………………………………………………</w:t>
          </w:r>
          <w:r>
            <w:t>.</w:t>
          </w:r>
          <w:r w:rsidR="003903DA">
            <w:t>2</w:t>
          </w:r>
        </w:p>
        <w:p w14:paraId="20C43373" w14:textId="77777777" w:rsidR="00D40B58" w:rsidRDefault="00D40B58" w:rsidP="002154B9">
          <w:pPr>
            <w:pStyle w:val="TOC2"/>
            <w:ind w:left="0"/>
          </w:pPr>
        </w:p>
        <w:p w14:paraId="3D8E2DB3" w14:textId="69F023A6" w:rsidR="00471ABA" w:rsidRDefault="001E746D" w:rsidP="002154B9">
          <w:pPr>
            <w:pStyle w:val="TOC2"/>
            <w:ind w:left="0"/>
          </w:pPr>
          <w:r>
            <w:t xml:space="preserve">2. </w:t>
          </w:r>
          <w:r w:rsidR="00471ABA">
            <w:t>History, treatment</w:t>
          </w:r>
          <w:r w:rsidR="00AC6E71">
            <w:t>,</w:t>
          </w:r>
          <w:r w:rsidR="00471ABA">
            <w:t xml:space="preserve"> and </w:t>
          </w:r>
          <w:r w:rsidR="00AC6E71">
            <w:t>symptomology……………………………………………………3</w:t>
          </w:r>
        </w:p>
        <w:p w14:paraId="0EFC16DF" w14:textId="77777777" w:rsidR="00D40B58" w:rsidRDefault="00D40B58" w:rsidP="002154B9">
          <w:pPr>
            <w:pStyle w:val="TOC2"/>
            <w:ind w:left="0"/>
          </w:pPr>
        </w:p>
        <w:p w14:paraId="72EBDD38" w14:textId="116C99AE" w:rsidR="001B77FD" w:rsidRDefault="001E746D" w:rsidP="002154B9">
          <w:pPr>
            <w:pStyle w:val="TOC2"/>
            <w:ind w:left="0"/>
          </w:pPr>
          <w:r>
            <w:t xml:space="preserve">3. </w:t>
          </w:r>
          <w:r w:rsidR="00085C9E">
            <w:t>Preva</w:t>
          </w:r>
          <w:r w:rsidR="009B7309">
            <w:t>le</w:t>
          </w:r>
          <w:r w:rsidR="00085C9E">
            <w:t>nce</w:t>
          </w:r>
          <w:r w:rsidR="002154B9">
            <w:t>…………………………………………………………………………………………4-5</w:t>
          </w:r>
        </w:p>
        <w:p w14:paraId="6A22D50B" w14:textId="77777777" w:rsidR="00D40B58" w:rsidRDefault="00D40B58" w:rsidP="002154B9">
          <w:pPr>
            <w:pStyle w:val="TOC3"/>
            <w:ind w:left="0"/>
          </w:pPr>
        </w:p>
        <w:p w14:paraId="47CB01EA" w14:textId="0E50577E" w:rsidR="004F5649" w:rsidRDefault="001E746D" w:rsidP="002154B9">
          <w:pPr>
            <w:pStyle w:val="TOC3"/>
            <w:ind w:left="0"/>
          </w:pPr>
          <w:r>
            <w:t xml:space="preserve">4. </w:t>
          </w:r>
          <w:r w:rsidR="00DA163A">
            <w:t xml:space="preserve">Campaigns </w:t>
          </w:r>
          <w:r w:rsidR="0046467C">
            <w:t>to</w:t>
          </w:r>
          <w:r w:rsidR="00DA163A">
            <w:t xml:space="preserve"> Promot</w:t>
          </w:r>
          <w:r w:rsidR="0046467C">
            <w:t>e</w:t>
          </w:r>
          <w:r w:rsidR="00DA163A">
            <w:t xml:space="preserve"> Vaccinations</w:t>
          </w:r>
          <w:r w:rsidR="00FB42EE">
            <w:t>………………………………………………………6</w:t>
          </w:r>
        </w:p>
        <w:p w14:paraId="06E500B7" w14:textId="77777777" w:rsidR="00D40B58" w:rsidRDefault="00D40B58" w:rsidP="004F5649">
          <w:pPr>
            <w:rPr>
              <w:lang w:eastAsia="en-GB"/>
            </w:rPr>
          </w:pPr>
        </w:p>
        <w:p w14:paraId="2E77C281" w14:textId="3B3947DA" w:rsidR="0079690A" w:rsidRDefault="001E746D" w:rsidP="004F5649">
          <w:pPr>
            <w:rPr>
              <w:lang w:eastAsia="en-GB"/>
            </w:rPr>
          </w:pPr>
          <w:r>
            <w:rPr>
              <w:lang w:eastAsia="en-GB"/>
            </w:rPr>
            <w:t xml:space="preserve">5. </w:t>
          </w:r>
          <w:r w:rsidR="0079690A">
            <w:rPr>
              <w:lang w:eastAsia="en-GB"/>
            </w:rPr>
            <w:t>Recommendations</w:t>
          </w:r>
          <w:r w:rsidR="004F5649">
            <w:rPr>
              <w:lang w:eastAsia="en-GB"/>
            </w:rPr>
            <w:t>………………………………………………………………………</w:t>
          </w:r>
          <w:r w:rsidR="0079690A">
            <w:rPr>
              <w:lang w:eastAsia="en-GB"/>
            </w:rPr>
            <w:t>7</w:t>
          </w:r>
        </w:p>
        <w:p w14:paraId="69A0628F" w14:textId="77777777" w:rsidR="00D40B58" w:rsidRDefault="00D40B58" w:rsidP="004F5649">
          <w:pPr>
            <w:rPr>
              <w:lang w:eastAsia="en-GB"/>
            </w:rPr>
          </w:pPr>
        </w:p>
        <w:p w14:paraId="2939E7E9" w14:textId="1F865030" w:rsidR="002D5297" w:rsidRDefault="001E746D" w:rsidP="004F5649">
          <w:pPr>
            <w:rPr>
              <w:lang w:eastAsia="en-GB"/>
            </w:rPr>
          </w:pPr>
          <w:r>
            <w:rPr>
              <w:lang w:eastAsia="en-GB"/>
            </w:rPr>
            <w:t xml:space="preserve">6. </w:t>
          </w:r>
          <w:r w:rsidR="0079690A">
            <w:rPr>
              <w:lang w:eastAsia="en-GB"/>
            </w:rPr>
            <w:t>Conclusion …………………………………………………………………………………</w:t>
          </w:r>
          <w:r w:rsidR="002D5297">
            <w:rPr>
              <w:lang w:eastAsia="en-GB"/>
            </w:rPr>
            <w:t>8</w:t>
          </w:r>
        </w:p>
        <w:p w14:paraId="749A69BA" w14:textId="77777777" w:rsidR="00D40B58" w:rsidRDefault="00D40B58" w:rsidP="004F5649">
          <w:pPr>
            <w:rPr>
              <w:lang w:eastAsia="en-GB"/>
            </w:rPr>
          </w:pPr>
        </w:p>
        <w:p w14:paraId="5D92B3B0" w14:textId="7EBEFAAE" w:rsidR="001B77FD" w:rsidRPr="004F5649" w:rsidRDefault="001E746D" w:rsidP="004F5649">
          <w:pPr>
            <w:rPr>
              <w:lang w:eastAsia="en-GB"/>
            </w:rPr>
          </w:pPr>
          <w:r>
            <w:rPr>
              <w:lang w:eastAsia="en-GB"/>
            </w:rPr>
            <w:t xml:space="preserve">7. </w:t>
          </w:r>
          <w:r w:rsidR="002D5297">
            <w:rPr>
              <w:lang w:eastAsia="en-GB"/>
            </w:rPr>
            <w:t>References…………………………………………………………………………………9-11</w:t>
          </w:r>
        </w:p>
      </w:sdtContent>
    </w:sdt>
    <w:p w14:paraId="56D6BFE6" w14:textId="2A8F14F2" w:rsidR="001D5955" w:rsidRDefault="001D5955"/>
    <w:p w14:paraId="4E235F81" w14:textId="77777777" w:rsidR="001D5955" w:rsidRDefault="001D5955">
      <w:r>
        <w:br w:type="page"/>
      </w:r>
    </w:p>
    <w:p w14:paraId="2FE6FEC6" w14:textId="77777777" w:rsidR="00A834C3" w:rsidRDefault="00A834C3" w:rsidP="00A834C3">
      <w:pPr>
        <w:pStyle w:val="ListParagraph"/>
      </w:pPr>
    </w:p>
    <w:p w14:paraId="709D28FB" w14:textId="77777777" w:rsidR="00A834C3" w:rsidRDefault="00A834C3" w:rsidP="00A834C3">
      <w:pPr>
        <w:ind w:left="360"/>
      </w:pPr>
    </w:p>
    <w:p w14:paraId="462FA160" w14:textId="77777777" w:rsidR="00A834C3" w:rsidRDefault="00A834C3" w:rsidP="00A834C3">
      <w:pPr>
        <w:pStyle w:val="ListParagraph"/>
      </w:pPr>
    </w:p>
    <w:p w14:paraId="62379EA9" w14:textId="77777777" w:rsidR="00A834C3" w:rsidRDefault="00A834C3" w:rsidP="00A834C3">
      <w:pPr>
        <w:pStyle w:val="ListParagraph"/>
      </w:pPr>
    </w:p>
    <w:p w14:paraId="52553996" w14:textId="18915A83" w:rsidR="00033B6C" w:rsidRPr="00A834C3" w:rsidRDefault="002E1482" w:rsidP="00A834C3">
      <w:pPr>
        <w:pStyle w:val="ListParagraph"/>
        <w:numPr>
          <w:ilvl w:val="0"/>
          <w:numId w:val="2"/>
        </w:numPr>
        <w:rPr>
          <w:sz w:val="32"/>
          <w:szCs w:val="32"/>
        </w:rPr>
      </w:pPr>
      <w:r w:rsidRPr="00A834C3">
        <w:rPr>
          <w:sz w:val="32"/>
          <w:szCs w:val="32"/>
        </w:rPr>
        <w:t>Introduction</w:t>
      </w:r>
    </w:p>
    <w:p w14:paraId="70B8CBEC" w14:textId="3E44C3C4" w:rsidR="002E1482" w:rsidRDefault="002E1482" w:rsidP="00F5344A">
      <w:pPr>
        <w:pStyle w:val="paragraph"/>
        <w:spacing w:before="0" w:beforeAutospacing="0" w:after="0" w:afterAutospacing="0"/>
        <w:ind w:left="720"/>
        <w:textAlignment w:val="baseline"/>
        <w:rPr>
          <w:rFonts w:ascii="Segoe UI" w:hAnsi="Segoe UI" w:cs="Segoe UI"/>
          <w:sz w:val="18"/>
          <w:szCs w:val="18"/>
        </w:rPr>
      </w:pPr>
      <w:r>
        <w:rPr>
          <w:rStyle w:val="normaltextrun"/>
          <w:rFonts w:ascii="Calibri" w:eastAsiaTheme="majorEastAsia" w:hAnsi="Calibri" w:cs="Calibri"/>
          <w:color w:val="000000"/>
        </w:rPr>
        <w:t xml:space="preserve">Contagious diseases, also </w:t>
      </w:r>
      <w:r w:rsidR="00F5344A">
        <w:rPr>
          <w:rStyle w:val="normaltextrun"/>
          <w:rFonts w:ascii="Calibri" w:eastAsiaTheme="majorEastAsia" w:hAnsi="Calibri" w:cs="Calibri"/>
          <w:color w:val="000000"/>
        </w:rPr>
        <w:t>known as infectious diseases or communicable diseases, are caused by infectious pathogens</w:t>
      </w:r>
      <w:r w:rsidR="006838E1">
        <w:rPr>
          <w:rStyle w:val="normaltextrun"/>
          <w:rFonts w:ascii="Calibri" w:eastAsiaTheme="majorEastAsia" w:hAnsi="Calibri" w:cs="Calibri"/>
          <w:color w:val="000000"/>
        </w:rPr>
        <w:t>,</w:t>
      </w:r>
      <w:r w:rsidR="00F5344A">
        <w:rPr>
          <w:rStyle w:val="normaltextrun"/>
          <w:rFonts w:ascii="Calibri" w:eastAsiaTheme="majorEastAsia" w:hAnsi="Calibri" w:cs="Calibri"/>
          <w:color w:val="000000"/>
        </w:rPr>
        <w:t xml:space="preserve"> </w:t>
      </w:r>
      <w:r w:rsidR="006838E1">
        <w:rPr>
          <w:rStyle w:val="normaltextrun"/>
          <w:rFonts w:ascii="Calibri" w:eastAsiaTheme="majorEastAsia" w:hAnsi="Calibri" w:cs="Calibri"/>
          <w:color w:val="000000"/>
        </w:rPr>
        <w:t>including</w:t>
      </w:r>
      <w:r w:rsidR="00F5344A">
        <w:rPr>
          <w:rStyle w:val="normaltextrun"/>
          <w:rFonts w:ascii="Calibri" w:eastAsiaTheme="majorEastAsia" w:hAnsi="Calibri" w:cs="Calibri"/>
          <w:color w:val="000000"/>
        </w:rPr>
        <w:t xml:space="preserve"> microbes, viruses,</w:t>
      </w:r>
      <w:r>
        <w:rPr>
          <w:rStyle w:val="normaltextrun"/>
          <w:rFonts w:ascii="Calibri" w:eastAsiaTheme="majorEastAsia" w:hAnsi="Calibri" w:cs="Calibri"/>
          <w:color w:val="000000"/>
        </w:rPr>
        <w:t xml:space="preserve"> and multicellular parasites (van Seventer </w:t>
      </w:r>
      <w:r w:rsidR="006838E1">
        <w:rPr>
          <w:rStyle w:val="normaltextrun"/>
          <w:rFonts w:ascii="Calibri" w:eastAsiaTheme="majorEastAsia" w:hAnsi="Calibri" w:cs="Calibri"/>
          <w:color w:val="000000"/>
        </w:rPr>
        <w:t>&amp;</w:t>
      </w:r>
      <w:r>
        <w:rPr>
          <w:rStyle w:val="normaltextrun"/>
          <w:rFonts w:ascii="Calibri" w:eastAsiaTheme="majorEastAsia" w:hAnsi="Calibri" w:cs="Calibri"/>
          <w:color w:val="000000"/>
        </w:rPr>
        <w:t xml:space="preserve"> Hochberg, 2017).</w:t>
      </w:r>
      <w:r>
        <w:rPr>
          <w:rStyle w:val="eop"/>
          <w:rFonts w:ascii="Calibri" w:eastAsiaTheme="majorEastAsia" w:hAnsi="Calibri" w:cs="Calibri"/>
          <w:color w:val="000000"/>
        </w:rPr>
        <w:t> </w:t>
      </w:r>
    </w:p>
    <w:p w14:paraId="2C1718C1" w14:textId="2F649151" w:rsidR="00733916" w:rsidRDefault="002E1482" w:rsidP="00166F76">
      <w:pPr>
        <w:pStyle w:val="paragraph"/>
        <w:spacing w:before="0" w:beforeAutospacing="0" w:after="0" w:afterAutospacing="0"/>
        <w:ind w:left="720"/>
        <w:textAlignment w:val="baseline"/>
        <w:rPr>
          <w:rStyle w:val="normaltextrun"/>
          <w:rFonts w:ascii="Calibri" w:eastAsiaTheme="majorEastAsia" w:hAnsi="Calibri" w:cs="Calibri"/>
          <w:color w:val="000000"/>
        </w:rPr>
      </w:pPr>
      <w:r>
        <w:rPr>
          <w:rStyle w:val="normaltextrun"/>
          <w:rFonts w:ascii="Calibri" w:eastAsiaTheme="majorEastAsia" w:hAnsi="Calibri" w:cs="Calibri"/>
          <w:color w:val="000000"/>
        </w:rPr>
        <w:t> </w:t>
      </w:r>
      <w:r>
        <w:rPr>
          <w:rStyle w:val="normaltextrun"/>
          <w:rFonts w:ascii="Calibri" w:eastAsiaTheme="majorEastAsia" w:hAnsi="Calibri" w:cs="Calibri"/>
        </w:rPr>
        <w:t xml:space="preserve">World Health Organisation (WHO) (2023, a) </w:t>
      </w:r>
      <w:r w:rsidR="00F65A6E">
        <w:rPr>
          <w:rStyle w:val="normaltextrun"/>
          <w:rFonts w:ascii="Calibri" w:eastAsiaTheme="majorEastAsia" w:hAnsi="Calibri" w:cs="Calibri"/>
        </w:rPr>
        <w:t>explains</w:t>
      </w:r>
      <w:r>
        <w:rPr>
          <w:rStyle w:val="normaltextrun"/>
          <w:rFonts w:ascii="Calibri" w:eastAsiaTheme="majorEastAsia" w:hAnsi="Calibri" w:cs="Calibri"/>
        </w:rPr>
        <w:t xml:space="preserve"> that to minimize the risk of contamination and development of these diseases, it is recommended to apply a set of preventive measures. Although medicine has made significant progress in the last century, and authorities are making considerable efforts to inform the population about the causes, risk factors, and prevention of these pathologies, infectious diseases remain a </w:t>
      </w:r>
      <w:r w:rsidR="00F65A6E">
        <w:rPr>
          <w:rStyle w:val="normaltextrun"/>
          <w:rFonts w:ascii="Calibri" w:eastAsiaTheme="majorEastAsia" w:hAnsi="Calibri" w:cs="Calibri"/>
        </w:rPr>
        <w:t>significant</w:t>
      </w:r>
      <w:r>
        <w:rPr>
          <w:rStyle w:val="normaltextrun"/>
          <w:rFonts w:ascii="Calibri" w:eastAsiaTheme="majorEastAsia" w:hAnsi="Calibri" w:cs="Calibri"/>
        </w:rPr>
        <w:t xml:space="preserve"> public health problem.</w:t>
      </w:r>
      <w:r w:rsidR="00F65A6E">
        <w:rPr>
          <w:rStyle w:val="normaltextrun"/>
          <w:rFonts w:ascii="Calibri" w:eastAsiaTheme="majorEastAsia" w:hAnsi="Calibri" w:cs="Calibri"/>
        </w:rPr>
        <w:t xml:space="preserve"> </w:t>
      </w:r>
      <w:r>
        <w:rPr>
          <w:rStyle w:val="normaltextrun"/>
          <w:rFonts w:ascii="Calibri" w:eastAsiaTheme="majorEastAsia" w:hAnsi="Calibri" w:cs="Calibri"/>
          <w:color w:val="000000"/>
        </w:rPr>
        <w:t xml:space="preserve">The subject matter to be discussed will focus on the </w:t>
      </w:r>
      <w:r w:rsidR="00F65A6E">
        <w:rPr>
          <w:rStyle w:val="normaltextrun"/>
          <w:rFonts w:ascii="Calibri" w:eastAsiaTheme="majorEastAsia" w:hAnsi="Calibri" w:cs="Calibri"/>
          <w:color w:val="000000"/>
        </w:rPr>
        <w:t>contagious</w:t>
      </w:r>
      <w:r>
        <w:rPr>
          <w:rStyle w:val="normaltextrun"/>
          <w:rFonts w:ascii="Calibri" w:eastAsiaTheme="majorEastAsia" w:hAnsi="Calibri" w:cs="Calibri"/>
          <w:color w:val="000000"/>
        </w:rPr>
        <w:t xml:space="preserve"> illness referred to as measles</w:t>
      </w:r>
      <w:r w:rsidR="00F65A6E">
        <w:rPr>
          <w:rStyle w:val="normaltextrun"/>
          <w:rFonts w:ascii="Calibri" w:eastAsiaTheme="majorEastAsia" w:hAnsi="Calibri" w:cs="Calibri"/>
          <w:color w:val="000000"/>
        </w:rPr>
        <w:t>,</w:t>
      </w:r>
      <w:r>
        <w:rPr>
          <w:rStyle w:val="normaltextrun"/>
          <w:rFonts w:ascii="Calibri" w:eastAsiaTheme="majorEastAsia" w:hAnsi="Calibri" w:cs="Calibri"/>
          <w:color w:val="000000"/>
        </w:rPr>
        <w:t xml:space="preserve"> encompassing its causes, symptoms, ways of spreading, and preventive measures. Additionally, it </w:t>
      </w:r>
    </w:p>
    <w:p w14:paraId="5820111A" w14:textId="77777777" w:rsidR="00166F76" w:rsidRPr="00B53B52" w:rsidRDefault="00166F76" w:rsidP="00166F76">
      <w:pPr>
        <w:rPr>
          <w:rFonts w:ascii="Calibri" w:eastAsiaTheme="majorEastAsia" w:hAnsi="Calibri" w:cs="Calibri"/>
          <w:color w:val="000000"/>
          <w:kern w:val="0"/>
          <w:lang w:eastAsia="en-GB"/>
          <w14:ligatures w14:val="none"/>
        </w:rPr>
      </w:pPr>
      <w:r>
        <w:rPr>
          <w:rStyle w:val="normaltextrun"/>
          <w:rFonts w:ascii="Calibri" w:hAnsi="Calibri" w:cs="Calibri"/>
          <w:color w:val="000000"/>
        </w:rPr>
        <w:t>will explore the impact of this disease on the overall well-being of the public in the United Kingdom, along with the measures taken to eliminate it.</w:t>
      </w:r>
      <w:r>
        <w:rPr>
          <w:rStyle w:val="eop"/>
          <w:rFonts w:ascii="Calibri" w:hAnsi="Calibri" w:cs="Calibri"/>
          <w:color w:val="000000"/>
        </w:rPr>
        <w:t> </w:t>
      </w:r>
    </w:p>
    <w:p w14:paraId="7E3CB420" w14:textId="77777777" w:rsidR="00733916" w:rsidRDefault="00733916" w:rsidP="002E1482">
      <w:pPr>
        <w:pStyle w:val="paragraph"/>
        <w:spacing w:before="0" w:beforeAutospacing="0" w:after="0" w:afterAutospacing="0"/>
        <w:ind w:left="720"/>
        <w:textAlignment w:val="baseline"/>
        <w:rPr>
          <w:rStyle w:val="normaltextrun"/>
          <w:rFonts w:ascii="Calibri" w:eastAsiaTheme="majorEastAsia" w:hAnsi="Calibri" w:cs="Calibri"/>
          <w:color w:val="000000"/>
        </w:rPr>
      </w:pPr>
    </w:p>
    <w:p w14:paraId="5EA1A659" w14:textId="046B146D" w:rsidR="00166F76" w:rsidRDefault="00166F76" w:rsidP="002E1482">
      <w:pPr>
        <w:ind w:left="360"/>
      </w:pPr>
    </w:p>
    <w:p w14:paraId="1AFB582A" w14:textId="77777777" w:rsidR="00166F76" w:rsidRDefault="00166F76">
      <w:r>
        <w:br w:type="page"/>
      </w:r>
    </w:p>
    <w:p w14:paraId="3FAF9120" w14:textId="44845B99" w:rsidR="001A7D48" w:rsidRDefault="001A7D48" w:rsidP="001A7D48">
      <w:pPr>
        <w:pStyle w:val="paragraph"/>
        <w:spacing w:before="0" w:beforeAutospacing="0" w:after="0" w:afterAutospacing="0"/>
        <w:textAlignment w:val="baseline"/>
        <w:rPr>
          <w:rFonts w:ascii="Segoe UI" w:hAnsi="Segoe UI" w:cs="Segoe UI"/>
          <w:sz w:val="18"/>
          <w:szCs w:val="18"/>
        </w:rPr>
      </w:pPr>
    </w:p>
    <w:p w14:paraId="51FBE29C" w14:textId="668E5131" w:rsidR="00AA7881" w:rsidRPr="00A728CD" w:rsidRDefault="00AA7881" w:rsidP="00A728CD">
      <w:pPr>
        <w:pStyle w:val="paragraph"/>
        <w:numPr>
          <w:ilvl w:val="0"/>
          <w:numId w:val="2"/>
        </w:numPr>
        <w:spacing w:before="0" w:beforeAutospacing="0" w:after="0" w:afterAutospacing="0"/>
        <w:textAlignment w:val="baseline"/>
        <w:rPr>
          <w:rFonts w:ascii="Segoe UI" w:hAnsi="Segoe UI" w:cs="Segoe UI"/>
          <w:sz w:val="18"/>
          <w:szCs w:val="18"/>
        </w:rPr>
      </w:pPr>
      <w:r w:rsidRPr="00A728CD">
        <w:rPr>
          <w:rStyle w:val="normaltextrun"/>
          <w:rFonts w:ascii="Calibri" w:eastAsiaTheme="majorEastAsia" w:hAnsi="Calibri" w:cs="Calibri"/>
          <w:sz w:val="32"/>
          <w:szCs w:val="32"/>
        </w:rPr>
        <w:t>History of measles</w:t>
      </w:r>
      <w:r w:rsidRPr="00A728CD">
        <w:rPr>
          <w:rStyle w:val="eop"/>
          <w:rFonts w:ascii="Calibri" w:eastAsiaTheme="majorEastAsia" w:hAnsi="Calibri" w:cs="Calibri"/>
          <w:sz w:val="32"/>
          <w:szCs w:val="32"/>
        </w:rPr>
        <w:t> </w:t>
      </w:r>
      <w:r w:rsidR="005D159E" w:rsidRPr="00A728CD">
        <w:rPr>
          <w:rStyle w:val="eop"/>
          <w:rFonts w:ascii="Calibri" w:eastAsiaTheme="majorEastAsia" w:hAnsi="Calibri" w:cs="Calibri"/>
          <w:sz w:val="32"/>
          <w:szCs w:val="32"/>
        </w:rPr>
        <w:t>and symptomology.</w:t>
      </w:r>
    </w:p>
    <w:p w14:paraId="473150C4" w14:textId="544A7159" w:rsidR="00AA7881" w:rsidRDefault="00AA7881" w:rsidP="00AA7881">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rPr>
        <w:t xml:space="preserve">The history of measles is extremely long, and progress in understanding, preventing, and controlling the disease has been marked by many important discoveries over time. (Centres for Disease Control and Prevention, 2020). </w:t>
      </w:r>
      <w:r>
        <w:rPr>
          <w:rStyle w:val="normaltextrun"/>
          <w:rFonts w:ascii="Calibri" w:eastAsiaTheme="majorEastAsia" w:hAnsi="Calibri" w:cs="Calibri"/>
          <w:color w:val="000000"/>
        </w:rPr>
        <w:t>The first dose of measles vaccine was introduced in 1968, and a few years later in 1988 the MMR vaccine was launched, which is a combination that protects against other diseases such as rubella and mumps, providing 92% protection. It was first administered in schools in 1994</w:t>
      </w:r>
      <w:r w:rsidR="005D159E">
        <w:rPr>
          <w:rStyle w:val="normaltextrun"/>
          <w:rFonts w:ascii="Calibri" w:eastAsiaTheme="majorEastAsia" w:hAnsi="Calibri" w:cs="Calibri"/>
          <w:color w:val="000000"/>
        </w:rPr>
        <w:t xml:space="preserve"> as part of a national vaccination campaign, and in 1996 , the second dose was also administered, offering 99% protection against that communicable disease (Morse et al.</w:t>
      </w:r>
      <w:r>
        <w:rPr>
          <w:rStyle w:val="normaltextrun"/>
          <w:rFonts w:ascii="Calibri" w:eastAsiaTheme="majorEastAsia" w:hAnsi="Calibri" w:cs="Calibri"/>
          <w:color w:val="000000"/>
        </w:rPr>
        <w:t xml:space="preserve">, 1994). </w:t>
      </w:r>
      <w:r>
        <w:rPr>
          <w:rStyle w:val="eop"/>
          <w:rFonts w:ascii="Calibri" w:eastAsiaTheme="majorEastAsia" w:hAnsi="Calibri" w:cs="Calibri"/>
          <w:color w:val="000000"/>
        </w:rPr>
        <w:t> </w:t>
      </w:r>
    </w:p>
    <w:p w14:paraId="448777EE" w14:textId="62E34456" w:rsidR="00AA7881" w:rsidRDefault="00AA7881" w:rsidP="00AA7881">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rPr>
        <w:t xml:space="preserve">The World Health Organization (2023, b) defines measles as a highly </w:t>
      </w:r>
      <w:r w:rsidR="006011D3">
        <w:rPr>
          <w:rStyle w:val="normaltextrun"/>
          <w:rFonts w:ascii="Calibri" w:eastAsiaTheme="majorEastAsia" w:hAnsi="Calibri" w:cs="Calibri"/>
        </w:rPr>
        <w:t>transmittable</w:t>
      </w:r>
      <w:r>
        <w:rPr>
          <w:rStyle w:val="normaltextrun"/>
          <w:rFonts w:ascii="Calibri" w:eastAsiaTheme="majorEastAsia" w:hAnsi="Calibri" w:cs="Calibri"/>
        </w:rPr>
        <w:t xml:space="preserve"> disease caused by a virus known as Morbillivirus. The spread of this condition occurs easily when an infected person coughs or sneezes, releasing small particles of saliva and respiratory secretions that contain the virus. This condition is considered childhood-specific, as it mainly affects children between the ages of 2 and 11, however, National Health Service England (NHS England), (2024) mentions that measles can also occur at any other age, including teenagers and adults. </w:t>
      </w:r>
      <w:r>
        <w:rPr>
          <w:rStyle w:val="eop"/>
          <w:rFonts w:ascii="Calibri" w:eastAsiaTheme="majorEastAsia" w:hAnsi="Calibri" w:cs="Calibri"/>
        </w:rPr>
        <w:t> </w:t>
      </w:r>
    </w:p>
    <w:p w14:paraId="1C10ABD2" w14:textId="23658686" w:rsidR="00AA7881" w:rsidRDefault="00AA7881" w:rsidP="00AA7881">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color w:val="000000"/>
        </w:rPr>
        <w:t>Kongthavosakul et al. (2012)</w:t>
      </w:r>
      <w:r w:rsidR="005D159E">
        <w:rPr>
          <w:rStyle w:val="normaltextrun"/>
          <w:rFonts w:ascii="Calibri" w:eastAsiaTheme="majorEastAsia" w:hAnsi="Calibri" w:cs="Calibri"/>
          <w:color w:val="000000"/>
        </w:rPr>
        <w:t xml:space="preserve"> describe that once the virus infiltrates the body, it rapidly disseminates via the circulatory system, leading to various symptoms,</w:t>
      </w:r>
      <w:r>
        <w:rPr>
          <w:rStyle w:val="normaltextrun"/>
          <w:rFonts w:ascii="Calibri" w:eastAsiaTheme="majorEastAsia" w:hAnsi="Calibri" w:cs="Calibri"/>
          <w:color w:val="000000"/>
        </w:rPr>
        <w:t xml:space="preserve"> including fever, cough, runny nose, red and light-sensitive eyes, distinctive rash, and profound exhaustion. These symptoms typically persist for approximately 7-10 days and may be accompanied by severe complications such as pneumonia, encephalitis, middle ear infections, or even death. Ragusa et al. (2020) emphasize that the occurrence of measles while pregnant can result in severe outcomes such as fetal demise, spontaneous abortion, and decreased infant birth weight. Hiebert</w:t>
      </w:r>
      <w:r w:rsidR="005D159E">
        <w:rPr>
          <w:rStyle w:val="normaltextrun"/>
          <w:rFonts w:ascii="Calibri" w:eastAsiaTheme="majorEastAsia" w:hAnsi="Calibri" w:cs="Calibri"/>
          <w:color w:val="000000"/>
        </w:rPr>
        <w:t xml:space="preserve"> et al. (2021) mention</w:t>
      </w:r>
      <w:r>
        <w:rPr>
          <w:rStyle w:val="normaltextrun"/>
          <w:rFonts w:ascii="Calibri" w:eastAsiaTheme="majorEastAsia" w:hAnsi="Calibri" w:cs="Calibri"/>
          <w:color w:val="000000"/>
        </w:rPr>
        <w:t xml:space="preserve"> that detection of measles infection in a person can be accomplished through oral fluid testing using an ELISA kit, which is administered by authorized healthcare providers. Upon confirmation of a measles diagnosis, the initial critical step involves isolating the infected individual to prevent the spread of the disease to others. It is recommended to maintain isolation for at least 4 days as the patient remains contagious during this period, posing a risk of transmitting the infection to others. In addition to isolation, close monitoring of the patient's health status is essential (National Institute for Health and Care Excellence, 2024)</w:t>
      </w:r>
      <w:r>
        <w:rPr>
          <w:rStyle w:val="normaltextrun"/>
          <w:rFonts w:ascii="Calibri" w:eastAsiaTheme="majorEastAsia" w:hAnsi="Calibri" w:cs="Calibri"/>
          <w:color w:val="000000"/>
          <w:sz w:val="27"/>
          <w:szCs w:val="27"/>
        </w:rPr>
        <w:t>.</w:t>
      </w:r>
      <w:r>
        <w:rPr>
          <w:rStyle w:val="eop"/>
          <w:rFonts w:ascii="Calibri" w:eastAsiaTheme="majorEastAsia" w:hAnsi="Calibri" w:cs="Calibri"/>
          <w:color w:val="000000"/>
          <w:sz w:val="27"/>
          <w:szCs w:val="27"/>
        </w:rPr>
        <w:t> </w:t>
      </w:r>
    </w:p>
    <w:p w14:paraId="469C6045" w14:textId="5B09756E" w:rsidR="00AA7881" w:rsidRDefault="00AA7881" w:rsidP="00AA7881">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color w:val="000000"/>
        </w:rPr>
        <w:t xml:space="preserve"> According to Demicheli et al. (2012), the effectiveness of </w:t>
      </w:r>
      <w:r w:rsidR="006011D3">
        <w:rPr>
          <w:rStyle w:val="normaltextrun"/>
          <w:rFonts w:ascii="Calibri" w:eastAsiaTheme="majorEastAsia" w:hAnsi="Calibri" w:cs="Calibri"/>
          <w:color w:val="000000"/>
        </w:rPr>
        <w:t>immunization</w:t>
      </w:r>
      <w:r>
        <w:rPr>
          <w:rStyle w:val="normaltextrun"/>
          <w:rFonts w:ascii="Calibri" w:eastAsiaTheme="majorEastAsia" w:hAnsi="Calibri" w:cs="Calibri"/>
          <w:color w:val="000000"/>
        </w:rPr>
        <w:t xml:space="preserve"> in preventing the extensive harm caused by measles has been clearly established. The MMR vaccine, comprising weakened forms of the measles, mumps, and rubella viruses, is administered to children in two distinct stages. The initial dose is recommended at the age of one, while the second dose is advised at the age of three.</w:t>
      </w:r>
      <w:r>
        <w:rPr>
          <w:rStyle w:val="eop"/>
          <w:rFonts w:ascii="Calibri" w:eastAsiaTheme="majorEastAsia" w:hAnsi="Calibri" w:cs="Calibri"/>
          <w:color w:val="000000"/>
        </w:rPr>
        <w:t> </w:t>
      </w:r>
    </w:p>
    <w:p w14:paraId="78260DC1" w14:textId="13C8BF69" w:rsidR="00AA7881" w:rsidRDefault="00AA7881" w:rsidP="00AA7881">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color w:val="000000"/>
        </w:rPr>
        <w:t> By getting this vaccine, individuals gain significant protection against measles, reducing the chances of the virus spreading in the community. Through vaccination, the immune system produces specific antibodies against these viruses, leading to long-lasting and active immunity. It is highly recommended for children, teenagers, and adults who have not been vaccinated before or have not had the disease to get vaccinated (Centers for Disease Control and Prevention</w:t>
      </w:r>
      <w:r w:rsidR="006011D3">
        <w:rPr>
          <w:rStyle w:val="normaltextrun"/>
          <w:rFonts w:ascii="Calibri" w:eastAsiaTheme="majorEastAsia" w:hAnsi="Calibri" w:cs="Calibri"/>
          <w:color w:val="000000"/>
        </w:rPr>
        <w:t>;</w:t>
      </w:r>
      <w:r>
        <w:rPr>
          <w:rStyle w:val="normaltextrun"/>
          <w:rFonts w:ascii="Calibri" w:eastAsiaTheme="majorEastAsia" w:hAnsi="Calibri" w:cs="Calibri"/>
          <w:color w:val="000000"/>
        </w:rPr>
        <w:t xml:space="preserve"> CDC, 2024).</w:t>
      </w:r>
      <w:r>
        <w:rPr>
          <w:rStyle w:val="eop"/>
          <w:rFonts w:ascii="Calibri" w:eastAsiaTheme="majorEastAsia" w:hAnsi="Calibri" w:cs="Calibri"/>
          <w:color w:val="000000"/>
        </w:rPr>
        <w:t> </w:t>
      </w:r>
    </w:p>
    <w:p w14:paraId="067961F7" w14:textId="2FFC7483" w:rsidR="001409E5" w:rsidRDefault="004E718B" w:rsidP="001409E5">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rPr>
        <w:lastRenderedPageBreak/>
        <w:t xml:space="preserve">3. </w:t>
      </w:r>
      <w:r w:rsidR="001409E5" w:rsidRPr="006A6720">
        <w:rPr>
          <w:rStyle w:val="normaltextrun"/>
          <w:rFonts w:ascii="Calibri" w:eastAsiaTheme="majorEastAsia" w:hAnsi="Calibri" w:cs="Calibri"/>
          <w:sz w:val="32"/>
          <w:szCs w:val="32"/>
        </w:rPr>
        <w:t>Prevalence</w:t>
      </w:r>
      <w:r w:rsidR="001409E5">
        <w:rPr>
          <w:rStyle w:val="eop"/>
          <w:rFonts w:ascii="Calibri" w:eastAsiaTheme="majorEastAsia" w:hAnsi="Calibri" w:cs="Calibri"/>
        </w:rPr>
        <w:t> </w:t>
      </w:r>
    </w:p>
    <w:p w14:paraId="79AFEB10" w14:textId="77777777" w:rsidR="001409E5" w:rsidRDefault="001409E5" w:rsidP="001409E5">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color w:val="000000"/>
        </w:rPr>
        <w:t xml:space="preserve">The NICE (2024) report revealed a significant decrease in the number of measles cases in England and Wales, with a mere 79 confirmed cases in 2020 and only 2 cases in 2021. This decline in measles cases was attributed to the decline in vaccination rates during the COVID-19 pandemic and the implementation of social distancing measures. </w:t>
      </w:r>
      <w:r>
        <w:rPr>
          <w:rStyle w:val="eop"/>
          <w:rFonts w:ascii="Calibri" w:eastAsiaTheme="majorEastAsia" w:hAnsi="Calibri" w:cs="Calibri"/>
          <w:color w:val="000000"/>
        </w:rPr>
        <w:t> </w:t>
      </w:r>
    </w:p>
    <w:p w14:paraId="1B2B5D40" w14:textId="62067F35" w:rsidR="001409E5" w:rsidRDefault="001409E5" w:rsidP="001409E5">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color w:val="000000"/>
        </w:rPr>
        <w:t>The latest data on MMR vaccination rates in England for the period of 2021 to 2022 reveals that the percentage of children receiving the first dose at 2 years old was below 90%, whereas the percentage of children receiving both doses by the age of 5 is 86% (UK Health Security Agency, 2023).</w:t>
      </w:r>
      <w:r>
        <w:rPr>
          <w:rStyle w:val="eop"/>
          <w:rFonts w:ascii="Calibri" w:eastAsiaTheme="majorEastAsia" w:hAnsi="Calibri" w:cs="Calibri"/>
          <w:color w:val="000000"/>
        </w:rPr>
        <w:t> </w:t>
      </w:r>
      <w:r>
        <w:rPr>
          <w:rStyle w:val="normaltextrun"/>
          <w:rFonts w:ascii="Calibri" w:eastAsiaTheme="majorEastAsia" w:hAnsi="Calibri" w:cs="Calibri"/>
          <w:color w:val="000000"/>
        </w:rPr>
        <w:t>However, subsequent data released by The United Kingdom Government (2024) indicated a noteworthy surge in measles cases in England as of October 1, 2023. Among the affected regions, the West Midlands region experienced the highest impact, accounting for 71% of the total 240 cases, followed by London at 13% and the Yorkshire and The Humber region at 7% of the overall cases. Many cases primarily impacted children below the age of 10, constituting 66% of the total. This was followed by youth and adults aged 15 and above, accounting for 25% of the cases. England and Wales have collectively documented a total of 8 deaths since 2000, as per mortality records. Notably, out of these fatalities, 3 were individuals from foreign nations. It is crucial to emphasize that all these deaths occurred in individuals who had not received vaccinations (Gov.</w:t>
      </w:r>
      <w:r w:rsidR="004E718B">
        <w:rPr>
          <w:rStyle w:val="normaltextrun"/>
          <w:rFonts w:ascii="Calibri" w:eastAsiaTheme="majorEastAsia" w:hAnsi="Calibri" w:cs="Calibri"/>
          <w:color w:val="000000"/>
        </w:rPr>
        <w:t xml:space="preserve"> </w:t>
      </w:r>
      <w:r>
        <w:rPr>
          <w:rStyle w:val="normaltextrun"/>
          <w:rFonts w:ascii="Calibri" w:eastAsiaTheme="majorEastAsia" w:hAnsi="Calibri" w:cs="Calibri"/>
          <w:color w:val="000000"/>
        </w:rPr>
        <w:t>uk, 2021).</w:t>
      </w:r>
      <w:r>
        <w:rPr>
          <w:rStyle w:val="eop"/>
          <w:rFonts w:ascii="Calibri" w:eastAsiaTheme="majorEastAsia" w:hAnsi="Calibri" w:cs="Calibri"/>
          <w:color w:val="000000"/>
        </w:rPr>
        <w:t> </w:t>
      </w:r>
    </w:p>
    <w:p w14:paraId="20BE59CA" w14:textId="173832ED" w:rsidR="001409E5" w:rsidRDefault="001409E5" w:rsidP="001409E5">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rPr>
        <w:t> </w:t>
      </w:r>
      <w:r>
        <w:rPr>
          <w:rStyle w:val="normaltextrun"/>
          <w:rFonts w:ascii="Calibri" w:eastAsiaTheme="majorEastAsia" w:hAnsi="Calibri" w:cs="Calibri"/>
        </w:rPr>
        <w:t xml:space="preserve">As mentioned by the World Health Organization (2023), 128,000 deaths were recorded globally in 2021, especially among children, which is an alarming figure, even though the vaccine is available. As well as in 2022, statistics showed that about 83% of children worldwide received a dose of the measles vaccine by their first birthday through routine health services, the smallest percentage from 2008. </w:t>
      </w:r>
      <w:r>
        <w:rPr>
          <w:rStyle w:val="normaltextrun"/>
          <w:rFonts w:ascii="Calibri" w:eastAsiaTheme="majorEastAsia" w:hAnsi="Calibri" w:cs="Calibri"/>
          <w:color w:val="000000"/>
        </w:rPr>
        <w:t>Over the last two decades, a staggering 56 million deaths have occurred due to the failure to administer measles vaccinations. </w:t>
      </w:r>
      <w:r>
        <w:rPr>
          <w:rStyle w:val="eop"/>
          <w:rFonts w:ascii="Calibri" w:eastAsiaTheme="majorEastAsia" w:hAnsi="Calibri" w:cs="Calibri"/>
          <w:color w:val="000000"/>
        </w:rPr>
        <w:t> </w:t>
      </w:r>
    </w:p>
    <w:p w14:paraId="504E8906" w14:textId="77777777" w:rsidR="0025045A" w:rsidRDefault="001409E5" w:rsidP="001409E5">
      <w:pPr>
        <w:pStyle w:val="paragraph"/>
        <w:spacing w:before="0" w:beforeAutospacing="0" w:after="0" w:afterAutospacing="0"/>
        <w:textAlignment w:val="baseline"/>
        <w:rPr>
          <w:rStyle w:val="normaltextrun"/>
          <w:rFonts w:ascii="Calibri" w:eastAsiaTheme="majorEastAsia" w:hAnsi="Calibri" w:cs="Calibri"/>
          <w:color w:val="000000"/>
        </w:rPr>
      </w:pPr>
      <w:r>
        <w:rPr>
          <w:rStyle w:val="normaltextrun"/>
          <w:rFonts w:ascii="Calibri" w:eastAsiaTheme="majorEastAsia" w:hAnsi="Calibri" w:cs="Calibri"/>
          <w:color w:val="000000"/>
        </w:rPr>
        <w:t>The European Centre for Disease Prevention and Control (2018) has reported that countries such as Romania, Greece, and Italy have observed low vaccination rates. In a recent study conducted by Mulchandi et al. (2021), it was revealed that various factors play a crucial role in the spread of measles. These factors include ethnicity, poverty level, access to information, religious beliefs, and geographic location. Unfortunately, this has had a detrimental impact on public health, as communities with low vaccination rates tend to experience a higher incidence of measles and are more susceptible to contracting the disease. </w:t>
      </w:r>
    </w:p>
    <w:p w14:paraId="3807B1C0" w14:textId="77777777" w:rsidR="0025045A" w:rsidRDefault="0025045A" w:rsidP="001409E5">
      <w:pPr>
        <w:pStyle w:val="paragraph"/>
        <w:spacing w:before="0" w:beforeAutospacing="0" w:after="0" w:afterAutospacing="0"/>
        <w:textAlignment w:val="baseline"/>
        <w:rPr>
          <w:rStyle w:val="normaltextrun"/>
          <w:rFonts w:ascii="Calibri" w:eastAsiaTheme="majorEastAsia" w:hAnsi="Calibri" w:cs="Calibri"/>
          <w:color w:val="000000"/>
        </w:rPr>
      </w:pPr>
    </w:p>
    <w:p w14:paraId="5FA4C4C5" w14:textId="77777777" w:rsidR="0025045A" w:rsidRDefault="0025045A" w:rsidP="001409E5">
      <w:pPr>
        <w:pStyle w:val="paragraph"/>
        <w:spacing w:before="0" w:beforeAutospacing="0" w:after="0" w:afterAutospacing="0"/>
        <w:textAlignment w:val="baseline"/>
        <w:rPr>
          <w:rStyle w:val="normaltextrun"/>
          <w:rFonts w:ascii="Calibri" w:eastAsiaTheme="majorEastAsia" w:hAnsi="Calibri" w:cs="Calibri"/>
          <w:color w:val="000000"/>
        </w:rPr>
      </w:pPr>
    </w:p>
    <w:p w14:paraId="3F58EFAD" w14:textId="77777777" w:rsidR="0025045A" w:rsidRDefault="0025045A" w:rsidP="001409E5">
      <w:pPr>
        <w:pStyle w:val="paragraph"/>
        <w:spacing w:before="0" w:beforeAutospacing="0" w:after="0" w:afterAutospacing="0"/>
        <w:textAlignment w:val="baseline"/>
        <w:rPr>
          <w:rStyle w:val="normaltextrun"/>
          <w:rFonts w:ascii="Calibri" w:eastAsiaTheme="majorEastAsia" w:hAnsi="Calibri" w:cs="Calibri"/>
          <w:color w:val="000000"/>
        </w:rPr>
      </w:pPr>
    </w:p>
    <w:p w14:paraId="6C94ECE3" w14:textId="77777777" w:rsidR="0025045A" w:rsidRDefault="0025045A" w:rsidP="001409E5">
      <w:pPr>
        <w:pStyle w:val="paragraph"/>
        <w:spacing w:before="0" w:beforeAutospacing="0" w:after="0" w:afterAutospacing="0"/>
        <w:textAlignment w:val="baseline"/>
        <w:rPr>
          <w:rStyle w:val="normaltextrun"/>
          <w:rFonts w:ascii="Calibri" w:eastAsiaTheme="majorEastAsia" w:hAnsi="Calibri" w:cs="Calibri"/>
          <w:color w:val="000000"/>
        </w:rPr>
      </w:pPr>
    </w:p>
    <w:p w14:paraId="3BC00018" w14:textId="77777777" w:rsidR="0025045A" w:rsidRDefault="0025045A" w:rsidP="001409E5">
      <w:pPr>
        <w:pStyle w:val="paragraph"/>
        <w:spacing w:before="0" w:beforeAutospacing="0" w:after="0" w:afterAutospacing="0"/>
        <w:textAlignment w:val="baseline"/>
        <w:rPr>
          <w:rStyle w:val="normaltextrun"/>
          <w:rFonts w:ascii="Calibri" w:eastAsiaTheme="majorEastAsia" w:hAnsi="Calibri" w:cs="Calibri"/>
          <w:color w:val="000000"/>
        </w:rPr>
      </w:pPr>
    </w:p>
    <w:p w14:paraId="0AB38A88" w14:textId="77777777" w:rsidR="0025045A" w:rsidRDefault="0025045A" w:rsidP="001409E5">
      <w:pPr>
        <w:pStyle w:val="paragraph"/>
        <w:spacing w:before="0" w:beforeAutospacing="0" w:after="0" w:afterAutospacing="0"/>
        <w:textAlignment w:val="baseline"/>
        <w:rPr>
          <w:rStyle w:val="normaltextrun"/>
          <w:rFonts w:ascii="Calibri" w:eastAsiaTheme="majorEastAsia" w:hAnsi="Calibri" w:cs="Calibri"/>
          <w:color w:val="000000"/>
        </w:rPr>
      </w:pPr>
    </w:p>
    <w:p w14:paraId="4785FEF9" w14:textId="77777777" w:rsidR="0025045A" w:rsidRDefault="0025045A" w:rsidP="001409E5">
      <w:pPr>
        <w:pStyle w:val="paragraph"/>
        <w:spacing w:before="0" w:beforeAutospacing="0" w:after="0" w:afterAutospacing="0"/>
        <w:textAlignment w:val="baseline"/>
        <w:rPr>
          <w:rStyle w:val="normaltextrun"/>
          <w:rFonts w:ascii="Calibri" w:eastAsiaTheme="majorEastAsia" w:hAnsi="Calibri" w:cs="Calibri"/>
          <w:color w:val="000000"/>
        </w:rPr>
      </w:pPr>
    </w:p>
    <w:p w14:paraId="06DD330D" w14:textId="77777777" w:rsidR="0025045A" w:rsidRDefault="0025045A" w:rsidP="001409E5">
      <w:pPr>
        <w:pStyle w:val="paragraph"/>
        <w:spacing w:before="0" w:beforeAutospacing="0" w:after="0" w:afterAutospacing="0"/>
        <w:textAlignment w:val="baseline"/>
        <w:rPr>
          <w:rStyle w:val="normaltextrun"/>
          <w:rFonts w:ascii="Calibri" w:eastAsiaTheme="majorEastAsia" w:hAnsi="Calibri" w:cs="Calibri"/>
          <w:color w:val="000000"/>
        </w:rPr>
      </w:pPr>
    </w:p>
    <w:p w14:paraId="5A78D98B" w14:textId="77777777" w:rsidR="0025045A" w:rsidRDefault="0025045A" w:rsidP="001409E5">
      <w:pPr>
        <w:pStyle w:val="paragraph"/>
        <w:spacing w:before="0" w:beforeAutospacing="0" w:after="0" w:afterAutospacing="0"/>
        <w:textAlignment w:val="baseline"/>
        <w:rPr>
          <w:rStyle w:val="normaltextrun"/>
          <w:rFonts w:ascii="Calibri" w:eastAsiaTheme="majorEastAsia" w:hAnsi="Calibri" w:cs="Calibri"/>
          <w:color w:val="000000"/>
        </w:rPr>
      </w:pPr>
    </w:p>
    <w:p w14:paraId="219FA51E" w14:textId="77777777" w:rsidR="0025045A" w:rsidRDefault="0025045A" w:rsidP="001409E5">
      <w:pPr>
        <w:pStyle w:val="paragraph"/>
        <w:spacing w:before="0" w:beforeAutospacing="0" w:after="0" w:afterAutospacing="0"/>
        <w:textAlignment w:val="baseline"/>
        <w:rPr>
          <w:rStyle w:val="normaltextrun"/>
          <w:rFonts w:ascii="Calibri" w:eastAsiaTheme="majorEastAsia" w:hAnsi="Calibri" w:cs="Calibri"/>
          <w:color w:val="000000"/>
        </w:rPr>
      </w:pPr>
    </w:p>
    <w:p w14:paraId="6050F91C" w14:textId="77777777" w:rsidR="0025045A" w:rsidRDefault="0025045A" w:rsidP="001409E5">
      <w:pPr>
        <w:pStyle w:val="paragraph"/>
        <w:spacing w:before="0" w:beforeAutospacing="0" w:after="0" w:afterAutospacing="0"/>
        <w:textAlignment w:val="baseline"/>
        <w:rPr>
          <w:rStyle w:val="normaltextrun"/>
          <w:rFonts w:ascii="Calibri" w:eastAsiaTheme="majorEastAsia" w:hAnsi="Calibri" w:cs="Calibri"/>
          <w:color w:val="000000"/>
        </w:rPr>
      </w:pPr>
    </w:p>
    <w:p w14:paraId="26F91B8E" w14:textId="77777777" w:rsidR="0025045A" w:rsidRDefault="0025045A" w:rsidP="001409E5">
      <w:pPr>
        <w:pStyle w:val="paragraph"/>
        <w:spacing w:before="0" w:beforeAutospacing="0" w:after="0" w:afterAutospacing="0"/>
        <w:textAlignment w:val="baseline"/>
        <w:rPr>
          <w:rStyle w:val="normaltextrun"/>
          <w:rFonts w:ascii="Calibri" w:eastAsiaTheme="majorEastAsia" w:hAnsi="Calibri" w:cs="Calibri"/>
          <w:color w:val="000000"/>
        </w:rPr>
      </w:pPr>
    </w:p>
    <w:p w14:paraId="2DF72265" w14:textId="77777777" w:rsidR="0025045A" w:rsidRDefault="0025045A" w:rsidP="001409E5">
      <w:pPr>
        <w:pStyle w:val="paragraph"/>
        <w:spacing w:before="0" w:beforeAutospacing="0" w:after="0" w:afterAutospacing="0"/>
        <w:textAlignment w:val="baseline"/>
        <w:rPr>
          <w:rStyle w:val="normaltextrun"/>
          <w:rFonts w:ascii="Calibri" w:eastAsiaTheme="majorEastAsia" w:hAnsi="Calibri" w:cs="Calibri"/>
          <w:color w:val="000000"/>
        </w:rPr>
      </w:pPr>
    </w:p>
    <w:p w14:paraId="0065244C" w14:textId="77777777" w:rsidR="0025045A" w:rsidRDefault="0025045A" w:rsidP="001409E5">
      <w:pPr>
        <w:pStyle w:val="paragraph"/>
        <w:spacing w:before="0" w:beforeAutospacing="0" w:after="0" w:afterAutospacing="0"/>
        <w:textAlignment w:val="baseline"/>
        <w:rPr>
          <w:rStyle w:val="normaltextrun"/>
          <w:rFonts w:ascii="Calibri" w:eastAsiaTheme="majorEastAsia" w:hAnsi="Calibri" w:cs="Calibri"/>
          <w:color w:val="000000"/>
        </w:rPr>
      </w:pPr>
    </w:p>
    <w:p w14:paraId="5A85DBB4" w14:textId="77777777" w:rsidR="0025045A" w:rsidRDefault="0025045A" w:rsidP="001409E5">
      <w:pPr>
        <w:pStyle w:val="paragraph"/>
        <w:spacing w:before="0" w:beforeAutospacing="0" w:after="0" w:afterAutospacing="0"/>
        <w:textAlignment w:val="baseline"/>
        <w:rPr>
          <w:rStyle w:val="normaltextrun"/>
          <w:rFonts w:ascii="Calibri" w:eastAsiaTheme="majorEastAsia" w:hAnsi="Calibri" w:cs="Calibri"/>
          <w:color w:val="000000"/>
        </w:rPr>
      </w:pPr>
    </w:p>
    <w:p w14:paraId="2D7BF989" w14:textId="77777777" w:rsidR="0025045A" w:rsidRDefault="0025045A" w:rsidP="001409E5">
      <w:pPr>
        <w:pStyle w:val="paragraph"/>
        <w:spacing w:before="0" w:beforeAutospacing="0" w:after="0" w:afterAutospacing="0"/>
        <w:textAlignment w:val="baseline"/>
        <w:rPr>
          <w:rStyle w:val="normaltextrun"/>
          <w:rFonts w:ascii="Calibri" w:eastAsiaTheme="majorEastAsia" w:hAnsi="Calibri" w:cs="Calibri"/>
          <w:color w:val="000000"/>
        </w:rPr>
      </w:pPr>
    </w:p>
    <w:p w14:paraId="6F0F6DC1" w14:textId="77777777" w:rsidR="0025045A" w:rsidRDefault="0025045A" w:rsidP="001409E5">
      <w:pPr>
        <w:pStyle w:val="paragraph"/>
        <w:spacing w:before="0" w:beforeAutospacing="0" w:after="0" w:afterAutospacing="0"/>
        <w:textAlignment w:val="baseline"/>
        <w:rPr>
          <w:rStyle w:val="normaltextrun"/>
          <w:rFonts w:ascii="Calibri" w:eastAsiaTheme="majorEastAsia" w:hAnsi="Calibri" w:cs="Calibri"/>
          <w:color w:val="000000"/>
        </w:rPr>
      </w:pPr>
    </w:p>
    <w:p w14:paraId="4A326C14" w14:textId="77777777" w:rsidR="002639F0" w:rsidRDefault="001409E5" w:rsidP="001409E5">
      <w:pPr>
        <w:pStyle w:val="paragraph"/>
        <w:spacing w:before="0" w:beforeAutospacing="0" w:after="0" w:afterAutospacing="0"/>
        <w:textAlignment w:val="baseline"/>
        <w:rPr>
          <w:rStyle w:val="normaltextrun"/>
          <w:rFonts w:ascii="Calibri" w:eastAsiaTheme="majorEastAsia" w:hAnsi="Calibri" w:cs="Calibri"/>
          <w:color w:val="000000"/>
        </w:rPr>
      </w:pPr>
      <w:r>
        <w:rPr>
          <w:rStyle w:val="normaltextrun"/>
          <w:rFonts w:ascii="Calibri" w:eastAsiaTheme="majorEastAsia" w:hAnsi="Calibri" w:cs="Calibri"/>
          <w:color w:val="000000"/>
        </w:rPr>
        <w:t xml:space="preserve"> </w:t>
      </w:r>
    </w:p>
    <w:p w14:paraId="5BD10228" w14:textId="77777777" w:rsidR="002639F0" w:rsidRDefault="002639F0" w:rsidP="001409E5">
      <w:pPr>
        <w:pStyle w:val="paragraph"/>
        <w:spacing w:before="0" w:beforeAutospacing="0" w:after="0" w:afterAutospacing="0"/>
        <w:textAlignment w:val="baseline"/>
        <w:rPr>
          <w:rStyle w:val="normaltextrun"/>
          <w:rFonts w:ascii="Calibri" w:eastAsiaTheme="majorEastAsia" w:hAnsi="Calibri" w:cs="Calibri"/>
          <w:color w:val="000000"/>
        </w:rPr>
      </w:pPr>
    </w:p>
    <w:p w14:paraId="23415989" w14:textId="77777777" w:rsidR="002639F0" w:rsidRDefault="002639F0" w:rsidP="001409E5">
      <w:pPr>
        <w:pStyle w:val="paragraph"/>
        <w:spacing w:before="0" w:beforeAutospacing="0" w:after="0" w:afterAutospacing="0"/>
        <w:textAlignment w:val="baseline"/>
        <w:rPr>
          <w:rStyle w:val="normaltextrun"/>
          <w:rFonts w:ascii="Calibri" w:eastAsiaTheme="majorEastAsia" w:hAnsi="Calibri" w:cs="Calibri"/>
          <w:color w:val="000000"/>
        </w:rPr>
      </w:pPr>
    </w:p>
    <w:p w14:paraId="3BFC6F62" w14:textId="77777777" w:rsidR="002639F0" w:rsidRDefault="002639F0" w:rsidP="001409E5">
      <w:pPr>
        <w:pStyle w:val="paragraph"/>
        <w:spacing w:before="0" w:beforeAutospacing="0" w:after="0" w:afterAutospacing="0"/>
        <w:textAlignment w:val="baseline"/>
        <w:rPr>
          <w:rStyle w:val="normaltextrun"/>
          <w:rFonts w:ascii="Calibri" w:eastAsiaTheme="majorEastAsia" w:hAnsi="Calibri" w:cs="Calibri"/>
          <w:color w:val="000000"/>
        </w:rPr>
      </w:pPr>
    </w:p>
    <w:p w14:paraId="51477BFB" w14:textId="77777777" w:rsidR="002639F0" w:rsidRDefault="002639F0" w:rsidP="001409E5">
      <w:pPr>
        <w:pStyle w:val="paragraph"/>
        <w:spacing w:before="0" w:beforeAutospacing="0" w:after="0" w:afterAutospacing="0"/>
        <w:textAlignment w:val="baseline"/>
        <w:rPr>
          <w:rStyle w:val="normaltextrun"/>
          <w:rFonts w:ascii="Calibri" w:eastAsiaTheme="majorEastAsia" w:hAnsi="Calibri" w:cs="Calibri"/>
          <w:color w:val="000000"/>
        </w:rPr>
      </w:pPr>
    </w:p>
    <w:p w14:paraId="70E35B1B" w14:textId="5E49D399" w:rsidR="001409E5" w:rsidRDefault="001409E5" w:rsidP="001409E5">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color w:val="000000"/>
        </w:rPr>
        <w:t>Nicoll</w:t>
      </w:r>
      <w:r w:rsidR="008819E9">
        <w:rPr>
          <w:rStyle w:val="normaltextrun"/>
          <w:rFonts w:ascii="Calibri" w:eastAsiaTheme="majorEastAsia" w:hAnsi="Calibri" w:cs="Calibri"/>
          <w:color w:val="000000"/>
        </w:rPr>
        <w:t xml:space="preserve"> et al (1998) highlight</w:t>
      </w:r>
      <w:r>
        <w:rPr>
          <w:rStyle w:val="normaltextrun"/>
          <w:rFonts w:ascii="Calibri" w:eastAsiaTheme="majorEastAsia" w:hAnsi="Calibri" w:cs="Calibri"/>
          <w:color w:val="000000"/>
        </w:rPr>
        <w:t xml:space="preserve"> that another</w:t>
      </w:r>
      <w:r>
        <w:rPr>
          <w:rStyle w:val="normaltextrun"/>
          <w:rFonts w:ascii="Calibri" w:eastAsiaTheme="majorEastAsia" w:hAnsi="Calibri" w:cs="Calibri"/>
        </w:rPr>
        <w:t xml:space="preserve"> factor that contributed to the decline in vaccination and had a significant impact was the publication in 1998 of a report on the side effects of the MMR vaccine, including autism and bowel problems. This report, written by British researcher Andrew Wakefield and published in the medical journal The Lancet, has raised concerns among parents about the safety of the MMR vaccine. Even though Wakefield's study was later disapproved and retracted, the negative impact on vaccination confidence persisted. The fears and misinformation spread by this report led to a significant drop in MMR vaccination rates, with serious public health consequences, including measles outbreaks and deaths. Although years have passed, DeStefano and Shimabukuro (2019) mention that no link between the MMR vaccine, autism, and bowel problems has been proven. </w:t>
      </w:r>
      <w:r>
        <w:rPr>
          <w:rStyle w:val="eop"/>
          <w:rFonts w:ascii="Calibri" w:eastAsiaTheme="majorEastAsia" w:hAnsi="Calibri" w:cs="Calibri"/>
        </w:rPr>
        <w:t> </w:t>
      </w:r>
      <w:r>
        <w:rPr>
          <w:rStyle w:val="normaltextrun"/>
          <w:rFonts w:ascii="Calibri" w:eastAsiaTheme="majorEastAsia" w:hAnsi="Calibri" w:cs="Calibri"/>
        </w:rPr>
        <w:t xml:space="preserve">A recent report </w:t>
      </w:r>
      <w:r w:rsidR="002639F0">
        <w:rPr>
          <w:rStyle w:val="normaltextrun"/>
          <w:rFonts w:ascii="Calibri" w:eastAsiaTheme="majorEastAsia" w:hAnsi="Calibri" w:cs="Calibri"/>
        </w:rPr>
        <w:t>by the Nuffield Trust (2024) explains that the COVID-19 pandemic is an additional cause for the decline in measles vaccination rates</w:t>
      </w:r>
      <w:r>
        <w:rPr>
          <w:rStyle w:val="normaltextrun"/>
          <w:rFonts w:ascii="Calibri" w:eastAsiaTheme="majorEastAsia" w:hAnsi="Calibri" w:cs="Calibri"/>
        </w:rPr>
        <w:t>. Lack of access to vaccination services had a significant impact. The researchers also say that a 95% rate is needed to reduce the possibility of infection and that active collaboration with local communities is important to understand, eliminate, and ensure that vaccination is easily accessible and does not face obstacles in the future.</w:t>
      </w:r>
      <w:r>
        <w:rPr>
          <w:rStyle w:val="eop"/>
          <w:rFonts w:ascii="Calibri" w:eastAsiaTheme="majorEastAsia" w:hAnsi="Calibri" w:cs="Calibri"/>
        </w:rPr>
        <w:t> </w:t>
      </w:r>
    </w:p>
    <w:p w14:paraId="48D09182" w14:textId="77777777" w:rsidR="002E1482" w:rsidRDefault="002E1482" w:rsidP="002E1482">
      <w:pPr>
        <w:ind w:left="360"/>
      </w:pPr>
    </w:p>
    <w:p w14:paraId="59CCD9E1" w14:textId="77777777" w:rsidR="002639F0" w:rsidRDefault="002639F0" w:rsidP="002E1482">
      <w:pPr>
        <w:ind w:left="360"/>
      </w:pPr>
    </w:p>
    <w:p w14:paraId="0C4B2EA9" w14:textId="77777777" w:rsidR="002639F0" w:rsidRDefault="002639F0" w:rsidP="002E1482">
      <w:pPr>
        <w:ind w:left="360"/>
      </w:pPr>
    </w:p>
    <w:p w14:paraId="194C6CC0" w14:textId="77777777" w:rsidR="002639F0" w:rsidRDefault="002639F0" w:rsidP="002E1482">
      <w:pPr>
        <w:ind w:left="360"/>
      </w:pPr>
    </w:p>
    <w:p w14:paraId="025CCFC2" w14:textId="77777777" w:rsidR="002639F0" w:rsidRDefault="002639F0" w:rsidP="002E1482">
      <w:pPr>
        <w:ind w:left="360"/>
      </w:pPr>
    </w:p>
    <w:p w14:paraId="7C2E073E" w14:textId="77777777" w:rsidR="002639F0" w:rsidRDefault="002639F0" w:rsidP="002E1482">
      <w:pPr>
        <w:ind w:left="360"/>
      </w:pPr>
    </w:p>
    <w:p w14:paraId="7771DC62" w14:textId="77777777" w:rsidR="002639F0" w:rsidRDefault="002639F0" w:rsidP="002E1482">
      <w:pPr>
        <w:ind w:left="360"/>
      </w:pPr>
    </w:p>
    <w:p w14:paraId="0B11AAA7" w14:textId="77777777" w:rsidR="002639F0" w:rsidRDefault="002639F0" w:rsidP="002E1482">
      <w:pPr>
        <w:ind w:left="360"/>
      </w:pPr>
    </w:p>
    <w:p w14:paraId="2589692C" w14:textId="77777777" w:rsidR="002639F0" w:rsidRDefault="002639F0" w:rsidP="002E1482">
      <w:pPr>
        <w:ind w:left="360"/>
      </w:pPr>
    </w:p>
    <w:p w14:paraId="1348F269" w14:textId="77777777" w:rsidR="002639F0" w:rsidRDefault="002639F0" w:rsidP="002E1482">
      <w:pPr>
        <w:ind w:left="360"/>
      </w:pPr>
    </w:p>
    <w:p w14:paraId="39A69D26" w14:textId="77777777" w:rsidR="002639F0" w:rsidRDefault="002639F0" w:rsidP="002E1482">
      <w:pPr>
        <w:ind w:left="360"/>
      </w:pPr>
    </w:p>
    <w:p w14:paraId="1BA87F52" w14:textId="79342EC9" w:rsidR="002639F0" w:rsidRDefault="006D3754" w:rsidP="006D3754">
      <w:pPr>
        <w:pStyle w:val="ListParagraph"/>
        <w:numPr>
          <w:ilvl w:val="0"/>
          <w:numId w:val="5"/>
        </w:numPr>
      </w:pPr>
      <w:r>
        <w:t>Campaigns</w:t>
      </w:r>
      <w:r w:rsidR="00DA163A">
        <w:t xml:space="preserve"> </w:t>
      </w:r>
      <w:r w:rsidR="0046467C">
        <w:t>to</w:t>
      </w:r>
      <w:r w:rsidR="00DA163A">
        <w:t xml:space="preserve"> Promot</w:t>
      </w:r>
      <w:r w:rsidR="0046467C">
        <w:t>e</w:t>
      </w:r>
      <w:r w:rsidR="00DA163A">
        <w:t xml:space="preserve"> </w:t>
      </w:r>
      <w:r w:rsidR="0046467C">
        <w:t>Vaccinations</w:t>
      </w:r>
    </w:p>
    <w:p w14:paraId="09628460" w14:textId="77777777" w:rsidR="002639F0" w:rsidRDefault="002639F0" w:rsidP="002E1482">
      <w:pPr>
        <w:ind w:left="360"/>
      </w:pPr>
    </w:p>
    <w:p w14:paraId="16FF7022" w14:textId="77777777" w:rsidR="009676F8" w:rsidRDefault="009676F8" w:rsidP="009676F8">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rPr>
        <w:t>To help stem its rise, the NHS launched the 'Catch up' campaign in 2013, aimed at informing parents about the risks to unvaccinated children and at the same time offering the MMR vaccine to reduce these risks. </w:t>
      </w:r>
      <w:r>
        <w:rPr>
          <w:rStyle w:val="eop"/>
          <w:rFonts w:ascii="Calibri" w:eastAsiaTheme="majorEastAsia" w:hAnsi="Calibri" w:cs="Calibri"/>
        </w:rPr>
        <w:t> </w:t>
      </w:r>
    </w:p>
    <w:p w14:paraId="607D89FD" w14:textId="77777777" w:rsidR="009676F8" w:rsidRDefault="009676F8" w:rsidP="009676F8">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color w:val="000000"/>
        </w:rPr>
        <w:t>Following a report conducted between 2014 and 2016, the United Kingdom successfully eradicated the risk of infection in 2017. Nevertheless, the UK Health Security Agency (2019) reveals that there was a notable surge in confirmed measles cases in England and Wales in 2018, coming to 991 cases. This represents a significant increase compared to the previous year, which had only 284 reported cases. Consequently, this resurgence poses a renewed threat of infection to the population.</w:t>
      </w:r>
      <w:r>
        <w:rPr>
          <w:rStyle w:val="eop"/>
          <w:rFonts w:ascii="Calibri" w:eastAsiaTheme="majorEastAsia" w:hAnsi="Calibri" w:cs="Calibri"/>
          <w:color w:val="000000"/>
        </w:rPr>
        <w:t> </w:t>
      </w:r>
    </w:p>
    <w:p w14:paraId="4B238D3F" w14:textId="77777777" w:rsidR="009676F8" w:rsidRDefault="009676F8" w:rsidP="009676F8">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rPr>
        <w:t>NHS England (2024) records show that around 3.4 million children under the age of 16 are not vaccinated or are not fully protected against serious and completely preventable diseases. NHS sent letters to parents and carers to encourage them to vaccinate their children, resulting in 165,000 doses of the MMR vaccine being given. The NHS points out that this campaign will primarily focus on areas with a low vaccination rate and plans to contact more than one million people aged 11-25 to invite them to get their missed MMR shots.</w:t>
      </w:r>
      <w:r>
        <w:rPr>
          <w:rStyle w:val="eop"/>
          <w:rFonts w:ascii="Calibri" w:eastAsiaTheme="majorEastAsia" w:hAnsi="Calibri" w:cs="Calibri"/>
        </w:rPr>
        <w:t> </w:t>
      </w:r>
    </w:p>
    <w:p w14:paraId="2DEE77AA" w14:textId="77777777" w:rsidR="009676F8" w:rsidRDefault="009676F8" w:rsidP="009676F8">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rPr>
        <w:t> </w:t>
      </w:r>
    </w:p>
    <w:p w14:paraId="30717D11" w14:textId="77777777" w:rsidR="009676F8" w:rsidRDefault="009676F8" w:rsidP="009676F8">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color w:val="000000"/>
        </w:rPr>
        <w:t xml:space="preserve">NHS (2024) mentions that UK Health Security Agency has launched a multimedia marketing campaign in England to increase awareness of children's vaccination, focusing especially on catching up on missed vaccines. The campaign's goal is to emphasize the importance of protecting children against serious diseases that are resurfacing in the country. </w:t>
      </w:r>
      <w:r>
        <w:rPr>
          <w:rStyle w:val="eop"/>
          <w:rFonts w:ascii="Calibri" w:eastAsiaTheme="majorEastAsia" w:hAnsi="Calibri" w:cs="Calibri"/>
          <w:color w:val="000000"/>
        </w:rPr>
        <w:t> </w:t>
      </w:r>
    </w:p>
    <w:p w14:paraId="0CD7B385" w14:textId="77777777" w:rsidR="009676F8" w:rsidRDefault="009676F8" w:rsidP="009676F8">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color w:val="000000"/>
        </w:rPr>
        <w:t>The campaign was launched on March 4</w:t>
      </w:r>
      <w:r>
        <w:rPr>
          <w:rStyle w:val="normaltextrun"/>
          <w:rFonts w:ascii="Calibri" w:eastAsiaTheme="majorEastAsia" w:hAnsi="Calibri" w:cs="Calibri"/>
          <w:color w:val="000000"/>
          <w:sz w:val="19"/>
          <w:szCs w:val="19"/>
          <w:vertAlign w:val="superscript"/>
        </w:rPr>
        <w:t>th</w:t>
      </w:r>
      <w:r>
        <w:rPr>
          <w:rStyle w:val="normaltextrun"/>
          <w:rFonts w:ascii="Calibri" w:eastAsiaTheme="majorEastAsia" w:hAnsi="Calibri" w:cs="Calibri"/>
          <w:color w:val="000000"/>
        </w:rPr>
        <w:t>, and it was developed in collaboration with various organizations, such as DHSC Marketing, Liverpool City Council, NHS England, NHS Northwest, and NHS Greater Manchester.</w:t>
      </w:r>
      <w:r>
        <w:rPr>
          <w:rStyle w:val="eop"/>
          <w:rFonts w:ascii="Calibri" w:eastAsiaTheme="majorEastAsia" w:hAnsi="Calibri" w:cs="Calibri"/>
          <w:color w:val="000000"/>
        </w:rPr>
        <w:t> </w:t>
      </w:r>
    </w:p>
    <w:p w14:paraId="4A0EAD96" w14:textId="4BCB6DF3" w:rsidR="009676F8" w:rsidRDefault="009676F8" w:rsidP="009676F8">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rPr>
        <w:t>Healthcare workers are on the front lines of providing help to those in need, and now that measles is once again a threat to the unvaccinated, healthcare workers must use current regulations to reduce exposure to infection (Healy, 2024). This means they must follow hygiene protocols and use the appropriate protective equipment, such as face masks, gloves, and coveralls.  Also, be aware of the latest information and recommendations on measles prevention and control. This information may include vaccination guidelines, isolation, and management protocols for suspected or confirmed measles cases. In addition, medical personnel must be prepared to provide counselling and education to patients and the community about the importance of measles vaccination and the signs and symptoms of measles. They should be able to answer questions and provide accurate and up-to-date information to help prevent the spread of disease (CDC, 2019).</w:t>
      </w:r>
      <w:r>
        <w:rPr>
          <w:rStyle w:val="eop"/>
          <w:rFonts w:ascii="Calibri" w:eastAsiaTheme="majorEastAsia" w:hAnsi="Calibri" w:cs="Calibri"/>
        </w:rPr>
        <w:t> </w:t>
      </w:r>
    </w:p>
    <w:p w14:paraId="0F64ABF9" w14:textId="77777777" w:rsidR="002639F0" w:rsidRDefault="002639F0" w:rsidP="002E1482">
      <w:pPr>
        <w:ind w:left="360"/>
      </w:pPr>
    </w:p>
    <w:p w14:paraId="50AB204B" w14:textId="77777777" w:rsidR="009676F8" w:rsidRDefault="009676F8" w:rsidP="002E1482">
      <w:pPr>
        <w:ind w:left="360"/>
      </w:pPr>
    </w:p>
    <w:p w14:paraId="1683B2A5" w14:textId="77777777" w:rsidR="009676F8" w:rsidRDefault="009676F8" w:rsidP="002E1482">
      <w:pPr>
        <w:ind w:left="360"/>
      </w:pPr>
    </w:p>
    <w:p w14:paraId="3E0A1AA5" w14:textId="77777777" w:rsidR="009676F8" w:rsidRDefault="009676F8" w:rsidP="002E1482">
      <w:pPr>
        <w:ind w:left="360"/>
      </w:pPr>
    </w:p>
    <w:p w14:paraId="008FC381" w14:textId="2BD0B42C" w:rsidR="00576BC8" w:rsidRPr="00D73D65" w:rsidRDefault="00576BC8" w:rsidP="006D3754">
      <w:pPr>
        <w:pStyle w:val="paragraph"/>
        <w:numPr>
          <w:ilvl w:val="0"/>
          <w:numId w:val="5"/>
        </w:numPr>
        <w:spacing w:before="0" w:beforeAutospacing="0" w:after="0" w:afterAutospacing="0"/>
        <w:textAlignment w:val="baseline"/>
        <w:rPr>
          <w:rFonts w:ascii="Segoe UI" w:hAnsi="Segoe UI" w:cs="Segoe UI"/>
          <w:sz w:val="32"/>
          <w:szCs w:val="32"/>
        </w:rPr>
      </w:pPr>
      <w:r w:rsidRPr="00D73D65">
        <w:rPr>
          <w:rStyle w:val="normaltextrun"/>
          <w:rFonts w:ascii="Calibri" w:eastAsiaTheme="majorEastAsia" w:hAnsi="Calibri" w:cs="Calibri"/>
          <w:color w:val="000000"/>
          <w:sz w:val="32"/>
          <w:szCs w:val="32"/>
        </w:rPr>
        <w:t>Recommendations</w:t>
      </w:r>
      <w:r w:rsidRPr="00D73D65">
        <w:rPr>
          <w:rStyle w:val="eop"/>
          <w:rFonts w:ascii="Calibri" w:eastAsiaTheme="majorEastAsia" w:hAnsi="Calibri" w:cs="Calibri"/>
          <w:color w:val="000000"/>
          <w:sz w:val="32"/>
          <w:szCs w:val="32"/>
        </w:rPr>
        <w:t> </w:t>
      </w:r>
    </w:p>
    <w:p w14:paraId="264BEA21" w14:textId="77777777" w:rsidR="00576BC8" w:rsidRDefault="00576BC8" w:rsidP="00576BC8">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color w:val="000000"/>
        </w:rPr>
        <w:t> </w:t>
      </w:r>
    </w:p>
    <w:p w14:paraId="4961CBA8" w14:textId="77777777" w:rsidR="00576BC8" w:rsidRDefault="00576BC8" w:rsidP="00576BC8">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color w:val="000000"/>
        </w:rPr>
        <w:t> </w:t>
      </w:r>
    </w:p>
    <w:p w14:paraId="507D70A0" w14:textId="77777777" w:rsidR="00576BC8" w:rsidRPr="00576BC8" w:rsidRDefault="00576BC8" w:rsidP="00576BC8">
      <w:pPr>
        <w:pStyle w:val="paragraph"/>
        <w:spacing w:before="0" w:beforeAutospacing="0" w:after="0" w:afterAutospacing="0"/>
        <w:ind w:left="1080"/>
        <w:textAlignment w:val="baseline"/>
        <w:rPr>
          <w:rStyle w:val="normaltextrun"/>
          <w:rFonts w:ascii="Calibri" w:hAnsi="Calibri" w:cs="Calibri"/>
        </w:rPr>
      </w:pPr>
    </w:p>
    <w:p w14:paraId="4CFA6D70" w14:textId="77777777" w:rsidR="00576BC8" w:rsidRPr="00576BC8" w:rsidRDefault="00576BC8" w:rsidP="00576BC8">
      <w:pPr>
        <w:pStyle w:val="paragraph"/>
        <w:spacing w:before="0" w:beforeAutospacing="0" w:after="0" w:afterAutospacing="0"/>
        <w:ind w:left="1080"/>
        <w:textAlignment w:val="baseline"/>
        <w:rPr>
          <w:rStyle w:val="normaltextrun"/>
          <w:rFonts w:ascii="Calibri" w:hAnsi="Calibri" w:cs="Calibri"/>
        </w:rPr>
      </w:pPr>
    </w:p>
    <w:p w14:paraId="002F058C" w14:textId="77777777" w:rsidR="00576BC8" w:rsidRPr="00576BC8" w:rsidRDefault="00576BC8" w:rsidP="00576BC8">
      <w:pPr>
        <w:pStyle w:val="paragraph"/>
        <w:spacing w:before="0" w:beforeAutospacing="0" w:after="0" w:afterAutospacing="0"/>
        <w:ind w:left="1080"/>
        <w:textAlignment w:val="baseline"/>
        <w:rPr>
          <w:rStyle w:val="normaltextrun"/>
          <w:rFonts w:ascii="Calibri" w:hAnsi="Calibri" w:cs="Calibri"/>
        </w:rPr>
      </w:pPr>
    </w:p>
    <w:p w14:paraId="0DA60DD5" w14:textId="77777777" w:rsidR="00576BC8" w:rsidRPr="00576BC8" w:rsidRDefault="00576BC8" w:rsidP="00576BC8">
      <w:pPr>
        <w:pStyle w:val="paragraph"/>
        <w:spacing w:before="0" w:beforeAutospacing="0" w:after="0" w:afterAutospacing="0"/>
        <w:ind w:left="1080"/>
        <w:textAlignment w:val="baseline"/>
        <w:rPr>
          <w:rStyle w:val="normaltextrun"/>
          <w:rFonts w:ascii="Calibri" w:hAnsi="Calibri" w:cs="Calibri"/>
        </w:rPr>
      </w:pPr>
    </w:p>
    <w:p w14:paraId="1BB93F45" w14:textId="77777777" w:rsidR="00576BC8" w:rsidRPr="00576BC8" w:rsidRDefault="00576BC8" w:rsidP="00576BC8">
      <w:pPr>
        <w:pStyle w:val="paragraph"/>
        <w:spacing w:before="0" w:beforeAutospacing="0" w:after="0" w:afterAutospacing="0"/>
        <w:ind w:left="1080"/>
        <w:textAlignment w:val="baseline"/>
        <w:rPr>
          <w:rStyle w:val="normaltextrun"/>
          <w:rFonts w:ascii="Calibri" w:hAnsi="Calibri" w:cs="Calibri"/>
        </w:rPr>
      </w:pPr>
    </w:p>
    <w:p w14:paraId="66118941" w14:textId="77777777" w:rsidR="00576BC8" w:rsidRPr="00576BC8" w:rsidRDefault="00576BC8" w:rsidP="00576BC8">
      <w:pPr>
        <w:pStyle w:val="paragraph"/>
        <w:spacing w:before="0" w:beforeAutospacing="0" w:after="0" w:afterAutospacing="0"/>
        <w:ind w:left="1080"/>
        <w:textAlignment w:val="baseline"/>
        <w:rPr>
          <w:rStyle w:val="normaltextrun"/>
          <w:rFonts w:ascii="Calibri" w:hAnsi="Calibri" w:cs="Calibri"/>
        </w:rPr>
      </w:pPr>
    </w:p>
    <w:p w14:paraId="47CEBEF0" w14:textId="2CBCE7B3" w:rsidR="00576BC8" w:rsidRDefault="00576BC8" w:rsidP="00576BC8">
      <w:pPr>
        <w:pStyle w:val="paragraph"/>
        <w:numPr>
          <w:ilvl w:val="0"/>
          <w:numId w:val="3"/>
        </w:numPr>
        <w:spacing w:before="0" w:beforeAutospacing="0" w:after="0" w:afterAutospacing="0"/>
        <w:ind w:left="1080" w:firstLine="0"/>
        <w:textAlignment w:val="baseline"/>
        <w:rPr>
          <w:rFonts w:ascii="Calibri" w:hAnsi="Calibri" w:cs="Calibri"/>
        </w:rPr>
      </w:pPr>
      <w:r>
        <w:rPr>
          <w:rStyle w:val="normaltextrun"/>
          <w:rFonts w:ascii="Calibri" w:eastAsiaTheme="majorEastAsia" w:hAnsi="Calibri" w:cs="Calibri"/>
          <w:color w:val="000000"/>
        </w:rPr>
        <w:t>According to the recommendations of the National Health Service (2018), an effective strategy for preventing the transmission of measles involves administering both doses of the vaccine.</w:t>
      </w:r>
      <w:r>
        <w:rPr>
          <w:rStyle w:val="eop"/>
          <w:rFonts w:ascii="Calibri" w:eastAsiaTheme="majorEastAsia" w:hAnsi="Calibri" w:cs="Calibri"/>
          <w:color w:val="000000"/>
        </w:rPr>
        <w:t> </w:t>
      </w:r>
    </w:p>
    <w:p w14:paraId="617FE9AF" w14:textId="77777777" w:rsidR="00576BC8" w:rsidRDefault="00576BC8" w:rsidP="00576BC8">
      <w:pPr>
        <w:pStyle w:val="paragraph"/>
        <w:numPr>
          <w:ilvl w:val="0"/>
          <w:numId w:val="3"/>
        </w:numPr>
        <w:spacing w:before="0" w:beforeAutospacing="0" w:after="0" w:afterAutospacing="0"/>
        <w:ind w:left="1080" w:firstLine="0"/>
        <w:textAlignment w:val="baseline"/>
        <w:rPr>
          <w:rFonts w:ascii="Calibri" w:hAnsi="Calibri" w:cs="Calibri"/>
        </w:rPr>
      </w:pPr>
      <w:r>
        <w:rPr>
          <w:rStyle w:val="normaltextrun"/>
          <w:rFonts w:ascii="Calibri" w:eastAsiaTheme="majorEastAsia" w:hAnsi="Calibri" w:cs="Calibri"/>
          <w:color w:val="000000"/>
        </w:rPr>
        <w:t xml:space="preserve"> Additionally, it is crucial to minimize contact with individuals who have not received the measles vaccine or have a compromised immune system. </w:t>
      </w:r>
      <w:r>
        <w:rPr>
          <w:rStyle w:val="eop"/>
          <w:rFonts w:ascii="Calibri" w:eastAsiaTheme="majorEastAsia" w:hAnsi="Calibri" w:cs="Calibri"/>
          <w:color w:val="000000"/>
        </w:rPr>
        <w:t> </w:t>
      </w:r>
    </w:p>
    <w:p w14:paraId="0334B904" w14:textId="77777777" w:rsidR="00576BC8" w:rsidRDefault="00576BC8" w:rsidP="00576BC8">
      <w:pPr>
        <w:pStyle w:val="paragraph"/>
        <w:numPr>
          <w:ilvl w:val="0"/>
          <w:numId w:val="3"/>
        </w:numPr>
        <w:spacing w:before="0" w:beforeAutospacing="0" w:after="0" w:afterAutospacing="0"/>
        <w:ind w:left="1080" w:firstLine="0"/>
        <w:textAlignment w:val="baseline"/>
        <w:rPr>
          <w:rFonts w:ascii="Calibri" w:hAnsi="Calibri" w:cs="Calibri"/>
        </w:rPr>
      </w:pPr>
      <w:r>
        <w:rPr>
          <w:rStyle w:val="normaltextrun"/>
          <w:rFonts w:ascii="Calibri" w:eastAsiaTheme="majorEastAsia" w:hAnsi="Calibri" w:cs="Calibri"/>
          <w:color w:val="000000"/>
        </w:rPr>
        <w:t xml:space="preserve">Seeking medical advice for proper treatment and monitoring of the disease's progression is also advisable. </w:t>
      </w:r>
      <w:r>
        <w:rPr>
          <w:rStyle w:val="eop"/>
          <w:rFonts w:ascii="Calibri" w:eastAsiaTheme="majorEastAsia" w:hAnsi="Calibri" w:cs="Calibri"/>
          <w:color w:val="000000"/>
        </w:rPr>
        <w:t> </w:t>
      </w:r>
    </w:p>
    <w:p w14:paraId="18AA8B26" w14:textId="77777777" w:rsidR="00576BC8" w:rsidRDefault="00576BC8" w:rsidP="00576BC8">
      <w:pPr>
        <w:pStyle w:val="paragraph"/>
        <w:numPr>
          <w:ilvl w:val="0"/>
          <w:numId w:val="3"/>
        </w:numPr>
        <w:spacing w:before="0" w:beforeAutospacing="0" w:after="0" w:afterAutospacing="0"/>
        <w:ind w:left="1080" w:firstLine="0"/>
        <w:textAlignment w:val="baseline"/>
        <w:rPr>
          <w:rFonts w:ascii="Calibri" w:hAnsi="Calibri" w:cs="Calibri"/>
        </w:rPr>
      </w:pPr>
      <w:r>
        <w:rPr>
          <w:rStyle w:val="normaltextrun"/>
          <w:rFonts w:ascii="Calibri" w:eastAsiaTheme="majorEastAsia" w:hAnsi="Calibri" w:cs="Calibri"/>
          <w:color w:val="000000"/>
        </w:rPr>
        <w:t xml:space="preserve">Furthermore, adhering to hygiene practices, such as regular handwashing and disinfecting surfaces that may have been contaminated by the infected person, is essential. </w:t>
      </w:r>
      <w:r>
        <w:rPr>
          <w:rStyle w:val="eop"/>
          <w:rFonts w:ascii="Calibri" w:eastAsiaTheme="majorEastAsia" w:hAnsi="Calibri" w:cs="Calibri"/>
          <w:color w:val="000000"/>
        </w:rPr>
        <w:t> </w:t>
      </w:r>
    </w:p>
    <w:p w14:paraId="61A8E93A" w14:textId="77777777" w:rsidR="00576BC8" w:rsidRDefault="00576BC8" w:rsidP="00576BC8">
      <w:pPr>
        <w:pStyle w:val="paragraph"/>
        <w:spacing w:before="0" w:beforeAutospacing="0" w:after="0" w:afterAutospacing="0"/>
        <w:textAlignment w:val="baseline"/>
        <w:rPr>
          <w:rStyle w:val="eop"/>
          <w:rFonts w:ascii="Calibri" w:eastAsiaTheme="majorEastAsia" w:hAnsi="Calibri" w:cs="Calibri"/>
          <w:color w:val="000000"/>
        </w:rPr>
      </w:pPr>
      <w:r>
        <w:rPr>
          <w:rStyle w:val="normaltextrun"/>
          <w:rFonts w:ascii="Calibri" w:eastAsiaTheme="majorEastAsia" w:hAnsi="Calibri" w:cs="Calibri"/>
          <w:color w:val="000000"/>
        </w:rPr>
        <w:t>By adhering to these measures, the risk of measles transmission can be minimized, thereby safeguarding the health and well-being of those in the vicinity.</w:t>
      </w:r>
      <w:r>
        <w:rPr>
          <w:rStyle w:val="eop"/>
          <w:rFonts w:ascii="Calibri" w:eastAsiaTheme="majorEastAsia" w:hAnsi="Calibri" w:cs="Calibri"/>
          <w:color w:val="000000"/>
        </w:rPr>
        <w:t> </w:t>
      </w:r>
    </w:p>
    <w:p w14:paraId="308F1D2F" w14:textId="77777777" w:rsidR="00576BC8" w:rsidRDefault="00576BC8" w:rsidP="00576BC8">
      <w:pPr>
        <w:pStyle w:val="paragraph"/>
        <w:spacing w:before="0" w:beforeAutospacing="0" w:after="0" w:afterAutospacing="0"/>
        <w:textAlignment w:val="baseline"/>
        <w:rPr>
          <w:rStyle w:val="eop"/>
          <w:rFonts w:ascii="Calibri" w:eastAsiaTheme="majorEastAsia" w:hAnsi="Calibri" w:cs="Calibri"/>
          <w:color w:val="000000"/>
        </w:rPr>
      </w:pPr>
    </w:p>
    <w:p w14:paraId="4D28C84C" w14:textId="77777777" w:rsidR="00576BC8" w:rsidRDefault="00576BC8" w:rsidP="00576BC8">
      <w:pPr>
        <w:pStyle w:val="paragraph"/>
        <w:spacing w:before="0" w:beforeAutospacing="0" w:after="0" w:afterAutospacing="0"/>
        <w:textAlignment w:val="baseline"/>
        <w:rPr>
          <w:rStyle w:val="eop"/>
          <w:rFonts w:ascii="Calibri" w:eastAsiaTheme="majorEastAsia" w:hAnsi="Calibri" w:cs="Calibri"/>
          <w:color w:val="000000"/>
        </w:rPr>
      </w:pPr>
    </w:p>
    <w:p w14:paraId="74F1FB15" w14:textId="77777777" w:rsidR="00576BC8" w:rsidRDefault="00576BC8" w:rsidP="00576BC8">
      <w:pPr>
        <w:pStyle w:val="paragraph"/>
        <w:spacing w:before="0" w:beforeAutospacing="0" w:after="0" w:afterAutospacing="0"/>
        <w:textAlignment w:val="baseline"/>
        <w:rPr>
          <w:rStyle w:val="eop"/>
          <w:rFonts w:ascii="Calibri" w:eastAsiaTheme="majorEastAsia" w:hAnsi="Calibri" w:cs="Calibri"/>
          <w:color w:val="000000"/>
        </w:rPr>
      </w:pPr>
    </w:p>
    <w:p w14:paraId="13F4B432" w14:textId="77777777" w:rsidR="00576BC8" w:rsidRDefault="00576BC8" w:rsidP="00576BC8">
      <w:pPr>
        <w:pStyle w:val="paragraph"/>
        <w:spacing w:before="0" w:beforeAutospacing="0" w:after="0" w:afterAutospacing="0"/>
        <w:textAlignment w:val="baseline"/>
        <w:rPr>
          <w:rStyle w:val="eop"/>
          <w:rFonts w:ascii="Calibri" w:eastAsiaTheme="majorEastAsia" w:hAnsi="Calibri" w:cs="Calibri"/>
          <w:color w:val="000000"/>
        </w:rPr>
      </w:pPr>
    </w:p>
    <w:p w14:paraId="133C20EF" w14:textId="77777777" w:rsidR="00576BC8" w:rsidRDefault="00576BC8" w:rsidP="00576BC8">
      <w:pPr>
        <w:pStyle w:val="paragraph"/>
        <w:spacing w:before="0" w:beforeAutospacing="0" w:after="0" w:afterAutospacing="0"/>
        <w:textAlignment w:val="baseline"/>
        <w:rPr>
          <w:rFonts w:ascii="Segoe UI" w:hAnsi="Segoe UI" w:cs="Segoe UI"/>
          <w:sz w:val="18"/>
          <w:szCs w:val="18"/>
        </w:rPr>
      </w:pPr>
    </w:p>
    <w:p w14:paraId="05A9939B" w14:textId="77777777" w:rsidR="009676F8" w:rsidRDefault="009676F8" w:rsidP="002E1482">
      <w:pPr>
        <w:ind w:left="360"/>
      </w:pPr>
    </w:p>
    <w:p w14:paraId="02CCD579" w14:textId="77777777" w:rsidR="00087315" w:rsidRDefault="00087315" w:rsidP="002E1482">
      <w:pPr>
        <w:ind w:left="360"/>
      </w:pPr>
    </w:p>
    <w:p w14:paraId="5F427AA9" w14:textId="77777777" w:rsidR="00087315" w:rsidRDefault="00087315" w:rsidP="002E1482">
      <w:pPr>
        <w:ind w:left="360"/>
      </w:pPr>
    </w:p>
    <w:p w14:paraId="0C692279" w14:textId="77777777" w:rsidR="00087315" w:rsidRDefault="00087315" w:rsidP="002E1482">
      <w:pPr>
        <w:ind w:left="360"/>
      </w:pPr>
    </w:p>
    <w:p w14:paraId="4224978D" w14:textId="77777777" w:rsidR="00087315" w:rsidRDefault="00087315" w:rsidP="002E1482">
      <w:pPr>
        <w:ind w:left="360"/>
      </w:pPr>
    </w:p>
    <w:p w14:paraId="1B5DC6D1" w14:textId="77777777" w:rsidR="00087315" w:rsidRDefault="00087315" w:rsidP="002E1482">
      <w:pPr>
        <w:ind w:left="360"/>
      </w:pPr>
    </w:p>
    <w:p w14:paraId="76D9EEBD" w14:textId="77777777" w:rsidR="00087315" w:rsidRDefault="00087315" w:rsidP="002E1482">
      <w:pPr>
        <w:ind w:left="360"/>
      </w:pPr>
    </w:p>
    <w:p w14:paraId="62D29C2B" w14:textId="77777777" w:rsidR="00087315" w:rsidRDefault="00087315" w:rsidP="002E1482">
      <w:pPr>
        <w:ind w:left="360"/>
      </w:pPr>
    </w:p>
    <w:p w14:paraId="4A493352" w14:textId="77777777" w:rsidR="00087315" w:rsidRDefault="00087315" w:rsidP="002E1482">
      <w:pPr>
        <w:ind w:left="360"/>
      </w:pPr>
    </w:p>
    <w:p w14:paraId="172EAFF8" w14:textId="77777777" w:rsidR="00087315" w:rsidRDefault="00087315" w:rsidP="002E1482">
      <w:pPr>
        <w:ind w:left="360"/>
      </w:pPr>
    </w:p>
    <w:p w14:paraId="1F66DD06" w14:textId="77777777" w:rsidR="00087315" w:rsidRDefault="00087315" w:rsidP="002E1482">
      <w:pPr>
        <w:ind w:left="360"/>
      </w:pPr>
    </w:p>
    <w:p w14:paraId="306FA450" w14:textId="3794BCC8" w:rsidR="00DB3D64" w:rsidRPr="00F66BB1" w:rsidRDefault="00DB3D64" w:rsidP="006D3754">
      <w:pPr>
        <w:pStyle w:val="paragraph"/>
        <w:numPr>
          <w:ilvl w:val="0"/>
          <w:numId w:val="5"/>
        </w:numPr>
        <w:spacing w:before="0" w:beforeAutospacing="0" w:after="0" w:afterAutospacing="0"/>
        <w:textAlignment w:val="baseline"/>
        <w:rPr>
          <w:rFonts w:ascii="Segoe UI" w:hAnsi="Segoe UI" w:cs="Segoe UI"/>
          <w:sz w:val="32"/>
          <w:szCs w:val="32"/>
        </w:rPr>
      </w:pPr>
      <w:r w:rsidRPr="00F66BB1">
        <w:rPr>
          <w:rStyle w:val="normaltextrun"/>
          <w:rFonts w:ascii="Calibri" w:eastAsiaTheme="majorEastAsia" w:hAnsi="Calibri" w:cs="Calibri"/>
          <w:color w:val="000000"/>
          <w:sz w:val="32"/>
          <w:szCs w:val="32"/>
        </w:rPr>
        <w:t>Conclusion</w:t>
      </w:r>
      <w:r w:rsidRPr="00F66BB1">
        <w:rPr>
          <w:rStyle w:val="eop"/>
          <w:rFonts w:ascii="Calibri" w:eastAsiaTheme="majorEastAsia" w:hAnsi="Calibri" w:cs="Calibri"/>
          <w:color w:val="000000"/>
          <w:sz w:val="32"/>
          <w:szCs w:val="32"/>
        </w:rPr>
        <w:t> </w:t>
      </w:r>
    </w:p>
    <w:p w14:paraId="45FF6B6D" w14:textId="77777777" w:rsidR="00DB3D64" w:rsidRDefault="00DB3D64" w:rsidP="00DB3D64">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color w:val="000000"/>
        </w:rPr>
        <w:t> </w:t>
      </w:r>
    </w:p>
    <w:p w14:paraId="7140071D" w14:textId="52053CDC" w:rsidR="00087315" w:rsidRDefault="00FA1001" w:rsidP="002E1482">
      <w:pPr>
        <w:ind w:left="360"/>
        <w:rPr>
          <w:rStyle w:val="eop"/>
          <w:rFonts w:ascii="Calibri" w:hAnsi="Calibri" w:cs="Calibri"/>
          <w:color w:val="000000"/>
          <w:shd w:val="clear" w:color="auto" w:fill="FFFFFF"/>
        </w:rPr>
      </w:pPr>
      <w:r w:rsidRPr="00F66BB1">
        <w:rPr>
          <w:rStyle w:val="normaltextrun"/>
          <w:rFonts w:ascii="Calibri" w:hAnsi="Calibri" w:cs="Calibri"/>
          <w:color w:val="000000"/>
          <w:shd w:val="clear" w:color="auto" w:fill="FFFFFF"/>
        </w:rPr>
        <w:t xml:space="preserve">Infectious diseases, such as measles, remain a </w:t>
      </w:r>
      <w:r w:rsidR="006675C8">
        <w:rPr>
          <w:rStyle w:val="normaltextrun"/>
          <w:rFonts w:ascii="Calibri" w:hAnsi="Calibri" w:cs="Calibri"/>
          <w:color w:val="000000"/>
          <w:shd w:val="clear" w:color="auto" w:fill="FFFFFF"/>
        </w:rPr>
        <w:t>significant</w:t>
      </w:r>
      <w:r w:rsidRPr="00F66BB1">
        <w:rPr>
          <w:rStyle w:val="normaltextrun"/>
          <w:rFonts w:ascii="Calibri" w:hAnsi="Calibri" w:cs="Calibri"/>
          <w:color w:val="000000"/>
          <w:shd w:val="clear" w:color="auto" w:fill="FFFFFF"/>
        </w:rPr>
        <w:t xml:space="preserve"> public health issue, even in the modern era of advanced medicine. Although progress in the medical field and vaccination efforts have significantly reduced the number of measles cases in many parts of the world, there are still regions where vaccination rates are </w:t>
      </w:r>
      <w:r w:rsidR="006675C8" w:rsidRPr="00F66BB1">
        <w:rPr>
          <w:rStyle w:val="normaltextrun"/>
          <w:rFonts w:ascii="Calibri" w:hAnsi="Calibri" w:cs="Calibri"/>
          <w:color w:val="000000"/>
          <w:shd w:val="clear" w:color="auto" w:fill="FFFFFF"/>
        </w:rPr>
        <w:t>low,</w:t>
      </w:r>
      <w:r w:rsidRPr="00F66BB1">
        <w:rPr>
          <w:rStyle w:val="normaltextrun"/>
          <w:rFonts w:ascii="Calibri" w:hAnsi="Calibri" w:cs="Calibri"/>
          <w:color w:val="000000"/>
          <w:shd w:val="clear" w:color="auto" w:fill="FFFFFF"/>
        </w:rPr>
        <w:t xml:space="preserve"> and the disease reappears. The resurgence of measles cases in these regions highlights the importance of comprehensive vaccination campaigns. Vaccination is the most effective method of preventing measles and can help reduce the spread of the disease in communities. However, to achieve adequate vaccination coverage, public health education is necessary to inform people about the benefits of vaccination and combat misinformation and myths about vaccines. Adhering to preventive measures is also essential to reduce the spread of contagious diseases such as measles. These measures include proper personal hygiene, such as regular hand washing, covering the mouth and nose when sneezing or coughing, and avoiding close contact with sick individuals. It is also essential for individuals experiencing symptoms of measles to isolate themselves and seek immediate medical assistance to prevent the spread of the disease.</w:t>
      </w:r>
      <w:r w:rsidRPr="00F66BB1">
        <w:rPr>
          <w:rStyle w:val="eop"/>
          <w:rFonts w:ascii="Calibri" w:hAnsi="Calibri" w:cs="Calibri"/>
          <w:color w:val="000000"/>
          <w:shd w:val="clear" w:color="auto" w:fill="FFFFFF"/>
        </w:rPr>
        <w:t> </w:t>
      </w:r>
    </w:p>
    <w:p w14:paraId="60FC2D25" w14:textId="77777777" w:rsidR="00726CEB" w:rsidRDefault="00726CEB" w:rsidP="002E1482">
      <w:pPr>
        <w:ind w:left="360"/>
        <w:rPr>
          <w:rStyle w:val="eop"/>
          <w:rFonts w:ascii="Calibri" w:hAnsi="Calibri" w:cs="Calibri"/>
          <w:color w:val="000000"/>
          <w:shd w:val="clear" w:color="auto" w:fill="FFFFFF"/>
        </w:rPr>
      </w:pPr>
    </w:p>
    <w:p w14:paraId="16DF0993" w14:textId="77777777" w:rsidR="00726CEB" w:rsidRDefault="00726CEB" w:rsidP="002E1482">
      <w:pPr>
        <w:ind w:left="360"/>
        <w:rPr>
          <w:rStyle w:val="eop"/>
          <w:rFonts w:ascii="Calibri" w:hAnsi="Calibri" w:cs="Calibri"/>
          <w:color w:val="000000"/>
          <w:shd w:val="clear" w:color="auto" w:fill="FFFFFF"/>
        </w:rPr>
      </w:pPr>
    </w:p>
    <w:p w14:paraId="75A97B35" w14:textId="77777777" w:rsidR="00726CEB" w:rsidRDefault="00726CEB" w:rsidP="002E1482">
      <w:pPr>
        <w:ind w:left="360"/>
        <w:rPr>
          <w:rStyle w:val="eop"/>
          <w:rFonts w:ascii="Calibri" w:hAnsi="Calibri" w:cs="Calibri"/>
          <w:color w:val="000000"/>
          <w:shd w:val="clear" w:color="auto" w:fill="FFFFFF"/>
        </w:rPr>
      </w:pPr>
    </w:p>
    <w:p w14:paraId="52A8AE1D" w14:textId="77777777" w:rsidR="00726CEB" w:rsidRDefault="00726CEB" w:rsidP="002E1482">
      <w:pPr>
        <w:ind w:left="360"/>
        <w:rPr>
          <w:rStyle w:val="eop"/>
          <w:rFonts w:ascii="Calibri" w:hAnsi="Calibri" w:cs="Calibri"/>
          <w:color w:val="000000"/>
          <w:shd w:val="clear" w:color="auto" w:fill="FFFFFF"/>
        </w:rPr>
      </w:pPr>
    </w:p>
    <w:p w14:paraId="3D73C1A6" w14:textId="77777777" w:rsidR="00726CEB" w:rsidRDefault="00726CEB" w:rsidP="002E1482">
      <w:pPr>
        <w:ind w:left="360"/>
        <w:rPr>
          <w:rStyle w:val="eop"/>
          <w:rFonts w:ascii="Calibri" w:hAnsi="Calibri" w:cs="Calibri"/>
          <w:color w:val="000000"/>
          <w:shd w:val="clear" w:color="auto" w:fill="FFFFFF"/>
        </w:rPr>
      </w:pPr>
    </w:p>
    <w:p w14:paraId="42A91BCF" w14:textId="77777777" w:rsidR="00726CEB" w:rsidRDefault="00726CEB" w:rsidP="002E1482">
      <w:pPr>
        <w:ind w:left="360"/>
        <w:rPr>
          <w:rStyle w:val="eop"/>
          <w:rFonts w:ascii="Calibri" w:hAnsi="Calibri" w:cs="Calibri"/>
          <w:color w:val="000000"/>
          <w:shd w:val="clear" w:color="auto" w:fill="FFFFFF"/>
        </w:rPr>
      </w:pPr>
    </w:p>
    <w:p w14:paraId="4FB6DF5C" w14:textId="77777777" w:rsidR="00726CEB" w:rsidRDefault="00726CEB" w:rsidP="002E1482">
      <w:pPr>
        <w:ind w:left="360"/>
        <w:rPr>
          <w:rStyle w:val="eop"/>
          <w:rFonts w:ascii="Calibri" w:hAnsi="Calibri" w:cs="Calibri"/>
          <w:color w:val="000000"/>
          <w:shd w:val="clear" w:color="auto" w:fill="FFFFFF"/>
        </w:rPr>
      </w:pPr>
    </w:p>
    <w:p w14:paraId="62002C14" w14:textId="77777777" w:rsidR="00726CEB" w:rsidRDefault="00726CEB" w:rsidP="002E1482">
      <w:pPr>
        <w:ind w:left="360"/>
        <w:rPr>
          <w:rStyle w:val="eop"/>
          <w:rFonts w:ascii="Calibri" w:hAnsi="Calibri" w:cs="Calibri"/>
          <w:color w:val="000000"/>
          <w:shd w:val="clear" w:color="auto" w:fill="FFFFFF"/>
        </w:rPr>
      </w:pPr>
    </w:p>
    <w:p w14:paraId="34B7CFAA" w14:textId="77777777" w:rsidR="00726CEB" w:rsidRDefault="00726CEB" w:rsidP="002E1482">
      <w:pPr>
        <w:ind w:left="360"/>
        <w:rPr>
          <w:rStyle w:val="eop"/>
          <w:rFonts w:ascii="Calibri" w:hAnsi="Calibri" w:cs="Calibri"/>
          <w:color w:val="000000"/>
          <w:shd w:val="clear" w:color="auto" w:fill="FFFFFF"/>
        </w:rPr>
      </w:pPr>
    </w:p>
    <w:p w14:paraId="321BE688" w14:textId="77777777" w:rsidR="00726CEB" w:rsidRDefault="00726CEB" w:rsidP="002E1482">
      <w:pPr>
        <w:ind w:left="360"/>
        <w:rPr>
          <w:rStyle w:val="eop"/>
          <w:rFonts w:ascii="Calibri" w:hAnsi="Calibri" w:cs="Calibri"/>
          <w:color w:val="000000"/>
          <w:shd w:val="clear" w:color="auto" w:fill="FFFFFF"/>
        </w:rPr>
      </w:pPr>
    </w:p>
    <w:p w14:paraId="6C30AF21" w14:textId="77777777" w:rsidR="00726CEB" w:rsidRDefault="00726CEB" w:rsidP="002E1482">
      <w:pPr>
        <w:ind w:left="360"/>
        <w:rPr>
          <w:rStyle w:val="eop"/>
          <w:rFonts w:ascii="Calibri" w:hAnsi="Calibri" w:cs="Calibri"/>
          <w:color w:val="000000"/>
          <w:shd w:val="clear" w:color="auto" w:fill="FFFFFF"/>
        </w:rPr>
      </w:pPr>
    </w:p>
    <w:p w14:paraId="0E2283DD" w14:textId="77777777" w:rsidR="00726CEB" w:rsidRDefault="00726CEB" w:rsidP="002E1482">
      <w:pPr>
        <w:ind w:left="360"/>
        <w:rPr>
          <w:rStyle w:val="eop"/>
          <w:rFonts w:ascii="Calibri" w:hAnsi="Calibri" w:cs="Calibri"/>
          <w:color w:val="000000"/>
          <w:shd w:val="clear" w:color="auto" w:fill="FFFFFF"/>
        </w:rPr>
      </w:pPr>
    </w:p>
    <w:p w14:paraId="1817F8DA" w14:textId="77777777" w:rsidR="00726CEB" w:rsidRDefault="00726CEB" w:rsidP="002E1482">
      <w:pPr>
        <w:ind w:left="360"/>
        <w:rPr>
          <w:rStyle w:val="eop"/>
          <w:rFonts w:ascii="Calibri" w:hAnsi="Calibri" w:cs="Calibri"/>
          <w:color w:val="000000"/>
          <w:shd w:val="clear" w:color="auto" w:fill="FFFFFF"/>
        </w:rPr>
      </w:pPr>
    </w:p>
    <w:p w14:paraId="5CF24579" w14:textId="77777777" w:rsidR="00726CEB" w:rsidRDefault="00726CEB" w:rsidP="002E1482">
      <w:pPr>
        <w:ind w:left="360"/>
        <w:rPr>
          <w:rStyle w:val="eop"/>
          <w:rFonts w:ascii="Calibri" w:hAnsi="Calibri" w:cs="Calibri"/>
          <w:color w:val="000000"/>
          <w:shd w:val="clear" w:color="auto" w:fill="FFFFFF"/>
        </w:rPr>
      </w:pPr>
    </w:p>
    <w:p w14:paraId="6198571D" w14:textId="37781DC7" w:rsidR="00726CEB" w:rsidRPr="00726CEB" w:rsidRDefault="00726CEB" w:rsidP="006D3754">
      <w:pPr>
        <w:pStyle w:val="ListParagraph"/>
        <w:numPr>
          <w:ilvl w:val="0"/>
          <w:numId w:val="5"/>
        </w:numPr>
        <w:rPr>
          <w:rStyle w:val="eop"/>
          <w:rFonts w:ascii="Calibri" w:hAnsi="Calibri" w:cs="Calibri"/>
          <w:sz w:val="32"/>
          <w:szCs w:val="32"/>
        </w:rPr>
      </w:pPr>
      <w:r w:rsidRPr="00726CEB">
        <w:rPr>
          <w:rStyle w:val="eop"/>
          <w:rFonts w:ascii="Calibri" w:hAnsi="Calibri" w:cs="Calibri"/>
          <w:color w:val="000000"/>
          <w:sz w:val="32"/>
          <w:szCs w:val="32"/>
          <w:shd w:val="clear" w:color="auto" w:fill="FFFFFF"/>
        </w:rPr>
        <w:t>Reference</w:t>
      </w:r>
    </w:p>
    <w:p w14:paraId="42D16487" w14:textId="77777777" w:rsidR="00606544" w:rsidRDefault="00606544" w:rsidP="00C646C3">
      <w:pPr>
        <w:rPr>
          <w:rStyle w:val="normaltextrun"/>
          <w:rFonts w:ascii="Calibri" w:hAnsi="Calibri" w:cs="Calibri"/>
          <w:color w:val="000000"/>
          <w:shd w:val="clear" w:color="auto" w:fill="FFFFFF"/>
        </w:rPr>
      </w:pPr>
    </w:p>
    <w:p w14:paraId="07ABA02F" w14:textId="77777777" w:rsidR="00606544" w:rsidRDefault="00606544" w:rsidP="00C646C3">
      <w:pPr>
        <w:rPr>
          <w:rStyle w:val="normaltextrun"/>
          <w:rFonts w:ascii="Calibri" w:hAnsi="Calibri" w:cs="Calibri"/>
          <w:color w:val="000000"/>
          <w:shd w:val="clear" w:color="auto" w:fill="FFFFFF"/>
        </w:rPr>
      </w:pPr>
    </w:p>
    <w:p w14:paraId="4974A2FC" w14:textId="15235C24" w:rsidR="00D11E40" w:rsidRPr="00934238" w:rsidRDefault="00BB5E4D" w:rsidP="00D11E40">
      <w:pPr>
        <w:pStyle w:val="paragraph"/>
        <w:spacing w:before="0" w:beforeAutospacing="0" w:after="0" w:afterAutospacing="0"/>
        <w:ind w:left="-30" w:right="-30"/>
        <w:textAlignment w:val="baseline"/>
        <w:rPr>
          <w:rFonts w:ascii="Calibri" w:hAnsi="Calibri" w:cs="Calibri"/>
          <w:color w:val="2F5496"/>
        </w:rPr>
      </w:pPr>
      <w:r w:rsidRPr="00934238">
        <w:rPr>
          <w:rStyle w:val="normaltextrun"/>
          <w:rFonts w:ascii="Calibri" w:eastAsiaTheme="majorEastAsia" w:hAnsi="Calibri" w:cs="Calibri"/>
          <w:color w:val="222222"/>
        </w:rPr>
        <w:t>Centers</w:t>
      </w:r>
      <w:r w:rsidR="00D11E40" w:rsidRPr="00934238">
        <w:rPr>
          <w:rStyle w:val="normaltextrun"/>
          <w:rFonts w:ascii="Calibri" w:eastAsiaTheme="majorEastAsia" w:hAnsi="Calibri" w:cs="Calibri"/>
          <w:color w:val="222222"/>
        </w:rPr>
        <w:t xml:space="preserve"> for Disease Control and Prevention (CDC,2024). Interim Infection Prevention and Control Recommendations for Measles in Healthcare Settings. Available at: </w:t>
      </w:r>
      <w:hyperlink r:id="rId8" w:tgtFrame="_blank" w:history="1">
        <w:r w:rsidR="00D11E40" w:rsidRPr="00934238">
          <w:rPr>
            <w:rStyle w:val="normaltextrun"/>
            <w:rFonts w:ascii="Calibri" w:eastAsiaTheme="majorEastAsia" w:hAnsi="Calibri" w:cs="Calibri"/>
            <w:color w:val="0563C1"/>
            <w:u w:val="single"/>
          </w:rPr>
          <w:t>Interim Measles Infection Prevention Recommendations in Healthcare Settings | CDC.</w:t>
        </w:r>
      </w:hyperlink>
      <w:r w:rsidR="00D11E40" w:rsidRPr="00934238">
        <w:rPr>
          <w:rStyle w:val="normaltextrun"/>
          <w:rFonts w:ascii="Calibri" w:eastAsiaTheme="majorEastAsia" w:hAnsi="Calibri" w:cs="Calibri"/>
          <w:color w:val="2F5496"/>
        </w:rPr>
        <w:t xml:space="preserve"> (Accessed in 2024).</w:t>
      </w:r>
      <w:r w:rsidR="00D11E40" w:rsidRPr="00934238">
        <w:rPr>
          <w:rStyle w:val="eop"/>
          <w:rFonts w:ascii="Calibri" w:eastAsiaTheme="majorEastAsia" w:hAnsi="Calibri" w:cs="Calibri"/>
          <w:color w:val="2F5496"/>
        </w:rPr>
        <w:t> </w:t>
      </w:r>
    </w:p>
    <w:p w14:paraId="1A9D6C39" w14:textId="77777777" w:rsidR="00D11E40" w:rsidRPr="00934238" w:rsidRDefault="00D11E40" w:rsidP="00D11E40">
      <w:pPr>
        <w:pStyle w:val="paragraph"/>
        <w:spacing w:before="0" w:beforeAutospacing="0" w:after="0" w:afterAutospacing="0"/>
        <w:textAlignment w:val="baseline"/>
        <w:rPr>
          <w:rFonts w:ascii="Calibri" w:hAnsi="Calibri" w:cs="Calibri"/>
        </w:rPr>
      </w:pPr>
      <w:r w:rsidRPr="00934238">
        <w:rPr>
          <w:rStyle w:val="eop"/>
          <w:rFonts w:ascii="Calibri" w:eastAsiaTheme="majorEastAsia" w:hAnsi="Calibri" w:cs="Calibri"/>
          <w:color w:val="333333"/>
        </w:rPr>
        <w:t> </w:t>
      </w:r>
    </w:p>
    <w:p w14:paraId="647B996B" w14:textId="6BE966C3" w:rsidR="00D7704D" w:rsidRPr="00934238" w:rsidRDefault="00BB5E4D" w:rsidP="00BB5E4D">
      <w:pPr>
        <w:rPr>
          <w:rStyle w:val="eop"/>
          <w:rFonts w:ascii="Calibri" w:hAnsi="Calibri" w:cs="Calibri"/>
          <w:color w:val="000000"/>
          <w:shd w:val="clear" w:color="auto" w:fill="FFFFFF"/>
        </w:rPr>
      </w:pPr>
      <w:r w:rsidRPr="00934238">
        <w:rPr>
          <w:rStyle w:val="normaltextrun"/>
          <w:rFonts w:ascii="Calibri" w:hAnsi="Calibri" w:cs="Calibri"/>
          <w:color w:val="000000"/>
          <w:shd w:val="clear" w:color="auto" w:fill="FFFFFF"/>
        </w:rPr>
        <w:t xml:space="preserve">Centers for Disease Control Prevention (2020) Measles History. Available at: </w:t>
      </w:r>
      <w:hyperlink r:id="rId9" w:tgtFrame="_blank" w:history="1">
        <w:r w:rsidRPr="00934238">
          <w:rPr>
            <w:rStyle w:val="normaltextrun"/>
            <w:rFonts w:ascii="Calibri" w:hAnsi="Calibri" w:cs="Calibri"/>
            <w:color w:val="0563C1"/>
            <w:u w:val="single"/>
            <w:shd w:val="clear" w:color="auto" w:fill="FFFFFF"/>
          </w:rPr>
          <w:t>History of Measles | CDC</w:t>
        </w:r>
      </w:hyperlink>
      <w:r w:rsidRPr="00934238">
        <w:rPr>
          <w:rStyle w:val="normaltextrun"/>
          <w:rFonts w:ascii="Calibri" w:hAnsi="Calibri" w:cs="Calibri"/>
          <w:color w:val="000000"/>
          <w:shd w:val="clear" w:color="auto" w:fill="FFFFFF"/>
        </w:rPr>
        <w:t xml:space="preserve"> (Accessed in 2024).</w:t>
      </w:r>
      <w:r w:rsidRPr="00934238">
        <w:rPr>
          <w:rStyle w:val="eop"/>
          <w:rFonts w:ascii="Calibri" w:hAnsi="Calibri" w:cs="Calibri"/>
          <w:color w:val="000000"/>
          <w:shd w:val="clear" w:color="auto" w:fill="FFFFFF"/>
        </w:rPr>
        <w:t> </w:t>
      </w:r>
    </w:p>
    <w:p w14:paraId="4E9FB93B" w14:textId="789CE909" w:rsidR="00BB5E4D" w:rsidRPr="00934238" w:rsidRDefault="005509C4" w:rsidP="00BB5E4D">
      <w:pPr>
        <w:rPr>
          <w:rStyle w:val="eop"/>
          <w:rFonts w:ascii="Calibri" w:hAnsi="Calibri" w:cs="Calibri"/>
          <w:color w:val="212121"/>
          <w:shd w:val="clear" w:color="auto" w:fill="FFFFFF"/>
        </w:rPr>
      </w:pPr>
      <w:r w:rsidRPr="00934238">
        <w:rPr>
          <w:rStyle w:val="normaltextrun"/>
          <w:rFonts w:ascii="Calibri" w:hAnsi="Calibri" w:cs="Calibri"/>
          <w:color w:val="212121"/>
          <w:shd w:val="clear" w:color="auto" w:fill="FFFFFF"/>
        </w:rPr>
        <w:t xml:space="preserve">Demicheli, V., Rivetti, A., Debalini, M. G., &amp; Di Pietrantonj, C. (2012). Vaccines for measles, mumps and rubella in children. </w:t>
      </w:r>
      <w:r w:rsidRPr="00934238">
        <w:rPr>
          <w:rStyle w:val="normaltextrun"/>
          <w:rFonts w:ascii="Calibri" w:hAnsi="Calibri" w:cs="Calibri"/>
          <w:i/>
          <w:iCs/>
          <w:color w:val="212121"/>
          <w:shd w:val="clear" w:color="auto" w:fill="FFFFFF"/>
        </w:rPr>
        <w:t>The Cochrane database of systematic reviews</w:t>
      </w:r>
      <w:r w:rsidRPr="00934238">
        <w:rPr>
          <w:rStyle w:val="normaltextrun"/>
          <w:rFonts w:ascii="Calibri" w:hAnsi="Calibri" w:cs="Calibri"/>
          <w:color w:val="212121"/>
          <w:shd w:val="clear" w:color="auto" w:fill="FFFFFF"/>
        </w:rPr>
        <w:t xml:space="preserve">, </w:t>
      </w:r>
      <w:r w:rsidRPr="00934238">
        <w:rPr>
          <w:rStyle w:val="normaltextrun"/>
          <w:rFonts w:ascii="Calibri" w:hAnsi="Calibri" w:cs="Calibri"/>
          <w:i/>
          <w:iCs/>
          <w:color w:val="212121"/>
          <w:shd w:val="clear" w:color="auto" w:fill="FFFFFF"/>
        </w:rPr>
        <w:t>2012</w:t>
      </w:r>
      <w:r w:rsidRPr="00934238">
        <w:rPr>
          <w:rStyle w:val="normaltextrun"/>
          <w:rFonts w:ascii="Calibri" w:hAnsi="Calibri" w:cs="Calibri"/>
          <w:color w:val="212121"/>
          <w:shd w:val="clear" w:color="auto" w:fill="FFFFFF"/>
        </w:rPr>
        <w:t xml:space="preserve">(2), CD004407. </w:t>
      </w:r>
      <w:hyperlink r:id="rId10" w:tgtFrame="_blank" w:history="1">
        <w:r w:rsidRPr="00934238">
          <w:rPr>
            <w:rStyle w:val="normaltextrun"/>
            <w:rFonts w:ascii="Calibri" w:hAnsi="Calibri" w:cs="Calibri"/>
            <w:color w:val="0563C1"/>
            <w:u w:val="single"/>
            <w:shd w:val="clear" w:color="auto" w:fill="FFFFFF"/>
          </w:rPr>
          <w:t>https://doi.org/10.1002/14651858.CD004407.pub3</w:t>
        </w:r>
      </w:hyperlink>
      <w:r w:rsidRPr="00934238">
        <w:rPr>
          <w:rStyle w:val="normaltextrun"/>
          <w:rFonts w:ascii="Calibri" w:hAnsi="Calibri" w:cs="Calibri"/>
          <w:color w:val="212121"/>
          <w:shd w:val="clear" w:color="auto" w:fill="FFFFFF"/>
        </w:rPr>
        <w:t xml:space="preserve"> (Accessed in 2024).</w:t>
      </w:r>
      <w:r w:rsidRPr="00934238">
        <w:rPr>
          <w:rStyle w:val="eop"/>
          <w:rFonts w:ascii="Calibri" w:hAnsi="Calibri" w:cs="Calibri"/>
          <w:color w:val="212121"/>
          <w:shd w:val="clear" w:color="auto" w:fill="FFFFFF"/>
        </w:rPr>
        <w:t> </w:t>
      </w:r>
    </w:p>
    <w:p w14:paraId="6799B1D9" w14:textId="159EBDE4" w:rsidR="00E857E1" w:rsidRPr="00934238" w:rsidRDefault="00E857E1" w:rsidP="00BB5E4D">
      <w:pPr>
        <w:rPr>
          <w:rStyle w:val="normaltextrun"/>
          <w:rFonts w:ascii="Calibri" w:hAnsi="Calibri" w:cs="Calibri"/>
          <w:color w:val="212121"/>
          <w:shd w:val="clear" w:color="auto" w:fill="FFFFFF"/>
        </w:rPr>
      </w:pPr>
      <w:r w:rsidRPr="00934238">
        <w:rPr>
          <w:rStyle w:val="normaltextrun"/>
          <w:rFonts w:ascii="Calibri" w:hAnsi="Calibri" w:cs="Calibri"/>
          <w:color w:val="212121"/>
          <w:shd w:val="clear" w:color="auto" w:fill="FFFFFF"/>
        </w:rPr>
        <w:t xml:space="preserve">DeStefano, F., &amp; Shimabukuro, T. T. (2019). The MMR Vaccine and Autism. </w:t>
      </w:r>
      <w:r w:rsidRPr="00934238">
        <w:rPr>
          <w:rStyle w:val="normaltextrun"/>
          <w:rFonts w:ascii="Calibri" w:hAnsi="Calibri" w:cs="Calibri"/>
          <w:i/>
          <w:iCs/>
          <w:color w:val="212121"/>
          <w:shd w:val="clear" w:color="auto" w:fill="FFFFFF"/>
        </w:rPr>
        <w:t>Annual review of virology</w:t>
      </w:r>
      <w:r w:rsidRPr="00934238">
        <w:rPr>
          <w:rStyle w:val="normaltextrun"/>
          <w:rFonts w:ascii="Calibri" w:hAnsi="Calibri" w:cs="Calibri"/>
          <w:color w:val="212121"/>
          <w:shd w:val="clear" w:color="auto" w:fill="FFFFFF"/>
        </w:rPr>
        <w:t xml:space="preserve">, </w:t>
      </w:r>
      <w:r w:rsidRPr="00934238">
        <w:rPr>
          <w:rStyle w:val="normaltextrun"/>
          <w:rFonts w:ascii="Calibri" w:hAnsi="Calibri" w:cs="Calibri"/>
          <w:i/>
          <w:iCs/>
          <w:color w:val="212121"/>
          <w:shd w:val="clear" w:color="auto" w:fill="FFFFFF"/>
        </w:rPr>
        <w:t>6</w:t>
      </w:r>
      <w:r w:rsidRPr="00934238">
        <w:rPr>
          <w:rStyle w:val="normaltextrun"/>
          <w:rFonts w:ascii="Calibri" w:hAnsi="Calibri" w:cs="Calibri"/>
          <w:color w:val="212121"/>
          <w:shd w:val="clear" w:color="auto" w:fill="FFFFFF"/>
        </w:rPr>
        <w:t xml:space="preserve">(1), 585–600. </w:t>
      </w:r>
      <w:hyperlink r:id="rId11" w:tgtFrame="_blank" w:history="1">
        <w:r w:rsidRPr="00934238">
          <w:rPr>
            <w:rStyle w:val="normaltextrun"/>
            <w:rFonts w:ascii="Calibri" w:hAnsi="Calibri" w:cs="Calibri"/>
            <w:color w:val="0563C1"/>
            <w:u w:val="single"/>
            <w:shd w:val="clear" w:color="auto" w:fill="FFFFFF"/>
          </w:rPr>
          <w:t>https://doi.org/10.1146/annurev-virology-092818-015515</w:t>
        </w:r>
      </w:hyperlink>
      <w:r w:rsidRPr="00934238">
        <w:rPr>
          <w:rStyle w:val="normaltextrun"/>
          <w:rFonts w:ascii="Calibri" w:hAnsi="Calibri" w:cs="Calibri"/>
          <w:color w:val="212121"/>
          <w:shd w:val="clear" w:color="auto" w:fill="FFFFFF"/>
        </w:rPr>
        <w:t xml:space="preserve"> (Accessed in 2024).</w:t>
      </w:r>
      <w:r w:rsidRPr="00934238">
        <w:rPr>
          <w:rStyle w:val="eop"/>
          <w:rFonts w:ascii="Calibri" w:hAnsi="Calibri" w:cs="Calibri"/>
          <w:color w:val="212121"/>
          <w:shd w:val="clear" w:color="auto" w:fill="FFFFFF"/>
        </w:rPr>
        <w:t> </w:t>
      </w:r>
    </w:p>
    <w:p w14:paraId="2B314615" w14:textId="21E19EE6" w:rsidR="005509C4" w:rsidRPr="00934238" w:rsidRDefault="00972AF6" w:rsidP="00BB5E4D">
      <w:pPr>
        <w:rPr>
          <w:rStyle w:val="eop"/>
          <w:rFonts w:ascii="Calibri" w:hAnsi="Calibri" w:cs="Calibri"/>
          <w:color w:val="376FAA"/>
          <w:shd w:val="clear" w:color="auto" w:fill="FFFFFF"/>
        </w:rPr>
      </w:pPr>
      <w:r w:rsidRPr="00934238">
        <w:rPr>
          <w:rStyle w:val="normaltextrun"/>
          <w:rFonts w:ascii="Calibri" w:hAnsi="Calibri" w:cs="Calibri"/>
          <w:color w:val="212121"/>
          <w:shd w:val="clear" w:color="auto" w:fill="FFFFFF"/>
        </w:rPr>
        <w:t xml:space="preserve">European Centre for Disease Prevention and Control (2018) Measles and rubella surveillance – 2017. Available at </w:t>
      </w:r>
      <w:hyperlink r:id="rId12" w:tgtFrame="_blank" w:history="1">
        <w:r w:rsidRPr="00934238">
          <w:rPr>
            <w:rStyle w:val="normaltextrun"/>
            <w:rFonts w:ascii="Calibri" w:hAnsi="Calibri" w:cs="Calibri"/>
            <w:color w:val="376FAA"/>
            <w:u w:val="single"/>
            <w:shd w:val="clear" w:color="auto" w:fill="FFFFFF"/>
          </w:rPr>
          <w:t>https://www.ecdc.europa.eu/en/publications-data/annual-measles-and-rubella-monitoring-report-2017</w:t>
        </w:r>
      </w:hyperlink>
      <w:r w:rsidRPr="00934238">
        <w:rPr>
          <w:rStyle w:val="normaltextrun"/>
          <w:rFonts w:ascii="Calibri" w:hAnsi="Calibri" w:cs="Calibri"/>
          <w:color w:val="376FAA"/>
          <w:u w:val="single"/>
          <w:shd w:val="clear" w:color="auto" w:fill="FFFFFF"/>
        </w:rPr>
        <w:t xml:space="preserve"> (Accessed in 2024).</w:t>
      </w:r>
      <w:r w:rsidRPr="00934238">
        <w:rPr>
          <w:rStyle w:val="eop"/>
          <w:rFonts w:ascii="Calibri" w:hAnsi="Calibri" w:cs="Calibri"/>
          <w:color w:val="376FAA"/>
          <w:shd w:val="clear" w:color="auto" w:fill="FFFFFF"/>
        </w:rPr>
        <w:t> </w:t>
      </w:r>
    </w:p>
    <w:p w14:paraId="471D05A6" w14:textId="77777777" w:rsidR="006A3AA9" w:rsidRPr="00934238" w:rsidRDefault="006A3AA9" w:rsidP="006A3AA9">
      <w:pPr>
        <w:pStyle w:val="paragraph"/>
        <w:spacing w:before="0" w:beforeAutospacing="0" w:after="0" w:afterAutospacing="0"/>
        <w:textAlignment w:val="baseline"/>
        <w:rPr>
          <w:rFonts w:ascii="Calibri" w:hAnsi="Calibri" w:cs="Calibri"/>
        </w:rPr>
      </w:pPr>
      <w:r w:rsidRPr="00934238">
        <w:rPr>
          <w:rStyle w:val="normaltextrun"/>
          <w:rFonts w:ascii="Calibri" w:eastAsiaTheme="majorEastAsia" w:hAnsi="Calibri" w:cs="Calibri"/>
        </w:rPr>
        <w:t xml:space="preserve">Government of the United Kingdom (2024). National Measles Standards Incident- measles epidemiology (from October 2023). Available at: </w:t>
      </w:r>
      <w:hyperlink r:id="rId13" w:tgtFrame="_blank" w:history="1">
        <w:r w:rsidRPr="00934238">
          <w:rPr>
            <w:rStyle w:val="normaltextrun"/>
            <w:rFonts w:ascii="Calibri" w:eastAsiaTheme="majorEastAsia" w:hAnsi="Calibri" w:cs="Calibri"/>
            <w:color w:val="0563C1"/>
            <w:u w:val="single"/>
          </w:rPr>
          <w:t>National Measles Standard Incident - measles epidemiology (from October 2023) - GOV.UK (www.gov.uk)</w:t>
        </w:r>
      </w:hyperlink>
      <w:r w:rsidRPr="00934238">
        <w:rPr>
          <w:rStyle w:val="normaltextrun"/>
          <w:rFonts w:ascii="Calibri" w:eastAsiaTheme="majorEastAsia" w:hAnsi="Calibri" w:cs="Calibri"/>
        </w:rPr>
        <w:t xml:space="preserve"> (Accessed in 2024) </w:t>
      </w:r>
      <w:r w:rsidRPr="00934238">
        <w:rPr>
          <w:rStyle w:val="eop"/>
          <w:rFonts w:ascii="Calibri" w:eastAsiaTheme="majorEastAsia" w:hAnsi="Calibri" w:cs="Calibri"/>
        </w:rPr>
        <w:t> </w:t>
      </w:r>
    </w:p>
    <w:p w14:paraId="54BE71B3" w14:textId="77777777" w:rsidR="00B51523" w:rsidRPr="00934238" w:rsidRDefault="00B51523" w:rsidP="006A3AA9">
      <w:pPr>
        <w:pStyle w:val="paragraph"/>
        <w:spacing w:before="0" w:beforeAutospacing="0" w:after="0" w:afterAutospacing="0"/>
        <w:textAlignment w:val="baseline"/>
        <w:rPr>
          <w:rStyle w:val="normaltextrun"/>
          <w:rFonts w:ascii="Calibri" w:eastAsiaTheme="majorEastAsia" w:hAnsi="Calibri" w:cs="Calibri"/>
        </w:rPr>
      </w:pPr>
    </w:p>
    <w:p w14:paraId="3F6E89CC" w14:textId="15395D56" w:rsidR="006A3AA9" w:rsidRPr="00934238" w:rsidRDefault="006A3AA9" w:rsidP="006A3AA9">
      <w:pPr>
        <w:pStyle w:val="paragraph"/>
        <w:spacing w:before="0" w:beforeAutospacing="0" w:after="0" w:afterAutospacing="0"/>
        <w:textAlignment w:val="baseline"/>
        <w:rPr>
          <w:rStyle w:val="eop"/>
          <w:rFonts w:ascii="Calibri" w:eastAsiaTheme="majorEastAsia" w:hAnsi="Calibri" w:cs="Calibri"/>
        </w:rPr>
      </w:pPr>
      <w:r w:rsidRPr="00934238">
        <w:rPr>
          <w:rStyle w:val="normaltextrun"/>
          <w:rFonts w:ascii="Calibri" w:eastAsiaTheme="majorEastAsia" w:hAnsi="Calibri" w:cs="Calibri"/>
        </w:rPr>
        <w:t xml:space="preserve">Government of the United Kingdom (2022). Measles notifications of death in England and Wales: 1940 to 2020. Available at: </w:t>
      </w:r>
      <w:hyperlink r:id="rId14" w:anchor="fnref:1" w:tgtFrame="_blank" w:history="1">
        <w:r w:rsidRPr="00934238">
          <w:rPr>
            <w:rStyle w:val="normaltextrun"/>
            <w:rFonts w:ascii="Calibri" w:eastAsiaTheme="majorEastAsia" w:hAnsi="Calibri" w:cs="Calibri"/>
            <w:color w:val="0563C1"/>
            <w:u w:val="single"/>
          </w:rPr>
          <w:t>Measles notifications and deaths in England and Wales: 1940 to 2020 - GOV.UK (www.gov.uk)</w:t>
        </w:r>
      </w:hyperlink>
      <w:r w:rsidRPr="00934238">
        <w:rPr>
          <w:rStyle w:val="normaltextrun"/>
          <w:rFonts w:ascii="Calibri" w:eastAsiaTheme="majorEastAsia" w:hAnsi="Calibri" w:cs="Calibri"/>
        </w:rPr>
        <w:t xml:space="preserve"> (Accessed in 2024).</w:t>
      </w:r>
      <w:r w:rsidRPr="00934238">
        <w:rPr>
          <w:rStyle w:val="eop"/>
          <w:rFonts w:ascii="Calibri" w:eastAsiaTheme="majorEastAsia" w:hAnsi="Calibri" w:cs="Calibri"/>
        </w:rPr>
        <w:t> </w:t>
      </w:r>
    </w:p>
    <w:p w14:paraId="5043D21A" w14:textId="77777777" w:rsidR="00B51523" w:rsidRPr="00934238" w:rsidRDefault="00B51523" w:rsidP="006A3AA9">
      <w:pPr>
        <w:pStyle w:val="paragraph"/>
        <w:spacing w:before="0" w:beforeAutospacing="0" w:after="0" w:afterAutospacing="0"/>
        <w:textAlignment w:val="baseline"/>
        <w:rPr>
          <w:rStyle w:val="eop"/>
          <w:rFonts w:ascii="Calibri" w:eastAsiaTheme="majorEastAsia" w:hAnsi="Calibri" w:cs="Calibri"/>
        </w:rPr>
      </w:pPr>
    </w:p>
    <w:p w14:paraId="028F7D98" w14:textId="77777777" w:rsidR="00C55560" w:rsidRPr="00934238" w:rsidRDefault="00372705" w:rsidP="00BB5E4D">
      <w:pPr>
        <w:rPr>
          <w:rStyle w:val="normaltextrun"/>
          <w:rFonts w:ascii="Calibri" w:hAnsi="Calibri" w:cs="Calibri"/>
          <w:color w:val="333333"/>
          <w:shd w:val="clear" w:color="auto" w:fill="FFFFFF"/>
        </w:rPr>
      </w:pPr>
      <w:r w:rsidRPr="00934238">
        <w:rPr>
          <w:rStyle w:val="normaltextrun"/>
          <w:rFonts w:ascii="Calibri" w:hAnsi="Calibri" w:cs="Calibri"/>
          <w:color w:val="333333"/>
          <w:shd w:val="clear" w:color="auto" w:fill="FFFFFF"/>
        </w:rPr>
        <w:t>Healy A.</w:t>
      </w:r>
      <w:r w:rsidR="00A85F9D" w:rsidRPr="00934238">
        <w:rPr>
          <w:rStyle w:val="normaltextrun"/>
          <w:rFonts w:ascii="Calibri" w:hAnsi="Calibri" w:cs="Calibri"/>
          <w:color w:val="333333"/>
          <w:shd w:val="clear" w:color="auto" w:fill="FFFFFF"/>
        </w:rPr>
        <w:t>(202</w:t>
      </w:r>
      <w:r w:rsidR="00C55560" w:rsidRPr="00934238">
        <w:rPr>
          <w:rStyle w:val="normaltextrun"/>
          <w:rFonts w:ascii="Calibri" w:hAnsi="Calibri" w:cs="Calibri"/>
          <w:color w:val="333333"/>
          <w:shd w:val="clear" w:color="auto" w:fill="FFFFFF"/>
        </w:rPr>
        <w:t>2)</w:t>
      </w:r>
      <w:r w:rsidRPr="00934238">
        <w:rPr>
          <w:rStyle w:val="normaltextrun"/>
          <w:rFonts w:ascii="Calibri" w:hAnsi="Calibri" w:cs="Calibri"/>
          <w:color w:val="333333"/>
          <w:shd w:val="clear" w:color="auto" w:fill="FFFFFF"/>
        </w:rPr>
        <w:t xml:space="preserve"> Measles: increasing vaccine uptake is vital in preventing outbreaks </w:t>
      </w:r>
      <w:r w:rsidRPr="00934238">
        <w:rPr>
          <w:rStyle w:val="normaltextrun"/>
          <w:rFonts w:ascii="Calibri" w:hAnsi="Calibri" w:cs="Calibri"/>
          <w:i/>
          <w:iCs/>
          <w:color w:val="333333"/>
          <w:shd w:val="clear" w:color="auto" w:fill="FFFFFF"/>
        </w:rPr>
        <w:t xml:space="preserve">BMJ </w:t>
      </w:r>
      <w:r w:rsidRPr="00934238">
        <w:rPr>
          <w:rStyle w:val="normaltextrun"/>
          <w:rFonts w:ascii="Calibri" w:hAnsi="Calibri" w:cs="Calibri"/>
          <w:color w:val="555555"/>
          <w:shd w:val="clear" w:color="auto" w:fill="FFFFFF"/>
        </w:rPr>
        <w:t xml:space="preserve">2024; Available at: </w:t>
      </w:r>
      <w:hyperlink r:id="rId15" w:tgtFrame="_blank" w:history="1">
        <w:r w:rsidRPr="00934238">
          <w:rPr>
            <w:rStyle w:val="normaltextrun"/>
            <w:rFonts w:ascii="Calibri" w:hAnsi="Calibri" w:cs="Calibri"/>
            <w:color w:val="0563C1"/>
            <w:u w:val="single"/>
            <w:shd w:val="clear" w:color="auto" w:fill="FFFFFF"/>
          </w:rPr>
          <w:t>Measles: increasing vaccine uptake is vital in preventing outbreaks | The BMJ</w:t>
        </w:r>
      </w:hyperlink>
      <w:r w:rsidRPr="00934238">
        <w:rPr>
          <w:rStyle w:val="normaltextrun"/>
          <w:rFonts w:ascii="Calibri" w:hAnsi="Calibri" w:cs="Calibri"/>
          <w:color w:val="333333"/>
          <w:shd w:val="clear" w:color="auto" w:fill="FFFFFF"/>
        </w:rPr>
        <w:t>(Accessed in 2024).</w:t>
      </w:r>
    </w:p>
    <w:p w14:paraId="2FC66FA2" w14:textId="77777777" w:rsidR="004D6CA1" w:rsidRDefault="004D6CA1" w:rsidP="00BB5E4D">
      <w:pPr>
        <w:rPr>
          <w:rStyle w:val="eop"/>
          <w:rFonts w:ascii="Calibri" w:hAnsi="Calibri" w:cs="Calibri"/>
          <w:color w:val="333333"/>
          <w:shd w:val="clear" w:color="auto" w:fill="FFFFFF"/>
        </w:rPr>
      </w:pPr>
    </w:p>
    <w:p w14:paraId="5F3927FE" w14:textId="77777777" w:rsidR="004D6CA1" w:rsidRDefault="00372705" w:rsidP="00BB5E4D">
      <w:pPr>
        <w:rPr>
          <w:rStyle w:val="eop"/>
          <w:rFonts w:ascii="Calibri" w:hAnsi="Calibri" w:cs="Calibri"/>
          <w:color w:val="333333"/>
          <w:shd w:val="clear" w:color="auto" w:fill="FFFFFF"/>
        </w:rPr>
      </w:pPr>
      <w:r w:rsidRPr="00934238">
        <w:rPr>
          <w:rStyle w:val="eop"/>
          <w:rFonts w:ascii="Calibri" w:hAnsi="Calibri" w:cs="Calibri"/>
          <w:color w:val="333333"/>
          <w:shd w:val="clear" w:color="auto" w:fill="FFFFFF"/>
        </w:rPr>
        <w:lastRenderedPageBreak/>
        <w:t> </w:t>
      </w:r>
    </w:p>
    <w:p w14:paraId="19D183E5" w14:textId="77777777" w:rsidR="004D6CA1" w:rsidRDefault="004D6CA1" w:rsidP="00BB5E4D">
      <w:pPr>
        <w:rPr>
          <w:rStyle w:val="eop"/>
          <w:rFonts w:ascii="Calibri" w:hAnsi="Calibri" w:cs="Calibri"/>
          <w:color w:val="333333"/>
          <w:shd w:val="clear" w:color="auto" w:fill="FFFFFF"/>
        </w:rPr>
      </w:pPr>
    </w:p>
    <w:p w14:paraId="551EA69A" w14:textId="2EC01424" w:rsidR="00A16497" w:rsidRPr="00934238" w:rsidRDefault="00A16497" w:rsidP="00BB5E4D">
      <w:pPr>
        <w:rPr>
          <w:rStyle w:val="eop"/>
          <w:rFonts w:ascii="Calibri" w:hAnsi="Calibri" w:cs="Calibri"/>
          <w:color w:val="212121"/>
          <w:shd w:val="clear" w:color="auto" w:fill="FFFFFF"/>
        </w:rPr>
      </w:pPr>
      <w:r w:rsidRPr="00934238">
        <w:rPr>
          <w:rStyle w:val="normaltextrun"/>
          <w:rFonts w:ascii="Calibri" w:hAnsi="Calibri" w:cs="Calibri"/>
          <w:color w:val="212121"/>
          <w:shd w:val="clear" w:color="auto" w:fill="FFFFFF"/>
        </w:rPr>
        <w:t>Hiebert, J., Zubach, V., Charlton, C. L., Fenton, J., Tipples, G. A., Fonseca, K., &amp; Severini, A. (2021). Evaluation of Diagnostic Accuracy of Eight Commercial Assays for the Detection of Measles Virus-Specific IgM Antibodies. </w:t>
      </w:r>
      <w:r w:rsidRPr="00934238">
        <w:rPr>
          <w:rStyle w:val="normaltextrun"/>
          <w:rFonts w:ascii="Calibri" w:hAnsi="Calibri" w:cs="Calibri"/>
          <w:i/>
          <w:iCs/>
          <w:color w:val="212121"/>
          <w:shd w:val="clear" w:color="auto" w:fill="FFFFFF"/>
        </w:rPr>
        <w:t>Journal of clinical microbiology</w:t>
      </w:r>
      <w:r w:rsidRPr="00934238">
        <w:rPr>
          <w:rStyle w:val="normaltextrun"/>
          <w:rFonts w:ascii="Calibri" w:hAnsi="Calibri" w:cs="Calibri"/>
          <w:color w:val="212121"/>
          <w:shd w:val="clear" w:color="auto" w:fill="FFFFFF"/>
        </w:rPr>
        <w:t>, </w:t>
      </w:r>
      <w:r w:rsidRPr="00934238">
        <w:rPr>
          <w:rStyle w:val="normaltextrun"/>
          <w:rFonts w:ascii="Calibri" w:hAnsi="Calibri" w:cs="Calibri"/>
          <w:i/>
          <w:iCs/>
          <w:color w:val="212121"/>
          <w:shd w:val="clear" w:color="auto" w:fill="FFFFFF"/>
        </w:rPr>
        <w:t>59</w:t>
      </w:r>
      <w:r w:rsidRPr="00934238">
        <w:rPr>
          <w:rStyle w:val="normaltextrun"/>
          <w:rFonts w:ascii="Calibri" w:hAnsi="Calibri" w:cs="Calibri"/>
          <w:color w:val="212121"/>
          <w:shd w:val="clear" w:color="auto" w:fill="FFFFFF"/>
        </w:rPr>
        <w:t xml:space="preserve">(6), e03161-20. </w:t>
      </w:r>
      <w:hyperlink r:id="rId16" w:tgtFrame="_blank" w:history="1">
        <w:r w:rsidRPr="00934238">
          <w:rPr>
            <w:rStyle w:val="normaltextrun"/>
            <w:rFonts w:ascii="Calibri" w:hAnsi="Calibri" w:cs="Calibri"/>
            <w:color w:val="0563C1"/>
            <w:u w:val="single"/>
            <w:shd w:val="clear" w:color="auto" w:fill="FFFFFF"/>
          </w:rPr>
          <w:t>https://doi.org/10.1128/JCM.03161-20</w:t>
        </w:r>
      </w:hyperlink>
      <w:r w:rsidRPr="00934238">
        <w:rPr>
          <w:rStyle w:val="normaltextrun"/>
          <w:rFonts w:ascii="Calibri" w:hAnsi="Calibri" w:cs="Calibri"/>
          <w:color w:val="212121"/>
          <w:shd w:val="clear" w:color="auto" w:fill="FFFFFF"/>
        </w:rPr>
        <w:t xml:space="preserve"> (Accessed in 2024).</w:t>
      </w:r>
      <w:r w:rsidRPr="00934238">
        <w:rPr>
          <w:rStyle w:val="eop"/>
          <w:rFonts w:ascii="Calibri" w:hAnsi="Calibri" w:cs="Calibri"/>
          <w:color w:val="212121"/>
          <w:shd w:val="clear" w:color="auto" w:fill="FFFFFF"/>
        </w:rPr>
        <w:t> </w:t>
      </w:r>
    </w:p>
    <w:p w14:paraId="1EF122E5" w14:textId="07795DD9" w:rsidR="00F475D2" w:rsidRPr="00934238" w:rsidRDefault="00F475D2" w:rsidP="00BB5E4D">
      <w:pPr>
        <w:rPr>
          <w:rStyle w:val="normaltextrun"/>
          <w:rFonts w:ascii="Calibri" w:hAnsi="Calibri" w:cs="Calibri"/>
          <w:color w:val="212121"/>
          <w:shd w:val="clear" w:color="auto" w:fill="FFFFFF"/>
        </w:rPr>
      </w:pPr>
      <w:r w:rsidRPr="00934238">
        <w:rPr>
          <w:rStyle w:val="normaltextrun"/>
          <w:rFonts w:ascii="Calibri" w:hAnsi="Calibri" w:cs="Calibri"/>
          <w:color w:val="212121"/>
          <w:shd w:val="clear" w:color="auto" w:fill="FFFFFF"/>
        </w:rPr>
        <w:t xml:space="preserve">Kongthavonsakul, K., Washington, C. H., &amp; Oberdorfer, P. (2012). A 6-year-old boy with fever, rash and severe pneumonia. </w:t>
      </w:r>
      <w:r w:rsidRPr="00934238">
        <w:rPr>
          <w:rStyle w:val="normaltextrun"/>
          <w:rFonts w:ascii="Calibri" w:hAnsi="Calibri" w:cs="Calibri"/>
          <w:i/>
          <w:iCs/>
          <w:color w:val="212121"/>
          <w:shd w:val="clear" w:color="auto" w:fill="FFFFFF"/>
        </w:rPr>
        <w:t>BMJ case reports</w:t>
      </w:r>
      <w:r w:rsidRPr="00934238">
        <w:rPr>
          <w:rStyle w:val="normaltextrun"/>
          <w:rFonts w:ascii="Calibri" w:hAnsi="Calibri" w:cs="Calibri"/>
          <w:color w:val="212121"/>
          <w:shd w:val="clear" w:color="auto" w:fill="FFFFFF"/>
        </w:rPr>
        <w:t xml:space="preserve">, </w:t>
      </w:r>
      <w:r w:rsidRPr="00934238">
        <w:rPr>
          <w:rStyle w:val="normaltextrun"/>
          <w:rFonts w:ascii="Calibri" w:hAnsi="Calibri" w:cs="Calibri"/>
          <w:i/>
          <w:iCs/>
          <w:color w:val="212121"/>
          <w:shd w:val="clear" w:color="auto" w:fill="FFFFFF"/>
        </w:rPr>
        <w:t>2012</w:t>
      </w:r>
      <w:r w:rsidRPr="00934238">
        <w:rPr>
          <w:rStyle w:val="normaltextrun"/>
          <w:rFonts w:ascii="Calibri" w:hAnsi="Calibri" w:cs="Calibri"/>
          <w:color w:val="212121"/>
          <w:shd w:val="clear" w:color="auto" w:fill="FFFFFF"/>
        </w:rPr>
        <w:t xml:space="preserve">, bcr1220115411. </w:t>
      </w:r>
      <w:r w:rsidRPr="00934238">
        <w:rPr>
          <w:rStyle w:val="normaltextrun"/>
          <w:rFonts w:ascii="Calibri" w:hAnsi="Calibri" w:cs="Calibri"/>
          <w:color w:val="000000"/>
          <w:shd w:val="clear" w:color="auto" w:fill="FFFFFF"/>
        </w:rPr>
        <w:t>https://doi.org/10.1136/bcr.12.2011.5411 (Accessed in 2024).</w:t>
      </w:r>
      <w:r w:rsidRPr="00934238">
        <w:rPr>
          <w:rStyle w:val="eop"/>
          <w:rFonts w:ascii="Calibri" w:hAnsi="Calibri" w:cs="Calibri"/>
          <w:color w:val="000000"/>
          <w:shd w:val="clear" w:color="auto" w:fill="FFFFFF"/>
        </w:rPr>
        <w:t> </w:t>
      </w:r>
    </w:p>
    <w:p w14:paraId="211952DA" w14:textId="1677BE58" w:rsidR="00B51523" w:rsidRPr="00934238" w:rsidRDefault="00A16497" w:rsidP="00BB5E4D">
      <w:pPr>
        <w:rPr>
          <w:rStyle w:val="eop"/>
          <w:rFonts w:ascii="Calibri" w:hAnsi="Calibri" w:cs="Calibri"/>
          <w:color w:val="212121"/>
          <w:shd w:val="clear" w:color="auto" w:fill="FFFFFF"/>
        </w:rPr>
      </w:pPr>
      <w:r w:rsidRPr="00934238">
        <w:rPr>
          <w:rStyle w:val="normaltextrun"/>
          <w:rFonts w:ascii="Calibri" w:hAnsi="Calibri" w:cs="Calibri"/>
          <w:color w:val="212121"/>
          <w:shd w:val="clear" w:color="auto" w:fill="FFFFFF"/>
        </w:rPr>
        <w:t>Morse, D., O'Shea, M., Hamilton, G., Soltanpoor, N., Leece, G., Miller, E., &amp; Brown, D. (1994). Outbreak of measles in a teenage school population: the need to immunize susceptible adolescents. </w:t>
      </w:r>
      <w:r w:rsidRPr="00934238">
        <w:rPr>
          <w:rStyle w:val="normaltextrun"/>
          <w:rFonts w:ascii="Calibri" w:hAnsi="Calibri" w:cs="Calibri"/>
          <w:i/>
          <w:iCs/>
          <w:color w:val="212121"/>
          <w:shd w:val="clear" w:color="auto" w:fill="FFFFFF"/>
        </w:rPr>
        <w:t>Epidemiology and infection</w:t>
      </w:r>
      <w:r w:rsidRPr="00934238">
        <w:rPr>
          <w:rStyle w:val="normaltextrun"/>
          <w:rFonts w:ascii="Calibri" w:hAnsi="Calibri" w:cs="Calibri"/>
          <w:color w:val="212121"/>
          <w:shd w:val="clear" w:color="auto" w:fill="FFFFFF"/>
        </w:rPr>
        <w:t>, </w:t>
      </w:r>
      <w:r w:rsidRPr="00934238">
        <w:rPr>
          <w:rStyle w:val="normaltextrun"/>
          <w:rFonts w:ascii="Calibri" w:hAnsi="Calibri" w:cs="Calibri"/>
          <w:i/>
          <w:iCs/>
          <w:color w:val="212121"/>
          <w:shd w:val="clear" w:color="auto" w:fill="FFFFFF"/>
        </w:rPr>
        <w:t>113</w:t>
      </w:r>
      <w:r w:rsidRPr="00934238">
        <w:rPr>
          <w:rStyle w:val="normaltextrun"/>
          <w:rFonts w:ascii="Calibri" w:hAnsi="Calibri" w:cs="Calibri"/>
          <w:color w:val="212121"/>
          <w:shd w:val="clear" w:color="auto" w:fill="FFFFFF"/>
        </w:rPr>
        <w:t xml:space="preserve">(2), 355–365. </w:t>
      </w:r>
      <w:hyperlink r:id="rId17" w:tgtFrame="_blank" w:history="1">
        <w:r w:rsidRPr="00934238">
          <w:rPr>
            <w:rStyle w:val="normaltextrun"/>
            <w:rFonts w:ascii="Calibri" w:hAnsi="Calibri" w:cs="Calibri"/>
            <w:color w:val="0563C1"/>
            <w:u w:val="single"/>
            <w:shd w:val="clear" w:color="auto" w:fill="FFFFFF"/>
          </w:rPr>
          <w:t>https://doi.org/10.1017/s0950268800051785</w:t>
        </w:r>
      </w:hyperlink>
      <w:r w:rsidRPr="00934238">
        <w:rPr>
          <w:rStyle w:val="normaltextrun"/>
          <w:rFonts w:ascii="Calibri" w:hAnsi="Calibri" w:cs="Calibri"/>
          <w:color w:val="212121"/>
          <w:shd w:val="clear" w:color="auto" w:fill="FFFFFF"/>
        </w:rPr>
        <w:t xml:space="preserve"> (Accessed in 2024)</w:t>
      </w:r>
      <w:r w:rsidR="00F475D2" w:rsidRPr="00934238">
        <w:rPr>
          <w:rStyle w:val="eop"/>
          <w:rFonts w:ascii="Calibri" w:hAnsi="Calibri" w:cs="Calibri"/>
          <w:color w:val="212121"/>
          <w:shd w:val="clear" w:color="auto" w:fill="FFFFFF"/>
        </w:rPr>
        <w:t>.</w:t>
      </w:r>
    </w:p>
    <w:p w14:paraId="7F128AE1" w14:textId="3629166E" w:rsidR="00641426" w:rsidRPr="00934238" w:rsidRDefault="00641426" w:rsidP="00BB5E4D">
      <w:pPr>
        <w:rPr>
          <w:rStyle w:val="normaltextrun"/>
          <w:rFonts w:ascii="Calibri" w:hAnsi="Calibri" w:cs="Calibri"/>
          <w:color w:val="000000"/>
          <w:shd w:val="clear" w:color="auto" w:fill="FFFFFF"/>
        </w:rPr>
      </w:pPr>
      <w:r w:rsidRPr="00934238">
        <w:rPr>
          <w:rStyle w:val="normaltextrun"/>
          <w:rFonts w:ascii="Calibri" w:hAnsi="Calibri" w:cs="Calibri"/>
          <w:color w:val="212121"/>
          <w:shd w:val="clear" w:color="auto" w:fill="FFFFFF"/>
        </w:rPr>
        <w:t xml:space="preserve">Mulchandani, R., Sibal, B., Phillips, A., Suleman, S., Banerjee, A., Teagle, R., Foulkes, S., Spence, K., &amp; Edeghere, O. (2021). A large outbreak of measles in the West Midlands, England, 2017-2018: descriptive epidemiology, control measures and lessons learnt. </w:t>
      </w:r>
      <w:r w:rsidRPr="00934238">
        <w:rPr>
          <w:rStyle w:val="normaltextrun"/>
          <w:rFonts w:ascii="Calibri" w:hAnsi="Calibri" w:cs="Calibri"/>
          <w:i/>
          <w:iCs/>
          <w:color w:val="212121"/>
          <w:shd w:val="clear" w:color="auto" w:fill="FFFFFF"/>
        </w:rPr>
        <w:t>Epidemiology and infection</w:t>
      </w:r>
      <w:r w:rsidRPr="00934238">
        <w:rPr>
          <w:rStyle w:val="normaltextrun"/>
          <w:rFonts w:ascii="Calibri" w:hAnsi="Calibri" w:cs="Calibri"/>
          <w:color w:val="212121"/>
          <w:shd w:val="clear" w:color="auto" w:fill="FFFFFF"/>
        </w:rPr>
        <w:t xml:space="preserve">, </w:t>
      </w:r>
      <w:r w:rsidRPr="00934238">
        <w:rPr>
          <w:rStyle w:val="normaltextrun"/>
          <w:rFonts w:ascii="Calibri" w:hAnsi="Calibri" w:cs="Calibri"/>
          <w:i/>
          <w:iCs/>
          <w:color w:val="212121"/>
          <w:shd w:val="clear" w:color="auto" w:fill="FFFFFF"/>
        </w:rPr>
        <w:t>149</w:t>
      </w:r>
      <w:r w:rsidRPr="00934238">
        <w:rPr>
          <w:rStyle w:val="normaltextrun"/>
          <w:rFonts w:ascii="Calibri" w:hAnsi="Calibri" w:cs="Calibri"/>
          <w:color w:val="212121"/>
          <w:shd w:val="clear" w:color="auto" w:fill="FFFFFF"/>
        </w:rPr>
        <w:t xml:space="preserve">, e114. </w:t>
      </w:r>
      <w:hyperlink r:id="rId18" w:tgtFrame="_blank" w:history="1">
        <w:r w:rsidRPr="00934238">
          <w:rPr>
            <w:rStyle w:val="normaltextrun"/>
            <w:rFonts w:ascii="Calibri" w:hAnsi="Calibri" w:cs="Calibri"/>
            <w:color w:val="0563C1"/>
            <w:u w:val="single"/>
            <w:shd w:val="clear" w:color="auto" w:fill="FFFFFF"/>
          </w:rPr>
          <w:t>https://doi.org/10.1017/S0950268821000868</w:t>
        </w:r>
      </w:hyperlink>
      <w:r w:rsidRPr="00934238">
        <w:rPr>
          <w:rStyle w:val="normaltextrun"/>
          <w:rFonts w:ascii="Calibri" w:hAnsi="Calibri" w:cs="Calibri"/>
          <w:color w:val="212121"/>
          <w:shd w:val="clear" w:color="auto" w:fill="FFFFFF"/>
        </w:rPr>
        <w:t xml:space="preserve"> (Accessed in 2024).</w:t>
      </w:r>
      <w:r w:rsidRPr="00934238">
        <w:rPr>
          <w:rStyle w:val="eop"/>
          <w:rFonts w:ascii="Calibri" w:hAnsi="Calibri" w:cs="Calibri"/>
          <w:color w:val="212121"/>
          <w:shd w:val="clear" w:color="auto" w:fill="FFFFFF"/>
        </w:rPr>
        <w:t> </w:t>
      </w:r>
    </w:p>
    <w:p w14:paraId="1933C412" w14:textId="0566D1A1" w:rsidR="00F475D2" w:rsidRPr="00934238" w:rsidRDefault="00DF48D0" w:rsidP="00BB5E4D">
      <w:pPr>
        <w:rPr>
          <w:rStyle w:val="eop"/>
          <w:rFonts w:ascii="Calibri" w:hAnsi="Calibri" w:cs="Calibri"/>
          <w:color w:val="000000"/>
          <w:shd w:val="clear" w:color="auto" w:fill="FFFFFF"/>
        </w:rPr>
      </w:pPr>
      <w:r w:rsidRPr="00934238">
        <w:rPr>
          <w:rStyle w:val="normaltextrun"/>
          <w:rFonts w:ascii="Calibri" w:hAnsi="Calibri" w:cs="Calibri"/>
          <w:color w:val="000000"/>
          <w:shd w:val="clear" w:color="auto" w:fill="FFFFFF"/>
        </w:rPr>
        <w:t xml:space="preserve">National Health England (NHS),(2024). NHS launches catch-up campaign for missed MMR vaccine. Available at: </w:t>
      </w:r>
      <w:hyperlink r:id="rId19" w:tgtFrame="_blank" w:history="1">
        <w:r w:rsidRPr="00934238">
          <w:rPr>
            <w:rStyle w:val="normaltextrun"/>
            <w:rFonts w:ascii="Calibri" w:hAnsi="Calibri" w:cs="Calibri"/>
            <w:color w:val="0563C1"/>
            <w:u w:val="single"/>
            <w:shd w:val="clear" w:color="auto" w:fill="FFFFFF"/>
          </w:rPr>
          <w:t>NHS England launches catch up campaign for missed MMR vaccines.</w:t>
        </w:r>
      </w:hyperlink>
      <w:r w:rsidRPr="00934238">
        <w:rPr>
          <w:rStyle w:val="normaltextrun"/>
          <w:rFonts w:ascii="Calibri" w:hAnsi="Calibri" w:cs="Calibri"/>
          <w:color w:val="000000"/>
          <w:shd w:val="clear" w:color="auto" w:fill="FFFFFF"/>
        </w:rPr>
        <w:t xml:space="preserve"> (Accessed in 2024).</w:t>
      </w:r>
      <w:r w:rsidRPr="00934238">
        <w:rPr>
          <w:rStyle w:val="eop"/>
          <w:rFonts w:ascii="Calibri" w:hAnsi="Calibri" w:cs="Calibri"/>
          <w:color w:val="000000"/>
          <w:shd w:val="clear" w:color="auto" w:fill="FFFFFF"/>
        </w:rPr>
        <w:t> </w:t>
      </w:r>
    </w:p>
    <w:p w14:paraId="3DCA281E" w14:textId="77777777" w:rsidR="00934238" w:rsidRDefault="00DF48D0" w:rsidP="00934238">
      <w:pPr>
        <w:rPr>
          <w:rStyle w:val="eop"/>
          <w:rFonts w:ascii="Calibri" w:hAnsi="Calibri" w:cs="Calibri"/>
          <w:color w:val="2C3E50"/>
          <w:shd w:val="clear" w:color="auto" w:fill="FFFFFF"/>
        </w:rPr>
      </w:pPr>
      <w:r w:rsidRPr="00934238">
        <w:rPr>
          <w:rStyle w:val="normaltextrun"/>
          <w:rFonts w:ascii="Calibri" w:hAnsi="Calibri" w:cs="Calibri"/>
          <w:color w:val="2C3E50"/>
          <w:shd w:val="clear" w:color="auto" w:fill="FFFFFF"/>
        </w:rPr>
        <w:t>National Institute for Health and Care Excellence (2024) How common it is?</w:t>
      </w:r>
      <w:r w:rsidRPr="00934238">
        <w:rPr>
          <w:rStyle w:val="normaltextrun"/>
          <w:rFonts w:ascii="Calibri" w:hAnsi="Calibri" w:cs="Calibri"/>
          <w:i/>
          <w:iCs/>
          <w:color w:val="2C3E50"/>
          <w:shd w:val="clear" w:color="auto" w:fill="FFFFFF"/>
        </w:rPr>
        <w:t xml:space="preserve"> Available at: </w:t>
      </w:r>
      <w:hyperlink r:id="rId20" w:tgtFrame="_blank" w:history="1">
        <w:r w:rsidRPr="00934238">
          <w:rPr>
            <w:rStyle w:val="normaltextrun"/>
            <w:rFonts w:ascii="Calibri" w:hAnsi="Calibri" w:cs="Calibri"/>
            <w:color w:val="0563C1"/>
            <w:u w:val="single"/>
            <w:shd w:val="clear" w:color="auto" w:fill="FFFFFF"/>
          </w:rPr>
          <w:t>https://cks.nice.org.uk/topics/measles/background-information/prevalence/</w:t>
        </w:r>
      </w:hyperlink>
      <w:r w:rsidRPr="00934238">
        <w:rPr>
          <w:rStyle w:val="normaltextrun"/>
          <w:rFonts w:ascii="Calibri" w:hAnsi="Calibri" w:cs="Calibri"/>
          <w:color w:val="2C3E50"/>
          <w:shd w:val="clear" w:color="auto" w:fill="FFFFFF"/>
        </w:rPr>
        <w:t>. (Accessed in 2024</w:t>
      </w:r>
      <w:r w:rsidRPr="00934238">
        <w:rPr>
          <w:rStyle w:val="eop"/>
          <w:rFonts w:ascii="Calibri" w:hAnsi="Calibri" w:cs="Calibri"/>
          <w:color w:val="2C3E50"/>
          <w:shd w:val="clear" w:color="auto" w:fill="FFFFFF"/>
        </w:rPr>
        <w:t> ).</w:t>
      </w:r>
    </w:p>
    <w:p w14:paraId="56635670" w14:textId="1DB181B8" w:rsidR="00FE4742" w:rsidRPr="00934238" w:rsidRDefault="00FE4742" w:rsidP="00934238">
      <w:pPr>
        <w:rPr>
          <w:rFonts w:ascii="Calibri" w:hAnsi="Calibri" w:cs="Calibri"/>
          <w:color w:val="2C3E50"/>
          <w:shd w:val="clear" w:color="auto" w:fill="FFFFFF"/>
        </w:rPr>
      </w:pPr>
      <w:r w:rsidRPr="00934238">
        <w:rPr>
          <w:rStyle w:val="normaltextrun"/>
          <w:rFonts w:ascii="Calibri" w:hAnsi="Calibri" w:cs="Calibri"/>
          <w:color w:val="212121"/>
        </w:rPr>
        <w:t xml:space="preserve">Nicoll, A., Elliman, D., &amp; Ross, E. (1998). MMR vaccination and autism 1998. </w:t>
      </w:r>
      <w:r w:rsidRPr="00934238">
        <w:rPr>
          <w:rStyle w:val="normaltextrun"/>
          <w:rFonts w:ascii="Calibri" w:hAnsi="Calibri" w:cs="Calibri"/>
          <w:i/>
          <w:iCs/>
          <w:color w:val="212121"/>
        </w:rPr>
        <w:t>BMJ (Clinical research ed.)</w:t>
      </w:r>
      <w:r w:rsidRPr="00934238">
        <w:rPr>
          <w:rStyle w:val="normaltextrun"/>
          <w:rFonts w:ascii="Calibri" w:hAnsi="Calibri" w:cs="Calibri"/>
          <w:color w:val="212121"/>
        </w:rPr>
        <w:t xml:space="preserve">, </w:t>
      </w:r>
      <w:r w:rsidRPr="00934238">
        <w:rPr>
          <w:rStyle w:val="normaltextrun"/>
          <w:rFonts w:ascii="Calibri" w:hAnsi="Calibri" w:cs="Calibri"/>
          <w:i/>
          <w:iCs/>
          <w:color w:val="212121"/>
        </w:rPr>
        <w:t>316</w:t>
      </w:r>
      <w:r w:rsidRPr="00934238">
        <w:rPr>
          <w:rStyle w:val="normaltextrun"/>
          <w:rFonts w:ascii="Calibri" w:hAnsi="Calibri" w:cs="Calibri"/>
          <w:color w:val="212121"/>
        </w:rPr>
        <w:t xml:space="preserve">(7133), 715–716. </w:t>
      </w:r>
      <w:hyperlink r:id="rId21" w:tgtFrame="_blank" w:history="1">
        <w:r w:rsidRPr="00934238">
          <w:rPr>
            <w:rStyle w:val="normaltextrun"/>
            <w:rFonts w:ascii="Calibri" w:hAnsi="Calibri" w:cs="Calibri"/>
            <w:color w:val="0563C1"/>
            <w:u w:val="single"/>
          </w:rPr>
          <w:t>https://doi.org/10.1136/bmj.316.7133.715</w:t>
        </w:r>
      </w:hyperlink>
      <w:r w:rsidRPr="00934238">
        <w:rPr>
          <w:rStyle w:val="normaltextrun"/>
          <w:rFonts w:ascii="Calibri" w:hAnsi="Calibri" w:cs="Calibri"/>
        </w:rPr>
        <w:t xml:space="preserve"> (Accessed in 2024).</w:t>
      </w:r>
      <w:r w:rsidRPr="00934238">
        <w:rPr>
          <w:rStyle w:val="eop"/>
          <w:rFonts w:ascii="Calibri" w:hAnsi="Calibri" w:cs="Calibri"/>
        </w:rPr>
        <w:t> </w:t>
      </w:r>
    </w:p>
    <w:p w14:paraId="5E304212" w14:textId="3E62092E" w:rsidR="00FE4742" w:rsidRPr="00934238" w:rsidRDefault="00FE4742" w:rsidP="00FE4742">
      <w:pPr>
        <w:pStyle w:val="paragraph"/>
        <w:spacing w:before="0" w:beforeAutospacing="0" w:after="0" w:afterAutospacing="0"/>
        <w:textAlignment w:val="baseline"/>
        <w:rPr>
          <w:rFonts w:ascii="Calibri" w:hAnsi="Calibri" w:cs="Calibri"/>
        </w:rPr>
      </w:pPr>
      <w:r w:rsidRPr="00934238">
        <w:rPr>
          <w:rStyle w:val="eop"/>
          <w:rFonts w:ascii="Calibri" w:eastAsiaTheme="majorEastAsia" w:hAnsi="Calibri" w:cs="Calibri"/>
        </w:rPr>
        <w:t> </w:t>
      </w:r>
      <w:r w:rsidRPr="00934238">
        <w:rPr>
          <w:rStyle w:val="normaltextrun"/>
          <w:rFonts w:ascii="Calibri" w:eastAsiaTheme="majorEastAsia" w:hAnsi="Calibri" w:cs="Calibri"/>
        </w:rPr>
        <w:t>NHS England (2024) NHS launches catch up campaign for missed MMR vaccines. Available at:</w:t>
      </w:r>
      <w:r w:rsidRPr="00934238">
        <w:rPr>
          <w:rStyle w:val="eop"/>
          <w:rFonts w:ascii="Calibri" w:eastAsiaTheme="majorEastAsia" w:hAnsi="Calibri" w:cs="Calibri"/>
        </w:rPr>
        <w:t> </w:t>
      </w:r>
    </w:p>
    <w:p w14:paraId="7C6391EA" w14:textId="77777777" w:rsidR="00FE4742" w:rsidRPr="00934238" w:rsidRDefault="00000000" w:rsidP="00FE4742">
      <w:pPr>
        <w:pStyle w:val="paragraph"/>
        <w:spacing w:before="0" w:beforeAutospacing="0" w:after="0" w:afterAutospacing="0"/>
        <w:textAlignment w:val="baseline"/>
        <w:rPr>
          <w:rFonts w:ascii="Calibri" w:hAnsi="Calibri" w:cs="Calibri"/>
        </w:rPr>
      </w:pPr>
      <w:hyperlink r:id="rId22" w:tgtFrame="_blank" w:history="1">
        <w:r w:rsidR="00FE4742" w:rsidRPr="00934238">
          <w:rPr>
            <w:rStyle w:val="normaltextrun"/>
            <w:rFonts w:ascii="Calibri" w:eastAsiaTheme="majorEastAsia" w:hAnsi="Calibri" w:cs="Calibri"/>
            <w:color w:val="0563C1"/>
            <w:u w:val="single"/>
          </w:rPr>
          <w:t>NHS England » NHS launches catch up campaign for missed MMR vaccines</w:t>
        </w:r>
      </w:hyperlink>
      <w:r w:rsidR="00FE4742" w:rsidRPr="00934238">
        <w:rPr>
          <w:rStyle w:val="normaltextrun"/>
          <w:rFonts w:ascii="Calibri" w:eastAsiaTheme="majorEastAsia" w:hAnsi="Calibri" w:cs="Calibri"/>
        </w:rPr>
        <w:t xml:space="preserve"> (Accessed in 2024).</w:t>
      </w:r>
      <w:r w:rsidR="00FE4742" w:rsidRPr="00934238">
        <w:rPr>
          <w:rStyle w:val="eop"/>
          <w:rFonts w:ascii="Calibri" w:eastAsiaTheme="majorEastAsia" w:hAnsi="Calibri" w:cs="Calibri"/>
        </w:rPr>
        <w:t> </w:t>
      </w:r>
    </w:p>
    <w:p w14:paraId="1F1F45CF" w14:textId="77777777" w:rsidR="009848AC" w:rsidRPr="00934238" w:rsidRDefault="009848AC" w:rsidP="009848AC">
      <w:pPr>
        <w:pStyle w:val="paragraph"/>
        <w:spacing w:before="0" w:beforeAutospacing="0" w:after="0" w:afterAutospacing="0"/>
        <w:textAlignment w:val="baseline"/>
        <w:rPr>
          <w:rStyle w:val="normaltextrun"/>
          <w:rFonts w:ascii="Calibri" w:eastAsiaTheme="majorEastAsia" w:hAnsi="Calibri" w:cs="Calibri"/>
        </w:rPr>
      </w:pPr>
    </w:p>
    <w:p w14:paraId="4FB536D0" w14:textId="77777777" w:rsidR="00934238" w:rsidRDefault="00934238" w:rsidP="009848AC">
      <w:pPr>
        <w:pStyle w:val="paragraph"/>
        <w:spacing w:before="0" w:beforeAutospacing="0" w:after="0" w:afterAutospacing="0"/>
        <w:textAlignment w:val="baseline"/>
        <w:rPr>
          <w:rStyle w:val="normaltextrun"/>
          <w:rFonts w:ascii="Calibri" w:eastAsiaTheme="majorEastAsia" w:hAnsi="Calibri" w:cs="Calibri"/>
        </w:rPr>
      </w:pPr>
    </w:p>
    <w:p w14:paraId="2ADDD984" w14:textId="77777777" w:rsidR="00934238" w:rsidRDefault="00934238" w:rsidP="009848AC">
      <w:pPr>
        <w:pStyle w:val="paragraph"/>
        <w:spacing w:before="0" w:beforeAutospacing="0" w:after="0" w:afterAutospacing="0"/>
        <w:textAlignment w:val="baseline"/>
        <w:rPr>
          <w:rStyle w:val="normaltextrun"/>
          <w:rFonts w:ascii="Calibri" w:eastAsiaTheme="majorEastAsia" w:hAnsi="Calibri" w:cs="Calibri"/>
        </w:rPr>
      </w:pPr>
    </w:p>
    <w:p w14:paraId="218D5241" w14:textId="77777777" w:rsidR="00934238" w:rsidRDefault="00934238" w:rsidP="009848AC">
      <w:pPr>
        <w:pStyle w:val="paragraph"/>
        <w:spacing w:before="0" w:beforeAutospacing="0" w:after="0" w:afterAutospacing="0"/>
        <w:textAlignment w:val="baseline"/>
        <w:rPr>
          <w:rStyle w:val="normaltextrun"/>
          <w:rFonts w:ascii="Calibri" w:eastAsiaTheme="majorEastAsia" w:hAnsi="Calibri" w:cs="Calibri"/>
        </w:rPr>
      </w:pPr>
    </w:p>
    <w:p w14:paraId="25904F98" w14:textId="77777777" w:rsidR="00934238" w:rsidRDefault="00934238" w:rsidP="009848AC">
      <w:pPr>
        <w:pStyle w:val="paragraph"/>
        <w:spacing w:before="0" w:beforeAutospacing="0" w:after="0" w:afterAutospacing="0"/>
        <w:textAlignment w:val="baseline"/>
        <w:rPr>
          <w:rStyle w:val="normaltextrun"/>
          <w:rFonts w:ascii="Calibri" w:eastAsiaTheme="majorEastAsia" w:hAnsi="Calibri" w:cs="Calibri"/>
        </w:rPr>
      </w:pPr>
    </w:p>
    <w:p w14:paraId="02A71691" w14:textId="45994F9F" w:rsidR="009848AC" w:rsidRPr="00934238" w:rsidRDefault="009848AC" w:rsidP="009848AC">
      <w:pPr>
        <w:pStyle w:val="paragraph"/>
        <w:spacing w:before="0" w:beforeAutospacing="0" w:after="0" w:afterAutospacing="0"/>
        <w:textAlignment w:val="baseline"/>
        <w:rPr>
          <w:rFonts w:ascii="Calibri" w:hAnsi="Calibri" w:cs="Calibri"/>
        </w:rPr>
      </w:pPr>
      <w:r w:rsidRPr="00934238">
        <w:rPr>
          <w:rStyle w:val="normaltextrun"/>
          <w:rFonts w:ascii="Calibri" w:eastAsiaTheme="majorEastAsia" w:hAnsi="Calibri" w:cs="Calibri"/>
        </w:rPr>
        <w:t>National Institute for Health and Care Excellence (2024). Measles. Available at:</w:t>
      </w:r>
      <w:r w:rsidRPr="00934238">
        <w:rPr>
          <w:rStyle w:val="eop"/>
          <w:rFonts w:ascii="Calibri" w:eastAsiaTheme="majorEastAsia" w:hAnsi="Calibri" w:cs="Calibri"/>
        </w:rPr>
        <w:t> </w:t>
      </w:r>
    </w:p>
    <w:p w14:paraId="5F197B49" w14:textId="77777777" w:rsidR="009848AC" w:rsidRPr="00934238" w:rsidRDefault="00000000" w:rsidP="009848AC">
      <w:pPr>
        <w:pStyle w:val="paragraph"/>
        <w:spacing w:before="0" w:beforeAutospacing="0" w:after="0" w:afterAutospacing="0"/>
        <w:textAlignment w:val="baseline"/>
        <w:rPr>
          <w:rFonts w:ascii="Calibri" w:hAnsi="Calibri" w:cs="Calibri"/>
        </w:rPr>
      </w:pPr>
      <w:hyperlink r:id="rId23" w:tgtFrame="_blank" w:history="1">
        <w:r w:rsidR="009848AC" w:rsidRPr="00934238">
          <w:rPr>
            <w:rStyle w:val="normaltextrun"/>
            <w:rFonts w:ascii="Calibri" w:eastAsiaTheme="majorEastAsia" w:hAnsi="Calibri" w:cs="Calibri"/>
            <w:color w:val="0563C1"/>
            <w:u w:val="single"/>
          </w:rPr>
          <w:t>Measles | Health topics A to Z | CKS | NICE.</w:t>
        </w:r>
      </w:hyperlink>
      <w:r w:rsidR="009848AC" w:rsidRPr="00934238">
        <w:rPr>
          <w:rStyle w:val="normaltextrun"/>
          <w:rFonts w:ascii="Calibri" w:eastAsiaTheme="majorEastAsia" w:hAnsi="Calibri" w:cs="Calibri"/>
        </w:rPr>
        <w:t xml:space="preserve"> (Accessed in 2024).</w:t>
      </w:r>
      <w:r w:rsidR="009848AC" w:rsidRPr="00934238">
        <w:rPr>
          <w:rStyle w:val="eop"/>
          <w:rFonts w:ascii="Calibri" w:eastAsiaTheme="majorEastAsia" w:hAnsi="Calibri" w:cs="Calibri"/>
        </w:rPr>
        <w:t> </w:t>
      </w:r>
    </w:p>
    <w:p w14:paraId="6F9B8BB7" w14:textId="77777777" w:rsidR="009848AC" w:rsidRPr="00934238" w:rsidRDefault="009848AC" w:rsidP="009848AC">
      <w:pPr>
        <w:pStyle w:val="paragraph"/>
        <w:spacing w:before="0" w:beforeAutospacing="0" w:after="0" w:afterAutospacing="0"/>
        <w:textAlignment w:val="baseline"/>
        <w:rPr>
          <w:rFonts w:ascii="Calibri" w:hAnsi="Calibri" w:cs="Calibri"/>
        </w:rPr>
      </w:pPr>
      <w:r w:rsidRPr="00934238">
        <w:rPr>
          <w:rStyle w:val="eop"/>
          <w:rFonts w:ascii="Calibri" w:eastAsiaTheme="majorEastAsia" w:hAnsi="Calibri" w:cs="Calibri"/>
        </w:rPr>
        <w:t> </w:t>
      </w:r>
    </w:p>
    <w:p w14:paraId="3D4BE76A" w14:textId="77777777" w:rsidR="009848AC" w:rsidRPr="00934238" w:rsidRDefault="009848AC" w:rsidP="009848AC">
      <w:pPr>
        <w:pStyle w:val="paragraph"/>
        <w:spacing w:before="0" w:beforeAutospacing="0" w:after="0" w:afterAutospacing="0"/>
        <w:textAlignment w:val="baseline"/>
        <w:rPr>
          <w:rFonts w:ascii="Calibri" w:hAnsi="Calibri" w:cs="Calibri"/>
        </w:rPr>
      </w:pPr>
      <w:r w:rsidRPr="00934238">
        <w:rPr>
          <w:rStyle w:val="normaltextrun"/>
          <w:rFonts w:ascii="Calibri" w:eastAsiaTheme="majorEastAsia" w:hAnsi="Calibri" w:cs="Calibri"/>
        </w:rPr>
        <w:t xml:space="preserve">Nuffield Trust (2024) Vaccination coverage for children and mothers. Available at: </w:t>
      </w:r>
      <w:hyperlink r:id="rId24" w:tgtFrame="_blank" w:history="1">
        <w:r w:rsidRPr="00934238">
          <w:rPr>
            <w:rStyle w:val="normaltextrun"/>
            <w:rFonts w:ascii="Calibri" w:eastAsiaTheme="majorEastAsia" w:hAnsi="Calibri" w:cs="Calibri"/>
            <w:color w:val="0563C1"/>
            <w:u w:val="single"/>
          </w:rPr>
          <w:t>Vaccination coverage for children and mothers | Nuffield Trust.</w:t>
        </w:r>
      </w:hyperlink>
      <w:r w:rsidRPr="00934238">
        <w:rPr>
          <w:rStyle w:val="normaltextrun"/>
          <w:rFonts w:ascii="Calibri" w:eastAsiaTheme="majorEastAsia" w:hAnsi="Calibri" w:cs="Calibri"/>
        </w:rPr>
        <w:t xml:space="preserve"> (Accessed in 2024)</w:t>
      </w:r>
      <w:r w:rsidRPr="00934238">
        <w:rPr>
          <w:rStyle w:val="eop"/>
          <w:rFonts w:ascii="Calibri" w:eastAsiaTheme="majorEastAsia" w:hAnsi="Calibri" w:cs="Calibri"/>
        </w:rPr>
        <w:t> </w:t>
      </w:r>
    </w:p>
    <w:p w14:paraId="0278A4DE" w14:textId="3E925843" w:rsidR="00D32CB1" w:rsidRPr="00934238" w:rsidRDefault="00997F93" w:rsidP="00BB5E4D">
      <w:pPr>
        <w:rPr>
          <w:rStyle w:val="eop"/>
          <w:rFonts w:ascii="Calibri" w:hAnsi="Calibri" w:cs="Calibri"/>
          <w:color w:val="000000"/>
          <w:shd w:val="clear" w:color="auto" w:fill="FFFFFF"/>
        </w:rPr>
      </w:pPr>
      <w:r w:rsidRPr="00934238">
        <w:rPr>
          <w:rStyle w:val="normaltextrun"/>
          <w:rFonts w:ascii="Calibri" w:hAnsi="Calibri" w:cs="Calibri"/>
          <w:color w:val="212121"/>
          <w:shd w:val="clear" w:color="auto" w:fill="FFFFFF"/>
        </w:rPr>
        <w:t xml:space="preserve">UK Health Security Agency (2019) Why have we seen an increase in measles cases? Available at: </w:t>
      </w:r>
      <w:hyperlink r:id="rId25" w:tgtFrame="_blank" w:history="1">
        <w:r w:rsidRPr="00934238">
          <w:rPr>
            <w:rStyle w:val="normaltextrun"/>
            <w:rFonts w:ascii="Calibri" w:hAnsi="Calibri" w:cs="Calibri"/>
            <w:color w:val="0563C1"/>
            <w:u w:val="single"/>
            <w:shd w:val="clear" w:color="auto" w:fill="FFFFFF"/>
          </w:rPr>
          <w:t>Why have we seen an increase in measles cases? - UK Health Security Agency (blog.gov.uk)</w:t>
        </w:r>
      </w:hyperlink>
      <w:r w:rsidRPr="00934238">
        <w:rPr>
          <w:rStyle w:val="normaltextrun"/>
          <w:rFonts w:ascii="Calibri" w:hAnsi="Calibri" w:cs="Calibri"/>
          <w:color w:val="000000"/>
          <w:shd w:val="clear" w:color="auto" w:fill="FFFFFF"/>
        </w:rPr>
        <w:t xml:space="preserve"> (Accessed in 2024).</w:t>
      </w:r>
      <w:r w:rsidRPr="00934238">
        <w:rPr>
          <w:rStyle w:val="eop"/>
          <w:rFonts w:ascii="Calibri" w:hAnsi="Calibri" w:cs="Calibri"/>
          <w:color w:val="000000"/>
          <w:shd w:val="clear" w:color="auto" w:fill="FFFFFF"/>
        </w:rPr>
        <w:t> </w:t>
      </w:r>
    </w:p>
    <w:p w14:paraId="6DF8BE52" w14:textId="77777777" w:rsidR="00BD5335" w:rsidRPr="00934238" w:rsidRDefault="00BD5335" w:rsidP="00BD5335">
      <w:pPr>
        <w:rPr>
          <w:rStyle w:val="eop"/>
          <w:rFonts w:ascii="Calibri" w:hAnsi="Calibri" w:cs="Calibri"/>
          <w:color w:val="212121"/>
          <w:shd w:val="clear" w:color="auto" w:fill="FFFFFF"/>
        </w:rPr>
      </w:pPr>
      <w:r w:rsidRPr="00934238">
        <w:rPr>
          <w:rStyle w:val="normaltextrun"/>
          <w:rFonts w:ascii="Calibri" w:hAnsi="Calibri" w:cs="Calibri"/>
          <w:color w:val="212121"/>
          <w:shd w:val="clear" w:color="auto" w:fill="FFFFFF"/>
        </w:rPr>
        <w:t>Ragusa, R., Platania, A., Cuccia, M., Zappalà, G., Giorgianni, G., D'Agati, P., Bellia, M. A., &amp; Marranzano, M. (2020). Measles and Pregnancy: Immunity and Immunization-What Can Be Learned from Observing Complications during an Epidemic Year. </w:t>
      </w:r>
      <w:r w:rsidRPr="00934238">
        <w:rPr>
          <w:rStyle w:val="normaltextrun"/>
          <w:rFonts w:ascii="Calibri" w:hAnsi="Calibri" w:cs="Calibri"/>
          <w:i/>
          <w:iCs/>
          <w:color w:val="212121"/>
          <w:shd w:val="clear" w:color="auto" w:fill="FFFFFF"/>
        </w:rPr>
        <w:t>Journal of pregnancy</w:t>
      </w:r>
      <w:r w:rsidRPr="00934238">
        <w:rPr>
          <w:rStyle w:val="normaltextrun"/>
          <w:rFonts w:ascii="Calibri" w:hAnsi="Calibri" w:cs="Calibri"/>
          <w:color w:val="212121"/>
          <w:shd w:val="clear" w:color="auto" w:fill="FFFFFF"/>
        </w:rPr>
        <w:t>, </w:t>
      </w:r>
      <w:r w:rsidRPr="00934238">
        <w:rPr>
          <w:rStyle w:val="normaltextrun"/>
          <w:rFonts w:ascii="Calibri" w:hAnsi="Calibri" w:cs="Calibri"/>
          <w:i/>
          <w:iCs/>
          <w:color w:val="212121"/>
          <w:shd w:val="clear" w:color="auto" w:fill="FFFFFF"/>
        </w:rPr>
        <w:t>2020</w:t>
      </w:r>
      <w:r w:rsidRPr="00934238">
        <w:rPr>
          <w:rStyle w:val="normaltextrun"/>
          <w:rFonts w:ascii="Calibri" w:hAnsi="Calibri" w:cs="Calibri"/>
          <w:color w:val="212121"/>
          <w:shd w:val="clear" w:color="auto" w:fill="FFFFFF"/>
        </w:rPr>
        <w:t xml:space="preserve">, 6532868. </w:t>
      </w:r>
      <w:hyperlink r:id="rId26" w:tgtFrame="_blank" w:history="1">
        <w:r w:rsidRPr="00934238">
          <w:rPr>
            <w:rStyle w:val="normaltextrun"/>
            <w:rFonts w:ascii="Calibri" w:hAnsi="Calibri" w:cs="Calibri"/>
            <w:color w:val="0563C1"/>
            <w:u w:val="single"/>
            <w:shd w:val="clear" w:color="auto" w:fill="FFFFFF"/>
          </w:rPr>
          <w:t>https://doi.org/10.1155/2020/6532868</w:t>
        </w:r>
      </w:hyperlink>
      <w:r w:rsidRPr="00934238">
        <w:rPr>
          <w:rStyle w:val="normaltextrun"/>
          <w:rFonts w:ascii="Calibri" w:hAnsi="Calibri" w:cs="Calibri"/>
          <w:color w:val="212121"/>
          <w:shd w:val="clear" w:color="auto" w:fill="FFFFFF"/>
        </w:rPr>
        <w:t xml:space="preserve"> (Accessed in 2024).</w:t>
      </w:r>
      <w:r w:rsidRPr="00934238">
        <w:rPr>
          <w:rStyle w:val="eop"/>
          <w:rFonts w:ascii="Calibri" w:hAnsi="Calibri" w:cs="Calibri"/>
          <w:color w:val="212121"/>
          <w:shd w:val="clear" w:color="auto" w:fill="FFFFFF"/>
        </w:rPr>
        <w:t> </w:t>
      </w:r>
    </w:p>
    <w:p w14:paraId="07541F40" w14:textId="5DC6F404" w:rsidR="002330A8" w:rsidRPr="00934238" w:rsidRDefault="002330A8" w:rsidP="00BB5E4D">
      <w:pPr>
        <w:rPr>
          <w:rStyle w:val="eop"/>
          <w:rFonts w:ascii="Calibri" w:hAnsi="Calibri" w:cs="Calibri"/>
          <w:color w:val="2C3E50"/>
          <w:shd w:val="clear" w:color="auto" w:fill="FFFFFF"/>
        </w:rPr>
      </w:pPr>
      <w:r w:rsidRPr="00934238">
        <w:rPr>
          <w:rStyle w:val="normaltextrun"/>
          <w:rFonts w:ascii="Calibri" w:hAnsi="Calibri" w:cs="Calibri"/>
          <w:color w:val="2C3E50"/>
          <w:shd w:val="clear" w:color="auto" w:fill="FFFFFF"/>
        </w:rPr>
        <w:t>World Health Organization (2023). </w:t>
      </w:r>
      <w:r w:rsidRPr="00934238">
        <w:rPr>
          <w:rStyle w:val="normaltextrun"/>
          <w:rFonts w:ascii="Calibri" w:hAnsi="Calibri" w:cs="Calibri"/>
          <w:i/>
          <w:iCs/>
          <w:color w:val="2C3E50"/>
          <w:shd w:val="clear" w:color="auto" w:fill="FFFFFF"/>
        </w:rPr>
        <w:t>Infection Prevention and Control GLOBAL</w:t>
      </w:r>
      <w:r w:rsidRPr="00934238">
        <w:rPr>
          <w:rStyle w:val="normaltextrun"/>
          <w:rFonts w:ascii="Calibri" w:hAnsi="Calibri" w:cs="Calibri"/>
          <w:color w:val="2C3E50"/>
          <w:shd w:val="clear" w:color="auto" w:fill="FFFFFF"/>
        </w:rPr>
        <w:t xml:space="preserve">. [online] www.who.int. Available at: </w:t>
      </w:r>
      <w:hyperlink r:id="rId27" w:anchor="tab=tab_1" w:tgtFrame="_blank" w:history="1">
        <w:r w:rsidRPr="00934238">
          <w:rPr>
            <w:rStyle w:val="normaltextrun"/>
            <w:rFonts w:ascii="Calibri" w:hAnsi="Calibri" w:cs="Calibri"/>
            <w:color w:val="0563C1"/>
            <w:u w:val="single"/>
            <w:shd w:val="clear" w:color="auto" w:fill="FFFFFF"/>
          </w:rPr>
          <w:t>https://www.who.int/health-topics/infection-prevention-and-control#tab=tab_1</w:t>
        </w:r>
      </w:hyperlink>
      <w:r w:rsidRPr="00934238">
        <w:rPr>
          <w:rStyle w:val="normaltextrun"/>
          <w:rFonts w:ascii="Calibri" w:hAnsi="Calibri" w:cs="Calibri"/>
          <w:color w:val="2C3E50"/>
          <w:shd w:val="clear" w:color="auto" w:fill="FFFFFF"/>
        </w:rPr>
        <w:t>. (Accessed in 2024).</w:t>
      </w:r>
      <w:r w:rsidRPr="00934238">
        <w:rPr>
          <w:rStyle w:val="eop"/>
          <w:rFonts w:ascii="Calibri" w:hAnsi="Calibri" w:cs="Calibri"/>
          <w:color w:val="2C3E50"/>
          <w:shd w:val="clear" w:color="auto" w:fill="FFFFFF"/>
        </w:rPr>
        <w:t> </w:t>
      </w:r>
    </w:p>
    <w:p w14:paraId="6F04D1EB" w14:textId="6A0CBE11" w:rsidR="002330A8" w:rsidRPr="00934238" w:rsidRDefault="00E66243" w:rsidP="00BB5E4D">
      <w:pPr>
        <w:rPr>
          <w:rStyle w:val="eop"/>
          <w:rFonts w:ascii="Calibri" w:hAnsi="Calibri" w:cs="Calibri"/>
          <w:color w:val="000000"/>
          <w:shd w:val="clear" w:color="auto" w:fill="FFFFFF"/>
        </w:rPr>
      </w:pPr>
      <w:r w:rsidRPr="00934238">
        <w:rPr>
          <w:rStyle w:val="normaltextrun"/>
          <w:rFonts w:ascii="Calibri" w:hAnsi="Calibri" w:cs="Calibri"/>
          <w:color w:val="000000"/>
          <w:shd w:val="clear" w:color="auto" w:fill="FFFFFF"/>
        </w:rPr>
        <w:t xml:space="preserve">World Health Organisation (2023) Measels. Available at: </w:t>
      </w:r>
      <w:hyperlink r:id="rId28" w:tgtFrame="_blank" w:history="1">
        <w:r w:rsidRPr="00934238">
          <w:rPr>
            <w:rStyle w:val="normaltextrun"/>
            <w:rFonts w:ascii="Calibri" w:hAnsi="Calibri" w:cs="Calibri"/>
            <w:color w:val="0563C1"/>
            <w:u w:val="single"/>
            <w:shd w:val="clear" w:color="auto" w:fill="FFFFFF"/>
          </w:rPr>
          <w:t>Measles (who.int)</w:t>
        </w:r>
      </w:hyperlink>
      <w:r w:rsidRPr="00934238">
        <w:rPr>
          <w:rStyle w:val="normaltextrun"/>
          <w:rFonts w:ascii="Calibri" w:hAnsi="Calibri" w:cs="Calibri"/>
          <w:color w:val="000000"/>
          <w:shd w:val="clear" w:color="auto" w:fill="FFFFFF"/>
        </w:rPr>
        <w:t xml:space="preserve"> (Accessed in 2024).</w:t>
      </w:r>
      <w:r w:rsidRPr="00934238">
        <w:rPr>
          <w:rStyle w:val="eop"/>
          <w:rFonts w:ascii="Calibri" w:hAnsi="Calibri" w:cs="Calibri"/>
          <w:color w:val="000000"/>
          <w:shd w:val="clear" w:color="auto" w:fill="FFFFFF"/>
        </w:rPr>
        <w:t> </w:t>
      </w:r>
    </w:p>
    <w:p w14:paraId="3FB5780C" w14:textId="77777777" w:rsidR="00E66243" w:rsidRPr="00934238" w:rsidRDefault="00E66243" w:rsidP="00BB5E4D">
      <w:pPr>
        <w:rPr>
          <w:rFonts w:ascii="Calibri" w:hAnsi="Calibri" w:cs="Calibri"/>
        </w:rPr>
      </w:pPr>
    </w:p>
    <w:sectPr w:rsidR="00E66243" w:rsidRPr="00934238" w:rsidSect="008C0E1F">
      <w:footerReference w:type="default" r:id="rId2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AA192D" w14:textId="77777777" w:rsidR="008C0E1F" w:rsidRDefault="008C0E1F" w:rsidP="005E35FA">
      <w:pPr>
        <w:spacing w:after="0" w:line="240" w:lineRule="auto"/>
      </w:pPr>
      <w:r>
        <w:separator/>
      </w:r>
    </w:p>
  </w:endnote>
  <w:endnote w:type="continuationSeparator" w:id="0">
    <w:p w14:paraId="0EA9F837" w14:textId="77777777" w:rsidR="008C0E1F" w:rsidRDefault="008C0E1F" w:rsidP="005E35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5687056"/>
      <w:docPartObj>
        <w:docPartGallery w:val="Page Numbers (Bottom of Page)"/>
        <w:docPartUnique/>
      </w:docPartObj>
    </w:sdtPr>
    <w:sdtContent>
      <w:p w14:paraId="1C4C3D89" w14:textId="77777777" w:rsidR="00EE66CA" w:rsidRDefault="00EE66CA">
        <w:pPr>
          <w:pStyle w:val="Footer"/>
          <w:jc w:val="right"/>
        </w:pPr>
      </w:p>
      <w:sdt>
        <w:sdtPr>
          <w:rPr>
            <w:rFonts w:asciiTheme="minorHAnsi" w:eastAsiaTheme="minorEastAsia" w:hAnsiTheme="minorHAnsi" w:cs="Times New Roman"/>
            <w:color w:val="auto"/>
            <w:sz w:val="22"/>
            <w:szCs w:val="22"/>
          </w:rPr>
          <w:id w:val="-1535657212"/>
          <w:docPartObj>
            <w:docPartGallery w:val="Table of Contents"/>
            <w:docPartUnique/>
          </w:docPartObj>
        </w:sdtPr>
        <w:sdtContent>
          <w:p w14:paraId="33E16A2A" w14:textId="4CCA7776" w:rsidR="001B77FD" w:rsidRDefault="001B77FD" w:rsidP="001B77FD">
            <w:pPr>
              <w:pStyle w:val="TOCHeading"/>
              <w:rPr>
                <w:rFonts w:eastAsiaTheme="minorEastAsia" w:cs="Times New Roman"/>
                <w:sz w:val="22"/>
                <w:szCs w:val="22"/>
              </w:rPr>
            </w:pPr>
          </w:p>
          <w:p w14:paraId="226B4E9A" w14:textId="728F0ADC" w:rsidR="00EE66CA" w:rsidRDefault="00000000">
            <w:pPr>
              <w:pStyle w:val="TOC3"/>
              <w:ind w:left="446"/>
            </w:pPr>
          </w:p>
        </w:sdtContent>
      </w:sdt>
      <w:p w14:paraId="67E80C35" w14:textId="27E95A46" w:rsidR="00EE66CA" w:rsidRDefault="001B77FD" w:rsidP="001B77FD">
        <w:pPr>
          <w:pStyle w:val="Footer"/>
        </w:pPr>
        <w:r>
          <w:t xml:space="preserve">               </w:t>
        </w:r>
        <w:r w:rsidR="00EE66CA">
          <w:fldChar w:fldCharType="begin"/>
        </w:r>
        <w:r w:rsidR="00EE66CA">
          <w:instrText>PAGE   \* MERGEFORMAT</w:instrText>
        </w:r>
        <w:r w:rsidR="00EE66CA">
          <w:fldChar w:fldCharType="separate"/>
        </w:r>
        <w:r w:rsidR="00EE66CA">
          <w:t>2</w:t>
        </w:r>
        <w:r w:rsidR="00EE66CA">
          <w:fldChar w:fldCharType="end"/>
        </w:r>
      </w:p>
    </w:sdtContent>
  </w:sdt>
  <w:p w14:paraId="295E2284" w14:textId="77777777" w:rsidR="005E35FA" w:rsidRDefault="005E35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51F4F0" w14:textId="77777777" w:rsidR="008C0E1F" w:rsidRDefault="008C0E1F" w:rsidP="005E35FA">
      <w:pPr>
        <w:spacing w:after="0" w:line="240" w:lineRule="auto"/>
      </w:pPr>
      <w:r>
        <w:separator/>
      </w:r>
    </w:p>
  </w:footnote>
  <w:footnote w:type="continuationSeparator" w:id="0">
    <w:p w14:paraId="0D880E76" w14:textId="77777777" w:rsidR="008C0E1F" w:rsidRDefault="008C0E1F" w:rsidP="005E35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D95620"/>
    <w:multiLevelType w:val="hybridMultilevel"/>
    <w:tmpl w:val="6846D588"/>
    <w:lvl w:ilvl="0" w:tplc="EC2AB4A4">
      <w:start w:val="4"/>
      <w:numFmt w:val="decimal"/>
      <w:lvlText w:val="%1."/>
      <w:lvlJc w:val="left"/>
      <w:pPr>
        <w:ind w:left="720" w:hanging="360"/>
      </w:pPr>
      <w:rPr>
        <w:rFonts w:ascii="Calibri" w:eastAsiaTheme="majorEastAsia" w:hAnsi="Calibri" w:cs="Calibri" w:hint="default"/>
        <w:color w:val="00000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0182A53"/>
    <w:multiLevelType w:val="hybridMultilevel"/>
    <w:tmpl w:val="E64A6B20"/>
    <w:lvl w:ilvl="0" w:tplc="EDDE059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4CD722CC"/>
    <w:multiLevelType w:val="hybridMultilevel"/>
    <w:tmpl w:val="F4C483F6"/>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530485D"/>
    <w:multiLevelType w:val="hybridMultilevel"/>
    <w:tmpl w:val="D7F8D7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C8865FB"/>
    <w:multiLevelType w:val="multilevel"/>
    <w:tmpl w:val="3850B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37656405">
    <w:abstractNumId w:val="3"/>
  </w:num>
  <w:num w:numId="2" w16cid:durableId="1449739721">
    <w:abstractNumId w:val="1"/>
  </w:num>
  <w:num w:numId="3" w16cid:durableId="472529248">
    <w:abstractNumId w:val="4"/>
  </w:num>
  <w:num w:numId="4" w16cid:durableId="1143081653">
    <w:abstractNumId w:val="0"/>
  </w:num>
  <w:num w:numId="5" w16cid:durableId="4408077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4916"/>
    <w:rsid w:val="0000628B"/>
    <w:rsid w:val="00033B6C"/>
    <w:rsid w:val="00085C9E"/>
    <w:rsid w:val="00087315"/>
    <w:rsid w:val="001409E5"/>
    <w:rsid w:val="00146756"/>
    <w:rsid w:val="00166F76"/>
    <w:rsid w:val="001A7D48"/>
    <w:rsid w:val="001B77FD"/>
    <w:rsid w:val="001D5955"/>
    <w:rsid w:val="001D7F68"/>
    <w:rsid w:val="001E746D"/>
    <w:rsid w:val="002154B9"/>
    <w:rsid w:val="002330A8"/>
    <w:rsid w:val="0025045A"/>
    <w:rsid w:val="00254909"/>
    <w:rsid w:val="00261036"/>
    <w:rsid w:val="002639F0"/>
    <w:rsid w:val="002B4916"/>
    <w:rsid w:val="002D5297"/>
    <w:rsid w:val="002E1482"/>
    <w:rsid w:val="003028C5"/>
    <w:rsid w:val="00372705"/>
    <w:rsid w:val="003903DA"/>
    <w:rsid w:val="00444126"/>
    <w:rsid w:val="00452B51"/>
    <w:rsid w:val="0046467C"/>
    <w:rsid w:val="00471ABA"/>
    <w:rsid w:val="00487A84"/>
    <w:rsid w:val="004B240E"/>
    <w:rsid w:val="004D4C57"/>
    <w:rsid w:val="004D6CA1"/>
    <w:rsid w:val="004E718B"/>
    <w:rsid w:val="004F5649"/>
    <w:rsid w:val="005111A8"/>
    <w:rsid w:val="005509C4"/>
    <w:rsid w:val="005629D4"/>
    <w:rsid w:val="00576BC8"/>
    <w:rsid w:val="005D159E"/>
    <w:rsid w:val="005E35FA"/>
    <w:rsid w:val="006011D3"/>
    <w:rsid w:val="00606544"/>
    <w:rsid w:val="00632ACB"/>
    <w:rsid w:val="00641426"/>
    <w:rsid w:val="006675C8"/>
    <w:rsid w:val="00670E9D"/>
    <w:rsid w:val="006838E1"/>
    <w:rsid w:val="006914CC"/>
    <w:rsid w:val="006A3AA9"/>
    <w:rsid w:val="006A6720"/>
    <w:rsid w:val="006D3754"/>
    <w:rsid w:val="006E0ED5"/>
    <w:rsid w:val="007215FF"/>
    <w:rsid w:val="00726CEB"/>
    <w:rsid w:val="00733916"/>
    <w:rsid w:val="0079690A"/>
    <w:rsid w:val="007E3C44"/>
    <w:rsid w:val="007E5098"/>
    <w:rsid w:val="007E5D78"/>
    <w:rsid w:val="00845FA7"/>
    <w:rsid w:val="0086052D"/>
    <w:rsid w:val="008819E9"/>
    <w:rsid w:val="008C0E1F"/>
    <w:rsid w:val="008C730C"/>
    <w:rsid w:val="008D3F62"/>
    <w:rsid w:val="008E3A04"/>
    <w:rsid w:val="008F26B3"/>
    <w:rsid w:val="00934238"/>
    <w:rsid w:val="00946080"/>
    <w:rsid w:val="009676F8"/>
    <w:rsid w:val="00972AF6"/>
    <w:rsid w:val="00980665"/>
    <w:rsid w:val="009848AC"/>
    <w:rsid w:val="00997F93"/>
    <w:rsid w:val="009B7309"/>
    <w:rsid w:val="00A16497"/>
    <w:rsid w:val="00A728CD"/>
    <w:rsid w:val="00A834C3"/>
    <w:rsid w:val="00A85F9D"/>
    <w:rsid w:val="00AA7881"/>
    <w:rsid w:val="00AC6E71"/>
    <w:rsid w:val="00AF5C59"/>
    <w:rsid w:val="00B17AEA"/>
    <w:rsid w:val="00B51523"/>
    <w:rsid w:val="00B53B52"/>
    <w:rsid w:val="00B60FC2"/>
    <w:rsid w:val="00B73B63"/>
    <w:rsid w:val="00BB5E4D"/>
    <w:rsid w:val="00BD5335"/>
    <w:rsid w:val="00BD57AB"/>
    <w:rsid w:val="00C55560"/>
    <w:rsid w:val="00C646C3"/>
    <w:rsid w:val="00CC1D18"/>
    <w:rsid w:val="00D11E40"/>
    <w:rsid w:val="00D13A88"/>
    <w:rsid w:val="00D32CB1"/>
    <w:rsid w:val="00D40B58"/>
    <w:rsid w:val="00D73D65"/>
    <w:rsid w:val="00D7704D"/>
    <w:rsid w:val="00DA163A"/>
    <w:rsid w:val="00DB3D64"/>
    <w:rsid w:val="00DF48D0"/>
    <w:rsid w:val="00E255BF"/>
    <w:rsid w:val="00E66243"/>
    <w:rsid w:val="00E72D18"/>
    <w:rsid w:val="00E85615"/>
    <w:rsid w:val="00E857E1"/>
    <w:rsid w:val="00E95F6E"/>
    <w:rsid w:val="00EB36AE"/>
    <w:rsid w:val="00EE66CA"/>
    <w:rsid w:val="00F475D2"/>
    <w:rsid w:val="00F5344A"/>
    <w:rsid w:val="00F65A6E"/>
    <w:rsid w:val="00F66BB1"/>
    <w:rsid w:val="00F751D7"/>
    <w:rsid w:val="00F907B0"/>
    <w:rsid w:val="00FA1001"/>
    <w:rsid w:val="00FA31A2"/>
    <w:rsid w:val="00FB3869"/>
    <w:rsid w:val="00FB42EE"/>
    <w:rsid w:val="00FE4742"/>
    <w:rsid w:val="00FF34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7E306E"/>
  <w15:chartTrackingRefBased/>
  <w15:docId w15:val="{718F37EB-7FBF-43FA-93F6-7C1AA00907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B491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B491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B491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B491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B491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B491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491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491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491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491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B491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491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491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491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491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491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491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4916"/>
    <w:rPr>
      <w:rFonts w:eastAsiaTheme="majorEastAsia" w:cstheme="majorBidi"/>
      <w:color w:val="272727" w:themeColor="text1" w:themeTint="D8"/>
    </w:rPr>
  </w:style>
  <w:style w:type="paragraph" w:styleId="Title">
    <w:name w:val="Title"/>
    <w:basedOn w:val="Normal"/>
    <w:next w:val="Normal"/>
    <w:link w:val="TitleChar"/>
    <w:uiPriority w:val="10"/>
    <w:qFormat/>
    <w:rsid w:val="002B491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491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B491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B491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4916"/>
    <w:pPr>
      <w:spacing w:before="160"/>
      <w:jc w:val="center"/>
    </w:pPr>
    <w:rPr>
      <w:i/>
      <w:iCs/>
      <w:color w:val="404040" w:themeColor="text1" w:themeTint="BF"/>
    </w:rPr>
  </w:style>
  <w:style w:type="character" w:customStyle="1" w:styleId="QuoteChar">
    <w:name w:val="Quote Char"/>
    <w:basedOn w:val="DefaultParagraphFont"/>
    <w:link w:val="Quote"/>
    <w:uiPriority w:val="29"/>
    <w:rsid w:val="002B4916"/>
    <w:rPr>
      <w:i/>
      <w:iCs/>
      <w:color w:val="404040" w:themeColor="text1" w:themeTint="BF"/>
    </w:rPr>
  </w:style>
  <w:style w:type="paragraph" w:styleId="ListParagraph">
    <w:name w:val="List Paragraph"/>
    <w:basedOn w:val="Normal"/>
    <w:uiPriority w:val="34"/>
    <w:qFormat/>
    <w:rsid w:val="002B4916"/>
    <w:pPr>
      <w:ind w:left="720"/>
      <w:contextualSpacing/>
    </w:pPr>
  </w:style>
  <w:style w:type="character" w:styleId="IntenseEmphasis">
    <w:name w:val="Intense Emphasis"/>
    <w:basedOn w:val="DefaultParagraphFont"/>
    <w:uiPriority w:val="21"/>
    <w:qFormat/>
    <w:rsid w:val="002B4916"/>
    <w:rPr>
      <w:i/>
      <w:iCs/>
      <w:color w:val="0F4761" w:themeColor="accent1" w:themeShade="BF"/>
    </w:rPr>
  </w:style>
  <w:style w:type="paragraph" w:styleId="IntenseQuote">
    <w:name w:val="Intense Quote"/>
    <w:basedOn w:val="Normal"/>
    <w:next w:val="Normal"/>
    <w:link w:val="IntenseQuoteChar"/>
    <w:uiPriority w:val="30"/>
    <w:qFormat/>
    <w:rsid w:val="002B491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4916"/>
    <w:rPr>
      <w:i/>
      <w:iCs/>
      <w:color w:val="0F4761" w:themeColor="accent1" w:themeShade="BF"/>
    </w:rPr>
  </w:style>
  <w:style w:type="character" w:styleId="IntenseReference">
    <w:name w:val="Intense Reference"/>
    <w:basedOn w:val="DefaultParagraphFont"/>
    <w:uiPriority w:val="32"/>
    <w:qFormat/>
    <w:rsid w:val="002B4916"/>
    <w:rPr>
      <w:b/>
      <w:bCs/>
      <w:smallCaps/>
      <w:color w:val="0F4761" w:themeColor="accent1" w:themeShade="BF"/>
      <w:spacing w:val="5"/>
    </w:rPr>
  </w:style>
  <w:style w:type="paragraph" w:styleId="Header">
    <w:name w:val="header"/>
    <w:basedOn w:val="Normal"/>
    <w:link w:val="HeaderChar"/>
    <w:uiPriority w:val="99"/>
    <w:unhideWhenUsed/>
    <w:rsid w:val="005E35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35FA"/>
  </w:style>
  <w:style w:type="paragraph" w:styleId="Footer">
    <w:name w:val="footer"/>
    <w:basedOn w:val="Normal"/>
    <w:link w:val="FooterChar"/>
    <w:uiPriority w:val="99"/>
    <w:unhideWhenUsed/>
    <w:rsid w:val="005E35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35FA"/>
  </w:style>
  <w:style w:type="character" w:customStyle="1" w:styleId="normaltextrun">
    <w:name w:val="normaltextrun"/>
    <w:basedOn w:val="DefaultParagraphFont"/>
    <w:rsid w:val="00B60FC2"/>
  </w:style>
  <w:style w:type="character" w:customStyle="1" w:styleId="eop">
    <w:name w:val="eop"/>
    <w:basedOn w:val="DefaultParagraphFont"/>
    <w:rsid w:val="00B60FC2"/>
  </w:style>
  <w:style w:type="paragraph" w:styleId="NoSpacing">
    <w:name w:val="No Spacing"/>
    <w:link w:val="NoSpacingChar"/>
    <w:uiPriority w:val="1"/>
    <w:qFormat/>
    <w:rsid w:val="00EB36AE"/>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EB36AE"/>
    <w:rPr>
      <w:rFonts w:eastAsiaTheme="minorEastAsia"/>
      <w:kern w:val="0"/>
      <w:sz w:val="22"/>
      <w:szCs w:val="22"/>
      <w:lang w:eastAsia="en-GB"/>
      <w14:ligatures w14:val="none"/>
    </w:rPr>
  </w:style>
  <w:style w:type="paragraph" w:styleId="TOCHeading">
    <w:name w:val="TOC Heading"/>
    <w:basedOn w:val="Heading1"/>
    <w:next w:val="Normal"/>
    <w:uiPriority w:val="39"/>
    <w:unhideWhenUsed/>
    <w:qFormat/>
    <w:rsid w:val="00E95F6E"/>
    <w:pPr>
      <w:spacing w:before="240" w:after="0" w:line="259" w:lineRule="auto"/>
      <w:outlineLvl w:val="9"/>
    </w:pPr>
    <w:rPr>
      <w:kern w:val="0"/>
      <w:sz w:val="32"/>
      <w:szCs w:val="32"/>
      <w:lang w:eastAsia="en-GB"/>
      <w14:ligatures w14:val="none"/>
    </w:rPr>
  </w:style>
  <w:style w:type="paragraph" w:styleId="TOC2">
    <w:name w:val="toc 2"/>
    <w:basedOn w:val="Normal"/>
    <w:next w:val="Normal"/>
    <w:autoRedefine/>
    <w:uiPriority w:val="39"/>
    <w:unhideWhenUsed/>
    <w:rsid w:val="00EE66CA"/>
    <w:pPr>
      <w:spacing w:after="100" w:line="259" w:lineRule="auto"/>
      <w:ind w:left="220"/>
    </w:pPr>
    <w:rPr>
      <w:rFonts w:eastAsiaTheme="minorEastAsia" w:cs="Times New Roman"/>
      <w:kern w:val="0"/>
      <w:sz w:val="22"/>
      <w:szCs w:val="22"/>
      <w:lang w:eastAsia="en-GB"/>
      <w14:ligatures w14:val="none"/>
    </w:rPr>
  </w:style>
  <w:style w:type="paragraph" w:styleId="TOC1">
    <w:name w:val="toc 1"/>
    <w:basedOn w:val="Normal"/>
    <w:next w:val="Normal"/>
    <w:autoRedefine/>
    <w:uiPriority w:val="39"/>
    <w:unhideWhenUsed/>
    <w:rsid w:val="00EE66CA"/>
    <w:pPr>
      <w:spacing w:after="100" w:line="259" w:lineRule="auto"/>
    </w:pPr>
    <w:rPr>
      <w:rFonts w:eastAsiaTheme="minorEastAsia" w:cs="Times New Roman"/>
      <w:kern w:val="0"/>
      <w:sz w:val="22"/>
      <w:szCs w:val="22"/>
      <w:lang w:eastAsia="en-GB"/>
      <w14:ligatures w14:val="none"/>
    </w:rPr>
  </w:style>
  <w:style w:type="paragraph" w:styleId="TOC3">
    <w:name w:val="toc 3"/>
    <w:basedOn w:val="Normal"/>
    <w:next w:val="Normal"/>
    <w:autoRedefine/>
    <w:uiPriority w:val="39"/>
    <w:unhideWhenUsed/>
    <w:rsid w:val="00EE66CA"/>
    <w:pPr>
      <w:spacing w:after="100" w:line="259" w:lineRule="auto"/>
      <w:ind w:left="440"/>
    </w:pPr>
    <w:rPr>
      <w:rFonts w:eastAsiaTheme="minorEastAsia" w:cs="Times New Roman"/>
      <w:kern w:val="0"/>
      <w:sz w:val="22"/>
      <w:szCs w:val="22"/>
      <w:lang w:eastAsia="en-GB"/>
      <w14:ligatures w14:val="none"/>
    </w:rPr>
  </w:style>
  <w:style w:type="paragraph" w:customStyle="1" w:styleId="paragraph">
    <w:name w:val="paragraph"/>
    <w:basedOn w:val="Normal"/>
    <w:rsid w:val="002E148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B17AEA"/>
    <w:rPr>
      <w:color w:val="467886" w:themeColor="hyperlink"/>
      <w:u w:val="single"/>
    </w:rPr>
  </w:style>
  <w:style w:type="character" w:styleId="UnresolvedMention">
    <w:name w:val="Unresolved Mention"/>
    <w:basedOn w:val="DefaultParagraphFont"/>
    <w:uiPriority w:val="99"/>
    <w:semiHidden/>
    <w:unhideWhenUsed/>
    <w:rsid w:val="00B17A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3168253">
      <w:bodyDiv w:val="1"/>
      <w:marLeft w:val="0"/>
      <w:marRight w:val="0"/>
      <w:marTop w:val="0"/>
      <w:marBottom w:val="0"/>
      <w:divBdr>
        <w:top w:val="none" w:sz="0" w:space="0" w:color="auto"/>
        <w:left w:val="none" w:sz="0" w:space="0" w:color="auto"/>
        <w:bottom w:val="none" w:sz="0" w:space="0" w:color="auto"/>
        <w:right w:val="none" w:sz="0" w:space="0" w:color="auto"/>
      </w:divBdr>
      <w:divsChild>
        <w:div w:id="1475877722">
          <w:marLeft w:val="0"/>
          <w:marRight w:val="0"/>
          <w:marTop w:val="0"/>
          <w:marBottom w:val="0"/>
          <w:divBdr>
            <w:top w:val="none" w:sz="0" w:space="0" w:color="auto"/>
            <w:left w:val="none" w:sz="0" w:space="0" w:color="auto"/>
            <w:bottom w:val="none" w:sz="0" w:space="0" w:color="auto"/>
            <w:right w:val="none" w:sz="0" w:space="0" w:color="auto"/>
          </w:divBdr>
        </w:div>
        <w:div w:id="1352872700">
          <w:marLeft w:val="0"/>
          <w:marRight w:val="0"/>
          <w:marTop w:val="0"/>
          <w:marBottom w:val="0"/>
          <w:divBdr>
            <w:top w:val="none" w:sz="0" w:space="0" w:color="auto"/>
            <w:left w:val="none" w:sz="0" w:space="0" w:color="auto"/>
            <w:bottom w:val="none" w:sz="0" w:space="0" w:color="auto"/>
            <w:right w:val="none" w:sz="0" w:space="0" w:color="auto"/>
          </w:divBdr>
        </w:div>
      </w:divsChild>
    </w:div>
    <w:div w:id="345600365">
      <w:bodyDiv w:val="1"/>
      <w:marLeft w:val="0"/>
      <w:marRight w:val="0"/>
      <w:marTop w:val="0"/>
      <w:marBottom w:val="0"/>
      <w:divBdr>
        <w:top w:val="none" w:sz="0" w:space="0" w:color="auto"/>
        <w:left w:val="none" w:sz="0" w:space="0" w:color="auto"/>
        <w:bottom w:val="none" w:sz="0" w:space="0" w:color="auto"/>
        <w:right w:val="none" w:sz="0" w:space="0" w:color="auto"/>
      </w:divBdr>
      <w:divsChild>
        <w:div w:id="1760062381">
          <w:marLeft w:val="0"/>
          <w:marRight w:val="0"/>
          <w:marTop w:val="0"/>
          <w:marBottom w:val="0"/>
          <w:divBdr>
            <w:top w:val="none" w:sz="0" w:space="0" w:color="auto"/>
            <w:left w:val="none" w:sz="0" w:space="0" w:color="auto"/>
            <w:bottom w:val="none" w:sz="0" w:space="0" w:color="auto"/>
            <w:right w:val="none" w:sz="0" w:space="0" w:color="auto"/>
          </w:divBdr>
        </w:div>
        <w:div w:id="1673335888">
          <w:marLeft w:val="0"/>
          <w:marRight w:val="0"/>
          <w:marTop w:val="0"/>
          <w:marBottom w:val="0"/>
          <w:divBdr>
            <w:top w:val="none" w:sz="0" w:space="0" w:color="auto"/>
            <w:left w:val="none" w:sz="0" w:space="0" w:color="auto"/>
            <w:bottom w:val="none" w:sz="0" w:space="0" w:color="auto"/>
            <w:right w:val="none" w:sz="0" w:space="0" w:color="auto"/>
          </w:divBdr>
        </w:div>
        <w:div w:id="1498417732">
          <w:marLeft w:val="0"/>
          <w:marRight w:val="0"/>
          <w:marTop w:val="0"/>
          <w:marBottom w:val="0"/>
          <w:divBdr>
            <w:top w:val="none" w:sz="0" w:space="0" w:color="auto"/>
            <w:left w:val="none" w:sz="0" w:space="0" w:color="auto"/>
            <w:bottom w:val="none" w:sz="0" w:space="0" w:color="auto"/>
            <w:right w:val="none" w:sz="0" w:space="0" w:color="auto"/>
          </w:divBdr>
        </w:div>
        <w:div w:id="1496993411">
          <w:marLeft w:val="0"/>
          <w:marRight w:val="0"/>
          <w:marTop w:val="0"/>
          <w:marBottom w:val="0"/>
          <w:divBdr>
            <w:top w:val="none" w:sz="0" w:space="0" w:color="auto"/>
            <w:left w:val="none" w:sz="0" w:space="0" w:color="auto"/>
            <w:bottom w:val="none" w:sz="0" w:space="0" w:color="auto"/>
            <w:right w:val="none" w:sz="0" w:space="0" w:color="auto"/>
          </w:divBdr>
        </w:div>
      </w:divsChild>
    </w:div>
    <w:div w:id="434908869">
      <w:bodyDiv w:val="1"/>
      <w:marLeft w:val="0"/>
      <w:marRight w:val="0"/>
      <w:marTop w:val="0"/>
      <w:marBottom w:val="0"/>
      <w:divBdr>
        <w:top w:val="none" w:sz="0" w:space="0" w:color="auto"/>
        <w:left w:val="none" w:sz="0" w:space="0" w:color="auto"/>
        <w:bottom w:val="none" w:sz="0" w:space="0" w:color="auto"/>
        <w:right w:val="none" w:sz="0" w:space="0" w:color="auto"/>
      </w:divBdr>
      <w:divsChild>
        <w:div w:id="611860682">
          <w:marLeft w:val="0"/>
          <w:marRight w:val="0"/>
          <w:marTop w:val="0"/>
          <w:marBottom w:val="0"/>
          <w:divBdr>
            <w:top w:val="none" w:sz="0" w:space="0" w:color="auto"/>
            <w:left w:val="none" w:sz="0" w:space="0" w:color="auto"/>
            <w:bottom w:val="none" w:sz="0" w:space="0" w:color="auto"/>
            <w:right w:val="none" w:sz="0" w:space="0" w:color="auto"/>
          </w:divBdr>
        </w:div>
        <w:div w:id="424956092">
          <w:marLeft w:val="0"/>
          <w:marRight w:val="0"/>
          <w:marTop w:val="0"/>
          <w:marBottom w:val="0"/>
          <w:divBdr>
            <w:top w:val="none" w:sz="0" w:space="0" w:color="auto"/>
            <w:left w:val="none" w:sz="0" w:space="0" w:color="auto"/>
            <w:bottom w:val="none" w:sz="0" w:space="0" w:color="auto"/>
            <w:right w:val="none" w:sz="0" w:space="0" w:color="auto"/>
          </w:divBdr>
        </w:div>
        <w:div w:id="1700887125">
          <w:marLeft w:val="0"/>
          <w:marRight w:val="0"/>
          <w:marTop w:val="0"/>
          <w:marBottom w:val="0"/>
          <w:divBdr>
            <w:top w:val="none" w:sz="0" w:space="0" w:color="auto"/>
            <w:left w:val="none" w:sz="0" w:space="0" w:color="auto"/>
            <w:bottom w:val="none" w:sz="0" w:space="0" w:color="auto"/>
            <w:right w:val="none" w:sz="0" w:space="0" w:color="auto"/>
          </w:divBdr>
        </w:div>
        <w:div w:id="1054885834">
          <w:marLeft w:val="0"/>
          <w:marRight w:val="0"/>
          <w:marTop w:val="0"/>
          <w:marBottom w:val="0"/>
          <w:divBdr>
            <w:top w:val="none" w:sz="0" w:space="0" w:color="auto"/>
            <w:left w:val="none" w:sz="0" w:space="0" w:color="auto"/>
            <w:bottom w:val="none" w:sz="0" w:space="0" w:color="auto"/>
            <w:right w:val="none" w:sz="0" w:space="0" w:color="auto"/>
          </w:divBdr>
        </w:div>
        <w:div w:id="722488423">
          <w:marLeft w:val="0"/>
          <w:marRight w:val="0"/>
          <w:marTop w:val="0"/>
          <w:marBottom w:val="0"/>
          <w:divBdr>
            <w:top w:val="none" w:sz="0" w:space="0" w:color="auto"/>
            <w:left w:val="none" w:sz="0" w:space="0" w:color="auto"/>
            <w:bottom w:val="none" w:sz="0" w:space="0" w:color="auto"/>
            <w:right w:val="none" w:sz="0" w:space="0" w:color="auto"/>
          </w:divBdr>
        </w:div>
        <w:div w:id="776371459">
          <w:marLeft w:val="0"/>
          <w:marRight w:val="0"/>
          <w:marTop w:val="0"/>
          <w:marBottom w:val="0"/>
          <w:divBdr>
            <w:top w:val="none" w:sz="0" w:space="0" w:color="auto"/>
            <w:left w:val="none" w:sz="0" w:space="0" w:color="auto"/>
            <w:bottom w:val="none" w:sz="0" w:space="0" w:color="auto"/>
            <w:right w:val="none" w:sz="0" w:space="0" w:color="auto"/>
          </w:divBdr>
        </w:div>
        <w:div w:id="80297742">
          <w:marLeft w:val="0"/>
          <w:marRight w:val="0"/>
          <w:marTop w:val="0"/>
          <w:marBottom w:val="0"/>
          <w:divBdr>
            <w:top w:val="none" w:sz="0" w:space="0" w:color="auto"/>
            <w:left w:val="none" w:sz="0" w:space="0" w:color="auto"/>
            <w:bottom w:val="none" w:sz="0" w:space="0" w:color="auto"/>
            <w:right w:val="none" w:sz="0" w:space="0" w:color="auto"/>
          </w:divBdr>
        </w:div>
      </w:divsChild>
    </w:div>
    <w:div w:id="631252304">
      <w:bodyDiv w:val="1"/>
      <w:marLeft w:val="0"/>
      <w:marRight w:val="0"/>
      <w:marTop w:val="0"/>
      <w:marBottom w:val="0"/>
      <w:divBdr>
        <w:top w:val="none" w:sz="0" w:space="0" w:color="auto"/>
        <w:left w:val="none" w:sz="0" w:space="0" w:color="auto"/>
        <w:bottom w:val="none" w:sz="0" w:space="0" w:color="auto"/>
        <w:right w:val="none" w:sz="0" w:space="0" w:color="auto"/>
      </w:divBdr>
      <w:divsChild>
        <w:div w:id="1073814243">
          <w:marLeft w:val="0"/>
          <w:marRight w:val="0"/>
          <w:marTop w:val="0"/>
          <w:marBottom w:val="0"/>
          <w:divBdr>
            <w:top w:val="none" w:sz="0" w:space="0" w:color="auto"/>
            <w:left w:val="none" w:sz="0" w:space="0" w:color="auto"/>
            <w:bottom w:val="none" w:sz="0" w:space="0" w:color="auto"/>
            <w:right w:val="none" w:sz="0" w:space="0" w:color="auto"/>
          </w:divBdr>
        </w:div>
        <w:div w:id="185293430">
          <w:marLeft w:val="0"/>
          <w:marRight w:val="0"/>
          <w:marTop w:val="0"/>
          <w:marBottom w:val="0"/>
          <w:divBdr>
            <w:top w:val="none" w:sz="0" w:space="0" w:color="auto"/>
            <w:left w:val="none" w:sz="0" w:space="0" w:color="auto"/>
            <w:bottom w:val="none" w:sz="0" w:space="0" w:color="auto"/>
            <w:right w:val="none" w:sz="0" w:space="0" w:color="auto"/>
          </w:divBdr>
        </w:div>
        <w:div w:id="2094231935">
          <w:marLeft w:val="0"/>
          <w:marRight w:val="0"/>
          <w:marTop w:val="0"/>
          <w:marBottom w:val="0"/>
          <w:divBdr>
            <w:top w:val="none" w:sz="0" w:space="0" w:color="auto"/>
            <w:left w:val="none" w:sz="0" w:space="0" w:color="auto"/>
            <w:bottom w:val="none" w:sz="0" w:space="0" w:color="auto"/>
            <w:right w:val="none" w:sz="0" w:space="0" w:color="auto"/>
          </w:divBdr>
        </w:div>
        <w:div w:id="1185943065">
          <w:marLeft w:val="0"/>
          <w:marRight w:val="0"/>
          <w:marTop w:val="0"/>
          <w:marBottom w:val="0"/>
          <w:divBdr>
            <w:top w:val="none" w:sz="0" w:space="0" w:color="auto"/>
            <w:left w:val="none" w:sz="0" w:space="0" w:color="auto"/>
            <w:bottom w:val="none" w:sz="0" w:space="0" w:color="auto"/>
            <w:right w:val="none" w:sz="0" w:space="0" w:color="auto"/>
          </w:divBdr>
        </w:div>
        <w:div w:id="1373194031">
          <w:marLeft w:val="0"/>
          <w:marRight w:val="0"/>
          <w:marTop w:val="0"/>
          <w:marBottom w:val="0"/>
          <w:divBdr>
            <w:top w:val="none" w:sz="0" w:space="0" w:color="auto"/>
            <w:left w:val="none" w:sz="0" w:space="0" w:color="auto"/>
            <w:bottom w:val="none" w:sz="0" w:space="0" w:color="auto"/>
            <w:right w:val="none" w:sz="0" w:space="0" w:color="auto"/>
          </w:divBdr>
        </w:div>
        <w:div w:id="1741177823">
          <w:marLeft w:val="0"/>
          <w:marRight w:val="0"/>
          <w:marTop w:val="0"/>
          <w:marBottom w:val="0"/>
          <w:divBdr>
            <w:top w:val="none" w:sz="0" w:space="0" w:color="auto"/>
            <w:left w:val="none" w:sz="0" w:space="0" w:color="auto"/>
            <w:bottom w:val="none" w:sz="0" w:space="0" w:color="auto"/>
            <w:right w:val="none" w:sz="0" w:space="0" w:color="auto"/>
          </w:divBdr>
        </w:div>
        <w:div w:id="1533570665">
          <w:marLeft w:val="0"/>
          <w:marRight w:val="0"/>
          <w:marTop w:val="0"/>
          <w:marBottom w:val="0"/>
          <w:divBdr>
            <w:top w:val="none" w:sz="0" w:space="0" w:color="auto"/>
            <w:left w:val="none" w:sz="0" w:space="0" w:color="auto"/>
            <w:bottom w:val="none" w:sz="0" w:space="0" w:color="auto"/>
            <w:right w:val="none" w:sz="0" w:space="0" w:color="auto"/>
          </w:divBdr>
        </w:div>
        <w:div w:id="1272123874">
          <w:marLeft w:val="0"/>
          <w:marRight w:val="0"/>
          <w:marTop w:val="0"/>
          <w:marBottom w:val="0"/>
          <w:divBdr>
            <w:top w:val="none" w:sz="0" w:space="0" w:color="auto"/>
            <w:left w:val="none" w:sz="0" w:space="0" w:color="auto"/>
            <w:bottom w:val="none" w:sz="0" w:space="0" w:color="auto"/>
            <w:right w:val="none" w:sz="0" w:space="0" w:color="auto"/>
          </w:divBdr>
        </w:div>
        <w:div w:id="433749449">
          <w:marLeft w:val="0"/>
          <w:marRight w:val="0"/>
          <w:marTop w:val="0"/>
          <w:marBottom w:val="0"/>
          <w:divBdr>
            <w:top w:val="none" w:sz="0" w:space="0" w:color="auto"/>
            <w:left w:val="none" w:sz="0" w:space="0" w:color="auto"/>
            <w:bottom w:val="none" w:sz="0" w:space="0" w:color="auto"/>
            <w:right w:val="none" w:sz="0" w:space="0" w:color="auto"/>
          </w:divBdr>
        </w:div>
        <w:div w:id="809175454">
          <w:marLeft w:val="0"/>
          <w:marRight w:val="0"/>
          <w:marTop w:val="0"/>
          <w:marBottom w:val="0"/>
          <w:divBdr>
            <w:top w:val="none" w:sz="0" w:space="0" w:color="auto"/>
            <w:left w:val="none" w:sz="0" w:space="0" w:color="auto"/>
            <w:bottom w:val="none" w:sz="0" w:space="0" w:color="auto"/>
            <w:right w:val="none" w:sz="0" w:space="0" w:color="auto"/>
          </w:divBdr>
        </w:div>
        <w:div w:id="128480199">
          <w:marLeft w:val="0"/>
          <w:marRight w:val="0"/>
          <w:marTop w:val="0"/>
          <w:marBottom w:val="0"/>
          <w:divBdr>
            <w:top w:val="none" w:sz="0" w:space="0" w:color="auto"/>
            <w:left w:val="none" w:sz="0" w:space="0" w:color="auto"/>
            <w:bottom w:val="none" w:sz="0" w:space="0" w:color="auto"/>
            <w:right w:val="none" w:sz="0" w:space="0" w:color="auto"/>
          </w:divBdr>
        </w:div>
        <w:div w:id="1147089986">
          <w:marLeft w:val="0"/>
          <w:marRight w:val="0"/>
          <w:marTop w:val="0"/>
          <w:marBottom w:val="0"/>
          <w:divBdr>
            <w:top w:val="none" w:sz="0" w:space="0" w:color="auto"/>
            <w:left w:val="none" w:sz="0" w:space="0" w:color="auto"/>
            <w:bottom w:val="none" w:sz="0" w:space="0" w:color="auto"/>
            <w:right w:val="none" w:sz="0" w:space="0" w:color="auto"/>
          </w:divBdr>
        </w:div>
        <w:div w:id="1917587270">
          <w:marLeft w:val="0"/>
          <w:marRight w:val="0"/>
          <w:marTop w:val="0"/>
          <w:marBottom w:val="0"/>
          <w:divBdr>
            <w:top w:val="none" w:sz="0" w:space="0" w:color="auto"/>
            <w:left w:val="none" w:sz="0" w:space="0" w:color="auto"/>
            <w:bottom w:val="none" w:sz="0" w:space="0" w:color="auto"/>
            <w:right w:val="none" w:sz="0" w:space="0" w:color="auto"/>
          </w:divBdr>
        </w:div>
        <w:div w:id="247270762">
          <w:marLeft w:val="0"/>
          <w:marRight w:val="0"/>
          <w:marTop w:val="0"/>
          <w:marBottom w:val="0"/>
          <w:divBdr>
            <w:top w:val="none" w:sz="0" w:space="0" w:color="auto"/>
            <w:left w:val="none" w:sz="0" w:space="0" w:color="auto"/>
            <w:bottom w:val="none" w:sz="0" w:space="0" w:color="auto"/>
            <w:right w:val="none" w:sz="0" w:space="0" w:color="auto"/>
          </w:divBdr>
        </w:div>
        <w:div w:id="558977379">
          <w:marLeft w:val="0"/>
          <w:marRight w:val="0"/>
          <w:marTop w:val="0"/>
          <w:marBottom w:val="0"/>
          <w:divBdr>
            <w:top w:val="none" w:sz="0" w:space="0" w:color="auto"/>
            <w:left w:val="none" w:sz="0" w:space="0" w:color="auto"/>
            <w:bottom w:val="none" w:sz="0" w:space="0" w:color="auto"/>
            <w:right w:val="none" w:sz="0" w:space="0" w:color="auto"/>
          </w:divBdr>
        </w:div>
        <w:div w:id="1634946158">
          <w:marLeft w:val="0"/>
          <w:marRight w:val="0"/>
          <w:marTop w:val="0"/>
          <w:marBottom w:val="0"/>
          <w:divBdr>
            <w:top w:val="none" w:sz="0" w:space="0" w:color="auto"/>
            <w:left w:val="none" w:sz="0" w:space="0" w:color="auto"/>
            <w:bottom w:val="none" w:sz="0" w:space="0" w:color="auto"/>
            <w:right w:val="none" w:sz="0" w:space="0" w:color="auto"/>
          </w:divBdr>
        </w:div>
        <w:div w:id="962922245">
          <w:marLeft w:val="0"/>
          <w:marRight w:val="0"/>
          <w:marTop w:val="0"/>
          <w:marBottom w:val="0"/>
          <w:divBdr>
            <w:top w:val="none" w:sz="0" w:space="0" w:color="auto"/>
            <w:left w:val="none" w:sz="0" w:space="0" w:color="auto"/>
            <w:bottom w:val="none" w:sz="0" w:space="0" w:color="auto"/>
            <w:right w:val="none" w:sz="0" w:space="0" w:color="auto"/>
          </w:divBdr>
        </w:div>
        <w:div w:id="1338465621">
          <w:marLeft w:val="0"/>
          <w:marRight w:val="0"/>
          <w:marTop w:val="0"/>
          <w:marBottom w:val="0"/>
          <w:divBdr>
            <w:top w:val="none" w:sz="0" w:space="0" w:color="auto"/>
            <w:left w:val="none" w:sz="0" w:space="0" w:color="auto"/>
            <w:bottom w:val="none" w:sz="0" w:space="0" w:color="auto"/>
            <w:right w:val="none" w:sz="0" w:space="0" w:color="auto"/>
          </w:divBdr>
        </w:div>
      </w:divsChild>
    </w:div>
    <w:div w:id="655034106">
      <w:bodyDiv w:val="1"/>
      <w:marLeft w:val="0"/>
      <w:marRight w:val="0"/>
      <w:marTop w:val="0"/>
      <w:marBottom w:val="0"/>
      <w:divBdr>
        <w:top w:val="none" w:sz="0" w:space="0" w:color="auto"/>
        <w:left w:val="none" w:sz="0" w:space="0" w:color="auto"/>
        <w:bottom w:val="none" w:sz="0" w:space="0" w:color="auto"/>
        <w:right w:val="none" w:sz="0" w:space="0" w:color="auto"/>
      </w:divBdr>
      <w:divsChild>
        <w:div w:id="1652949361">
          <w:marLeft w:val="0"/>
          <w:marRight w:val="0"/>
          <w:marTop w:val="0"/>
          <w:marBottom w:val="0"/>
          <w:divBdr>
            <w:top w:val="none" w:sz="0" w:space="0" w:color="auto"/>
            <w:left w:val="none" w:sz="0" w:space="0" w:color="auto"/>
            <w:bottom w:val="none" w:sz="0" w:space="0" w:color="auto"/>
            <w:right w:val="none" w:sz="0" w:space="0" w:color="auto"/>
          </w:divBdr>
        </w:div>
        <w:div w:id="1508793127">
          <w:marLeft w:val="0"/>
          <w:marRight w:val="0"/>
          <w:marTop w:val="0"/>
          <w:marBottom w:val="0"/>
          <w:divBdr>
            <w:top w:val="none" w:sz="0" w:space="0" w:color="auto"/>
            <w:left w:val="none" w:sz="0" w:space="0" w:color="auto"/>
            <w:bottom w:val="none" w:sz="0" w:space="0" w:color="auto"/>
            <w:right w:val="none" w:sz="0" w:space="0" w:color="auto"/>
          </w:divBdr>
        </w:div>
        <w:div w:id="365983286">
          <w:marLeft w:val="0"/>
          <w:marRight w:val="0"/>
          <w:marTop w:val="0"/>
          <w:marBottom w:val="0"/>
          <w:divBdr>
            <w:top w:val="none" w:sz="0" w:space="0" w:color="auto"/>
            <w:left w:val="none" w:sz="0" w:space="0" w:color="auto"/>
            <w:bottom w:val="none" w:sz="0" w:space="0" w:color="auto"/>
            <w:right w:val="none" w:sz="0" w:space="0" w:color="auto"/>
          </w:divBdr>
        </w:div>
        <w:div w:id="754936867">
          <w:marLeft w:val="0"/>
          <w:marRight w:val="0"/>
          <w:marTop w:val="0"/>
          <w:marBottom w:val="0"/>
          <w:divBdr>
            <w:top w:val="none" w:sz="0" w:space="0" w:color="auto"/>
            <w:left w:val="none" w:sz="0" w:space="0" w:color="auto"/>
            <w:bottom w:val="none" w:sz="0" w:space="0" w:color="auto"/>
            <w:right w:val="none" w:sz="0" w:space="0" w:color="auto"/>
          </w:divBdr>
        </w:div>
      </w:divsChild>
    </w:div>
    <w:div w:id="735737137">
      <w:bodyDiv w:val="1"/>
      <w:marLeft w:val="0"/>
      <w:marRight w:val="0"/>
      <w:marTop w:val="0"/>
      <w:marBottom w:val="0"/>
      <w:divBdr>
        <w:top w:val="none" w:sz="0" w:space="0" w:color="auto"/>
        <w:left w:val="none" w:sz="0" w:space="0" w:color="auto"/>
        <w:bottom w:val="none" w:sz="0" w:space="0" w:color="auto"/>
        <w:right w:val="none" w:sz="0" w:space="0" w:color="auto"/>
      </w:divBdr>
      <w:divsChild>
        <w:div w:id="1849784712">
          <w:marLeft w:val="0"/>
          <w:marRight w:val="0"/>
          <w:marTop w:val="0"/>
          <w:marBottom w:val="0"/>
          <w:divBdr>
            <w:top w:val="none" w:sz="0" w:space="0" w:color="auto"/>
            <w:left w:val="none" w:sz="0" w:space="0" w:color="auto"/>
            <w:bottom w:val="none" w:sz="0" w:space="0" w:color="auto"/>
            <w:right w:val="none" w:sz="0" w:space="0" w:color="auto"/>
          </w:divBdr>
        </w:div>
        <w:div w:id="1896701991">
          <w:marLeft w:val="0"/>
          <w:marRight w:val="0"/>
          <w:marTop w:val="0"/>
          <w:marBottom w:val="0"/>
          <w:divBdr>
            <w:top w:val="none" w:sz="0" w:space="0" w:color="auto"/>
            <w:left w:val="none" w:sz="0" w:space="0" w:color="auto"/>
            <w:bottom w:val="none" w:sz="0" w:space="0" w:color="auto"/>
            <w:right w:val="none" w:sz="0" w:space="0" w:color="auto"/>
          </w:divBdr>
        </w:div>
        <w:div w:id="1875727250">
          <w:marLeft w:val="0"/>
          <w:marRight w:val="0"/>
          <w:marTop w:val="0"/>
          <w:marBottom w:val="0"/>
          <w:divBdr>
            <w:top w:val="none" w:sz="0" w:space="0" w:color="auto"/>
            <w:left w:val="none" w:sz="0" w:space="0" w:color="auto"/>
            <w:bottom w:val="none" w:sz="0" w:space="0" w:color="auto"/>
            <w:right w:val="none" w:sz="0" w:space="0" w:color="auto"/>
          </w:divBdr>
        </w:div>
      </w:divsChild>
    </w:div>
    <w:div w:id="749616991">
      <w:bodyDiv w:val="1"/>
      <w:marLeft w:val="0"/>
      <w:marRight w:val="0"/>
      <w:marTop w:val="0"/>
      <w:marBottom w:val="0"/>
      <w:divBdr>
        <w:top w:val="none" w:sz="0" w:space="0" w:color="auto"/>
        <w:left w:val="none" w:sz="0" w:space="0" w:color="auto"/>
        <w:bottom w:val="none" w:sz="0" w:space="0" w:color="auto"/>
        <w:right w:val="none" w:sz="0" w:space="0" w:color="auto"/>
      </w:divBdr>
      <w:divsChild>
        <w:div w:id="1234463454">
          <w:marLeft w:val="0"/>
          <w:marRight w:val="0"/>
          <w:marTop w:val="0"/>
          <w:marBottom w:val="0"/>
          <w:divBdr>
            <w:top w:val="none" w:sz="0" w:space="0" w:color="auto"/>
            <w:left w:val="none" w:sz="0" w:space="0" w:color="auto"/>
            <w:bottom w:val="none" w:sz="0" w:space="0" w:color="auto"/>
            <w:right w:val="none" w:sz="0" w:space="0" w:color="auto"/>
          </w:divBdr>
        </w:div>
        <w:div w:id="2011445987">
          <w:marLeft w:val="0"/>
          <w:marRight w:val="0"/>
          <w:marTop w:val="0"/>
          <w:marBottom w:val="0"/>
          <w:divBdr>
            <w:top w:val="none" w:sz="0" w:space="0" w:color="auto"/>
            <w:left w:val="none" w:sz="0" w:space="0" w:color="auto"/>
            <w:bottom w:val="none" w:sz="0" w:space="0" w:color="auto"/>
            <w:right w:val="none" w:sz="0" w:space="0" w:color="auto"/>
          </w:divBdr>
        </w:div>
      </w:divsChild>
    </w:div>
    <w:div w:id="945772349">
      <w:bodyDiv w:val="1"/>
      <w:marLeft w:val="0"/>
      <w:marRight w:val="0"/>
      <w:marTop w:val="0"/>
      <w:marBottom w:val="0"/>
      <w:divBdr>
        <w:top w:val="none" w:sz="0" w:space="0" w:color="auto"/>
        <w:left w:val="none" w:sz="0" w:space="0" w:color="auto"/>
        <w:bottom w:val="none" w:sz="0" w:space="0" w:color="auto"/>
        <w:right w:val="none" w:sz="0" w:space="0" w:color="auto"/>
      </w:divBdr>
      <w:divsChild>
        <w:div w:id="30083754">
          <w:marLeft w:val="0"/>
          <w:marRight w:val="0"/>
          <w:marTop w:val="0"/>
          <w:marBottom w:val="0"/>
          <w:divBdr>
            <w:top w:val="none" w:sz="0" w:space="0" w:color="auto"/>
            <w:left w:val="none" w:sz="0" w:space="0" w:color="auto"/>
            <w:bottom w:val="none" w:sz="0" w:space="0" w:color="auto"/>
            <w:right w:val="none" w:sz="0" w:space="0" w:color="auto"/>
          </w:divBdr>
        </w:div>
        <w:div w:id="793838390">
          <w:marLeft w:val="0"/>
          <w:marRight w:val="0"/>
          <w:marTop w:val="0"/>
          <w:marBottom w:val="0"/>
          <w:divBdr>
            <w:top w:val="none" w:sz="0" w:space="0" w:color="auto"/>
            <w:left w:val="none" w:sz="0" w:space="0" w:color="auto"/>
            <w:bottom w:val="none" w:sz="0" w:space="0" w:color="auto"/>
            <w:right w:val="none" w:sz="0" w:space="0" w:color="auto"/>
          </w:divBdr>
        </w:div>
      </w:divsChild>
    </w:div>
    <w:div w:id="1073552723">
      <w:bodyDiv w:val="1"/>
      <w:marLeft w:val="0"/>
      <w:marRight w:val="0"/>
      <w:marTop w:val="0"/>
      <w:marBottom w:val="0"/>
      <w:divBdr>
        <w:top w:val="none" w:sz="0" w:space="0" w:color="auto"/>
        <w:left w:val="none" w:sz="0" w:space="0" w:color="auto"/>
        <w:bottom w:val="none" w:sz="0" w:space="0" w:color="auto"/>
        <w:right w:val="none" w:sz="0" w:space="0" w:color="auto"/>
      </w:divBdr>
      <w:divsChild>
        <w:div w:id="1640649651">
          <w:marLeft w:val="0"/>
          <w:marRight w:val="0"/>
          <w:marTop w:val="0"/>
          <w:marBottom w:val="0"/>
          <w:divBdr>
            <w:top w:val="none" w:sz="0" w:space="0" w:color="auto"/>
            <w:left w:val="none" w:sz="0" w:space="0" w:color="auto"/>
            <w:bottom w:val="none" w:sz="0" w:space="0" w:color="auto"/>
            <w:right w:val="none" w:sz="0" w:space="0" w:color="auto"/>
          </w:divBdr>
        </w:div>
        <w:div w:id="536242755">
          <w:marLeft w:val="0"/>
          <w:marRight w:val="0"/>
          <w:marTop w:val="0"/>
          <w:marBottom w:val="0"/>
          <w:divBdr>
            <w:top w:val="none" w:sz="0" w:space="0" w:color="auto"/>
            <w:left w:val="none" w:sz="0" w:space="0" w:color="auto"/>
            <w:bottom w:val="none" w:sz="0" w:space="0" w:color="auto"/>
            <w:right w:val="none" w:sz="0" w:space="0" w:color="auto"/>
          </w:divBdr>
        </w:div>
        <w:div w:id="1067799853">
          <w:marLeft w:val="0"/>
          <w:marRight w:val="0"/>
          <w:marTop w:val="0"/>
          <w:marBottom w:val="0"/>
          <w:divBdr>
            <w:top w:val="none" w:sz="0" w:space="0" w:color="auto"/>
            <w:left w:val="none" w:sz="0" w:space="0" w:color="auto"/>
            <w:bottom w:val="none" w:sz="0" w:space="0" w:color="auto"/>
            <w:right w:val="none" w:sz="0" w:space="0" w:color="auto"/>
          </w:divBdr>
        </w:div>
        <w:div w:id="1040857630">
          <w:marLeft w:val="0"/>
          <w:marRight w:val="0"/>
          <w:marTop w:val="0"/>
          <w:marBottom w:val="0"/>
          <w:divBdr>
            <w:top w:val="none" w:sz="0" w:space="0" w:color="auto"/>
            <w:left w:val="none" w:sz="0" w:space="0" w:color="auto"/>
            <w:bottom w:val="none" w:sz="0" w:space="0" w:color="auto"/>
            <w:right w:val="none" w:sz="0" w:space="0" w:color="auto"/>
          </w:divBdr>
        </w:div>
        <w:div w:id="795870500">
          <w:marLeft w:val="0"/>
          <w:marRight w:val="0"/>
          <w:marTop w:val="0"/>
          <w:marBottom w:val="0"/>
          <w:divBdr>
            <w:top w:val="none" w:sz="0" w:space="0" w:color="auto"/>
            <w:left w:val="none" w:sz="0" w:space="0" w:color="auto"/>
            <w:bottom w:val="none" w:sz="0" w:space="0" w:color="auto"/>
            <w:right w:val="none" w:sz="0" w:space="0" w:color="auto"/>
          </w:divBdr>
        </w:div>
        <w:div w:id="1136530712">
          <w:marLeft w:val="0"/>
          <w:marRight w:val="0"/>
          <w:marTop w:val="0"/>
          <w:marBottom w:val="0"/>
          <w:divBdr>
            <w:top w:val="none" w:sz="0" w:space="0" w:color="auto"/>
            <w:left w:val="none" w:sz="0" w:space="0" w:color="auto"/>
            <w:bottom w:val="none" w:sz="0" w:space="0" w:color="auto"/>
            <w:right w:val="none" w:sz="0" w:space="0" w:color="auto"/>
          </w:divBdr>
        </w:div>
      </w:divsChild>
    </w:div>
    <w:div w:id="1208569339">
      <w:bodyDiv w:val="1"/>
      <w:marLeft w:val="0"/>
      <w:marRight w:val="0"/>
      <w:marTop w:val="0"/>
      <w:marBottom w:val="0"/>
      <w:divBdr>
        <w:top w:val="none" w:sz="0" w:space="0" w:color="auto"/>
        <w:left w:val="none" w:sz="0" w:space="0" w:color="auto"/>
        <w:bottom w:val="none" w:sz="0" w:space="0" w:color="auto"/>
        <w:right w:val="none" w:sz="0" w:space="0" w:color="auto"/>
      </w:divBdr>
      <w:divsChild>
        <w:div w:id="956646558">
          <w:marLeft w:val="0"/>
          <w:marRight w:val="0"/>
          <w:marTop w:val="0"/>
          <w:marBottom w:val="0"/>
          <w:divBdr>
            <w:top w:val="none" w:sz="0" w:space="0" w:color="auto"/>
            <w:left w:val="none" w:sz="0" w:space="0" w:color="auto"/>
            <w:bottom w:val="none" w:sz="0" w:space="0" w:color="auto"/>
            <w:right w:val="none" w:sz="0" w:space="0" w:color="auto"/>
          </w:divBdr>
        </w:div>
        <w:div w:id="2110734666">
          <w:marLeft w:val="0"/>
          <w:marRight w:val="0"/>
          <w:marTop w:val="0"/>
          <w:marBottom w:val="0"/>
          <w:divBdr>
            <w:top w:val="none" w:sz="0" w:space="0" w:color="auto"/>
            <w:left w:val="none" w:sz="0" w:space="0" w:color="auto"/>
            <w:bottom w:val="none" w:sz="0" w:space="0" w:color="auto"/>
            <w:right w:val="none" w:sz="0" w:space="0" w:color="auto"/>
          </w:divBdr>
        </w:div>
      </w:divsChild>
    </w:div>
    <w:div w:id="1230068332">
      <w:bodyDiv w:val="1"/>
      <w:marLeft w:val="0"/>
      <w:marRight w:val="0"/>
      <w:marTop w:val="0"/>
      <w:marBottom w:val="0"/>
      <w:divBdr>
        <w:top w:val="none" w:sz="0" w:space="0" w:color="auto"/>
        <w:left w:val="none" w:sz="0" w:space="0" w:color="auto"/>
        <w:bottom w:val="none" w:sz="0" w:space="0" w:color="auto"/>
        <w:right w:val="none" w:sz="0" w:space="0" w:color="auto"/>
      </w:divBdr>
      <w:divsChild>
        <w:div w:id="880629920">
          <w:marLeft w:val="0"/>
          <w:marRight w:val="0"/>
          <w:marTop w:val="0"/>
          <w:marBottom w:val="0"/>
          <w:divBdr>
            <w:top w:val="none" w:sz="0" w:space="0" w:color="auto"/>
            <w:left w:val="none" w:sz="0" w:space="0" w:color="auto"/>
            <w:bottom w:val="none" w:sz="0" w:space="0" w:color="auto"/>
            <w:right w:val="none" w:sz="0" w:space="0" w:color="auto"/>
          </w:divBdr>
        </w:div>
        <w:div w:id="188572220">
          <w:marLeft w:val="0"/>
          <w:marRight w:val="0"/>
          <w:marTop w:val="0"/>
          <w:marBottom w:val="0"/>
          <w:divBdr>
            <w:top w:val="none" w:sz="0" w:space="0" w:color="auto"/>
            <w:left w:val="none" w:sz="0" w:space="0" w:color="auto"/>
            <w:bottom w:val="none" w:sz="0" w:space="0" w:color="auto"/>
            <w:right w:val="none" w:sz="0" w:space="0" w:color="auto"/>
          </w:divBdr>
        </w:div>
      </w:divsChild>
    </w:div>
    <w:div w:id="1426074844">
      <w:bodyDiv w:val="1"/>
      <w:marLeft w:val="0"/>
      <w:marRight w:val="0"/>
      <w:marTop w:val="0"/>
      <w:marBottom w:val="0"/>
      <w:divBdr>
        <w:top w:val="none" w:sz="0" w:space="0" w:color="auto"/>
        <w:left w:val="none" w:sz="0" w:space="0" w:color="auto"/>
        <w:bottom w:val="none" w:sz="0" w:space="0" w:color="auto"/>
        <w:right w:val="none" w:sz="0" w:space="0" w:color="auto"/>
      </w:divBdr>
      <w:divsChild>
        <w:div w:id="1233006351">
          <w:marLeft w:val="0"/>
          <w:marRight w:val="0"/>
          <w:marTop w:val="0"/>
          <w:marBottom w:val="0"/>
          <w:divBdr>
            <w:top w:val="none" w:sz="0" w:space="0" w:color="auto"/>
            <w:left w:val="none" w:sz="0" w:space="0" w:color="auto"/>
            <w:bottom w:val="none" w:sz="0" w:space="0" w:color="auto"/>
            <w:right w:val="none" w:sz="0" w:space="0" w:color="auto"/>
          </w:divBdr>
        </w:div>
        <w:div w:id="1903446486">
          <w:marLeft w:val="0"/>
          <w:marRight w:val="0"/>
          <w:marTop w:val="0"/>
          <w:marBottom w:val="0"/>
          <w:divBdr>
            <w:top w:val="none" w:sz="0" w:space="0" w:color="auto"/>
            <w:left w:val="none" w:sz="0" w:space="0" w:color="auto"/>
            <w:bottom w:val="none" w:sz="0" w:space="0" w:color="auto"/>
            <w:right w:val="none" w:sz="0" w:space="0" w:color="auto"/>
          </w:divBdr>
        </w:div>
        <w:div w:id="782041815">
          <w:marLeft w:val="0"/>
          <w:marRight w:val="0"/>
          <w:marTop w:val="0"/>
          <w:marBottom w:val="0"/>
          <w:divBdr>
            <w:top w:val="none" w:sz="0" w:space="0" w:color="auto"/>
            <w:left w:val="none" w:sz="0" w:space="0" w:color="auto"/>
            <w:bottom w:val="none" w:sz="0" w:space="0" w:color="auto"/>
            <w:right w:val="none" w:sz="0" w:space="0" w:color="auto"/>
          </w:divBdr>
        </w:div>
        <w:div w:id="1693652248">
          <w:marLeft w:val="0"/>
          <w:marRight w:val="0"/>
          <w:marTop w:val="0"/>
          <w:marBottom w:val="0"/>
          <w:divBdr>
            <w:top w:val="none" w:sz="0" w:space="0" w:color="auto"/>
            <w:left w:val="none" w:sz="0" w:space="0" w:color="auto"/>
            <w:bottom w:val="none" w:sz="0" w:space="0" w:color="auto"/>
            <w:right w:val="none" w:sz="0" w:space="0" w:color="auto"/>
          </w:divBdr>
        </w:div>
        <w:div w:id="1311441308">
          <w:marLeft w:val="0"/>
          <w:marRight w:val="0"/>
          <w:marTop w:val="0"/>
          <w:marBottom w:val="0"/>
          <w:divBdr>
            <w:top w:val="none" w:sz="0" w:space="0" w:color="auto"/>
            <w:left w:val="none" w:sz="0" w:space="0" w:color="auto"/>
            <w:bottom w:val="none" w:sz="0" w:space="0" w:color="auto"/>
            <w:right w:val="none" w:sz="0" w:space="0" w:color="auto"/>
          </w:divBdr>
        </w:div>
      </w:divsChild>
    </w:div>
    <w:div w:id="1524709770">
      <w:bodyDiv w:val="1"/>
      <w:marLeft w:val="0"/>
      <w:marRight w:val="0"/>
      <w:marTop w:val="0"/>
      <w:marBottom w:val="0"/>
      <w:divBdr>
        <w:top w:val="none" w:sz="0" w:space="0" w:color="auto"/>
        <w:left w:val="none" w:sz="0" w:space="0" w:color="auto"/>
        <w:bottom w:val="none" w:sz="0" w:space="0" w:color="auto"/>
        <w:right w:val="none" w:sz="0" w:space="0" w:color="auto"/>
      </w:divBdr>
      <w:divsChild>
        <w:div w:id="1991397228">
          <w:marLeft w:val="0"/>
          <w:marRight w:val="0"/>
          <w:marTop w:val="0"/>
          <w:marBottom w:val="0"/>
          <w:divBdr>
            <w:top w:val="none" w:sz="0" w:space="0" w:color="auto"/>
            <w:left w:val="none" w:sz="0" w:space="0" w:color="auto"/>
            <w:bottom w:val="none" w:sz="0" w:space="0" w:color="auto"/>
            <w:right w:val="none" w:sz="0" w:space="0" w:color="auto"/>
          </w:divBdr>
        </w:div>
        <w:div w:id="165367107">
          <w:marLeft w:val="0"/>
          <w:marRight w:val="0"/>
          <w:marTop w:val="0"/>
          <w:marBottom w:val="0"/>
          <w:divBdr>
            <w:top w:val="none" w:sz="0" w:space="0" w:color="auto"/>
            <w:left w:val="none" w:sz="0" w:space="0" w:color="auto"/>
            <w:bottom w:val="none" w:sz="0" w:space="0" w:color="auto"/>
            <w:right w:val="none" w:sz="0" w:space="0" w:color="auto"/>
          </w:divBdr>
        </w:div>
        <w:div w:id="584416240">
          <w:marLeft w:val="0"/>
          <w:marRight w:val="0"/>
          <w:marTop w:val="0"/>
          <w:marBottom w:val="0"/>
          <w:divBdr>
            <w:top w:val="none" w:sz="0" w:space="0" w:color="auto"/>
            <w:left w:val="none" w:sz="0" w:space="0" w:color="auto"/>
            <w:bottom w:val="none" w:sz="0" w:space="0" w:color="auto"/>
            <w:right w:val="none" w:sz="0" w:space="0" w:color="auto"/>
          </w:divBdr>
        </w:div>
      </w:divsChild>
    </w:div>
    <w:div w:id="1780684465">
      <w:bodyDiv w:val="1"/>
      <w:marLeft w:val="0"/>
      <w:marRight w:val="0"/>
      <w:marTop w:val="0"/>
      <w:marBottom w:val="0"/>
      <w:divBdr>
        <w:top w:val="none" w:sz="0" w:space="0" w:color="auto"/>
        <w:left w:val="none" w:sz="0" w:space="0" w:color="auto"/>
        <w:bottom w:val="none" w:sz="0" w:space="0" w:color="auto"/>
        <w:right w:val="none" w:sz="0" w:space="0" w:color="auto"/>
      </w:divBdr>
      <w:divsChild>
        <w:div w:id="2137529089">
          <w:marLeft w:val="0"/>
          <w:marRight w:val="0"/>
          <w:marTop w:val="0"/>
          <w:marBottom w:val="0"/>
          <w:divBdr>
            <w:top w:val="none" w:sz="0" w:space="0" w:color="auto"/>
            <w:left w:val="none" w:sz="0" w:space="0" w:color="auto"/>
            <w:bottom w:val="none" w:sz="0" w:space="0" w:color="auto"/>
            <w:right w:val="none" w:sz="0" w:space="0" w:color="auto"/>
          </w:divBdr>
        </w:div>
        <w:div w:id="1979187541">
          <w:marLeft w:val="0"/>
          <w:marRight w:val="0"/>
          <w:marTop w:val="0"/>
          <w:marBottom w:val="0"/>
          <w:divBdr>
            <w:top w:val="none" w:sz="0" w:space="0" w:color="auto"/>
            <w:left w:val="none" w:sz="0" w:space="0" w:color="auto"/>
            <w:bottom w:val="none" w:sz="0" w:space="0" w:color="auto"/>
            <w:right w:val="none" w:sz="0" w:space="0" w:color="auto"/>
          </w:divBdr>
        </w:div>
        <w:div w:id="526523911">
          <w:marLeft w:val="0"/>
          <w:marRight w:val="0"/>
          <w:marTop w:val="0"/>
          <w:marBottom w:val="0"/>
          <w:divBdr>
            <w:top w:val="none" w:sz="0" w:space="0" w:color="auto"/>
            <w:left w:val="none" w:sz="0" w:space="0" w:color="auto"/>
            <w:bottom w:val="none" w:sz="0" w:space="0" w:color="auto"/>
            <w:right w:val="none" w:sz="0" w:space="0" w:color="auto"/>
          </w:divBdr>
        </w:div>
        <w:div w:id="2032031029">
          <w:marLeft w:val="0"/>
          <w:marRight w:val="0"/>
          <w:marTop w:val="0"/>
          <w:marBottom w:val="0"/>
          <w:divBdr>
            <w:top w:val="none" w:sz="0" w:space="0" w:color="auto"/>
            <w:left w:val="none" w:sz="0" w:space="0" w:color="auto"/>
            <w:bottom w:val="none" w:sz="0" w:space="0" w:color="auto"/>
            <w:right w:val="none" w:sz="0" w:space="0" w:color="auto"/>
          </w:divBdr>
        </w:div>
        <w:div w:id="1950812321">
          <w:marLeft w:val="0"/>
          <w:marRight w:val="0"/>
          <w:marTop w:val="0"/>
          <w:marBottom w:val="0"/>
          <w:divBdr>
            <w:top w:val="none" w:sz="0" w:space="0" w:color="auto"/>
            <w:left w:val="none" w:sz="0" w:space="0" w:color="auto"/>
            <w:bottom w:val="none" w:sz="0" w:space="0" w:color="auto"/>
            <w:right w:val="none" w:sz="0" w:space="0" w:color="auto"/>
          </w:divBdr>
        </w:div>
        <w:div w:id="442578634">
          <w:marLeft w:val="0"/>
          <w:marRight w:val="0"/>
          <w:marTop w:val="0"/>
          <w:marBottom w:val="0"/>
          <w:divBdr>
            <w:top w:val="none" w:sz="0" w:space="0" w:color="auto"/>
            <w:left w:val="none" w:sz="0" w:space="0" w:color="auto"/>
            <w:bottom w:val="none" w:sz="0" w:space="0" w:color="auto"/>
            <w:right w:val="none" w:sz="0" w:space="0" w:color="auto"/>
          </w:divBdr>
        </w:div>
        <w:div w:id="44331748">
          <w:marLeft w:val="0"/>
          <w:marRight w:val="0"/>
          <w:marTop w:val="0"/>
          <w:marBottom w:val="0"/>
          <w:divBdr>
            <w:top w:val="none" w:sz="0" w:space="0" w:color="auto"/>
            <w:left w:val="none" w:sz="0" w:space="0" w:color="auto"/>
            <w:bottom w:val="none" w:sz="0" w:space="0" w:color="auto"/>
            <w:right w:val="none" w:sz="0" w:space="0" w:color="auto"/>
          </w:divBdr>
        </w:div>
        <w:div w:id="1127704272">
          <w:marLeft w:val="0"/>
          <w:marRight w:val="0"/>
          <w:marTop w:val="0"/>
          <w:marBottom w:val="0"/>
          <w:divBdr>
            <w:top w:val="none" w:sz="0" w:space="0" w:color="auto"/>
            <w:left w:val="none" w:sz="0" w:space="0" w:color="auto"/>
            <w:bottom w:val="none" w:sz="0" w:space="0" w:color="auto"/>
            <w:right w:val="none" w:sz="0" w:space="0" w:color="auto"/>
          </w:divBdr>
        </w:div>
      </w:divsChild>
    </w:div>
    <w:div w:id="1876890103">
      <w:bodyDiv w:val="1"/>
      <w:marLeft w:val="0"/>
      <w:marRight w:val="0"/>
      <w:marTop w:val="0"/>
      <w:marBottom w:val="0"/>
      <w:divBdr>
        <w:top w:val="none" w:sz="0" w:space="0" w:color="auto"/>
        <w:left w:val="none" w:sz="0" w:space="0" w:color="auto"/>
        <w:bottom w:val="none" w:sz="0" w:space="0" w:color="auto"/>
        <w:right w:val="none" w:sz="0" w:space="0" w:color="auto"/>
      </w:divBdr>
      <w:divsChild>
        <w:div w:id="399137457">
          <w:marLeft w:val="0"/>
          <w:marRight w:val="0"/>
          <w:marTop w:val="0"/>
          <w:marBottom w:val="0"/>
          <w:divBdr>
            <w:top w:val="none" w:sz="0" w:space="0" w:color="auto"/>
            <w:left w:val="none" w:sz="0" w:space="0" w:color="auto"/>
            <w:bottom w:val="none" w:sz="0" w:space="0" w:color="auto"/>
            <w:right w:val="none" w:sz="0" w:space="0" w:color="auto"/>
          </w:divBdr>
        </w:div>
        <w:div w:id="1463428704">
          <w:marLeft w:val="0"/>
          <w:marRight w:val="0"/>
          <w:marTop w:val="0"/>
          <w:marBottom w:val="0"/>
          <w:divBdr>
            <w:top w:val="none" w:sz="0" w:space="0" w:color="auto"/>
            <w:left w:val="none" w:sz="0" w:space="0" w:color="auto"/>
            <w:bottom w:val="none" w:sz="0" w:space="0" w:color="auto"/>
            <w:right w:val="none" w:sz="0" w:space="0" w:color="auto"/>
          </w:divBdr>
        </w:div>
        <w:div w:id="842401527">
          <w:marLeft w:val="0"/>
          <w:marRight w:val="0"/>
          <w:marTop w:val="0"/>
          <w:marBottom w:val="0"/>
          <w:divBdr>
            <w:top w:val="none" w:sz="0" w:space="0" w:color="auto"/>
            <w:left w:val="none" w:sz="0" w:space="0" w:color="auto"/>
            <w:bottom w:val="none" w:sz="0" w:space="0" w:color="auto"/>
            <w:right w:val="none" w:sz="0" w:space="0" w:color="auto"/>
          </w:divBdr>
        </w:div>
        <w:div w:id="925917116">
          <w:marLeft w:val="0"/>
          <w:marRight w:val="0"/>
          <w:marTop w:val="0"/>
          <w:marBottom w:val="0"/>
          <w:divBdr>
            <w:top w:val="none" w:sz="0" w:space="0" w:color="auto"/>
            <w:left w:val="none" w:sz="0" w:space="0" w:color="auto"/>
            <w:bottom w:val="none" w:sz="0" w:space="0" w:color="auto"/>
            <w:right w:val="none" w:sz="0" w:space="0" w:color="auto"/>
          </w:divBdr>
        </w:div>
        <w:div w:id="1295020021">
          <w:marLeft w:val="0"/>
          <w:marRight w:val="0"/>
          <w:marTop w:val="0"/>
          <w:marBottom w:val="0"/>
          <w:divBdr>
            <w:top w:val="none" w:sz="0" w:space="0" w:color="auto"/>
            <w:left w:val="none" w:sz="0" w:space="0" w:color="auto"/>
            <w:bottom w:val="none" w:sz="0" w:space="0" w:color="auto"/>
            <w:right w:val="none" w:sz="0" w:space="0" w:color="auto"/>
          </w:divBdr>
        </w:div>
        <w:div w:id="559630799">
          <w:marLeft w:val="0"/>
          <w:marRight w:val="0"/>
          <w:marTop w:val="0"/>
          <w:marBottom w:val="0"/>
          <w:divBdr>
            <w:top w:val="none" w:sz="0" w:space="0" w:color="auto"/>
            <w:left w:val="none" w:sz="0" w:space="0" w:color="auto"/>
            <w:bottom w:val="none" w:sz="0" w:space="0" w:color="auto"/>
            <w:right w:val="none" w:sz="0" w:space="0" w:color="auto"/>
          </w:divBdr>
        </w:div>
        <w:div w:id="766116721">
          <w:marLeft w:val="0"/>
          <w:marRight w:val="0"/>
          <w:marTop w:val="0"/>
          <w:marBottom w:val="0"/>
          <w:divBdr>
            <w:top w:val="none" w:sz="0" w:space="0" w:color="auto"/>
            <w:left w:val="none" w:sz="0" w:space="0" w:color="auto"/>
            <w:bottom w:val="none" w:sz="0" w:space="0" w:color="auto"/>
            <w:right w:val="none" w:sz="0" w:space="0" w:color="auto"/>
          </w:divBdr>
        </w:div>
        <w:div w:id="375587701">
          <w:marLeft w:val="0"/>
          <w:marRight w:val="0"/>
          <w:marTop w:val="0"/>
          <w:marBottom w:val="0"/>
          <w:divBdr>
            <w:top w:val="none" w:sz="0" w:space="0" w:color="auto"/>
            <w:left w:val="none" w:sz="0" w:space="0" w:color="auto"/>
            <w:bottom w:val="none" w:sz="0" w:space="0" w:color="auto"/>
            <w:right w:val="none" w:sz="0" w:space="0" w:color="auto"/>
          </w:divBdr>
        </w:div>
        <w:div w:id="804349623">
          <w:marLeft w:val="0"/>
          <w:marRight w:val="0"/>
          <w:marTop w:val="0"/>
          <w:marBottom w:val="0"/>
          <w:divBdr>
            <w:top w:val="none" w:sz="0" w:space="0" w:color="auto"/>
            <w:left w:val="none" w:sz="0" w:space="0" w:color="auto"/>
            <w:bottom w:val="none" w:sz="0" w:space="0" w:color="auto"/>
            <w:right w:val="none" w:sz="0" w:space="0" w:color="auto"/>
          </w:divBdr>
        </w:div>
        <w:div w:id="552541636">
          <w:marLeft w:val="0"/>
          <w:marRight w:val="0"/>
          <w:marTop w:val="0"/>
          <w:marBottom w:val="0"/>
          <w:divBdr>
            <w:top w:val="none" w:sz="0" w:space="0" w:color="auto"/>
            <w:left w:val="none" w:sz="0" w:space="0" w:color="auto"/>
            <w:bottom w:val="none" w:sz="0" w:space="0" w:color="auto"/>
            <w:right w:val="none" w:sz="0" w:space="0" w:color="auto"/>
          </w:divBdr>
        </w:div>
        <w:div w:id="2042853407">
          <w:marLeft w:val="0"/>
          <w:marRight w:val="0"/>
          <w:marTop w:val="0"/>
          <w:marBottom w:val="0"/>
          <w:divBdr>
            <w:top w:val="none" w:sz="0" w:space="0" w:color="auto"/>
            <w:left w:val="none" w:sz="0" w:space="0" w:color="auto"/>
            <w:bottom w:val="none" w:sz="0" w:space="0" w:color="auto"/>
            <w:right w:val="none" w:sz="0" w:space="0" w:color="auto"/>
          </w:divBdr>
        </w:div>
        <w:div w:id="1823622250">
          <w:marLeft w:val="0"/>
          <w:marRight w:val="0"/>
          <w:marTop w:val="0"/>
          <w:marBottom w:val="0"/>
          <w:divBdr>
            <w:top w:val="none" w:sz="0" w:space="0" w:color="auto"/>
            <w:left w:val="none" w:sz="0" w:space="0" w:color="auto"/>
            <w:bottom w:val="none" w:sz="0" w:space="0" w:color="auto"/>
            <w:right w:val="none" w:sz="0" w:space="0" w:color="auto"/>
          </w:divBdr>
        </w:div>
        <w:div w:id="804857290">
          <w:marLeft w:val="0"/>
          <w:marRight w:val="0"/>
          <w:marTop w:val="0"/>
          <w:marBottom w:val="0"/>
          <w:divBdr>
            <w:top w:val="none" w:sz="0" w:space="0" w:color="auto"/>
            <w:left w:val="none" w:sz="0" w:space="0" w:color="auto"/>
            <w:bottom w:val="none" w:sz="0" w:space="0" w:color="auto"/>
            <w:right w:val="none" w:sz="0" w:space="0" w:color="auto"/>
          </w:divBdr>
        </w:div>
        <w:div w:id="1430347360">
          <w:marLeft w:val="0"/>
          <w:marRight w:val="0"/>
          <w:marTop w:val="0"/>
          <w:marBottom w:val="0"/>
          <w:divBdr>
            <w:top w:val="none" w:sz="0" w:space="0" w:color="auto"/>
            <w:left w:val="none" w:sz="0" w:space="0" w:color="auto"/>
            <w:bottom w:val="none" w:sz="0" w:space="0" w:color="auto"/>
            <w:right w:val="none" w:sz="0" w:space="0" w:color="auto"/>
          </w:divBdr>
        </w:div>
        <w:div w:id="723531266">
          <w:marLeft w:val="0"/>
          <w:marRight w:val="0"/>
          <w:marTop w:val="0"/>
          <w:marBottom w:val="0"/>
          <w:divBdr>
            <w:top w:val="none" w:sz="0" w:space="0" w:color="auto"/>
            <w:left w:val="none" w:sz="0" w:space="0" w:color="auto"/>
            <w:bottom w:val="none" w:sz="0" w:space="0" w:color="auto"/>
            <w:right w:val="none" w:sz="0" w:space="0" w:color="auto"/>
          </w:divBdr>
        </w:div>
      </w:divsChild>
    </w:div>
    <w:div w:id="1956403658">
      <w:bodyDiv w:val="1"/>
      <w:marLeft w:val="0"/>
      <w:marRight w:val="0"/>
      <w:marTop w:val="0"/>
      <w:marBottom w:val="0"/>
      <w:divBdr>
        <w:top w:val="none" w:sz="0" w:space="0" w:color="auto"/>
        <w:left w:val="none" w:sz="0" w:space="0" w:color="auto"/>
        <w:bottom w:val="none" w:sz="0" w:space="0" w:color="auto"/>
        <w:right w:val="none" w:sz="0" w:space="0" w:color="auto"/>
      </w:divBdr>
      <w:divsChild>
        <w:div w:id="458646049">
          <w:marLeft w:val="0"/>
          <w:marRight w:val="0"/>
          <w:marTop w:val="0"/>
          <w:marBottom w:val="0"/>
          <w:divBdr>
            <w:top w:val="none" w:sz="0" w:space="0" w:color="auto"/>
            <w:left w:val="none" w:sz="0" w:space="0" w:color="auto"/>
            <w:bottom w:val="none" w:sz="0" w:space="0" w:color="auto"/>
            <w:right w:val="none" w:sz="0" w:space="0" w:color="auto"/>
          </w:divBdr>
        </w:div>
        <w:div w:id="10957899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dc.gov/infectioncontrol/guidelines/measles/index.html" TargetMode="External"/><Relationship Id="rId13" Type="http://schemas.openxmlformats.org/officeDocument/2006/relationships/hyperlink" Target="https://www.gov.uk/government/publications/measles-epidemiology-2023/national-measles-standard-incident-measles-epidemiology-from-october-2023" TargetMode="External"/><Relationship Id="rId18" Type="http://schemas.openxmlformats.org/officeDocument/2006/relationships/hyperlink" Target="https://doi.org/10.1017/S0950268821000868" TargetMode="External"/><Relationship Id="rId26" Type="http://schemas.openxmlformats.org/officeDocument/2006/relationships/hyperlink" Target="https://doi.org/10.1155/2020/6532868" TargetMode="External"/><Relationship Id="rId3" Type="http://schemas.openxmlformats.org/officeDocument/2006/relationships/styles" Target="styles.xml"/><Relationship Id="rId21" Type="http://schemas.openxmlformats.org/officeDocument/2006/relationships/hyperlink" Target="https://doi.org/10.1136/bmj.316.7133.715" TargetMode="External"/><Relationship Id="rId7" Type="http://schemas.openxmlformats.org/officeDocument/2006/relationships/endnotes" Target="endnotes.xml"/><Relationship Id="rId12" Type="http://schemas.openxmlformats.org/officeDocument/2006/relationships/hyperlink" Target="https://www.ecdc.europa.eu/en/publications-data/annual-measles-and-rubella-monitoring-report-2017" TargetMode="External"/><Relationship Id="rId17" Type="http://schemas.openxmlformats.org/officeDocument/2006/relationships/hyperlink" Target="https://doi.org/10.1017/s0950268800051785" TargetMode="External"/><Relationship Id="rId25" Type="http://schemas.openxmlformats.org/officeDocument/2006/relationships/hyperlink" Target="https://ukhsa.blog.gov.uk/2019/08/19/measles-in-england/" TargetMode="External"/><Relationship Id="rId2" Type="http://schemas.openxmlformats.org/officeDocument/2006/relationships/numbering" Target="numbering.xml"/><Relationship Id="rId16" Type="http://schemas.openxmlformats.org/officeDocument/2006/relationships/hyperlink" Target="https://doi.org/10.1128/JCM.03161-20" TargetMode="External"/><Relationship Id="rId20" Type="http://schemas.openxmlformats.org/officeDocument/2006/relationships/hyperlink" Target="https://cks.nice.org.uk/topics/measles/background-information/prevalence/"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46/annurev-virology-092818-015515" TargetMode="External"/><Relationship Id="rId24" Type="http://schemas.openxmlformats.org/officeDocument/2006/relationships/hyperlink" Target="https://www.nuffieldtrust.org.uk/resource/vaccination-coverage-for-children-and-mothers-1" TargetMode="External"/><Relationship Id="rId5" Type="http://schemas.openxmlformats.org/officeDocument/2006/relationships/webSettings" Target="webSettings.xml"/><Relationship Id="rId15" Type="http://schemas.openxmlformats.org/officeDocument/2006/relationships/hyperlink" Target="https://www.bmj.com/content/384/bmj.q402" TargetMode="External"/><Relationship Id="rId23" Type="http://schemas.openxmlformats.org/officeDocument/2006/relationships/hyperlink" Target="https://cks.nice.org.uk/topics/measles/" TargetMode="External"/><Relationship Id="rId28" Type="http://schemas.openxmlformats.org/officeDocument/2006/relationships/hyperlink" Target="https://www.who.int/news-room/fact-sheets/detail/measles" TargetMode="External"/><Relationship Id="rId10" Type="http://schemas.openxmlformats.org/officeDocument/2006/relationships/hyperlink" Target="https://doi.org/10.1002/14651858.CD004407.pub3" TargetMode="External"/><Relationship Id="rId19" Type="http://schemas.openxmlformats.org/officeDocument/2006/relationships/hyperlink" Target="https://www.england.nhs.uk/2024/01/nhs-launches-catch-up-campaign-for-missed-mmr-vaccines/"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cdc.gov/measles/about/history.html" TargetMode="External"/><Relationship Id="rId14" Type="http://schemas.openxmlformats.org/officeDocument/2006/relationships/hyperlink" Target="https://www.gov.uk/government/publications/measles-deaths-by-age-group-from-1980-to-2013-ons-data/measles-notifications-and-deaths-in-england-and-wales-1940-to-2013" TargetMode="External"/><Relationship Id="rId22" Type="http://schemas.openxmlformats.org/officeDocument/2006/relationships/hyperlink" Target="https://www.england.nhs.uk/2024/01/nhs-launches-catch-up-campaign-for-missed-mmr-vaccines/" TargetMode="External"/><Relationship Id="rId27" Type="http://schemas.openxmlformats.org/officeDocument/2006/relationships/hyperlink" Target="https://www.who.int/health-topics/infection-prevention-and-control"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2DA34A-55EC-4366-8FE1-765761723A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12</Pages>
  <Words>2705</Words>
  <Characters>15878</Characters>
  <Application>Microsoft Office Word</Application>
  <DocSecurity>0</DocSecurity>
  <Lines>363</Lines>
  <Paragraphs>64</Paragraphs>
  <ScaleCrop>false</ScaleCrop>
  <Company/>
  <LinksUpToDate>false</LinksUpToDate>
  <CharactersWithSpaces>18596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COMMUNICABLE DISEASE</dc:title>
  <dc:subject>MEASLES</dc:subject>
  <dc:creator>Cristina Sandu</dc:creator>
  <cp:keywords/>
  <dc:description/>
  <cp:lastModifiedBy>Cristina Sandu</cp:lastModifiedBy>
  <cp:revision>122</cp:revision>
  <dcterms:created xsi:type="dcterms:W3CDTF">2024-04-03T23:22:00Z</dcterms:created>
  <dcterms:modified xsi:type="dcterms:W3CDTF">2024-04-07T13:40:00Z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f783f5be32d2f82f8490e1f90f9e18ff484036255981dbbb431faf8fab40fb1e</vt:lpwstr>
  </property>
</Properties>
</file>