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152BB" w:rsidRDefault="00C152BB">
      <w:pPr>
        <w:jc w:val="center"/>
        <w:rPr>
          <w:b/>
          <w:sz w:val="28"/>
          <w:szCs w:val="28"/>
        </w:rPr>
      </w:pPr>
    </w:p>
    <w:p w:rsidR="00C152BB" w:rsidRDefault="00C152BB">
      <w:pPr>
        <w:jc w:val="center"/>
        <w:rPr>
          <w:b/>
          <w:sz w:val="28"/>
          <w:szCs w:val="28"/>
        </w:rPr>
      </w:pPr>
    </w:p>
    <w:p w:rsidR="00C152BB" w:rsidRDefault="00C152BB">
      <w:pPr>
        <w:jc w:val="center"/>
        <w:rPr>
          <w:b/>
          <w:sz w:val="28"/>
          <w:szCs w:val="28"/>
        </w:rPr>
      </w:pPr>
    </w:p>
    <w:p w:rsidR="00C152BB" w:rsidRDefault="00C152BB">
      <w:pPr>
        <w:jc w:val="center"/>
        <w:rPr>
          <w:b/>
          <w:sz w:val="28"/>
          <w:szCs w:val="28"/>
        </w:rPr>
      </w:pPr>
    </w:p>
    <w:p w:rsidR="00C152BB" w:rsidRDefault="00000000">
      <w:pPr>
        <w:jc w:val="center"/>
        <w:rPr>
          <w:b/>
          <w:sz w:val="28"/>
          <w:szCs w:val="28"/>
        </w:rPr>
      </w:pPr>
      <w:r>
        <w:rPr>
          <w:b/>
          <w:sz w:val="28"/>
          <w:szCs w:val="28"/>
        </w:rPr>
        <w:t>LCBB6002 International Financial Management</w:t>
      </w:r>
    </w:p>
    <w:p w:rsidR="00C152BB" w:rsidRDefault="00C152BB"/>
    <w:p w:rsidR="00C152BB" w:rsidRDefault="00000000">
      <w:pPr>
        <w:rPr>
          <w:b/>
          <w:sz w:val="28"/>
          <w:szCs w:val="28"/>
        </w:rPr>
      </w:pPr>
      <w:r>
        <w:br w:type="page"/>
      </w:r>
    </w:p>
    <w:p w:rsidR="00C152BB" w:rsidRDefault="00000000">
      <w:pPr>
        <w:jc w:val="center"/>
        <w:rPr>
          <w:b/>
          <w:sz w:val="28"/>
          <w:szCs w:val="28"/>
        </w:rPr>
      </w:pPr>
      <w:r>
        <w:rPr>
          <w:b/>
          <w:sz w:val="28"/>
          <w:szCs w:val="28"/>
        </w:rPr>
        <w:lastRenderedPageBreak/>
        <w:t>Executive Summary</w:t>
      </w:r>
    </w:p>
    <w:p w:rsidR="00C152BB" w:rsidRDefault="00000000">
      <w:r>
        <w:t xml:space="preserve">This report advises the service company run by a family preparing to list on the “Alternative Investment Market” (AIM) in the UK. It introduces corporate governance and agency theory, highlighting the need for accountability, transparency and aligning management with shareholder interests. Despite reducing ownership to 30%, the family can retain its strategic control through dual-share structures and shareholder agreements. Director remuneration should be determined by an independent remuneration committee with performance-linked incentives and transparent disclosure. Institutional differences between the UK, Shanghai and the Netherlands reveal regulatory and cultural variations, with the UK and the Netherlands offering over transparent and investor-friendly environment than China. </w:t>
      </w:r>
    </w:p>
    <w:p w:rsidR="00C152BB" w:rsidRDefault="00000000">
      <w:pPr>
        <w:rPr>
          <w:b/>
          <w:sz w:val="28"/>
          <w:szCs w:val="28"/>
        </w:rPr>
      </w:pPr>
      <w:bookmarkStart w:id="0" w:name="_heading=h.qzjpnbaz4uxk" w:colFirst="0" w:colLast="0"/>
      <w:bookmarkEnd w:id="0"/>
      <w:r>
        <w:br w:type="page"/>
      </w:r>
    </w:p>
    <w:p w:rsidR="00C152BB" w:rsidRDefault="00000000">
      <w:pPr>
        <w:keepNext/>
        <w:keepLines/>
        <w:pBdr>
          <w:top w:val="nil"/>
          <w:left w:val="nil"/>
          <w:bottom w:val="nil"/>
          <w:right w:val="nil"/>
          <w:between w:val="nil"/>
        </w:pBdr>
        <w:spacing w:before="240"/>
        <w:jc w:val="center"/>
        <w:rPr>
          <w:b/>
          <w:color w:val="000000"/>
          <w:sz w:val="28"/>
          <w:szCs w:val="28"/>
        </w:rPr>
      </w:pPr>
      <w:r>
        <w:rPr>
          <w:b/>
          <w:color w:val="000000"/>
          <w:sz w:val="28"/>
          <w:szCs w:val="28"/>
        </w:rPr>
        <w:lastRenderedPageBreak/>
        <w:t>Table of Contents</w:t>
      </w:r>
    </w:p>
    <w:sdt>
      <w:sdtPr>
        <w:id w:val="-1608272823"/>
        <w:docPartObj>
          <w:docPartGallery w:val="Table of Contents"/>
          <w:docPartUnique/>
        </w:docPartObj>
      </w:sdtPr>
      <w:sdtContent>
        <w:p w:rsidR="00A0728B"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00792712" w:history="1">
            <w:r w:rsidR="00A0728B" w:rsidRPr="004A18B9">
              <w:rPr>
                <w:rStyle w:val="Hyperlink"/>
                <w:noProof/>
              </w:rPr>
              <w:t>Introduction</w:t>
            </w:r>
            <w:r w:rsidR="00A0728B">
              <w:rPr>
                <w:noProof/>
                <w:webHidden/>
              </w:rPr>
              <w:tab/>
            </w:r>
            <w:r w:rsidR="00A0728B">
              <w:rPr>
                <w:noProof/>
                <w:webHidden/>
              </w:rPr>
              <w:fldChar w:fldCharType="begin"/>
            </w:r>
            <w:r w:rsidR="00A0728B">
              <w:rPr>
                <w:noProof/>
                <w:webHidden/>
              </w:rPr>
              <w:instrText xml:space="preserve"> PAGEREF _Toc200792712 \h </w:instrText>
            </w:r>
            <w:r w:rsidR="00A0728B">
              <w:rPr>
                <w:noProof/>
                <w:webHidden/>
              </w:rPr>
            </w:r>
            <w:r w:rsidR="00A0728B">
              <w:rPr>
                <w:noProof/>
                <w:webHidden/>
              </w:rPr>
              <w:fldChar w:fldCharType="separate"/>
            </w:r>
            <w:r w:rsidR="00A0728B">
              <w:rPr>
                <w:noProof/>
                <w:webHidden/>
              </w:rPr>
              <w:t>4</w:t>
            </w:r>
            <w:r w:rsidR="00A0728B">
              <w:rPr>
                <w:noProof/>
                <w:webHidden/>
              </w:rPr>
              <w:fldChar w:fldCharType="end"/>
            </w:r>
          </w:hyperlink>
        </w:p>
        <w:p w:rsidR="00A0728B" w:rsidRDefault="00A0728B">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00792713" w:history="1">
            <w:r w:rsidRPr="004A18B9">
              <w:rPr>
                <w:rStyle w:val="Hyperlink"/>
                <w:noProof/>
              </w:rPr>
              <w:t>“Discussion of findings (Sub-tasks A – D)”</w:t>
            </w:r>
            <w:r>
              <w:rPr>
                <w:noProof/>
                <w:webHidden/>
              </w:rPr>
              <w:tab/>
            </w:r>
            <w:r>
              <w:rPr>
                <w:noProof/>
                <w:webHidden/>
              </w:rPr>
              <w:fldChar w:fldCharType="begin"/>
            </w:r>
            <w:r>
              <w:rPr>
                <w:noProof/>
                <w:webHidden/>
              </w:rPr>
              <w:instrText xml:space="preserve"> PAGEREF _Toc200792713 \h </w:instrText>
            </w:r>
            <w:r>
              <w:rPr>
                <w:noProof/>
                <w:webHidden/>
              </w:rPr>
            </w:r>
            <w:r>
              <w:rPr>
                <w:noProof/>
                <w:webHidden/>
              </w:rPr>
              <w:fldChar w:fldCharType="separate"/>
            </w:r>
            <w:r>
              <w:rPr>
                <w:noProof/>
                <w:webHidden/>
              </w:rPr>
              <w:t>4</w:t>
            </w:r>
            <w:r>
              <w:rPr>
                <w:noProof/>
                <w:webHidden/>
              </w:rPr>
              <w:fldChar w:fldCharType="end"/>
            </w:r>
          </w:hyperlink>
        </w:p>
        <w:p w:rsidR="00A0728B" w:rsidRDefault="00A0728B">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00792714" w:history="1">
            <w:r w:rsidRPr="004A18B9">
              <w:rPr>
                <w:rStyle w:val="Hyperlink"/>
                <w:noProof/>
              </w:rPr>
              <w:t>a. “The concept and the requirements of corporate governance and agency theory, along with their importance to public limited liability companies.”</w:t>
            </w:r>
            <w:r>
              <w:rPr>
                <w:noProof/>
                <w:webHidden/>
              </w:rPr>
              <w:tab/>
            </w:r>
            <w:r>
              <w:rPr>
                <w:noProof/>
                <w:webHidden/>
              </w:rPr>
              <w:fldChar w:fldCharType="begin"/>
            </w:r>
            <w:r>
              <w:rPr>
                <w:noProof/>
                <w:webHidden/>
              </w:rPr>
              <w:instrText xml:space="preserve"> PAGEREF _Toc200792714 \h </w:instrText>
            </w:r>
            <w:r>
              <w:rPr>
                <w:noProof/>
                <w:webHidden/>
              </w:rPr>
            </w:r>
            <w:r>
              <w:rPr>
                <w:noProof/>
                <w:webHidden/>
              </w:rPr>
              <w:fldChar w:fldCharType="separate"/>
            </w:r>
            <w:r>
              <w:rPr>
                <w:noProof/>
                <w:webHidden/>
              </w:rPr>
              <w:t>4</w:t>
            </w:r>
            <w:r>
              <w:rPr>
                <w:noProof/>
                <w:webHidden/>
              </w:rPr>
              <w:fldChar w:fldCharType="end"/>
            </w:r>
          </w:hyperlink>
        </w:p>
        <w:p w:rsidR="00A0728B" w:rsidRDefault="00A0728B">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00792715" w:history="1">
            <w:r w:rsidRPr="004A18B9">
              <w:rPr>
                <w:rStyle w:val="Hyperlink"/>
                <w:noProof/>
              </w:rPr>
              <w:t>b. “Processes through which the current board can retain control of the company after listing on AIM”</w:t>
            </w:r>
            <w:r>
              <w:rPr>
                <w:noProof/>
                <w:webHidden/>
              </w:rPr>
              <w:tab/>
            </w:r>
            <w:r>
              <w:rPr>
                <w:noProof/>
                <w:webHidden/>
              </w:rPr>
              <w:fldChar w:fldCharType="begin"/>
            </w:r>
            <w:r>
              <w:rPr>
                <w:noProof/>
                <w:webHidden/>
              </w:rPr>
              <w:instrText xml:space="preserve"> PAGEREF _Toc200792715 \h </w:instrText>
            </w:r>
            <w:r>
              <w:rPr>
                <w:noProof/>
                <w:webHidden/>
              </w:rPr>
            </w:r>
            <w:r>
              <w:rPr>
                <w:noProof/>
                <w:webHidden/>
              </w:rPr>
              <w:fldChar w:fldCharType="separate"/>
            </w:r>
            <w:r>
              <w:rPr>
                <w:noProof/>
                <w:webHidden/>
              </w:rPr>
              <w:t>5</w:t>
            </w:r>
            <w:r>
              <w:rPr>
                <w:noProof/>
                <w:webHidden/>
              </w:rPr>
              <w:fldChar w:fldCharType="end"/>
            </w:r>
          </w:hyperlink>
        </w:p>
        <w:p w:rsidR="00A0728B" w:rsidRDefault="00A0728B">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00792716" w:history="1">
            <w:r w:rsidRPr="004A18B9">
              <w:rPr>
                <w:rStyle w:val="Hyperlink"/>
                <w:noProof/>
              </w:rPr>
              <w:t>c. “Director Remuneration Structures”</w:t>
            </w:r>
            <w:r>
              <w:rPr>
                <w:noProof/>
                <w:webHidden/>
              </w:rPr>
              <w:tab/>
            </w:r>
            <w:r>
              <w:rPr>
                <w:noProof/>
                <w:webHidden/>
              </w:rPr>
              <w:fldChar w:fldCharType="begin"/>
            </w:r>
            <w:r>
              <w:rPr>
                <w:noProof/>
                <w:webHidden/>
              </w:rPr>
              <w:instrText xml:space="preserve"> PAGEREF _Toc200792716 \h </w:instrText>
            </w:r>
            <w:r>
              <w:rPr>
                <w:noProof/>
                <w:webHidden/>
              </w:rPr>
            </w:r>
            <w:r>
              <w:rPr>
                <w:noProof/>
                <w:webHidden/>
              </w:rPr>
              <w:fldChar w:fldCharType="separate"/>
            </w:r>
            <w:r>
              <w:rPr>
                <w:noProof/>
                <w:webHidden/>
              </w:rPr>
              <w:t>6</w:t>
            </w:r>
            <w:r>
              <w:rPr>
                <w:noProof/>
                <w:webHidden/>
              </w:rPr>
              <w:fldChar w:fldCharType="end"/>
            </w:r>
          </w:hyperlink>
        </w:p>
        <w:p w:rsidR="00A0728B" w:rsidRDefault="00A0728B">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00792717" w:history="1">
            <w:r w:rsidRPr="004A18B9">
              <w:rPr>
                <w:rStyle w:val="Hyperlink"/>
                <w:noProof/>
              </w:rPr>
              <w:t>d. “Institutional Differences among the UK, Shanghai and Netherlands”</w:t>
            </w:r>
            <w:r>
              <w:rPr>
                <w:noProof/>
                <w:webHidden/>
              </w:rPr>
              <w:tab/>
            </w:r>
            <w:r>
              <w:rPr>
                <w:noProof/>
                <w:webHidden/>
              </w:rPr>
              <w:fldChar w:fldCharType="begin"/>
            </w:r>
            <w:r>
              <w:rPr>
                <w:noProof/>
                <w:webHidden/>
              </w:rPr>
              <w:instrText xml:space="preserve"> PAGEREF _Toc200792717 \h </w:instrText>
            </w:r>
            <w:r>
              <w:rPr>
                <w:noProof/>
                <w:webHidden/>
              </w:rPr>
            </w:r>
            <w:r>
              <w:rPr>
                <w:noProof/>
                <w:webHidden/>
              </w:rPr>
              <w:fldChar w:fldCharType="separate"/>
            </w:r>
            <w:r>
              <w:rPr>
                <w:noProof/>
                <w:webHidden/>
              </w:rPr>
              <w:t>7</w:t>
            </w:r>
            <w:r>
              <w:rPr>
                <w:noProof/>
                <w:webHidden/>
              </w:rPr>
              <w:fldChar w:fldCharType="end"/>
            </w:r>
          </w:hyperlink>
        </w:p>
        <w:p w:rsidR="00A0728B" w:rsidRDefault="00A0728B">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00792718" w:history="1">
            <w:r w:rsidRPr="004A18B9">
              <w:rPr>
                <w:rStyle w:val="Hyperlink"/>
                <w:noProof/>
              </w:rPr>
              <w:t>Conclusion</w:t>
            </w:r>
            <w:r>
              <w:rPr>
                <w:noProof/>
                <w:webHidden/>
              </w:rPr>
              <w:tab/>
            </w:r>
            <w:r>
              <w:rPr>
                <w:noProof/>
                <w:webHidden/>
              </w:rPr>
              <w:fldChar w:fldCharType="begin"/>
            </w:r>
            <w:r>
              <w:rPr>
                <w:noProof/>
                <w:webHidden/>
              </w:rPr>
              <w:instrText xml:space="preserve"> PAGEREF _Toc200792718 \h </w:instrText>
            </w:r>
            <w:r>
              <w:rPr>
                <w:noProof/>
                <w:webHidden/>
              </w:rPr>
            </w:r>
            <w:r>
              <w:rPr>
                <w:noProof/>
                <w:webHidden/>
              </w:rPr>
              <w:fldChar w:fldCharType="separate"/>
            </w:r>
            <w:r>
              <w:rPr>
                <w:noProof/>
                <w:webHidden/>
              </w:rPr>
              <w:t>8</w:t>
            </w:r>
            <w:r>
              <w:rPr>
                <w:noProof/>
                <w:webHidden/>
              </w:rPr>
              <w:fldChar w:fldCharType="end"/>
            </w:r>
          </w:hyperlink>
        </w:p>
        <w:p w:rsidR="00A0728B" w:rsidRDefault="00A0728B">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00792719" w:history="1">
            <w:r w:rsidRPr="004A18B9">
              <w:rPr>
                <w:rStyle w:val="Hyperlink"/>
                <w:noProof/>
              </w:rPr>
              <w:t>Recommendations</w:t>
            </w:r>
            <w:r>
              <w:rPr>
                <w:noProof/>
                <w:webHidden/>
              </w:rPr>
              <w:tab/>
            </w:r>
            <w:r>
              <w:rPr>
                <w:noProof/>
                <w:webHidden/>
              </w:rPr>
              <w:fldChar w:fldCharType="begin"/>
            </w:r>
            <w:r>
              <w:rPr>
                <w:noProof/>
                <w:webHidden/>
              </w:rPr>
              <w:instrText xml:space="preserve"> PAGEREF _Toc200792719 \h </w:instrText>
            </w:r>
            <w:r>
              <w:rPr>
                <w:noProof/>
                <w:webHidden/>
              </w:rPr>
            </w:r>
            <w:r>
              <w:rPr>
                <w:noProof/>
                <w:webHidden/>
              </w:rPr>
              <w:fldChar w:fldCharType="separate"/>
            </w:r>
            <w:r>
              <w:rPr>
                <w:noProof/>
                <w:webHidden/>
              </w:rPr>
              <w:t>9</w:t>
            </w:r>
            <w:r>
              <w:rPr>
                <w:noProof/>
                <w:webHidden/>
              </w:rPr>
              <w:fldChar w:fldCharType="end"/>
            </w:r>
          </w:hyperlink>
        </w:p>
        <w:p w:rsidR="00A0728B" w:rsidRDefault="00A0728B">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00792720" w:history="1">
            <w:r w:rsidRPr="004A18B9">
              <w:rPr>
                <w:rStyle w:val="Hyperlink"/>
                <w:noProof/>
              </w:rPr>
              <w:t>References</w:t>
            </w:r>
            <w:r>
              <w:rPr>
                <w:noProof/>
                <w:webHidden/>
              </w:rPr>
              <w:tab/>
            </w:r>
            <w:r>
              <w:rPr>
                <w:noProof/>
                <w:webHidden/>
              </w:rPr>
              <w:fldChar w:fldCharType="begin"/>
            </w:r>
            <w:r>
              <w:rPr>
                <w:noProof/>
                <w:webHidden/>
              </w:rPr>
              <w:instrText xml:space="preserve"> PAGEREF _Toc200792720 \h </w:instrText>
            </w:r>
            <w:r>
              <w:rPr>
                <w:noProof/>
                <w:webHidden/>
              </w:rPr>
            </w:r>
            <w:r>
              <w:rPr>
                <w:noProof/>
                <w:webHidden/>
              </w:rPr>
              <w:fldChar w:fldCharType="separate"/>
            </w:r>
            <w:r>
              <w:rPr>
                <w:noProof/>
                <w:webHidden/>
              </w:rPr>
              <w:t>10</w:t>
            </w:r>
            <w:r>
              <w:rPr>
                <w:noProof/>
                <w:webHidden/>
              </w:rPr>
              <w:fldChar w:fldCharType="end"/>
            </w:r>
          </w:hyperlink>
        </w:p>
        <w:p w:rsidR="00C152BB" w:rsidRDefault="00000000">
          <w:r>
            <w:fldChar w:fldCharType="end"/>
          </w:r>
        </w:p>
      </w:sdtContent>
    </w:sdt>
    <w:p w:rsidR="00C152BB" w:rsidRDefault="00000000">
      <w:pPr>
        <w:rPr>
          <w:b/>
          <w:sz w:val="28"/>
          <w:szCs w:val="28"/>
        </w:rPr>
      </w:pPr>
      <w:r>
        <w:br w:type="page"/>
      </w:r>
    </w:p>
    <w:p w:rsidR="00C152BB" w:rsidRDefault="00000000">
      <w:pPr>
        <w:pStyle w:val="Heading1"/>
      </w:pPr>
      <w:bookmarkStart w:id="1" w:name="_Toc200792712"/>
      <w:r>
        <w:lastRenderedPageBreak/>
        <w:t>Introduction</w:t>
      </w:r>
      <w:bookmarkEnd w:id="1"/>
    </w:p>
    <w:p w:rsidR="00C152BB" w:rsidRDefault="00000000">
      <w:r>
        <w:t xml:space="preserve">International financial management is the practice of managing the financial activities of businesses that operate across national borders. This report will highlight financial advice for the family company, which is a private limited company with 25% shareholding by each of the 4 directors of the organisation, preparing to list on the “Alternative Investment Market” (AIM) in the UK. This report will introduce the concept of the requirements of corporate governance along with agency theory and its significance to “public limited liability” companies, processes through which the current board retain control of the company while holding 30% of its shares, decisions on remuneration of the directors and the possibility of the company to list in either Sanghai or in the Netherlands. </w:t>
      </w:r>
    </w:p>
    <w:p w:rsidR="00C152BB" w:rsidRDefault="00A0728B">
      <w:pPr>
        <w:pStyle w:val="Heading1"/>
      </w:pPr>
      <w:bookmarkStart w:id="2" w:name="_Toc200792713"/>
      <w:r>
        <w:t>“</w:t>
      </w:r>
      <w:r w:rsidR="00000000">
        <w:t>Discussion of findings (Sub-tasks A – D)</w:t>
      </w:r>
      <w:r>
        <w:t>”</w:t>
      </w:r>
      <w:bookmarkEnd w:id="2"/>
    </w:p>
    <w:p w:rsidR="00C152BB" w:rsidRDefault="00000000">
      <w:pPr>
        <w:pStyle w:val="Heading2"/>
      </w:pPr>
      <w:bookmarkStart w:id="3" w:name="_Toc200792714"/>
      <w:r>
        <w:t xml:space="preserve">a. </w:t>
      </w:r>
      <w:r w:rsidR="00A0728B">
        <w:t>“</w:t>
      </w:r>
      <w:r>
        <w:t>The concept and the requirements of corporate governance and agency theory, along with their importance to public limited liability companies.</w:t>
      </w:r>
      <w:r w:rsidR="00A0728B">
        <w:t>”</w:t>
      </w:r>
      <w:bookmarkEnd w:id="3"/>
    </w:p>
    <w:p w:rsidR="00C152BB" w:rsidRDefault="00000000">
      <w:r>
        <w:t xml:space="preserve">“Corporate governance” refers to the system of rules, processes and practices by which an organisation is controlled and directed. It mainly assures that the operation of the company aligns with the interests of its stakeholders. According to </w:t>
      </w:r>
      <w:proofErr w:type="spellStart"/>
      <w:r>
        <w:t>Efunniyi</w:t>
      </w:r>
      <w:proofErr w:type="spellEnd"/>
      <w:r>
        <w:t xml:space="preserve"> </w:t>
      </w:r>
      <w:r>
        <w:rPr>
          <w:i/>
        </w:rPr>
        <w:t xml:space="preserve">et al. </w:t>
      </w:r>
      <w:r>
        <w:t>(2024), Corporate governance encompasses accountability of the Board of shareholders, ethical conduct, transparency and effective internal control systems and balancing interests between ownership and management. For AIM-listed companies, the UK Corporate Governance Code is not mandatory; however, adherence to a recognised code such as the QCA Corporate Governance Code and a “Comply or explain” approach is expected (</w:t>
      </w:r>
      <w:proofErr w:type="spellStart"/>
      <w:r>
        <w:t>Lexisnexis</w:t>
      </w:r>
      <w:proofErr w:type="spellEnd"/>
      <w:r>
        <w:t xml:space="preserve">, 2025; FRC, 2025). In the case of public limited companies, it includes independent non-executive directors, separate roles of CEO and chairperson, audit, remuneration and nomination committees and transparent risk management and stakeholder communication (ACCA Global, 2025). </w:t>
      </w:r>
    </w:p>
    <w:p w:rsidR="00C152BB" w:rsidRDefault="00000000">
      <w:pPr>
        <w:jc w:val="center"/>
      </w:pPr>
      <w:r>
        <w:rPr>
          <w:noProof/>
        </w:rPr>
        <w:lastRenderedPageBreak/>
        <w:drawing>
          <wp:inline distT="114300" distB="114300" distL="114300" distR="114300">
            <wp:extent cx="5248275" cy="2447925"/>
            <wp:effectExtent l="12700" t="12700" r="12700" b="12700"/>
            <wp:docPr id="70825486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248275" cy="2447925"/>
                    </a:xfrm>
                    <a:prstGeom prst="rect">
                      <a:avLst/>
                    </a:prstGeom>
                    <a:ln w="12700">
                      <a:solidFill>
                        <a:srgbClr val="000000"/>
                      </a:solidFill>
                      <a:prstDash val="solid"/>
                    </a:ln>
                  </pic:spPr>
                </pic:pic>
              </a:graphicData>
            </a:graphic>
          </wp:inline>
        </w:drawing>
      </w:r>
    </w:p>
    <w:p w:rsidR="00C152BB" w:rsidRDefault="00000000">
      <w:pPr>
        <w:jc w:val="center"/>
        <w:rPr>
          <w:b/>
        </w:rPr>
      </w:pPr>
      <w:r>
        <w:rPr>
          <w:b/>
        </w:rPr>
        <w:t xml:space="preserve">Figure 1: Agency theory </w:t>
      </w:r>
    </w:p>
    <w:p w:rsidR="00C152BB" w:rsidRDefault="00000000">
      <w:pPr>
        <w:jc w:val="center"/>
      </w:pPr>
      <w:r>
        <w:t xml:space="preserve">(Source: </w:t>
      </w:r>
      <w:proofErr w:type="spellStart"/>
      <w:r>
        <w:t>Snippert</w:t>
      </w:r>
      <w:proofErr w:type="spellEnd"/>
      <w:r>
        <w:t xml:space="preserve"> </w:t>
      </w:r>
      <w:r>
        <w:rPr>
          <w:i/>
        </w:rPr>
        <w:t xml:space="preserve">et al. </w:t>
      </w:r>
      <w:r>
        <w:t>2015)</w:t>
      </w:r>
    </w:p>
    <w:p w:rsidR="00C152BB" w:rsidRDefault="00000000">
      <w:r>
        <w:t xml:space="preserve">As mentioned by Moloi </w:t>
      </w:r>
      <w:r>
        <w:rPr>
          <w:i/>
        </w:rPr>
        <w:t xml:space="preserve">et al. </w:t>
      </w:r>
      <w:r>
        <w:t xml:space="preserve">(2020), the Agency theory describes the link between a principal, who is a shareholder and an agent, such as managers or directors, where the principal delegates tasks to the agent. The main concept of this theory is that the agent may have different interests or goals from the principal, leading to potential conflicts and agency problems. In a public company, conflicts can arise if managers pursue personal interests rather than shareholder value. Mechanisms such as performance-based payment, shareholder voting rights and board oversight are used to align interests and reduce agency costs (Khandelwal </w:t>
      </w:r>
      <w:r>
        <w:rPr>
          <w:i/>
        </w:rPr>
        <w:t xml:space="preserve">et al., </w:t>
      </w:r>
      <w:r>
        <w:t xml:space="preserve">2023; Akinsola, 2025). Thus, in the public limited company, corporate governance and agency theory play significant roles in maintaining regulatory standards and enhancing stakeholder engagement. </w:t>
      </w:r>
    </w:p>
    <w:p w:rsidR="00C152BB" w:rsidRDefault="00000000">
      <w:pPr>
        <w:pStyle w:val="Heading2"/>
      </w:pPr>
      <w:bookmarkStart w:id="4" w:name="_Toc200792715"/>
      <w:r>
        <w:t xml:space="preserve">b. </w:t>
      </w:r>
      <w:r w:rsidR="00A0728B">
        <w:t>“</w:t>
      </w:r>
      <w:r>
        <w:t>Processes through which the current board can retain control of the company after listing on AIM</w:t>
      </w:r>
      <w:r w:rsidR="00A0728B">
        <w:t>”</w:t>
      </w:r>
      <w:bookmarkEnd w:id="4"/>
    </w:p>
    <w:p w:rsidR="00C152BB" w:rsidRDefault="00000000">
      <w:r>
        <w:t xml:space="preserve">As mentioned in the scenario, if the family-run private limited company </w:t>
      </w:r>
      <w:proofErr w:type="spellStart"/>
      <w:r>
        <w:t>acqurie</w:t>
      </w:r>
      <w:proofErr w:type="spellEnd"/>
      <w:r>
        <w:t xml:space="preserve"> becomes successful at listing on A, shareholding by the board of directors will fall to 30% and the shareholders will buy and hold 70% of the shares. In this context, the current board of the organisation can retain its control over the company through mechanisms like Dual-Class Structure and shareholder agreements with institutional investors. According to </w:t>
      </w:r>
      <w:proofErr w:type="spellStart"/>
      <w:r>
        <w:t>Kvetenadze</w:t>
      </w:r>
      <w:proofErr w:type="spellEnd"/>
      <w:r>
        <w:t xml:space="preserve"> (2022), a dual-class share structure means a company offers two or more distinct classes of shares with different voting rights and dividend payouts. The company can create Class A shares with enhanced voting rights, and external investors can receive Class B shares with standard voting rights. This allows founders to pursue a long-term vision rather than facing </w:t>
      </w:r>
      <w:r>
        <w:lastRenderedPageBreak/>
        <w:t xml:space="preserve">pressures to focus on short-term outcomes. However, “dual-class shares” create an entrenched class of shareholders who are free to make wrong decisions without consequences. </w:t>
      </w:r>
    </w:p>
    <w:p w:rsidR="00C152BB" w:rsidRDefault="00000000">
      <w:r>
        <w:t xml:space="preserve">As mentioned by Johnston </w:t>
      </w:r>
      <w:r>
        <w:rPr>
          <w:i/>
        </w:rPr>
        <w:t xml:space="preserve">et al. </w:t>
      </w:r>
      <w:r>
        <w:t xml:space="preserve">(2022), a shareholder agreement with institutional investors is a legally binding contract which outlines the rights, duties and responsibilities of all stakeholders, including institutional investors, within an organisation. Hence, the company can negotiate reserved matters such as acquisitions, dividend policy and CEO appointment to require family approval. This can offer benefits like clarifying roles, mitigating disputes and safeguarding minority shareholder interests; however, it can also lead to reduced flexibility. This can help diversify organisational structure with centralised control of the current board of directors. </w:t>
      </w:r>
    </w:p>
    <w:p w:rsidR="00C152BB" w:rsidRDefault="00000000">
      <w:pPr>
        <w:pStyle w:val="Heading2"/>
      </w:pPr>
      <w:bookmarkStart w:id="5" w:name="_Toc200792716"/>
      <w:r>
        <w:t xml:space="preserve">c. </w:t>
      </w:r>
      <w:r w:rsidR="00A0728B">
        <w:t>“</w:t>
      </w:r>
      <w:r>
        <w:t>Director Remuneration Structures</w:t>
      </w:r>
      <w:r w:rsidR="00A0728B">
        <w:t>”</w:t>
      </w:r>
      <w:bookmarkEnd w:id="5"/>
    </w:p>
    <w:p w:rsidR="00C152BB" w:rsidRDefault="00000000">
      <w:r>
        <w:t xml:space="preserve">Fair and transparent remuneration is necessary for attracting investors towards the organisation and complying with strong corporate governance. According to </w:t>
      </w:r>
      <w:proofErr w:type="spellStart"/>
      <w:r>
        <w:t>Shiyyab</w:t>
      </w:r>
      <w:proofErr w:type="spellEnd"/>
      <w:r>
        <w:t xml:space="preserve"> (2024), the development of a remuneration committee is composed of independent non-executive directors who ensure pay aligns with performance and market benchmarks. Remuneration policies should include base salaries aligned with responsibilities and sector benchmarks, short-term incentives such as bonuses tied to KPIs like EBITDA, revenue and customer retention and long-term incentives such as equity-based plans to align with stakeholder value (van Wyk and Wesson, 2021). Regular reports to shareholders on direct pay are needed, along with justifications of any material changes in remunerations to maintain disclosure and transparency. Apart from these, the company should use compensation consultants or peer company data to determine a fair pay structure. For example, Unilever Plc is a renowned public limited company in the UK, which has a Remuneration Committee led by its independent directors (Unilever, 2025). Details on the Remuneration Policy of Directors, including information about Directors’ service contracts, and details on how they have implemented the Directors’ Remuneration Policy, are included in the Remuneration Report of Directors within the Annual Report as well as Accounts of Unilever. Shareholders of the company vote annually on the remuneration report. Barclays Plc is another public limited banking company where the salary of the CEO reached 10.5 million GBP in 2024, the overall compensation, including bonuses and other benefits, which is benchmarked against major banks (</w:t>
      </w:r>
      <w:proofErr w:type="spellStart"/>
      <w:r>
        <w:t>Makortoff</w:t>
      </w:r>
      <w:proofErr w:type="spellEnd"/>
      <w:r>
        <w:t>, 2025). AstraZeneca Plc offers performance share plans based on 3-year total stakeholder return (Investing, 2025). Thus, this company can also implement this remuneration structure to ensure fair compensation for directors.</w:t>
      </w:r>
    </w:p>
    <w:p w:rsidR="00C152BB" w:rsidRDefault="00000000">
      <w:pPr>
        <w:pStyle w:val="Heading2"/>
      </w:pPr>
      <w:bookmarkStart w:id="6" w:name="_Toc200792717"/>
      <w:r>
        <w:lastRenderedPageBreak/>
        <w:t xml:space="preserve">d. </w:t>
      </w:r>
      <w:r w:rsidR="00A0728B">
        <w:t>“</w:t>
      </w:r>
      <w:r>
        <w:t>Institutional Differences among the UK, Shanghai and Netherlands</w:t>
      </w:r>
      <w:r w:rsidR="00A0728B">
        <w:t>”</w:t>
      </w:r>
      <w:bookmarkEnd w:id="6"/>
    </w:p>
    <w:p w:rsidR="00C152BB" w:rsidRDefault="00000000">
      <w:r>
        <w:rPr>
          <w:b/>
          <w:i/>
        </w:rPr>
        <w:t>Regulatory Environment</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C152BB">
        <w:tc>
          <w:tcPr>
            <w:tcW w:w="2258"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rPr>
                <w:b/>
              </w:rPr>
            </w:pPr>
            <w:r>
              <w:rPr>
                <w:b/>
              </w:rPr>
              <w:t>Features</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rPr>
                <w:b/>
              </w:rPr>
            </w:pPr>
            <w:r>
              <w:rPr>
                <w:b/>
              </w:rPr>
              <w:t>The UK</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rPr>
                <w:b/>
              </w:rPr>
            </w:pPr>
            <w:r>
              <w:rPr>
                <w:b/>
              </w:rPr>
              <w:t>Shanghai (STAR Market)</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rPr>
                <w:b/>
              </w:rPr>
            </w:pPr>
            <w:r>
              <w:rPr>
                <w:b/>
              </w:rPr>
              <w:t>Netherlands (Euronext)</w:t>
            </w:r>
          </w:p>
        </w:tc>
      </w:tr>
      <w:tr w:rsidR="00C152BB">
        <w:tc>
          <w:tcPr>
            <w:tcW w:w="2258"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Corporate Governance</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Comply or Explain</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State-influenced, formal rules</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 xml:space="preserve">Strong emphasis on stewardship. </w:t>
            </w:r>
          </w:p>
        </w:tc>
      </w:tr>
      <w:tr w:rsidR="00C152BB">
        <w:tc>
          <w:tcPr>
            <w:tcW w:w="2258"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Transparency and Reporting</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High standards</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Moderate to high (state control)</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High with ESG focus</w:t>
            </w:r>
          </w:p>
        </w:tc>
      </w:tr>
      <w:tr w:rsidR="00C152BB">
        <w:tc>
          <w:tcPr>
            <w:tcW w:w="2258"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Legal System</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Common Law</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Civil Law (state-driven)</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Civil Law (investor-focused)</w:t>
            </w:r>
          </w:p>
        </w:tc>
      </w:tr>
      <w:tr w:rsidR="00C152BB">
        <w:tc>
          <w:tcPr>
            <w:tcW w:w="2258"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Foreign Investor Access</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Very Open</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Restricted especially for Control</w:t>
            </w:r>
          </w:p>
        </w:tc>
        <w:tc>
          <w:tcPr>
            <w:tcW w:w="2257" w:type="dxa"/>
            <w:shd w:val="clear" w:color="auto" w:fill="auto"/>
            <w:tcMar>
              <w:top w:w="100" w:type="dxa"/>
              <w:left w:w="100" w:type="dxa"/>
              <w:bottom w:w="100" w:type="dxa"/>
              <w:right w:w="100" w:type="dxa"/>
            </w:tcMar>
          </w:tcPr>
          <w:p w:rsidR="00C152BB" w:rsidRDefault="00000000">
            <w:pPr>
              <w:widowControl w:val="0"/>
              <w:pBdr>
                <w:top w:val="nil"/>
                <w:left w:val="nil"/>
                <w:bottom w:val="nil"/>
                <w:right w:val="nil"/>
                <w:between w:val="nil"/>
              </w:pBdr>
            </w:pPr>
            <w:r>
              <w:t>Open and stable</w:t>
            </w:r>
          </w:p>
        </w:tc>
      </w:tr>
    </w:tbl>
    <w:p w:rsidR="00C152BB" w:rsidRDefault="00000000">
      <w:pPr>
        <w:jc w:val="center"/>
        <w:rPr>
          <w:b/>
        </w:rPr>
      </w:pPr>
      <w:r>
        <w:rPr>
          <w:b/>
        </w:rPr>
        <w:t>Table 1: Differences in Regulatory Environment among the three countries</w:t>
      </w:r>
    </w:p>
    <w:p w:rsidR="00C152BB" w:rsidRDefault="00000000">
      <w:pPr>
        <w:jc w:val="center"/>
      </w:pPr>
      <w:r>
        <w:t>(Source: Self-developed)</w:t>
      </w:r>
    </w:p>
    <w:p w:rsidR="00C152BB" w:rsidRDefault="00000000">
      <w:r>
        <w:t>The table shows the difference between the regulatory environment in the UK, Shanghai and the Netherlands. The UK focuses on shareholder primacy with a strong focus on the independence of the board and accountability as the FRC code of corporate governance is based on the comply or explain approach, while the Netherlands balances shareholder and stakeholder interests and emphasises stewardship (Mela, 2025). Shanghai’s model is influenced by state-owned enterprises and concentrated ownership, which is more complex (OECD, 2025). The UK utilises a common law system where legal principles are derived from both statutory laws passed by Parliament and judicial precedents (Judiciary, 2025). China has been actively working on strengthening intellectual property rights with changes in copyright law, whereas, Netherlands operates under a Civil Law system (</w:t>
      </w:r>
      <w:proofErr w:type="spellStart"/>
      <w:r>
        <w:t>Netherlandsinnovation</w:t>
      </w:r>
      <w:proofErr w:type="spellEnd"/>
      <w:r>
        <w:t>, 2020).</w:t>
      </w:r>
    </w:p>
    <w:p w:rsidR="00C152BB" w:rsidRDefault="00000000">
      <w:pPr>
        <w:rPr>
          <w:b/>
          <w:i/>
        </w:rPr>
      </w:pPr>
      <w:r>
        <w:rPr>
          <w:b/>
          <w:i/>
        </w:rPr>
        <w:t>Institutional Factors</w:t>
      </w:r>
    </w:p>
    <w:p w:rsidR="00C152BB" w:rsidRDefault="00000000">
      <w:pPr>
        <w:jc w:val="center"/>
        <w:rPr>
          <w:b/>
          <w:i/>
        </w:rPr>
      </w:pPr>
      <w:r>
        <w:rPr>
          <w:b/>
          <w:i/>
          <w:noProof/>
        </w:rPr>
        <w:lastRenderedPageBreak/>
        <w:drawing>
          <wp:inline distT="114300" distB="114300" distL="114300" distR="114300">
            <wp:extent cx="5043488" cy="4180565"/>
            <wp:effectExtent l="12700" t="12700" r="12700" b="12700"/>
            <wp:docPr id="70825486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043488" cy="4180565"/>
                    </a:xfrm>
                    <a:prstGeom prst="rect">
                      <a:avLst/>
                    </a:prstGeom>
                    <a:ln w="12700">
                      <a:solidFill>
                        <a:srgbClr val="000000"/>
                      </a:solidFill>
                      <a:prstDash val="solid"/>
                    </a:ln>
                  </pic:spPr>
                </pic:pic>
              </a:graphicData>
            </a:graphic>
          </wp:inline>
        </w:drawing>
      </w:r>
    </w:p>
    <w:p w:rsidR="00C152BB" w:rsidRDefault="00000000">
      <w:pPr>
        <w:jc w:val="center"/>
        <w:rPr>
          <w:b/>
        </w:rPr>
      </w:pPr>
      <w:r>
        <w:rPr>
          <w:b/>
        </w:rPr>
        <w:t>Figure 2: Hofstede Cultural Dimensions of the UK, Shanghai (China) and Netherlands</w:t>
      </w:r>
    </w:p>
    <w:p w:rsidR="00C152BB" w:rsidRDefault="00000000">
      <w:pPr>
        <w:jc w:val="center"/>
      </w:pPr>
      <w:r>
        <w:t>(Source: The Culture Factor, 2025)</w:t>
      </w:r>
    </w:p>
    <w:p w:rsidR="00C152BB" w:rsidRDefault="00000000">
      <w:r>
        <w:t xml:space="preserve">The UK  has a balanced government which is performance-oriented yet accountable. The strong individualistic drive encourages merit-based leadership in this country, which is flexible for innovation and listing on AIM. In China, there is an authoritarian decision-making process with low transparency, and cultural discomfort with independence in government can affect the decision-making. In the Netherlands, there is a strong stakeholder model which promotes employee and communication interests. This can encourage consensus-based boards. </w:t>
      </w:r>
    </w:p>
    <w:p w:rsidR="00C152BB" w:rsidRDefault="00000000">
      <w:pPr>
        <w:rPr>
          <w:b/>
          <w:i/>
        </w:rPr>
      </w:pPr>
      <w:r>
        <w:rPr>
          <w:b/>
          <w:i/>
        </w:rPr>
        <w:t>Implications for the Family Board</w:t>
      </w:r>
    </w:p>
    <w:p w:rsidR="00C152BB" w:rsidRDefault="00000000">
      <w:r>
        <w:t xml:space="preserve">Shanghai listing may restrict autonomy, especially for foreign-controlled firms. Relocation to the Netherlands offers more flexibility and better access to EU markets, through control mechanisms must comply with strict government norms. Therefore, the UK remains the most flexible for small and family-led companies, which are looking to professionalise gradually. </w:t>
      </w:r>
    </w:p>
    <w:p w:rsidR="00C152BB" w:rsidRDefault="00000000">
      <w:pPr>
        <w:pStyle w:val="Heading1"/>
      </w:pPr>
      <w:bookmarkStart w:id="7" w:name="_Toc200792718"/>
      <w:r>
        <w:t>Conclusion</w:t>
      </w:r>
      <w:bookmarkEnd w:id="7"/>
    </w:p>
    <w:p w:rsidR="00C152BB" w:rsidRDefault="00000000">
      <w:r>
        <w:t xml:space="preserve">In conclusion, it can be stated that listing on AIM will significantly increase external accountability of the company as well as reduce equity control of the family. However, strategic </w:t>
      </w:r>
      <w:r>
        <w:lastRenderedPageBreak/>
        <w:t>control can still be preserved through governance decisions such as dual share and shareholder agreements. A strong corporate governance framework,, professional remuneration practices and awareness of cross-border institutional contexts are necessary for the long-term success of the organisation.</w:t>
      </w:r>
    </w:p>
    <w:p w:rsidR="00C152BB" w:rsidRDefault="00000000">
      <w:pPr>
        <w:pStyle w:val="Heading1"/>
      </w:pPr>
      <w:bookmarkStart w:id="8" w:name="_Toc200792719"/>
      <w:r>
        <w:t>Recommendations</w:t>
      </w:r>
      <w:bookmarkEnd w:id="8"/>
    </w:p>
    <w:p w:rsidR="00C152BB" w:rsidRDefault="00000000">
      <w:pPr>
        <w:rPr>
          <w:b/>
          <w:i/>
        </w:rPr>
      </w:pPr>
      <w:r>
        <w:rPr>
          <w:b/>
          <w:i/>
        </w:rPr>
        <w:t>Recommendation 1: The company is recommended to proceed with an AIM listing with a dual-class structure and strong shareholder agreements</w:t>
      </w:r>
    </w:p>
    <w:p w:rsidR="00C152BB" w:rsidRDefault="00000000">
      <w:r>
        <w:t xml:space="preserve">This can help the company maintain control over business decision-making and improve productivity within the organisation by meeting shareholders' interests. Strong dividend payout can enhance shareholder engagement with the company, making financial performance more stable. </w:t>
      </w:r>
    </w:p>
    <w:p w:rsidR="00C152BB" w:rsidRDefault="00000000">
      <w:pPr>
        <w:rPr>
          <w:b/>
          <w:i/>
        </w:rPr>
      </w:pPr>
      <w:r>
        <w:rPr>
          <w:b/>
          <w:i/>
        </w:rPr>
        <w:t xml:space="preserve">Recommendation 2:  The company is recommended to formalise the governance process. </w:t>
      </w:r>
    </w:p>
    <w:p w:rsidR="00C152BB" w:rsidRDefault="00000000">
      <w:r>
        <w:t xml:space="preserve">A strong structure of remuneration can help improve stakeholders' interests and engagement with the company when it is being transformed from a “private limited” to a “public limited” company. This process can help the company think about long-term expansion in the Netherlands and not in Shanghai, if international listing is reconsidered. Overall, the shift from a family-led structure to a public limited company needs strong corporate governance, where agency theory is important to build a strong relationship among stakeholders. </w:t>
      </w:r>
    </w:p>
    <w:p w:rsidR="00C152BB" w:rsidRDefault="00C152BB"/>
    <w:p w:rsidR="00C152BB" w:rsidRDefault="00000000">
      <w:pPr>
        <w:pStyle w:val="Heading1"/>
      </w:pPr>
      <w:bookmarkStart w:id="9" w:name="_heading=h.wvg7khwqytl2" w:colFirst="0" w:colLast="0"/>
      <w:bookmarkEnd w:id="9"/>
      <w:r>
        <w:br w:type="page"/>
      </w:r>
    </w:p>
    <w:p w:rsidR="00C152BB" w:rsidRDefault="00000000">
      <w:pPr>
        <w:pStyle w:val="Heading1"/>
      </w:pPr>
      <w:bookmarkStart w:id="10" w:name="_Toc200792720"/>
      <w:r>
        <w:lastRenderedPageBreak/>
        <w:t>References</w:t>
      </w:r>
      <w:bookmarkEnd w:id="10"/>
    </w:p>
    <w:p w:rsidR="00C152BB" w:rsidRDefault="00000000">
      <w:pPr>
        <w:spacing w:before="200"/>
        <w:rPr>
          <w:color w:val="222222"/>
          <w:highlight w:val="white"/>
        </w:rPr>
      </w:pPr>
      <w:r>
        <w:rPr>
          <w:color w:val="222222"/>
          <w:highlight w:val="white"/>
        </w:rPr>
        <w:t xml:space="preserve">ACCA Global (2025) </w:t>
      </w:r>
      <w:r>
        <w:rPr>
          <w:i/>
          <w:color w:val="222222"/>
          <w:highlight w:val="white"/>
        </w:rPr>
        <w:t xml:space="preserve">Corporate governance: the board of directors and standing committees.. </w:t>
      </w:r>
      <w:r>
        <w:rPr>
          <w:color w:val="222222"/>
          <w:highlight w:val="white"/>
        </w:rPr>
        <w:t xml:space="preserve">Available at: </w:t>
      </w:r>
      <w:hyperlink r:id="rId9">
        <w:r w:rsidR="00C152BB">
          <w:rPr>
            <w:color w:val="1155CC"/>
            <w:highlight w:val="white"/>
            <w:u w:val="single"/>
          </w:rPr>
          <w:t>https://www.accaglobal.com/in/en/student/exam-support-resources/fundamentals-exams-study-resources/f1/technical-articles/corpgovernance.html</w:t>
        </w:r>
      </w:hyperlink>
      <w:r>
        <w:rPr>
          <w:color w:val="222222"/>
          <w:highlight w:val="white"/>
        </w:rPr>
        <w:t xml:space="preserve"> (Accessed: 08 June 2025).</w:t>
      </w:r>
    </w:p>
    <w:p w:rsidR="00C152BB" w:rsidRDefault="00000000">
      <w:pPr>
        <w:spacing w:before="200"/>
        <w:rPr>
          <w:color w:val="222222"/>
          <w:highlight w:val="white"/>
        </w:rPr>
      </w:pPr>
      <w:r>
        <w:rPr>
          <w:color w:val="222222"/>
          <w:highlight w:val="white"/>
        </w:rPr>
        <w:t>Akinsola, O.K. (2025) ‘The Legal and Ethical Dimensions of Shareholder Activism: Challenges and Opportunities for Corporate Governance’. Available at: https://www.researchgate.net/profile/Britney-Johnson-Mary/publication/388659854_The_Legal_and_Ethical_Dimensions_of_Shareholder_Activism_Challenges_and_Opportunities_for_Corporate_Governance/links/67a1972c4c479b26c9ce0e12/The-Legal-and-Ethical-Dimensions-of-Shareholder-Activism-Challenges-and-Opportunities-for-Corporate-Governance.pdf</w:t>
      </w:r>
    </w:p>
    <w:p w:rsidR="00C152BB" w:rsidRDefault="00000000">
      <w:pPr>
        <w:spacing w:before="200"/>
        <w:rPr>
          <w:color w:val="222222"/>
          <w:highlight w:val="white"/>
        </w:rPr>
      </w:pPr>
      <w:proofErr w:type="spellStart"/>
      <w:r>
        <w:rPr>
          <w:color w:val="222222"/>
          <w:highlight w:val="white"/>
        </w:rPr>
        <w:t>Efunniyi</w:t>
      </w:r>
      <w:proofErr w:type="spellEnd"/>
      <w:r>
        <w:rPr>
          <w:color w:val="222222"/>
          <w:highlight w:val="white"/>
        </w:rPr>
        <w:t xml:space="preserve">, C.P., </w:t>
      </w:r>
      <w:proofErr w:type="spellStart"/>
      <w:r>
        <w:rPr>
          <w:color w:val="222222"/>
          <w:highlight w:val="white"/>
        </w:rPr>
        <w:t>Abhulimen</w:t>
      </w:r>
      <w:proofErr w:type="spellEnd"/>
      <w:r>
        <w:rPr>
          <w:color w:val="222222"/>
          <w:highlight w:val="white"/>
        </w:rPr>
        <w:t xml:space="preserve">, A.O., </w:t>
      </w:r>
      <w:proofErr w:type="spellStart"/>
      <w:r>
        <w:rPr>
          <w:color w:val="222222"/>
          <w:highlight w:val="white"/>
        </w:rPr>
        <w:t>Obiki-Osafiele</w:t>
      </w:r>
      <w:proofErr w:type="spellEnd"/>
      <w:r>
        <w:rPr>
          <w:color w:val="222222"/>
          <w:highlight w:val="white"/>
        </w:rPr>
        <w:t xml:space="preserve">, A.N., </w:t>
      </w:r>
      <w:proofErr w:type="spellStart"/>
      <w:r>
        <w:rPr>
          <w:color w:val="222222"/>
          <w:highlight w:val="white"/>
        </w:rPr>
        <w:t>Osundare</w:t>
      </w:r>
      <w:proofErr w:type="spellEnd"/>
      <w:r>
        <w:rPr>
          <w:color w:val="222222"/>
          <w:highlight w:val="white"/>
        </w:rPr>
        <w:t xml:space="preserve">, O.S., Agu, E.E. and Adeniran, I.A. (2024) ‘Strengthening corporate governance and financial compliance: Enhancing accountability and transparency’. </w:t>
      </w:r>
      <w:r>
        <w:rPr>
          <w:i/>
          <w:color w:val="222222"/>
          <w:highlight w:val="white"/>
        </w:rPr>
        <w:t>Finance &amp; Accounting Research Journal</w:t>
      </w:r>
      <w:r>
        <w:rPr>
          <w:color w:val="222222"/>
          <w:highlight w:val="white"/>
        </w:rPr>
        <w:t xml:space="preserve">, </w:t>
      </w:r>
      <w:r>
        <w:rPr>
          <w:i/>
          <w:color w:val="222222"/>
          <w:highlight w:val="white"/>
        </w:rPr>
        <w:t>6</w:t>
      </w:r>
      <w:r>
        <w:rPr>
          <w:color w:val="222222"/>
          <w:highlight w:val="white"/>
        </w:rPr>
        <w:t>(8), pp.1597-1616. Available at: https://www.researchgate.net/profile/Angela-Abhulimen/publication/383860258_1597-1616_4_Nigeria_Inter-bank_Settlement_System_Plc_NIBSS_5_Zenith_General_Insurance_Company_Limited_Nigeria_6_International_Association_of_Computer_Analysts_and_Researchers/links/66ddaa822390e50b2c769a8e/1597-1616-4-Nigeria-Inter-bank-Settlement-System-Plc-NIBSS-5-Zenith-General-Insurance-Company-Limited-Nigeria-6-International-Association-of-Computer-Analysts-and-Researchers.pdf</w:t>
      </w:r>
    </w:p>
    <w:p w:rsidR="00C152BB" w:rsidRDefault="00000000">
      <w:pPr>
        <w:spacing w:before="200"/>
        <w:rPr>
          <w:color w:val="222222"/>
          <w:highlight w:val="white"/>
        </w:rPr>
      </w:pPr>
      <w:r>
        <w:rPr>
          <w:color w:val="222222"/>
          <w:highlight w:val="white"/>
        </w:rPr>
        <w:t xml:space="preserve">FRC (2025) </w:t>
      </w:r>
      <w:r>
        <w:rPr>
          <w:i/>
          <w:color w:val="222222"/>
          <w:highlight w:val="white"/>
        </w:rPr>
        <w:t xml:space="preserve">UK Corporate Governance Code. </w:t>
      </w:r>
      <w:r>
        <w:rPr>
          <w:color w:val="222222"/>
          <w:highlight w:val="white"/>
        </w:rPr>
        <w:t xml:space="preserve">Available at: </w:t>
      </w:r>
      <w:hyperlink r:id="rId10">
        <w:r w:rsidR="00C152BB">
          <w:rPr>
            <w:color w:val="1155CC"/>
            <w:highlight w:val="white"/>
            <w:u w:val="single"/>
          </w:rPr>
          <w:t>https://www.frc.org.uk/library/standards-codes-policy/corporate-governance/uk-corporate-governance-code/</w:t>
        </w:r>
      </w:hyperlink>
      <w:r>
        <w:rPr>
          <w:color w:val="222222"/>
          <w:highlight w:val="white"/>
        </w:rPr>
        <w:t xml:space="preserve"> (Accessed: 08 June 2025).</w:t>
      </w:r>
    </w:p>
    <w:p w:rsidR="00C152BB" w:rsidRDefault="00000000">
      <w:pPr>
        <w:spacing w:before="200"/>
        <w:rPr>
          <w:color w:val="222222"/>
          <w:highlight w:val="white"/>
        </w:rPr>
      </w:pPr>
      <w:r>
        <w:rPr>
          <w:color w:val="222222"/>
          <w:highlight w:val="white"/>
        </w:rPr>
        <w:t xml:space="preserve">Investing (2025) </w:t>
      </w:r>
      <w:r>
        <w:rPr>
          <w:i/>
          <w:color w:val="222222"/>
          <w:highlight w:val="white"/>
        </w:rPr>
        <w:t xml:space="preserve">AstraZeneca CEO acquires shares after performance plan vests. </w:t>
      </w:r>
      <w:r>
        <w:rPr>
          <w:color w:val="222222"/>
          <w:highlight w:val="white"/>
        </w:rPr>
        <w:t xml:space="preserve">Available at: </w:t>
      </w:r>
      <w:hyperlink r:id="rId11">
        <w:r w:rsidR="00C152BB">
          <w:rPr>
            <w:color w:val="1155CC"/>
            <w:highlight w:val="white"/>
            <w:u w:val="single"/>
          </w:rPr>
          <w:t>https://in.investing.com/news/sec-filings/astrazeneca-ceo-acquires-shares-after-performance-plan-vests-93CH-4710056</w:t>
        </w:r>
      </w:hyperlink>
      <w:r>
        <w:rPr>
          <w:color w:val="222222"/>
          <w:highlight w:val="white"/>
        </w:rPr>
        <w:t xml:space="preserve"> (Accessed: 09 June 2025).</w:t>
      </w:r>
    </w:p>
    <w:p w:rsidR="00C152BB" w:rsidRDefault="00000000">
      <w:pPr>
        <w:spacing w:before="200"/>
        <w:rPr>
          <w:color w:val="222222"/>
          <w:highlight w:val="white"/>
        </w:rPr>
      </w:pPr>
      <w:r>
        <w:rPr>
          <w:color w:val="222222"/>
          <w:highlight w:val="white"/>
        </w:rPr>
        <w:lastRenderedPageBreak/>
        <w:t xml:space="preserve">Johnston, A., Belinga, R. and </w:t>
      </w:r>
      <w:proofErr w:type="spellStart"/>
      <w:r>
        <w:rPr>
          <w:color w:val="222222"/>
          <w:highlight w:val="white"/>
        </w:rPr>
        <w:t>Segrestin</w:t>
      </w:r>
      <w:proofErr w:type="spellEnd"/>
      <w:r>
        <w:rPr>
          <w:color w:val="222222"/>
          <w:highlight w:val="white"/>
        </w:rPr>
        <w:t xml:space="preserve">, B. (2022) ‘Governing institutional investor engagement: from activism to stewardship to custodianship?’. </w:t>
      </w:r>
      <w:r>
        <w:rPr>
          <w:i/>
          <w:color w:val="222222"/>
          <w:highlight w:val="white"/>
        </w:rPr>
        <w:t>Journal of Corporate Law Studies</w:t>
      </w:r>
      <w:r>
        <w:rPr>
          <w:color w:val="222222"/>
          <w:highlight w:val="white"/>
        </w:rPr>
        <w:t xml:space="preserve">, </w:t>
      </w:r>
      <w:r>
        <w:rPr>
          <w:i/>
          <w:color w:val="222222"/>
          <w:highlight w:val="white"/>
        </w:rPr>
        <w:t>22</w:t>
      </w:r>
      <w:r>
        <w:rPr>
          <w:color w:val="222222"/>
          <w:highlight w:val="white"/>
        </w:rPr>
        <w:t>(1), pp.45-82. Available at: https://doi.org/10.1080/14735970.2021.1965338</w:t>
      </w:r>
    </w:p>
    <w:p w:rsidR="00C152BB" w:rsidRDefault="00000000">
      <w:pPr>
        <w:spacing w:before="200"/>
        <w:rPr>
          <w:color w:val="222222"/>
          <w:highlight w:val="white"/>
        </w:rPr>
      </w:pPr>
      <w:r>
        <w:rPr>
          <w:color w:val="222222"/>
          <w:highlight w:val="white"/>
        </w:rPr>
        <w:t xml:space="preserve">Judiciary (2025) </w:t>
      </w:r>
      <w:r>
        <w:rPr>
          <w:i/>
          <w:color w:val="222222"/>
          <w:highlight w:val="white"/>
        </w:rPr>
        <w:t xml:space="preserve">The justice system and the constitution. </w:t>
      </w:r>
      <w:r>
        <w:rPr>
          <w:color w:val="222222"/>
          <w:highlight w:val="white"/>
        </w:rPr>
        <w:t xml:space="preserve">Available at: </w:t>
      </w:r>
      <w:hyperlink r:id="rId12" w:anchor=":~:text=The%20United%20Kingdom%20has%20three%20separate%20legal,the%20Acts%20of%20Union%201707%20and%201800">
        <w:r w:rsidR="00C152BB">
          <w:rPr>
            <w:color w:val="1155CC"/>
            <w:highlight w:val="white"/>
            <w:u w:val="single"/>
          </w:rPr>
          <w:t>https://www.judiciary.uk/about-the-judiciary/our-justice-system/jud-acc-ind/justice-sys-and-constitution/#:~:text=The%20United%20Kingdom%20has%20three%20separate%20legal,the%20Acts%20of%20Union%201707%20and%201800</w:t>
        </w:r>
      </w:hyperlink>
      <w:r>
        <w:rPr>
          <w:color w:val="222222"/>
          <w:highlight w:val="white"/>
        </w:rPr>
        <w:t>. (Accessed: 09 June 2025).</w:t>
      </w:r>
    </w:p>
    <w:p w:rsidR="00C152BB" w:rsidRDefault="00000000">
      <w:pPr>
        <w:spacing w:before="200"/>
        <w:rPr>
          <w:color w:val="222222"/>
          <w:highlight w:val="white"/>
        </w:rPr>
      </w:pPr>
      <w:r>
        <w:rPr>
          <w:color w:val="222222"/>
          <w:highlight w:val="white"/>
        </w:rPr>
        <w:t xml:space="preserve">Khandelwal, V., Tripathi, P., </w:t>
      </w:r>
      <w:proofErr w:type="spellStart"/>
      <w:r>
        <w:rPr>
          <w:color w:val="222222"/>
          <w:highlight w:val="white"/>
        </w:rPr>
        <w:t>Chotia</w:t>
      </w:r>
      <w:proofErr w:type="spellEnd"/>
      <w:r>
        <w:rPr>
          <w:color w:val="222222"/>
          <w:highlight w:val="white"/>
        </w:rPr>
        <w:t xml:space="preserve">, V., Srivastava, M., Sharma, P. and Kalyani, S. (2023) ‘Examining the impact of agency issues on corporate performance: A bibliometric analysis’. </w:t>
      </w:r>
      <w:r>
        <w:rPr>
          <w:i/>
          <w:color w:val="222222"/>
          <w:highlight w:val="white"/>
        </w:rPr>
        <w:t>Journal of Risk and Financial Management</w:t>
      </w:r>
      <w:r>
        <w:rPr>
          <w:color w:val="222222"/>
          <w:highlight w:val="white"/>
        </w:rPr>
        <w:t xml:space="preserve">, </w:t>
      </w:r>
      <w:r>
        <w:rPr>
          <w:i/>
          <w:color w:val="222222"/>
          <w:highlight w:val="white"/>
        </w:rPr>
        <w:t>16</w:t>
      </w:r>
      <w:r>
        <w:rPr>
          <w:color w:val="222222"/>
          <w:highlight w:val="white"/>
        </w:rPr>
        <w:t>(12), p.497. Available at: https://doi.org/10.3390/jrfm16120497</w:t>
      </w:r>
    </w:p>
    <w:p w:rsidR="00C152BB" w:rsidRDefault="00000000">
      <w:pPr>
        <w:spacing w:before="200"/>
        <w:rPr>
          <w:color w:val="222222"/>
          <w:highlight w:val="white"/>
        </w:rPr>
      </w:pPr>
      <w:proofErr w:type="spellStart"/>
      <w:r>
        <w:rPr>
          <w:color w:val="222222"/>
          <w:highlight w:val="white"/>
        </w:rPr>
        <w:t>Kvetenadze</w:t>
      </w:r>
      <w:proofErr w:type="spellEnd"/>
      <w:r>
        <w:rPr>
          <w:color w:val="222222"/>
          <w:highlight w:val="white"/>
        </w:rPr>
        <w:t xml:space="preserve">, K. (2022) ‘Dual-Class Share Structure: A Challenge for Contemporary Corporate Law’. </w:t>
      </w:r>
      <w:r>
        <w:rPr>
          <w:i/>
          <w:color w:val="222222"/>
          <w:highlight w:val="white"/>
        </w:rPr>
        <w:t>J. Law</w:t>
      </w:r>
      <w:r>
        <w:rPr>
          <w:color w:val="222222"/>
          <w:highlight w:val="white"/>
        </w:rPr>
        <w:t>, p.124. Available at: https://heinonline.org/HOL/LandingPage?handle=hein.journals/tsujrnl2022&amp;div=12&amp;id=&amp;page=</w:t>
      </w:r>
    </w:p>
    <w:p w:rsidR="00C152BB" w:rsidRDefault="00000000">
      <w:pPr>
        <w:spacing w:before="200"/>
        <w:rPr>
          <w:color w:val="222222"/>
          <w:highlight w:val="white"/>
        </w:rPr>
      </w:pPr>
      <w:proofErr w:type="spellStart"/>
      <w:r>
        <w:rPr>
          <w:color w:val="222222"/>
          <w:highlight w:val="white"/>
        </w:rPr>
        <w:t>Lexisnexis</w:t>
      </w:r>
      <w:proofErr w:type="spellEnd"/>
      <w:r>
        <w:rPr>
          <w:color w:val="222222"/>
          <w:highlight w:val="white"/>
        </w:rPr>
        <w:t xml:space="preserve"> (2025) </w:t>
      </w:r>
      <w:r>
        <w:rPr>
          <w:i/>
          <w:color w:val="222222"/>
          <w:highlight w:val="white"/>
        </w:rPr>
        <w:t xml:space="preserve">Comparison between UKCG Code and QCA Code—checklist. </w:t>
      </w:r>
      <w:r>
        <w:rPr>
          <w:color w:val="222222"/>
          <w:highlight w:val="white"/>
        </w:rPr>
        <w:t xml:space="preserve">Available at: </w:t>
      </w:r>
      <w:hyperlink r:id="rId13" w:anchor=":~:text=From%2028%20September%202018%20all,follow%20a%20corporate%20governance%20code">
        <w:r w:rsidR="00C152BB">
          <w:rPr>
            <w:color w:val="1155CC"/>
            <w:highlight w:val="white"/>
            <w:u w:val="single"/>
          </w:rPr>
          <w:t>https://www.lexisnexis.co.uk/legal/guidance/comparison-between-ukcg-code-qca-code-checklist#:~:text=From%2028%20September%202018%20all,follow%20a%20corporate%20governance%20code</w:t>
        </w:r>
      </w:hyperlink>
      <w:r>
        <w:rPr>
          <w:color w:val="222222"/>
          <w:highlight w:val="white"/>
        </w:rPr>
        <w:t>. (Accessed: 08 June 2025).</w:t>
      </w:r>
    </w:p>
    <w:p w:rsidR="00C152BB" w:rsidRDefault="00000000">
      <w:pPr>
        <w:spacing w:before="200"/>
        <w:rPr>
          <w:color w:val="222222"/>
          <w:highlight w:val="white"/>
        </w:rPr>
      </w:pPr>
      <w:proofErr w:type="spellStart"/>
      <w:r>
        <w:rPr>
          <w:color w:val="222222"/>
          <w:highlight w:val="white"/>
        </w:rPr>
        <w:t>Makortoff</w:t>
      </w:r>
      <w:proofErr w:type="spellEnd"/>
      <w:r>
        <w:rPr>
          <w:color w:val="222222"/>
          <w:highlight w:val="white"/>
        </w:rPr>
        <w:t xml:space="preserve">, K. (2025) </w:t>
      </w:r>
      <w:r>
        <w:rPr>
          <w:i/>
          <w:color w:val="222222"/>
          <w:highlight w:val="white"/>
        </w:rPr>
        <w:t xml:space="preserve">Pay of Barclays CEO more than doubles to £10.5m as profits soar. </w:t>
      </w:r>
      <w:r>
        <w:rPr>
          <w:color w:val="222222"/>
          <w:highlight w:val="white"/>
        </w:rPr>
        <w:t xml:space="preserve">Available at: </w:t>
      </w:r>
      <w:hyperlink r:id="rId14" w:anchor=":~:text=The%20pay%20of%20the%20chief%20executive%20of,annual%20profits%20up%20by%20almost%20a%20quarter">
        <w:r w:rsidR="00C152BB">
          <w:rPr>
            <w:color w:val="1155CC"/>
            <w:highlight w:val="white"/>
            <w:u w:val="single"/>
          </w:rPr>
          <w:t>https://www.theguardian.com/business/2025/feb/13/barclays-profit-rise-ceo-cs-venkatakrishnan-more-pay#:~:text=The%20pay%20of%20the%20chief%20executive%20of,annual%20profits%20up%20by%20almost%20a%20quarter</w:t>
        </w:r>
      </w:hyperlink>
      <w:r>
        <w:rPr>
          <w:color w:val="222222"/>
          <w:highlight w:val="white"/>
        </w:rPr>
        <w:t>. (Accessed: 09 June 2025).</w:t>
      </w:r>
    </w:p>
    <w:p w:rsidR="00C152BB" w:rsidRDefault="00000000">
      <w:pPr>
        <w:spacing w:before="200"/>
        <w:rPr>
          <w:color w:val="222222"/>
          <w:highlight w:val="white"/>
        </w:rPr>
      </w:pPr>
      <w:r>
        <w:rPr>
          <w:color w:val="222222"/>
          <w:highlight w:val="white"/>
        </w:rPr>
        <w:t xml:space="preserve">Mela, L. (2025) </w:t>
      </w:r>
      <w:r>
        <w:rPr>
          <w:i/>
          <w:color w:val="222222"/>
          <w:highlight w:val="white"/>
        </w:rPr>
        <w:t xml:space="preserve">What is the corporate governance code in UK?. </w:t>
      </w:r>
      <w:r>
        <w:rPr>
          <w:color w:val="222222"/>
          <w:highlight w:val="white"/>
        </w:rPr>
        <w:t xml:space="preserve">Available at: </w:t>
      </w:r>
      <w:hyperlink r:id="rId15" w:anchor=":~:text=The%20UK%20Corporate%20Governance%20Code%20is%20a,to%20promote%20transparency%20and%20ethical%20business%20conduct">
        <w:r w:rsidR="00C152BB">
          <w:rPr>
            <w:color w:val="1155CC"/>
            <w:highlight w:val="white"/>
            <w:u w:val="single"/>
          </w:rPr>
          <w:t>https://www.speakup.com/blog/corporate-governance-code-in-uk#:~:text=The%20UK%20Corporate%20Governance%20Code%20is%20a,to%20promote%20transparency%20and%20ethical%20business%20conduct</w:t>
        </w:r>
      </w:hyperlink>
      <w:r>
        <w:rPr>
          <w:color w:val="222222"/>
          <w:highlight w:val="white"/>
        </w:rPr>
        <w:t>. (Accessed: 09 June 2025).</w:t>
      </w:r>
    </w:p>
    <w:p w:rsidR="00C152BB" w:rsidRDefault="00000000">
      <w:pPr>
        <w:spacing w:before="200"/>
        <w:rPr>
          <w:color w:val="222222"/>
          <w:highlight w:val="white"/>
        </w:rPr>
      </w:pPr>
      <w:r>
        <w:rPr>
          <w:color w:val="222222"/>
          <w:highlight w:val="white"/>
        </w:rPr>
        <w:lastRenderedPageBreak/>
        <w:t xml:space="preserve">Moloi, T., </w:t>
      </w:r>
      <w:proofErr w:type="spellStart"/>
      <w:r>
        <w:rPr>
          <w:color w:val="222222"/>
          <w:highlight w:val="white"/>
        </w:rPr>
        <w:t>Marwala</w:t>
      </w:r>
      <w:proofErr w:type="spellEnd"/>
      <w:r>
        <w:rPr>
          <w:color w:val="222222"/>
          <w:highlight w:val="white"/>
        </w:rPr>
        <w:t xml:space="preserve">, T., Moloi, T. and </w:t>
      </w:r>
      <w:proofErr w:type="spellStart"/>
      <w:r>
        <w:rPr>
          <w:color w:val="222222"/>
          <w:highlight w:val="white"/>
        </w:rPr>
        <w:t>Marwala</w:t>
      </w:r>
      <w:proofErr w:type="spellEnd"/>
      <w:r>
        <w:rPr>
          <w:color w:val="222222"/>
          <w:highlight w:val="white"/>
        </w:rPr>
        <w:t xml:space="preserve">, T. (2020) ‘The agency theory’. </w:t>
      </w:r>
      <w:r>
        <w:rPr>
          <w:i/>
          <w:color w:val="222222"/>
          <w:highlight w:val="white"/>
        </w:rPr>
        <w:t>Artificial Intelligence in Economics and Finance Theories</w:t>
      </w:r>
      <w:r>
        <w:rPr>
          <w:color w:val="222222"/>
          <w:highlight w:val="white"/>
        </w:rPr>
        <w:t>, pp.95-102. Available at: https://doi.org/10.1007/978-3-030-42962-1</w:t>
      </w:r>
    </w:p>
    <w:p w:rsidR="00C152BB" w:rsidRDefault="00000000">
      <w:pPr>
        <w:spacing w:before="200"/>
        <w:rPr>
          <w:color w:val="222222"/>
          <w:highlight w:val="white"/>
        </w:rPr>
      </w:pPr>
      <w:proofErr w:type="spellStart"/>
      <w:r>
        <w:rPr>
          <w:color w:val="222222"/>
          <w:highlight w:val="white"/>
        </w:rPr>
        <w:t>Netherlandsinnovation</w:t>
      </w:r>
      <w:proofErr w:type="spellEnd"/>
      <w:r>
        <w:rPr>
          <w:color w:val="222222"/>
          <w:highlight w:val="white"/>
        </w:rPr>
        <w:t xml:space="preserve"> (2020) </w:t>
      </w:r>
      <w:r>
        <w:rPr>
          <w:i/>
          <w:color w:val="222222"/>
          <w:highlight w:val="white"/>
        </w:rPr>
        <w:t xml:space="preserve">#3 Intellectual Property Rights in China. </w:t>
      </w:r>
      <w:r>
        <w:rPr>
          <w:color w:val="222222"/>
          <w:highlight w:val="white"/>
        </w:rPr>
        <w:t xml:space="preserve">Available at: </w:t>
      </w:r>
      <w:hyperlink r:id="rId16" w:anchor=":~:text=So%20through%20my%20advocacy%20positions,system%20that%20could%20really%20work.&amp;text=In%20Copyright%20law%2C%20there%20was,rights%20here%20now%20in%20China.&amp;text=OK%2C%20well%2C%20exciting%20times.,%2C%20Reinout%2C%20for%20this%20podcast.&amp;text=Thanks%20for%20having%20me.,Thanks%20for%20having%20me%2C%20David.&amp;text=And%20thanks%20to%20you%20for,website%20www.netherlandsinnovation.nl.&amp;text=If%20you%20would%20like%20to,you%20will%20tune%20in%20again">
        <w:r w:rsidR="00C152BB">
          <w:rPr>
            <w:color w:val="1155CC"/>
            <w:highlight w:val="white"/>
            <w:u w:val="single"/>
          </w:rPr>
          <w:t>https://netherlandsinnovation.nl/podcast/3-intellectual-property-rights-in-china/#:~:text=So%20through%20my%20advocacy%20positions,system%20that%20could%20really%20work.&amp;text=In%20Copyright%20law%2C%20there%20was,rights%20here%20now%20in%20China.&amp;text=OK%2C%20well%2C%20exciting%20times.,%2C%20Reinout%2C%20for%20this%20podcast.&amp;text=Thanks%20for%20having%20me.,Thanks%20for%20having%20me%2C%20David.&amp;text=And%20thanks%20to%20you%20for,website%20www.netherlandsinnovation.nl.&amp;text=If%20you%20would%20like%20to,you%20will%20tune%20in%20again</w:t>
        </w:r>
      </w:hyperlink>
      <w:r>
        <w:rPr>
          <w:color w:val="222222"/>
          <w:highlight w:val="white"/>
        </w:rPr>
        <w:t xml:space="preserve">. (Accessed: 09 June 2025). </w:t>
      </w:r>
    </w:p>
    <w:p w:rsidR="00C152BB" w:rsidRDefault="00000000">
      <w:pPr>
        <w:spacing w:before="200"/>
        <w:rPr>
          <w:color w:val="222222"/>
          <w:highlight w:val="white"/>
        </w:rPr>
      </w:pPr>
      <w:r>
        <w:rPr>
          <w:color w:val="222222"/>
          <w:highlight w:val="white"/>
        </w:rPr>
        <w:t xml:space="preserve">OECD (2025) </w:t>
      </w:r>
      <w:r>
        <w:rPr>
          <w:i/>
          <w:color w:val="222222"/>
          <w:highlight w:val="white"/>
        </w:rPr>
        <w:t xml:space="preserve">Corporate Governance of Listed Companies in China. </w:t>
      </w:r>
      <w:r>
        <w:rPr>
          <w:color w:val="222222"/>
          <w:highlight w:val="white"/>
        </w:rPr>
        <w:t xml:space="preserve">Available at: </w:t>
      </w:r>
      <w:hyperlink r:id="rId17" w:anchor=":~:text=Corporate%20governance%20in%20China%20has%20been%20explored,light%20of%20the%20actual%20situation%20in%20China">
        <w:r w:rsidR="00C152BB">
          <w:rPr>
            <w:color w:val="1155CC"/>
            <w:highlight w:val="white"/>
            <w:u w:val="single"/>
          </w:rPr>
          <w:t>https://www.oecd.org/content/dam/oecd/en/publications/reports/2011/09/corporate-governance-of-listed-companies-in-china_g1g14758/9789264119208-en.pdf#:~:text=Corporate%20governance%20in%20China%20has%20been%20explored,light%20of%20the%20actual%20situation%20in%20China</w:t>
        </w:r>
      </w:hyperlink>
      <w:r>
        <w:rPr>
          <w:color w:val="222222"/>
          <w:highlight w:val="white"/>
        </w:rPr>
        <w:t>. (Accessed: 09 June 2025).</w:t>
      </w:r>
    </w:p>
    <w:p w:rsidR="00C152BB" w:rsidRDefault="00000000">
      <w:pPr>
        <w:spacing w:before="200"/>
        <w:rPr>
          <w:color w:val="222222"/>
          <w:highlight w:val="white"/>
        </w:rPr>
      </w:pPr>
      <w:proofErr w:type="spellStart"/>
      <w:r>
        <w:rPr>
          <w:color w:val="222222"/>
          <w:highlight w:val="white"/>
        </w:rPr>
        <w:t>Shiyyab</w:t>
      </w:r>
      <w:proofErr w:type="spellEnd"/>
      <w:r>
        <w:rPr>
          <w:color w:val="222222"/>
          <w:highlight w:val="white"/>
        </w:rPr>
        <w:t xml:space="preserve">, F.S. (2024) ‘Determinants of Remuneration Committee Chairman’s Pay: Evidence from the UK’. </w:t>
      </w:r>
      <w:r>
        <w:rPr>
          <w:i/>
          <w:color w:val="222222"/>
          <w:highlight w:val="white"/>
        </w:rPr>
        <w:t>International Journal of Financial Studies</w:t>
      </w:r>
      <w:r>
        <w:rPr>
          <w:color w:val="222222"/>
          <w:highlight w:val="white"/>
        </w:rPr>
        <w:t xml:space="preserve">, </w:t>
      </w:r>
      <w:r>
        <w:rPr>
          <w:i/>
          <w:color w:val="222222"/>
          <w:highlight w:val="white"/>
        </w:rPr>
        <w:t>12</w:t>
      </w:r>
      <w:r>
        <w:rPr>
          <w:color w:val="222222"/>
          <w:highlight w:val="white"/>
        </w:rPr>
        <w:t>(2), p.45. Available at: https://doi.org/10.3390/ijfs12020045</w:t>
      </w:r>
    </w:p>
    <w:p w:rsidR="00C152BB" w:rsidRDefault="00000000">
      <w:pPr>
        <w:spacing w:before="200"/>
        <w:rPr>
          <w:color w:val="222222"/>
          <w:highlight w:val="white"/>
        </w:rPr>
      </w:pPr>
      <w:proofErr w:type="spellStart"/>
      <w:r>
        <w:rPr>
          <w:color w:val="222222"/>
          <w:highlight w:val="white"/>
        </w:rPr>
        <w:t>Snippert</w:t>
      </w:r>
      <w:proofErr w:type="spellEnd"/>
      <w:r>
        <w:rPr>
          <w:color w:val="222222"/>
          <w:highlight w:val="white"/>
        </w:rPr>
        <w:t xml:space="preserve">, T., Witteveen, W., </w:t>
      </w:r>
      <w:proofErr w:type="spellStart"/>
      <w:r>
        <w:rPr>
          <w:color w:val="222222"/>
          <w:highlight w:val="white"/>
        </w:rPr>
        <w:t>Boes</w:t>
      </w:r>
      <w:proofErr w:type="spellEnd"/>
      <w:r>
        <w:rPr>
          <w:color w:val="222222"/>
          <w:highlight w:val="white"/>
        </w:rPr>
        <w:t xml:space="preserve">, H. and </w:t>
      </w:r>
      <w:proofErr w:type="spellStart"/>
      <w:r>
        <w:rPr>
          <w:color w:val="222222"/>
          <w:highlight w:val="white"/>
        </w:rPr>
        <w:t>Voordijk</w:t>
      </w:r>
      <w:proofErr w:type="spellEnd"/>
      <w:r>
        <w:rPr>
          <w:color w:val="222222"/>
          <w:highlight w:val="white"/>
        </w:rPr>
        <w:t xml:space="preserve">, H. (2015) ‘Barriers to realizing a stewardship relation between client and vendor: the Best Value approach’. </w:t>
      </w:r>
      <w:r>
        <w:rPr>
          <w:i/>
          <w:color w:val="222222"/>
          <w:highlight w:val="white"/>
        </w:rPr>
        <w:t>Construction management and economics</w:t>
      </w:r>
      <w:r>
        <w:rPr>
          <w:color w:val="222222"/>
          <w:highlight w:val="white"/>
        </w:rPr>
        <w:t xml:space="preserve">, </w:t>
      </w:r>
      <w:r>
        <w:rPr>
          <w:i/>
          <w:color w:val="222222"/>
          <w:highlight w:val="white"/>
        </w:rPr>
        <w:t>33</w:t>
      </w:r>
      <w:r>
        <w:rPr>
          <w:color w:val="222222"/>
          <w:highlight w:val="white"/>
        </w:rPr>
        <w:t>(7), pp.569-586. Available at: https://doi.org/10.1080/01446193.2015.1078902</w:t>
      </w:r>
    </w:p>
    <w:p w:rsidR="00C152BB" w:rsidRDefault="00000000">
      <w:pPr>
        <w:spacing w:before="200"/>
        <w:rPr>
          <w:color w:val="222222"/>
          <w:highlight w:val="white"/>
        </w:rPr>
      </w:pPr>
      <w:r>
        <w:rPr>
          <w:color w:val="222222"/>
          <w:highlight w:val="white"/>
        </w:rPr>
        <w:t xml:space="preserve">The Culture Factor (2025) </w:t>
      </w:r>
      <w:r>
        <w:rPr>
          <w:i/>
          <w:color w:val="222222"/>
          <w:highlight w:val="white"/>
        </w:rPr>
        <w:t xml:space="preserve">Country Comparison tool. </w:t>
      </w:r>
      <w:r>
        <w:rPr>
          <w:color w:val="222222"/>
          <w:highlight w:val="white"/>
        </w:rPr>
        <w:t xml:space="preserve">Available at: </w:t>
      </w:r>
      <w:hyperlink r:id="rId18">
        <w:r w:rsidR="00C152BB">
          <w:rPr>
            <w:color w:val="1155CC"/>
            <w:highlight w:val="white"/>
            <w:u w:val="single"/>
          </w:rPr>
          <w:t>https://www.theculturefactor.com/country-comparison-tool?countries=china%2Cnetherlands%2Cunited+kingdom</w:t>
        </w:r>
      </w:hyperlink>
      <w:r>
        <w:rPr>
          <w:color w:val="222222"/>
          <w:highlight w:val="white"/>
        </w:rPr>
        <w:t xml:space="preserve"> (Accessed: 09 June 2025).</w:t>
      </w:r>
    </w:p>
    <w:p w:rsidR="00C152BB" w:rsidRDefault="00000000">
      <w:pPr>
        <w:spacing w:before="200"/>
        <w:rPr>
          <w:color w:val="222222"/>
          <w:highlight w:val="white"/>
        </w:rPr>
      </w:pPr>
      <w:r>
        <w:rPr>
          <w:color w:val="222222"/>
          <w:highlight w:val="white"/>
        </w:rPr>
        <w:t xml:space="preserve">Unilever (2025) </w:t>
      </w:r>
      <w:r>
        <w:rPr>
          <w:i/>
          <w:color w:val="222222"/>
          <w:highlight w:val="white"/>
        </w:rPr>
        <w:t xml:space="preserve">Board and Management Committees. </w:t>
      </w:r>
      <w:r>
        <w:rPr>
          <w:color w:val="222222"/>
          <w:highlight w:val="white"/>
        </w:rPr>
        <w:t xml:space="preserve">Available at: </w:t>
      </w:r>
      <w:hyperlink r:id="rId19">
        <w:r w:rsidR="00C152BB">
          <w:rPr>
            <w:color w:val="1155CC"/>
            <w:highlight w:val="white"/>
            <w:u w:val="single"/>
          </w:rPr>
          <w:t>https://www.unilever.com/investors/corporate-governance/board-and-management-committees/</w:t>
        </w:r>
      </w:hyperlink>
      <w:r>
        <w:rPr>
          <w:color w:val="222222"/>
          <w:highlight w:val="white"/>
        </w:rPr>
        <w:t xml:space="preserve"> (Accessed: 08 June 2025).</w:t>
      </w:r>
    </w:p>
    <w:p w:rsidR="00C152BB" w:rsidRDefault="00000000">
      <w:pPr>
        <w:spacing w:before="200"/>
        <w:rPr>
          <w:color w:val="222222"/>
          <w:highlight w:val="white"/>
        </w:rPr>
      </w:pPr>
      <w:r>
        <w:rPr>
          <w:color w:val="222222"/>
          <w:highlight w:val="white"/>
        </w:rPr>
        <w:lastRenderedPageBreak/>
        <w:t xml:space="preserve">van Wyk, L.M. and Wesson, N. (2021) ‘Alignment of executive long-term remuneration and company key performance indicators: An exploratory study’. </w:t>
      </w:r>
      <w:r>
        <w:rPr>
          <w:i/>
          <w:color w:val="222222"/>
          <w:highlight w:val="white"/>
        </w:rPr>
        <w:t>Journal of Economic and Financial Sciences</w:t>
      </w:r>
      <w:r>
        <w:rPr>
          <w:color w:val="222222"/>
          <w:highlight w:val="white"/>
        </w:rPr>
        <w:t xml:space="preserve">, </w:t>
      </w:r>
      <w:r>
        <w:rPr>
          <w:i/>
          <w:color w:val="222222"/>
          <w:highlight w:val="white"/>
        </w:rPr>
        <w:t>14</w:t>
      </w:r>
      <w:r>
        <w:rPr>
          <w:color w:val="222222"/>
          <w:highlight w:val="white"/>
        </w:rPr>
        <w:t>(1), p.17. Available at: https://doi.org/10.4102/jef.v14i1.564</w:t>
      </w:r>
    </w:p>
    <w:p w:rsidR="00C152BB" w:rsidRDefault="00C152BB"/>
    <w:sectPr w:rsidR="00C152BB" w:rsidSect="009204A3">
      <w:headerReference w:type="default" r:id="rId20"/>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10654" w:rsidRDefault="00E10654">
      <w:pPr>
        <w:spacing w:line="240" w:lineRule="auto"/>
      </w:pPr>
      <w:r>
        <w:separator/>
      </w:r>
    </w:p>
  </w:endnote>
  <w:endnote w:type="continuationSeparator" w:id="0">
    <w:p w:rsidR="00E10654" w:rsidRDefault="00E106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152BB" w:rsidRDefault="00000000">
    <w:pPr>
      <w:pBdr>
        <w:top w:val="nil"/>
        <w:left w:val="nil"/>
        <w:bottom w:val="nil"/>
        <w:right w:val="nil"/>
        <w:between w:val="nil"/>
      </w:pBdr>
      <w:tabs>
        <w:tab w:val="center" w:pos="4513"/>
        <w:tab w:val="right" w:pos="9026"/>
      </w:tabs>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9204A3">
      <w:rPr>
        <w:noProof/>
        <w:color w:val="000000"/>
        <w:sz w:val="20"/>
        <w:szCs w:val="20"/>
      </w:rPr>
      <w:t>1</w:t>
    </w:r>
    <w:r>
      <w:rPr>
        <w:color w:val="000000"/>
        <w:sz w:val="20"/>
        <w:szCs w:val="20"/>
      </w:rPr>
      <w:fldChar w:fldCharType="end"/>
    </w:r>
  </w:p>
  <w:p w:rsidR="00C152BB" w:rsidRDefault="00C152BB">
    <w:pPr>
      <w:pBdr>
        <w:top w:val="nil"/>
        <w:left w:val="nil"/>
        <w:bottom w:val="nil"/>
        <w:right w:val="nil"/>
        <w:between w:val="nil"/>
      </w:pBdr>
      <w:tabs>
        <w:tab w:val="center" w:pos="4513"/>
        <w:tab w:val="right" w:pos="9026"/>
      </w:tabs>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10654" w:rsidRDefault="00E10654">
      <w:pPr>
        <w:spacing w:line="240" w:lineRule="auto"/>
      </w:pPr>
      <w:r>
        <w:separator/>
      </w:r>
    </w:p>
  </w:footnote>
  <w:footnote w:type="continuationSeparator" w:id="0">
    <w:p w:rsidR="00E10654" w:rsidRDefault="00E1065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152BB" w:rsidRDefault="00000000">
    <w:pPr>
      <w:pBdr>
        <w:top w:val="nil"/>
        <w:left w:val="nil"/>
        <w:bottom w:val="nil"/>
        <w:right w:val="nil"/>
        <w:between w:val="nil"/>
      </w:pBdr>
      <w:tabs>
        <w:tab w:val="center" w:pos="4513"/>
        <w:tab w:val="right" w:pos="9026"/>
      </w:tabs>
      <w:spacing w:line="240" w:lineRule="auto"/>
      <w:rPr>
        <w:color w:val="000000"/>
      </w:rPr>
    </w:pPr>
    <w:r>
      <w:rPr>
        <w:noProof/>
        <w:color w:val="000000"/>
      </w:rPr>
      <w:drawing>
        <wp:inline distT="0" distB="0" distL="0" distR="0">
          <wp:extent cx="1590675" cy="647700"/>
          <wp:effectExtent l="0" t="0" r="0" b="0"/>
          <wp:docPr id="70825486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590675" cy="647700"/>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2BB"/>
    <w:rsid w:val="00072F41"/>
    <w:rsid w:val="000A08A6"/>
    <w:rsid w:val="005C6A97"/>
    <w:rsid w:val="009204A3"/>
    <w:rsid w:val="00A0728B"/>
    <w:rsid w:val="00C152BB"/>
    <w:rsid w:val="00E106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838D0"/>
  <w15:docId w15:val="{DA46F7FE-D923-4B5B-8ABC-0B5EB94A3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66717"/>
    <w:pPr>
      <w:tabs>
        <w:tab w:val="center" w:pos="4513"/>
        <w:tab w:val="right" w:pos="9026"/>
      </w:tabs>
      <w:spacing w:line="240" w:lineRule="auto"/>
    </w:pPr>
  </w:style>
  <w:style w:type="character" w:customStyle="1" w:styleId="HeaderChar">
    <w:name w:val="Header Char"/>
    <w:basedOn w:val="DefaultParagraphFont"/>
    <w:link w:val="Header"/>
    <w:uiPriority w:val="99"/>
    <w:rsid w:val="00966717"/>
  </w:style>
  <w:style w:type="paragraph" w:styleId="Footer">
    <w:name w:val="footer"/>
    <w:basedOn w:val="Normal"/>
    <w:link w:val="FooterChar"/>
    <w:uiPriority w:val="99"/>
    <w:unhideWhenUsed/>
    <w:rsid w:val="00966717"/>
    <w:pPr>
      <w:tabs>
        <w:tab w:val="center" w:pos="4513"/>
        <w:tab w:val="right" w:pos="9026"/>
      </w:tabs>
      <w:spacing w:line="240" w:lineRule="auto"/>
    </w:pPr>
  </w:style>
  <w:style w:type="character" w:customStyle="1" w:styleId="FooterChar">
    <w:name w:val="Footer Char"/>
    <w:basedOn w:val="DefaultParagraphFont"/>
    <w:link w:val="Footer"/>
    <w:uiPriority w:val="99"/>
    <w:rsid w:val="00966717"/>
  </w:style>
  <w:style w:type="paragraph" w:styleId="TOCHeading">
    <w:name w:val="TOC Heading"/>
    <w:basedOn w:val="Heading1"/>
    <w:next w:val="Normal"/>
    <w:uiPriority w:val="39"/>
    <w:unhideWhenUsed/>
    <w:qFormat/>
    <w:rsid w:val="0096671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66717"/>
    <w:pPr>
      <w:spacing w:after="100"/>
    </w:pPr>
  </w:style>
  <w:style w:type="paragraph" w:styleId="TOC2">
    <w:name w:val="toc 2"/>
    <w:basedOn w:val="Normal"/>
    <w:next w:val="Normal"/>
    <w:autoRedefine/>
    <w:uiPriority w:val="39"/>
    <w:unhideWhenUsed/>
    <w:rsid w:val="00966717"/>
    <w:pPr>
      <w:spacing w:after="100"/>
      <w:ind w:left="240"/>
    </w:pPr>
  </w:style>
  <w:style w:type="character" w:styleId="Hyperlink">
    <w:name w:val="Hyperlink"/>
    <w:basedOn w:val="DefaultParagraphFont"/>
    <w:uiPriority w:val="99"/>
    <w:unhideWhenUsed/>
    <w:rsid w:val="00966717"/>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xisnexis.co.uk/legal/guidance/comparison-between-ukcg-code-qca-code-checklist" TargetMode="External"/><Relationship Id="rId18" Type="http://schemas.openxmlformats.org/officeDocument/2006/relationships/hyperlink" Target="https://www.theculturefactor.com/country-comparison-tool?countries=china%2Cnetherlands%2Cunited+kingdo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judiciary.uk/about-the-judiciary/our-justice-system/jud-acc-ind/justice-sys-and-constitution/" TargetMode="External"/><Relationship Id="rId17" Type="http://schemas.openxmlformats.org/officeDocument/2006/relationships/hyperlink" Target="https://www.oecd.org/content/dam/oecd/en/publications/reports/2011/09/corporate-governance-of-listed-companies-in-china_g1g14758/9789264119208-en.pdf" TargetMode="External"/><Relationship Id="rId2" Type="http://schemas.openxmlformats.org/officeDocument/2006/relationships/styles" Target="styles.xml"/><Relationship Id="rId16" Type="http://schemas.openxmlformats.org/officeDocument/2006/relationships/hyperlink" Target="https://netherlandsinnovation.nl/podcast/3-intellectual-property-rights-in-china/"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n.investing.com/news/sec-filings/astrazeneca-ceo-acquires-shares-after-performance-plan-vests-93CH-4710056" TargetMode="External"/><Relationship Id="rId5" Type="http://schemas.openxmlformats.org/officeDocument/2006/relationships/footnotes" Target="footnotes.xml"/><Relationship Id="rId15" Type="http://schemas.openxmlformats.org/officeDocument/2006/relationships/hyperlink" Target="https://www.speakup.com/blog/corporate-governance-code-in-uk" TargetMode="External"/><Relationship Id="rId23" Type="http://schemas.openxmlformats.org/officeDocument/2006/relationships/theme" Target="theme/theme1.xml"/><Relationship Id="rId10" Type="http://schemas.openxmlformats.org/officeDocument/2006/relationships/hyperlink" Target="https://www.frc.org.uk/library/standards-codes-policy/corporate-governance/uk-corporate-governance-code/" TargetMode="External"/><Relationship Id="rId19" Type="http://schemas.openxmlformats.org/officeDocument/2006/relationships/hyperlink" Target="https://www.unilever.com/investors/corporate-governance/board-and-management-committees/" TargetMode="External"/><Relationship Id="rId4" Type="http://schemas.openxmlformats.org/officeDocument/2006/relationships/webSettings" Target="webSettings.xml"/><Relationship Id="rId9" Type="http://schemas.openxmlformats.org/officeDocument/2006/relationships/hyperlink" Target="https://www.accaglobal.com/in/en/student/exam-support-resources/fundamentals-exams-study-resources/f1/technical-articles/corpgovernance.html" TargetMode="External"/><Relationship Id="rId14" Type="http://schemas.openxmlformats.org/officeDocument/2006/relationships/hyperlink" Target="https://www.theguardian.com/business/2025/feb/13/barclays-profit-rise-ceo-cs-venkatakrishnan-more-pay"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U8pLYJEUgFqdP/QK8UrOigf69w==">CgMxLjAyDmgucXpqcG5iYXo0dXhrMg5oLmR0aXVveXNudHMyczIOaC5nYjFlYjhnbW9oZHgyDmguOHZtZTUzcmZ4ZGplMg5oLjd3dmYzbDhycjZ4ejIOaC53eWpqcTkzbzhrc3gyDmguaXZibmNsY3F0OWFjMg5oLno5dDhneGZ1emw2dTIOaC5zaDgweHVyZnF4eG4yDmgud3ZnN2tod3F5dGwyMg5oLmFtOTd0OW5lbHdpZzgAciExNGtiUnJubjVxRVdXc2VNU3JZcVZMcnU2QnRXYmV4WF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3187</Words>
  <Characters>18166</Characters>
  <Application>Microsoft Office Word</Application>
  <DocSecurity>0</DocSecurity>
  <Lines>151</Lines>
  <Paragraphs>42</Paragraphs>
  <ScaleCrop>false</ScaleCrop>
  <Company/>
  <LinksUpToDate>false</LinksUpToDate>
  <CharactersWithSpaces>21311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3</cp:revision>
  <dcterms:created xsi:type="dcterms:W3CDTF">2025-06-11T08:48:00Z</dcterms:created>
  <dcterms:modified xsi:type="dcterms:W3CDTF">2025-06-14T05:55:00Z</dcterms:modified>
</cp:coreProperties>
</file>