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19D86" w14:textId="77777777" w:rsidR="009C1B6D" w:rsidRDefault="00C2310F">
      <w:pPr>
        <w:spacing w:line="360" w:lineRule="auto"/>
      </w:pPr>
      <w:r>
        <w:rPr>
          <w:rFonts w:ascii="Arial" w:hAnsi="Arial"/>
          <w:noProof/>
          <w:sz w:val="22"/>
        </w:rPr>
        <w:drawing>
          <wp:anchor distT="0" distB="0" distL="114300" distR="114300" simplePos="0" relativeHeight="251659264" behindDoc="0" locked="0" layoutInCell="1" allowOverlap="1" wp14:anchorId="05EE7A31" wp14:editId="28D25A35">
            <wp:simplePos x="0" y="0"/>
            <wp:positionH relativeFrom="column">
              <wp:posOffset>0</wp:posOffset>
            </wp:positionH>
            <wp:positionV relativeFrom="paragraph">
              <wp:posOffset>292095</wp:posOffset>
            </wp:positionV>
            <wp:extent cx="1809753" cy="723903"/>
            <wp:effectExtent l="0" t="0" r="0" b="0"/>
            <wp:wrapSquare wrapText="bothSides"/>
            <wp:docPr id="589373550"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809753" cy="723903"/>
                    </a:xfrm>
                    <a:prstGeom prst="rect">
                      <a:avLst/>
                    </a:prstGeom>
                    <a:noFill/>
                    <a:ln>
                      <a:noFill/>
                      <a:prstDash/>
                    </a:ln>
                  </pic:spPr>
                </pic:pic>
              </a:graphicData>
            </a:graphic>
          </wp:anchor>
        </w:drawing>
      </w:r>
    </w:p>
    <w:p w14:paraId="654525D3" w14:textId="77777777" w:rsidR="009C1B6D" w:rsidRDefault="00C2310F">
      <w:pPr>
        <w:spacing w:line="360" w:lineRule="auto"/>
        <w:rPr>
          <w:rFonts w:ascii="Arial" w:hAnsi="Arial"/>
          <w:sz w:val="22"/>
        </w:rPr>
      </w:pPr>
      <w:r>
        <w:rPr>
          <w:rFonts w:ascii="Arial" w:hAnsi="Arial"/>
          <w:sz w:val="22"/>
        </w:rPr>
        <w:t xml:space="preserve">  </w:t>
      </w:r>
    </w:p>
    <w:p w14:paraId="28C8EB24" w14:textId="77777777" w:rsidR="009C1B6D" w:rsidRDefault="009C1B6D">
      <w:pPr>
        <w:spacing w:line="360" w:lineRule="auto"/>
        <w:rPr>
          <w:rFonts w:ascii="Arial" w:hAnsi="Arial"/>
          <w:sz w:val="22"/>
        </w:rPr>
      </w:pPr>
    </w:p>
    <w:p w14:paraId="3EF1959A" w14:textId="77777777" w:rsidR="009C1B6D" w:rsidRDefault="009C1B6D">
      <w:pPr>
        <w:spacing w:line="360" w:lineRule="auto"/>
        <w:rPr>
          <w:rFonts w:ascii="Arial" w:hAnsi="Arial"/>
          <w:sz w:val="22"/>
        </w:rPr>
      </w:pPr>
    </w:p>
    <w:p w14:paraId="55050066" w14:textId="77777777" w:rsidR="009C1B6D" w:rsidRDefault="009C1B6D">
      <w:pPr>
        <w:tabs>
          <w:tab w:val="left" w:pos="6540"/>
        </w:tabs>
        <w:spacing w:line="360" w:lineRule="auto"/>
        <w:rPr>
          <w:rFonts w:ascii="Arial" w:hAnsi="Arial"/>
          <w:sz w:val="22"/>
        </w:rPr>
      </w:pPr>
    </w:p>
    <w:p w14:paraId="3BED1F86" w14:textId="77777777" w:rsidR="009C1B6D" w:rsidRDefault="00C2310F">
      <w:pPr>
        <w:tabs>
          <w:tab w:val="left" w:pos="6540"/>
        </w:tabs>
        <w:spacing w:line="360" w:lineRule="auto"/>
      </w:pPr>
      <w:r>
        <w:rPr>
          <w:rFonts w:ascii="Arial" w:hAnsi="Arial"/>
          <w:b/>
          <w:bCs/>
          <w:sz w:val="28"/>
          <w:szCs w:val="28"/>
          <w:lang w:val="nl-NL"/>
        </w:rPr>
        <w:t>Module name</w:t>
      </w:r>
      <w:r>
        <w:rPr>
          <w:rFonts w:ascii="Arial" w:hAnsi="Arial"/>
          <w:sz w:val="28"/>
          <w:szCs w:val="28"/>
          <w:lang w:val="nl-NL"/>
        </w:rPr>
        <w:t>: Introducation in public  health</w:t>
      </w:r>
    </w:p>
    <w:p w14:paraId="12DF22B0" w14:textId="77777777" w:rsidR="009C1B6D" w:rsidRDefault="00C2310F">
      <w:pPr>
        <w:tabs>
          <w:tab w:val="left" w:pos="6540"/>
        </w:tabs>
        <w:spacing w:line="360" w:lineRule="auto"/>
      </w:pPr>
      <w:r>
        <w:rPr>
          <w:rFonts w:ascii="Arial" w:hAnsi="Arial"/>
          <w:b/>
          <w:bCs/>
          <w:sz w:val="28"/>
          <w:szCs w:val="28"/>
        </w:rPr>
        <w:t>Module code</w:t>
      </w:r>
      <w:r>
        <w:rPr>
          <w:rFonts w:ascii="Arial" w:hAnsi="Arial"/>
          <w:sz w:val="28"/>
          <w:szCs w:val="28"/>
        </w:rPr>
        <w:t>: LCHS4008</w:t>
      </w:r>
    </w:p>
    <w:p w14:paraId="15426699" w14:textId="77777777" w:rsidR="009C1B6D" w:rsidRDefault="009C1B6D">
      <w:pPr>
        <w:tabs>
          <w:tab w:val="left" w:pos="6540"/>
        </w:tabs>
        <w:spacing w:line="360" w:lineRule="auto"/>
        <w:rPr>
          <w:rFonts w:ascii="Arial" w:hAnsi="Arial"/>
          <w:b/>
          <w:bCs/>
          <w:sz w:val="28"/>
          <w:szCs w:val="28"/>
          <w:lang w:val="nl-NL"/>
        </w:rPr>
      </w:pPr>
    </w:p>
    <w:p w14:paraId="2F66B8F3" w14:textId="77777777" w:rsidR="009C1B6D" w:rsidRDefault="00C2310F">
      <w:pPr>
        <w:tabs>
          <w:tab w:val="left" w:pos="6540"/>
        </w:tabs>
        <w:spacing w:line="360" w:lineRule="auto"/>
      </w:pPr>
      <w:r>
        <w:rPr>
          <w:rFonts w:ascii="Arial" w:hAnsi="Arial"/>
          <w:b/>
          <w:bCs/>
          <w:sz w:val="28"/>
          <w:szCs w:val="28"/>
          <w:lang w:val="nl-NL"/>
        </w:rPr>
        <w:t>Student name</w:t>
      </w:r>
      <w:r>
        <w:rPr>
          <w:rFonts w:ascii="Arial" w:hAnsi="Arial"/>
          <w:sz w:val="28"/>
          <w:szCs w:val="28"/>
          <w:lang w:val="nl-NL"/>
        </w:rPr>
        <w:t>:Saumu Hoadley</w:t>
      </w:r>
    </w:p>
    <w:p w14:paraId="12D2130E" w14:textId="77777777" w:rsidR="009C1B6D" w:rsidRDefault="00C2310F">
      <w:pPr>
        <w:tabs>
          <w:tab w:val="left" w:pos="6540"/>
        </w:tabs>
        <w:spacing w:line="360" w:lineRule="auto"/>
      </w:pPr>
      <w:r>
        <w:rPr>
          <w:rFonts w:ascii="Arial" w:hAnsi="Arial"/>
          <w:b/>
          <w:bCs/>
          <w:sz w:val="28"/>
          <w:szCs w:val="28"/>
          <w:lang w:val="nl-NL"/>
        </w:rPr>
        <w:t>Student ID</w:t>
      </w:r>
      <w:r>
        <w:rPr>
          <w:rFonts w:ascii="Arial" w:hAnsi="Arial"/>
          <w:sz w:val="28"/>
          <w:szCs w:val="28"/>
          <w:lang w:val="nl-NL"/>
        </w:rPr>
        <w:t>:2525132</w:t>
      </w:r>
    </w:p>
    <w:p w14:paraId="2031AC39" w14:textId="77777777" w:rsidR="009C1B6D" w:rsidRDefault="009C1B6D">
      <w:pPr>
        <w:tabs>
          <w:tab w:val="left" w:pos="6540"/>
        </w:tabs>
        <w:spacing w:line="360" w:lineRule="auto"/>
        <w:rPr>
          <w:rFonts w:ascii="Arial" w:hAnsi="Arial"/>
          <w:sz w:val="28"/>
          <w:szCs w:val="28"/>
          <w:lang w:val="nl-NL"/>
        </w:rPr>
      </w:pPr>
    </w:p>
    <w:p w14:paraId="2CA8B9A9" w14:textId="77777777" w:rsidR="009C1B6D" w:rsidRDefault="00C2310F">
      <w:pPr>
        <w:tabs>
          <w:tab w:val="left" w:pos="6540"/>
        </w:tabs>
        <w:spacing w:line="360" w:lineRule="auto"/>
      </w:pPr>
      <w:r>
        <w:rPr>
          <w:rFonts w:ascii="Arial" w:hAnsi="Arial"/>
          <w:b/>
          <w:bCs/>
          <w:sz w:val="28"/>
          <w:szCs w:val="28"/>
        </w:rPr>
        <w:t>Lecturer’s name</w:t>
      </w:r>
      <w:r>
        <w:rPr>
          <w:rFonts w:ascii="Arial" w:hAnsi="Arial"/>
          <w:sz w:val="28"/>
          <w:szCs w:val="28"/>
        </w:rPr>
        <w:t xml:space="preserve"> Shepherd Ziko</w:t>
      </w:r>
    </w:p>
    <w:p w14:paraId="5FE74FA6" w14:textId="77777777" w:rsidR="009C1B6D" w:rsidRDefault="009C1B6D">
      <w:pPr>
        <w:tabs>
          <w:tab w:val="left" w:pos="6540"/>
        </w:tabs>
        <w:spacing w:line="360" w:lineRule="auto"/>
        <w:rPr>
          <w:rFonts w:ascii="Arial" w:hAnsi="Arial"/>
          <w:sz w:val="22"/>
        </w:rPr>
      </w:pPr>
    </w:p>
    <w:p w14:paraId="47E7898B" w14:textId="77777777" w:rsidR="009C1B6D" w:rsidRDefault="009C1B6D">
      <w:pPr>
        <w:tabs>
          <w:tab w:val="left" w:pos="6540"/>
        </w:tabs>
        <w:spacing w:line="360" w:lineRule="auto"/>
        <w:rPr>
          <w:rFonts w:ascii="Arial" w:hAnsi="Arial"/>
          <w:sz w:val="22"/>
        </w:rPr>
      </w:pPr>
    </w:p>
    <w:p w14:paraId="1894651A" w14:textId="77777777" w:rsidR="009C1B6D" w:rsidRDefault="009C1B6D">
      <w:pPr>
        <w:tabs>
          <w:tab w:val="left" w:pos="6540"/>
        </w:tabs>
        <w:spacing w:line="360" w:lineRule="auto"/>
        <w:rPr>
          <w:rFonts w:ascii="Arial" w:hAnsi="Arial"/>
          <w:sz w:val="22"/>
        </w:rPr>
      </w:pPr>
    </w:p>
    <w:p w14:paraId="0FF7547D" w14:textId="77777777" w:rsidR="009C1B6D" w:rsidRDefault="009C1B6D">
      <w:pPr>
        <w:tabs>
          <w:tab w:val="left" w:pos="6540"/>
        </w:tabs>
        <w:spacing w:line="360" w:lineRule="auto"/>
        <w:rPr>
          <w:rFonts w:ascii="Arial" w:hAnsi="Arial"/>
          <w:sz w:val="22"/>
        </w:rPr>
      </w:pPr>
    </w:p>
    <w:p w14:paraId="634EAFEB" w14:textId="77777777" w:rsidR="00B873B9" w:rsidRDefault="00B873B9">
      <w:pPr>
        <w:tabs>
          <w:tab w:val="left" w:pos="6540"/>
        </w:tabs>
        <w:spacing w:line="360" w:lineRule="auto"/>
        <w:rPr>
          <w:rFonts w:ascii="Arial" w:hAnsi="Arial"/>
          <w:sz w:val="22"/>
        </w:rPr>
      </w:pPr>
    </w:p>
    <w:p w14:paraId="40F7072D" w14:textId="77777777" w:rsidR="00B873B9" w:rsidRDefault="00B873B9">
      <w:pPr>
        <w:tabs>
          <w:tab w:val="left" w:pos="6540"/>
        </w:tabs>
        <w:spacing w:line="360" w:lineRule="auto"/>
        <w:rPr>
          <w:rFonts w:ascii="Arial" w:hAnsi="Arial"/>
          <w:sz w:val="22"/>
        </w:rPr>
      </w:pPr>
    </w:p>
    <w:p w14:paraId="72B13353" w14:textId="77777777" w:rsidR="00B873B9" w:rsidRDefault="00B873B9">
      <w:pPr>
        <w:tabs>
          <w:tab w:val="left" w:pos="6540"/>
        </w:tabs>
        <w:spacing w:line="360" w:lineRule="auto"/>
        <w:rPr>
          <w:rFonts w:ascii="Arial" w:hAnsi="Arial"/>
          <w:sz w:val="22"/>
        </w:rPr>
      </w:pPr>
    </w:p>
    <w:p w14:paraId="26615426" w14:textId="77777777" w:rsidR="00B873B9" w:rsidRDefault="00B873B9">
      <w:pPr>
        <w:tabs>
          <w:tab w:val="left" w:pos="6540"/>
        </w:tabs>
        <w:spacing w:line="360" w:lineRule="auto"/>
        <w:rPr>
          <w:rFonts w:ascii="Arial" w:hAnsi="Arial"/>
          <w:sz w:val="22"/>
        </w:rPr>
      </w:pPr>
    </w:p>
    <w:p w14:paraId="5A5AA577" w14:textId="77777777" w:rsidR="00B873B9" w:rsidRDefault="00B873B9">
      <w:pPr>
        <w:tabs>
          <w:tab w:val="left" w:pos="6540"/>
        </w:tabs>
        <w:spacing w:line="360" w:lineRule="auto"/>
        <w:rPr>
          <w:rFonts w:ascii="Arial" w:hAnsi="Arial"/>
          <w:sz w:val="22"/>
        </w:rPr>
      </w:pPr>
    </w:p>
    <w:p w14:paraId="7F19B6F1" w14:textId="77777777" w:rsidR="00B873B9" w:rsidRDefault="00B873B9">
      <w:pPr>
        <w:tabs>
          <w:tab w:val="left" w:pos="6540"/>
        </w:tabs>
        <w:spacing w:line="360" w:lineRule="auto"/>
        <w:rPr>
          <w:rFonts w:ascii="Arial" w:hAnsi="Arial"/>
          <w:sz w:val="22"/>
        </w:rPr>
      </w:pPr>
    </w:p>
    <w:p w14:paraId="591C12FE" w14:textId="77777777" w:rsidR="00B873B9" w:rsidRDefault="00B873B9">
      <w:pPr>
        <w:tabs>
          <w:tab w:val="left" w:pos="6540"/>
        </w:tabs>
        <w:spacing w:line="360" w:lineRule="auto"/>
        <w:rPr>
          <w:rFonts w:ascii="Arial" w:hAnsi="Arial"/>
          <w:sz w:val="22"/>
        </w:rPr>
      </w:pPr>
    </w:p>
    <w:p w14:paraId="2D9140D1" w14:textId="77777777" w:rsidR="00B873B9" w:rsidRDefault="00B873B9">
      <w:pPr>
        <w:tabs>
          <w:tab w:val="left" w:pos="6540"/>
        </w:tabs>
        <w:spacing w:line="360" w:lineRule="auto"/>
        <w:rPr>
          <w:rFonts w:ascii="Arial" w:hAnsi="Arial"/>
          <w:sz w:val="22"/>
        </w:rPr>
      </w:pPr>
    </w:p>
    <w:p w14:paraId="1E71022C" w14:textId="77777777" w:rsidR="009C1B6D" w:rsidRDefault="009C1B6D">
      <w:pPr>
        <w:pageBreakBefore/>
        <w:spacing w:line="360" w:lineRule="auto"/>
        <w:rPr>
          <w:rFonts w:ascii="Arial" w:hAnsi="Arial"/>
          <w:sz w:val="22"/>
        </w:rPr>
      </w:pPr>
    </w:p>
    <w:p w14:paraId="706D25C0" w14:textId="77777777" w:rsidR="009C1B6D" w:rsidRDefault="00C2310F" w:rsidP="00B873B9">
      <w:pPr>
        <w:pStyle w:val="Heading1"/>
      </w:pPr>
      <w:bookmarkStart w:id="0" w:name="_Toc237348176"/>
      <w:r>
        <w:t>Coronary Heart Disease</w:t>
      </w:r>
      <w:bookmarkEnd w:id="0"/>
    </w:p>
    <w:p w14:paraId="264E39CD" w14:textId="77777777" w:rsidR="009C1B6D" w:rsidRDefault="00C2310F">
      <w:pPr>
        <w:jc w:val="both"/>
        <w:rPr>
          <w:rFonts w:ascii="Arial" w:hAnsi="Arial"/>
        </w:rPr>
      </w:pPr>
      <w:r>
        <w:rPr>
          <w:rFonts w:ascii="Arial" w:hAnsi="Arial"/>
        </w:rPr>
        <w:t xml:space="preserve">Coronary Heart Disease (CHD), also known as coronary artery disease or ischaemic heart disease, is a long-standing cardiovascular disorder provoked by the narrowing or blockage of coronary arteries due to the accrued of arterial plaques. This reduces oxygen-rich blood supply to the cardiac muscle, possibly resulting in </w:t>
      </w:r>
      <w:r>
        <w:rPr>
          <w:rFonts w:ascii="Arial" w:hAnsi="Arial"/>
        </w:rPr>
        <w:t xml:space="preserve">angina, heart attack, arrhythmias, and heart failure (Cohen and Hasselbring, 2020). </w:t>
      </w:r>
    </w:p>
    <w:p w14:paraId="220C3B7A" w14:textId="77777777" w:rsidR="009C1B6D" w:rsidRDefault="00C2310F">
      <w:pPr>
        <w:jc w:val="both"/>
        <w:rPr>
          <w:rFonts w:ascii="Arial" w:hAnsi="Arial"/>
        </w:rPr>
      </w:pPr>
      <w:r>
        <w:rPr>
          <w:rFonts w:ascii="Arial" w:hAnsi="Arial"/>
        </w:rPr>
        <w:t>Ordinary symptoms include, dizziness, palpitations, chest pain (Angina), shortness of breath, stomach shoulder pain, jaw, back, stomach fatigue, feeling sick and, in extreme cases, cardiopulmonary arrest.</w:t>
      </w:r>
    </w:p>
    <w:p w14:paraId="4A526E2B" w14:textId="77777777" w:rsidR="009C1B6D" w:rsidRDefault="00C2310F">
      <w:pPr>
        <w:jc w:val="both"/>
        <w:rPr>
          <w:rFonts w:ascii="Arial" w:hAnsi="Arial"/>
        </w:rPr>
      </w:pPr>
      <w:r>
        <w:rPr>
          <w:rFonts w:ascii="Arial" w:hAnsi="Arial"/>
        </w:rPr>
        <w:t xml:space="preserve">CHD remains one of the most substantial global public health difficulties. The World Health Organization (WHO) recognises cardiovascular illnesses as the principal cause of death worldwide, accounting for approximately </w:t>
      </w:r>
      <w:r>
        <w:rPr>
          <w:rFonts w:ascii="Arial" w:hAnsi="Arial"/>
        </w:rPr>
        <w:t xml:space="preserve">17.9 million deaths annually, with coronary heart </w:t>
      </w:r>
      <w:proofErr w:type="gramStart"/>
      <w:r>
        <w:rPr>
          <w:rFonts w:ascii="Arial" w:hAnsi="Arial"/>
        </w:rPr>
        <w:t>disease  being</w:t>
      </w:r>
      <w:proofErr w:type="gramEnd"/>
      <w:r>
        <w:rPr>
          <w:rFonts w:ascii="Arial" w:hAnsi="Arial"/>
        </w:rPr>
        <w:t xml:space="preserve"> a major contributor (WHO, 2025). In the United Kingdom, heart and circulatory diseases affect millions of people, creating substantial pressure on health and social care services. The data </w:t>
      </w:r>
      <w:proofErr w:type="gramStart"/>
      <w:r>
        <w:rPr>
          <w:rFonts w:ascii="Arial" w:hAnsi="Arial"/>
        </w:rPr>
        <w:t>shows  7.6</w:t>
      </w:r>
      <w:proofErr w:type="gramEnd"/>
      <w:r>
        <w:rPr>
          <w:rFonts w:ascii="Arial" w:hAnsi="Arial"/>
        </w:rPr>
        <w:t xml:space="preserve"> million people living with coronary heart </w:t>
      </w:r>
      <w:proofErr w:type="gramStart"/>
      <w:r>
        <w:rPr>
          <w:rFonts w:ascii="Arial" w:hAnsi="Arial"/>
        </w:rPr>
        <w:t>disease ,</w:t>
      </w:r>
      <w:proofErr w:type="gramEnd"/>
      <w:r>
        <w:rPr>
          <w:rFonts w:ascii="Arial" w:hAnsi="Arial"/>
        </w:rPr>
        <w:t xml:space="preserve"> it also causes 160.00 deaths each </w:t>
      </w:r>
      <w:proofErr w:type="gramStart"/>
      <w:r>
        <w:rPr>
          <w:rFonts w:ascii="Arial" w:hAnsi="Arial"/>
        </w:rPr>
        <w:t>year ,</w:t>
      </w:r>
      <w:proofErr w:type="gramEnd"/>
      <w:r>
        <w:rPr>
          <w:rFonts w:ascii="Arial" w:hAnsi="Arial"/>
        </w:rPr>
        <w:t xml:space="preserve"> with 460 dying each day. 48.000 people under the age of 75 years in the UK die from heart and circulatory disease each year (British Heart Foundation, </w:t>
      </w:r>
      <w:r>
        <w:rPr>
          <w:rFonts w:ascii="Arial" w:hAnsi="Arial"/>
        </w:rPr>
        <w:t>2024).</w:t>
      </w:r>
    </w:p>
    <w:p w14:paraId="57593FF6" w14:textId="77777777" w:rsidR="009C1B6D" w:rsidRDefault="00C2310F">
      <w:pPr>
        <w:jc w:val="both"/>
        <w:rPr>
          <w:rFonts w:ascii="Arial" w:hAnsi="Arial"/>
        </w:rPr>
      </w:pPr>
      <w:r>
        <w:rPr>
          <w:rFonts w:ascii="Arial" w:hAnsi="Arial"/>
        </w:rPr>
        <w:t xml:space="preserve">There are two most common means of measuring the burden of disease / assessing populations health. These are – Mortality and Morbidity. Mortality measures the rate of death cases in a specific population, while morbidity measures the rate </w:t>
      </w:r>
      <w:proofErr w:type="gramStart"/>
      <w:r>
        <w:rPr>
          <w:rFonts w:ascii="Arial" w:hAnsi="Arial"/>
        </w:rPr>
        <w:t>of  disease</w:t>
      </w:r>
      <w:proofErr w:type="gramEnd"/>
      <w:r>
        <w:rPr>
          <w:rFonts w:ascii="Arial" w:hAnsi="Arial"/>
        </w:rPr>
        <w:t xml:space="preserve"> in a specific population. There is also the co- morbidity which measures the rate of patients with more than one chronic disease like diabetes, cancer epilepsy and many more. (Naidoo and wills, 2009). Effective guidance on coronary heart disease depends </w:t>
      </w:r>
      <w:r>
        <w:rPr>
          <w:rFonts w:ascii="Arial" w:hAnsi="Arial"/>
        </w:rPr>
        <w:t xml:space="preserve">on factual assessments and ongoing monitoring at both individual and population levels. These approaches include cardiovascular risk assessment, diagnostic investigation, clinical monitoring and national disease surveillance systems. Powerful monitoring, prevention, treatment and community support are therefore fundamental to lower mortality and boost the quality of life. </w:t>
      </w:r>
    </w:p>
    <w:p w14:paraId="15F7A021" w14:textId="77777777" w:rsidR="009C1B6D" w:rsidRDefault="00C2310F">
      <w:pPr>
        <w:jc w:val="both"/>
        <w:rPr>
          <w:rFonts w:ascii="Arial" w:hAnsi="Arial"/>
        </w:rPr>
      </w:pPr>
      <w:r>
        <w:rPr>
          <w:rFonts w:ascii="Arial" w:hAnsi="Arial"/>
        </w:rPr>
        <w:t>Essential inhabitation begins with recognising individuals with an increased likelihood of developing coronary heart disease. Healthcare</w:t>
      </w:r>
      <w:r>
        <w:rPr>
          <w:rFonts w:ascii="Arial" w:hAnsi="Arial"/>
        </w:rPr>
        <w:t xml:space="preserve"> specialists examine modifiable and non-modifiable risk causes, including hypertension, raised cholesterol, diabetes </w:t>
      </w:r>
      <w:proofErr w:type="gramStart"/>
      <w:r>
        <w:rPr>
          <w:rFonts w:ascii="Arial" w:hAnsi="Arial"/>
        </w:rPr>
        <w:t>mellitus ,</w:t>
      </w:r>
      <w:proofErr w:type="gramEnd"/>
      <w:r>
        <w:rPr>
          <w:rFonts w:ascii="Arial" w:hAnsi="Arial"/>
        </w:rPr>
        <w:t xml:space="preserve"> smoking, </w:t>
      </w:r>
      <w:proofErr w:type="gramStart"/>
      <w:r>
        <w:rPr>
          <w:rFonts w:ascii="Arial" w:hAnsi="Arial"/>
        </w:rPr>
        <w:t>obesity ,</w:t>
      </w:r>
      <w:proofErr w:type="gramEnd"/>
      <w:r>
        <w:rPr>
          <w:rFonts w:ascii="Arial" w:hAnsi="Arial"/>
        </w:rPr>
        <w:t xml:space="preserve"> physical inactivity, poor diet, increasing age and family history of cardiovascular disease (Marmot and Elliot,2010)</w:t>
      </w:r>
    </w:p>
    <w:p w14:paraId="57C6CAB5" w14:textId="77777777" w:rsidR="009C1B6D" w:rsidRDefault="00C2310F">
      <w:pPr>
        <w:jc w:val="both"/>
      </w:pPr>
      <w:r>
        <w:rPr>
          <w:rFonts w:ascii="Arial" w:hAnsi="Arial"/>
        </w:rPr>
        <w:t xml:space="preserve">Coronary heart disease can be controlled by lifestyle behaviours, exercise more, manage stress can cause the arteries to tighten </w:t>
      </w:r>
      <w:proofErr w:type="spellStart"/>
      <w:proofErr w:type="gramStart"/>
      <w:r>
        <w:rPr>
          <w:rFonts w:ascii="Arial" w:hAnsi="Arial"/>
        </w:rPr>
        <w:t>salt,fats</w:t>
      </w:r>
      <w:proofErr w:type="spellEnd"/>
      <w:proofErr w:type="gramEnd"/>
      <w:r>
        <w:rPr>
          <w:rFonts w:ascii="Arial" w:hAnsi="Arial"/>
        </w:rPr>
        <w:t xml:space="preserve">  and sugar reduction, alcohol reduction, tobacco reduction, medication and maintaining a healthy weight of </w:t>
      </w:r>
      <w:r>
        <w:rPr>
          <w:rFonts w:ascii="Arial" w:hAnsi="Arial"/>
        </w:rPr>
        <w:t xml:space="preserve">BMI of 18.5-24.9kg/Kg2. Daily monitoring your blood pressure and heart rate as advised by your care team and self-monitoring of your weight to catch sudden fluid retention early. Nhs.uk </w:t>
      </w:r>
      <w:hyperlink r:id="rId11" w:history="1">
        <w:r>
          <w:rPr>
            <w:rStyle w:val="Hyperlink"/>
            <w:rFonts w:ascii="Arial" w:hAnsi="Arial"/>
          </w:rPr>
          <w:t>https://www.nhs.uk</w:t>
        </w:r>
      </w:hyperlink>
      <w:r>
        <w:rPr>
          <w:rFonts w:ascii="Arial" w:hAnsi="Arial"/>
        </w:rPr>
        <w:t xml:space="preserve"> </w:t>
      </w:r>
    </w:p>
    <w:p w14:paraId="005B6EDB" w14:textId="77777777" w:rsidR="009C1B6D" w:rsidRDefault="00C2310F">
      <w:pPr>
        <w:jc w:val="both"/>
        <w:rPr>
          <w:rFonts w:ascii="Arial" w:hAnsi="Arial"/>
        </w:rPr>
      </w:pPr>
      <w:r>
        <w:rPr>
          <w:rFonts w:ascii="Arial" w:hAnsi="Arial"/>
        </w:rPr>
        <w:t xml:space="preserve">In UK primary care, risk forecast instruments such as the QRISK3 calculator are widely used to estimate an individual’s probability of developing cardiovascular disease within </w:t>
      </w:r>
      <w:r>
        <w:rPr>
          <w:rFonts w:ascii="Arial" w:hAnsi="Arial"/>
        </w:rPr>
        <w:lastRenderedPageBreak/>
        <w:t xml:space="preserve">ten years. QRISK3 integrates considerations including, ethnicity, deprivation level, age, </w:t>
      </w:r>
      <w:r>
        <w:rPr>
          <w:rFonts w:ascii="Arial" w:hAnsi="Arial"/>
        </w:rPr>
        <w:t>smoking status, sex, blood pressure, cholesterol ratio, body mass index and existing health conditions (Hippisley-Cox et al., 2017). These reviews aid clinical decision-making process by recognising patients who may gain from lifestyle interventions or preventative medication such as statins.</w:t>
      </w:r>
    </w:p>
    <w:p w14:paraId="4EB866A7" w14:textId="77777777" w:rsidR="009C1B6D" w:rsidRDefault="00C2310F">
      <w:pPr>
        <w:jc w:val="both"/>
        <w:rPr>
          <w:rFonts w:ascii="Arial" w:hAnsi="Arial"/>
        </w:rPr>
      </w:pPr>
      <w:r>
        <w:rPr>
          <w:rFonts w:ascii="Arial" w:hAnsi="Arial"/>
        </w:rPr>
        <w:t xml:space="preserve">However, risk assessment tools have constraints.  Although they improve identification of high-risk individuals, they depend on population statistics and cannot anticipate every individual cardiovascular event. Social </w:t>
      </w:r>
      <w:r>
        <w:rPr>
          <w:rFonts w:ascii="Arial" w:hAnsi="Arial"/>
        </w:rPr>
        <w:t xml:space="preserve">determinants of health, including poverty, education and access to healthy environments, also affect coronary heart disease threat and necessitate consideration when planning interventions (Calnan, 1991). Before coronary heart disease is assumed, healthcare professional’s use various diagnostic investigations to confirm disease </w:t>
      </w:r>
      <w:proofErr w:type="gramStart"/>
      <w:r>
        <w:rPr>
          <w:rFonts w:ascii="Arial" w:hAnsi="Arial"/>
        </w:rPr>
        <w:t>presence ,</w:t>
      </w:r>
      <w:proofErr w:type="gramEnd"/>
      <w:r>
        <w:rPr>
          <w:rFonts w:ascii="Arial" w:hAnsi="Arial"/>
        </w:rPr>
        <w:t xml:space="preserve"> determine severity and guide treatment decision.</w:t>
      </w:r>
    </w:p>
    <w:p w14:paraId="1346FD1F" w14:textId="77777777" w:rsidR="009C1B6D" w:rsidRDefault="00C2310F">
      <w:pPr>
        <w:jc w:val="both"/>
        <w:rPr>
          <w:rFonts w:ascii="Arial" w:hAnsi="Arial"/>
        </w:rPr>
      </w:pPr>
      <w:r>
        <w:rPr>
          <w:rFonts w:ascii="Arial" w:hAnsi="Arial"/>
        </w:rPr>
        <w:t xml:space="preserve"> Consequences of coronary heart disease (CHD) in the community are, severe community wide problem by causing premature </w:t>
      </w:r>
      <w:r>
        <w:rPr>
          <w:rFonts w:ascii="Arial" w:hAnsi="Arial"/>
        </w:rPr>
        <w:t xml:space="preserve">deaths in communities, it also increases emergency hospital admissions, strains local health and social care services, creates major economic   workforce productivity and unemployment. it also causes high volume of ambulance callouts and urgent hospital visits, it leaves many survivors in the community with persistent fatigue, increasing the need of family care givers and formal social care, it worsens health gaps in poorer </w:t>
      </w:r>
      <w:proofErr w:type="gramStart"/>
      <w:r>
        <w:rPr>
          <w:rFonts w:ascii="Arial" w:hAnsi="Arial"/>
        </w:rPr>
        <w:t>neighbourhoods,  It</w:t>
      </w:r>
      <w:proofErr w:type="gramEnd"/>
      <w:r>
        <w:rPr>
          <w:rFonts w:ascii="Arial" w:hAnsi="Arial"/>
        </w:rPr>
        <w:t xml:space="preserve"> also creates high direct costs for local health care systems and</w:t>
      </w:r>
      <w:r>
        <w:rPr>
          <w:rFonts w:ascii="Arial" w:hAnsi="Arial"/>
        </w:rPr>
        <w:t xml:space="preserve"> indirect costs through lost household income and early retirement. (NIH) I (.gov) htt://pmc.ncb.nim.nih.gov</w:t>
      </w:r>
    </w:p>
    <w:p w14:paraId="25695811" w14:textId="77777777" w:rsidR="009C1B6D" w:rsidRDefault="00C2310F">
      <w:pPr>
        <w:jc w:val="both"/>
        <w:rPr>
          <w:rFonts w:ascii="Arial" w:hAnsi="Arial"/>
        </w:rPr>
      </w:pPr>
      <w:r>
        <w:rPr>
          <w:rFonts w:ascii="Arial" w:hAnsi="Arial"/>
        </w:rPr>
        <w:t xml:space="preserve">There are different types of support needed in the community for people living with this chronic heart disease. These are ,rehabilitation centres, online and hybrid options,  mobile clinical kiosk for screening cholesterol and   blood pressure, mental health services for counselling and psychological therapies to cope with post event anxiety or depression, peer connections for local and virtual </w:t>
      </w:r>
      <w:r>
        <w:rPr>
          <w:rFonts w:ascii="Arial" w:hAnsi="Arial"/>
        </w:rPr>
        <w:t xml:space="preserve">spaces to share experience and reduce isolation, carer resources to guide and support families members looking after patients in their own homes, guidance on financial entitlement’s, benefits and driving rules, because after stroke or minor heart attack patients health changes, so driving </w:t>
      </w:r>
      <w:proofErr w:type="spellStart"/>
      <w:r>
        <w:rPr>
          <w:rFonts w:ascii="Arial" w:hAnsi="Arial"/>
        </w:rPr>
        <w:t>rrules</w:t>
      </w:r>
      <w:proofErr w:type="spellEnd"/>
      <w:r>
        <w:rPr>
          <w:rFonts w:ascii="Arial" w:hAnsi="Arial"/>
        </w:rPr>
        <w:t xml:space="preserve"> and guidance apply . British Heart Foundation https://www.bhf.org.uk    </w:t>
      </w:r>
    </w:p>
    <w:p w14:paraId="55645ACB" w14:textId="77777777" w:rsidR="009C1B6D" w:rsidRDefault="00C2310F">
      <w:pPr>
        <w:jc w:val="both"/>
        <w:rPr>
          <w:rFonts w:ascii="Arial" w:hAnsi="Arial"/>
        </w:rPr>
      </w:pPr>
      <w:r>
        <w:rPr>
          <w:rFonts w:ascii="Arial" w:hAnsi="Arial"/>
        </w:rPr>
        <w:t xml:space="preserve">An electrocardiogram records the electrical activity of the heart and is vital in identifying abnormalities associated with myocardial </w:t>
      </w:r>
      <w:r>
        <w:rPr>
          <w:rFonts w:ascii="Arial" w:hAnsi="Arial"/>
        </w:rPr>
        <w:t>ischaemia, previous myocardial infarction and cardiac rhythm disturbances. ECG interpretation remains a primary competence in cardiovascular assessment because rapid identification of acute changes can significantly improve patient outcomes (</w:t>
      </w:r>
      <w:proofErr w:type="spellStart"/>
      <w:r>
        <w:rPr>
          <w:rFonts w:ascii="Arial" w:hAnsi="Arial"/>
        </w:rPr>
        <w:t>Ramrakha</w:t>
      </w:r>
      <w:proofErr w:type="spellEnd"/>
      <w:r>
        <w:rPr>
          <w:rFonts w:ascii="Arial" w:hAnsi="Arial"/>
        </w:rPr>
        <w:t xml:space="preserve"> et al., 2025).</w:t>
      </w:r>
    </w:p>
    <w:p w14:paraId="05FBF6B1" w14:textId="77777777" w:rsidR="009C1B6D" w:rsidRDefault="009C1B6D">
      <w:pPr>
        <w:jc w:val="both"/>
        <w:rPr>
          <w:rFonts w:ascii="Arial" w:hAnsi="Arial"/>
          <w:b/>
          <w:bCs/>
        </w:rPr>
      </w:pPr>
    </w:p>
    <w:p w14:paraId="2E3388B8" w14:textId="77777777" w:rsidR="009C1B6D" w:rsidRDefault="00C2310F">
      <w:pPr>
        <w:jc w:val="both"/>
        <w:rPr>
          <w:rFonts w:ascii="Arial" w:hAnsi="Arial"/>
        </w:rPr>
      </w:pPr>
      <w:r>
        <w:rPr>
          <w:rFonts w:ascii="Arial" w:hAnsi="Arial"/>
        </w:rPr>
        <w:t xml:space="preserve">Blood tests provide considerably to coronary heart disease diagnosis and controlling. Cardiac biomarkers such as troponin are measured when myocardial infarction is suspected because elevated levels indicate myocardial injury. Lipid profiles </w:t>
      </w:r>
      <w:r>
        <w:rPr>
          <w:rFonts w:ascii="Arial" w:hAnsi="Arial"/>
        </w:rPr>
        <w:t>assess cholesterol levels, allowing clinicians to identify patients who may benefit from lipid-lowering therapy. Monitoring inflammatory markers and metabolic indicators, such as glucose levels, can also help identify additional cardiovascular risk factors (Warrell et al., 2016).</w:t>
      </w:r>
    </w:p>
    <w:p w14:paraId="0A10B8F7" w14:textId="77777777" w:rsidR="009C1B6D" w:rsidRDefault="00C2310F">
      <w:pPr>
        <w:jc w:val="both"/>
        <w:rPr>
          <w:rFonts w:ascii="Arial" w:hAnsi="Arial"/>
        </w:rPr>
      </w:pPr>
      <w:r>
        <w:rPr>
          <w:rFonts w:ascii="Arial" w:hAnsi="Arial"/>
        </w:rPr>
        <w:lastRenderedPageBreak/>
        <w:t xml:space="preserve">Echocardiography employs ultrasound technology to evaluate cardiac structure and function. It provides information regarding ventricular function, valve abnormalities and complications such as heart failure. This investigation is </w:t>
      </w:r>
      <w:r>
        <w:rPr>
          <w:rFonts w:ascii="Arial" w:hAnsi="Arial"/>
        </w:rPr>
        <w:t>particularly important for evaluating the consequences of reduced blood supply to cardiac tissue (</w:t>
      </w:r>
      <w:proofErr w:type="spellStart"/>
      <w:r>
        <w:rPr>
          <w:rFonts w:ascii="Arial" w:hAnsi="Arial"/>
        </w:rPr>
        <w:t>Ramrakha</w:t>
      </w:r>
      <w:proofErr w:type="spellEnd"/>
      <w:r>
        <w:rPr>
          <w:rFonts w:ascii="Arial" w:hAnsi="Arial"/>
        </w:rPr>
        <w:t xml:space="preserve"> et al., 2025).</w:t>
      </w:r>
    </w:p>
    <w:p w14:paraId="3E947F19" w14:textId="77777777" w:rsidR="009C1B6D" w:rsidRDefault="00C2310F">
      <w:pPr>
        <w:jc w:val="both"/>
        <w:rPr>
          <w:rFonts w:ascii="Arial" w:hAnsi="Arial"/>
        </w:rPr>
      </w:pPr>
      <w:r>
        <w:rPr>
          <w:rFonts w:ascii="Arial" w:hAnsi="Arial"/>
        </w:rPr>
        <w:t xml:space="preserve">Coronary angiography remains a key investigation for assessing coronary artery obstruction. The procedure involves injecting contrast dye into coronary arteries, allowing clinicians to visualise narrowing or blockages. Findings from angiography assist cardiologists in deciding whether patients require interventions such as percutaneous coronary intervention or coronary artery bypass </w:t>
      </w:r>
      <w:r>
        <w:rPr>
          <w:rFonts w:ascii="Arial" w:hAnsi="Arial"/>
        </w:rPr>
        <w:t>grafting (Cohen and Hasselbring, 2020).</w:t>
      </w:r>
    </w:p>
    <w:p w14:paraId="61DCB1BB" w14:textId="77777777" w:rsidR="009C1B6D" w:rsidRDefault="00C2310F">
      <w:pPr>
        <w:jc w:val="both"/>
        <w:rPr>
          <w:rFonts w:ascii="Arial" w:hAnsi="Arial"/>
        </w:rPr>
      </w:pPr>
      <w:r>
        <w:rPr>
          <w:rFonts w:ascii="Arial" w:hAnsi="Arial"/>
        </w:rPr>
        <w:t>Although angiography offers detailed anatomical knowledge, it is a dangerous procedure with correlated ventures. Therefore, clinicians gradually use non-invasive imaging approaches, including CT coronary angiography, where appropriate.</w:t>
      </w:r>
    </w:p>
    <w:p w14:paraId="6A9B2FFE" w14:textId="77777777" w:rsidR="009C1B6D" w:rsidRDefault="00C2310F">
      <w:pPr>
        <w:jc w:val="both"/>
        <w:rPr>
          <w:rFonts w:ascii="Arial" w:hAnsi="Arial"/>
        </w:rPr>
      </w:pPr>
      <w:r>
        <w:rPr>
          <w:rFonts w:ascii="Arial" w:hAnsi="Arial"/>
        </w:rPr>
        <w:t xml:space="preserve">Observing coronary heart disease at population level allows governments and healthcare organisations to distinguish directions, allocate resources and evaluate prevention policies. In the UK, organisations including NHS England, the </w:t>
      </w:r>
      <w:r>
        <w:rPr>
          <w:rFonts w:ascii="Arial" w:hAnsi="Arial"/>
        </w:rPr>
        <w:t>Office for National Statistics and the British Heart Foundation gather data pertaining to coronary heart disease prevalence, mortality, hospital admissions and healthcare inequalities.</w:t>
      </w:r>
    </w:p>
    <w:p w14:paraId="5E8D140A" w14:textId="77777777" w:rsidR="009C1B6D" w:rsidRDefault="00C2310F">
      <w:pPr>
        <w:jc w:val="both"/>
        <w:rPr>
          <w:rFonts w:ascii="Arial" w:hAnsi="Arial"/>
        </w:rPr>
      </w:pPr>
      <w:r>
        <w:rPr>
          <w:rFonts w:ascii="Arial" w:hAnsi="Arial"/>
        </w:rPr>
        <w:t xml:space="preserve">Epidemiological research demonstrates that CHD patterns are strongly influenced by social and economic factors. Marmot and Elliott (2010) highlight that cardiovascular disease is not distributed equally across populations, with higher rates often observed among individuals experiencing socioeconomic deprivation. This </w:t>
      </w:r>
      <w:r>
        <w:rPr>
          <w:rFonts w:ascii="Arial" w:hAnsi="Arial"/>
        </w:rPr>
        <w:t>demonstrates that CHD prevention requires not only medical interventions but also public health approaches addressing wider determinants of health.</w:t>
      </w:r>
    </w:p>
    <w:p w14:paraId="6546ABA2" w14:textId="77777777" w:rsidR="009C1B6D" w:rsidRDefault="00C2310F">
      <w:pPr>
        <w:jc w:val="both"/>
        <w:rPr>
          <w:rFonts w:ascii="Arial" w:hAnsi="Arial"/>
        </w:rPr>
      </w:pPr>
      <w:r>
        <w:rPr>
          <w:rFonts w:ascii="Arial" w:hAnsi="Arial"/>
        </w:rPr>
        <w:t xml:space="preserve">Academic literature </w:t>
      </w:r>
      <w:proofErr w:type="spellStart"/>
      <w:r>
        <w:rPr>
          <w:rFonts w:ascii="Arial" w:hAnsi="Arial"/>
        </w:rPr>
        <w:t>indezexd</w:t>
      </w:r>
      <w:proofErr w:type="spellEnd"/>
      <w:r>
        <w:rPr>
          <w:rFonts w:ascii="Arial" w:hAnsi="Arial"/>
        </w:rPr>
        <w:t xml:space="preserve"> on coronary artery disease -</w:t>
      </w:r>
      <w:proofErr w:type="spellStart"/>
      <w:r>
        <w:rPr>
          <w:rFonts w:ascii="Arial" w:hAnsi="Arial"/>
        </w:rPr>
        <w:t>StatPearls-Ncbi</w:t>
      </w:r>
      <w:proofErr w:type="spellEnd"/>
      <w:r>
        <w:rPr>
          <w:rFonts w:ascii="Arial" w:hAnsi="Arial"/>
        </w:rPr>
        <w:t xml:space="preserve"> bookshelf highlights that manging risk factors and broad population – level prevention strategies are more impactful in lowering mortality than advanced medical treatments alone.  National strategies such as the NHS Long Term Plan highlight earlier finding of cardiovascular danger, </w:t>
      </w:r>
      <w:r>
        <w:rPr>
          <w:rFonts w:ascii="Arial" w:hAnsi="Arial"/>
        </w:rPr>
        <w:t>increased access to preventative services and enhanced diagnostic pathways. These procedures aspire to mitigate preventable cardiovascular deaths through unified healthcare methods.</w:t>
      </w:r>
    </w:p>
    <w:p w14:paraId="6333442F" w14:textId="77777777" w:rsidR="009C1B6D" w:rsidRDefault="009C1B6D">
      <w:pPr>
        <w:jc w:val="both"/>
        <w:rPr>
          <w:rFonts w:ascii="Arial" w:hAnsi="Arial"/>
        </w:rPr>
      </w:pPr>
    </w:p>
    <w:p w14:paraId="6E397B40" w14:textId="77777777" w:rsidR="00062B6B" w:rsidRDefault="00062B6B">
      <w:pPr>
        <w:jc w:val="both"/>
        <w:rPr>
          <w:rFonts w:ascii="Arial" w:hAnsi="Arial"/>
          <w:b/>
          <w:bCs/>
        </w:rPr>
      </w:pPr>
    </w:p>
    <w:p w14:paraId="0CA7E226" w14:textId="77777777" w:rsidR="00062B6B" w:rsidRDefault="00062B6B">
      <w:pPr>
        <w:jc w:val="both"/>
        <w:rPr>
          <w:rFonts w:ascii="Arial" w:hAnsi="Arial"/>
          <w:b/>
          <w:bCs/>
        </w:rPr>
      </w:pPr>
    </w:p>
    <w:p w14:paraId="2DA5055A" w14:textId="77777777" w:rsidR="00062B6B" w:rsidRDefault="00062B6B">
      <w:pPr>
        <w:jc w:val="both"/>
        <w:rPr>
          <w:rFonts w:ascii="Arial" w:hAnsi="Arial"/>
          <w:b/>
          <w:bCs/>
        </w:rPr>
      </w:pPr>
    </w:p>
    <w:p w14:paraId="41B8AFF4" w14:textId="77777777" w:rsidR="00062B6B" w:rsidRDefault="00062B6B">
      <w:pPr>
        <w:jc w:val="both"/>
        <w:rPr>
          <w:rFonts w:ascii="Arial" w:hAnsi="Arial"/>
          <w:b/>
          <w:bCs/>
        </w:rPr>
      </w:pPr>
    </w:p>
    <w:p w14:paraId="536B273B" w14:textId="77777777" w:rsidR="00062B6B" w:rsidRDefault="00062B6B">
      <w:pPr>
        <w:jc w:val="both"/>
        <w:rPr>
          <w:rFonts w:ascii="Arial" w:hAnsi="Arial"/>
          <w:b/>
          <w:bCs/>
        </w:rPr>
      </w:pPr>
    </w:p>
    <w:p w14:paraId="5D08E829" w14:textId="77777777" w:rsidR="00062B6B" w:rsidRDefault="00062B6B">
      <w:pPr>
        <w:jc w:val="both"/>
        <w:rPr>
          <w:rFonts w:ascii="Arial" w:hAnsi="Arial"/>
          <w:b/>
          <w:bCs/>
        </w:rPr>
      </w:pPr>
    </w:p>
    <w:p w14:paraId="7EDA947C" w14:textId="77777777" w:rsidR="00062B6B" w:rsidRDefault="00062B6B">
      <w:pPr>
        <w:jc w:val="both"/>
        <w:rPr>
          <w:rFonts w:ascii="Arial" w:hAnsi="Arial"/>
          <w:b/>
          <w:bCs/>
        </w:rPr>
      </w:pPr>
    </w:p>
    <w:p w14:paraId="40CBB337" w14:textId="39BF66E1" w:rsidR="009C1B6D" w:rsidRDefault="00C2310F">
      <w:pPr>
        <w:jc w:val="both"/>
        <w:rPr>
          <w:rFonts w:ascii="Arial" w:hAnsi="Arial"/>
          <w:b/>
          <w:bCs/>
        </w:rPr>
      </w:pPr>
      <w:r>
        <w:rPr>
          <w:rFonts w:ascii="Arial" w:hAnsi="Arial"/>
          <w:b/>
          <w:bCs/>
        </w:rPr>
        <w:lastRenderedPageBreak/>
        <w:t xml:space="preserve">References </w:t>
      </w:r>
    </w:p>
    <w:p w14:paraId="61A70D49" w14:textId="77777777" w:rsidR="009C1B6D" w:rsidRDefault="00C2310F">
      <w:pPr>
        <w:jc w:val="both"/>
      </w:pPr>
      <w:r>
        <w:rPr>
          <w:rFonts w:ascii="Arial" w:hAnsi="Arial"/>
        </w:rPr>
        <w:t xml:space="preserve">British Heart Foundation (2024) </w:t>
      </w:r>
      <w:r>
        <w:rPr>
          <w:rFonts w:ascii="Arial" w:hAnsi="Arial"/>
          <w:i/>
          <w:iCs/>
        </w:rPr>
        <w:t>UK Factsheet: Heart and Circulatory Diseases</w:t>
      </w:r>
      <w:r>
        <w:rPr>
          <w:rFonts w:ascii="Arial" w:hAnsi="Arial"/>
        </w:rPr>
        <w:t>. London: British Heart Foundation.</w:t>
      </w:r>
    </w:p>
    <w:p w14:paraId="60B58E39" w14:textId="77777777" w:rsidR="009C1B6D" w:rsidRDefault="00C2310F">
      <w:pPr>
        <w:jc w:val="both"/>
      </w:pPr>
      <w:r>
        <w:rPr>
          <w:rFonts w:ascii="Arial" w:hAnsi="Arial"/>
        </w:rPr>
        <w:t xml:space="preserve">Calnan, M. (1991) </w:t>
      </w:r>
      <w:r>
        <w:rPr>
          <w:rFonts w:ascii="Arial" w:hAnsi="Arial"/>
          <w:i/>
          <w:iCs/>
        </w:rPr>
        <w:t>Preventing Coronary Heart Disease: Prospects, Policies and Politics</w:t>
      </w:r>
      <w:r>
        <w:rPr>
          <w:rFonts w:ascii="Arial" w:hAnsi="Arial"/>
        </w:rPr>
        <w:t>. Buckingham: Open University Press.</w:t>
      </w:r>
    </w:p>
    <w:p w14:paraId="301DFF58" w14:textId="77777777" w:rsidR="009C1B6D" w:rsidRDefault="00C2310F">
      <w:pPr>
        <w:jc w:val="both"/>
      </w:pPr>
      <w:r>
        <w:rPr>
          <w:rFonts w:ascii="Arial" w:hAnsi="Arial"/>
        </w:rPr>
        <w:t xml:space="preserve">Cohen, B.M. and Hasselbring, B. (2020) </w:t>
      </w:r>
      <w:proofErr w:type="gramStart"/>
      <w:r>
        <w:rPr>
          <w:rFonts w:ascii="Arial" w:hAnsi="Arial"/>
          <w:i/>
          <w:iCs/>
        </w:rPr>
        <w:t>Coronary Heart Disease</w:t>
      </w:r>
      <w:proofErr w:type="gramEnd"/>
      <w:r>
        <w:rPr>
          <w:rFonts w:ascii="Arial" w:hAnsi="Arial"/>
          <w:i/>
          <w:iCs/>
        </w:rPr>
        <w:t>: A Guide to Diagnosis</w:t>
      </w:r>
      <w:r>
        <w:rPr>
          <w:rFonts w:ascii="Arial" w:hAnsi="Arial"/>
          <w:i/>
          <w:iCs/>
        </w:rPr>
        <w:t xml:space="preserve"> and Treatment</w:t>
      </w:r>
      <w:r>
        <w:rPr>
          <w:rFonts w:ascii="Arial" w:hAnsi="Arial"/>
        </w:rPr>
        <w:t xml:space="preserve">. 2nd </w:t>
      </w:r>
      <w:proofErr w:type="spellStart"/>
      <w:r>
        <w:rPr>
          <w:rFonts w:ascii="Arial" w:hAnsi="Arial"/>
        </w:rPr>
        <w:t>edn</w:t>
      </w:r>
      <w:proofErr w:type="spellEnd"/>
      <w:r>
        <w:rPr>
          <w:rFonts w:ascii="Arial" w:hAnsi="Arial"/>
        </w:rPr>
        <w:t>. New York: Springer.</w:t>
      </w:r>
    </w:p>
    <w:p w14:paraId="09D99642" w14:textId="77777777" w:rsidR="009C1B6D" w:rsidRDefault="00C2310F">
      <w:pPr>
        <w:jc w:val="both"/>
      </w:pPr>
      <w:r>
        <w:rPr>
          <w:rFonts w:ascii="Arial" w:hAnsi="Arial"/>
        </w:rPr>
        <w:t xml:space="preserve">Hippisley-Cox, J., Coupland, C. and Brindle, P. (2017) ‘Development and validation of QRISK3 risk prediction algorithm’, </w:t>
      </w:r>
      <w:r>
        <w:rPr>
          <w:rFonts w:ascii="Arial" w:hAnsi="Arial"/>
          <w:i/>
          <w:iCs/>
        </w:rPr>
        <w:t>British Medical Journal</w:t>
      </w:r>
      <w:r>
        <w:rPr>
          <w:rFonts w:ascii="Arial" w:hAnsi="Arial"/>
        </w:rPr>
        <w:t>, 357, pp. 1–21.</w:t>
      </w:r>
    </w:p>
    <w:p w14:paraId="7B6619CB" w14:textId="77777777" w:rsidR="009C1B6D" w:rsidRDefault="00C2310F">
      <w:pPr>
        <w:jc w:val="both"/>
      </w:pPr>
      <w:r>
        <w:rPr>
          <w:rFonts w:ascii="Arial" w:hAnsi="Arial"/>
        </w:rPr>
        <w:t xml:space="preserve">Marmot, M. and Elliott, P. (eds.) (2010) </w:t>
      </w:r>
      <w:r>
        <w:rPr>
          <w:rFonts w:ascii="Arial" w:hAnsi="Arial"/>
          <w:i/>
          <w:iCs/>
        </w:rPr>
        <w:t>Coronary Heart Disease Epidemiology: From Aetiology to Public Health</w:t>
      </w:r>
      <w:r>
        <w:rPr>
          <w:rFonts w:ascii="Arial" w:hAnsi="Arial"/>
        </w:rPr>
        <w:t xml:space="preserve">. 2nd </w:t>
      </w:r>
      <w:proofErr w:type="spellStart"/>
      <w:r>
        <w:rPr>
          <w:rFonts w:ascii="Arial" w:hAnsi="Arial"/>
        </w:rPr>
        <w:t>endition</w:t>
      </w:r>
      <w:proofErr w:type="spellEnd"/>
      <w:r>
        <w:rPr>
          <w:rFonts w:ascii="Arial" w:hAnsi="Arial"/>
        </w:rPr>
        <w:t xml:space="preserve"> Oxford: Oxford University Press.</w:t>
      </w:r>
    </w:p>
    <w:p w14:paraId="16F88D50" w14:textId="77777777" w:rsidR="009C1B6D" w:rsidRDefault="00C2310F">
      <w:pPr>
        <w:jc w:val="both"/>
      </w:pPr>
      <w:proofErr w:type="spellStart"/>
      <w:r>
        <w:rPr>
          <w:rFonts w:ascii="Arial" w:hAnsi="Arial"/>
        </w:rPr>
        <w:t>Ramrakha</w:t>
      </w:r>
      <w:proofErr w:type="spellEnd"/>
      <w:r>
        <w:rPr>
          <w:rFonts w:ascii="Arial" w:hAnsi="Arial"/>
        </w:rPr>
        <w:t xml:space="preserve">, P., Hill, J., Basu, J. and Camm, C.F. (eds.) (2025) </w:t>
      </w:r>
      <w:r>
        <w:rPr>
          <w:rFonts w:ascii="Arial" w:hAnsi="Arial"/>
          <w:i/>
          <w:iCs/>
        </w:rPr>
        <w:t>Oxford Handbook of Cardiology</w:t>
      </w:r>
      <w:r>
        <w:rPr>
          <w:rFonts w:ascii="Arial" w:hAnsi="Arial"/>
        </w:rPr>
        <w:t xml:space="preserve">. 3rd </w:t>
      </w:r>
      <w:proofErr w:type="spellStart"/>
      <w:r>
        <w:rPr>
          <w:rFonts w:ascii="Arial" w:hAnsi="Arial"/>
        </w:rPr>
        <w:t>edn</w:t>
      </w:r>
      <w:proofErr w:type="spellEnd"/>
      <w:r>
        <w:rPr>
          <w:rFonts w:ascii="Arial" w:hAnsi="Arial"/>
        </w:rPr>
        <w:t>. Oxford: Oxford University Press.</w:t>
      </w:r>
    </w:p>
    <w:p w14:paraId="5852069C" w14:textId="77777777" w:rsidR="009C1B6D" w:rsidRDefault="00C2310F">
      <w:pPr>
        <w:jc w:val="both"/>
      </w:pPr>
      <w:r>
        <w:rPr>
          <w:rFonts w:ascii="Arial" w:hAnsi="Arial"/>
        </w:rPr>
        <w:t xml:space="preserve">Warrell, D., </w:t>
      </w:r>
      <w:r>
        <w:rPr>
          <w:rFonts w:ascii="Arial" w:hAnsi="Arial"/>
        </w:rPr>
        <w:t xml:space="preserve">Cox, T.M., Firth, J.D. and Dwight, J. (2016) </w:t>
      </w:r>
      <w:r>
        <w:rPr>
          <w:rFonts w:ascii="Arial" w:hAnsi="Arial"/>
          <w:i/>
          <w:iCs/>
        </w:rPr>
        <w:t>Oxford Textbook of Medicine: Cardiovascular Disorders</w:t>
      </w:r>
      <w:r>
        <w:rPr>
          <w:rFonts w:ascii="Arial" w:hAnsi="Arial"/>
        </w:rPr>
        <w:t>. Oxford: Oxford University Press.</w:t>
      </w:r>
    </w:p>
    <w:p w14:paraId="5DD472A0" w14:textId="77777777" w:rsidR="009C1B6D" w:rsidRDefault="00C2310F">
      <w:pPr>
        <w:jc w:val="both"/>
      </w:pPr>
      <w:r>
        <w:rPr>
          <w:rFonts w:ascii="Arial" w:hAnsi="Arial"/>
        </w:rPr>
        <w:t xml:space="preserve">World Health Organization (2025) </w:t>
      </w:r>
      <w:proofErr w:type="gramStart"/>
      <w:r>
        <w:rPr>
          <w:rFonts w:ascii="Arial" w:hAnsi="Arial"/>
          <w:i/>
          <w:iCs/>
        </w:rPr>
        <w:t>Cardiovascular Diseases</w:t>
      </w:r>
      <w:proofErr w:type="gramEnd"/>
      <w:r>
        <w:rPr>
          <w:rFonts w:ascii="Arial" w:hAnsi="Arial"/>
        </w:rPr>
        <w:t xml:space="preserve">. Geneva: WHO. </w:t>
      </w:r>
    </w:p>
    <w:p w14:paraId="3A3E49CE" w14:textId="77777777" w:rsidR="009C1B6D" w:rsidRDefault="009C1B6D">
      <w:pPr>
        <w:jc w:val="both"/>
        <w:rPr>
          <w:rFonts w:ascii="Arial" w:hAnsi="Arial"/>
        </w:rPr>
      </w:pPr>
    </w:p>
    <w:p w14:paraId="02A229F9" w14:textId="77777777" w:rsidR="009C1B6D" w:rsidRDefault="009C1B6D">
      <w:pPr>
        <w:rPr>
          <w:rFonts w:ascii="Arial" w:hAnsi="Arial"/>
        </w:rPr>
      </w:pPr>
    </w:p>
    <w:p w14:paraId="2230E989" w14:textId="77777777" w:rsidR="009C1B6D" w:rsidRDefault="009C1B6D">
      <w:pPr>
        <w:spacing w:line="360" w:lineRule="auto"/>
        <w:rPr>
          <w:rFonts w:ascii="Arial" w:hAnsi="Arial"/>
          <w:sz w:val="22"/>
        </w:rPr>
      </w:pPr>
    </w:p>
    <w:p w14:paraId="497BE977" w14:textId="77777777" w:rsidR="009C1B6D" w:rsidRDefault="009C1B6D">
      <w:pPr>
        <w:spacing w:line="360" w:lineRule="auto"/>
        <w:rPr>
          <w:rFonts w:ascii="Arial" w:hAnsi="Arial"/>
          <w:sz w:val="22"/>
        </w:rPr>
      </w:pPr>
    </w:p>
    <w:p w14:paraId="31B849A8" w14:textId="77777777" w:rsidR="009C1B6D" w:rsidRDefault="009C1B6D">
      <w:pPr>
        <w:tabs>
          <w:tab w:val="left" w:pos="6540"/>
        </w:tabs>
        <w:spacing w:line="360" w:lineRule="auto"/>
        <w:rPr>
          <w:rFonts w:ascii="Arial" w:hAnsi="Arial"/>
          <w:sz w:val="22"/>
        </w:rPr>
      </w:pPr>
    </w:p>
    <w:sectPr w:rsidR="009C1B6D">
      <w:footerReference w:type="default" r:id="rId1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F8FFB" w14:textId="77777777" w:rsidR="00C2310F" w:rsidRDefault="00C2310F">
      <w:pPr>
        <w:spacing w:after="0" w:line="240" w:lineRule="auto"/>
      </w:pPr>
      <w:r>
        <w:separator/>
      </w:r>
    </w:p>
  </w:endnote>
  <w:endnote w:type="continuationSeparator" w:id="0">
    <w:p w14:paraId="76870843" w14:textId="77777777" w:rsidR="00C2310F" w:rsidRDefault="00C23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D847" w14:textId="77777777" w:rsidR="00C2310F" w:rsidRDefault="00C2310F">
    <w:pPr>
      <w:pStyle w:val="Footer"/>
      <w:jc w:val="center"/>
    </w:pPr>
    <w:r>
      <w:rPr>
        <w:rFonts w:ascii="Arial" w:hAnsi="Arial"/>
        <w:sz w:val="22"/>
      </w:rPr>
      <w:fldChar w:fldCharType="begin"/>
    </w:r>
    <w:r>
      <w:rPr>
        <w:rFonts w:ascii="Arial" w:hAnsi="Arial"/>
        <w:sz w:val="22"/>
      </w:rPr>
      <w:instrText xml:space="preserve"> PAGE </w:instrText>
    </w:r>
    <w:r>
      <w:rPr>
        <w:rFonts w:ascii="Arial" w:hAnsi="Arial"/>
        <w:sz w:val="22"/>
      </w:rPr>
      <w:fldChar w:fldCharType="separate"/>
    </w:r>
    <w:r>
      <w:rPr>
        <w:rFonts w:ascii="Arial" w:hAnsi="Arial"/>
        <w:sz w:val="22"/>
      </w:rPr>
      <w:t>2</w:t>
    </w:r>
    <w:r>
      <w:rPr>
        <w:rFonts w:ascii="Arial" w:hAnsi="Arial"/>
        <w:sz w:val="22"/>
      </w:rPr>
      <w:fldChar w:fldCharType="end"/>
    </w:r>
  </w:p>
  <w:p w14:paraId="71E2F807" w14:textId="77777777" w:rsidR="00C2310F" w:rsidRDefault="00C23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77683" w14:textId="77777777" w:rsidR="00C2310F" w:rsidRDefault="00C2310F">
      <w:pPr>
        <w:spacing w:after="0" w:line="240" w:lineRule="auto"/>
      </w:pPr>
      <w:r>
        <w:rPr>
          <w:color w:val="000000"/>
        </w:rPr>
        <w:separator/>
      </w:r>
    </w:p>
  </w:footnote>
  <w:footnote w:type="continuationSeparator" w:id="0">
    <w:p w14:paraId="547A33B4" w14:textId="77777777" w:rsidR="00C2310F" w:rsidRDefault="00C231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C1B6D"/>
    <w:rsid w:val="00062B6B"/>
    <w:rsid w:val="005574D5"/>
    <w:rsid w:val="009C1B6D"/>
    <w:rsid w:val="009C5244"/>
    <w:rsid w:val="00B873B9"/>
    <w:rsid w:val="00C23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AC58B"/>
  <w15:docId w15:val="{0C0C5A6E-E389-43F8-9A6E-2F0EA7E71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Arial"/>
        <w:sz w:val="24"/>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line="360" w:lineRule="auto"/>
      <w:outlineLvl w:val="0"/>
    </w:pPr>
    <w:rPr>
      <w:rFonts w:ascii="Arial" w:eastAsia="DengXian Light" w:hAnsi="Arial"/>
      <w:b/>
      <w:sz w:val="32"/>
    </w:rPr>
  </w:style>
  <w:style w:type="paragraph" w:styleId="Heading2">
    <w:name w:val="heading 2"/>
    <w:basedOn w:val="Normal"/>
    <w:next w:val="Normal"/>
    <w:uiPriority w:val="9"/>
    <w:semiHidden/>
    <w:unhideWhenUsed/>
    <w:qFormat/>
    <w:pPr>
      <w:keepNext/>
      <w:keepLines/>
      <w:spacing w:before="40" w:after="0"/>
      <w:outlineLvl w:val="1"/>
    </w:pPr>
    <w:rPr>
      <w:rFonts w:ascii="Arial" w:eastAsia="DengXian Light" w:hAnsi="Arial" w:cs="Times New Roman"/>
      <w:b/>
      <w:i/>
      <w:color w:val="2F5496"/>
      <w:sz w:val="26"/>
      <w:szCs w:val="26"/>
    </w:rPr>
  </w:style>
  <w:style w:type="paragraph" w:styleId="Heading3">
    <w:name w:val="heading 3"/>
    <w:basedOn w:val="Normal"/>
    <w:uiPriority w:val="9"/>
    <w:semiHidden/>
    <w:unhideWhenUsed/>
    <w:qFormat/>
    <w:pPr>
      <w:spacing w:before="100" w:after="100"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rial" w:eastAsia="DengXian Light" w:hAnsi="Arial"/>
      <w:b/>
      <w:sz w:val="32"/>
    </w:rPr>
  </w:style>
  <w:style w:type="character" w:customStyle="1" w:styleId="Heading2Char">
    <w:name w:val="Heading 2 Char"/>
    <w:basedOn w:val="DefaultParagraphFont"/>
    <w:rPr>
      <w:rFonts w:ascii="Arial" w:eastAsia="DengXian Light" w:hAnsi="Arial" w:cs="Times New Roman"/>
      <w:b/>
      <w:i/>
      <w:color w:val="2F5496"/>
      <w:sz w:val="26"/>
      <w:szCs w:val="26"/>
    </w:rPr>
  </w:style>
  <w:style w:type="character" w:customStyle="1" w:styleId="Heading3Char">
    <w:name w:val="Heading 3 Char"/>
    <w:basedOn w:val="DefaultParagraphFont"/>
    <w:rPr>
      <w:rFonts w:ascii="Arial" w:eastAsia="Times New Roman" w:hAnsi="Arial" w:cs="Times New Roman"/>
      <w:b/>
      <w:bCs/>
      <w:szCs w:val="27"/>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unhideWhenUsed/>
    <w:qFormat/>
    <w:rsid w:val="009C5244"/>
    <w:pPr>
      <w:suppressAutoHyphens w:val="0"/>
      <w:autoSpaceDN/>
      <w:spacing w:line="259" w:lineRule="auto"/>
      <w:outlineLvl w:val="9"/>
    </w:pPr>
    <w:rPr>
      <w:rFonts w:asciiTheme="majorHAnsi" w:eastAsiaTheme="majorEastAsia" w:hAnsiTheme="majorHAnsi" w:cstheme="majorBidi"/>
      <w:b w:val="0"/>
      <w:color w:val="0F4761" w:themeColor="accent1" w:themeShade="BF"/>
      <w:szCs w:val="32"/>
      <w:lang w:eastAsia="en-GB"/>
    </w:rPr>
  </w:style>
  <w:style w:type="paragraph" w:styleId="TOC1">
    <w:name w:val="toc 1"/>
    <w:basedOn w:val="Normal"/>
    <w:next w:val="Normal"/>
    <w:autoRedefine/>
    <w:uiPriority w:val="39"/>
    <w:unhideWhenUsed/>
    <w:rsid w:val="009C524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5" ma:contentTypeDescription="Create a new document." ma:contentTypeScope="" ma:versionID="341a836f6c4bbcb710241caf386430df">
  <xsd:schema xmlns:xsd="http://www.w3.org/2001/XMLSchema" xmlns:xs="http://www.w3.org/2001/XMLSchema" xmlns:p="http://schemas.microsoft.com/office/2006/metadata/properties" xmlns:ns3="6f5c9bb2-abcb-45ef-a70c-8db46bf99631" targetNamespace="http://schemas.microsoft.com/office/2006/metadata/properties" ma:root="true" ma:fieldsID="cc022fac12feaca7922ec35c22b874c1"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f5c9bb2-abcb-45ef-a70c-8db46bf99631" xsi:nil="true"/>
  </documentManagement>
</p:properties>
</file>

<file path=customXml/itemProps1.xml><?xml version="1.0" encoding="utf-8"?>
<ds:datastoreItem xmlns:ds="http://schemas.openxmlformats.org/officeDocument/2006/customXml" ds:itemID="{472E14B7-A3EC-4BA4-AC6E-092A136BB13E}">
  <ds:schemaRefs>
    <ds:schemaRef ds:uri="http://schemas.openxmlformats.org/officeDocument/2006/bibliography"/>
  </ds:schemaRefs>
</ds:datastoreItem>
</file>

<file path=customXml/itemProps2.xml><?xml version="1.0" encoding="utf-8"?>
<ds:datastoreItem xmlns:ds="http://schemas.openxmlformats.org/officeDocument/2006/customXml" ds:itemID="{DB1A31A8-E8F8-4114-A37D-88465BDD3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A07D4C-8170-4888-A647-EAF14A6FC06E}">
  <ds:schemaRefs>
    <ds:schemaRef ds:uri="http://schemas.microsoft.com/sharepoint/v3/contenttype/forms"/>
  </ds:schemaRefs>
</ds:datastoreItem>
</file>

<file path=customXml/itemProps4.xml><?xml version="1.0" encoding="utf-8"?>
<ds:datastoreItem xmlns:ds="http://schemas.openxmlformats.org/officeDocument/2006/customXml" ds:itemID="{8EDF43F4-2AAC-4A46-AD8C-7B04F1435C03}">
  <ds:schemaRefs>
    <ds:schemaRef ds:uri="http://schemas.microsoft.com/office/2006/metadata/properties"/>
    <ds:schemaRef ds:uri="http://schemas.microsoft.com/office/infopath/2007/PartnerControls"/>
    <ds:schemaRef ds:uri="6f5c9bb2-abcb-45ef-a70c-8db46bf9963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1552</Words>
  <Characters>8849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Saumu coscar</dc:creator>
  <dc:description/>
  <cp:lastModifiedBy>Saumu Coscar Hoadley (2525132)</cp:lastModifiedBy>
  <cp:revision>2</cp:revision>
  <dcterms:created xsi:type="dcterms:W3CDTF">2026-08-11T13:02:00Z</dcterms:created>
  <dcterms:modified xsi:type="dcterms:W3CDTF">2026-08-11T13:02:00Z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0x01010023E21010F4412842A7801E7AF9F0F67E</vt:lpwstr>
  </property>
</Properties>
</file>