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E21CA1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D45E6">
              <w:rPr>
                <w:rFonts w:ascii="Times New Roman" w:hAnsi="Times New Roman" w:cs="Times New Roman"/>
                <w:b/>
                <w:color w:val="auto"/>
                <w:sz w:val="48"/>
              </w:rPr>
              <w:t>Rhiana Povey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C3BB6A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D45E6">
              <w:rPr>
                <w:rFonts w:ascii="Times New Roman" w:hAnsi="Times New Roman" w:cs="Times New Roman"/>
                <w:b/>
                <w:color w:val="auto"/>
                <w:sz w:val="48"/>
              </w:rPr>
              <w:t xml:space="preserve"> 2332580@student.uwtsd.ac.uk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693095F" w14:textId="77777777" w:rsidR="001D45E6"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D45E6">
              <w:rPr>
                <w:rFonts w:ascii="Times New Roman" w:hAnsi="Times New Roman" w:cs="Times New Roman"/>
                <w:b/>
                <w:color w:val="auto"/>
                <w:sz w:val="48"/>
              </w:rPr>
              <w:t xml:space="preserve"> </w:t>
            </w:r>
          </w:p>
          <w:p w14:paraId="0DE696B2" w14:textId="56639D36" w:rsidR="00F927A1" w:rsidRPr="005D3F07" w:rsidRDefault="001D45E6" w:rsidP="005D3F07">
            <w:pPr>
              <w:overflowPunct/>
              <w:autoSpaceDE/>
              <w:autoSpaceDN/>
              <w:adjustRightInd/>
              <w:ind w:right="-957"/>
              <w:textAlignment w:val="auto"/>
              <w:rPr>
                <w:rFonts w:ascii="Times New Roman" w:hAnsi="Times New Roman" w:cs="Times New Roman"/>
                <w:b/>
                <w:color w:val="auto"/>
                <w:sz w:val="48"/>
              </w:rPr>
            </w:pPr>
            <w:bookmarkStart w:id="0" w:name="_GoBack"/>
            <w:bookmarkEnd w:id="0"/>
            <w:r>
              <w:rPr>
                <w:rFonts w:ascii="Times New Roman" w:hAnsi="Times New Roman" w:cs="Times New Roman"/>
                <w:b/>
                <w:color w:val="auto"/>
                <w:sz w:val="48"/>
              </w:rPr>
              <w:t>2332580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1840604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8BB72B7" w14:textId="4F8EC755" w:rsidR="00F32B2E" w:rsidRDefault="00F32B2E" w:rsidP="00FF7EBB">
            <w:pPr>
              <w:jc w:val="both"/>
              <w:rPr>
                <w:i/>
                <w:sz w:val="24"/>
                <w:szCs w:val="24"/>
              </w:rPr>
            </w:pPr>
          </w:p>
          <w:p w14:paraId="479EE10E"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This case study critically reflects on a safeguarding assessment undertaken in collaboration with colleagues as a role as a social worker in Wales. It features two siblings, who will be referred to as Child 2 and Child 3, but focuses on the younger sibling, who is a 15 year old looked after child, who presented with suicidal ideations and symptoms of low mood and depression whilst in foster care. The work required careful consideration of safeguarding legislation and policies at local, national and international levels, collaborative multi-agency working, and the application of social work theory to practice. As the case unfolded, there was engagement in critical reflection on the challenges of balancing risk management with the child’s rights, wellbeing, and voice in decision-making, particularly within the Welsh safeguarding context. It will outline assessments undertaken collaboratively with professional colleagues, emphasising well-being outcomes, voice and control, which is fundamental under the Social Services and Well-being (Wales) Act 2014. </w:t>
            </w:r>
          </w:p>
          <w:p w14:paraId="352CC0DC"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Before becoming known to the Local Authority Child 2 and Child 3 were living with their mother, who will be referred as Adult 2.  They lived in a village just outside a Welsh town.  </w:t>
            </w:r>
            <w:r w:rsidRPr="00F32B2E">
              <w:rPr>
                <w:rFonts w:eastAsia="Calibri"/>
                <w:color w:val="auto"/>
                <w:sz w:val="24"/>
                <w:szCs w:val="24"/>
                <w:lang w:eastAsia="en-US"/>
              </w:rPr>
              <w:lastRenderedPageBreak/>
              <w:t>Child 2 was diagnosed with Global Development Delay but attended a mainstream primary school, and Child 3 was non- verbal and diagnosed with Autism and attended a special educational provision.  Although both children were born in Wales, their preferred language was English, however their disabilities did affect their communication, understanding and engagement with others.</w:t>
            </w:r>
          </w:p>
          <w:p w14:paraId="10EF8B8C"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Child 2 and Child 3 became looked after when Adult 2 suffered a mental health crisis and was unable to care for them both.  Both children were subject of Care Orders, Section 31 Children Act 1989 made to the Local Authority, thus placing them as their corporate parents, gaining parental responsibility.  Disabled children are statistically more likely to experience multiple placement disruptions, which can discourage families from fostering them.  Finding the most suitable placement which is in the best interest of the children is a fundamental factor in placement stability. Unfortunately, research indicates that local authorities often have no or little choice of placements for disabled children and encounter difficulties recruiting foster carers (Morris, 1995; </w:t>
            </w:r>
            <w:proofErr w:type="spellStart"/>
            <w:r w:rsidRPr="00F32B2E">
              <w:rPr>
                <w:rFonts w:eastAsia="Calibri"/>
                <w:color w:val="auto"/>
                <w:sz w:val="24"/>
                <w:szCs w:val="24"/>
                <w:lang w:eastAsia="en-US"/>
              </w:rPr>
              <w:t>McConkey</w:t>
            </w:r>
            <w:proofErr w:type="spellEnd"/>
            <w:r w:rsidRPr="00F32B2E">
              <w:rPr>
                <w:rFonts w:eastAsia="Calibri"/>
                <w:color w:val="auto"/>
                <w:sz w:val="24"/>
                <w:szCs w:val="24"/>
                <w:lang w:eastAsia="en-US"/>
              </w:rPr>
              <w:t xml:space="preserve"> et al, 2004).  This evidence is reflected within the outcome of placing both Child 2 and Child 3, where they had to be placed out of county, using an external fostering agency, in another Welsh Town, which was over an hour away from the biological family.  When children are placed out of county in foster care, the impacts can be greater than local placements. Research and practice show that this often brings additional challenges in addition to the common impacts of foster care.  Examples of these challenges range from a loss of familiar connections, disrupted sense of identity, heightened anxiety and grief in relation to distance from family and family making it feel more permanent, school instability because of the change of schools, loss of extracurricular having to give up after school clubs, distance making it harder for family to visit, loss of friendships.  However, the impact can depend on the child’s resilience, the quality of the foster home, and how well agencies support continuity in education, family contact, and services.</w:t>
            </w:r>
          </w:p>
          <w:p w14:paraId="50C9223F"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In Wales, looked after children (LAC) are mainly supported and safeguarded under the Social Services and Well-being (Wales) Act 2014 (Part 6), which came fully into effect in April 2016.  The act is the main framework of legislation governing children’s social work in Wales. It appoints duties to the local authority so they are able to safeguard and promote the wellbeing of the children, providing them with accommodation, and ensuring they have the appropriate </w:t>
            </w:r>
            <w:r w:rsidRPr="00F32B2E">
              <w:rPr>
                <w:rFonts w:eastAsia="Calibri"/>
                <w:color w:val="auto"/>
                <w:sz w:val="24"/>
                <w:szCs w:val="24"/>
                <w:lang w:eastAsia="en-US"/>
              </w:rPr>
              <w:lastRenderedPageBreak/>
              <w:t>care and support with a clear pathway for their future.  It also promotes the young person’s voice and inclusion in regards to decisions made about their care.  The Children’s Act 1989 also still applies in Wales for particular parts, mostly in relation to care orders, court proceedings and parental responsibility. Alongside the Children’s Act 2004 which strengthens the collaboration between agencies to safeguard children.  The Care Planning, Placement and Case Review (Wales) 2015 sets out practical details for how the local authorities must apply the 2014 Act by planning placements, holding reviews, and managing casework for Looked After Children.</w:t>
            </w:r>
          </w:p>
          <w:p w14:paraId="4F33A10E"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The rights and entitlements of looked after children differ between Wales and England because they use different legislation in parts.  For example where Wales would use the Social Services and Well-being (Wales) Act 2014 (Part 6)</w:t>
            </w:r>
            <w:r w:rsidRPr="00F32B2E">
              <w:rPr>
                <w:rFonts w:eastAsia="Calibri"/>
                <w:b/>
                <w:color w:val="auto"/>
                <w:sz w:val="24"/>
                <w:szCs w:val="24"/>
                <w:lang w:eastAsia="en-US"/>
              </w:rPr>
              <w:t xml:space="preserve"> </w:t>
            </w:r>
            <w:r w:rsidRPr="00F32B2E">
              <w:rPr>
                <w:rFonts w:eastAsia="Calibri"/>
                <w:color w:val="auto"/>
                <w:sz w:val="24"/>
                <w:szCs w:val="24"/>
                <w:lang w:eastAsia="en-US"/>
              </w:rPr>
              <w:t>which core principles focus on well-being, strength based approaches and the children’s voice and participation, The Children’s Act 1989 is at the forefront of England’s legislation, with updates being made from Children and Families Act 2014 and Children and Social Work Act 2017</w:t>
            </w:r>
            <w:r w:rsidRPr="00F32B2E">
              <w:rPr>
                <w:rFonts w:eastAsia="Calibri"/>
                <w:b/>
                <w:color w:val="auto"/>
                <w:sz w:val="24"/>
                <w:szCs w:val="24"/>
                <w:lang w:eastAsia="en-US"/>
              </w:rPr>
              <w:t xml:space="preserve"> </w:t>
            </w:r>
            <w:r w:rsidRPr="00F32B2E">
              <w:rPr>
                <w:rFonts w:eastAsia="Calibri"/>
                <w:color w:val="auto"/>
                <w:sz w:val="24"/>
                <w:szCs w:val="24"/>
                <w:lang w:eastAsia="en-US"/>
              </w:rPr>
              <w:t xml:space="preserve">focussing on safeguarding and promoting welfare, with an emphasis on permanence.    </w:t>
            </w:r>
          </w:p>
          <w:p w14:paraId="0AB66B95"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As mentioned, this case study focuses on the younger sibling, who after being in foster care for over 5 years presented with suicidal ideations and symptoms of low mood and depression.  Prior to the safeguarding concern Child 2 already had a social worker because in Wales the law recognises that looked after children are among the most vulnerable groups in society and need ongoing safeguarding, support and advocacy.  It is the social workers responsibility to ensure the children’s well-being, safety and rights are maintained in line with both Welsh and UK safeguarding legislation.  When school reported that Child 2 had made suicidal ideations it was vital that this was responded to promptly, compassionately and in line with the safeguarding duties and legislation.  Within the Welsh Safeguarding guidance it sets out clearly that</w:t>
            </w:r>
            <w:r w:rsidRPr="00F32B2E">
              <w:rPr>
                <w:rFonts w:eastAsia="Calibri"/>
                <w:b/>
                <w:color w:val="auto"/>
                <w:sz w:val="24"/>
                <w:szCs w:val="24"/>
                <w:lang w:eastAsia="en-US"/>
              </w:rPr>
              <w:t xml:space="preserve"> </w:t>
            </w:r>
            <w:r w:rsidRPr="00F32B2E">
              <w:rPr>
                <w:rFonts w:eastAsia="Calibri"/>
                <w:color w:val="auto"/>
                <w:sz w:val="24"/>
                <w:szCs w:val="24"/>
                <w:lang w:eastAsia="en-US"/>
              </w:rPr>
              <w:t xml:space="preserve">under the Social Services and Well-Being (Wales) Act 2014, and additionally within Working Together to Safeguard People: Volume 1 – Introduction and Overview (Social Care Wales, 2017a) that there is a statutory duty on all pertinent partners, such as police, educational bodies, health boards, probation services and other Local Authority partners to report if a child is at risk.  The principle of this duty is to ensure that any safeguarding concerns </w:t>
            </w:r>
            <w:r w:rsidRPr="00F32B2E">
              <w:rPr>
                <w:rFonts w:eastAsia="Calibri"/>
                <w:color w:val="auto"/>
                <w:sz w:val="24"/>
                <w:szCs w:val="24"/>
                <w:lang w:eastAsia="en-US"/>
              </w:rPr>
              <w:lastRenderedPageBreak/>
              <w:t>are swiftly shared with Local Authority children’s services, who will then undertake relevant enquiries and interventions.</w:t>
            </w:r>
          </w:p>
          <w:p w14:paraId="1349F046"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Critically, while this duty emphasises the theory that safeguarding is a shared responsibility across agencies, it can also pose challenges within practice. For example, professionals may have differing thresholds of what represents a “child at risk”, and this may lead to either under-reporting or over-reporting these concerns.  Furthermore, some professionals may feel conflicted between the confidentiality between them and the individuals, and the responsibility of their statutory duty to share and communicate information to the Children’s Services. Section 130 of the Social Services and Well-being (Wales) Act 2014 stipulates what is the legal definition of a “child at risk.” It defines this as a child who is either experiencing, or is at risk of, neglect, abuse or any other kinds of harm, and who also has needs for care and support. Within this case study education did follow the principles and promptly reported this to Children’s Services.  Child 2’s school followed the definitions that reinforce the Welsh safeguarding framework by early identification of risk, so intervention could take place, rather than waiting for significant harm to occur.</w:t>
            </w:r>
          </w:p>
          <w:p w14:paraId="1693694D"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Once this disclosure had been reported to Children’s Services, the disclosure was taken seriously, and was not minimised or dismissed.  A call was promptly made to the foster carer, who will be addressed as Adult 3 within this case study, to ensure Child 2 was safe from immediate risk and was supervised until further advice could be sought from a Line Manager and an assessment of risk could be completed.  </w:t>
            </w:r>
          </w:p>
          <w:p w14:paraId="303B6778"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Following the guidance issued by The Welsh Government (2019) which is how to respond to concerns of thoughts of suicide and self harm in young people, a conversation was had with Child 2.  The guidance provides an easy to follow flow chart on how to respond to a disclosure of suicidal thoughts and behaviour. This conversation was non-judgemental and reassurance was given to Child 2 that he was not in trouble, and an acknowledgement of his feelings was shown.  Recognising Child 2’s emotional state demonstrated empathy and hopefully validated his feelings.  This is central to building trust within the helping relationship (Rogers, 1957). Failure to acknowledge Child C’s disclosure may increase his sense of isolation, shame, or invisibility, thereby heightening risk.  Again this approach aligns with the safeguarding </w:t>
            </w:r>
            <w:r w:rsidRPr="00F32B2E">
              <w:rPr>
                <w:rFonts w:eastAsia="Calibri"/>
                <w:color w:val="auto"/>
                <w:sz w:val="24"/>
                <w:szCs w:val="24"/>
                <w:lang w:eastAsia="en-US"/>
              </w:rPr>
              <w:lastRenderedPageBreak/>
              <w:t xml:space="preserve">principles outlined in the </w:t>
            </w:r>
            <w:r w:rsidRPr="00F32B2E">
              <w:rPr>
                <w:rFonts w:eastAsia="Calibri"/>
                <w:bCs/>
                <w:color w:val="auto"/>
                <w:sz w:val="24"/>
                <w:szCs w:val="24"/>
                <w:lang w:eastAsia="en-US"/>
              </w:rPr>
              <w:t>Social Services and Well-being (Wales) Act 2014</w:t>
            </w:r>
            <w:r w:rsidRPr="00F32B2E">
              <w:rPr>
                <w:rFonts w:eastAsia="Calibri"/>
                <w:color w:val="auto"/>
                <w:sz w:val="24"/>
                <w:szCs w:val="24"/>
                <w:lang w:eastAsia="en-US"/>
              </w:rPr>
              <w:t>, which underlines the children’s rights to be listened too and to be treated with dignity.</w:t>
            </w:r>
          </w:p>
          <w:p w14:paraId="71FD3EC8"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Furnivall (2013) highlights that children in care and care leavers are at increased risk of suicide and self-harm.  A risk assessment was completed with Adult 3 and Child 2.  Within this risk assessment it was explored whether Child 2 had a plan or means to act on his suicidal thoughts, what frequency was he having these thoughts, and if he had ever previously self-harmed or attempted.  It’s imperative to assess these features because they can link the level of risk and the timing of needed for intervention (Royal College of Psychiatrists, 2010).  It is also important that any adult interacting with these children are able to tackle challenging and daunting problems with them.  For example, within this case study there was necessity to ask about suicidal planning and intent very candidly to understand and to gain better awareness of warning signs and risk factors that these ideations can bring. </w:t>
            </w:r>
          </w:p>
          <w:p w14:paraId="1B5E76D8"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When Child 2 asked about his intentions, he stated he did not “want to end his life”, and he had not made a plan to do this.  He expressed being lonely, sad and scared.  Again using the flow chart it was determined that a meeting with other agencies was needed to discuss further actions going forward and a safety plan needed to </w:t>
            </w:r>
            <w:proofErr w:type="spellStart"/>
            <w:r w:rsidRPr="00F32B2E">
              <w:rPr>
                <w:rFonts w:eastAsia="Calibri"/>
                <w:color w:val="auto"/>
                <w:sz w:val="24"/>
                <w:szCs w:val="24"/>
                <w:lang w:eastAsia="en-US"/>
              </w:rPr>
              <w:t>drawn</w:t>
            </w:r>
            <w:proofErr w:type="spellEnd"/>
            <w:r w:rsidRPr="00F32B2E">
              <w:rPr>
                <w:rFonts w:eastAsia="Calibri"/>
                <w:color w:val="auto"/>
                <w:sz w:val="24"/>
                <w:szCs w:val="24"/>
                <w:lang w:eastAsia="en-US"/>
              </w:rPr>
              <w:t xml:space="preserve"> up in collaboration with Child 2 and Adult 3.  It was advised that Adult 3 should monitor Child 2 more frequently that evening, and if Adult 3 felt that Child 2 was showing concerning signs in relation to his mental health then they were to take him immediately to A&amp;E.  Looking after children who harm themselves or are suicidal is both alarming and emotionally distressing, and this can be overwhelming for carers and professionals. This is why it is equally important that a safety plan was drawn up for both Child 2 and Adult 3 thus providing clear guidelines that support the best practice possible.  </w:t>
            </w:r>
          </w:p>
          <w:p w14:paraId="1201FD6F"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The next day a visit was made to Child 2 home by Children’s services to establish his immediate safety, explore the suicidal ideation, assess the risk and amend the safety plan if needed.  Within this visit Child 2 was asked about his current feelings, which he found very hard to communicate.  It was soon established that Child 2 was struggling to communicate verbally.  Child 2 had a neurological condition that when he becomes anxious or stressed his speech can be significantly impacted by involuntary, sudden, and repetitive movements.  Child 2 was reassured he could still communicate through non-verbal methods and that he was not </w:t>
            </w:r>
            <w:r w:rsidRPr="00F32B2E">
              <w:rPr>
                <w:rFonts w:eastAsia="Calibri"/>
                <w:color w:val="auto"/>
                <w:sz w:val="24"/>
                <w:szCs w:val="24"/>
                <w:lang w:eastAsia="en-US"/>
              </w:rPr>
              <w:lastRenderedPageBreak/>
              <w:t>to worry that he could not verbally communicate.  Child 2’s appeared to have a slumped posture, he made less eye contact than usual and at times his eyes would tear up. Body language is a powerful form of non-verbal communication that provides important traces of intentions, emotions, and motivations in people (</w:t>
            </w:r>
            <w:proofErr w:type="spellStart"/>
            <w:r w:rsidRPr="00F32B2E">
              <w:rPr>
                <w:rFonts w:eastAsia="Calibri"/>
                <w:color w:val="auto"/>
                <w:sz w:val="24"/>
                <w:szCs w:val="24"/>
                <w:lang w:eastAsia="en-US"/>
              </w:rPr>
              <w:t>Avdić</w:t>
            </w:r>
            <w:proofErr w:type="spellEnd"/>
            <w:r w:rsidRPr="00F32B2E">
              <w:rPr>
                <w:rFonts w:eastAsia="Calibri"/>
                <w:color w:val="auto"/>
                <w:sz w:val="24"/>
                <w:szCs w:val="24"/>
                <w:lang w:eastAsia="en-US"/>
              </w:rPr>
              <w:t xml:space="preserve"> </w:t>
            </w:r>
            <w:proofErr w:type="spellStart"/>
            <w:r w:rsidRPr="00F32B2E">
              <w:rPr>
                <w:rFonts w:eastAsia="Calibri"/>
                <w:color w:val="auto"/>
                <w:sz w:val="24"/>
                <w:szCs w:val="24"/>
                <w:lang w:eastAsia="en-US"/>
              </w:rPr>
              <w:t>Jahić</w:t>
            </w:r>
            <w:proofErr w:type="spellEnd"/>
            <w:r w:rsidRPr="00F32B2E">
              <w:rPr>
                <w:rFonts w:eastAsia="Calibri"/>
                <w:color w:val="auto"/>
                <w:sz w:val="24"/>
                <w:szCs w:val="24"/>
                <w:lang w:eastAsia="en-US"/>
              </w:rPr>
              <w:t xml:space="preserve"> et al., 2021, p. 1050).</w:t>
            </w:r>
          </w:p>
          <w:p w14:paraId="7164514E"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Rogers (1957) highlights the importance of unconditional positive regard in building trust and supporting openness in therapeutic relationships.  The conversation expressed empathy, warmth, and non-judgemental listening to help the Child 2 feel heard. It was agreed that Child 2 was to write down his current feelings, whether he had a plan to end his life or if he intended to harm himself, had he ever done this in the past, how often did he think about this, did he have plans for the future, for example his birthday. Child 2 disclosed that he was very low in mood, was not sleeping well and was scared of what he felt. When this was explored further Child 2 wrote that he meant he “wanted to end how he was feeling, not his life”.  Depression in children can be scary for them, it can cause overwhelming sadness, negative thoughts about themselves and their future (NHS, 2023).  Child 2 presented with many of the symptoms that are recognised by the NHS when children suffer from depression.  These ranged from sadness, low mood, having trouble sleeping, being indecisive, not having much confidence, and also having physical symptoms, such as headaches and stomach aches.</w:t>
            </w:r>
          </w:p>
          <w:p w14:paraId="30901034"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Another barrier faced was that Child 2 potentially had an undiagnosed learning disability.  This in itself can limit the ability to express feelings, and depression can reduce their desire to communicate.  Research also demonstrates that children with learning disabilities run a higher risk of developing depression than other children, and that this risk increases as they get older (Hagan, 2025).  Existing with undiagnosed learning disabilities can make children depressed and anxious, and can subsequently unsettle the brain, making it harder to concentrate and remember things.  Child 2 was already struggling in school, which we initially thought was causing his low mood, and had previously come together as an MDT and a decision was made to request extra support in school and refer to an Educational Psychologist.  However being anxious or depressed can also make it harder to learn, and can impact on cognitive function.  </w:t>
            </w:r>
          </w:p>
          <w:p w14:paraId="21CA5FE7"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The conversation had with Child 2 gave an indication of the potential risk currently involved.  It was determined that there was very little evidence of planning or preparation for suicide, </w:t>
            </w:r>
            <w:r w:rsidRPr="00F32B2E">
              <w:rPr>
                <w:rFonts w:eastAsia="Calibri"/>
                <w:color w:val="auto"/>
                <w:sz w:val="24"/>
                <w:szCs w:val="24"/>
                <w:lang w:eastAsia="en-US"/>
              </w:rPr>
              <w:lastRenderedPageBreak/>
              <w:t xml:space="preserve">however if Child 2 did have elevated ideations of suicidal thoughts then he had sources of information written down of what he should do.  Subsequently a revised safety plan was drawn up together, signposting Child 2 to additional sources of information and support.  A request was also advised that Adult 3 should arrange a GP visit for Child 2.  All conversations and documents produced were recorded later on children’s services recording system.  </w:t>
            </w:r>
          </w:p>
          <w:p w14:paraId="6BCDDF8E"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The following day further contact was made by Adult 3 stating Child 2 had disclosed to his after school club that he was feeling stressed and that he wanted to ‘”kill himself”, he also called ‘Child line’ last night to seek advice.  Adult 3 followed the safety plan that was drawn up and sought advice from ‘out of hours’ medical professionals, who shared they would pass this onto the Child and Adolescent Mental Health Services (CAMHS, </w:t>
            </w:r>
            <w:proofErr w:type="spellStart"/>
            <w:r w:rsidRPr="00F32B2E">
              <w:rPr>
                <w:rFonts w:eastAsia="Calibri"/>
                <w:color w:val="auto"/>
                <w:sz w:val="24"/>
                <w:szCs w:val="24"/>
                <w:lang w:eastAsia="en-US"/>
              </w:rPr>
              <w:t>Betsi</w:t>
            </w:r>
            <w:proofErr w:type="spellEnd"/>
            <w:r w:rsidRPr="00F32B2E">
              <w:rPr>
                <w:rFonts w:eastAsia="Calibri"/>
                <w:color w:val="auto"/>
                <w:sz w:val="24"/>
                <w:szCs w:val="24"/>
                <w:lang w:eastAsia="en-US"/>
              </w:rPr>
              <w:t xml:space="preserve"> </w:t>
            </w:r>
            <w:proofErr w:type="spellStart"/>
            <w:r w:rsidRPr="00F32B2E">
              <w:rPr>
                <w:rFonts w:eastAsia="Calibri"/>
                <w:color w:val="auto"/>
                <w:sz w:val="24"/>
                <w:szCs w:val="24"/>
                <w:lang w:eastAsia="en-US"/>
              </w:rPr>
              <w:t>Cadwaladr</w:t>
            </w:r>
            <w:proofErr w:type="spellEnd"/>
            <w:r w:rsidRPr="00F32B2E">
              <w:rPr>
                <w:rFonts w:eastAsia="Calibri"/>
                <w:color w:val="auto"/>
                <w:sz w:val="24"/>
                <w:szCs w:val="24"/>
                <w:lang w:eastAsia="en-US"/>
              </w:rPr>
              <w:t xml:space="preserve"> University Health Board) who are an NHS service that can assess and treat young people if they are struggling with poor mental health.  It was communicated with Adult 3 that CAMHS would be able to assess Child 2 within 72 hours.  </w:t>
            </w:r>
          </w:p>
          <w:p w14:paraId="54064518"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An emergency was consequently arranged in relation to Child 2.  In Wales, arranging a Multidisciplinary Team (MDT) responding to a child presenting with suicidal ideation is vital for numerous reasons, such as safety, legal, clinical and best-practice. These link in with many relevant Welsh frameworks and policies, such as Social Services and Well-being (Wales) Act 2014 (SSWBA), which maintains that Local Authorities must assess and provide care and support, frequently through a multiagency safeguarding response, Working Together to Safeguard People (Social Care Wales, 2017a) which outlines within its guidance that under the SSWBA that safeguarding requires multiagency collaboration, the Children and Families Act 2014 &amp; Children and Social Work Act 2017 emphasises the duty to safeguard using multi-agency co-operation, Together for Mental Health Strategy (Welsh Government, 2012, updated 2019) which is a strategy that necessitates a co-ordinated multi agency approach addressing children’s mental health between social services, CAMHS and education.  All these polices and frameworks ensures the law is followed and a holistic risk assessment, safety plan, and organised response is completed, ensuring that no agency works separately, and the child receives the right support within the accurate timeframes, thus reducing risk.</w:t>
            </w:r>
          </w:p>
          <w:p w14:paraId="0F9582F6"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Attending the Emergency MDT were School, The Fostering Agency, and the Educational Psychologist that had visited Child 2 that morning all attended.  As an MDT a joint suicidal risk </w:t>
            </w:r>
            <w:r w:rsidRPr="00F32B2E">
              <w:rPr>
                <w:rFonts w:eastAsia="Calibri"/>
                <w:color w:val="auto"/>
                <w:sz w:val="24"/>
                <w:szCs w:val="24"/>
                <w:lang w:eastAsia="en-US"/>
              </w:rPr>
              <w:lastRenderedPageBreak/>
              <w:t xml:space="preserve">assessment was discussed.  Further concerns were fed back from school and the Education Psychologist that Child 2 was presenting as a high risk, and that he needed a Mental Health Medical assessment urgently.  It was reassuring that both Child 2 and Adult 3 followed the safety plan put in place the previous evening, however whilst this meeting was in place, further information was communicated that CAMHS were unable to arrange to see Child 2 within the previous suggested 72 hours, and that he was now placed on a waiting list which could be up to 8 weeks.  Increased waiting lists for Child and Adolescent Mental Health Services (CAMHS) are forming numerous substantial problems for children, their families, and professionals.  These include children who are experiencing concerning mental health problems are being left without timely assessments and interventions, which can lead to worsening suicidal ideations, depression and anxiety before treatment has begun.  Without this earlier intervention many cases will reach crisis point, and could increase the likelihood of suicide attempts.  In Wales and the wider UK, these concerns have been highlighted in reports by the Welsh Government, the Children’s Commissioner for Wales, and the Royal College of Psychiatrists. They stress the importance of early intervention, increased funding, and integrated multi-agency approaches to reduce waiting times and prevent escalation of harm.  </w:t>
            </w:r>
            <w:proofErr w:type="spellStart"/>
            <w:r w:rsidRPr="00F32B2E">
              <w:rPr>
                <w:rFonts w:eastAsia="Calibri"/>
                <w:color w:val="auto"/>
                <w:sz w:val="24"/>
                <w:szCs w:val="24"/>
                <w:lang w:eastAsia="en-US"/>
              </w:rPr>
              <w:t>YoungMinds</w:t>
            </w:r>
            <w:proofErr w:type="spellEnd"/>
            <w:r w:rsidRPr="00F32B2E">
              <w:rPr>
                <w:rFonts w:eastAsia="Calibri"/>
                <w:color w:val="auto"/>
                <w:sz w:val="24"/>
                <w:szCs w:val="24"/>
                <w:lang w:eastAsia="en-US"/>
              </w:rPr>
              <w:t xml:space="preserve"> (2024) analysis shows that In 2023/24, 78,577 young people referred to CAMHS waited over a year for treatment, which is an increase of 52% from the previous year. The outcome of the meeting was that Child 2 was to be taken immediately to A&amp;E to seek medical advice in relation to his mental health and to also rule out if this sudden decline in his presentation was not anything physically related.</w:t>
            </w:r>
          </w:p>
          <w:p w14:paraId="75CDD7A7"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Child 2 was taken to A&amp;E by Adult 3 and was assessed by the unscheduled care team.  His physical presentation was so extreme, affecting his ability to speak that it was decided that he was to be admitted into hospital where he could be urgently assessed and observed by the CAMHS Team.  Child 2 was prioritised for psychiatric and psychological intervention, and remained as an in-patient for over one week.  Child 2 was diagnosed with anxiety which they believed had been exasperated by the prevalent TICS he was experiencing.  From numerous MDT’s that were held within this week it was also identified that Child 2’s ability to understand and process the factors which may have contributed to his crisis may not be fully understood by Child 2, and that he may have a undiagnosed learning disability, which as mentioned earlier </w:t>
            </w:r>
            <w:r w:rsidRPr="00F32B2E">
              <w:rPr>
                <w:rFonts w:eastAsia="Calibri"/>
                <w:color w:val="auto"/>
                <w:sz w:val="24"/>
                <w:szCs w:val="24"/>
                <w:lang w:eastAsia="en-US"/>
              </w:rPr>
              <w:lastRenderedPageBreak/>
              <w:t>within the case study could have limited his ability to express his feelings, and consequently could have run a higher risk of him developing depression.</w:t>
            </w:r>
          </w:p>
          <w:p w14:paraId="74D71C06"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Child C was prescribed medication by a psychiatrist to alleviate the prevalence of his TICS, and began therapy to work on this neurological condition.  He was also prescribed medication to help with his anxiety, with a focus on therapeutic input in the form of psychiatry and psychological intervention. At the end of this week, it was felt Child 2 had progressed well, had started communicating verbally, and his appearance and presentation showed clear improvement.  He was discharged with a safety plan, care co-ordination, and a plan to have follow up and reviews to reassess risk and progress.  Child 2 was also fast tracked to have a neuropsychological assessment to determine if he did have a learning disability.  This was actioned fairly quickly and Child 2 did receive a diagnosis of a mild / moderate Learning disability.  This diagnosis informed all adults involved in the care and support of Child 2 that his adaptive skills are explored within all environments, and it is likely that he will require long-term support with this to enable him to function and engage fully and meaningfully with his life.</w:t>
            </w:r>
          </w:p>
          <w:p w14:paraId="7B5B03D8"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Within this case study, when risk assessing Child 2 who was showing suicidal ideations, I used approaches that blend legislative duties, safeguarding frameworks, and practice models in combination.  I continually used a strengths based and person centred approach (Rogers, 1957) which emphasised unconditional positive regard, empathy and a genuineness that hopefully Child 2 sensed.  This model is essential when engaging with a child in crisis, and I felt this built trust so that Child 2 could share accurate information about how he felt, and never felt judged.  I combined this with the risk assessment framework shared through guidance issued by The Welsh Government (2019) and Signs of Safety model.  This was a structured suicide tool which assessed suicidal intent and risk, combined with a focus on balancing risks, strengths and the aim to keep the child safe.  The case study concluded with the Multi-Agency Safeguarding approach under the Social Services and Well-being (Wales) Act 2014, which required multi agencies coming together to ensure a holistic assessment was conducted and actioned.</w:t>
            </w:r>
          </w:p>
          <w:p w14:paraId="6DAF646F" w14:textId="77777777" w:rsidR="00F32B2E" w:rsidRPr="00F32B2E" w:rsidRDefault="00F32B2E" w:rsidP="00F32B2E">
            <w:pPr>
              <w:overflowPunct/>
              <w:autoSpaceDE/>
              <w:autoSpaceDN/>
              <w:adjustRightInd/>
              <w:spacing w:after="160" w:line="360" w:lineRule="auto"/>
              <w:jc w:val="both"/>
              <w:textAlignment w:val="auto"/>
              <w:rPr>
                <w:rFonts w:eastAsia="Calibri"/>
                <w:color w:val="auto"/>
                <w:sz w:val="24"/>
                <w:szCs w:val="24"/>
                <w:lang w:eastAsia="en-US"/>
              </w:rPr>
            </w:pPr>
            <w:r w:rsidRPr="00F32B2E">
              <w:rPr>
                <w:rFonts w:eastAsia="Calibri"/>
                <w:color w:val="auto"/>
                <w:sz w:val="24"/>
                <w:szCs w:val="24"/>
                <w:lang w:eastAsia="en-US"/>
              </w:rPr>
              <w:t xml:space="preserve">Looking back on </w:t>
            </w:r>
            <w:proofErr w:type="spellStart"/>
            <w:r w:rsidRPr="00F32B2E">
              <w:rPr>
                <w:rFonts w:eastAsia="Calibri"/>
                <w:color w:val="auto"/>
                <w:sz w:val="24"/>
                <w:szCs w:val="24"/>
                <w:lang w:eastAsia="en-US"/>
              </w:rPr>
              <w:t>Schon’s</w:t>
            </w:r>
            <w:proofErr w:type="spellEnd"/>
            <w:r w:rsidRPr="00F32B2E">
              <w:rPr>
                <w:rFonts w:eastAsia="Calibri"/>
                <w:color w:val="auto"/>
                <w:sz w:val="24"/>
                <w:szCs w:val="24"/>
                <w:lang w:eastAsia="en-US"/>
              </w:rPr>
              <w:t xml:space="preserve"> (1991) emphasis on the value of reflection on action, as an MDT we initially considered that potentially Child 2’s cognitive ability was causing his low mood.  </w:t>
            </w:r>
            <w:r w:rsidRPr="00F32B2E">
              <w:rPr>
                <w:rFonts w:eastAsia="Calibri"/>
                <w:color w:val="auto"/>
                <w:sz w:val="24"/>
                <w:szCs w:val="24"/>
                <w:lang w:eastAsia="en-US"/>
              </w:rPr>
              <w:lastRenderedPageBreak/>
              <w:t xml:space="preserve">However reflecting back this theory could have been switched and the depression could have been affecting the Child 2’s already lower cognitive function.  As it stood our hypothesis was accurate, however n future practice, this piece of work has allowed me to reflect on how it is vital to explore all areas that may impact vulnerable children.  Looked after children with disabilities are within this particularly vulnerable group, and it is therefore vital that services take a holistic view of their mental health and well-being. Children with disabilities are at an increased risk of neglect, social exclusion, and abuse.  Poor mental health can exacerbate these risks (NSPCC, 2020). Furthermore, many children with disabilities can experience struggles in communicating anxiety and distress, thus meaning signs and symptoms of mental health may go unnoticed unless professionals consider the full picture (Franklin and </w:t>
            </w:r>
            <w:proofErr w:type="spellStart"/>
            <w:r w:rsidRPr="00F32B2E">
              <w:rPr>
                <w:rFonts w:eastAsia="Calibri"/>
                <w:color w:val="auto"/>
                <w:sz w:val="24"/>
                <w:szCs w:val="24"/>
                <w:lang w:eastAsia="en-US"/>
              </w:rPr>
              <w:t>Sloper</w:t>
            </w:r>
            <w:proofErr w:type="spellEnd"/>
            <w:r w:rsidRPr="00F32B2E">
              <w:rPr>
                <w:rFonts w:eastAsia="Calibri"/>
                <w:color w:val="auto"/>
                <w:sz w:val="24"/>
                <w:szCs w:val="24"/>
                <w:lang w:eastAsia="en-US"/>
              </w:rPr>
              <w:t xml:space="preserve">, 2009).  Mental health in looked after children with disabilities does not happen in isolation, it can link in with their disability, care status, and wider environment. Again, a full understanding of the child and their circumstances should support and prevent needs from being missed, thus reducing risk, and ensuring the best chance of positive outcomes.  </w:t>
            </w:r>
          </w:p>
          <w:p w14:paraId="3381D7AE" w14:textId="30851250" w:rsidR="00F32B2E" w:rsidRPr="00F32B2E" w:rsidRDefault="00F32B2E" w:rsidP="00FF7EBB">
            <w:pPr>
              <w:jc w:val="both"/>
              <w:rPr>
                <w:sz w:val="24"/>
                <w:szCs w:val="24"/>
              </w:rPr>
            </w:pPr>
            <w:r>
              <w:rPr>
                <w:sz w:val="24"/>
                <w:szCs w:val="24"/>
              </w:rPr>
              <w:t>Word Count – 3,714</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FC97C3" w14:textId="77777777" w:rsidR="00734F6A" w:rsidRDefault="00734F6A">
      <w:r>
        <w:separator/>
      </w:r>
    </w:p>
  </w:endnote>
  <w:endnote w:type="continuationSeparator" w:id="0">
    <w:p w14:paraId="3A7249B6" w14:textId="77777777" w:rsidR="00734F6A" w:rsidRDefault="00734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A6FB524" w:rsidR="00A5656A" w:rsidRDefault="00A5656A">
    <w:pPr>
      <w:pStyle w:val="Footer"/>
      <w:jc w:val="right"/>
    </w:pPr>
    <w:r>
      <w:fldChar w:fldCharType="begin"/>
    </w:r>
    <w:r>
      <w:instrText xml:space="preserve"> PAGE   \* MERGEFORMAT </w:instrText>
    </w:r>
    <w:r>
      <w:fldChar w:fldCharType="separate"/>
    </w:r>
    <w:r w:rsidR="001D45E6">
      <w:rPr>
        <w:noProof/>
      </w:rPr>
      <w:t>3</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2E5CF6" w14:textId="77777777" w:rsidR="00734F6A" w:rsidRDefault="00734F6A">
      <w:r>
        <w:separator/>
      </w:r>
    </w:p>
  </w:footnote>
  <w:footnote w:type="continuationSeparator" w:id="0">
    <w:p w14:paraId="44664E79" w14:textId="77777777" w:rsidR="00734F6A" w:rsidRDefault="00734F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D45E6"/>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4F6A"/>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2E"/>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A340331A-C6D6-440D-989A-427FF8CAA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3719</Words>
  <Characters>21200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Rhiana1 Povey</cp:lastModifiedBy>
  <cp:revision>3</cp:revision>
  <cp:lastPrinted>2020-02-11T19:20:00Z</cp:lastPrinted>
  <dcterms:created xsi:type="dcterms:W3CDTF">2025-10-05T16:21:00Z</dcterms:created>
  <dcterms:modified xsi:type="dcterms:W3CDTF">2025-10-05T16:23:00Z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