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38E99" w14:textId="77777777" w:rsidR="001F397D" w:rsidRDefault="001F397D" w:rsidP="00DD309C">
      <w:pPr>
        <w:jc w:val="center"/>
      </w:pPr>
      <w:r>
        <w:rPr>
          <w:noProof/>
        </w:rPr>
        <w:drawing>
          <wp:inline distT="0" distB="0" distL="0" distR="0" wp14:anchorId="01C31E6C" wp14:editId="6FA8CD38">
            <wp:extent cx="3130550" cy="103829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5931" cy="1043400"/>
                    </a:xfrm>
                    <a:prstGeom prst="rect">
                      <a:avLst/>
                    </a:prstGeom>
                    <a:noFill/>
                  </pic:spPr>
                </pic:pic>
              </a:graphicData>
            </a:graphic>
          </wp:inline>
        </w:drawing>
      </w:r>
    </w:p>
    <w:p w14:paraId="192260DF" w14:textId="77777777" w:rsidR="001F397D" w:rsidRDefault="001F397D" w:rsidP="001F397D"/>
    <w:p w14:paraId="56EB03F5" w14:textId="77777777" w:rsidR="001F397D" w:rsidRDefault="001F397D" w:rsidP="001F397D"/>
    <w:p w14:paraId="1103A9A5" w14:textId="77777777" w:rsidR="001F397D" w:rsidRDefault="001F397D" w:rsidP="001F397D"/>
    <w:p w14:paraId="2D5FBAD8" w14:textId="77777777" w:rsidR="001F397D" w:rsidRPr="00B7510F" w:rsidRDefault="001F397D" w:rsidP="00B7510F">
      <w:pPr>
        <w:spacing w:line="600" w:lineRule="auto"/>
        <w:jc w:val="both"/>
        <w:rPr>
          <w:rFonts w:ascii="Times New Roman" w:hAnsi="Times New Roman" w:cs="Times New Roman"/>
          <w:i/>
          <w:iCs/>
        </w:rPr>
      </w:pPr>
    </w:p>
    <w:p w14:paraId="565C64D9" w14:textId="3E2047B6" w:rsidR="001F397D" w:rsidRPr="00430282" w:rsidRDefault="001F397D" w:rsidP="00430282">
      <w:pPr>
        <w:spacing w:line="600" w:lineRule="auto"/>
        <w:jc w:val="center"/>
        <w:rPr>
          <w:rFonts w:ascii="Times New Roman" w:hAnsi="Times New Roman" w:cs="Times New Roman"/>
          <w:sz w:val="24"/>
          <w:szCs w:val="24"/>
        </w:rPr>
      </w:pPr>
      <w:r w:rsidRPr="00430282">
        <w:rPr>
          <w:rFonts w:ascii="Times New Roman" w:hAnsi="Times New Roman" w:cs="Times New Roman"/>
          <w:sz w:val="24"/>
          <w:szCs w:val="24"/>
        </w:rPr>
        <w:t>Principles of Human Resource Management LCBB5012</w:t>
      </w:r>
    </w:p>
    <w:p w14:paraId="06B722D4" w14:textId="613A328D" w:rsidR="000A18B6" w:rsidRPr="00430282" w:rsidRDefault="00430282" w:rsidP="00430282">
      <w:pPr>
        <w:spacing w:line="600" w:lineRule="auto"/>
        <w:jc w:val="center"/>
      </w:pPr>
      <w:r w:rsidRPr="00430282">
        <w:rPr>
          <w:rFonts w:ascii="Times New Roman" w:hAnsi="Times New Roman" w:cs="Times New Roman"/>
          <w:sz w:val="24"/>
          <w:szCs w:val="24"/>
        </w:rPr>
        <w:t>Se</w:t>
      </w:r>
      <w:r>
        <w:rPr>
          <w:rFonts w:ascii="Times New Roman" w:hAnsi="Times New Roman" w:cs="Times New Roman"/>
          <w:sz w:val="24"/>
          <w:szCs w:val="24"/>
        </w:rPr>
        <w:t>l</w:t>
      </w:r>
      <w:r w:rsidRPr="00430282">
        <w:rPr>
          <w:rFonts w:ascii="Times New Roman" w:hAnsi="Times New Roman" w:cs="Times New Roman"/>
          <w:sz w:val="24"/>
          <w:szCs w:val="24"/>
        </w:rPr>
        <w:t>ena Raluca Stanciu 2132773</w:t>
      </w:r>
    </w:p>
    <w:p w14:paraId="73BE4BE5" w14:textId="41AD585C" w:rsidR="00EC22AE" w:rsidRDefault="00EC22AE">
      <w:pPr>
        <w:jc w:val="center"/>
        <w:rPr>
          <w:rFonts w:ascii="Times New Roman" w:eastAsia="Times New Roman" w:hAnsi="Times New Roman" w:cs="Times New Roman"/>
          <w:sz w:val="24"/>
          <w:szCs w:val="24"/>
        </w:rPr>
      </w:pPr>
    </w:p>
    <w:p w14:paraId="66727558" w14:textId="77777777" w:rsidR="00EC22AE" w:rsidRDefault="00EC22AE">
      <w:pPr>
        <w:jc w:val="center"/>
        <w:rPr>
          <w:rFonts w:ascii="Times New Roman" w:eastAsia="Times New Roman" w:hAnsi="Times New Roman" w:cs="Times New Roman"/>
          <w:sz w:val="24"/>
          <w:szCs w:val="24"/>
        </w:rPr>
      </w:pPr>
    </w:p>
    <w:p w14:paraId="23E9A76E" w14:textId="77777777" w:rsidR="00EC22AE" w:rsidRDefault="00EC22AE">
      <w:pPr>
        <w:spacing w:before="200" w:line="360" w:lineRule="auto"/>
        <w:jc w:val="center"/>
        <w:rPr>
          <w:rFonts w:ascii="Times New Roman" w:eastAsia="Times New Roman" w:hAnsi="Times New Roman" w:cs="Times New Roman"/>
          <w:b/>
          <w:bCs/>
          <w:sz w:val="24"/>
          <w:szCs w:val="24"/>
        </w:rPr>
      </w:pPr>
    </w:p>
    <w:p w14:paraId="55C8E3CD" w14:textId="77777777" w:rsidR="00EC22AE" w:rsidRDefault="00EC22AE">
      <w:pPr>
        <w:spacing w:before="200" w:line="360" w:lineRule="auto"/>
        <w:jc w:val="center"/>
        <w:rPr>
          <w:rFonts w:ascii="Times New Roman" w:eastAsia="Times New Roman" w:hAnsi="Times New Roman" w:cs="Times New Roman"/>
          <w:b/>
          <w:bCs/>
          <w:sz w:val="24"/>
          <w:szCs w:val="24"/>
        </w:rPr>
      </w:pPr>
    </w:p>
    <w:p w14:paraId="16D81C32" w14:textId="77777777" w:rsidR="00EC22AE" w:rsidRDefault="00EC22AE">
      <w:pPr>
        <w:spacing w:before="200" w:line="360" w:lineRule="auto"/>
        <w:jc w:val="center"/>
        <w:rPr>
          <w:rFonts w:ascii="Times New Roman" w:eastAsia="Times New Roman" w:hAnsi="Times New Roman" w:cs="Times New Roman"/>
          <w:b/>
          <w:bCs/>
          <w:sz w:val="24"/>
          <w:szCs w:val="24"/>
        </w:rPr>
      </w:pPr>
    </w:p>
    <w:p w14:paraId="7BBE7324" w14:textId="77777777" w:rsidR="00EC22AE" w:rsidRDefault="00EC22AE">
      <w:pPr>
        <w:spacing w:before="200" w:line="360" w:lineRule="auto"/>
        <w:rPr>
          <w:rFonts w:ascii="Times New Roman" w:eastAsia="Times New Roman" w:hAnsi="Times New Roman" w:cs="Times New Roman"/>
          <w:b/>
          <w:bCs/>
          <w:sz w:val="24"/>
          <w:szCs w:val="24"/>
        </w:rPr>
      </w:pPr>
    </w:p>
    <w:p w14:paraId="54542922" w14:textId="77777777" w:rsidR="00EC22AE" w:rsidRDefault="00EC22AE">
      <w:pPr>
        <w:spacing w:before="200" w:line="360" w:lineRule="auto"/>
        <w:jc w:val="center"/>
        <w:rPr>
          <w:rFonts w:ascii="Times New Roman" w:eastAsia="Times New Roman" w:hAnsi="Times New Roman" w:cs="Times New Roman"/>
          <w:b/>
          <w:bCs/>
          <w:sz w:val="24"/>
          <w:szCs w:val="24"/>
        </w:rPr>
      </w:pPr>
    </w:p>
    <w:p w14:paraId="0AC9F9DF" w14:textId="77777777" w:rsidR="00EC22AE" w:rsidRDefault="00EC22AE">
      <w:pPr>
        <w:rPr>
          <w:rFonts w:ascii="Times New Roman" w:eastAsia="Times New Roman" w:hAnsi="Times New Roman" w:cs="Times New Roman"/>
          <w:sz w:val="24"/>
          <w:szCs w:val="24"/>
        </w:rPr>
      </w:pPr>
    </w:p>
    <w:p w14:paraId="30C6682F" w14:textId="7BB3D2D6" w:rsidR="00EC22AE" w:rsidRPr="001C6CC1" w:rsidRDefault="00A47A25" w:rsidP="001C6CC1">
      <w:pPr>
        <w:spacing w:after="240" w:line="360" w:lineRule="auto"/>
        <w:jc w:val="center"/>
        <w:rPr>
          <w:rFonts w:ascii="Times New Roman" w:eastAsia="Times New Roman" w:hAnsi="Times New Roman" w:cs="Times New Roman"/>
          <w:sz w:val="24"/>
          <w:szCs w:val="24"/>
        </w:rPr>
      </w:pPr>
      <w:r>
        <w:br w:type="page"/>
      </w:r>
      <w:r>
        <w:rPr>
          <w:rFonts w:ascii="Times New Roman" w:eastAsia="Times New Roman" w:hAnsi="Times New Roman" w:cs="Times New Roman"/>
          <w:b/>
          <w:bCs/>
          <w:sz w:val="24"/>
          <w:szCs w:val="24"/>
        </w:rPr>
        <w:lastRenderedPageBreak/>
        <w:t>Table of Contents</w:t>
      </w:r>
    </w:p>
    <w:sdt>
      <w:sdtPr>
        <w:id w:val="696582561"/>
        <w:docPartObj>
          <w:docPartGallery w:val="Table of Contents"/>
          <w:docPartUnique/>
        </w:docPartObj>
      </w:sdtPr>
      <w:sdtEndPr/>
      <w:sdtContent>
        <w:p w14:paraId="02EAD012" w14:textId="1F2D5280" w:rsidR="00771488" w:rsidRPr="00771488" w:rsidRDefault="00A47A25" w:rsidP="00771488">
          <w:pPr>
            <w:pStyle w:val="TOC1"/>
            <w:tabs>
              <w:tab w:val="right" w:pos="9019"/>
            </w:tabs>
            <w:spacing w:line="360" w:lineRule="auto"/>
            <w:jc w:val="both"/>
            <w:rPr>
              <w:rFonts w:ascii="Times New Roman" w:hAnsi="Times New Roman" w:cs="Times New Roman"/>
              <w:noProof/>
              <w:sz w:val="24"/>
              <w:szCs w:val="24"/>
            </w:rPr>
          </w:pPr>
          <w:r w:rsidRPr="00771488">
            <w:rPr>
              <w:rFonts w:ascii="Times New Roman" w:hAnsi="Times New Roman" w:cs="Times New Roman"/>
              <w:sz w:val="24"/>
              <w:szCs w:val="24"/>
            </w:rPr>
            <w:fldChar w:fldCharType="begin"/>
          </w:r>
          <w:r w:rsidRPr="00771488">
            <w:rPr>
              <w:rFonts w:ascii="Times New Roman" w:hAnsi="Times New Roman" w:cs="Times New Roman"/>
              <w:sz w:val="24"/>
              <w:szCs w:val="24"/>
            </w:rPr>
            <w:instrText xml:space="preserve"> TOC \h \u \z \t "Heading 1,1,Heading 2,2,Heading 3,3,Heading 4,4,Heading 5,5,Heading 6,6,"</w:instrText>
          </w:r>
          <w:r w:rsidRPr="00771488">
            <w:rPr>
              <w:rFonts w:ascii="Times New Roman" w:hAnsi="Times New Roman" w:cs="Times New Roman"/>
              <w:sz w:val="24"/>
              <w:szCs w:val="24"/>
            </w:rPr>
            <w:fldChar w:fldCharType="separate"/>
          </w:r>
          <w:hyperlink w:anchor="_Toc235642999" w:history="1">
            <w:r w:rsidR="00771488" w:rsidRPr="00771488">
              <w:rPr>
                <w:rStyle w:val="Hyperlink"/>
                <w:rFonts w:ascii="Times New Roman" w:hAnsi="Times New Roman" w:cs="Times New Roman"/>
                <w:noProof/>
                <w:sz w:val="24"/>
                <w:szCs w:val="24"/>
              </w:rPr>
              <w:t>1.0 Introduction</w:t>
            </w:r>
            <w:r w:rsidR="00771488" w:rsidRPr="00771488">
              <w:rPr>
                <w:rFonts w:ascii="Times New Roman" w:hAnsi="Times New Roman" w:cs="Times New Roman"/>
                <w:noProof/>
                <w:webHidden/>
                <w:sz w:val="24"/>
                <w:szCs w:val="24"/>
              </w:rPr>
              <w:tab/>
            </w:r>
            <w:r w:rsidR="00771488" w:rsidRPr="00771488">
              <w:rPr>
                <w:rFonts w:ascii="Times New Roman" w:hAnsi="Times New Roman" w:cs="Times New Roman"/>
                <w:noProof/>
                <w:webHidden/>
                <w:sz w:val="24"/>
                <w:szCs w:val="24"/>
              </w:rPr>
              <w:fldChar w:fldCharType="begin"/>
            </w:r>
            <w:r w:rsidR="00771488" w:rsidRPr="00771488">
              <w:rPr>
                <w:rFonts w:ascii="Times New Roman" w:hAnsi="Times New Roman" w:cs="Times New Roman"/>
                <w:noProof/>
                <w:webHidden/>
                <w:sz w:val="24"/>
                <w:szCs w:val="24"/>
              </w:rPr>
              <w:instrText xml:space="preserve"> PAGEREF _Toc235642999 \h </w:instrText>
            </w:r>
            <w:r w:rsidR="00771488" w:rsidRPr="00771488">
              <w:rPr>
                <w:rFonts w:ascii="Times New Roman" w:hAnsi="Times New Roman" w:cs="Times New Roman"/>
                <w:noProof/>
                <w:webHidden/>
                <w:sz w:val="24"/>
                <w:szCs w:val="24"/>
              </w:rPr>
            </w:r>
            <w:r w:rsidR="00771488"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3</w:t>
            </w:r>
            <w:r w:rsidR="00771488" w:rsidRPr="00771488">
              <w:rPr>
                <w:rFonts w:ascii="Times New Roman" w:hAnsi="Times New Roman" w:cs="Times New Roman"/>
                <w:noProof/>
                <w:webHidden/>
                <w:sz w:val="24"/>
                <w:szCs w:val="24"/>
              </w:rPr>
              <w:fldChar w:fldCharType="end"/>
            </w:r>
          </w:hyperlink>
        </w:p>
        <w:p w14:paraId="053D02C2" w14:textId="568CB5F7" w:rsidR="00771488" w:rsidRPr="00771488" w:rsidRDefault="00771488" w:rsidP="00771488">
          <w:pPr>
            <w:pStyle w:val="TOC2"/>
            <w:tabs>
              <w:tab w:val="right" w:pos="9019"/>
            </w:tabs>
            <w:spacing w:line="360" w:lineRule="auto"/>
            <w:jc w:val="both"/>
            <w:rPr>
              <w:rFonts w:ascii="Times New Roman" w:hAnsi="Times New Roman" w:cs="Times New Roman"/>
              <w:noProof/>
              <w:sz w:val="24"/>
              <w:szCs w:val="24"/>
            </w:rPr>
          </w:pPr>
          <w:hyperlink w:anchor="_Toc235643000" w:history="1">
            <w:r w:rsidRPr="00771488">
              <w:rPr>
                <w:rStyle w:val="Hyperlink"/>
                <w:rFonts w:ascii="Times New Roman" w:hAnsi="Times New Roman" w:cs="Times New Roman"/>
                <w:noProof/>
                <w:sz w:val="24"/>
                <w:szCs w:val="24"/>
              </w:rPr>
              <w:t>1.1 HR Functions</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_Toc235643000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3</w:t>
            </w:r>
            <w:r w:rsidRPr="00771488">
              <w:rPr>
                <w:rFonts w:ascii="Times New Roman" w:hAnsi="Times New Roman" w:cs="Times New Roman"/>
                <w:noProof/>
                <w:webHidden/>
                <w:sz w:val="24"/>
                <w:szCs w:val="24"/>
              </w:rPr>
              <w:fldChar w:fldCharType="end"/>
            </w:r>
          </w:hyperlink>
        </w:p>
        <w:p w14:paraId="109F7325" w14:textId="488186A9" w:rsidR="00771488" w:rsidRPr="00771488" w:rsidRDefault="00771488" w:rsidP="00771488">
          <w:pPr>
            <w:pStyle w:val="TOC2"/>
            <w:tabs>
              <w:tab w:val="right" w:pos="9019"/>
            </w:tabs>
            <w:spacing w:line="360" w:lineRule="auto"/>
            <w:jc w:val="both"/>
            <w:rPr>
              <w:rFonts w:ascii="Times New Roman" w:hAnsi="Times New Roman" w:cs="Times New Roman"/>
              <w:noProof/>
              <w:sz w:val="24"/>
              <w:szCs w:val="24"/>
            </w:rPr>
          </w:pPr>
          <w:hyperlink w:anchor="_Toc235643001" w:history="1">
            <w:r w:rsidRPr="00771488">
              <w:rPr>
                <w:rStyle w:val="Hyperlink"/>
                <w:rFonts w:ascii="Times New Roman" w:hAnsi="Times New Roman" w:cs="Times New Roman"/>
                <w:noProof/>
                <w:sz w:val="24"/>
                <w:szCs w:val="24"/>
              </w:rPr>
              <w:t>1.2 Report Structure</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_Toc235643001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3</w:t>
            </w:r>
            <w:r w:rsidRPr="00771488">
              <w:rPr>
                <w:rFonts w:ascii="Times New Roman" w:hAnsi="Times New Roman" w:cs="Times New Roman"/>
                <w:noProof/>
                <w:webHidden/>
                <w:sz w:val="24"/>
                <w:szCs w:val="24"/>
              </w:rPr>
              <w:fldChar w:fldCharType="end"/>
            </w:r>
          </w:hyperlink>
        </w:p>
        <w:p w14:paraId="5011126C" w14:textId="2CA982CB" w:rsidR="00771488" w:rsidRPr="00771488" w:rsidRDefault="00771488" w:rsidP="00771488">
          <w:pPr>
            <w:pStyle w:val="TOC1"/>
            <w:tabs>
              <w:tab w:val="right" w:pos="9019"/>
            </w:tabs>
            <w:spacing w:line="360" w:lineRule="auto"/>
            <w:jc w:val="both"/>
            <w:rPr>
              <w:rFonts w:ascii="Times New Roman" w:hAnsi="Times New Roman" w:cs="Times New Roman"/>
              <w:noProof/>
              <w:sz w:val="24"/>
              <w:szCs w:val="24"/>
            </w:rPr>
          </w:pPr>
          <w:hyperlink w:anchor="_Toc235643002" w:history="1">
            <w:r w:rsidRPr="00771488">
              <w:rPr>
                <w:rStyle w:val="Hyperlink"/>
                <w:rFonts w:ascii="Times New Roman" w:hAnsi="Times New Roman" w:cs="Times New Roman"/>
                <w:noProof/>
                <w:sz w:val="24"/>
                <w:szCs w:val="24"/>
              </w:rPr>
              <w:t>2.0 Internal and External Environment</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_Toc235643002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3</w:t>
            </w:r>
            <w:r w:rsidRPr="00771488">
              <w:rPr>
                <w:rFonts w:ascii="Times New Roman" w:hAnsi="Times New Roman" w:cs="Times New Roman"/>
                <w:noProof/>
                <w:webHidden/>
                <w:sz w:val="24"/>
                <w:szCs w:val="24"/>
              </w:rPr>
              <w:fldChar w:fldCharType="end"/>
            </w:r>
          </w:hyperlink>
        </w:p>
        <w:p w14:paraId="39FC8879" w14:textId="1A2A6F2B" w:rsidR="00771488" w:rsidRPr="00771488" w:rsidRDefault="00771488" w:rsidP="00771488">
          <w:pPr>
            <w:pStyle w:val="TOC2"/>
            <w:tabs>
              <w:tab w:val="right" w:pos="9019"/>
            </w:tabs>
            <w:spacing w:line="360" w:lineRule="auto"/>
            <w:jc w:val="both"/>
            <w:rPr>
              <w:rFonts w:ascii="Times New Roman" w:hAnsi="Times New Roman" w:cs="Times New Roman"/>
              <w:noProof/>
              <w:sz w:val="24"/>
              <w:szCs w:val="24"/>
            </w:rPr>
          </w:pPr>
          <w:hyperlink w:anchor="_Toc235643003" w:history="1">
            <w:r w:rsidRPr="00771488">
              <w:rPr>
                <w:rStyle w:val="Hyperlink"/>
                <w:rFonts w:ascii="Times New Roman" w:hAnsi="Times New Roman" w:cs="Times New Roman"/>
                <w:noProof/>
                <w:sz w:val="24"/>
                <w:szCs w:val="24"/>
              </w:rPr>
              <w:t>2.1 Business Environment Model</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_Toc235643003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3</w:t>
            </w:r>
            <w:r w:rsidRPr="00771488">
              <w:rPr>
                <w:rFonts w:ascii="Times New Roman" w:hAnsi="Times New Roman" w:cs="Times New Roman"/>
                <w:noProof/>
                <w:webHidden/>
                <w:sz w:val="24"/>
                <w:szCs w:val="24"/>
              </w:rPr>
              <w:fldChar w:fldCharType="end"/>
            </w:r>
          </w:hyperlink>
        </w:p>
        <w:p w14:paraId="280C53D7" w14:textId="78BBA945" w:rsidR="00771488" w:rsidRPr="00771488" w:rsidRDefault="00771488" w:rsidP="00771488">
          <w:pPr>
            <w:pStyle w:val="TOC2"/>
            <w:tabs>
              <w:tab w:val="right" w:pos="9019"/>
            </w:tabs>
            <w:spacing w:line="360" w:lineRule="auto"/>
            <w:jc w:val="both"/>
            <w:rPr>
              <w:rFonts w:ascii="Times New Roman" w:hAnsi="Times New Roman" w:cs="Times New Roman"/>
              <w:noProof/>
              <w:sz w:val="24"/>
              <w:szCs w:val="24"/>
            </w:rPr>
          </w:pPr>
          <w:hyperlink w:anchor="_Toc235643004" w:history="1">
            <w:r w:rsidRPr="00771488">
              <w:rPr>
                <w:rStyle w:val="Hyperlink"/>
                <w:rFonts w:ascii="Times New Roman" w:hAnsi="Times New Roman" w:cs="Times New Roman"/>
                <w:noProof/>
                <w:sz w:val="24"/>
                <w:szCs w:val="24"/>
              </w:rPr>
              <w:t>2.2 Link to HR Functions</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_Toc235643004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5</w:t>
            </w:r>
            <w:r w:rsidRPr="00771488">
              <w:rPr>
                <w:rFonts w:ascii="Times New Roman" w:hAnsi="Times New Roman" w:cs="Times New Roman"/>
                <w:noProof/>
                <w:webHidden/>
                <w:sz w:val="24"/>
                <w:szCs w:val="24"/>
              </w:rPr>
              <w:fldChar w:fldCharType="end"/>
            </w:r>
          </w:hyperlink>
        </w:p>
        <w:p w14:paraId="7BF91653" w14:textId="543FDB5A" w:rsidR="00771488" w:rsidRPr="00771488" w:rsidRDefault="00771488" w:rsidP="00771488">
          <w:pPr>
            <w:pStyle w:val="TOC1"/>
            <w:tabs>
              <w:tab w:val="right" w:pos="9019"/>
            </w:tabs>
            <w:spacing w:line="360" w:lineRule="auto"/>
            <w:jc w:val="both"/>
            <w:rPr>
              <w:rFonts w:ascii="Times New Roman" w:hAnsi="Times New Roman" w:cs="Times New Roman"/>
              <w:noProof/>
              <w:sz w:val="24"/>
              <w:szCs w:val="24"/>
            </w:rPr>
          </w:pPr>
          <w:hyperlink w:anchor="_Toc235643005" w:history="1">
            <w:r w:rsidRPr="00771488">
              <w:rPr>
                <w:rStyle w:val="Hyperlink"/>
                <w:rFonts w:ascii="Times New Roman" w:hAnsi="Times New Roman" w:cs="Times New Roman"/>
                <w:noProof/>
                <w:sz w:val="24"/>
                <w:szCs w:val="24"/>
              </w:rPr>
              <w:t>3.0 Organisation Application</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_Toc235643005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5</w:t>
            </w:r>
            <w:r w:rsidRPr="00771488">
              <w:rPr>
                <w:rFonts w:ascii="Times New Roman" w:hAnsi="Times New Roman" w:cs="Times New Roman"/>
                <w:noProof/>
                <w:webHidden/>
                <w:sz w:val="24"/>
                <w:szCs w:val="24"/>
              </w:rPr>
              <w:fldChar w:fldCharType="end"/>
            </w:r>
          </w:hyperlink>
        </w:p>
        <w:p w14:paraId="1DDA6956" w14:textId="0D53DE6B" w:rsidR="00771488" w:rsidRPr="00771488" w:rsidRDefault="00771488" w:rsidP="00771488">
          <w:pPr>
            <w:pStyle w:val="TOC2"/>
            <w:tabs>
              <w:tab w:val="right" w:pos="9019"/>
            </w:tabs>
            <w:spacing w:line="360" w:lineRule="auto"/>
            <w:jc w:val="both"/>
            <w:rPr>
              <w:rFonts w:ascii="Times New Roman" w:hAnsi="Times New Roman" w:cs="Times New Roman"/>
              <w:noProof/>
              <w:sz w:val="24"/>
              <w:szCs w:val="24"/>
            </w:rPr>
          </w:pPr>
          <w:hyperlink w:anchor="_Toc235643006" w:history="1">
            <w:r w:rsidRPr="00771488">
              <w:rPr>
                <w:rStyle w:val="Hyperlink"/>
                <w:rFonts w:ascii="Times New Roman" w:hAnsi="Times New Roman" w:cs="Times New Roman"/>
                <w:noProof/>
                <w:sz w:val="24"/>
                <w:szCs w:val="24"/>
              </w:rPr>
              <w:t>3.1 Organisation Introduction</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_Toc235643006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5</w:t>
            </w:r>
            <w:r w:rsidRPr="00771488">
              <w:rPr>
                <w:rFonts w:ascii="Times New Roman" w:hAnsi="Times New Roman" w:cs="Times New Roman"/>
                <w:noProof/>
                <w:webHidden/>
                <w:sz w:val="24"/>
                <w:szCs w:val="24"/>
              </w:rPr>
              <w:fldChar w:fldCharType="end"/>
            </w:r>
          </w:hyperlink>
        </w:p>
        <w:p w14:paraId="5F07D365" w14:textId="3C2EE222" w:rsidR="00771488" w:rsidRPr="00771488" w:rsidRDefault="00771488" w:rsidP="00771488">
          <w:pPr>
            <w:pStyle w:val="TOC2"/>
            <w:tabs>
              <w:tab w:val="right" w:pos="9019"/>
            </w:tabs>
            <w:spacing w:line="360" w:lineRule="auto"/>
            <w:jc w:val="both"/>
            <w:rPr>
              <w:rFonts w:ascii="Times New Roman" w:hAnsi="Times New Roman" w:cs="Times New Roman"/>
              <w:noProof/>
              <w:sz w:val="24"/>
              <w:szCs w:val="24"/>
            </w:rPr>
          </w:pPr>
          <w:hyperlink w:anchor="_Toc235643007" w:history="1">
            <w:r w:rsidRPr="00771488">
              <w:rPr>
                <w:rStyle w:val="Hyperlink"/>
                <w:rFonts w:ascii="Times New Roman" w:hAnsi="Times New Roman" w:cs="Times New Roman"/>
                <w:noProof/>
                <w:sz w:val="24"/>
                <w:szCs w:val="24"/>
              </w:rPr>
              <w:t>3.2 HR Practices</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_Toc235643007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6</w:t>
            </w:r>
            <w:r w:rsidRPr="00771488">
              <w:rPr>
                <w:rFonts w:ascii="Times New Roman" w:hAnsi="Times New Roman" w:cs="Times New Roman"/>
                <w:noProof/>
                <w:webHidden/>
                <w:sz w:val="24"/>
                <w:szCs w:val="24"/>
              </w:rPr>
              <w:fldChar w:fldCharType="end"/>
            </w:r>
          </w:hyperlink>
        </w:p>
        <w:p w14:paraId="4A45AAA6" w14:textId="16BB5F23" w:rsidR="00771488" w:rsidRPr="00771488" w:rsidRDefault="00771488" w:rsidP="00771488">
          <w:pPr>
            <w:pStyle w:val="TOC1"/>
            <w:tabs>
              <w:tab w:val="right" w:pos="9019"/>
            </w:tabs>
            <w:spacing w:line="360" w:lineRule="auto"/>
            <w:jc w:val="both"/>
            <w:rPr>
              <w:rFonts w:ascii="Times New Roman" w:hAnsi="Times New Roman" w:cs="Times New Roman"/>
              <w:noProof/>
              <w:sz w:val="24"/>
              <w:szCs w:val="24"/>
            </w:rPr>
          </w:pPr>
          <w:hyperlink w:anchor="_Toc235643008" w:history="1">
            <w:r w:rsidRPr="00771488">
              <w:rPr>
                <w:rStyle w:val="Hyperlink"/>
                <w:rFonts w:ascii="Times New Roman" w:hAnsi="Times New Roman" w:cs="Times New Roman"/>
                <w:noProof/>
                <w:sz w:val="24"/>
                <w:szCs w:val="24"/>
              </w:rPr>
              <w:t>4.0 Application of Model</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_Toc235643008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7</w:t>
            </w:r>
            <w:r w:rsidRPr="00771488">
              <w:rPr>
                <w:rFonts w:ascii="Times New Roman" w:hAnsi="Times New Roman" w:cs="Times New Roman"/>
                <w:noProof/>
                <w:webHidden/>
                <w:sz w:val="24"/>
                <w:szCs w:val="24"/>
              </w:rPr>
              <w:fldChar w:fldCharType="end"/>
            </w:r>
          </w:hyperlink>
        </w:p>
        <w:p w14:paraId="6DB07DCA" w14:textId="2DF2FA5D" w:rsidR="00771488" w:rsidRPr="00771488" w:rsidRDefault="00771488" w:rsidP="00771488">
          <w:pPr>
            <w:pStyle w:val="TOC2"/>
            <w:tabs>
              <w:tab w:val="right" w:pos="9019"/>
            </w:tabs>
            <w:spacing w:line="360" w:lineRule="auto"/>
            <w:jc w:val="both"/>
            <w:rPr>
              <w:rFonts w:ascii="Times New Roman" w:hAnsi="Times New Roman" w:cs="Times New Roman"/>
              <w:noProof/>
              <w:sz w:val="24"/>
              <w:szCs w:val="24"/>
            </w:rPr>
          </w:pPr>
          <w:hyperlink w:anchor="_Toc235643009" w:history="1">
            <w:r w:rsidRPr="00771488">
              <w:rPr>
                <w:rStyle w:val="Hyperlink"/>
                <w:rFonts w:ascii="Times New Roman" w:hAnsi="Times New Roman" w:cs="Times New Roman"/>
                <w:noProof/>
                <w:sz w:val="24"/>
                <w:szCs w:val="24"/>
              </w:rPr>
              <w:t>4.1 Impact on Organisation</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_Toc235643009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7</w:t>
            </w:r>
            <w:r w:rsidRPr="00771488">
              <w:rPr>
                <w:rFonts w:ascii="Times New Roman" w:hAnsi="Times New Roman" w:cs="Times New Roman"/>
                <w:noProof/>
                <w:webHidden/>
                <w:sz w:val="24"/>
                <w:szCs w:val="24"/>
              </w:rPr>
              <w:fldChar w:fldCharType="end"/>
            </w:r>
          </w:hyperlink>
        </w:p>
        <w:p w14:paraId="26D6A645" w14:textId="6A3658FC" w:rsidR="00771488" w:rsidRPr="00771488" w:rsidRDefault="00771488" w:rsidP="00771488">
          <w:pPr>
            <w:pStyle w:val="TOC2"/>
            <w:tabs>
              <w:tab w:val="right" w:pos="9019"/>
            </w:tabs>
            <w:spacing w:line="360" w:lineRule="auto"/>
            <w:jc w:val="both"/>
            <w:rPr>
              <w:rFonts w:ascii="Times New Roman" w:hAnsi="Times New Roman" w:cs="Times New Roman"/>
              <w:noProof/>
              <w:sz w:val="24"/>
              <w:szCs w:val="24"/>
            </w:rPr>
          </w:pPr>
          <w:hyperlink w:anchor="_Toc235643010" w:history="1">
            <w:r w:rsidRPr="00771488">
              <w:rPr>
                <w:rStyle w:val="Hyperlink"/>
                <w:rFonts w:ascii="Times New Roman" w:hAnsi="Times New Roman" w:cs="Times New Roman"/>
                <w:noProof/>
                <w:sz w:val="24"/>
                <w:szCs w:val="24"/>
              </w:rPr>
              <w:t>4.2 Country Differences</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_Toc235643010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8</w:t>
            </w:r>
            <w:r w:rsidRPr="00771488">
              <w:rPr>
                <w:rFonts w:ascii="Times New Roman" w:hAnsi="Times New Roman" w:cs="Times New Roman"/>
                <w:noProof/>
                <w:webHidden/>
                <w:sz w:val="24"/>
                <w:szCs w:val="24"/>
              </w:rPr>
              <w:fldChar w:fldCharType="end"/>
            </w:r>
          </w:hyperlink>
        </w:p>
        <w:p w14:paraId="13B57086" w14:textId="2E38A891" w:rsidR="00771488" w:rsidRPr="00771488" w:rsidRDefault="00771488" w:rsidP="00771488">
          <w:pPr>
            <w:pStyle w:val="TOC1"/>
            <w:tabs>
              <w:tab w:val="right" w:pos="9019"/>
            </w:tabs>
            <w:spacing w:line="360" w:lineRule="auto"/>
            <w:jc w:val="both"/>
            <w:rPr>
              <w:rFonts w:ascii="Times New Roman" w:hAnsi="Times New Roman" w:cs="Times New Roman"/>
              <w:noProof/>
              <w:sz w:val="24"/>
              <w:szCs w:val="24"/>
            </w:rPr>
          </w:pPr>
          <w:hyperlink w:anchor="_Toc235643011" w:history="1">
            <w:r w:rsidRPr="00771488">
              <w:rPr>
                <w:rStyle w:val="Hyperlink"/>
                <w:rFonts w:ascii="Times New Roman" w:hAnsi="Times New Roman" w:cs="Times New Roman"/>
                <w:noProof/>
                <w:sz w:val="24"/>
                <w:szCs w:val="24"/>
              </w:rPr>
              <w:t>5.0 Conclusion</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_Toc235643011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9</w:t>
            </w:r>
            <w:r w:rsidRPr="00771488">
              <w:rPr>
                <w:rFonts w:ascii="Times New Roman" w:hAnsi="Times New Roman" w:cs="Times New Roman"/>
                <w:noProof/>
                <w:webHidden/>
                <w:sz w:val="24"/>
                <w:szCs w:val="24"/>
              </w:rPr>
              <w:fldChar w:fldCharType="end"/>
            </w:r>
          </w:hyperlink>
        </w:p>
        <w:p w14:paraId="32AA74C9" w14:textId="0B6C30D3" w:rsidR="00771488" w:rsidRPr="00771488" w:rsidRDefault="00771488" w:rsidP="00771488">
          <w:pPr>
            <w:pStyle w:val="TOC2"/>
            <w:tabs>
              <w:tab w:val="right" w:pos="9019"/>
            </w:tabs>
            <w:spacing w:line="360" w:lineRule="auto"/>
            <w:jc w:val="both"/>
            <w:rPr>
              <w:rFonts w:ascii="Times New Roman" w:hAnsi="Times New Roman" w:cs="Times New Roman"/>
              <w:noProof/>
              <w:sz w:val="24"/>
              <w:szCs w:val="24"/>
            </w:rPr>
          </w:pPr>
          <w:hyperlink w:anchor="_Toc235643012" w:history="1">
            <w:r w:rsidRPr="00771488">
              <w:rPr>
                <w:rStyle w:val="Hyperlink"/>
                <w:rFonts w:ascii="Times New Roman" w:hAnsi="Times New Roman" w:cs="Times New Roman"/>
                <w:noProof/>
                <w:sz w:val="24"/>
                <w:szCs w:val="24"/>
              </w:rPr>
              <w:t>5.1 Summary</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_Toc235643012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9</w:t>
            </w:r>
            <w:r w:rsidRPr="00771488">
              <w:rPr>
                <w:rFonts w:ascii="Times New Roman" w:hAnsi="Times New Roman" w:cs="Times New Roman"/>
                <w:noProof/>
                <w:webHidden/>
                <w:sz w:val="24"/>
                <w:szCs w:val="24"/>
              </w:rPr>
              <w:fldChar w:fldCharType="end"/>
            </w:r>
          </w:hyperlink>
        </w:p>
        <w:p w14:paraId="504F0E06" w14:textId="34F5C675" w:rsidR="00771488" w:rsidRPr="00771488" w:rsidRDefault="00771488" w:rsidP="00771488">
          <w:pPr>
            <w:pStyle w:val="TOC2"/>
            <w:tabs>
              <w:tab w:val="right" w:pos="9019"/>
            </w:tabs>
            <w:spacing w:line="360" w:lineRule="auto"/>
            <w:jc w:val="both"/>
            <w:rPr>
              <w:rFonts w:ascii="Times New Roman" w:hAnsi="Times New Roman" w:cs="Times New Roman"/>
              <w:noProof/>
              <w:sz w:val="24"/>
              <w:szCs w:val="24"/>
            </w:rPr>
          </w:pPr>
          <w:hyperlink w:anchor="_Toc235643013" w:history="1">
            <w:r w:rsidRPr="00771488">
              <w:rPr>
                <w:rStyle w:val="Hyperlink"/>
                <w:rFonts w:ascii="Times New Roman" w:hAnsi="Times New Roman" w:cs="Times New Roman"/>
                <w:noProof/>
                <w:sz w:val="24"/>
                <w:szCs w:val="24"/>
              </w:rPr>
              <w:t>5.2 Future Implications</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_Toc235643013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9</w:t>
            </w:r>
            <w:r w:rsidRPr="00771488">
              <w:rPr>
                <w:rFonts w:ascii="Times New Roman" w:hAnsi="Times New Roman" w:cs="Times New Roman"/>
                <w:noProof/>
                <w:webHidden/>
                <w:sz w:val="24"/>
                <w:szCs w:val="24"/>
              </w:rPr>
              <w:fldChar w:fldCharType="end"/>
            </w:r>
          </w:hyperlink>
        </w:p>
        <w:p w14:paraId="03D9CF34" w14:textId="35C58075" w:rsidR="00771488" w:rsidRPr="00771488" w:rsidRDefault="00771488" w:rsidP="00771488">
          <w:pPr>
            <w:pStyle w:val="TOC1"/>
            <w:tabs>
              <w:tab w:val="right" w:pos="9019"/>
            </w:tabs>
            <w:spacing w:line="360" w:lineRule="auto"/>
            <w:jc w:val="both"/>
            <w:rPr>
              <w:rFonts w:ascii="Times New Roman" w:hAnsi="Times New Roman" w:cs="Times New Roman"/>
              <w:noProof/>
              <w:sz w:val="24"/>
              <w:szCs w:val="24"/>
            </w:rPr>
          </w:pPr>
          <w:hyperlink w:anchor="_Toc235643014" w:history="1">
            <w:r w:rsidRPr="00771488">
              <w:rPr>
                <w:rStyle w:val="Hyperlink"/>
                <w:rFonts w:ascii="Times New Roman" w:hAnsi="Times New Roman" w:cs="Times New Roman"/>
                <w:noProof/>
                <w:sz w:val="24"/>
                <w:szCs w:val="24"/>
              </w:rPr>
              <w:t>References</w:t>
            </w:r>
            <w:r w:rsidRPr="00771488">
              <w:rPr>
                <w:rFonts w:ascii="Times New Roman" w:hAnsi="Times New Roman" w:cs="Times New Roman"/>
                <w:noProof/>
                <w:webHidden/>
                <w:sz w:val="24"/>
                <w:szCs w:val="24"/>
              </w:rPr>
              <w:tab/>
            </w:r>
            <w:r w:rsidRPr="00771488">
              <w:rPr>
                <w:rFonts w:ascii="Times New Roman" w:hAnsi="Times New Roman" w:cs="Times New Roman"/>
                <w:noProof/>
                <w:webHidden/>
                <w:sz w:val="24"/>
                <w:szCs w:val="24"/>
              </w:rPr>
              <w:fldChar w:fldCharType="begin"/>
            </w:r>
            <w:r w:rsidRPr="00771488">
              <w:rPr>
                <w:rFonts w:ascii="Times New Roman" w:hAnsi="Times New Roman" w:cs="Times New Roman"/>
                <w:noProof/>
                <w:webHidden/>
                <w:sz w:val="24"/>
                <w:szCs w:val="24"/>
              </w:rPr>
              <w:instrText xml:space="preserve"> PAGEREF _Toc235643014 \h </w:instrText>
            </w:r>
            <w:r w:rsidRPr="00771488">
              <w:rPr>
                <w:rFonts w:ascii="Times New Roman" w:hAnsi="Times New Roman" w:cs="Times New Roman"/>
                <w:noProof/>
                <w:webHidden/>
                <w:sz w:val="24"/>
                <w:szCs w:val="24"/>
              </w:rPr>
            </w:r>
            <w:r w:rsidRPr="00771488">
              <w:rPr>
                <w:rFonts w:ascii="Times New Roman" w:hAnsi="Times New Roman" w:cs="Times New Roman"/>
                <w:noProof/>
                <w:webHidden/>
                <w:sz w:val="24"/>
                <w:szCs w:val="24"/>
              </w:rPr>
              <w:fldChar w:fldCharType="separate"/>
            </w:r>
            <w:r w:rsidR="00430282">
              <w:rPr>
                <w:rFonts w:ascii="Times New Roman" w:hAnsi="Times New Roman" w:cs="Times New Roman"/>
                <w:noProof/>
                <w:webHidden/>
                <w:sz w:val="24"/>
                <w:szCs w:val="24"/>
              </w:rPr>
              <w:t>10</w:t>
            </w:r>
            <w:r w:rsidRPr="00771488">
              <w:rPr>
                <w:rFonts w:ascii="Times New Roman" w:hAnsi="Times New Roman" w:cs="Times New Roman"/>
                <w:noProof/>
                <w:webHidden/>
                <w:sz w:val="24"/>
                <w:szCs w:val="24"/>
              </w:rPr>
              <w:fldChar w:fldCharType="end"/>
            </w:r>
          </w:hyperlink>
        </w:p>
        <w:p w14:paraId="2A0351B1" w14:textId="55EEBB42" w:rsidR="00EC22AE" w:rsidRDefault="00A47A25" w:rsidP="00771488">
          <w:pPr>
            <w:widowControl w:val="0"/>
            <w:tabs>
              <w:tab w:val="right" w:pos="9025"/>
            </w:tabs>
            <w:spacing w:before="60" w:line="360" w:lineRule="auto"/>
            <w:jc w:val="both"/>
            <w:rPr>
              <w:rFonts w:ascii="Times New Roman" w:eastAsia="Times New Roman" w:hAnsi="Times New Roman" w:cs="Times New Roman"/>
              <w:color w:val="000000"/>
              <w:sz w:val="24"/>
              <w:szCs w:val="24"/>
            </w:rPr>
          </w:pPr>
          <w:r w:rsidRPr="00771488">
            <w:rPr>
              <w:rFonts w:ascii="Times New Roman" w:hAnsi="Times New Roman" w:cs="Times New Roman"/>
              <w:sz w:val="24"/>
              <w:szCs w:val="24"/>
            </w:rPr>
            <w:fldChar w:fldCharType="end"/>
          </w:r>
        </w:p>
      </w:sdtContent>
    </w:sdt>
    <w:p w14:paraId="5C61CA84" w14:textId="77777777" w:rsidR="00EC22AE" w:rsidRDefault="00EC22AE">
      <w:pPr>
        <w:rPr>
          <w:rFonts w:ascii="Times New Roman" w:eastAsia="Times New Roman" w:hAnsi="Times New Roman" w:cs="Times New Roman"/>
          <w:b/>
          <w:bCs/>
          <w:sz w:val="24"/>
          <w:szCs w:val="24"/>
        </w:rPr>
      </w:pPr>
    </w:p>
    <w:p w14:paraId="2EA31447" w14:textId="77777777" w:rsidR="00EC22AE" w:rsidRDefault="00A47A25">
      <w:pPr>
        <w:rPr>
          <w:rFonts w:ascii="Times New Roman" w:eastAsia="Times New Roman" w:hAnsi="Times New Roman" w:cs="Times New Roman"/>
          <w:sz w:val="24"/>
          <w:szCs w:val="24"/>
        </w:rPr>
      </w:pPr>
      <w:r>
        <w:br w:type="page"/>
      </w:r>
    </w:p>
    <w:p w14:paraId="414DB7F7" w14:textId="77777777" w:rsidR="00EC22AE" w:rsidRDefault="00A47A25">
      <w:pPr>
        <w:pStyle w:val="Heading1"/>
        <w:spacing w:before="200" w:line="360" w:lineRule="auto"/>
      </w:pPr>
      <w:bookmarkStart w:id="0" w:name="_Toc235642999"/>
      <w:r>
        <w:lastRenderedPageBreak/>
        <w:t>1.0 Introduction</w:t>
      </w:r>
      <w:bookmarkEnd w:id="0"/>
    </w:p>
    <w:p w14:paraId="5D976634" w14:textId="77777777" w:rsidR="00EC22AE" w:rsidRDefault="00A47A25">
      <w:pPr>
        <w:pStyle w:val="Heading2"/>
        <w:spacing w:before="200" w:line="360" w:lineRule="auto"/>
        <w:jc w:val="both"/>
      </w:pPr>
      <w:bookmarkStart w:id="1" w:name="_Toc235643000"/>
      <w:r>
        <w:t>1.1 HR Functions</w:t>
      </w:r>
      <w:bookmarkEnd w:id="1"/>
    </w:p>
    <w:p w14:paraId="1438D32D" w14:textId="141575A8" w:rsidR="00EC22AE" w:rsidRDefault="00A47A2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organisation, one of the strategic functions is human resource management (HRM).  This function primarily involves attracting, developing, retaining, and motivating the workforce to support organisational performance and objectives (</w:t>
      </w:r>
      <w:proofErr w:type="spellStart"/>
      <w:r>
        <w:rPr>
          <w:rFonts w:ascii="Times New Roman" w:eastAsia="Times New Roman" w:hAnsi="Times New Roman" w:cs="Times New Roman"/>
          <w:sz w:val="24"/>
          <w:szCs w:val="24"/>
        </w:rPr>
        <w:t>Arokiasamy</w:t>
      </w:r>
      <w:proofErr w:type="spellEnd"/>
      <w:r>
        <w:rPr>
          <w:rFonts w:ascii="Times New Roman" w:eastAsia="Times New Roman" w:hAnsi="Times New Roman" w:cs="Times New Roman"/>
          <w:sz w:val="24"/>
          <w:szCs w:val="24"/>
        </w:rPr>
        <w:t xml:space="preserve"> </w:t>
      </w:r>
      <w:r w:rsidR="007971D1" w:rsidRPr="007971D1">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initial functions of HR involve recruitment and selection, training and development, performance management and employee relations (Alam </w:t>
      </w:r>
      <w:r w:rsidR="007971D1" w:rsidRPr="007971D1">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Recruitment and selection ensure that the organisation hires qualified and experienced employees to achieve competitive benefits. Meanwhile, training and development are significant in supporting the existing workforce to know and improve professional capabilities (Hamza </w:t>
      </w:r>
      <w:r w:rsidR="007971D1" w:rsidRPr="007971D1">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Meanwhile, performance management provides significant support for the career progression of individuals. Finally, employee relations maintain a positive working environment by strengthening employer-employee relations. Overall, these HR functions support improvements in institutional success by enhancing productivity, performance management, and sustainability. </w:t>
      </w:r>
    </w:p>
    <w:p w14:paraId="630A299B" w14:textId="77777777" w:rsidR="00EC22AE" w:rsidRDefault="00A47A25">
      <w:pPr>
        <w:pStyle w:val="Heading2"/>
        <w:spacing w:before="200" w:line="360" w:lineRule="auto"/>
        <w:jc w:val="both"/>
      </w:pPr>
      <w:bookmarkStart w:id="2" w:name="_Toc235643001"/>
      <w:r>
        <w:t>1.2 Report Structure</w:t>
      </w:r>
      <w:bookmarkEnd w:id="2"/>
    </w:p>
    <w:p w14:paraId="17EB0B5C" w14:textId="7A0E083A" w:rsidR="00EC22AE" w:rsidRDefault="00A47A2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structure presents an introduction that introduces the significance of HR functions along with an overview of the report structure. Further, the report analyses the internal and external environment by selecting a specific model. This section explains the usefulness of the selected model in the context of the business along with its limitations. Further, it links the model with HR functions to highlight how external and internal factors impact HR functions.  Moreover, </w:t>
      </w:r>
      <w:r w:rsidR="00630B86" w:rsidRPr="00630B86">
        <w:rPr>
          <w:rFonts w:ascii="Times New Roman" w:eastAsia="Times New Roman" w:hAnsi="Times New Roman" w:cs="Times New Roman"/>
          <w:sz w:val="24"/>
          <w:szCs w:val="24"/>
        </w:rPr>
        <w:t>the report further presents an organisational application</w:t>
      </w:r>
      <w:r w:rsidR="00630B8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to introduce institutional introduction and HR practices and the chosen organisation, </w:t>
      </w:r>
      <w:r w:rsidRPr="006B53E0">
        <w:rPr>
          <w:rFonts w:ascii="Times New Roman" w:eastAsia="Times New Roman" w:hAnsi="Times New Roman" w:cs="Times New Roman"/>
          <w:b/>
          <w:bCs/>
          <w:sz w:val="24"/>
          <w:szCs w:val="24"/>
        </w:rPr>
        <w:t>InPost</w:t>
      </w:r>
      <w:r>
        <w:rPr>
          <w:rFonts w:ascii="Times New Roman" w:eastAsia="Times New Roman" w:hAnsi="Times New Roman" w:cs="Times New Roman"/>
          <w:b/>
          <w:bCs/>
          <w:i/>
          <w:iCs/>
          <w:sz w:val="24"/>
          <w:szCs w:val="24"/>
        </w:rPr>
        <w:t>.</w:t>
      </w:r>
      <w:r>
        <w:rPr>
          <w:rFonts w:ascii="Times New Roman" w:eastAsia="Times New Roman" w:hAnsi="Times New Roman" w:cs="Times New Roman"/>
          <w:sz w:val="24"/>
          <w:szCs w:val="24"/>
        </w:rPr>
        <w:t xml:space="preserve">  Furthermore, </w:t>
      </w:r>
      <w:r w:rsidR="00630B86" w:rsidRPr="00630B86">
        <w:rPr>
          <w:rFonts w:ascii="Times New Roman" w:eastAsia="Times New Roman" w:hAnsi="Times New Roman" w:cs="Times New Roman"/>
          <w:sz w:val="24"/>
          <w:szCs w:val="24"/>
        </w:rPr>
        <w:t>the application section describes</w:t>
      </w:r>
      <w:r>
        <w:rPr>
          <w:rFonts w:ascii="Times New Roman" w:eastAsia="Times New Roman" w:hAnsi="Times New Roman" w:cs="Times New Roman"/>
          <w:sz w:val="24"/>
          <w:szCs w:val="24"/>
        </w:rPr>
        <w:t xml:space="preserve"> the chosen model for the organisation, especially in HR functions. Moreover, this section evaluates the key differences between the influences of environmental forces following the country-specific factors. </w:t>
      </w:r>
    </w:p>
    <w:p w14:paraId="2F1F790D" w14:textId="77777777" w:rsidR="00EC22AE" w:rsidRDefault="00A47A25">
      <w:pPr>
        <w:pStyle w:val="Heading1"/>
        <w:spacing w:before="200" w:line="360" w:lineRule="auto"/>
      </w:pPr>
      <w:bookmarkStart w:id="3" w:name="_Toc235643002"/>
      <w:r>
        <w:t>2.0 Internal and External Environment</w:t>
      </w:r>
      <w:bookmarkEnd w:id="3"/>
      <w:r>
        <w:t xml:space="preserve"> </w:t>
      </w:r>
    </w:p>
    <w:p w14:paraId="6573BD24" w14:textId="77777777" w:rsidR="00EC22AE" w:rsidRDefault="00A47A25">
      <w:pPr>
        <w:pStyle w:val="Heading2"/>
        <w:spacing w:before="200" w:line="360" w:lineRule="auto"/>
      </w:pPr>
      <w:bookmarkStart w:id="4" w:name="_Toc235643003"/>
      <w:r>
        <w:t>2.1 Business Environment Model</w:t>
      </w:r>
      <w:bookmarkEnd w:id="4"/>
    </w:p>
    <w:p w14:paraId="242BEA9E" w14:textId="77777777" w:rsidR="00EC22AE" w:rsidRDefault="00A47A25">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order to analyse the impact of various external factors on the business process of the company, PESTLE analysis has been selected. </w:t>
      </w:r>
    </w:p>
    <w:p w14:paraId="43D46F63" w14:textId="6CA8DBA5" w:rsidR="00EC22AE" w:rsidRDefault="00A47A25">
      <w:pPr>
        <w:spacing w:before="200" w:line="360" w:lineRule="auto"/>
        <w:jc w:val="both"/>
        <w:rPr>
          <w:rFonts w:ascii="Times New Roman" w:eastAsia="Times New Roman" w:hAnsi="Times New Roman" w:cs="Times New Roman"/>
          <w:b/>
          <w:bCs/>
          <w:i/>
          <w:iCs/>
          <w:color w:val="222222"/>
          <w:sz w:val="24"/>
          <w:szCs w:val="24"/>
          <w:highlight w:val="white"/>
        </w:rPr>
      </w:pPr>
      <w:r>
        <w:rPr>
          <w:rFonts w:ascii="Times New Roman" w:eastAsia="Times New Roman" w:hAnsi="Times New Roman" w:cs="Times New Roman"/>
          <w:b/>
          <w:bCs/>
          <w:i/>
          <w:iCs/>
          <w:color w:val="222222"/>
          <w:sz w:val="24"/>
          <w:szCs w:val="24"/>
          <w:highlight w:val="white"/>
        </w:rPr>
        <w:t xml:space="preserve">Political </w:t>
      </w:r>
      <w:r w:rsidR="009829D2">
        <w:rPr>
          <w:rFonts w:ascii="Times New Roman" w:eastAsia="Times New Roman" w:hAnsi="Times New Roman" w:cs="Times New Roman"/>
          <w:b/>
          <w:bCs/>
          <w:i/>
          <w:iCs/>
          <w:color w:val="222222"/>
          <w:sz w:val="24"/>
          <w:szCs w:val="24"/>
          <w:highlight w:val="white"/>
        </w:rPr>
        <w:t>Factors</w:t>
      </w:r>
    </w:p>
    <w:p w14:paraId="47C20773" w14:textId="77777777" w:rsidR="00EC22AE" w:rsidRDefault="00A47A25">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InPost operates in various European countries. The company is required to follow the trade regulations, import and export laws and other regulatory frameworks within its business process. Changes in the political aspects, trade laws, regulations, and export and import laws can impact the business process of a company (Morozov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2024). The impact of the external factors on the business process of InPost is negative.</w:t>
      </w:r>
    </w:p>
    <w:p w14:paraId="79A4A27D" w14:textId="164AB80A" w:rsidR="00EC22AE" w:rsidRDefault="00A47A25">
      <w:pPr>
        <w:spacing w:before="200" w:line="360" w:lineRule="auto"/>
        <w:jc w:val="both"/>
        <w:rPr>
          <w:rFonts w:ascii="Times New Roman" w:eastAsia="Times New Roman" w:hAnsi="Times New Roman" w:cs="Times New Roman"/>
          <w:b/>
          <w:bCs/>
          <w:i/>
          <w:iCs/>
          <w:color w:val="222222"/>
          <w:sz w:val="24"/>
          <w:szCs w:val="24"/>
          <w:highlight w:val="white"/>
        </w:rPr>
      </w:pPr>
      <w:r>
        <w:rPr>
          <w:rFonts w:ascii="Times New Roman" w:eastAsia="Times New Roman" w:hAnsi="Times New Roman" w:cs="Times New Roman"/>
          <w:b/>
          <w:bCs/>
          <w:i/>
          <w:iCs/>
          <w:color w:val="222222"/>
          <w:sz w:val="24"/>
          <w:szCs w:val="24"/>
          <w:highlight w:val="white"/>
        </w:rPr>
        <w:t xml:space="preserve">Economic </w:t>
      </w:r>
      <w:r w:rsidR="009829D2">
        <w:rPr>
          <w:rFonts w:ascii="Times New Roman" w:eastAsia="Times New Roman" w:hAnsi="Times New Roman" w:cs="Times New Roman"/>
          <w:b/>
          <w:bCs/>
          <w:i/>
          <w:iCs/>
          <w:color w:val="222222"/>
          <w:sz w:val="24"/>
          <w:szCs w:val="24"/>
          <w:highlight w:val="white"/>
        </w:rPr>
        <w:t>Factors</w:t>
      </w:r>
    </w:p>
    <w:p w14:paraId="3BFA7BD6" w14:textId="77777777" w:rsidR="00EC22AE" w:rsidRDefault="00A47A25">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Inflation fluctuations, high prices of resources, the cost-of-living crisis and other issues have impacted customer purchasing and repetitive purchasing patterns (Sharma and Sinha, 2025). Economic conditions have affected customer spending, resource collection, manufacturing, and delivery of the products for InPost. The impact of the economic factors is negative for the company.</w:t>
      </w:r>
    </w:p>
    <w:p w14:paraId="136DA646" w14:textId="0540EE6C" w:rsidR="00EC22AE" w:rsidRDefault="00A47A25">
      <w:pPr>
        <w:spacing w:before="200" w:line="360" w:lineRule="auto"/>
        <w:jc w:val="both"/>
        <w:rPr>
          <w:rFonts w:ascii="Times New Roman" w:eastAsia="Times New Roman" w:hAnsi="Times New Roman" w:cs="Times New Roman"/>
          <w:b/>
          <w:bCs/>
          <w:i/>
          <w:iCs/>
          <w:color w:val="222222"/>
          <w:sz w:val="24"/>
          <w:szCs w:val="24"/>
          <w:highlight w:val="white"/>
        </w:rPr>
      </w:pPr>
      <w:r>
        <w:rPr>
          <w:rFonts w:ascii="Times New Roman" w:eastAsia="Times New Roman" w:hAnsi="Times New Roman" w:cs="Times New Roman"/>
          <w:b/>
          <w:bCs/>
          <w:i/>
          <w:iCs/>
          <w:color w:val="222222"/>
          <w:sz w:val="24"/>
          <w:szCs w:val="24"/>
          <w:highlight w:val="white"/>
        </w:rPr>
        <w:t xml:space="preserve">Social </w:t>
      </w:r>
      <w:r w:rsidR="009829D2">
        <w:rPr>
          <w:rFonts w:ascii="Times New Roman" w:eastAsia="Times New Roman" w:hAnsi="Times New Roman" w:cs="Times New Roman"/>
          <w:b/>
          <w:bCs/>
          <w:i/>
          <w:iCs/>
          <w:color w:val="222222"/>
          <w:sz w:val="24"/>
          <w:szCs w:val="24"/>
          <w:highlight w:val="white"/>
        </w:rPr>
        <w:t>Factors</w:t>
      </w:r>
    </w:p>
    <w:p w14:paraId="709083A0" w14:textId="77777777" w:rsidR="00EC22AE" w:rsidRDefault="00A47A25">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demand for sustainable, affordable and high-quality products has increased in the global market (Lopes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2022). Growing practices of digitalisation, urbanisation and busy schedules have supported the business development model. The company is required to make continuous investment in innovation and sustainability; the impact of the social factors is moderately positive.</w:t>
      </w:r>
    </w:p>
    <w:p w14:paraId="731673CE" w14:textId="5B70EE6A" w:rsidR="00EC22AE" w:rsidRDefault="00A47A25">
      <w:pPr>
        <w:spacing w:before="200" w:line="360" w:lineRule="auto"/>
        <w:jc w:val="both"/>
        <w:rPr>
          <w:rFonts w:ascii="Times New Roman" w:eastAsia="Times New Roman" w:hAnsi="Times New Roman" w:cs="Times New Roman"/>
          <w:b/>
          <w:bCs/>
          <w:i/>
          <w:iCs/>
          <w:color w:val="222222"/>
          <w:sz w:val="24"/>
          <w:szCs w:val="24"/>
          <w:highlight w:val="white"/>
        </w:rPr>
      </w:pPr>
      <w:r>
        <w:rPr>
          <w:rFonts w:ascii="Times New Roman" w:eastAsia="Times New Roman" w:hAnsi="Times New Roman" w:cs="Times New Roman"/>
          <w:b/>
          <w:bCs/>
          <w:i/>
          <w:iCs/>
          <w:color w:val="222222"/>
          <w:sz w:val="24"/>
          <w:szCs w:val="24"/>
          <w:highlight w:val="white"/>
        </w:rPr>
        <w:t xml:space="preserve">Technology </w:t>
      </w:r>
      <w:r w:rsidR="009829D2">
        <w:rPr>
          <w:rFonts w:ascii="Times New Roman" w:eastAsia="Times New Roman" w:hAnsi="Times New Roman" w:cs="Times New Roman"/>
          <w:b/>
          <w:bCs/>
          <w:i/>
          <w:iCs/>
          <w:color w:val="222222"/>
          <w:sz w:val="24"/>
          <w:szCs w:val="24"/>
          <w:highlight w:val="white"/>
        </w:rPr>
        <w:t>Factors</w:t>
      </w:r>
    </w:p>
    <w:p w14:paraId="3F658838" w14:textId="77777777" w:rsidR="00EC22AE" w:rsidRDefault="00A47A25">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Technology and digitalisation are the major competitive advantages for InPost. The company has adopted automation, blockchain, and IoT services within the business to support efficiency and continuous growth. The impact of various technological factors is positive on the business.</w:t>
      </w:r>
    </w:p>
    <w:p w14:paraId="352792DA" w14:textId="3CAE3658" w:rsidR="00EC22AE" w:rsidRDefault="00A47A25">
      <w:pPr>
        <w:spacing w:before="200" w:line="360" w:lineRule="auto"/>
        <w:jc w:val="both"/>
        <w:rPr>
          <w:rFonts w:ascii="Times New Roman" w:eastAsia="Times New Roman" w:hAnsi="Times New Roman" w:cs="Times New Roman"/>
          <w:b/>
          <w:bCs/>
          <w:i/>
          <w:iCs/>
          <w:color w:val="222222"/>
          <w:sz w:val="24"/>
          <w:szCs w:val="24"/>
          <w:highlight w:val="white"/>
        </w:rPr>
      </w:pPr>
      <w:r>
        <w:rPr>
          <w:rFonts w:ascii="Times New Roman" w:eastAsia="Times New Roman" w:hAnsi="Times New Roman" w:cs="Times New Roman"/>
          <w:b/>
          <w:bCs/>
          <w:i/>
          <w:iCs/>
          <w:color w:val="222222"/>
          <w:sz w:val="24"/>
          <w:szCs w:val="24"/>
          <w:highlight w:val="white"/>
        </w:rPr>
        <w:t xml:space="preserve">Legal </w:t>
      </w:r>
      <w:r w:rsidR="009829D2">
        <w:rPr>
          <w:rFonts w:ascii="Times New Roman" w:eastAsia="Times New Roman" w:hAnsi="Times New Roman" w:cs="Times New Roman"/>
          <w:b/>
          <w:bCs/>
          <w:i/>
          <w:iCs/>
          <w:color w:val="222222"/>
          <w:sz w:val="24"/>
          <w:szCs w:val="24"/>
          <w:highlight w:val="white"/>
        </w:rPr>
        <w:t>Factors</w:t>
      </w:r>
    </w:p>
    <w:p w14:paraId="4A398C1D" w14:textId="77777777" w:rsidR="00EC22AE" w:rsidRDefault="00A47A2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In the process of protecting the data and information of the customers, organisations are required to follow the rules of GDPR and the Data Protection Act of the UK (Morić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2024). The organisation is required to comply with employment legislation, protection laws and security systems within the process to support the brand reputation in the global market. The impact of the legal factors is moderately negative for the business.</w:t>
      </w:r>
    </w:p>
    <w:p w14:paraId="1CC102FD" w14:textId="0596F713" w:rsidR="00EC22AE" w:rsidRDefault="00A47A25">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Environmental </w:t>
      </w:r>
      <w:r w:rsidR="009829D2">
        <w:rPr>
          <w:rFonts w:ascii="Times New Roman" w:eastAsia="Times New Roman" w:hAnsi="Times New Roman" w:cs="Times New Roman"/>
          <w:b/>
          <w:bCs/>
          <w:i/>
          <w:iCs/>
          <w:sz w:val="24"/>
          <w:szCs w:val="24"/>
        </w:rPr>
        <w:t>Factors</w:t>
      </w:r>
    </w:p>
    <w:p w14:paraId="339C5E35" w14:textId="740FA4F1" w:rsidR="00EC22AE" w:rsidRDefault="00A47A2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Environmental sustainability has become an increasingly important factor for organisations in the logistics industry. InPost is required to adopt sustainable strategies to reduce carbon emissions and support environmental </w:t>
      </w:r>
      <w:r w:rsidR="002B2126" w:rsidRPr="002B2126">
        <w:rPr>
          <w:rFonts w:ascii="Times New Roman" w:eastAsia="Times New Roman" w:hAnsi="Times New Roman" w:cs="Times New Roman"/>
          <w:sz w:val="24"/>
          <w:szCs w:val="24"/>
        </w:rPr>
        <w:t>sustainability</w:t>
      </w:r>
      <w:r>
        <w:rPr>
          <w:rFonts w:ascii="Times New Roman" w:eastAsia="Times New Roman" w:hAnsi="Times New Roman" w:cs="Times New Roman"/>
          <w:sz w:val="24"/>
          <w:szCs w:val="24"/>
          <w:highlight w:val="white"/>
        </w:rPr>
        <w:t>. These strategies can help the brand reduce the rate of carbon emissions, support waste management and reduce vehicle mileage. The increasing environmental impact and stakeholder expectations for sustainability have distorted green logistics within the system. The impact of the environmental features is negative for the company.</w:t>
      </w:r>
    </w:p>
    <w:p w14:paraId="10D6D6DF" w14:textId="77777777" w:rsidR="00EC22AE" w:rsidRDefault="00A47A25">
      <w:pPr>
        <w:pStyle w:val="Heading2"/>
        <w:spacing w:before="200" w:line="360" w:lineRule="auto"/>
      </w:pPr>
      <w:bookmarkStart w:id="5" w:name="_Toc235643004"/>
      <w:r>
        <w:t>2.2 Link to HR Functions</w:t>
      </w:r>
      <w:bookmarkEnd w:id="5"/>
      <w:r>
        <w:t xml:space="preserve"> </w:t>
      </w:r>
    </w:p>
    <w:p w14:paraId="1CFDE4A8" w14:textId="181478A8" w:rsidR="00EC22AE" w:rsidRDefault="00A47A2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company, in the process of developing its HR functions, can align the aspects of PESTLE analysis. HR of the company is required to follow the legal guidance and regulatory frameworks supporting the employment laws, health and safety, well-being and GDPR requirements for ensuring data protection and security. It is the responsibility of the human resource management of a company to ensure fair wages, employment regulations and labour rights within the business. The social factor of a business promotes the aspects of diversity and flexibility, supporting employee engagement, flexible working and adaptability within the business system. In order to ensure technological advancement within the business, the HR management of the organisation is required to promote employee training, digital skills development and automation in digital learning. The organisational strategy and culture </w:t>
      </w:r>
      <w:r w:rsidR="005678E3">
        <w:rPr>
          <w:rFonts w:ascii="Times New Roman" w:eastAsia="Times New Roman" w:hAnsi="Times New Roman" w:cs="Times New Roman"/>
          <w:sz w:val="24"/>
          <w:szCs w:val="24"/>
          <w:highlight w:val="white"/>
        </w:rPr>
        <w:t>are</w:t>
      </w:r>
      <w:r>
        <w:rPr>
          <w:rFonts w:ascii="Times New Roman" w:eastAsia="Times New Roman" w:hAnsi="Times New Roman" w:cs="Times New Roman"/>
          <w:sz w:val="24"/>
          <w:szCs w:val="24"/>
          <w:highlight w:val="white"/>
        </w:rPr>
        <w:t xml:space="preserve"> required to be aligned with the leadership strategies to support market competition and regulatory compliance, supporting the long-term growth of the business.</w:t>
      </w:r>
      <w:r w:rsidR="00981A23">
        <w:rPr>
          <w:rFonts w:ascii="Times New Roman" w:eastAsia="Times New Roman" w:hAnsi="Times New Roman" w:cs="Times New Roman"/>
          <w:sz w:val="24"/>
          <w:szCs w:val="24"/>
        </w:rPr>
        <w:t xml:space="preserve"> </w:t>
      </w:r>
      <w:r w:rsidR="00981A23" w:rsidRPr="00981A23">
        <w:rPr>
          <w:rFonts w:ascii="Times New Roman" w:eastAsia="Times New Roman" w:hAnsi="Times New Roman" w:cs="Times New Roman"/>
          <w:sz w:val="24"/>
          <w:szCs w:val="24"/>
        </w:rPr>
        <w:t xml:space="preserve">Strategic </w:t>
      </w:r>
      <w:r w:rsidR="00981A23">
        <w:rPr>
          <w:rFonts w:ascii="Times New Roman" w:eastAsia="Times New Roman" w:hAnsi="Times New Roman" w:cs="Times New Roman"/>
          <w:sz w:val="24"/>
          <w:szCs w:val="24"/>
        </w:rPr>
        <w:t xml:space="preserve">alignment with the </w:t>
      </w:r>
      <w:r w:rsidR="00981A23" w:rsidRPr="00981A23">
        <w:rPr>
          <w:rFonts w:ascii="Times New Roman" w:eastAsia="Times New Roman" w:hAnsi="Times New Roman" w:cs="Times New Roman"/>
          <w:sz w:val="24"/>
          <w:szCs w:val="24"/>
        </w:rPr>
        <w:t xml:space="preserve">HR </w:t>
      </w:r>
      <w:r w:rsidR="00981A23">
        <w:rPr>
          <w:rFonts w:ascii="Times New Roman" w:eastAsia="Times New Roman" w:hAnsi="Times New Roman" w:cs="Times New Roman"/>
          <w:sz w:val="24"/>
          <w:szCs w:val="24"/>
        </w:rPr>
        <w:t>function</w:t>
      </w:r>
      <w:r w:rsidR="00981A23" w:rsidRPr="00981A23">
        <w:rPr>
          <w:rFonts w:ascii="Times New Roman" w:eastAsia="Times New Roman" w:hAnsi="Times New Roman" w:cs="Times New Roman"/>
          <w:sz w:val="24"/>
          <w:szCs w:val="24"/>
        </w:rPr>
        <w:t xml:space="preserve"> </w:t>
      </w:r>
      <w:r w:rsidR="00981A23">
        <w:rPr>
          <w:rFonts w:ascii="Times New Roman" w:eastAsia="Times New Roman" w:hAnsi="Times New Roman" w:cs="Times New Roman"/>
          <w:sz w:val="24"/>
          <w:szCs w:val="24"/>
        </w:rPr>
        <w:t>builds</w:t>
      </w:r>
      <w:r w:rsidR="00981A23" w:rsidRPr="00981A23">
        <w:rPr>
          <w:rFonts w:ascii="Times New Roman" w:eastAsia="Times New Roman" w:hAnsi="Times New Roman" w:cs="Times New Roman"/>
          <w:sz w:val="24"/>
          <w:szCs w:val="24"/>
        </w:rPr>
        <w:t xml:space="preserve"> organisational </w:t>
      </w:r>
      <w:r w:rsidR="00981A23">
        <w:rPr>
          <w:rFonts w:ascii="Times New Roman" w:eastAsia="Times New Roman" w:hAnsi="Times New Roman" w:cs="Times New Roman"/>
          <w:sz w:val="24"/>
          <w:szCs w:val="24"/>
        </w:rPr>
        <w:t>strength</w:t>
      </w:r>
      <w:r w:rsidR="00981A23" w:rsidRPr="00981A23">
        <w:rPr>
          <w:rFonts w:ascii="Times New Roman" w:eastAsia="Times New Roman" w:hAnsi="Times New Roman" w:cs="Times New Roman"/>
          <w:sz w:val="24"/>
          <w:szCs w:val="24"/>
        </w:rPr>
        <w:t xml:space="preserve">, </w:t>
      </w:r>
      <w:r w:rsidR="009C2491">
        <w:rPr>
          <w:rFonts w:ascii="Times New Roman" w:eastAsia="Times New Roman" w:hAnsi="Times New Roman" w:cs="Times New Roman"/>
          <w:sz w:val="24"/>
          <w:szCs w:val="24"/>
        </w:rPr>
        <w:t xml:space="preserve">capability in the </w:t>
      </w:r>
      <w:r w:rsidR="00981A23" w:rsidRPr="00981A23">
        <w:rPr>
          <w:rFonts w:ascii="Times New Roman" w:eastAsia="Times New Roman" w:hAnsi="Times New Roman" w:cs="Times New Roman"/>
          <w:sz w:val="24"/>
          <w:szCs w:val="24"/>
        </w:rPr>
        <w:t xml:space="preserve">workforce and long-term competitive </w:t>
      </w:r>
      <w:r w:rsidR="009C2491">
        <w:rPr>
          <w:rFonts w:ascii="Times New Roman" w:eastAsia="Times New Roman" w:hAnsi="Times New Roman" w:cs="Times New Roman"/>
          <w:sz w:val="24"/>
          <w:szCs w:val="24"/>
        </w:rPr>
        <w:t>edge</w:t>
      </w:r>
      <w:r w:rsidR="00981A23" w:rsidRPr="00981A23">
        <w:rPr>
          <w:rFonts w:ascii="Times New Roman" w:eastAsia="Times New Roman" w:hAnsi="Times New Roman" w:cs="Times New Roman"/>
          <w:sz w:val="24"/>
          <w:szCs w:val="24"/>
        </w:rPr>
        <w:t xml:space="preserve"> during environmental change.</w:t>
      </w:r>
    </w:p>
    <w:p w14:paraId="5339CAFC" w14:textId="77777777" w:rsidR="00EC22AE" w:rsidRDefault="00A47A25">
      <w:pPr>
        <w:pStyle w:val="Heading1"/>
        <w:spacing w:before="200" w:line="360" w:lineRule="auto"/>
      </w:pPr>
      <w:bookmarkStart w:id="6" w:name="_Toc235643005"/>
      <w:r>
        <w:t>3.0 Organisation Application</w:t>
      </w:r>
      <w:bookmarkEnd w:id="6"/>
    </w:p>
    <w:p w14:paraId="6B2D0A19" w14:textId="77777777" w:rsidR="00EC22AE" w:rsidRDefault="00A47A25">
      <w:pPr>
        <w:pStyle w:val="Heading2"/>
        <w:spacing w:before="200" w:line="360" w:lineRule="auto"/>
        <w:jc w:val="both"/>
      </w:pPr>
      <w:bookmarkStart w:id="7" w:name="_Toc235643006"/>
      <w:r>
        <w:t>3.1 Organisation Introduction</w:t>
      </w:r>
      <w:bookmarkEnd w:id="7"/>
      <w:r>
        <w:t xml:space="preserve"> </w:t>
      </w:r>
    </w:p>
    <w:p w14:paraId="39E95825" w14:textId="7A1A70FA" w:rsidR="00EC22AE" w:rsidRDefault="00A47A2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InPost is a popular and leading out-of-home e-commerce platform in Europe. It was founded in 1999 in Poland by Rafal Brzoska. The company offers efficient delivery services through an out-of-home network. It includes door-to-door courier and fulfilment facilities for e-commerce merchandise. Following the excellent services in home delivery, the company has expanded their business in the UK and Italy (InPost, 2024b). Currently, the company operates with more than 40,000 AMPs and almost 33,000 PUDOs in nine European countries. The company is continuously making efforts to build its position beyond Poland with the launch of new services </w:t>
      </w:r>
      <w:r>
        <w:rPr>
          <w:rFonts w:ascii="Times New Roman" w:eastAsia="Times New Roman" w:hAnsi="Times New Roman" w:cs="Times New Roman"/>
          <w:sz w:val="24"/>
          <w:szCs w:val="24"/>
        </w:rPr>
        <w:lastRenderedPageBreak/>
        <w:t xml:space="preserve">and capitalising their synergies. InPost believes that offering new services allows them to </w:t>
      </w:r>
      <w:r w:rsidR="00AC7172" w:rsidRPr="00AC7172">
        <w:rPr>
          <w:rFonts w:ascii="Times New Roman" w:eastAsia="Times New Roman" w:hAnsi="Times New Roman" w:cs="Times New Roman"/>
          <w:sz w:val="24"/>
          <w:szCs w:val="24"/>
        </w:rPr>
        <w:t>expand customer usage and develop adjacent services</w:t>
      </w:r>
      <w:r>
        <w:rPr>
          <w:rFonts w:ascii="Times New Roman" w:eastAsia="Times New Roman" w:hAnsi="Times New Roman" w:cs="Times New Roman"/>
          <w:sz w:val="24"/>
          <w:szCs w:val="24"/>
        </w:rPr>
        <w:t>. Recently, InPost has successfully integrated Mondial Relay with UK acceleration, which has helped them to prioritise the international market (InPost, n.d.). They have also engaged with the use of digital technologies to optimise their business processes at international functions.</w:t>
      </w:r>
    </w:p>
    <w:p w14:paraId="47E74F0B" w14:textId="77777777" w:rsidR="00EC22AE" w:rsidRDefault="00A47A25">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7F437F5" wp14:editId="516EBCB8">
            <wp:extent cx="2586069" cy="2603500"/>
            <wp:effectExtent l="0" t="0" r="5080" b="63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589787" cy="2607243"/>
                    </a:xfrm>
                    <a:prstGeom prst="rect">
                      <a:avLst/>
                    </a:prstGeom>
                    <a:ln/>
                  </pic:spPr>
                </pic:pic>
              </a:graphicData>
            </a:graphic>
          </wp:inline>
        </w:drawing>
      </w:r>
    </w:p>
    <w:p w14:paraId="0FD03D67" w14:textId="77777777" w:rsidR="00EC22AE" w:rsidRDefault="00A47A25">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InPost Services</w:t>
      </w:r>
    </w:p>
    <w:p w14:paraId="42D05B2E" w14:textId="77777777" w:rsidR="00EC22AE" w:rsidRDefault="00A47A25">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InPost, 2024) </w:t>
      </w:r>
    </w:p>
    <w:p w14:paraId="4E46C77B" w14:textId="77777777" w:rsidR="00EC22AE" w:rsidRDefault="00A47A25">
      <w:pPr>
        <w:pStyle w:val="Heading2"/>
        <w:spacing w:before="200" w:line="360" w:lineRule="auto"/>
        <w:jc w:val="both"/>
      </w:pPr>
      <w:bookmarkStart w:id="8" w:name="_Toc235643007"/>
      <w:r>
        <w:t>3.2 HR Practices</w:t>
      </w:r>
      <w:bookmarkEnd w:id="8"/>
    </w:p>
    <w:p w14:paraId="0C5F9660" w14:textId="77777777" w:rsidR="00EC22AE" w:rsidRDefault="00A47A2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 practices at InPost support the excellent international expansion. It mainly focuses on recruitment, workforce development, performance management and employee engagement.  Recruitment strategy at the organisation involves a combination of digital and physical hiring strategies. It helps to attract a talented workforce. Meanwhile, excellent career opportunities and training practices facilitate workforce retention. Moreover, performance management involves the offering of constructive performance reviews and feedback. This allows InPost to support improvement in workforce performance (InPost, 2024a). Furthermore, employee relations are managed through equity, diversity and inclusion policies and maintaining compliance with employment legislation. </w:t>
      </w:r>
    </w:p>
    <w:p w14:paraId="4A188870" w14:textId="77777777" w:rsidR="00EC22AE" w:rsidRDefault="00A47A25">
      <w:pPr>
        <w:pStyle w:val="Heading1"/>
        <w:spacing w:before="200" w:line="360" w:lineRule="auto"/>
      </w:pPr>
      <w:bookmarkStart w:id="9" w:name="_Toc235643008"/>
      <w:r>
        <w:lastRenderedPageBreak/>
        <w:t>4.0 Application of Model</w:t>
      </w:r>
      <w:bookmarkEnd w:id="9"/>
    </w:p>
    <w:p w14:paraId="2A3706EE" w14:textId="77777777" w:rsidR="00EC22AE" w:rsidRDefault="00A47A25">
      <w:pPr>
        <w:pStyle w:val="Heading2"/>
        <w:spacing w:before="200" w:line="360" w:lineRule="auto"/>
        <w:jc w:val="both"/>
      </w:pPr>
      <w:bookmarkStart w:id="10" w:name="_Toc235643009"/>
      <w:r>
        <w:t>4.1 Impact on Organisation</w:t>
      </w:r>
      <w:bookmarkEnd w:id="10"/>
    </w:p>
    <w:p w14:paraId="1C11B4ED" w14:textId="08963195" w:rsidR="00EC22AE" w:rsidRDefault="00A47A25">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selected model of </w:t>
      </w:r>
      <w:r w:rsidR="00630B86" w:rsidRPr="00630B86">
        <w:rPr>
          <w:rFonts w:ascii="Times New Roman" w:eastAsia="Times New Roman" w:hAnsi="Times New Roman" w:cs="Times New Roman"/>
          <w:sz w:val="24"/>
          <w:szCs w:val="24"/>
        </w:rPr>
        <w:t>PESTLE provides a framework for understanding</w:t>
      </w:r>
      <w:r w:rsidR="00630B8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external environment factors impacting HR practices at InPost. Operating as a multinational logistics organisation, the business is likely to </w:t>
      </w:r>
      <w:r w:rsidR="0041445A" w:rsidRPr="0041445A">
        <w:rPr>
          <w:rFonts w:ascii="Times New Roman" w:eastAsia="Times New Roman" w:hAnsi="Times New Roman" w:cs="Times New Roman"/>
          <w:sz w:val="24"/>
          <w:szCs w:val="24"/>
        </w:rPr>
        <w:t>experience the impact of the external environment</w:t>
      </w:r>
      <w:r>
        <w:rPr>
          <w:rFonts w:ascii="Times New Roman" w:eastAsia="Times New Roman" w:hAnsi="Times New Roman" w:cs="Times New Roman"/>
          <w:sz w:val="24"/>
          <w:szCs w:val="24"/>
        </w:rPr>
        <w:t>. Based on these, InPost is required to continuously adapt its HR practices to changing environmental factors. These factors have a direct impact on training, performance management and workforce regulations. In the context of political factors, it can impact the HR activities of InPost. It involves labour legislation, government employment regulations, changing taxation and immigration policy. In this context, HR managers in the organisation need to ensure alignment with government standards, especially developing recruitment strategies, employment contracts, and policies. Political instability and continuous changes in the regulations have a major impact on workforce planning (Su and Xie, 2023). Therefore, HR managers at InPost are required to monitor changing policies regularly to minimise risk.</w:t>
      </w:r>
    </w:p>
    <w:p w14:paraId="6E56A11E" w14:textId="77777777" w:rsidR="00EC22AE" w:rsidRDefault="00A47A25">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Additionally, economic conditions can also impact the HR functions.  For instance, changing inflation rates, labour shortages and increasing wage expectations can impact recruitment costs and put pressure on organisations (Cova, 2024). During the demand for parcel delivery at a high level, the company is likely to develop productivity and profitability. However, economic uncertainties can raise pressure on HR managers to control labour wage expectations and labour costs. Social factors indicate that there is an influence of changing employee expectations, institutional culture and workforce diversity. The current workforce is likely to prefer flexible working arrangements along with diversity, inclusion and excellent career opportunities (</w:t>
      </w:r>
      <w:proofErr w:type="spellStart"/>
      <w:r>
        <w:rPr>
          <w:rFonts w:ascii="Times New Roman" w:eastAsia="Times New Roman" w:hAnsi="Times New Roman" w:cs="Times New Roman"/>
          <w:sz w:val="24"/>
          <w:szCs w:val="24"/>
        </w:rPr>
        <w:t>Yimsook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Theerakosonphong</w:t>
      </w:r>
      <w:proofErr w:type="spellEnd"/>
      <w:r>
        <w:rPr>
          <w:rFonts w:ascii="Times New Roman" w:eastAsia="Times New Roman" w:hAnsi="Times New Roman" w:cs="Times New Roman"/>
          <w:sz w:val="24"/>
          <w:szCs w:val="24"/>
        </w:rPr>
        <w:t xml:space="preserve">, 2026). In this context, HR managers working at InPost are required to develop an inclusive and diverse working environment. This environment can allow employees to thrive and be involved in different activities. It can efficiently support satisfaction and workforce retention. </w:t>
      </w:r>
    </w:p>
    <w:p w14:paraId="0C6FDE82" w14:textId="4897B23F" w:rsidR="00EC22AE" w:rsidRDefault="00A47A25">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technological factors support the opportunity for HR functions to operate digitally. Initially, the functions of InPost are dependent on digital systems like a digital tracking platform, data analytics, automated parcel lockers and artificial intelligence (InPost EU, 2024). These technologies support the operational proficiency of the company. However, </w:t>
      </w:r>
      <w:r w:rsidR="0041445A" w:rsidRPr="0041445A">
        <w:rPr>
          <w:rFonts w:ascii="Times New Roman" w:eastAsia="Times New Roman" w:hAnsi="Times New Roman" w:cs="Times New Roman"/>
          <w:sz w:val="24"/>
          <w:szCs w:val="24"/>
        </w:rPr>
        <w:t>using these technologies requires</w:t>
      </w:r>
      <w:r w:rsidR="0041445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digital competencies among the workforce (</w:t>
      </w:r>
      <w:proofErr w:type="spellStart"/>
      <w:r>
        <w:rPr>
          <w:rFonts w:ascii="Times New Roman" w:eastAsia="Times New Roman" w:hAnsi="Times New Roman" w:cs="Times New Roman"/>
          <w:sz w:val="24"/>
          <w:szCs w:val="24"/>
        </w:rPr>
        <w:t>Audrin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Audrin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and Salamin, 2024). Therefore, HR managers need to play a role in offering digital training </w:t>
      </w:r>
      <w:r w:rsidR="0041445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to improve the digital skills of the workforce. Engaging the workforce with digital onboarding, electronic performance management, virtual learning, e-learning platforms and digital interviews improves the efficiency of the HR department. Moreover, legal factors also showcase their influence on HR responsibilities. As InPost operates within different European countries, they are likely to comply with varying employment legislation, safety standards, Working regulations and GDPR. Maintaining compliance with regional standards is important to protect the institution from penalties, reputational damage and disputes (Seera, Subramaniam and Samuel, 2025). Therefore, HR managers need to adopt a strategy to comply with the regional standards to remain adaptable across different countries. In terms of environmental factors, there is a higher sustainability awareness among consumers towards logistics sectors. InPost is already engaged with the offering of sustainable logistics practices with their automated lockers and sustainable transportation (InPost, 2024c). However, to meet changing environmental expectations of customers, HR managers need to equip their workers with environmental responsibilities. </w:t>
      </w:r>
      <w:r w:rsidR="0041445A" w:rsidRPr="0041445A">
        <w:rPr>
          <w:rFonts w:ascii="Times New Roman" w:eastAsia="Times New Roman" w:hAnsi="Times New Roman" w:cs="Times New Roman"/>
          <w:sz w:val="24"/>
          <w:szCs w:val="24"/>
        </w:rPr>
        <w:t>This could be facilitated through training progra</w:t>
      </w:r>
      <w:r w:rsidR="007865A5">
        <w:rPr>
          <w:rFonts w:ascii="Times New Roman" w:eastAsia="Times New Roman" w:hAnsi="Times New Roman" w:cs="Times New Roman"/>
          <w:sz w:val="24"/>
          <w:szCs w:val="24"/>
        </w:rPr>
        <w:t>m</w:t>
      </w:r>
      <w:r w:rsidR="00535C00">
        <w:rPr>
          <w:rFonts w:ascii="Times New Roman" w:eastAsia="Times New Roman" w:hAnsi="Times New Roman" w:cs="Times New Roman"/>
          <w:sz w:val="24"/>
          <w:szCs w:val="24"/>
        </w:rPr>
        <w:t>s</w:t>
      </w:r>
      <w:r w:rsidR="0041445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motivation. </w:t>
      </w:r>
    </w:p>
    <w:p w14:paraId="3AB7D634" w14:textId="77777777" w:rsidR="00EC22AE" w:rsidRDefault="00A47A25">
      <w:pPr>
        <w:pStyle w:val="Heading2"/>
        <w:spacing w:before="200" w:line="360" w:lineRule="auto"/>
        <w:jc w:val="both"/>
      </w:pPr>
      <w:bookmarkStart w:id="11" w:name="_Toc235643010"/>
      <w:r>
        <w:t>4.2 Country Differences</w:t>
      </w:r>
      <w:bookmarkEnd w:id="11"/>
    </w:p>
    <w:p w14:paraId="39A14C7A" w14:textId="0B8EC315" w:rsidR="00EC22AE" w:rsidRDefault="00A47A25">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Making improvements in HR practices is needed for InPost while operating within multiple European countries. This is needed based on the changing culture, legal standards and economic uncertainties. Even if the company has similar corporate values, its HR policies need to reflect regional standards or country-specific requirements. Cultural differences are one of the factors impacting leadership, workforce motivation and workplace expectations (Chua, Sun and Sinha, 2023). Countries like the United Kingdom are likely to promote workforce participation and flexible working arrangements. Meanwhile, Central and Eastern European countries possess a major focus on hierarchical organisational models (Swindle, Dorius and Melegh, 2019). Therefore, HR managers need to adopt varying leadership styles to meet cultural differences. Additionally, legal regulations are also changing from region to region. InPost can experience the variations in employment regulations, wage standards, working arrangements and protection in countries like Poland, France, Spain, the UK and Italy. For this, managers must comply with the regional employment regulations by maintaining consistency in organisational policies. </w:t>
      </w:r>
      <w:r w:rsidR="00974029" w:rsidRPr="00974029">
        <w:rPr>
          <w:rFonts w:ascii="Times New Roman" w:eastAsia="Times New Roman" w:hAnsi="Times New Roman" w:cs="Times New Roman"/>
          <w:sz w:val="24"/>
          <w:szCs w:val="24"/>
        </w:rPr>
        <w:t xml:space="preserve">Localised </w:t>
      </w:r>
      <w:r w:rsidR="00291448">
        <w:rPr>
          <w:rFonts w:ascii="Times New Roman" w:eastAsia="Times New Roman" w:hAnsi="Times New Roman" w:cs="Times New Roman"/>
          <w:sz w:val="24"/>
          <w:szCs w:val="24"/>
        </w:rPr>
        <w:t xml:space="preserve">policies of </w:t>
      </w:r>
      <w:r w:rsidR="00974029" w:rsidRPr="00974029">
        <w:rPr>
          <w:rFonts w:ascii="Times New Roman" w:eastAsia="Times New Roman" w:hAnsi="Times New Roman" w:cs="Times New Roman"/>
          <w:sz w:val="24"/>
          <w:szCs w:val="24"/>
        </w:rPr>
        <w:t xml:space="preserve">HR </w:t>
      </w:r>
      <w:r w:rsidR="00291448">
        <w:rPr>
          <w:rFonts w:ascii="Times New Roman" w:eastAsia="Times New Roman" w:hAnsi="Times New Roman" w:cs="Times New Roman"/>
          <w:sz w:val="24"/>
          <w:szCs w:val="24"/>
        </w:rPr>
        <w:t>additionally</w:t>
      </w:r>
      <w:r w:rsidR="00974029" w:rsidRPr="00974029">
        <w:rPr>
          <w:rFonts w:ascii="Times New Roman" w:eastAsia="Times New Roman" w:hAnsi="Times New Roman" w:cs="Times New Roman"/>
          <w:sz w:val="24"/>
          <w:szCs w:val="24"/>
        </w:rPr>
        <w:t xml:space="preserve"> </w:t>
      </w:r>
      <w:r w:rsidR="00291448">
        <w:rPr>
          <w:rFonts w:ascii="Times New Roman" w:eastAsia="Times New Roman" w:hAnsi="Times New Roman" w:cs="Times New Roman"/>
          <w:sz w:val="24"/>
          <w:szCs w:val="24"/>
        </w:rPr>
        <w:t>enhance</w:t>
      </w:r>
      <w:r w:rsidR="00974029" w:rsidRPr="00974029">
        <w:rPr>
          <w:rFonts w:ascii="Times New Roman" w:eastAsia="Times New Roman" w:hAnsi="Times New Roman" w:cs="Times New Roman"/>
          <w:sz w:val="24"/>
          <w:szCs w:val="24"/>
        </w:rPr>
        <w:t xml:space="preserve"> employee engagement, legal </w:t>
      </w:r>
      <w:r w:rsidR="00291448">
        <w:rPr>
          <w:rFonts w:ascii="Times New Roman" w:eastAsia="Times New Roman" w:hAnsi="Times New Roman" w:cs="Times New Roman"/>
          <w:sz w:val="24"/>
          <w:szCs w:val="24"/>
        </w:rPr>
        <w:t>adherence</w:t>
      </w:r>
      <w:r w:rsidR="00974029" w:rsidRPr="00974029">
        <w:rPr>
          <w:rFonts w:ascii="Times New Roman" w:eastAsia="Times New Roman" w:hAnsi="Times New Roman" w:cs="Times New Roman"/>
          <w:sz w:val="24"/>
          <w:szCs w:val="24"/>
        </w:rPr>
        <w:t xml:space="preserve"> and organisational </w:t>
      </w:r>
      <w:r w:rsidR="00291448">
        <w:rPr>
          <w:rFonts w:ascii="Times New Roman" w:eastAsia="Times New Roman" w:hAnsi="Times New Roman" w:cs="Times New Roman"/>
          <w:sz w:val="24"/>
          <w:szCs w:val="24"/>
        </w:rPr>
        <w:t>efficacy</w:t>
      </w:r>
      <w:r w:rsidR="00974029" w:rsidRPr="00974029">
        <w:rPr>
          <w:rFonts w:ascii="Times New Roman" w:eastAsia="Times New Roman" w:hAnsi="Times New Roman" w:cs="Times New Roman"/>
          <w:sz w:val="24"/>
          <w:szCs w:val="24"/>
        </w:rPr>
        <w:t xml:space="preserve"> across </w:t>
      </w:r>
      <w:r w:rsidR="00630B86">
        <w:rPr>
          <w:rFonts w:ascii="Times New Roman" w:eastAsia="Times New Roman" w:hAnsi="Times New Roman" w:cs="Times New Roman"/>
          <w:sz w:val="24"/>
          <w:szCs w:val="24"/>
        </w:rPr>
        <w:t>global</w:t>
      </w:r>
      <w:r w:rsidR="00974029" w:rsidRPr="00974029">
        <w:rPr>
          <w:rFonts w:ascii="Times New Roman" w:eastAsia="Times New Roman" w:hAnsi="Times New Roman" w:cs="Times New Roman"/>
          <w:sz w:val="24"/>
          <w:szCs w:val="24"/>
        </w:rPr>
        <w:t xml:space="preserve"> operations.</w:t>
      </w:r>
      <w:r w:rsidR="0097402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Failing to </w:t>
      </w:r>
      <w:r>
        <w:rPr>
          <w:rFonts w:ascii="Times New Roman" w:eastAsia="Times New Roman" w:hAnsi="Times New Roman" w:cs="Times New Roman"/>
          <w:sz w:val="24"/>
          <w:szCs w:val="24"/>
        </w:rPr>
        <w:lastRenderedPageBreak/>
        <w:t xml:space="preserve">meet regulations and standards causes reputational damage and penalties (Chua, Sun and Sinha, 2023). Additionally, there is a variation in the economic, technological and environmental dimensions across countries. This can affect the operational efficiency of the business. For economic dimensions, managers need to invest in workforce development and training to improve their abilities. Meanwhile, </w:t>
      </w:r>
      <w:r w:rsidR="003367FB" w:rsidRPr="003367FB">
        <w:rPr>
          <w:rFonts w:ascii="Times New Roman" w:eastAsia="Times New Roman" w:hAnsi="Times New Roman" w:cs="Times New Roman"/>
          <w:sz w:val="24"/>
          <w:szCs w:val="24"/>
        </w:rPr>
        <w:t>technological readiness can be improved through digital training</w:t>
      </w:r>
      <w:r>
        <w:rPr>
          <w:rFonts w:ascii="Times New Roman" w:eastAsia="Times New Roman" w:hAnsi="Times New Roman" w:cs="Times New Roman"/>
          <w:sz w:val="24"/>
          <w:szCs w:val="24"/>
        </w:rPr>
        <w:t xml:space="preserve">, and </w:t>
      </w:r>
      <w:r w:rsidR="008B4B39" w:rsidRPr="008B4B39">
        <w:rPr>
          <w:rFonts w:ascii="Times New Roman" w:eastAsia="Times New Roman" w:hAnsi="Times New Roman" w:cs="Times New Roman"/>
          <w:sz w:val="24"/>
          <w:szCs w:val="24"/>
        </w:rPr>
        <w:t>environmental expectations can be met by improving employees' knowledge</w:t>
      </w:r>
      <w:r w:rsidR="008B4B3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 sustainability policies.</w:t>
      </w:r>
    </w:p>
    <w:p w14:paraId="7BFFB803" w14:textId="77777777" w:rsidR="00EC22AE" w:rsidRDefault="00A47A25">
      <w:pPr>
        <w:pStyle w:val="Heading1"/>
        <w:spacing w:before="200" w:line="360" w:lineRule="auto"/>
      </w:pPr>
      <w:bookmarkStart w:id="12" w:name="_Toc235643011"/>
      <w:r>
        <w:t>5.0 Conclusion</w:t>
      </w:r>
      <w:bookmarkEnd w:id="12"/>
    </w:p>
    <w:p w14:paraId="1C43472C" w14:textId="77777777" w:rsidR="00EC22AE" w:rsidRDefault="00A47A25">
      <w:pPr>
        <w:pStyle w:val="Heading2"/>
        <w:spacing w:before="200" w:line="360" w:lineRule="auto"/>
        <w:jc w:val="both"/>
      </w:pPr>
      <w:bookmarkStart w:id="13" w:name="_Toc235643012"/>
      <w:r>
        <w:t>5.1 Summary</w:t>
      </w:r>
      <w:bookmarkEnd w:id="13"/>
    </w:p>
    <w:p w14:paraId="5C0E3508" w14:textId="7358F78B" w:rsidR="00EC22AE" w:rsidRDefault="00A47A2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supports a significant function of HRM in achieving success. It is identified that </w:t>
      </w:r>
      <w:r w:rsidR="008B4B39" w:rsidRPr="008B4B39">
        <w:rPr>
          <w:rFonts w:ascii="Times New Roman" w:eastAsia="Times New Roman" w:hAnsi="Times New Roman" w:cs="Times New Roman"/>
          <w:sz w:val="24"/>
          <w:szCs w:val="24"/>
        </w:rPr>
        <w:t>HR has an important role</w:t>
      </w:r>
      <w:r>
        <w:rPr>
          <w:rFonts w:ascii="Times New Roman" w:eastAsia="Times New Roman" w:hAnsi="Times New Roman" w:cs="Times New Roman"/>
          <w:sz w:val="24"/>
          <w:szCs w:val="24"/>
        </w:rPr>
        <w:t xml:space="preserve"> in </w:t>
      </w:r>
      <w:r w:rsidR="008B4B39" w:rsidRPr="008B4B39">
        <w:rPr>
          <w:rFonts w:ascii="Times New Roman" w:eastAsia="Times New Roman" w:hAnsi="Times New Roman" w:cs="Times New Roman"/>
          <w:sz w:val="24"/>
          <w:szCs w:val="24"/>
        </w:rPr>
        <w:t>recruitment, selection, retention, training and development, performance management and employee relations</w:t>
      </w:r>
      <w:r>
        <w:rPr>
          <w:rFonts w:ascii="Times New Roman" w:eastAsia="Times New Roman" w:hAnsi="Times New Roman" w:cs="Times New Roman"/>
          <w:sz w:val="24"/>
          <w:szCs w:val="24"/>
        </w:rPr>
        <w:t xml:space="preserve">. The selected model for the report is PESTLE, which provides an understanding of external factors and their impact on decisions about HR practices. The analysis has highlighted the case of the InPost organisation, which functions in different international markets. </w:t>
      </w:r>
      <w:r w:rsidR="00AC7172" w:rsidRPr="00AC7172">
        <w:rPr>
          <w:rFonts w:ascii="Times New Roman" w:eastAsia="Times New Roman" w:hAnsi="Times New Roman" w:cs="Times New Roman"/>
          <w:sz w:val="24"/>
          <w:szCs w:val="24"/>
        </w:rPr>
        <w:t>Given its international operations</w:t>
      </w:r>
      <w:r>
        <w:rPr>
          <w:rFonts w:ascii="Times New Roman" w:eastAsia="Times New Roman" w:hAnsi="Times New Roman" w:cs="Times New Roman"/>
          <w:sz w:val="24"/>
          <w:szCs w:val="24"/>
        </w:rPr>
        <w:t>, the company requires an efficient HR function that responds to changing external conditions. These factors have a major influence on HR functions. The impact of external factors varies from country to country.</w:t>
      </w:r>
    </w:p>
    <w:p w14:paraId="281549C7" w14:textId="77777777" w:rsidR="00EC22AE" w:rsidRDefault="00A47A25">
      <w:pPr>
        <w:pStyle w:val="Heading2"/>
        <w:spacing w:before="200" w:line="360" w:lineRule="auto"/>
        <w:jc w:val="both"/>
      </w:pPr>
      <w:bookmarkStart w:id="14" w:name="_Toc235643013"/>
      <w:r>
        <w:t>5.2 Future Implications</w:t>
      </w:r>
      <w:bookmarkEnd w:id="14"/>
    </w:p>
    <w:p w14:paraId="58C3753F" w14:textId="0B38F66C" w:rsidR="002006E7" w:rsidRPr="002006E7" w:rsidRDefault="00A47A25" w:rsidP="002006E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future implications for the business will be the opportunity to engage with the new HR practices and manage challenges efficiently. </w:t>
      </w:r>
      <w:r w:rsidR="002006E7" w:rsidRPr="002006E7">
        <w:rPr>
          <w:rFonts w:ascii="Times New Roman" w:eastAsia="Times New Roman" w:hAnsi="Times New Roman" w:cs="Times New Roman"/>
          <w:sz w:val="24"/>
          <w:szCs w:val="24"/>
        </w:rPr>
        <w:t>Considering the global environment in which the company operates, there is a higher chance of experience in the struggle in maintaining HR practices. The major reasons behind the changing environment is the technological adaptation, consumer expectations, workforce expectations and competition. For this HR needs to focus on remaining adaptable and possesses new abilities.</w:t>
      </w:r>
      <w:bookmarkStart w:id="15" w:name="_Toc235643014"/>
    </w:p>
    <w:p w14:paraId="0DAA9280" w14:textId="77777777" w:rsidR="002006E7" w:rsidRDefault="002006E7" w:rsidP="000A3ACB">
      <w:pPr>
        <w:pStyle w:val="Heading1"/>
        <w:spacing w:after="240" w:line="360" w:lineRule="auto"/>
      </w:pPr>
    </w:p>
    <w:p w14:paraId="6DE04496" w14:textId="77777777" w:rsidR="00577F66" w:rsidRDefault="00577F66">
      <w:pPr>
        <w:rPr>
          <w:rFonts w:ascii="Times New Roman" w:eastAsia="Times New Roman" w:hAnsi="Times New Roman" w:cs="Times New Roman"/>
          <w:b/>
          <w:bCs/>
          <w:sz w:val="24"/>
          <w:szCs w:val="24"/>
        </w:rPr>
      </w:pPr>
      <w:r>
        <w:br w:type="page"/>
      </w:r>
    </w:p>
    <w:p w14:paraId="1CF55D96" w14:textId="125F522D" w:rsidR="00EC22AE" w:rsidRDefault="00A47A25" w:rsidP="000A3ACB">
      <w:pPr>
        <w:pStyle w:val="Heading1"/>
        <w:spacing w:after="240" w:line="360" w:lineRule="auto"/>
      </w:pPr>
      <w:r>
        <w:lastRenderedPageBreak/>
        <w:t>References</w:t>
      </w:r>
      <w:bookmarkEnd w:id="15"/>
      <w:r>
        <w:t xml:space="preserve"> </w:t>
      </w:r>
    </w:p>
    <w:p w14:paraId="0C140A27" w14:textId="2AA57CA6"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Alam, M.J., Ullah, M.S., Islam, M. and Chowdhury, T.A. (2024) ‘Human resource management practices and employee engagement: The moderating effect of supervisory role’, </w:t>
      </w:r>
      <w:r w:rsidRPr="00276E9C">
        <w:rPr>
          <w:rFonts w:ascii="Times New Roman" w:eastAsia="Times New Roman" w:hAnsi="Times New Roman" w:cs="Times New Roman"/>
          <w:i/>
          <w:iCs/>
          <w:color w:val="222222"/>
          <w:sz w:val="24"/>
          <w:szCs w:val="24"/>
          <w:highlight w:val="white"/>
        </w:rPr>
        <w:t>Cogent Business &amp; Man</w:t>
      </w:r>
      <w:r w:rsidR="00AD6175">
        <w:rPr>
          <w:rFonts w:ascii="Times New Roman" w:eastAsia="Times New Roman" w:hAnsi="Times New Roman" w:cs="Times New Roman"/>
          <w:i/>
          <w:iCs/>
          <w:color w:val="222222"/>
          <w:sz w:val="24"/>
          <w:szCs w:val="24"/>
          <w:highlight w:val="white"/>
        </w:rPr>
        <w:t>ag</w:t>
      </w:r>
      <w:r w:rsidRPr="00276E9C">
        <w:rPr>
          <w:rFonts w:ascii="Times New Roman" w:eastAsia="Times New Roman" w:hAnsi="Times New Roman" w:cs="Times New Roman"/>
          <w:i/>
          <w:iCs/>
          <w:color w:val="222222"/>
          <w:sz w:val="24"/>
          <w:szCs w:val="24"/>
          <w:highlight w:val="white"/>
        </w:rPr>
        <w:t>ement</w:t>
      </w:r>
      <w:r w:rsidRPr="00276E9C">
        <w:rPr>
          <w:rFonts w:ascii="Times New Roman" w:eastAsia="Times New Roman" w:hAnsi="Times New Roman" w:cs="Times New Roman"/>
          <w:color w:val="222222"/>
          <w:sz w:val="24"/>
          <w:szCs w:val="24"/>
          <w:highlight w:val="white"/>
        </w:rPr>
        <w:t>, 11(1).</w:t>
      </w:r>
    </w:p>
    <w:p w14:paraId="77D638A8"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Arokiasamy, L., Fujikawa, T., </w:t>
      </w:r>
      <w:proofErr w:type="spellStart"/>
      <w:r w:rsidRPr="00276E9C">
        <w:rPr>
          <w:rFonts w:ascii="Times New Roman" w:eastAsia="Times New Roman" w:hAnsi="Times New Roman" w:cs="Times New Roman"/>
          <w:color w:val="222222"/>
          <w:sz w:val="24"/>
          <w:szCs w:val="24"/>
          <w:highlight w:val="white"/>
        </w:rPr>
        <w:t>Piaralal</w:t>
      </w:r>
      <w:proofErr w:type="spellEnd"/>
      <w:r w:rsidRPr="00276E9C">
        <w:rPr>
          <w:rFonts w:ascii="Times New Roman" w:eastAsia="Times New Roman" w:hAnsi="Times New Roman" w:cs="Times New Roman"/>
          <w:color w:val="222222"/>
          <w:sz w:val="24"/>
          <w:szCs w:val="24"/>
          <w:highlight w:val="white"/>
        </w:rPr>
        <w:t xml:space="preserve">, S.K. and Arumugam, T. (2024) ‘Role of HRM practices in Organization performance: A survey approach’, </w:t>
      </w:r>
      <w:r w:rsidRPr="00276E9C">
        <w:rPr>
          <w:rFonts w:ascii="Times New Roman" w:eastAsia="Times New Roman" w:hAnsi="Times New Roman" w:cs="Times New Roman"/>
          <w:i/>
          <w:iCs/>
          <w:color w:val="222222"/>
          <w:sz w:val="24"/>
          <w:szCs w:val="24"/>
          <w:highlight w:val="white"/>
        </w:rPr>
        <w:t xml:space="preserve">International Journal of </w:t>
      </w:r>
      <w:proofErr w:type="spellStart"/>
      <w:r w:rsidRPr="00276E9C">
        <w:rPr>
          <w:rFonts w:ascii="Times New Roman" w:eastAsia="Times New Roman" w:hAnsi="Times New Roman" w:cs="Times New Roman"/>
          <w:i/>
          <w:iCs/>
          <w:color w:val="222222"/>
          <w:sz w:val="24"/>
          <w:szCs w:val="24"/>
          <w:highlight w:val="white"/>
        </w:rPr>
        <w:t>Sociotechnology</w:t>
      </w:r>
      <w:proofErr w:type="spellEnd"/>
      <w:r w:rsidRPr="00276E9C">
        <w:rPr>
          <w:rFonts w:ascii="Times New Roman" w:eastAsia="Times New Roman" w:hAnsi="Times New Roman" w:cs="Times New Roman"/>
          <w:i/>
          <w:iCs/>
          <w:color w:val="222222"/>
          <w:sz w:val="24"/>
          <w:szCs w:val="24"/>
          <w:highlight w:val="white"/>
        </w:rPr>
        <w:t xml:space="preserve"> and Knowledge Development (</w:t>
      </w:r>
      <w:proofErr w:type="spellStart"/>
      <w:r w:rsidRPr="00276E9C">
        <w:rPr>
          <w:rFonts w:ascii="Times New Roman" w:eastAsia="Times New Roman" w:hAnsi="Times New Roman" w:cs="Times New Roman"/>
          <w:i/>
          <w:iCs/>
          <w:color w:val="222222"/>
          <w:sz w:val="24"/>
          <w:szCs w:val="24"/>
          <w:highlight w:val="white"/>
        </w:rPr>
        <w:t>ijskd</w:t>
      </w:r>
      <w:proofErr w:type="spellEnd"/>
      <w:r w:rsidRPr="00276E9C">
        <w:rPr>
          <w:rFonts w:ascii="Times New Roman" w:eastAsia="Times New Roman" w:hAnsi="Times New Roman" w:cs="Times New Roman"/>
          <w:i/>
          <w:iCs/>
          <w:color w:val="222222"/>
          <w:sz w:val="24"/>
          <w:szCs w:val="24"/>
          <w:highlight w:val="white"/>
        </w:rPr>
        <w:t>)</w:t>
      </w:r>
      <w:r w:rsidRPr="00276E9C">
        <w:rPr>
          <w:rFonts w:ascii="Times New Roman" w:eastAsia="Times New Roman" w:hAnsi="Times New Roman" w:cs="Times New Roman"/>
          <w:color w:val="222222"/>
          <w:sz w:val="24"/>
          <w:szCs w:val="24"/>
          <w:highlight w:val="white"/>
        </w:rPr>
        <w:t xml:space="preserve">, 16(1), pp.1–32. </w:t>
      </w:r>
    </w:p>
    <w:p w14:paraId="7048719A"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proofErr w:type="spellStart"/>
      <w:r w:rsidRPr="00276E9C">
        <w:rPr>
          <w:rFonts w:ascii="Times New Roman" w:eastAsia="Times New Roman" w:hAnsi="Times New Roman" w:cs="Times New Roman"/>
          <w:color w:val="222222"/>
          <w:sz w:val="24"/>
          <w:szCs w:val="24"/>
          <w:highlight w:val="white"/>
        </w:rPr>
        <w:t>Audrin</w:t>
      </w:r>
      <w:proofErr w:type="spellEnd"/>
      <w:r w:rsidRPr="00276E9C">
        <w:rPr>
          <w:rFonts w:ascii="Times New Roman" w:eastAsia="Times New Roman" w:hAnsi="Times New Roman" w:cs="Times New Roman"/>
          <w:color w:val="222222"/>
          <w:sz w:val="24"/>
          <w:szCs w:val="24"/>
          <w:highlight w:val="white"/>
        </w:rPr>
        <w:t xml:space="preserve">, B., </w:t>
      </w:r>
      <w:proofErr w:type="spellStart"/>
      <w:r w:rsidRPr="00276E9C">
        <w:rPr>
          <w:rFonts w:ascii="Times New Roman" w:eastAsia="Times New Roman" w:hAnsi="Times New Roman" w:cs="Times New Roman"/>
          <w:color w:val="222222"/>
          <w:sz w:val="24"/>
          <w:szCs w:val="24"/>
          <w:highlight w:val="white"/>
        </w:rPr>
        <w:t>Audrin</w:t>
      </w:r>
      <w:proofErr w:type="spellEnd"/>
      <w:r w:rsidRPr="00276E9C">
        <w:rPr>
          <w:rFonts w:ascii="Times New Roman" w:eastAsia="Times New Roman" w:hAnsi="Times New Roman" w:cs="Times New Roman"/>
          <w:color w:val="222222"/>
          <w:sz w:val="24"/>
          <w:szCs w:val="24"/>
          <w:highlight w:val="white"/>
        </w:rPr>
        <w:t xml:space="preserve">, C. and Salamin, X. (2024) ‘Digital skills at work – conceptual development and empirical validation of a measurement scale’, </w:t>
      </w:r>
      <w:r w:rsidRPr="00276E9C">
        <w:rPr>
          <w:rFonts w:ascii="Times New Roman" w:eastAsia="Times New Roman" w:hAnsi="Times New Roman" w:cs="Times New Roman"/>
          <w:i/>
          <w:iCs/>
          <w:color w:val="222222"/>
          <w:sz w:val="24"/>
          <w:szCs w:val="24"/>
          <w:highlight w:val="white"/>
        </w:rPr>
        <w:t>Technological Forecasting and Social Change</w:t>
      </w:r>
      <w:r w:rsidRPr="00276E9C">
        <w:rPr>
          <w:rFonts w:ascii="Times New Roman" w:eastAsia="Times New Roman" w:hAnsi="Times New Roman" w:cs="Times New Roman"/>
          <w:color w:val="222222"/>
          <w:sz w:val="24"/>
          <w:szCs w:val="24"/>
          <w:highlight w:val="white"/>
        </w:rPr>
        <w:t>, 202(123279), p.123279.</w:t>
      </w:r>
    </w:p>
    <w:p w14:paraId="263B026E"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Chua, S.W.Y., Sun, P.Y. and Sinha, P. (2023) ‘Making sense of Cultural diversity’s complexity: Addressing an emerging challenge for leadership’, </w:t>
      </w:r>
      <w:r w:rsidRPr="00276E9C">
        <w:rPr>
          <w:rFonts w:ascii="Times New Roman" w:eastAsia="Times New Roman" w:hAnsi="Times New Roman" w:cs="Times New Roman"/>
          <w:i/>
          <w:iCs/>
          <w:color w:val="222222"/>
          <w:sz w:val="24"/>
          <w:szCs w:val="24"/>
          <w:highlight w:val="white"/>
        </w:rPr>
        <w:t>International Journal of Cross-cultural Management</w:t>
      </w:r>
      <w:r w:rsidRPr="00276E9C">
        <w:rPr>
          <w:rFonts w:ascii="Times New Roman" w:eastAsia="Times New Roman" w:hAnsi="Times New Roman" w:cs="Times New Roman"/>
          <w:color w:val="222222"/>
          <w:sz w:val="24"/>
          <w:szCs w:val="24"/>
          <w:highlight w:val="white"/>
        </w:rPr>
        <w:t xml:space="preserve">, 23(3), pp.635–659. </w:t>
      </w:r>
    </w:p>
    <w:p w14:paraId="40D8F593" w14:textId="2D573CE2"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Cova, J. (2024) ‘On industrial relations and inflation: A long-term perspective’, </w:t>
      </w:r>
      <w:r w:rsidRPr="00276E9C">
        <w:rPr>
          <w:rFonts w:ascii="Times New Roman" w:eastAsia="Times New Roman" w:hAnsi="Times New Roman" w:cs="Times New Roman"/>
          <w:i/>
          <w:iCs/>
          <w:color w:val="222222"/>
          <w:sz w:val="24"/>
          <w:szCs w:val="24"/>
          <w:highlight w:val="white"/>
        </w:rPr>
        <w:t xml:space="preserve">Transfer: European </w:t>
      </w:r>
      <w:r w:rsidR="008B58A8" w:rsidRPr="00276E9C">
        <w:rPr>
          <w:rFonts w:ascii="Times New Roman" w:eastAsia="Times New Roman" w:hAnsi="Times New Roman" w:cs="Times New Roman"/>
          <w:i/>
          <w:iCs/>
          <w:color w:val="222222"/>
          <w:sz w:val="24"/>
          <w:szCs w:val="24"/>
          <w:highlight w:val="white"/>
        </w:rPr>
        <w:t xml:space="preserve">Review </w:t>
      </w:r>
      <w:r w:rsidRPr="00276E9C">
        <w:rPr>
          <w:rFonts w:ascii="Times New Roman" w:eastAsia="Times New Roman" w:hAnsi="Times New Roman" w:cs="Times New Roman"/>
          <w:i/>
          <w:iCs/>
          <w:color w:val="222222"/>
          <w:sz w:val="24"/>
          <w:szCs w:val="24"/>
          <w:highlight w:val="white"/>
        </w:rPr>
        <w:t xml:space="preserve">of Labour and </w:t>
      </w:r>
      <w:r w:rsidR="008B58A8" w:rsidRPr="00276E9C">
        <w:rPr>
          <w:rFonts w:ascii="Times New Roman" w:eastAsia="Times New Roman" w:hAnsi="Times New Roman" w:cs="Times New Roman"/>
          <w:i/>
          <w:iCs/>
          <w:color w:val="222222"/>
          <w:sz w:val="24"/>
          <w:szCs w:val="24"/>
          <w:highlight w:val="white"/>
        </w:rPr>
        <w:t>Research</w:t>
      </w:r>
      <w:r w:rsidRPr="00276E9C">
        <w:rPr>
          <w:rFonts w:ascii="Times New Roman" w:eastAsia="Times New Roman" w:hAnsi="Times New Roman" w:cs="Times New Roman"/>
          <w:color w:val="222222"/>
          <w:sz w:val="24"/>
          <w:szCs w:val="24"/>
          <w:highlight w:val="white"/>
        </w:rPr>
        <w:t xml:space="preserve">, 30(3). </w:t>
      </w:r>
    </w:p>
    <w:p w14:paraId="5E51EA68"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proofErr w:type="spellStart"/>
      <w:r w:rsidRPr="00276E9C">
        <w:rPr>
          <w:rFonts w:ascii="Times New Roman" w:eastAsia="Times New Roman" w:hAnsi="Times New Roman" w:cs="Times New Roman"/>
          <w:color w:val="222222"/>
          <w:sz w:val="24"/>
          <w:szCs w:val="24"/>
          <w:highlight w:val="white"/>
        </w:rPr>
        <w:t>Elendu</w:t>
      </w:r>
      <w:proofErr w:type="spellEnd"/>
      <w:r w:rsidRPr="00276E9C">
        <w:rPr>
          <w:rFonts w:ascii="Times New Roman" w:eastAsia="Times New Roman" w:hAnsi="Times New Roman" w:cs="Times New Roman"/>
          <w:color w:val="222222"/>
          <w:sz w:val="24"/>
          <w:szCs w:val="24"/>
          <w:highlight w:val="white"/>
        </w:rPr>
        <w:t xml:space="preserve">, C., </w:t>
      </w:r>
      <w:proofErr w:type="spellStart"/>
      <w:r w:rsidRPr="00276E9C">
        <w:rPr>
          <w:rFonts w:ascii="Times New Roman" w:eastAsia="Times New Roman" w:hAnsi="Times New Roman" w:cs="Times New Roman"/>
          <w:color w:val="222222"/>
          <w:sz w:val="24"/>
          <w:szCs w:val="24"/>
          <w:highlight w:val="white"/>
        </w:rPr>
        <w:t>Omeludike</w:t>
      </w:r>
      <w:proofErr w:type="spellEnd"/>
      <w:r w:rsidRPr="00276E9C">
        <w:rPr>
          <w:rFonts w:ascii="Times New Roman" w:eastAsia="Times New Roman" w:hAnsi="Times New Roman" w:cs="Times New Roman"/>
          <w:color w:val="222222"/>
          <w:sz w:val="24"/>
          <w:szCs w:val="24"/>
          <w:highlight w:val="white"/>
        </w:rPr>
        <w:t xml:space="preserve">, E.K., Oloyede, P.O., </w:t>
      </w:r>
      <w:proofErr w:type="spellStart"/>
      <w:r w:rsidRPr="00276E9C">
        <w:rPr>
          <w:rFonts w:ascii="Times New Roman" w:eastAsia="Times New Roman" w:hAnsi="Times New Roman" w:cs="Times New Roman"/>
          <w:color w:val="222222"/>
          <w:sz w:val="24"/>
          <w:szCs w:val="24"/>
          <w:highlight w:val="white"/>
        </w:rPr>
        <w:t>Obidigbo</w:t>
      </w:r>
      <w:proofErr w:type="spellEnd"/>
      <w:r w:rsidRPr="00276E9C">
        <w:rPr>
          <w:rFonts w:ascii="Times New Roman" w:eastAsia="Times New Roman" w:hAnsi="Times New Roman" w:cs="Times New Roman"/>
          <w:color w:val="222222"/>
          <w:sz w:val="24"/>
          <w:szCs w:val="24"/>
          <w:highlight w:val="white"/>
        </w:rPr>
        <w:t xml:space="preserve">, B.T. and </w:t>
      </w:r>
      <w:proofErr w:type="spellStart"/>
      <w:r w:rsidRPr="00276E9C">
        <w:rPr>
          <w:rFonts w:ascii="Times New Roman" w:eastAsia="Times New Roman" w:hAnsi="Times New Roman" w:cs="Times New Roman"/>
          <w:color w:val="222222"/>
          <w:sz w:val="24"/>
          <w:szCs w:val="24"/>
          <w:highlight w:val="white"/>
        </w:rPr>
        <w:t>Omeludike</w:t>
      </w:r>
      <w:proofErr w:type="spellEnd"/>
      <w:r w:rsidRPr="00276E9C">
        <w:rPr>
          <w:rFonts w:ascii="Times New Roman" w:eastAsia="Times New Roman" w:hAnsi="Times New Roman" w:cs="Times New Roman"/>
          <w:color w:val="222222"/>
          <w:sz w:val="24"/>
          <w:szCs w:val="24"/>
          <w:highlight w:val="white"/>
        </w:rPr>
        <w:t xml:space="preserve">, J.C. (2024) ‘Legal implications for clinicians in cybersecurity incidents: A review’, </w:t>
      </w:r>
      <w:r w:rsidRPr="00276E9C">
        <w:rPr>
          <w:rFonts w:ascii="Times New Roman" w:eastAsia="Times New Roman" w:hAnsi="Times New Roman" w:cs="Times New Roman"/>
          <w:i/>
          <w:iCs/>
          <w:color w:val="222222"/>
          <w:sz w:val="24"/>
          <w:szCs w:val="24"/>
          <w:highlight w:val="white"/>
        </w:rPr>
        <w:t>Medicine</w:t>
      </w:r>
      <w:r w:rsidRPr="00276E9C">
        <w:rPr>
          <w:rFonts w:ascii="Times New Roman" w:eastAsia="Times New Roman" w:hAnsi="Times New Roman" w:cs="Times New Roman"/>
          <w:color w:val="222222"/>
          <w:sz w:val="24"/>
          <w:szCs w:val="24"/>
          <w:highlight w:val="white"/>
        </w:rPr>
        <w:t xml:space="preserve">, 103(39), p.e39887. </w:t>
      </w:r>
    </w:p>
    <w:p w14:paraId="079A881A"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Hamza, P.A., Othman, B.J., Gardi, B., </w:t>
      </w:r>
      <w:proofErr w:type="spellStart"/>
      <w:r w:rsidRPr="00276E9C">
        <w:rPr>
          <w:rFonts w:ascii="Times New Roman" w:eastAsia="Times New Roman" w:hAnsi="Times New Roman" w:cs="Times New Roman"/>
          <w:color w:val="222222"/>
          <w:sz w:val="24"/>
          <w:szCs w:val="24"/>
          <w:highlight w:val="white"/>
        </w:rPr>
        <w:t>Sorguli</w:t>
      </w:r>
      <w:proofErr w:type="spellEnd"/>
      <w:r w:rsidRPr="00276E9C">
        <w:rPr>
          <w:rFonts w:ascii="Times New Roman" w:eastAsia="Times New Roman" w:hAnsi="Times New Roman" w:cs="Times New Roman"/>
          <w:color w:val="222222"/>
          <w:sz w:val="24"/>
          <w:szCs w:val="24"/>
          <w:highlight w:val="white"/>
        </w:rPr>
        <w:t xml:space="preserve">, S., Aziz, H.M., Ahmed, S.A., Sabir, B.Y., Ismael, N.B., Ali, B.J. and Anwar, G. (2021) ‘Recruitment and selection: The relationship between recruitment and selection with organisational performance’, </w:t>
      </w:r>
      <w:r w:rsidRPr="00276E9C">
        <w:rPr>
          <w:rFonts w:ascii="Times New Roman" w:eastAsia="Times New Roman" w:hAnsi="Times New Roman" w:cs="Times New Roman"/>
          <w:i/>
          <w:iCs/>
          <w:color w:val="222222"/>
          <w:sz w:val="24"/>
          <w:szCs w:val="24"/>
          <w:highlight w:val="white"/>
        </w:rPr>
        <w:t>International Journal of Engineering, Business and Management</w:t>
      </w:r>
      <w:r w:rsidRPr="00276E9C">
        <w:rPr>
          <w:rFonts w:ascii="Times New Roman" w:eastAsia="Times New Roman" w:hAnsi="Times New Roman" w:cs="Times New Roman"/>
          <w:color w:val="222222"/>
          <w:sz w:val="24"/>
          <w:szCs w:val="24"/>
          <w:highlight w:val="white"/>
        </w:rPr>
        <w:t>, 5(3), pp.1–13.</w:t>
      </w:r>
    </w:p>
    <w:p w14:paraId="4E640BA3"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InPost (2024) </w:t>
      </w:r>
      <w:r w:rsidRPr="00276E9C">
        <w:rPr>
          <w:rFonts w:ascii="Times New Roman" w:eastAsia="Times New Roman" w:hAnsi="Times New Roman" w:cs="Times New Roman"/>
          <w:i/>
          <w:iCs/>
          <w:color w:val="222222"/>
          <w:sz w:val="24"/>
          <w:szCs w:val="24"/>
          <w:highlight w:val="white"/>
        </w:rPr>
        <w:t>InPost EU - InPost launches autonomous parcel lockers</w:t>
      </w:r>
      <w:r w:rsidRPr="00276E9C">
        <w:rPr>
          <w:rFonts w:ascii="Times New Roman" w:eastAsia="Times New Roman" w:hAnsi="Times New Roman" w:cs="Times New Roman"/>
          <w:color w:val="222222"/>
          <w:sz w:val="24"/>
          <w:szCs w:val="24"/>
          <w:highlight w:val="white"/>
        </w:rPr>
        <w:t xml:space="preserve">. Available at: </w:t>
      </w:r>
      <w:hyperlink r:id="rId10">
        <w:r w:rsidR="00EC22AE" w:rsidRPr="00276E9C">
          <w:rPr>
            <w:rFonts w:ascii="Times New Roman" w:eastAsia="Times New Roman" w:hAnsi="Times New Roman" w:cs="Times New Roman"/>
            <w:color w:val="1155CC"/>
            <w:sz w:val="24"/>
            <w:szCs w:val="24"/>
            <w:highlight w:val="white"/>
            <w:u w:val="single"/>
          </w:rPr>
          <w:t>https://inpost.eu/news-inpost-launches-autonomous-parcel-lockers</w:t>
        </w:r>
      </w:hyperlink>
      <w:r w:rsidRPr="00276E9C">
        <w:rPr>
          <w:rFonts w:ascii="Times New Roman" w:eastAsia="Times New Roman" w:hAnsi="Times New Roman" w:cs="Times New Roman"/>
          <w:color w:val="222222"/>
          <w:sz w:val="24"/>
          <w:szCs w:val="24"/>
          <w:highlight w:val="white"/>
        </w:rPr>
        <w:t xml:space="preserve"> (Accessed: 20 July 2026).</w:t>
      </w:r>
    </w:p>
    <w:p w14:paraId="6F1F3CE9"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InPost (2024a) </w:t>
      </w:r>
      <w:r w:rsidRPr="00276E9C">
        <w:rPr>
          <w:rFonts w:ascii="Times New Roman" w:eastAsia="Times New Roman" w:hAnsi="Times New Roman" w:cs="Times New Roman"/>
          <w:i/>
          <w:iCs/>
          <w:color w:val="222222"/>
          <w:sz w:val="24"/>
          <w:szCs w:val="24"/>
          <w:highlight w:val="white"/>
        </w:rPr>
        <w:t>InPost EU - careers</w:t>
      </w:r>
      <w:r w:rsidRPr="00276E9C">
        <w:rPr>
          <w:rFonts w:ascii="Times New Roman" w:eastAsia="Times New Roman" w:hAnsi="Times New Roman" w:cs="Times New Roman"/>
          <w:color w:val="222222"/>
          <w:sz w:val="24"/>
          <w:szCs w:val="24"/>
          <w:highlight w:val="white"/>
        </w:rPr>
        <w:t xml:space="preserve">. Available at: </w:t>
      </w:r>
      <w:hyperlink r:id="rId11">
        <w:r w:rsidR="00EC22AE" w:rsidRPr="00276E9C">
          <w:rPr>
            <w:rFonts w:ascii="Times New Roman" w:eastAsia="Times New Roman" w:hAnsi="Times New Roman" w:cs="Times New Roman"/>
            <w:color w:val="1155CC"/>
            <w:sz w:val="24"/>
            <w:szCs w:val="24"/>
            <w:highlight w:val="white"/>
            <w:u w:val="single"/>
          </w:rPr>
          <w:t>https://inpost.eu/careers</w:t>
        </w:r>
      </w:hyperlink>
      <w:r w:rsidRPr="00276E9C">
        <w:rPr>
          <w:rFonts w:ascii="Times New Roman" w:eastAsia="Times New Roman" w:hAnsi="Times New Roman" w:cs="Times New Roman"/>
          <w:color w:val="222222"/>
          <w:sz w:val="24"/>
          <w:szCs w:val="24"/>
          <w:highlight w:val="white"/>
        </w:rPr>
        <w:t xml:space="preserve"> (Accessed: 22 July 2026).</w:t>
      </w:r>
    </w:p>
    <w:p w14:paraId="1C70A88A"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InPost (2024b) </w:t>
      </w:r>
      <w:r w:rsidRPr="00276E9C">
        <w:rPr>
          <w:rFonts w:ascii="Times New Roman" w:eastAsia="Times New Roman" w:hAnsi="Times New Roman" w:cs="Times New Roman"/>
          <w:i/>
          <w:iCs/>
          <w:color w:val="222222"/>
          <w:sz w:val="24"/>
          <w:szCs w:val="24"/>
          <w:highlight w:val="white"/>
        </w:rPr>
        <w:t>InPost – home</w:t>
      </w:r>
      <w:r w:rsidRPr="00276E9C">
        <w:rPr>
          <w:rFonts w:ascii="Times New Roman" w:eastAsia="Times New Roman" w:hAnsi="Times New Roman" w:cs="Times New Roman"/>
          <w:color w:val="222222"/>
          <w:sz w:val="24"/>
          <w:szCs w:val="24"/>
          <w:highlight w:val="white"/>
        </w:rPr>
        <w:t xml:space="preserve">. Available at: </w:t>
      </w:r>
      <w:hyperlink r:id="rId12">
        <w:r w:rsidR="00EC22AE" w:rsidRPr="00276E9C">
          <w:rPr>
            <w:rFonts w:ascii="Times New Roman" w:eastAsia="Times New Roman" w:hAnsi="Times New Roman" w:cs="Times New Roman"/>
            <w:color w:val="1155CC"/>
            <w:sz w:val="24"/>
            <w:szCs w:val="24"/>
            <w:highlight w:val="white"/>
            <w:u w:val="single"/>
          </w:rPr>
          <w:t>https://inpost.eu/</w:t>
        </w:r>
      </w:hyperlink>
      <w:r w:rsidRPr="00276E9C">
        <w:rPr>
          <w:rFonts w:ascii="Times New Roman" w:eastAsia="Times New Roman" w:hAnsi="Times New Roman" w:cs="Times New Roman"/>
          <w:color w:val="222222"/>
          <w:sz w:val="24"/>
          <w:szCs w:val="24"/>
          <w:highlight w:val="white"/>
        </w:rPr>
        <w:t xml:space="preserve"> (Accessed: 21 July 2026).</w:t>
      </w:r>
    </w:p>
    <w:p w14:paraId="28FE6D35"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lastRenderedPageBreak/>
        <w:t xml:space="preserve">InPost (n.d.) </w:t>
      </w:r>
      <w:r w:rsidRPr="00276E9C">
        <w:rPr>
          <w:rFonts w:ascii="Times New Roman" w:eastAsia="Times New Roman" w:hAnsi="Times New Roman" w:cs="Times New Roman"/>
          <w:i/>
          <w:iCs/>
          <w:color w:val="222222"/>
          <w:sz w:val="24"/>
          <w:szCs w:val="24"/>
          <w:highlight w:val="white"/>
        </w:rPr>
        <w:t>InPost EU - our strategy</w:t>
      </w:r>
      <w:r w:rsidRPr="00276E9C">
        <w:rPr>
          <w:rFonts w:ascii="Times New Roman" w:eastAsia="Times New Roman" w:hAnsi="Times New Roman" w:cs="Times New Roman"/>
          <w:color w:val="222222"/>
          <w:sz w:val="24"/>
          <w:szCs w:val="24"/>
          <w:highlight w:val="white"/>
        </w:rPr>
        <w:t xml:space="preserve">. Available at: </w:t>
      </w:r>
      <w:hyperlink r:id="rId13">
        <w:r w:rsidR="00EC22AE" w:rsidRPr="00276E9C">
          <w:rPr>
            <w:rFonts w:ascii="Times New Roman" w:eastAsia="Times New Roman" w:hAnsi="Times New Roman" w:cs="Times New Roman"/>
            <w:color w:val="1155CC"/>
            <w:sz w:val="24"/>
            <w:szCs w:val="24"/>
            <w:highlight w:val="white"/>
            <w:u w:val="single"/>
          </w:rPr>
          <w:t>https://inpost.eu/what-we-do/our-strategy</w:t>
        </w:r>
      </w:hyperlink>
      <w:r w:rsidRPr="00276E9C">
        <w:rPr>
          <w:rFonts w:ascii="Times New Roman" w:eastAsia="Times New Roman" w:hAnsi="Times New Roman" w:cs="Times New Roman"/>
          <w:color w:val="222222"/>
          <w:sz w:val="24"/>
          <w:szCs w:val="24"/>
          <w:highlight w:val="white"/>
        </w:rPr>
        <w:t xml:space="preserve"> (Accessed: 22 July 2026).</w:t>
      </w:r>
    </w:p>
    <w:p w14:paraId="43B05123"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InPost EU (2024) </w:t>
      </w:r>
      <w:r w:rsidRPr="00276E9C">
        <w:rPr>
          <w:rFonts w:ascii="Times New Roman" w:eastAsia="Times New Roman" w:hAnsi="Times New Roman" w:cs="Times New Roman"/>
          <w:i/>
          <w:iCs/>
          <w:color w:val="222222"/>
          <w:sz w:val="24"/>
          <w:szCs w:val="24"/>
          <w:highlight w:val="white"/>
        </w:rPr>
        <w:t>InPost EU - our products &amp; innovations</w:t>
      </w:r>
      <w:r w:rsidRPr="00276E9C">
        <w:rPr>
          <w:rFonts w:ascii="Times New Roman" w:eastAsia="Times New Roman" w:hAnsi="Times New Roman" w:cs="Times New Roman"/>
          <w:color w:val="222222"/>
          <w:sz w:val="24"/>
          <w:szCs w:val="24"/>
          <w:highlight w:val="white"/>
        </w:rPr>
        <w:t xml:space="preserve">. Available at: </w:t>
      </w:r>
      <w:hyperlink r:id="rId14">
        <w:r w:rsidR="00EC22AE" w:rsidRPr="00276E9C">
          <w:rPr>
            <w:rFonts w:ascii="Times New Roman" w:eastAsia="Times New Roman" w:hAnsi="Times New Roman" w:cs="Times New Roman"/>
            <w:color w:val="1155CC"/>
            <w:sz w:val="24"/>
            <w:szCs w:val="24"/>
            <w:highlight w:val="white"/>
            <w:u w:val="single"/>
          </w:rPr>
          <w:t>https://inpost.eu/what-we-do/our-products-innovations</w:t>
        </w:r>
      </w:hyperlink>
      <w:r w:rsidRPr="00276E9C">
        <w:rPr>
          <w:rFonts w:ascii="Times New Roman" w:eastAsia="Times New Roman" w:hAnsi="Times New Roman" w:cs="Times New Roman"/>
          <w:color w:val="222222"/>
          <w:sz w:val="24"/>
          <w:szCs w:val="24"/>
          <w:highlight w:val="white"/>
        </w:rPr>
        <w:t xml:space="preserve"> (Accessed: 22 July 2026).</w:t>
      </w:r>
    </w:p>
    <w:p w14:paraId="5E257F1C" w14:textId="77777777" w:rsidR="00EC22AE" w:rsidRPr="00276E9C" w:rsidRDefault="00A47A25" w:rsidP="00276E9C">
      <w:pPr>
        <w:spacing w:before="200"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Lopes, J.M., Gomes, S., Pacheco, R., Monteiro, E. and Santos, C. (2022) ‘Drivers of sustainable innovation strategies for increased competition among companies’, </w:t>
      </w:r>
      <w:r w:rsidRPr="00276E9C">
        <w:rPr>
          <w:rFonts w:ascii="Times New Roman" w:eastAsia="Times New Roman" w:hAnsi="Times New Roman" w:cs="Times New Roman"/>
          <w:i/>
          <w:iCs/>
          <w:color w:val="222222"/>
          <w:sz w:val="24"/>
          <w:szCs w:val="24"/>
          <w:highlight w:val="white"/>
        </w:rPr>
        <w:t>Sustainability</w:t>
      </w:r>
      <w:r w:rsidRPr="00276E9C">
        <w:rPr>
          <w:rFonts w:ascii="Times New Roman" w:eastAsia="Times New Roman" w:hAnsi="Times New Roman" w:cs="Times New Roman"/>
          <w:color w:val="222222"/>
          <w:sz w:val="24"/>
          <w:szCs w:val="24"/>
          <w:highlight w:val="white"/>
        </w:rPr>
        <w:t xml:space="preserve">, </w:t>
      </w:r>
      <w:r w:rsidRPr="00276E9C">
        <w:rPr>
          <w:rFonts w:ascii="Times New Roman" w:eastAsia="Times New Roman" w:hAnsi="Times New Roman" w:cs="Times New Roman"/>
          <w:i/>
          <w:iCs/>
          <w:color w:val="222222"/>
          <w:sz w:val="24"/>
          <w:szCs w:val="24"/>
          <w:highlight w:val="white"/>
        </w:rPr>
        <w:t>14</w:t>
      </w:r>
      <w:r w:rsidRPr="00276E9C">
        <w:rPr>
          <w:rFonts w:ascii="Times New Roman" w:eastAsia="Times New Roman" w:hAnsi="Times New Roman" w:cs="Times New Roman"/>
          <w:color w:val="222222"/>
          <w:sz w:val="24"/>
          <w:szCs w:val="24"/>
          <w:highlight w:val="white"/>
        </w:rPr>
        <w:t xml:space="preserve">(9), p.5471. </w:t>
      </w:r>
    </w:p>
    <w:p w14:paraId="5F8A3561" w14:textId="77777777" w:rsidR="00EC22AE" w:rsidRPr="00276E9C" w:rsidRDefault="00A47A25" w:rsidP="00276E9C">
      <w:pPr>
        <w:spacing w:before="200"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Morić, Z., </w:t>
      </w:r>
      <w:proofErr w:type="spellStart"/>
      <w:r w:rsidRPr="00276E9C">
        <w:rPr>
          <w:rFonts w:ascii="Times New Roman" w:eastAsia="Times New Roman" w:hAnsi="Times New Roman" w:cs="Times New Roman"/>
          <w:color w:val="222222"/>
          <w:sz w:val="24"/>
          <w:szCs w:val="24"/>
          <w:highlight w:val="white"/>
        </w:rPr>
        <w:t>Dakic</w:t>
      </w:r>
      <w:proofErr w:type="spellEnd"/>
      <w:r w:rsidRPr="00276E9C">
        <w:rPr>
          <w:rFonts w:ascii="Times New Roman" w:eastAsia="Times New Roman" w:hAnsi="Times New Roman" w:cs="Times New Roman"/>
          <w:color w:val="222222"/>
          <w:sz w:val="24"/>
          <w:szCs w:val="24"/>
          <w:highlight w:val="white"/>
        </w:rPr>
        <w:t xml:space="preserve">, V., Djekic, D. and </w:t>
      </w:r>
      <w:proofErr w:type="spellStart"/>
      <w:r w:rsidRPr="00276E9C">
        <w:rPr>
          <w:rFonts w:ascii="Times New Roman" w:eastAsia="Times New Roman" w:hAnsi="Times New Roman" w:cs="Times New Roman"/>
          <w:color w:val="222222"/>
          <w:sz w:val="24"/>
          <w:szCs w:val="24"/>
          <w:highlight w:val="white"/>
        </w:rPr>
        <w:t>Regvart</w:t>
      </w:r>
      <w:proofErr w:type="spellEnd"/>
      <w:r w:rsidRPr="00276E9C">
        <w:rPr>
          <w:rFonts w:ascii="Times New Roman" w:eastAsia="Times New Roman" w:hAnsi="Times New Roman" w:cs="Times New Roman"/>
          <w:color w:val="222222"/>
          <w:sz w:val="24"/>
          <w:szCs w:val="24"/>
          <w:highlight w:val="white"/>
        </w:rPr>
        <w:t xml:space="preserve">, D. (2024) ‘Protection of personal data in the context of e-commerce’, </w:t>
      </w:r>
      <w:r w:rsidRPr="00276E9C">
        <w:rPr>
          <w:rFonts w:ascii="Times New Roman" w:eastAsia="Times New Roman" w:hAnsi="Times New Roman" w:cs="Times New Roman"/>
          <w:i/>
          <w:iCs/>
          <w:color w:val="222222"/>
          <w:sz w:val="24"/>
          <w:szCs w:val="24"/>
          <w:highlight w:val="white"/>
        </w:rPr>
        <w:t>Journal of Cybersecurity and Privacy</w:t>
      </w:r>
      <w:r w:rsidRPr="00276E9C">
        <w:rPr>
          <w:rFonts w:ascii="Times New Roman" w:eastAsia="Times New Roman" w:hAnsi="Times New Roman" w:cs="Times New Roman"/>
          <w:color w:val="222222"/>
          <w:sz w:val="24"/>
          <w:szCs w:val="24"/>
          <w:highlight w:val="white"/>
        </w:rPr>
        <w:t xml:space="preserve">, </w:t>
      </w:r>
      <w:r w:rsidRPr="00276E9C">
        <w:rPr>
          <w:rFonts w:ascii="Times New Roman" w:eastAsia="Times New Roman" w:hAnsi="Times New Roman" w:cs="Times New Roman"/>
          <w:i/>
          <w:iCs/>
          <w:color w:val="222222"/>
          <w:sz w:val="24"/>
          <w:szCs w:val="24"/>
          <w:highlight w:val="white"/>
        </w:rPr>
        <w:t>4</w:t>
      </w:r>
      <w:r w:rsidRPr="00276E9C">
        <w:rPr>
          <w:rFonts w:ascii="Times New Roman" w:eastAsia="Times New Roman" w:hAnsi="Times New Roman" w:cs="Times New Roman"/>
          <w:color w:val="222222"/>
          <w:sz w:val="24"/>
          <w:szCs w:val="24"/>
          <w:highlight w:val="white"/>
        </w:rPr>
        <w:t xml:space="preserve">(3), pp.731-761. </w:t>
      </w:r>
    </w:p>
    <w:p w14:paraId="542EACC5" w14:textId="77777777" w:rsidR="00EC22AE" w:rsidRPr="00276E9C" w:rsidRDefault="00A47A25" w:rsidP="00276E9C">
      <w:pPr>
        <w:spacing w:before="200"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Morozov, V., Domrachov, A., Kharchenko, O., Bilousova, A. and </w:t>
      </w:r>
      <w:proofErr w:type="spellStart"/>
      <w:r w:rsidRPr="00276E9C">
        <w:rPr>
          <w:rFonts w:ascii="Times New Roman" w:eastAsia="Times New Roman" w:hAnsi="Times New Roman" w:cs="Times New Roman"/>
          <w:color w:val="222222"/>
          <w:sz w:val="24"/>
          <w:szCs w:val="24"/>
          <w:highlight w:val="white"/>
        </w:rPr>
        <w:t>Horiunova</w:t>
      </w:r>
      <w:proofErr w:type="spellEnd"/>
      <w:r w:rsidRPr="00276E9C">
        <w:rPr>
          <w:rFonts w:ascii="Times New Roman" w:eastAsia="Times New Roman" w:hAnsi="Times New Roman" w:cs="Times New Roman"/>
          <w:color w:val="222222"/>
          <w:sz w:val="24"/>
          <w:szCs w:val="24"/>
          <w:highlight w:val="white"/>
        </w:rPr>
        <w:t xml:space="preserve">, K. (2024) ‘Globalisation and Regulatory Strategies: Adapting to Changes in International Business’, </w:t>
      </w:r>
      <w:r w:rsidRPr="00276E9C">
        <w:rPr>
          <w:rFonts w:ascii="Times New Roman" w:eastAsia="Times New Roman" w:hAnsi="Times New Roman" w:cs="Times New Roman"/>
          <w:i/>
          <w:iCs/>
          <w:color w:val="222222"/>
          <w:sz w:val="24"/>
          <w:szCs w:val="24"/>
          <w:highlight w:val="white"/>
        </w:rPr>
        <w:t>International Journal</w:t>
      </w:r>
      <w:r w:rsidRPr="00276E9C">
        <w:rPr>
          <w:rFonts w:ascii="Times New Roman" w:eastAsia="Times New Roman" w:hAnsi="Times New Roman" w:cs="Times New Roman"/>
          <w:color w:val="222222"/>
          <w:sz w:val="24"/>
          <w:szCs w:val="24"/>
          <w:highlight w:val="white"/>
        </w:rPr>
        <w:t xml:space="preserve">, </w:t>
      </w:r>
      <w:r w:rsidRPr="00276E9C">
        <w:rPr>
          <w:rFonts w:ascii="Times New Roman" w:eastAsia="Times New Roman" w:hAnsi="Times New Roman" w:cs="Times New Roman"/>
          <w:i/>
          <w:iCs/>
          <w:color w:val="222222"/>
          <w:sz w:val="24"/>
          <w:szCs w:val="24"/>
          <w:highlight w:val="white"/>
        </w:rPr>
        <w:t>5</w:t>
      </w:r>
      <w:r w:rsidRPr="00276E9C">
        <w:rPr>
          <w:rFonts w:ascii="Times New Roman" w:eastAsia="Times New Roman" w:hAnsi="Times New Roman" w:cs="Times New Roman"/>
          <w:color w:val="222222"/>
          <w:sz w:val="24"/>
          <w:szCs w:val="24"/>
          <w:highlight w:val="white"/>
        </w:rPr>
        <w:t xml:space="preserve">(10), pp.1654-1665. </w:t>
      </w:r>
    </w:p>
    <w:p w14:paraId="1DA6D5F0"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Seera, M., Subramaniam, R.K. and Samuel, S.D. (2025) ‘Collaboration or compliance? Unpacking ESG performance and carbon penalties’, </w:t>
      </w:r>
      <w:r w:rsidRPr="00276E9C">
        <w:rPr>
          <w:rFonts w:ascii="Times New Roman" w:eastAsia="Times New Roman" w:hAnsi="Times New Roman" w:cs="Times New Roman"/>
          <w:i/>
          <w:iCs/>
          <w:color w:val="222222"/>
          <w:sz w:val="24"/>
          <w:szCs w:val="24"/>
          <w:highlight w:val="white"/>
        </w:rPr>
        <w:t>Sustainable Futures</w:t>
      </w:r>
      <w:r w:rsidRPr="00276E9C">
        <w:rPr>
          <w:rFonts w:ascii="Times New Roman" w:eastAsia="Times New Roman" w:hAnsi="Times New Roman" w:cs="Times New Roman"/>
          <w:color w:val="222222"/>
          <w:sz w:val="24"/>
          <w:szCs w:val="24"/>
          <w:highlight w:val="white"/>
        </w:rPr>
        <w:t xml:space="preserve">, 9, p.100758. </w:t>
      </w:r>
    </w:p>
    <w:p w14:paraId="246A1FE5" w14:textId="77777777" w:rsidR="00EC22AE" w:rsidRPr="00276E9C" w:rsidRDefault="00A47A25" w:rsidP="00276E9C">
      <w:pPr>
        <w:spacing w:before="200"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Sharma, K.S. and Sinha, U.P. (2025) </w:t>
      </w:r>
      <w:r w:rsidRPr="00276E9C">
        <w:rPr>
          <w:rFonts w:ascii="Times New Roman" w:eastAsia="Times New Roman" w:hAnsi="Times New Roman" w:cs="Times New Roman"/>
          <w:i/>
          <w:iCs/>
          <w:color w:val="222222"/>
          <w:sz w:val="24"/>
          <w:szCs w:val="24"/>
          <w:highlight w:val="white"/>
        </w:rPr>
        <w:t>Navigating The Inflation Surge: Economic Insights and Solutions</w:t>
      </w:r>
      <w:r w:rsidRPr="00276E9C">
        <w:rPr>
          <w:rFonts w:ascii="Times New Roman" w:eastAsia="Times New Roman" w:hAnsi="Times New Roman" w:cs="Times New Roman"/>
          <w:color w:val="222222"/>
          <w:sz w:val="24"/>
          <w:szCs w:val="24"/>
          <w:highlight w:val="white"/>
        </w:rPr>
        <w:t xml:space="preserve">. Concept Publishing Company. </w:t>
      </w:r>
    </w:p>
    <w:p w14:paraId="16566784"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Su, W. and Xie, C. (2023) ‘The impact of organisational politics on work engagement—the mediating role of the doctrine of the mean’, </w:t>
      </w:r>
      <w:r w:rsidRPr="00276E9C">
        <w:rPr>
          <w:rFonts w:ascii="Times New Roman" w:eastAsia="Times New Roman" w:hAnsi="Times New Roman" w:cs="Times New Roman"/>
          <w:i/>
          <w:iCs/>
          <w:color w:val="222222"/>
          <w:sz w:val="24"/>
          <w:szCs w:val="24"/>
          <w:highlight w:val="white"/>
        </w:rPr>
        <w:t>Frontiers in Psychology</w:t>
      </w:r>
      <w:r w:rsidRPr="00276E9C">
        <w:rPr>
          <w:rFonts w:ascii="Times New Roman" w:eastAsia="Times New Roman" w:hAnsi="Times New Roman" w:cs="Times New Roman"/>
          <w:color w:val="222222"/>
          <w:sz w:val="24"/>
          <w:szCs w:val="24"/>
          <w:highlight w:val="white"/>
        </w:rPr>
        <w:t xml:space="preserve">, 14. </w:t>
      </w:r>
    </w:p>
    <w:p w14:paraId="0BCDE5D5"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r w:rsidRPr="00276E9C">
        <w:rPr>
          <w:rFonts w:ascii="Times New Roman" w:eastAsia="Times New Roman" w:hAnsi="Times New Roman" w:cs="Times New Roman"/>
          <w:color w:val="222222"/>
          <w:sz w:val="24"/>
          <w:szCs w:val="24"/>
          <w:highlight w:val="white"/>
        </w:rPr>
        <w:t xml:space="preserve">Swindle, J., Dorius, S. and Melegh, A. (2019) ‘The mental map of national hierarchy in Europe’, </w:t>
      </w:r>
      <w:r w:rsidRPr="00276E9C">
        <w:rPr>
          <w:rFonts w:ascii="Times New Roman" w:eastAsia="Times New Roman" w:hAnsi="Times New Roman" w:cs="Times New Roman"/>
          <w:i/>
          <w:iCs/>
          <w:color w:val="222222"/>
          <w:sz w:val="24"/>
          <w:szCs w:val="24"/>
          <w:highlight w:val="white"/>
        </w:rPr>
        <w:t>International Journal of Sociology</w:t>
      </w:r>
      <w:r w:rsidRPr="00276E9C">
        <w:rPr>
          <w:rFonts w:ascii="Times New Roman" w:eastAsia="Times New Roman" w:hAnsi="Times New Roman" w:cs="Times New Roman"/>
          <w:color w:val="222222"/>
          <w:sz w:val="24"/>
          <w:szCs w:val="24"/>
          <w:highlight w:val="white"/>
        </w:rPr>
        <w:t xml:space="preserve">, 50(3), pp.179–200. </w:t>
      </w:r>
    </w:p>
    <w:p w14:paraId="74F6DCAA" w14:textId="77777777" w:rsidR="00EC22AE" w:rsidRPr="00276E9C" w:rsidRDefault="00A47A25" w:rsidP="00276E9C">
      <w:pPr>
        <w:spacing w:after="240" w:line="360" w:lineRule="auto"/>
        <w:jc w:val="both"/>
        <w:rPr>
          <w:rFonts w:ascii="Times New Roman" w:eastAsia="Times New Roman" w:hAnsi="Times New Roman" w:cs="Times New Roman"/>
          <w:color w:val="222222"/>
          <w:sz w:val="24"/>
          <w:szCs w:val="24"/>
          <w:highlight w:val="white"/>
        </w:rPr>
      </w:pPr>
      <w:proofErr w:type="spellStart"/>
      <w:r w:rsidRPr="00276E9C">
        <w:rPr>
          <w:rFonts w:ascii="Times New Roman" w:eastAsia="Times New Roman" w:hAnsi="Times New Roman" w:cs="Times New Roman"/>
          <w:color w:val="222222"/>
          <w:sz w:val="24"/>
          <w:szCs w:val="24"/>
          <w:highlight w:val="white"/>
        </w:rPr>
        <w:t>Yimsook</w:t>
      </w:r>
      <w:proofErr w:type="spellEnd"/>
      <w:r w:rsidRPr="00276E9C">
        <w:rPr>
          <w:rFonts w:ascii="Times New Roman" w:eastAsia="Times New Roman" w:hAnsi="Times New Roman" w:cs="Times New Roman"/>
          <w:color w:val="222222"/>
          <w:sz w:val="24"/>
          <w:szCs w:val="24"/>
          <w:highlight w:val="white"/>
        </w:rPr>
        <w:t xml:space="preserve">, N. and </w:t>
      </w:r>
      <w:proofErr w:type="spellStart"/>
      <w:r w:rsidRPr="00276E9C">
        <w:rPr>
          <w:rFonts w:ascii="Times New Roman" w:eastAsia="Times New Roman" w:hAnsi="Times New Roman" w:cs="Times New Roman"/>
          <w:color w:val="222222"/>
          <w:sz w:val="24"/>
          <w:szCs w:val="24"/>
          <w:highlight w:val="white"/>
        </w:rPr>
        <w:t>Theerakosonphong</w:t>
      </w:r>
      <w:proofErr w:type="spellEnd"/>
      <w:r w:rsidRPr="00276E9C">
        <w:rPr>
          <w:rFonts w:ascii="Times New Roman" w:eastAsia="Times New Roman" w:hAnsi="Times New Roman" w:cs="Times New Roman"/>
          <w:color w:val="222222"/>
          <w:sz w:val="24"/>
          <w:szCs w:val="24"/>
          <w:highlight w:val="white"/>
        </w:rPr>
        <w:t xml:space="preserve">, K. (2026) ‘Flexible benefits, workforce diversity, and working conditions as determinants of work-life balance among unionised employees in Thailand: A mixed methods study’, </w:t>
      </w:r>
      <w:r w:rsidRPr="00276E9C">
        <w:rPr>
          <w:rFonts w:ascii="Times New Roman" w:eastAsia="Times New Roman" w:hAnsi="Times New Roman" w:cs="Times New Roman"/>
          <w:i/>
          <w:iCs/>
          <w:color w:val="222222"/>
          <w:sz w:val="24"/>
          <w:szCs w:val="24"/>
          <w:highlight w:val="white"/>
        </w:rPr>
        <w:t>Social Sciences &amp; Humanities Open</w:t>
      </w:r>
      <w:r w:rsidRPr="00276E9C">
        <w:rPr>
          <w:rFonts w:ascii="Times New Roman" w:eastAsia="Times New Roman" w:hAnsi="Times New Roman" w:cs="Times New Roman"/>
          <w:color w:val="222222"/>
          <w:sz w:val="24"/>
          <w:szCs w:val="24"/>
          <w:highlight w:val="white"/>
        </w:rPr>
        <w:t>, [online] 13, p.102656.</w:t>
      </w:r>
    </w:p>
    <w:p w14:paraId="3D7C601E" w14:textId="77777777" w:rsidR="00EC22AE" w:rsidRDefault="00EC22AE">
      <w:pPr>
        <w:spacing w:before="200" w:line="360" w:lineRule="auto"/>
        <w:jc w:val="both"/>
        <w:rPr>
          <w:rFonts w:ascii="Times New Roman" w:eastAsia="Times New Roman" w:hAnsi="Times New Roman" w:cs="Times New Roman"/>
          <w:color w:val="222222"/>
          <w:sz w:val="24"/>
          <w:szCs w:val="24"/>
          <w:highlight w:val="white"/>
        </w:rPr>
      </w:pPr>
    </w:p>
    <w:p w14:paraId="67802A33" w14:textId="77777777" w:rsidR="00EC22AE" w:rsidRDefault="00EC22AE">
      <w:pPr>
        <w:rPr>
          <w:rFonts w:ascii="Times New Roman" w:eastAsia="Times New Roman" w:hAnsi="Times New Roman" w:cs="Times New Roman"/>
          <w:sz w:val="24"/>
          <w:szCs w:val="24"/>
        </w:rPr>
      </w:pPr>
    </w:p>
    <w:sectPr w:rsidR="00EC22AE">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85B83" w14:textId="77777777" w:rsidR="00CE07FE" w:rsidRDefault="00CE07FE">
      <w:pPr>
        <w:spacing w:line="240" w:lineRule="auto"/>
      </w:pPr>
      <w:r>
        <w:separator/>
      </w:r>
    </w:p>
  </w:endnote>
  <w:endnote w:type="continuationSeparator" w:id="0">
    <w:p w14:paraId="55DF5C0D" w14:textId="77777777" w:rsidR="00CE07FE" w:rsidRDefault="00CE07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5DB7DEB-2DCC-4CEA-8534-41B0FEBD1E8D}"/>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0B0A7B5F-A202-49F0-AF6F-7F3B92DEDAC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483EAD" w14:textId="77777777" w:rsidR="00EC22AE" w:rsidRPr="008E3715" w:rsidRDefault="00A47A25">
    <w:pPr>
      <w:pBdr>
        <w:top w:val="nil"/>
        <w:left w:val="nil"/>
        <w:bottom w:val="nil"/>
        <w:right w:val="nil"/>
        <w:between w:val="nil"/>
      </w:pBdr>
      <w:tabs>
        <w:tab w:val="center" w:pos="4513"/>
        <w:tab w:val="right" w:pos="9026"/>
      </w:tabs>
      <w:spacing w:line="240" w:lineRule="auto"/>
      <w:jc w:val="right"/>
      <w:rPr>
        <w:rFonts w:ascii="Times New Roman" w:hAnsi="Times New Roman" w:cs="Times New Roman"/>
        <w:color w:val="000000"/>
        <w:sz w:val="20"/>
        <w:szCs w:val="20"/>
      </w:rPr>
    </w:pPr>
    <w:r w:rsidRPr="008E3715">
      <w:rPr>
        <w:rFonts w:ascii="Times New Roman" w:hAnsi="Times New Roman" w:cs="Times New Roman"/>
        <w:color w:val="000000"/>
        <w:sz w:val="20"/>
        <w:szCs w:val="20"/>
      </w:rPr>
      <w:fldChar w:fldCharType="begin"/>
    </w:r>
    <w:r w:rsidRPr="008E3715">
      <w:rPr>
        <w:rFonts w:ascii="Times New Roman" w:hAnsi="Times New Roman" w:cs="Times New Roman"/>
        <w:color w:val="000000"/>
        <w:sz w:val="20"/>
        <w:szCs w:val="20"/>
      </w:rPr>
      <w:instrText>PAGE</w:instrText>
    </w:r>
    <w:r w:rsidRPr="008E3715">
      <w:rPr>
        <w:rFonts w:ascii="Times New Roman" w:hAnsi="Times New Roman" w:cs="Times New Roman"/>
        <w:color w:val="000000"/>
        <w:sz w:val="20"/>
        <w:szCs w:val="20"/>
      </w:rPr>
      <w:fldChar w:fldCharType="separate"/>
    </w:r>
    <w:r w:rsidR="001F397D" w:rsidRPr="008E3715">
      <w:rPr>
        <w:rFonts w:ascii="Times New Roman" w:hAnsi="Times New Roman" w:cs="Times New Roman"/>
        <w:noProof/>
        <w:color w:val="000000"/>
        <w:sz w:val="20"/>
        <w:szCs w:val="20"/>
      </w:rPr>
      <w:t>1</w:t>
    </w:r>
    <w:r w:rsidRPr="008E3715">
      <w:rPr>
        <w:rFonts w:ascii="Times New Roman" w:hAnsi="Times New Roman" w:cs="Times New Roman"/>
        <w:color w:val="000000"/>
        <w:sz w:val="20"/>
        <w:szCs w:val="20"/>
      </w:rPr>
      <w:fldChar w:fldCharType="end"/>
    </w:r>
  </w:p>
  <w:p w14:paraId="049938D6" w14:textId="77777777" w:rsidR="00EC22AE" w:rsidRDefault="00EC22A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6D483" w14:textId="77777777" w:rsidR="00CE07FE" w:rsidRDefault="00CE07FE">
      <w:pPr>
        <w:spacing w:line="240" w:lineRule="auto"/>
      </w:pPr>
      <w:r>
        <w:separator/>
      </w:r>
    </w:p>
  </w:footnote>
  <w:footnote w:type="continuationSeparator" w:id="0">
    <w:p w14:paraId="266478E9" w14:textId="77777777" w:rsidR="00CE07FE" w:rsidRDefault="00CE07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F4441"/>
    <w:multiLevelType w:val="hybridMultilevel"/>
    <w:tmpl w:val="57B66A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91559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22AE"/>
    <w:rsid w:val="000A18B6"/>
    <w:rsid w:val="000A3ACB"/>
    <w:rsid w:val="001008AC"/>
    <w:rsid w:val="001C6CC1"/>
    <w:rsid w:val="001D3AF8"/>
    <w:rsid w:val="001F397D"/>
    <w:rsid w:val="002006E7"/>
    <w:rsid w:val="002603DD"/>
    <w:rsid w:val="00276E9C"/>
    <w:rsid w:val="00291448"/>
    <w:rsid w:val="002A3C13"/>
    <w:rsid w:val="002A6268"/>
    <w:rsid w:val="002B2126"/>
    <w:rsid w:val="0030002D"/>
    <w:rsid w:val="0032481C"/>
    <w:rsid w:val="003367FB"/>
    <w:rsid w:val="0041445A"/>
    <w:rsid w:val="00430282"/>
    <w:rsid w:val="00442AC8"/>
    <w:rsid w:val="00535C00"/>
    <w:rsid w:val="005678E3"/>
    <w:rsid w:val="00577F66"/>
    <w:rsid w:val="00630B86"/>
    <w:rsid w:val="006B53E0"/>
    <w:rsid w:val="006F590D"/>
    <w:rsid w:val="00771488"/>
    <w:rsid w:val="007865A5"/>
    <w:rsid w:val="007971D1"/>
    <w:rsid w:val="00821518"/>
    <w:rsid w:val="008B4B39"/>
    <w:rsid w:val="008B58A8"/>
    <w:rsid w:val="008E3715"/>
    <w:rsid w:val="00935564"/>
    <w:rsid w:val="00974029"/>
    <w:rsid w:val="00981A23"/>
    <w:rsid w:val="009829D2"/>
    <w:rsid w:val="009C2491"/>
    <w:rsid w:val="00A47A25"/>
    <w:rsid w:val="00A839AA"/>
    <w:rsid w:val="00AC7172"/>
    <w:rsid w:val="00AD6175"/>
    <w:rsid w:val="00B7510F"/>
    <w:rsid w:val="00BD412F"/>
    <w:rsid w:val="00CE07FE"/>
    <w:rsid w:val="00DD309C"/>
    <w:rsid w:val="00E45771"/>
    <w:rsid w:val="00E52038"/>
    <w:rsid w:val="00EC22AE"/>
    <w:rsid w:val="00F53F3F"/>
    <w:rsid w:val="00F7625E"/>
  </w:rsids>
  <m:mathPr>
    <m:mathFont m:val="Cambria Math"/>
    <m:brkBin m:val="before"/>
    <m:brkBinSub m:val="--"/>
    <m:smallFrac m:val="0"/>
    <m:dispDef/>
    <m:lMargin m:val="0"/>
    <m:rMargin m:val="0"/>
    <m:defJc m:val="centerGroup"/>
    <m:wrapIndent m:val="1440"/>
    <m:intLim m:val="subSup"/>
    <m:naryLim m:val="undOvr"/>
  </m:mathPr>
  <w:themeFontLang w:val="en-IN" w:bidi="mr-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D7C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400" w:after="120"/>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E3715"/>
    <w:pPr>
      <w:tabs>
        <w:tab w:val="center" w:pos="4513"/>
        <w:tab w:val="right" w:pos="9026"/>
      </w:tabs>
      <w:spacing w:line="240" w:lineRule="auto"/>
    </w:pPr>
  </w:style>
  <w:style w:type="character" w:customStyle="1" w:styleId="HeaderChar">
    <w:name w:val="Header Char"/>
    <w:basedOn w:val="DefaultParagraphFont"/>
    <w:link w:val="Header"/>
    <w:uiPriority w:val="99"/>
    <w:rsid w:val="008E3715"/>
  </w:style>
  <w:style w:type="paragraph" w:styleId="Footer">
    <w:name w:val="footer"/>
    <w:basedOn w:val="Normal"/>
    <w:link w:val="FooterChar"/>
    <w:uiPriority w:val="99"/>
    <w:unhideWhenUsed/>
    <w:rsid w:val="008E3715"/>
    <w:pPr>
      <w:tabs>
        <w:tab w:val="center" w:pos="4513"/>
        <w:tab w:val="right" w:pos="9026"/>
      </w:tabs>
      <w:spacing w:line="240" w:lineRule="auto"/>
    </w:pPr>
  </w:style>
  <w:style w:type="character" w:customStyle="1" w:styleId="FooterChar">
    <w:name w:val="Footer Char"/>
    <w:basedOn w:val="DefaultParagraphFont"/>
    <w:link w:val="Footer"/>
    <w:uiPriority w:val="99"/>
    <w:rsid w:val="008E3715"/>
  </w:style>
  <w:style w:type="paragraph" w:styleId="TOC1">
    <w:name w:val="toc 1"/>
    <w:basedOn w:val="Normal"/>
    <w:next w:val="Normal"/>
    <w:autoRedefine/>
    <w:uiPriority w:val="39"/>
    <w:unhideWhenUsed/>
    <w:rsid w:val="00771488"/>
    <w:pPr>
      <w:spacing w:after="100"/>
    </w:pPr>
  </w:style>
  <w:style w:type="paragraph" w:styleId="TOC2">
    <w:name w:val="toc 2"/>
    <w:basedOn w:val="Normal"/>
    <w:next w:val="Normal"/>
    <w:autoRedefine/>
    <w:uiPriority w:val="39"/>
    <w:unhideWhenUsed/>
    <w:rsid w:val="00771488"/>
    <w:pPr>
      <w:spacing w:after="100"/>
      <w:ind w:left="220"/>
    </w:pPr>
  </w:style>
  <w:style w:type="character" w:styleId="Hyperlink">
    <w:name w:val="Hyperlink"/>
    <w:basedOn w:val="DefaultParagraphFont"/>
    <w:uiPriority w:val="99"/>
    <w:unhideWhenUsed/>
    <w:rsid w:val="00771488"/>
    <w:rPr>
      <w:color w:val="0000FF" w:themeColor="hyperlink"/>
      <w:u w:val="single"/>
    </w:rPr>
  </w:style>
  <w:style w:type="paragraph" w:styleId="ListParagraph">
    <w:name w:val="List Paragraph"/>
    <w:basedOn w:val="Normal"/>
    <w:uiPriority w:val="34"/>
    <w:qFormat/>
    <w:rsid w:val="00276E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post.eu/what-we-do/our-strateg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post.eu/"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post.eu/career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inpost.eu/news-inpost-launches-autonomous-parcel-lock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npost.eu/what-we-do/our-products-innovation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LY5taXIYJSWm3gocRL59Tj4cig==">CgMxLjAyDmgudjN5cHlsZ2I5N3llMg5oLjJwamVjdHViZGV1NTIOaC5mZjk3dnlyYWo2NzUyDmgubzFtNDU5Z3RsOTVoMg5oLnBnaGF1eGI5ajFjYTIOaC5ib2hzcm1kYjQzbGoyDmgueWd3b3BtcHlnNThnMg5oLmZjdjNjejVnem45YzIOaC5xN3p1b2VsbGg5NjUyDmgubnZ4NG1qdjFxc3BzMg5oLmcxd2s4NGdlOGVkbDIOaC41YjdpMDNrZXAyemIyDmguY3QybjgxczltOGJpMg5oLmdnOWY5bDJ2dXpxeDIOaC5lbGw5MHM2aGg3ZjIyDmgudnd3eDhlbm5yeG1yOAByITE0N05NNmpyV3BTM21Jai1SN0RJZ25HbHFxRklVc1VS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3107</Words>
  <Characters>17712</Characters>
  <Application>Microsoft Office Word</Application>
  <DocSecurity>4</DocSecurity>
  <Lines>147</Lines>
  <Paragraphs>41</Paragraphs>
  <ScaleCrop>false</ScaleCrop>
  <Company/>
  <LinksUpToDate>false</LinksUpToDate>
  <CharactersWithSpaces>20778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2026-07-28T11:05:00Z</dcterms:created>
  <dcterms:modified xsi:type="dcterms:W3CDTF">2026-07-28T11:05:00Z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17c6f076-9d3f-4214-8e25-82a7e8b9b13d</vt:lpwstr>
  </property>
</Properties>
</file>