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DB276" w14:textId="77777777" w:rsidR="00A6747E" w:rsidRPr="006A63DC" w:rsidRDefault="00A6747E" w:rsidP="006A63DC">
      <w:pPr>
        <w:spacing w:line="360" w:lineRule="auto"/>
        <w:rPr>
          <w:rFonts w:ascii="Arial" w:hAnsi="Arial" w:cs="Arial"/>
          <w:sz w:val="22"/>
          <w:szCs w:val="22"/>
        </w:rPr>
      </w:pPr>
      <w:r w:rsidRPr="006A63DC">
        <w:rPr>
          <w:rFonts w:ascii="Arial" w:hAnsi="Arial" w:cs="Arial"/>
          <w:sz w:val="22"/>
          <w:szCs w:val="22"/>
        </w:rPr>
        <w:t>Name: Nakeeda Price</w:t>
      </w:r>
    </w:p>
    <w:p w14:paraId="34A43A20" w14:textId="77777777" w:rsidR="00A6747E" w:rsidRPr="006A63DC" w:rsidRDefault="00A6747E" w:rsidP="006A63DC">
      <w:pPr>
        <w:spacing w:line="360" w:lineRule="auto"/>
        <w:rPr>
          <w:rFonts w:ascii="Arial" w:hAnsi="Arial" w:cs="Arial"/>
          <w:sz w:val="22"/>
          <w:szCs w:val="22"/>
        </w:rPr>
      </w:pPr>
      <w:r w:rsidRPr="006A63DC">
        <w:rPr>
          <w:rFonts w:ascii="Arial" w:hAnsi="Arial" w:cs="Arial"/>
          <w:sz w:val="22"/>
          <w:szCs w:val="22"/>
        </w:rPr>
        <w:t>Student ID: 2509704</w:t>
      </w:r>
    </w:p>
    <w:p w14:paraId="1B56AEA0" w14:textId="1AEE24E8" w:rsidR="00A6747E" w:rsidRPr="006A63DC" w:rsidRDefault="00A6747E" w:rsidP="006A63DC">
      <w:pPr>
        <w:spacing w:line="360" w:lineRule="auto"/>
        <w:rPr>
          <w:rFonts w:ascii="Arial" w:hAnsi="Arial" w:cs="Arial"/>
          <w:sz w:val="22"/>
          <w:szCs w:val="22"/>
        </w:rPr>
      </w:pPr>
      <w:r w:rsidRPr="006A63DC">
        <w:rPr>
          <w:rFonts w:ascii="Arial" w:hAnsi="Arial" w:cs="Arial"/>
          <w:sz w:val="22"/>
          <w:szCs w:val="22"/>
        </w:rPr>
        <w:t>Module Code:</w:t>
      </w:r>
      <w:r w:rsidRPr="006A63DC">
        <w:rPr>
          <w:rFonts w:ascii="Arial" w:hAnsi="Arial" w:cs="Arial"/>
          <w:b/>
          <w:bCs/>
          <w:sz w:val="22"/>
          <w:szCs w:val="22"/>
        </w:rPr>
        <w:t xml:space="preserve"> </w:t>
      </w:r>
      <w:r w:rsidRPr="006A63DC">
        <w:rPr>
          <w:rFonts w:ascii="Arial" w:hAnsi="Arial" w:cs="Arial"/>
          <w:sz w:val="22"/>
          <w:szCs w:val="22"/>
        </w:rPr>
        <w:t>LCHS40</w:t>
      </w:r>
      <w:r w:rsidRPr="006A63DC">
        <w:rPr>
          <w:rFonts w:ascii="Arial" w:hAnsi="Arial" w:cs="Arial"/>
          <w:sz w:val="22"/>
          <w:szCs w:val="22"/>
        </w:rPr>
        <w:t>10</w:t>
      </w:r>
    </w:p>
    <w:p w14:paraId="6775F129" w14:textId="57F3C188" w:rsidR="00A6747E" w:rsidRPr="006A63DC" w:rsidRDefault="00A6747E" w:rsidP="006A63DC">
      <w:pPr>
        <w:spacing w:line="360" w:lineRule="auto"/>
        <w:rPr>
          <w:rFonts w:ascii="Arial" w:hAnsi="Arial" w:cs="Arial"/>
          <w:sz w:val="22"/>
          <w:szCs w:val="22"/>
        </w:rPr>
      </w:pPr>
      <w:r w:rsidRPr="006A63DC">
        <w:rPr>
          <w:rFonts w:ascii="Arial" w:hAnsi="Arial" w:cs="Arial"/>
          <w:sz w:val="22"/>
          <w:szCs w:val="22"/>
        </w:rPr>
        <w:t xml:space="preserve">Module: </w:t>
      </w:r>
      <w:r w:rsidRPr="006A63DC">
        <w:rPr>
          <w:rFonts w:ascii="Arial" w:hAnsi="Arial" w:cs="Arial"/>
          <w:sz w:val="22"/>
          <w:szCs w:val="22"/>
        </w:rPr>
        <w:t>Essay</w:t>
      </w:r>
    </w:p>
    <w:p w14:paraId="32B1A536" w14:textId="572CDAFC" w:rsidR="00A6747E" w:rsidRPr="006A63DC" w:rsidRDefault="00A6747E" w:rsidP="006A63DC">
      <w:pPr>
        <w:spacing w:after="100" w:line="360" w:lineRule="auto"/>
        <w:rPr>
          <w:rFonts w:ascii="Arial" w:hAnsi="Arial" w:cs="Arial"/>
          <w:sz w:val="22"/>
          <w:szCs w:val="22"/>
        </w:rPr>
      </w:pPr>
      <w:r w:rsidRPr="006A63DC">
        <w:rPr>
          <w:rFonts w:ascii="Arial" w:hAnsi="Arial" w:cs="Arial"/>
          <w:sz w:val="22"/>
          <w:szCs w:val="22"/>
        </w:rPr>
        <w:t xml:space="preserve">Lecturer: </w:t>
      </w:r>
      <w:r w:rsidRPr="006A63DC">
        <w:rPr>
          <w:rFonts w:ascii="Arial" w:hAnsi="Arial" w:cs="Arial"/>
          <w:sz w:val="22"/>
          <w:szCs w:val="22"/>
        </w:rPr>
        <w:t>Alice Clayton</w:t>
      </w:r>
    </w:p>
    <w:p w14:paraId="74F27B70" w14:textId="77777777" w:rsidR="00A6747E" w:rsidRPr="006A63DC" w:rsidRDefault="00A6747E" w:rsidP="006A63DC">
      <w:pPr>
        <w:spacing w:line="360" w:lineRule="auto"/>
        <w:rPr>
          <w:rFonts w:ascii="Arial" w:hAnsi="Arial" w:cs="Arial"/>
          <w:sz w:val="22"/>
          <w:szCs w:val="22"/>
        </w:rPr>
      </w:pPr>
    </w:p>
    <w:p w14:paraId="2AFEC1D5" w14:textId="77777777" w:rsidR="00A6747E" w:rsidRPr="006A63DC" w:rsidRDefault="00A6747E" w:rsidP="006A63DC">
      <w:pPr>
        <w:spacing w:line="360" w:lineRule="auto"/>
        <w:rPr>
          <w:rFonts w:ascii="Arial" w:hAnsi="Arial" w:cs="Arial"/>
          <w:sz w:val="22"/>
          <w:szCs w:val="22"/>
        </w:rPr>
      </w:pPr>
    </w:p>
    <w:p w14:paraId="72590FB3" w14:textId="77777777" w:rsidR="00A6747E" w:rsidRPr="006A63DC" w:rsidRDefault="00A6747E" w:rsidP="006A63DC">
      <w:pPr>
        <w:spacing w:line="360" w:lineRule="auto"/>
        <w:rPr>
          <w:rFonts w:ascii="Arial" w:hAnsi="Arial" w:cs="Arial"/>
          <w:sz w:val="22"/>
          <w:szCs w:val="22"/>
        </w:rPr>
      </w:pPr>
    </w:p>
    <w:p w14:paraId="16E2A505" w14:textId="77777777" w:rsidR="00A6747E" w:rsidRPr="006A63DC" w:rsidRDefault="00A6747E" w:rsidP="006A63DC">
      <w:pPr>
        <w:spacing w:line="360" w:lineRule="auto"/>
        <w:rPr>
          <w:rFonts w:ascii="Arial" w:hAnsi="Arial" w:cs="Arial"/>
          <w:sz w:val="22"/>
          <w:szCs w:val="22"/>
        </w:rPr>
      </w:pPr>
    </w:p>
    <w:p w14:paraId="55867AC5" w14:textId="77777777" w:rsidR="00A6747E" w:rsidRPr="006A63DC" w:rsidRDefault="00A6747E" w:rsidP="006A63DC">
      <w:pPr>
        <w:spacing w:line="360" w:lineRule="auto"/>
        <w:rPr>
          <w:rFonts w:ascii="Arial" w:hAnsi="Arial" w:cs="Arial"/>
          <w:sz w:val="22"/>
          <w:szCs w:val="22"/>
        </w:rPr>
      </w:pPr>
    </w:p>
    <w:p w14:paraId="398785D7" w14:textId="77777777" w:rsidR="00A6747E" w:rsidRPr="006A63DC" w:rsidRDefault="00A6747E" w:rsidP="006A63DC">
      <w:pPr>
        <w:spacing w:line="360" w:lineRule="auto"/>
        <w:rPr>
          <w:rFonts w:ascii="Arial" w:hAnsi="Arial" w:cs="Arial"/>
          <w:sz w:val="22"/>
          <w:szCs w:val="22"/>
        </w:rPr>
      </w:pPr>
    </w:p>
    <w:p w14:paraId="1DD1598C" w14:textId="77777777" w:rsidR="00A6747E" w:rsidRPr="006A63DC" w:rsidRDefault="00A6747E" w:rsidP="006A63DC">
      <w:pPr>
        <w:spacing w:line="360" w:lineRule="auto"/>
        <w:rPr>
          <w:rFonts w:ascii="Arial" w:hAnsi="Arial" w:cs="Arial"/>
          <w:sz w:val="22"/>
          <w:szCs w:val="22"/>
        </w:rPr>
      </w:pPr>
    </w:p>
    <w:p w14:paraId="56BC1AB6" w14:textId="77777777" w:rsidR="00A6747E" w:rsidRPr="006A63DC" w:rsidRDefault="00A6747E" w:rsidP="006A63DC">
      <w:pPr>
        <w:spacing w:line="360" w:lineRule="auto"/>
        <w:rPr>
          <w:rFonts w:ascii="Arial" w:hAnsi="Arial" w:cs="Arial"/>
          <w:sz w:val="22"/>
          <w:szCs w:val="22"/>
        </w:rPr>
      </w:pPr>
    </w:p>
    <w:p w14:paraId="5049273F" w14:textId="77777777" w:rsidR="00A6747E" w:rsidRPr="006A63DC" w:rsidRDefault="00A6747E" w:rsidP="006A63DC">
      <w:pPr>
        <w:spacing w:line="360" w:lineRule="auto"/>
        <w:rPr>
          <w:rFonts w:ascii="Arial" w:hAnsi="Arial" w:cs="Arial"/>
          <w:sz w:val="22"/>
          <w:szCs w:val="22"/>
        </w:rPr>
      </w:pPr>
    </w:p>
    <w:p w14:paraId="67E7F62D" w14:textId="77777777" w:rsidR="00A6747E" w:rsidRPr="006A63DC" w:rsidRDefault="00A6747E" w:rsidP="006A63DC">
      <w:pPr>
        <w:spacing w:line="360" w:lineRule="auto"/>
        <w:rPr>
          <w:rFonts w:ascii="Arial" w:hAnsi="Arial" w:cs="Arial"/>
          <w:sz w:val="22"/>
          <w:szCs w:val="22"/>
        </w:rPr>
      </w:pPr>
    </w:p>
    <w:p w14:paraId="3D65D43C" w14:textId="77777777" w:rsidR="00A6747E" w:rsidRPr="006A63DC" w:rsidRDefault="00A6747E" w:rsidP="006A63DC">
      <w:pPr>
        <w:spacing w:line="360" w:lineRule="auto"/>
        <w:rPr>
          <w:rFonts w:ascii="Arial" w:hAnsi="Arial" w:cs="Arial"/>
          <w:sz w:val="22"/>
          <w:szCs w:val="22"/>
        </w:rPr>
      </w:pPr>
    </w:p>
    <w:p w14:paraId="3CCF40E6" w14:textId="77777777" w:rsidR="00A6747E" w:rsidRPr="006A63DC" w:rsidRDefault="00A6747E" w:rsidP="006A63DC">
      <w:pPr>
        <w:spacing w:line="360" w:lineRule="auto"/>
        <w:rPr>
          <w:rFonts w:ascii="Arial" w:hAnsi="Arial" w:cs="Arial"/>
          <w:sz w:val="22"/>
          <w:szCs w:val="22"/>
        </w:rPr>
      </w:pPr>
    </w:p>
    <w:p w14:paraId="0106CFFB" w14:textId="77777777" w:rsidR="00A6747E" w:rsidRPr="006A63DC" w:rsidRDefault="00A6747E" w:rsidP="006A63DC">
      <w:pPr>
        <w:spacing w:line="360" w:lineRule="auto"/>
        <w:rPr>
          <w:rFonts w:ascii="Arial" w:hAnsi="Arial" w:cs="Arial"/>
          <w:sz w:val="22"/>
          <w:szCs w:val="22"/>
        </w:rPr>
      </w:pPr>
    </w:p>
    <w:p w14:paraId="3B367388" w14:textId="77777777" w:rsidR="00A6747E" w:rsidRPr="006A63DC" w:rsidRDefault="00A6747E" w:rsidP="006A63DC">
      <w:pPr>
        <w:spacing w:line="360" w:lineRule="auto"/>
        <w:rPr>
          <w:rFonts w:ascii="Arial" w:hAnsi="Arial" w:cs="Arial"/>
          <w:sz w:val="22"/>
          <w:szCs w:val="22"/>
        </w:rPr>
      </w:pPr>
    </w:p>
    <w:p w14:paraId="63B72F5E" w14:textId="77777777" w:rsidR="00A6747E" w:rsidRPr="006A63DC" w:rsidRDefault="00A6747E" w:rsidP="006A63DC">
      <w:pPr>
        <w:spacing w:line="360" w:lineRule="auto"/>
        <w:rPr>
          <w:rFonts w:ascii="Arial" w:hAnsi="Arial" w:cs="Arial"/>
          <w:sz w:val="22"/>
          <w:szCs w:val="22"/>
        </w:rPr>
      </w:pPr>
    </w:p>
    <w:p w14:paraId="0D2A7384" w14:textId="77777777" w:rsidR="00A6747E" w:rsidRPr="006A63DC" w:rsidRDefault="00A6747E" w:rsidP="006A63DC">
      <w:pPr>
        <w:spacing w:line="360" w:lineRule="auto"/>
        <w:rPr>
          <w:rFonts w:ascii="Arial" w:hAnsi="Arial" w:cs="Arial"/>
          <w:sz w:val="22"/>
          <w:szCs w:val="22"/>
        </w:rPr>
      </w:pPr>
    </w:p>
    <w:p w14:paraId="43F3F5C9" w14:textId="77777777" w:rsidR="00A6747E" w:rsidRPr="006A63DC" w:rsidRDefault="00A6747E" w:rsidP="006A63DC">
      <w:pPr>
        <w:spacing w:line="360" w:lineRule="auto"/>
        <w:rPr>
          <w:rFonts w:ascii="Arial" w:hAnsi="Arial" w:cs="Arial"/>
          <w:sz w:val="22"/>
          <w:szCs w:val="22"/>
        </w:rPr>
      </w:pPr>
    </w:p>
    <w:p w14:paraId="1CF7B3BC" w14:textId="77777777" w:rsidR="00A6747E" w:rsidRPr="006A63DC" w:rsidRDefault="00A6747E" w:rsidP="006A63DC">
      <w:pPr>
        <w:spacing w:line="360" w:lineRule="auto"/>
        <w:rPr>
          <w:rFonts w:ascii="Arial" w:hAnsi="Arial" w:cs="Arial"/>
          <w:sz w:val="22"/>
          <w:szCs w:val="22"/>
        </w:rPr>
      </w:pPr>
    </w:p>
    <w:p w14:paraId="348C596F" w14:textId="77777777" w:rsidR="00A6747E" w:rsidRPr="006A63DC" w:rsidRDefault="00A6747E" w:rsidP="006A63DC">
      <w:pPr>
        <w:spacing w:line="360" w:lineRule="auto"/>
        <w:rPr>
          <w:rFonts w:ascii="Arial" w:hAnsi="Arial" w:cs="Arial"/>
          <w:sz w:val="22"/>
          <w:szCs w:val="22"/>
        </w:rPr>
      </w:pPr>
    </w:p>
    <w:p w14:paraId="1815D81A" w14:textId="77777777" w:rsidR="00A6747E" w:rsidRPr="006A63DC" w:rsidRDefault="00A6747E" w:rsidP="006A63DC">
      <w:pPr>
        <w:spacing w:line="360" w:lineRule="auto"/>
        <w:rPr>
          <w:rFonts w:ascii="Arial" w:hAnsi="Arial" w:cs="Arial"/>
          <w:sz w:val="22"/>
          <w:szCs w:val="22"/>
        </w:rPr>
      </w:pPr>
    </w:p>
    <w:p w14:paraId="579E5062" w14:textId="77777777" w:rsidR="006A63DC" w:rsidRDefault="006A63DC" w:rsidP="006A63DC">
      <w:pPr>
        <w:spacing w:line="360" w:lineRule="auto"/>
        <w:jc w:val="center"/>
        <w:rPr>
          <w:rFonts w:ascii="Arial" w:hAnsi="Arial" w:cs="Arial"/>
          <w:sz w:val="22"/>
          <w:szCs w:val="22"/>
        </w:rPr>
      </w:pPr>
    </w:p>
    <w:p w14:paraId="42EBA451" w14:textId="67BCF8B6" w:rsidR="006A63DC" w:rsidRPr="006A63DC" w:rsidRDefault="006A63DC" w:rsidP="006A63DC">
      <w:pPr>
        <w:spacing w:line="360" w:lineRule="auto"/>
        <w:jc w:val="center"/>
        <w:rPr>
          <w:rFonts w:ascii="Arial" w:hAnsi="Arial" w:cs="Arial"/>
          <w:b/>
          <w:bCs/>
          <w:sz w:val="22"/>
          <w:szCs w:val="22"/>
        </w:rPr>
      </w:pPr>
      <w:r w:rsidRPr="006A63DC">
        <w:rPr>
          <w:rFonts w:ascii="Arial" w:hAnsi="Arial" w:cs="Arial"/>
          <w:b/>
          <w:bCs/>
          <w:sz w:val="22"/>
          <w:szCs w:val="22"/>
        </w:rPr>
        <w:lastRenderedPageBreak/>
        <w:t>T</w:t>
      </w:r>
      <w:r w:rsidRPr="006A63DC">
        <w:rPr>
          <w:rFonts w:ascii="Arial" w:hAnsi="Arial" w:cs="Arial"/>
          <w:b/>
          <w:bCs/>
          <w:sz w:val="22"/>
          <w:szCs w:val="22"/>
        </w:rPr>
        <w:t>he Impact of Social Media on Mental Health in Adolescence</w:t>
      </w:r>
    </w:p>
    <w:p w14:paraId="650B9456" w14:textId="77777777" w:rsidR="006A63DC" w:rsidRPr="006A63DC" w:rsidRDefault="006A63DC" w:rsidP="006A63DC">
      <w:pPr>
        <w:spacing w:line="360" w:lineRule="auto"/>
        <w:rPr>
          <w:rFonts w:ascii="Arial" w:hAnsi="Arial" w:cs="Arial"/>
          <w:b/>
          <w:bCs/>
          <w:sz w:val="22"/>
          <w:szCs w:val="22"/>
        </w:rPr>
      </w:pPr>
      <w:r w:rsidRPr="006A63DC">
        <w:rPr>
          <w:rFonts w:ascii="Arial" w:hAnsi="Arial" w:cs="Arial"/>
          <w:b/>
          <w:bCs/>
          <w:sz w:val="22"/>
          <w:szCs w:val="22"/>
        </w:rPr>
        <w:t>Introduction</w:t>
      </w:r>
    </w:p>
    <w:p w14:paraId="08468A14"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Social media has become a major part of everyday life, especially for young people, and its influence on adolescent mental health has become a growing concern for researchers, parents and educators. Adolescence is a sensitive stage of development where young people are trying to understand who they are, build relationships and become more independent. Because of this, social media can have a particularly strong impact on emotional wellbeing. Research has identified both positive and negative effects, with concerns focusing on issues such as anxiety, depression, low self-esteem and difficulties with identity development. NHS Digital (2023) reported that one in five young people aged 8–25 has a probable mental health disorder, and research suggests that social media may be one factor contributing to these difficulties. To explore why social media affects adolescents in these ways, this essay will examine Bowlby’s Attachment Theory and Erikson’s Psychosocial Development Theory. These theories help explain how social media interacts with young people’s emotional needs, relationships and identity development, as well as why it can create both risks and opportunities for mental health.</w:t>
      </w:r>
    </w:p>
    <w:p w14:paraId="152BC4C9" w14:textId="77777777" w:rsidR="006A63DC" w:rsidRPr="006A63DC" w:rsidRDefault="006A63DC" w:rsidP="006A63DC">
      <w:pPr>
        <w:spacing w:line="360" w:lineRule="auto"/>
        <w:rPr>
          <w:rFonts w:ascii="Arial" w:hAnsi="Arial" w:cs="Arial"/>
          <w:b/>
          <w:bCs/>
          <w:sz w:val="22"/>
          <w:szCs w:val="22"/>
        </w:rPr>
      </w:pPr>
      <w:r w:rsidRPr="006A63DC">
        <w:rPr>
          <w:rFonts w:ascii="Arial" w:hAnsi="Arial" w:cs="Arial"/>
          <w:b/>
          <w:bCs/>
          <w:sz w:val="22"/>
          <w:szCs w:val="22"/>
        </w:rPr>
        <w:t>The Impact of Social Media on Adolescent Mental Health</w:t>
      </w:r>
    </w:p>
    <w:p w14:paraId="4B290A3E"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Social media platforms such as Instagram, TikTok, Snapchat and YouTube have become central to how adolescents communicate, maintain friendships and express themselves. Although these platforms can encourage creativity and connection, concerns have increased about their impact on mental health. Heavy social media use, particularly when it involves comparing oneself with others or seeking approval through likes and comments, has been associated with poorer wellbeing. The Royal Society for Public Health (2017) found that 91% of young people aged 16–24 use social media, with Instagram and Snapchat being viewed as having some of the most negative effects on wellbeing.</w:t>
      </w:r>
    </w:p>
    <w:p w14:paraId="007AC159"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Adolescents may compare themselves with influencers and peers who often present idealised versions of their lives online, which can contribute to feelings of inadequacy and low self-esteem. Cyberbullying is another concern, with Hamm et al. (2015) finding that adolescents who experience cyberbullying are more likely to show symptoms of depression. Psychological theories can help explain why adolescents are particularly vulnerable to these pressures.</w:t>
      </w:r>
    </w:p>
    <w:p w14:paraId="00581820" w14:textId="77777777" w:rsidR="006A63DC" w:rsidRPr="006A63DC" w:rsidRDefault="006A63DC" w:rsidP="006A63DC">
      <w:pPr>
        <w:spacing w:line="360" w:lineRule="auto"/>
        <w:rPr>
          <w:rFonts w:ascii="Arial" w:hAnsi="Arial" w:cs="Arial"/>
          <w:b/>
          <w:bCs/>
          <w:sz w:val="22"/>
          <w:szCs w:val="22"/>
        </w:rPr>
      </w:pPr>
      <w:r w:rsidRPr="006A63DC">
        <w:rPr>
          <w:rFonts w:ascii="Arial" w:hAnsi="Arial" w:cs="Arial"/>
          <w:b/>
          <w:bCs/>
          <w:sz w:val="22"/>
          <w:szCs w:val="22"/>
        </w:rPr>
        <w:t>Bowlby’s Attachment Theory</w:t>
      </w:r>
    </w:p>
    <w:p w14:paraId="4EA23E38" w14:textId="77777777" w:rsidR="006A63DC" w:rsidRPr="006A63DC" w:rsidRDefault="006A63DC" w:rsidP="006A63DC">
      <w:pPr>
        <w:spacing w:line="360" w:lineRule="auto"/>
        <w:rPr>
          <w:rFonts w:ascii="Arial" w:hAnsi="Arial" w:cs="Arial"/>
          <w:sz w:val="22"/>
          <w:szCs w:val="22"/>
        </w:rPr>
      </w:pPr>
    </w:p>
    <w:p w14:paraId="4139D155"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lastRenderedPageBreak/>
        <w:t>Bowlby’s Attachment Theory focuses on the importance of early relationships in shaping emotional development and later behaviour. Bowlby (1969) suggested that children develop internal working models, which are mental frameworks based on their experiences with caregivers. These influence how individuals view themselves, others and future relationships. Children who experience consistent care and support are more likely to develop a secure attachment, meaning they feel valued, safe and confident in relationships. In contrast, inconsistent or rejecting care may lead to insecure attachment, where individuals may experience anxiety, fear of rejection or a greater need for reassurance.</w:t>
      </w:r>
    </w:p>
    <w:p w14:paraId="622075EE"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Although Bowlby’s theory originally focused on infancy, later research suggests attachment continues to influence emotional wellbeing throughout adolescence (Allen, 2008).</w:t>
      </w:r>
    </w:p>
    <w:p w14:paraId="12591351"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An aspect of Bowlby’s theory that is particularly useful for understanding adolescence is the concept of internal working models. This helps explain why social media affects teenagers differently. Two adolescents may experience the same online situation, such as receiving fewer likes on a post, but respond differently depending on their previous relationship experiences and emotional security. This suggests that social media itself is not the only factor affecting mental health; instead, the meaning young people attach to online experiences may depend on their attachment style.</w:t>
      </w:r>
    </w:p>
    <w:p w14:paraId="7E46B475" w14:textId="77777777" w:rsidR="006A63DC" w:rsidRPr="006A63DC" w:rsidRDefault="006A63DC" w:rsidP="006A63DC">
      <w:pPr>
        <w:spacing w:line="360" w:lineRule="auto"/>
        <w:rPr>
          <w:rFonts w:ascii="Arial" w:hAnsi="Arial" w:cs="Arial"/>
          <w:b/>
          <w:bCs/>
          <w:sz w:val="22"/>
          <w:szCs w:val="22"/>
        </w:rPr>
      </w:pPr>
      <w:r w:rsidRPr="006A63DC">
        <w:rPr>
          <w:rFonts w:ascii="Arial" w:hAnsi="Arial" w:cs="Arial"/>
          <w:b/>
          <w:bCs/>
          <w:sz w:val="22"/>
          <w:szCs w:val="22"/>
        </w:rPr>
        <w:t>Applying Bowlby’s Theory to Social Media and Adolescent Mental Health</w:t>
      </w:r>
    </w:p>
    <w:p w14:paraId="7985E8E2"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Bowlby’s theory can be applied to social media because many adolescents use online platforms to seek connection, acceptance and reassurance. For some young people, likes, comments and followers may become a form of validation. Adolescents with insecure attachment may be more likely to depend on this approval because they may have a stronger need for reassurance from others. Nathanson et al. (2016) found that adolescents with insecure attachment styles were more likely to experience negative emotions when using social media, especially when they relied on online interactions for emotional support.</w:t>
      </w:r>
    </w:p>
    <w:p w14:paraId="21441406"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Social media can also affect peer relationships, which are extremely important during adolescence. Online exclusion, arguments or seeing friends together without them can create feelings of rejection. For adolescents who already experience insecurity, these situations may reinforce fears of not being accepted. However, Bowlby’s theory also highlights potential benefits of social media. Online communities can provide support and connection, particularly for young people who feel isolated offline. Best et al. (2014) found that online communication can reduce loneliness and improve feelings of social connection.</w:t>
      </w:r>
    </w:p>
    <w:p w14:paraId="4BC0EFA3" w14:textId="77777777" w:rsidR="006A63DC" w:rsidRPr="006A63DC" w:rsidRDefault="006A63DC" w:rsidP="006A63DC">
      <w:pPr>
        <w:spacing w:line="360" w:lineRule="auto"/>
        <w:rPr>
          <w:rFonts w:ascii="Arial" w:hAnsi="Arial" w:cs="Arial"/>
          <w:b/>
          <w:bCs/>
          <w:sz w:val="22"/>
          <w:szCs w:val="22"/>
        </w:rPr>
      </w:pPr>
      <w:r w:rsidRPr="006A63DC">
        <w:rPr>
          <w:rFonts w:ascii="Arial" w:hAnsi="Arial" w:cs="Arial"/>
          <w:b/>
          <w:bCs/>
          <w:sz w:val="22"/>
          <w:szCs w:val="22"/>
        </w:rPr>
        <w:t>Critical Evaluation of Bowlby’s Attachment Theory</w:t>
      </w:r>
    </w:p>
    <w:p w14:paraId="43B628AA"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lastRenderedPageBreak/>
        <w:t>Overall, Bowlby’s Attachment Theory is useful for understanding why social media affects adolescents differently. A major strength of the theory is that it recognises individual differences and explains why some teenagers may be more vulnerable to online pressures than others. The concept of internal working models is particularly valuable because it shows that reactions to social media are influenced by previous relationship experiences and emotional security.</w:t>
      </w:r>
    </w:p>
    <w:p w14:paraId="3E42E38A"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However, the theory also has limitations. Bowlby places significant emphasis on early childhood experiences and may not fully consider the influence of later relationships, culture, personality and experiences during adolescence. In addition, the theory does not fully explain how young people learn behaviours from online environments. Bandura’s Social Learning Theory provides an alternative explanation by suggesting that behaviour can develop through observing and imitating others, which is relevant when considering influencers, online trends and social media behaviour. Despite these criticisms, Bowlby’s theory remains useful because it explains why the same online experiences can affect adolescents in different ways.</w:t>
      </w:r>
    </w:p>
    <w:p w14:paraId="2720008C" w14:textId="77777777" w:rsidR="006A63DC" w:rsidRPr="006A63DC" w:rsidRDefault="006A63DC" w:rsidP="006A63DC">
      <w:pPr>
        <w:spacing w:line="360" w:lineRule="auto"/>
        <w:rPr>
          <w:rFonts w:ascii="Arial" w:hAnsi="Arial" w:cs="Arial"/>
          <w:b/>
          <w:bCs/>
          <w:sz w:val="22"/>
          <w:szCs w:val="22"/>
        </w:rPr>
      </w:pPr>
      <w:r w:rsidRPr="006A63DC">
        <w:rPr>
          <w:rFonts w:ascii="Arial" w:hAnsi="Arial" w:cs="Arial"/>
          <w:b/>
          <w:bCs/>
          <w:sz w:val="22"/>
          <w:szCs w:val="22"/>
        </w:rPr>
        <w:t>Erikson’s Psychosocial Development Theory</w:t>
      </w:r>
    </w:p>
    <w:p w14:paraId="11C1C56B"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While Bowlby focuses on emotional security and relationships, Erikson’s Psychosocial Development Theory focuses on identity development and how individuals develop a sense of self throughout life. Erikson (1968) proposed that development occurs through eight stages, with each stage involving a psychological challenge. During adolescence, the key stage is identity versus role confusion, where young people explore who they are, their values, beliefs and their place in society.</w:t>
      </w:r>
    </w:p>
    <w:p w14:paraId="51BF4315"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Identity refers to developing a clear understanding of oneself, while role confusion occurs when adolescents struggle to establish a stable sense of self, which may lead to uncertainty and insecurity.</w:t>
      </w:r>
    </w:p>
    <w:p w14:paraId="317D52B9"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Erikson’s theory is particularly relevant to social media because online platforms have become an important part of how young people present themselves and receive feedback from others. Adolescence is already a period where individuals are questioning their identity, and social media adds another environment where they can experiment with different aspects of themselves. I find Erikson’s theory useful because it explains why teenagers may be especially sensitive to social acceptance, comparison and judgement from others online.</w:t>
      </w:r>
    </w:p>
    <w:p w14:paraId="2FDB51BC" w14:textId="77777777" w:rsidR="006A63DC" w:rsidRPr="006A63DC" w:rsidRDefault="006A63DC" w:rsidP="006A63DC">
      <w:pPr>
        <w:spacing w:line="360" w:lineRule="auto"/>
        <w:rPr>
          <w:rFonts w:ascii="Arial" w:hAnsi="Arial" w:cs="Arial"/>
          <w:b/>
          <w:bCs/>
          <w:sz w:val="22"/>
          <w:szCs w:val="22"/>
        </w:rPr>
      </w:pPr>
      <w:r w:rsidRPr="006A63DC">
        <w:rPr>
          <w:rFonts w:ascii="Arial" w:hAnsi="Arial" w:cs="Arial"/>
          <w:b/>
          <w:bCs/>
          <w:sz w:val="22"/>
          <w:szCs w:val="22"/>
        </w:rPr>
        <w:t>Applying Erikson’s Theory to Social Media and Adolescent Mental Health</w:t>
      </w:r>
    </w:p>
    <w:p w14:paraId="0BDB5A90"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 xml:space="preserve">Social media can support identity development by allowing adolescents to express themselves, explore interests and connect with people who share similar experiences. </w:t>
      </w:r>
      <w:r w:rsidRPr="006A63DC">
        <w:rPr>
          <w:rFonts w:ascii="Arial" w:hAnsi="Arial" w:cs="Arial"/>
          <w:sz w:val="22"/>
          <w:szCs w:val="22"/>
        </w:rPr>
        <w:lastRenderedPageBreak/>
        <w:t>Online communities can provide acceptance and belonging, particularly for young people who may feel isolated in their offline lives.</w:t>
      </w:r>
    </w:p>
    <w:p w14:paraId="792E01CD"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However, social media can also create difficulties for identity development. Adolescents may feel pressure to present a perfect version of themselves by sharing edited images or carefully chosen content. This can result in young people focusing more on gaining approval from others rather than developing a genuine sense of identity.</w:t>
      </w:r>
    </w:p>
    <w:p w14:paraId="75081E37"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 xml:space="preserve">Social comparison is one of the main ways social media can negatively influence adolescent mental health. </w:t>
      </w:r>
      <w:proofErr w:type="spellStart"/>
      <w:r w:rsidRPr="006A63DC">
        <w:rPr>
          <w:rFonts w:ascii="Arial" w:hAnsi="Arial" w:cs="Arial"/>
          <w:sz w:val="22"/>
          <w:szCs w:val="22"/>
        </w:rPr>
        <w:t>Fardouly</w:t>
      </w:r>
      <w:proofErr w:type="spellEnd"/>
      <w:r w:rsidRPr="006A63DC">
        <w:rPr>
          <w:rFonts w:ascii="Arial" w:hAnsi="Arial" w:cs="Arial"/>
          <w:sz w:val="22"/>
          <w:szCs w:val="22"/>
        </w:rPr>
        <w:t xml:space="preserve"> et al. (2015) found that exposure to appearance-related content online was linked to increased body dissatisfaction among young women. This is significant because adolescents are still developing confidence and their sense of self.</w:t>
      </w:r>
    </w:p>
    <w:p w14:paraId="537C10DA"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Erikson’s theory also highlights the importance of peer relationships during adolescence. Social acceptance becomes increasingly important, and social media can make this pressure stronger because interactions are constant and visible. Likes, comments and followers may become connected to feelings of popularity and self-worth. Pew Research (2022) found that many teenagers feel pressure to respond quickly to messages, suggesting that social media can make friendships and communication more demanding.</w:t>
      </w:r>
    </w:p>
    <w:p w14:paraId="599F5230" w14:textId="77777777" w:rsidR="006A63DC" w:rsidRPr="006A63DC" w:rsidRDefault="006A63DC" w:rsidP="006A63DC">
      <w:pPr>
        <w:spacing w:line="360" w:lineRule="auto"/>
        <w:rPr>
          <w:rFonts w:ascii="Arial" w:hAnsi="Arial" w:cs="Arial"/>
          <w:b/>
          <w:bCs/>
          <w:sz w:val="22"/>
          <w:szCs w:val="22"/>
        </w:rPr>
      </w:pPr>
      <w:r w:rsidRPr="006A63DC">
        <w:rPr>
          <w:rFonts w:ascii="Arial" w:hAnsi="Arial" w:cs="Arial"/>
          <w:b/>
          <w:bCs/>
          <w:sz w:val="22"/>
          <w:szCs w:val="22"/>
        </w:rPr>
        <w:t>Critical Evaluation of Erikson’s Psychosocial Development Theory</w:t>
      </w:r>
    </w:p>
    <w:p w14:paraId="5020D0DB"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Erikson’s theory is valuable because it recognises that identity development is central to adolescence and helps explain why young people may be strongly affected by online feedback. However, the theory also has limitations. Erikson suggested identity development is mainly linked to adolescence, whereas later researchers such as Marcia argued that identity continues to develop throughout life through different processes of exploration and commitment.</w:t>
      </w:r>
    </w:p>
    <w:p w14:paraId="15F93E19"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Furthermore, Erikson developed his theory before social media existed, meaning it cannot fully explain modern digital experiences such as influencer culture and online self-presentation. Despite this, the theory remains highly relevant because many social media pressures relate directly to identity, belonging and acceptance.</w:t>
      </w:r>
    </w:p>
    <w:p w14:paraId="15D00513" w14:textId="77777777" w:rsidR="006A63DC" w:rsidRPr="006A63DC" w:rsidRDefault="006A63DC" w:rsidP="006A63DC">
      <w:pPr>
        <w:spacing w:line="360" w:lineRule="auto"/>
        <w:rPr>
          <w:rFonts w:ascii="Arial" w:hAnsi="Arial" w:cs="Arial"/>
          <w:b/>
          <w:bCs/>
          <w:sz w:val="22"/>
          <w:szCs w:val="22"/>
        </w:rPr>
      </w:pPr>
      <w:r w:rsidRPr="006A63DC">
        <w:rPr>
          <w:rFonts w:ascii="Arial" w:hAnsi="Arial" w:cs="Arial"/>
          <w:b/>
          <w:bCs/>
          <w:sz w:val="22"/>
          <w:szCs w:val="22"/>
        </w:rPr>
        <w:t>Positive and Negative Effects of Social Media on Adolescents</w:t>
      </w:r>
    </w:p>
    <w:p w14:paraId="685F6206"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 xml:space="preserve">Although social media is often discussed negatively, it can also have positive effects on adolescent mental health. It can help young people maintain friendships, access support networks and find communities where they feel understood. From an attachment perspective, social media may provide connection and reassurance, while from an </w:t>
      </w:r>
      <w:proofErr w:type="spellStart"/>
      <w:r w:rsidRPr="006A63DC">
        <w:rPr>
          <w:rFonts w:ascii="Arial" w:hAnsi="Arial" w:cs="Arial"/>
          <w:sz w:val="22"/>
          <w:szCs w:val="22"/>
        </w:rPr>
        <w:t>Eriksonian</w:t>
      </w:r>
      <w:proofErr w:type="spellEnd"/>
      <w:r w:rsidRPr="006A63DC">
        <w:rPr>
          <w:rFonts w:ascii="Arial" w:hAnsi="Arial" w:cs="Arial"/>
          <w:sz w:val="22"/>
          <w:szCs w:val="22"/>
        </w:rPr>
        <w:t xml:space="preserve"> perspective it can support identity exploration and self-expression.</w:t>
      </w:r>
    </w:p>
    <w:p w14:paraId="2E405BE5"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lastRenderedPageBreak/>
        <w:t>However, the impact of social media depends on how it is used. Positive experiences are more likely when adolescents engage in supportive communication rather than focusing mainly on comparison or seeking approval.</w:t>
      </w:r>
    </w:p>
    <w:p w14:paraId="76122041" w14:textId="77777777" w:rsidR="006A63DC" w:rsidRPr="006A63DC" w:rsidRDefault="006A63DC" w:rsidP="006A63DC">
      <w:pPr>
        <w:spacing w:line="360" w:lineRule="auto"/>
        <w:rPr>
          <w:rFonts w:ascii="Arial" w:hAnsi="Arial" w:cs="Arial"/>
          <w:b/>
          <w:bCs/>
          <w:sz w:val="22"/>
          <w:szCs w:val="22"/>
        </w:rPr>
      </w:pPr>
      <w:r w:rsidRPr="006A63DC">
        <w:rPr>
          <w:rFonts w:ascii="Arial" w:hAnsi="Arial" w:cs="Arial"/>
          <w:b/>
          <w:bCs/>
          <w:sz w:val="22"/>
          <w:szCs w:val="22"/>
        </w:rPr>
        <w:t>Conclusion</w:t>
      </w:r>
    </w:p>
    <w:p w14:paraId="306C4311" w14:textId="77777777" w:rsidR="006A63DC" w:rsidRPr="006A63DC" w:rsidRDefault="006A63DC" w:rsidP="006A63DC">
      <w:pPr>
        <w:spacing w:line="360" w:lineRule="auto"/>
        <w:rPr>
          <w:rFonts w:ascii="Arial" w:hAnsi="Arial" w:cs="Arial"/>
          <w:b/>
          <w:bCs/>
          <w:sz w:val="22"/>
          <w:szCs w:val="22"/>
        </w:rPr>
      </w:pPr>
      <w:r w:rsidRPr="006A63DC">
        <w:rPr>
          <w:rFonts w:ascii="Arial" w:hAnsi="Arial" w:cs="Arial"/>
          <w:sz w:val="22"/>
          <w:szCs w:val="22"/>
        </w:rPr>
        <w:t>In conclusion, social media has a significant impact on adolescent mental health, creating both risks and benefits. Bowlby’s Attachment Theory helps explain why some teenagers may be more vulnerable to negative online experiences because of their emotional needs and relationship experiences. Erikson’s Psychosocial Development Theory provides a strong explanation of how social media influences identity development, self-esteem and the need for acceptance during adolescence.</w:t>
      </w:r>
    </w:p>
    <w:p w14:paraId="4455BAEB"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Overall, Erikson’s theory may provide the strongest explanation because identity formation is a central part of adolescence and is closely connected to how young people use social media today. However, Bowlby’s theory remains important because it explains why adolescents respond differently to similar online experiences.</w:t>
      </w:r>
    </w:p>
    <w:p w14:paraId="27F097BF"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Therefore, social media should not be viewed as entirely harmful or beneficial. Instead, its impact depends on individual circumstances, relationships and the way it is used. Understanding these theories can help support young people in developing healthier relationships with social media.</w:t>
      </w:r>
    </w:p>
    <w:p w14:paraId="6B73CEED" w14:textId="77777777" w:rsidR="006A63DC" w:rsidRPr="006A63DC" w:rsidRDefault="006A63DC" w:rsidP="006A63DC">
      <w:pPr>
        <w:spacing w:line="360" w:lineRule="auto"/>
        <w:rPr>
          <w:rFonts w:ascii="Arial" w:hAnsi="Arial" w:cs="Arial"/>
          <w:sz w:val="22"/>
          <w:szCs w:val="22"/>
        </w:rPr>
      </w:pPr>
    </w:p>
    <w:p w14:paraId="3D5BD8D8" w14:textId="77777777" w:rsidR="006A63DC" w:rsidRPr="006A63DC" w:rsidRDefault="006A63DC" w:rsidP="006A63DC">
      <w:pPr>
        <w:spacing w:line="360" w:lineRule="auto"/>
        <w:rPr>
          <w:rFonts w:ascii="Arial" w:hAnsi="Arial" w:cs="Arial"/>
          <w:sz w:val="22"/>
          <w:szCs w:val="22"/>
        </w:rPr>
      </w:pPr>
    </w:p>
    <w:p w14:paraId="51039F8E" w14:textId="77777777" w:rsidR="006A63DC" w:rsidRPr="006A63DC" w:rsidRDefault="006A63DC" w:rsidP="006A63DC">
      <w:pPr>
        <w:spacing w:line="360" w:lineRule="auto"/>
        <w:rPr>
          <w:rFonts w:ascii="Arial" w:hAnsi="Arial" w:cs="Arial"/>
          <w:sz w:val="22"/>
          <w:szCs w:val="22"/>
        </w:rPr>
      </w:pPr>
    </w:p>
    <w:p w14:paraId="73BA77B4" w14:textId="77777777" w:rsidR="006A63DC" w:rsidRPr="006A63DC" w:rsidRDefault="006A63DC" w:rsidP="006A63DC">
      <w:pPr>
        <w:spacing w:line="360" w:lineRule="auto"/>
        <w:rPr>
          <w:rFonts w:ascii="Arial" w:hAnsi="Arial" w:cs="Arial"/>
          <w:sz w:val="22"/>
          <w:szCs w:val="22"/>
        </w:rPr>
      </w:pPr>
    </w:p>
    <w:p w14:paraId="34B4017E" w14:textId="77777777" w:rsidR="006A63DC" w:rsidRPr="006A63DC" w:rsidRDefault="006A63DC" w:rsidP="006A63DC">
      <w:pPr>
        <w:spacing w:line="360" w:lineRule="auto"/>
        <w:rPr>
          <w:rFonts w:ascii="Arial" w:hAnsi="Arial" w:cs="Arial"/>
          <w:sz w:val="22"/>
          <w:szCs w:val="22"/>
        </w:rPr>
      </w:pPr>
    </w:p>
    <w:p w14:paraId="2CFB5930" w14:textId="77777777" w:rsidR="006A63DC" w:rsidRPr="006A63DC" w:rsidRDefault="006A63DC" w:rsidP="006A63DC">
      <w:pPr>
        <w:spacing w:line="360" w:lineRule="auto"/>
        <w:rPr>
          <w:rFonts w:ascii="Arial" w:hAnsi="Arial" w:cs="Arial"/>
          <w:sz w:val="22"/>
          <w:szCs w:val="22"/>
        </w:rPr>
      </w:pPr>
    </w:p>
    <w:p w14:paraId="31D62F13" w14:textId="77777777" w:rsidR="006A63DC" w:rsidRPr="006A63DC" w:rsidRDefault="006A63DC" w:rsidP="006A63DC">
      <w:pPr>
        <w:spacing w:line="360" w:lineRule="auto"/>
        <w:rPr>
          <w:rFonts w:ascii="Arial" w:hAnsi="Arial" w:cs="Arial"/>
          <w:sz w:val="22"/>
          <w:szCs w:val="22"/>
        </w:rPr>
      </w:pPr>
    </w:p>
    <w:p w14:paraId="12E28CD8" w14:textId="77777777" w:rsidR="006A63DC" w:rsidRPr="006A63DC" w:rsidRDefault="006A63DC" w:rsidP="006A63DC">
      <w:pPr>
        <w:spacing w:line="360" w:lineRule="auto"/>
        <w:rPr>
          <w:rFonts w:ascii="Arial" w:hAnsi="Arial" w:cs="Arial"/>
          <w:sz w:val="22"/>
          <w:szCs w:val="22"/>
        </w:rPr>
      </w:pPr>
    </w:p>
    <w:p w14:paraId="4021DE0B" w14:textId="77777777" w:rsidR="006A63DC" w:rsidRDefault="006A63DC" w:rsidP="006A63DC">
      <w:pPr>
        <w:spacing w:line="360" w:lineRule="auto"/>
        <w:rPr>
          <w:rFonts w:ascii="Arial" w:hAnsi="Arial" w:cs="Arial"/>
          <w:sz w:val="22"/>
          <w:szCs w:val="22"/>
        </w:rPr>
      </w:pPr>
    </w:p>
    <w:p w14:paraId="7B4D838F" w14:textId="77777777" w:rsidR="006A63DC" w:rsidRPr="006A63DC" w:rsidRDefault="006A63DC" w:rsidP="006A63DC">
      <w:pPr>
        <w:spacing w:line="360" w:lineRule="auto"/>
        <w:rPr>
          <w:rFonts w:ascii="Arial" w:hAnsi="Arial" w:cs="Arial"/>
          <w:sz w:val="22"/>
          <w:szCs w:val="22"/>
        </w:rPr>
      </w:pPr>
    </w:p>
    <w:p w14:paraId="66D43597" w14:textId="77777777" w:rsidR="006A63DC" w:rsidRDefault="006A63DC" w:rsidP="006A63DC">
      <w:pPr>
        <w:spacing w:line="360" w:lineRule="auto"/>
        <w:rPr>
          <w:rFonts w:ascii="Arial" w:hAnsi="Arial" w:cs="Arial"/>
          <w:b/>
          <w:bCs/>
          <w:sz w:val="22"/>
          <w:szCs w:val="22"/>
        </w:rPr>
      </w:pPr>
    </w:p>
    <w:p w14:paraId="55C55178" w14:textId="77777777" w:rsidR="006A63DC" w:rsidRDefault="006A63DC" w:rsidP="006A63DC">
      <w:pPr>
        <w:spacing w:line="360" w:lineRule="auto"/>
        <w:rPr>
          <w:rFonts w:ascii="Arial" w:hAnsi="Arial" w:cs="Arial"/>
          <w:b/>
          <w:bCs/>
          <w:sz w:val="22"/>
          <w:szCs w:val="22"/>
        </w:rPr>
      </w:pPr>
    </w:p>
    <w:p w14:paraId="53FA5413" w14:textId="09F34C5D" w:rsidR="006A63DC" w:rsidRPr="006A63DC" w:rsidRDefault="006A63DC" w:rsidP="006A63DC">
      <w:pPr>
        <w:spacing w:line="360" w:lineRule="auto"/>
        <w:rPr>
          <w:rFonts w:ascii="Arial" w:hAnsi="Arial" w:cs="Arial"/>
          <w:b/>
          <w:bCs/>
          <w:sz w:val="22"/>
          <w:szCs w:val="22"/>
        </w:rPr>
      </w:pPr>
      <w:r w:rsidRPr="006A63DC">
        <w:rPr>
          <w:rFonts w:ascii="Arial" w:hAnsi="Arial" w:cs="Arial"/>
          <w:b/>
          <w:bCs/>
          <w:sz w:val="22"/>
          <w:szCs w:val="22"/>
        </w:rPr>
        <w:lastRenderedPageBreak/>
        <w:t xml:space="preserve">References </w:t>
      </w:r>
    </w:p>
    <w:p w14:paraId="45784700"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 xml:space="preserve">Allen, J.P. (2008) ‘The attachment system in adolescence’, in Cassidy, J. and Shaver, P.R. (eds.) Handbook of Attachment: Theory, Research, and Clinical Applications. 2nd </w:t>
      </w:r>
      <w:proofErr w:type="spellStart"/>
      <w:r w:rsidRPr="006A63DC">
        <w:rPr>
          <w:rFonts w:ascii="Arial" w:hAnsi="Arial" w:cs="Arial"/>
          <w:sz w:val="22"/>
          <w:szCs w:val="22"/>
        </w:rPr>
        <w:t>edn</w:t>
      </w:r>
      <w:proofErr w:type="spellEnd"/>
      <w:r w:rsidRPr="006A63DC">
        <w:rPr>
          <w:rFonts w:ascii="Arial" w:hAnsi="Arial" w:cs="Arial"/>
          <w:sz w:val="22"/>
          <w:szCs w:val="22"/>
        </w:rPr>
        <w:t>. New York: Guilford Press, pp. 419–435.</w:t>
      </w:r>
    </w:p>
    <w:p w14:paraId="3248ACA2" w14:textId="77777777" w:rsidR="006A63DC" w:rsidRPr="006A63DC" w:rsidRDefault="006A63DC" w:rsidP="006A63DC">
      <w:pPr>
        <w:spacing w:line="360" w:lineRule="auto"/>
        <w:rPr>
          <w:rFonts w:ascii="Arial" w:hAnsi="Arial" w:cs="Arial"/>
          <w:sz w:val="22"/>
          <w:szCs w:val="22"/>
        </w:rPr>
      </w:pPr>
    </w:p>
    <w:p w14:paraId="29139054"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 xml:space="preserve">Best, P., </w:t>
      </w:r>
      <w:proofErr w:type="spellStart"/>
      <w:r w:rsidRPr="006A63DC">
        <w:rPr>
          <w:rFonts w:ascii="Arial" w:hAnsi="Arial" w:cs="Arial"/>
          <w:sz w:val="22"/>
          <w:szCs w:val="22"/>
        </w:rPr>
        <w:t>Manktelow</w:t>
      </w:r>
      <w:proofErr w:type="spellEnd"/>
      <w:r w:rsidRPr="006A63DC">
        <w:rPr>
          <w:rFonts w:ascii="Arial" w:hAnsi="Arial" w:cs="Arial"/>
          <w:sz w:val="22"/>
          <w:szCs w:val="22"/>
        </w:rPr>
        <w:t>, R. and Taylor, B. (2014) ‘Online communication, social media and adolescent wellbeing: A systematic narrative review’, Children and Youth Services Review, 41, pp. 27–36.</w:t>
      </w:r>
    </w:p>
    <w:p w14:paraId="6E94B94F" w14:textId="77777777" w:rsidR="006A63DC" w:rsidRPr="006A63DC" w:rsidRDefault="006A63DC" w:rsidP="006A63DC">
      <w:pPr>
        <w:spacing w:line="360" w:lineRule="auto"/>
        <w:rPr>
          <w:rFonts w:ascii="Arial" w:hAnsi="Arial" w:cs="Arial"/>
          <w:sz w:val="22"/>
          <w:szCs w:val="22"/>
        </w:rPr>
      </w:pPr>
    </w:p>
    <w:p w14:paraId="5A9600E3"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Bowlby, J. (1969) Attachment and Loss: Volume 1. Attachment. London: Hogarth Press.</w:t>
      </w:r>
    </w:p>
    <w:p w14:paraId="47ACE19A" w14:textId="77777777" w:rsidR="006A63DC" w:rsidRPr="006A63DC" w:rsidRDefault="006A63DC" w:rsidP="006A63DC">
      <w:pPr>
        <w:spacing w:line="360" w:lineRule="auto"/>
        <w:rPr>
          <w:rFonts w:ascii="Arial" w:hAnsi="Arial" w:cs="Arial"/>
          <w:sz w:val="22"/>
          <w:szCs w:val="22"/>
        </w:rPr>
      </w:pPr>
    </w:p>
    <w:p w14:paraId="4E57A251"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Erikson, E.H. (1968) Identity: Youth and Crisis. New York: Norton.</w:t>
      </w:r>
    </w:p>
    <w:p w14:paraId="12FAE14F" w14:textId="77777777" w:rsidR="006A63DC" w:rsidRPr="006A63DC" w:rsidRDefault="006A63DC" w:rsidP="006A63DC">
      <w:pPr>
        <w:spacing w:line="360" w:lineRule="auto"/>
        <w:rPr>
          <w:rFonts w:ascii="Arial" w:hAnsi="Arial" w:cs="Arial"/>
          <w:sz w:val="22"/>
          <w:szCs w:val="22"/>
        </w:rPr>
      </w:pPr>
    </w:p>
    <w:p w14:paraId="3DA24C0C" w14:textId="77777777" w:rsidR="006A63DC" w:rsidRPr="006A63DC" w:rsidRDefault="006A63DC" w:rsidP="006A63DC">
      <w:pPr>
        <w:spacing w:line="360" w:lineRule="auto"/>
        <w:rPr>
          <w:rFonts w:ascii="Arial" w:hAnsi="Arial" w:cs="Arial"/>
          <w:sz w:val="22"/>
          <w:szCs w:val="22"/>
        </w:rPr>
      </w:pPr>
      <w:proofErr w:type="spellStart"/>
      <w:r w:rsidRPr="006A63DC">
        <w:rPr>
          <w:rFonts w:ascii="Arial" w:hAnsi="Arial" w:cs="Arial"/>
          <w:sz w:val="22"/>
          <w:szCs w:val="22"/>
        </w:rPr>
        <w:t>Fardouly</w:t>
      </w:r>
      <w:proofErr w:type="spellEnd"/>
      <w:r w:rsidRPr="006A63DC">
        <w:rPr>
          <w:rFonts w:ascii="Arial" w:hAnsi="Arial" w:cs="Arial"/>
          <w:sz w:val="22"/>
          <w:szCs w:val="22"/>
        </w:rPr>
        <w:t>, J., Diedrichs, P.C., Vartanian, L.R. and Halliwell, E. (2015) ‘Social comparisons on social media: The impact of Facebook on young women’s body image concerns’, Body Image, 13, pp. 38–45.</w:t>
      </w:r>
    </w:p>
    <w:p w14:paraId="164C329E" w14:textId="77777777" w:rsidR="006A63DC" w:rsidRPr="006A63DC" w:rsidRDefault="006A63DC" w:rsidP="006A63DC">
      <w:pPr>
        <w:spacing w:line="360" w:lineRule="auto"/>
        <w:rPr>
          <w:rFonts w:ascii="Arial" w:hAnsi="Arial" w:cs="Arial"/>
          <w:sz w:val="22"/>
          <w:szCs w:val="22"/>
        </w:rPr>
      </w:pPr>
    </w:p>
    <w:p w14:paraId="043E8B1A"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 xml:space="preserve">Hamm, M.P. et al. (2015) ‘Prevalence and effect of cyberbullying on children and young people: A scoping review of social media studies’, JAMA </w:t>
      </w:r>
      <w:proofErr w:type="spellStart"/>
      <w:r w:rsidRPr="006A63DC">
        <w:rPr>
          <w:rFonts w:ascii="Arial" w:hAnsi="Arial" w:cs="Arial"/>
          <w:sz w:val="22"/>
          <w:szCs w:val="22"/>
        </w:rPr>
        <w:t>Pediatrics</w:t>
      </w:r>
      <w:proofErr w:type="spellEnd"/>
      <w:r w:rsidRPr="006A63DC">
        <w:rPr>
          <w:rFonts w:ascii="Arial" w:hAnsi="Arial" w:cs="Arial"/>
          <w:sz w:val="22"/>
          <w:szCs w:val="22"/>
        </w:rPr>
        <w:t>, 169(8), pp. 770–777.</w:t>
      </w:r>
    </w:p>
    <w:p w14:paraId="6E6B24A8" w14:textId="77777777" w:rsidR="006A63DC" w:rsidRPr="006A63DC" w:rsidRDefault="006A63DC" w:rsidP="006A63DC">
      <w:pPr>
        <w:spacing w:line="360" w:lineRule="auto"/>
        <w:rPr>
          <w:rFonts w:ascii="Arial" w:hAnsi="Arial" w:cs="Arial"/>
          <w:sz w:val="22"/>
          <w:szCs w:val="22"/>
        </w:rPr>
      </w:pPr>
    </w:p>
    <w:p w14:paraId="1F6A346C"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Nathanson, A.I., Sharp, M.L., Alade, F. and Rasmussen, E.E. (2016) ‘Attachment and social media use in adolescence’, Journal of Children and Media, 10(3), pp. 300–317.</w:t>
      </w:r>
    </w:p>
    <w:p w14:paraId="4869E295" w14:textId="77777777" w:rsidR="006A63DC" w:rsidRPr="006A63DC" w:rsidRDefault="006A63DC" w:rsidP="006A63DC">
      <w:pPr>
        <w:spacing w:line="360" w:lineRule="auto"/>
        <w:rPr>
          <w:rFonts w:ascii="Arial" w:hAnsi="Arial" w:cs="Arial"/>
          <w:sz w:val="22"/>
          <w:szCs w:val="22"/>
        </w:rPr>
      </w:pPr>
    </w:p>
    <w:p w14:paraId="212655AF"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NHS Digital (2023) Mental Health of Children and Young People in England. London: NHS.</w:t>
      </w:r>
    </w:p>
    <w:p w14:paraId="56B1CF19" w14:textId="77777777" w:rsidR="006A63DC" w:rsidRPr="006A63DC" w:rsidRDefault="006A63DC" w:rsidP="006A63DC">
      <w:pPr>
        <w:spacing w:line="360" w:lineRule="auto"/>
        <w:rPr>
          <w:rFonts w:ascii="Arial" w:hAnsi="Arial" w:cs="Arial"/>
          <w:sz w:val="22"/>
          <w:szCs w:val="22"/>
        </w:rPr>
      </w:pPr>
    </w:p>
    <w:p w14:paraId="7E62D895"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t xml:space="preserve">Pew Research </w:t>
      </w:r>
      <w:proofErr w:type="spellStart"/>
      <w:r w:rsidRPr="006A63DC">
        <w:rPr>
          <w:rFonts w:ascii="Arial" w:hAnsi="Arial" w:cs="Arial"/>
          <w:sz w:val="22"/>
          <w:szCs w:val="22"/>
        </w:rPr>
        <w:t>Center</w:t>
      </w:r>
      <w:proofErr w:type="spellEnd"/>
      <w:r w:rsidRPr="006A63DC">
        <w:rPr>
          <w:rFonts w:ascii="Arial" w:hAnsi="Arial" w:cs="Arial"/>
          <w:sz w:val="22"/>
          <w:szCs w:val="22"/>
        </w:rPr>
        <w:t xml:space="preserve"> (2022) Teens, Social Media and Technology 2022. Washington, DC: Pew Research </w:t>
      </w:r>
      <w:proofErr w:type="spellStart"/>
      <w:r w:rsidRPr="006A63DC">
        <w:rPr>
          <w:rFonts w:ascii="Arial" w:hAnsi="Arial" w:cs="Arial"/>
          <w:sz w:val="22"/>
          <w:szCs w:val="22"/>
        </w:rPr>
        <w:t>Center</w:t>
      </w:r>
      <w:proofErr w:type="spellEnd"/>
      <w:r w:rsidRPr="006A63DC">
        <w:rPr>
          <w:rFonts w:ascii="Arial" w:hAnsi="Arial" w:cs="Arial"/>
          <w:sz w:val="22"/>
          <w:szCs w:val="22"/>
        </w:rPr>
        <w:t>.</w:t>
      </w:r>
    </w:p>
    <w:p w14:paraId="311BB88D" w14:textId="77777777" w:rsidR="006A63DC" w:rsidRPr="006A63DC" w:rsidRDefault="006A63DC" w:rsidP="006A63DC">
      <w:pPr>
        <w:spacing w:line="360" w:lineRule="auto"/>
        <w:rPr>
          <w:rFonts w:ascii="Arial" w:hAnsi="Arial" w:cs="Arial"/>
          <w:sz w:val="22"/>
          <w:szCs w:val="22"/>
        </w:rPr>
      </w:pPr>
    </w:p>
    <w:p w14:paraId="0F83CCC5" w14:textId="77777777" w:rsidR="006A63DC" w:rsidRPr="006A63DC" w:rsidRDefault="006A63DC" w:rsidP="006A63DC">
      <w:pPr>
        <w:spacing w:line="360" w:lineRule="auto"/>
        <w:rPr>
          <w:rFonts w:ascii="Arial" w:hAnsi="Arial" w:cs="Arial"/>
          <w:sz w:val="22"/>
          <w:szCs w:val="22"/>
        </w:rPr>
      </w:pPr>
      <w:r w:rsidRPr="006A63DC">
        <w:rPr>
          <w:rFonts w:ascii="Arial" w:hAnsi="Arial" w:cs="Arial"/>
          <w:sz w:val="22"/>
          <w:szCs w:val="22"/>
        </w:rPr>
        <w:lastRenderedPageBreak/>
        <w:t>Royal Society for Public Health (2017) #StatusOfMind: Social media and young people’s mental health and wellbeing. London: RSPH.</w:t>
      </w:r>
    </w:p>
    <w:p w14:paraId="5CD33D59" w14:textId="1AD044C9" w:rsidR="00A6747E" w:rsidRPr="006A63DC" w:rsidRDefault="00A6747E" w:rsidP="006A63DC">
      <w:pPr>
        <w:spacing w:line="360" w:lineRule="auto"/>
        <w:rPr>
          <w:rFonts w:ascii="Arial" w:hAnsi="Arial" w:cs="Arial"/>
          <w:sz w:val="22"/>
          <w:szCs w:val="22"/>
        </w:rPr>
      </w:pPr>
    </w:p>
    <w:p w14:paraId="7EFC9FC6" w14:textId="77777777" w:rsidR="00A6747E" w:rsidRPr="006A63DC" w:rsidRDefault="00A6747E" w:rsidP="006A63DC">
      <w:pPr>
        <w:spacing w:line="360" w:lineRule="auto"/>
        <w:rPr>
          <w:rFonts w:ascii="Arial" w:hAnsi="Arial" w:cs="Arial"/>
          <w:sz w:val="22"/>
          <w:szCs w:val="22"/>
        </w:rPr>
      </w:pPr>
    </w:p>
    <w:p w14:paraId="24C24984" w14:textId="77777777" w:rsidR="00A6747E" w:rsidRPr="006A63DC" w:rsidRDefault="00A6747E" w:rsidP="006A63DC">
      <w:pPr>
        <w:spacing w:line="360" w:lineRule="auto"/>
        <w:rPr>
          <w:rFonts w:ascii="Arial" w:hAnsi="Arial" w:cs="Arial"/>
          <w:sz w:val="22"/>
          <w:szCs w:val="22"/>
        </w:rPr>
      </w:pPr>
    </w:p>
    <w:p w14:paraId="66B3671A" w14:textId="77777777" w:rsidR="00A6747E" w:rsidRPr="006A63DC" w:rsidRDefault="00A6747E" w:rsidP="006A63DC">
      <w:pPr>
        <w:spacing w:line="360" w:lineRule="auto"/>
        <w:rPr>
          <w:rFonts w:ascii="Arial" w:hAnsi="Arial" w:cs="Arial"/>
          <w:sz w:val="22"/>
          <w:szCs w:val="22"/>
        </w:rPr>
      </w:pPr>
    </w:p>
    <w:sectPr w:rsidR="00A6747E" w:rsidRPr="006A63D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C455C" w14:textId="77777777" w:rsidR="00C87436" w:rsidRDefault="00C87436" w:rsidP="00A6747E">
      <w:pPr>
        <w:spacing w:after="0" w:line="240" w:lineRule="auto"/>
      </w:pPr>
      <w:r>
        <w:separator/>
      </w:r>
    </w:p>
  </w:endnote>
  <w:endnote w:type="continuationSeparator" w:id="0">
    <w:p w14:paraId="227DA153" w14:textId="77777777" w:rsidR="00C87436" w:rsidRDefault="00C87436" w:rsidP="00A674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2333740"/>
      <w:docPartObj>
        <w:docPartGallery w:val="Page Numbers (Bottom of Page)"/>
        <w:docPartUnique/>
      </w:docPartObj>
    </w:sdtPr>
    <w:sdtEndPr>
      <w:rPr>
        <w:noProof/>
      </w:rPr>
    </w:sdtEndPr>
    <w:sdtContent>
      <w:p w14:paraId="553D7F7C" w14:textId="384C5CDB" w:rsidR="00A6747E" w:rsidRDefault="00A6747E">
        <w:pPr>
          <w:pStyle w:val="Footer"/>
        </w:pPr>
        <w:r>
          <w:fldChar w:fldCharType="begin"/>
        </w:r>
        <w:r>
          <w:instrText xml:space="preserve"> PAGE   \* MERGEFORMAT </w:instrText>
        </w:r>
        <w:r>
          <w:fldChar w:fldCharType="separate"/>
        </w:r>
        <w:r>
          <w:rPr>
            <w:noProof/>
          </w:rPr>
          <w:t>2</w:t>
        </w:r>
        <w:r>
          <w:rPr>
            <w:noProof/>
          </w:rPr>
          <w:fldChar w:fldCharType="end"/>
        </w:r>
      </w:p>
    </w:sdtContent>
  </w:sdt>
  <w:p w14:paraId="309D6961" w14:textId="77777777" w:rsidR="00A6747E" w:rsidRDefault="00A674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469E6" w14:textId="77777777" w:rsidR="00C87436" w:rsidRDefault="00C87436" w:rsidP="00A6747E">
      <w:pPr>
        <w:spacing w:after="0" w:line="240" w:lineRule="auto"/>
      </w:pPr>
      <w:r>
        <w:separator/>
      </w:r>
    </w:p>
  </w:footnote>
  <w:footnote w:type="continuationSeparator" w:id="0">
    <w:p w14:paraId="7F313916" w14:textId="77777777" w:rsidR="00C87436" w:rsidRDefault="00C87436" w:rsidP="00A674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47E"/>
    <w:rsid w:val="001317EC"/>
    <w:rsid w:val="00237D59"/>
    <w:rsid w:val="00444B2A"/>
    <w:rsid w:val="006A63DC"/>
    <w:rsid w:val="00A6747E"/>
    <w:rsid w:val="00AB36F7"/>
    <w:rsid w:val="00C87436"/>
    <w:rsid w:val="00CD0BA9"/>
    <w:rsid w:val="00E275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1B898"/>
  <w15:chartTrackingRefBased/>
  <w15:docId w15:val="{FF97F7AC-F848-448B-A7B5-ABE496C1F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47E"/>
    <w:pPr>
      <w:suppressAutoHyphens/>
      <w:autoSpaceDN w:val="0"/>
      <w:spacing w:line="276" w:lineRule="auto"/>
    </w:pPr>
    <w:rPr>
      <w:rFonts w:ascii="Aptos" w:eastAsia="Aptos" w:hAnsi="Aptos" w:cs="Times New Roman"/>
      <w:kern w:val="3"/>
      <w14:ligatures w14:val="none"/>
    </w:rPr>
  </w:style>
  <w:style w:type="paragraph" w:styleId="Heading1">
    <w:name w:val="heading 1"/>
    <w:basedOn w:val="Normal"/>
    <w:next w:val="Normal"/>
    <w:link w:val="Heading1Char"/>
    <w:uiPriority w:val="9"/>
    <w:qFormat/>
    <w:rsid w:val="00A674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74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74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74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74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74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74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74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74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74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74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74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74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74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74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74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74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747E"/>
    <w:rPr>
      <w:rFonts w:eastAsiaTheme="majorEastAsia" w:cstheme="majorBidi"/>
      <w:color w:val="272727" w:themeColor="text1" w:themeTint="D8"/>
    </w:rPr>
  </w:style>
  <w:style w:type="paragraph" w:styleId="Title">
    <w:name w:val="Title"/>
    <w:basedOn w:val="Normal"/>
    <w:next w:val="Normal"/>
    <w:link w:val="TitleChar"/>
    <w:uiPriority w:val="10"/>
    <w:qFormat/>
    <w:rsid w:val="00A674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74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74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74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747E"/>
    <w:pPr>
      <w:spacing w:before="160"/>
      <w:jc w:val="center"/>
    </w:pPr>
    <w:rPr>
      <w:i/>
      <w:iCs/>
      <w:color w:val="404040" w:themeColor="text1" w:themeTint="BF"/>
    </w:rPr>
  </w:style>
  <w:style w:type="character" w:customStyle="1" w:styleId="QuoteChar">
    <w:name w:val="Quote Char"/>
    <w:basedOn w:val="DefaultParagraphFont"/>
    <w:link w:val="Quote"/>
    <w:uiPriority w:val="29"/>
    <w:rsid w:val="00A6747E"/>
    <w:rPr>
      <w:i/>
      <w:iCs/>
      <w:color w:val="404040" w:themeColor="text1" w:themeTint="BF"/>
    </w:rPr>
  </w:style>
  <w:style w:type="paragraph" w:styleId="ListParagraph">
    <w:name w:val="List Paragraph"/>
    <w:basedOn w:val="Normal"/>
    <w:uiPriority w:val="34"/>
    <w:qFormat/>
    <w:rsid w:val="00A6747E"/>
    <w:pPr>
      <w:ind w:left="720"/>
      <w:contextualSpacing/>
    </w:pPr>
  </w:style>
  <w:style w:type="character" w:styleId="IntenseEmphasis">
    <w:name w:val="Intense Emphasis"/>
    <w:basedOn w:val="DefaultParagraphFont"/>
    <w:uiPriority w:val="21"/>
    <w:qFormat/>
    <w:rsid w:val="00A6747E"/>
    <w:rPr>
      <w:i/>
      <w:iCs/>
      <w:color w:val="0F4761" w:themeColor="accent1" w:themeShade="BF"/>
    </w:rPr>
  </w:style>
  <w:style w:type="paragraph" w:styleId="IntenseQuote">
    <w:name w:val="Intense Quote"/>
    <w:basedOn w:val="Normal"/>
    <w:next w:val="Normal"/>
    <w:link w:val="IntenseQuoteChar"/>
    <w:uiPriority w:val="30"/>
    <w:qFormat/>
    <w:rsid w:val="00A674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747E"/>
    <w:rPr>
      <w:i/>
      <w:iCs/>
      <w:color w:val="0F4761" w:themeColor="accent1" w:themeShade="BF"/>
    </w:rPr>
  </w:style>
  <w:style w:type="character" w:styleId="IntenseReference">
    <w:name w:val="Intense Reference"/>
    <w:basedOn w:val="DefaultParagraphFont"/>
    <w:uiPriority w:val="32"/>
    <w:qFormat/>
    <w:rsid w:val="00A6747E"/>
    <w:rPr>
      <w:b/>
      <w:bCs/>
      <w:smallCaps/>
      <w:color w:val="0F4761" w:themeColor="accent1" w:themeShade="BF"/>
      <w:spacing w:val="5"/>
    </w:rPr>
  </w:style>
  <w:style w:type="paragraph" w:styleId="Header">
    <w:name w:val="header"/>
    <w:basedOn w:val="Normal"/>
    <w:link w:val="HeaderChar"/>
    <w:uiPriority w:val="99"/>
    <w:unhideWhenUsed/>
    <w:rsid w:val="00A674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747E"/>
    <w:rPr>
      <w:rFonts w:ascii="Aptos" w:eastAsia="Aptos" w:hAnsi="Aptos" w:cs="Times New Roman"/>
      <w:kern w:val="3"/>
      <w14:ligatures w14:val="none"/>
    </w:rPr>
  </w:style>
  <w:style w:type="paragraph" w:styleId="Footer">
    <w:name w:val="footer"/>
    <w:basedOn w:val="Normal"/>
    <w:link w:val="FooterChar"/>
    <w:uiPriority w:val="99"/>
    <w:unhideWhenUsed/>
    <w:rsid w:val="00A674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47E"/>
    <w:rPr>
      <w:rFonts w:ascii="Aptos" w:eastAsia="Aptos" w:hAnsi="Aptos" w:cs="Times New Roman"/>
      <w:kern w:val="3"/>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772f8d29f3e14b9b668fd55501ce5274">
  <xsd:schema xmlns:xsd="http://www.w3.org/2001/XMLSchema" xmlns:xs="http://www.w3.org/2001/XMLSchema" xmlns:p="http://schemas.microsoft.com/office/2006/metadata/properties" xmlns:ns3="3ef5847a-e696-4fee-a2c0-6c3f87568321" targetNamespace="http://schemas.microsoft.com/office/2006/metadata/properties" ma:root="true" ma:fieldsID="f868a0f4456ab9a1fb77e378bf55fa12"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1D64A7DF-7C70-4453-ABBA-9C768831E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24853F-774E-4DF6-83A7-6AAABDB88A9D}">
  <ds:schemaRefs>
    <ds:schemaRef ds:uri="http://schemas.microsoft.com/sharepoint/v3/contenttype/forms"/>
  </ds:schemaRefs>
</ds:datastoreItem>
</file>

<file path=customXml/itemProps3.xml><?xml version="1.0" encoding="utf-8"?>
<ds:datastoreItem xmlns:ds="http://schemas.openxmlformats.org/officeDocument/2006/customXml" ds:itemID="{F50746F5-BA80-41DC-9D09-ABB9360EAD4E}">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2014</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Nakeeda Price</dc:creator>
  <cp:keywords/>
  <dc:description/>
  <cp:lastModifiedBy>Nakeeda Kenya Price (2509704)</cp:lastModifiedBy>
  <cp:revision>2</cp:revision>
  <dcterms:created xsi:type="dcterms:W3CDTF">2026-07-26T19:35:00Z</dcterms:created>
  <dcterms:modified xsi:type="dcterms:W3CDTF">2026-07-26T19:35:00Z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