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36EF7" w14:textId="73B2CFB9" w:rsidR="009A4CC1" w:rsidRPr="00F45B03" w:rsidRDefault="00912B41" w:rsidP="00167E86">
      <w:pPr>
        <w:pStyle w:val="Heading4"/>
        <w:spacing w:line="360" w:lineRule="auto"/>
        <w:jc w:val="both"/>
        <w:rPr>
          <w:rFonts w:ascii="Arial" w:hAnsi="Arial" w:cs="Arial"/>
          <w:b/>
          <w:i w:val="0"/>
          <w:iCs w:val="0"/>
          <w:color w:val="000000"/>
        </w:rPr>
      </w:pPr>
      <w:r w:rsidRPr="00F45B03">
        <w:rPr>
          <w:rFonts w:ascii="Arial" w:hAnsi="Arial" w:cs="Arial"/>
          <w:noProof/>
        </w:rPr>
        <w:drawing>
          <wp:inline distT="0" distB="0" distL="0" distR="0" wp14:anchorId="2DD7E538" wp14:editId="12B42DE1">
            <wp:extent cx="5249545" cy="1040524"/>
            <wp:effectExtent l="0" t="0" r="0" b="7620"/>
            <wp:docPr id="7" name="Picture 7"/>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5234" cy="1045616"/>
                    </a:xfrm>
                    <a:prstGeom prst="rect">
                      <a:avLst/>
                    </a:prstGeom>
                    <a:noFill/>
                  </pic:spPr>
                </pic:pic>
              </a:graphicData>
            </a:graphic>
          </wp:inline>
        </w:drawing>
      </w:r>
    </w:p>
    <w:p w14:paraId="16BEC4CA" w14:textId="58DF1B22" w:rsidR="00E76623" w:rsidRPr="00F45B03" w:rsidRDefault="00E76623" w:rsidP="00167E86">
      <w:pPr>
        <w:pStyle w:val="NoSpacing"/>
        <w:spacing w:line="360" w:lineRule="auto"/>
        <w:jc w:val="both"/>
        <w:rPr>
          <w:rFonts w:cs="Arial"/>
          <w:b/>
          <w:color w:val="000000"/>
        </w:rPr>
      </w:pPr>
    </w:p>
    <w:p w14:paraId="2F902FB5" w14:textId="77777777" w:rsidR="00E76623" w:rsidRPr="00F45B03" w:rsidRDefault="00E76623" w:rsidP="00167E86">
      <w:pPr>
        <w:spacing w:line="360" w:lineRule="auto"/>
        <w:jc w:val="both"/>
        <w:rPr>
          <w:rFonts w:ascii="Arial" w:hAnsi="Arial" w:cs="Arial"/>
          <w:b/>
        </w:rPr>
      </w:pPr>
    </w:p>
    <w:p w14:paraId="498300AE" w14:textId="77777777" w:rsidR="00E76623" w:rsidRPr="00F45B03" w:rsidRDefault="00E76623" w:rsidP="00167E86">
      <w:pPr>
        <w:spacing w:line="360" w:lineRule="auto"/>
        <w:jc w:val="both"/>
        <w:rPr>
          <w:rFonts w:ascii="Arial" w:hAnsi="Arial" w:cs="Arial"/>
        </w:rPr>
      </w:pPr>
    </w:p>
    <w:tbl>
      <w:tblPr>
        <w:tblpPr w:leftFromText="180" w:rightFromText="180" w:vertAnchor="page" w:horzAnchor="margin" w:tblpY="36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76623" w:rsidRPr="00F45B03" w14:paraId="2DB1E39B" w14:textId="77777777" w:rsidTr="00912B41">
        <w:tc>
          <w:tcPr>
            <w:tcW w:w="8522" w:type="dxa"/>
            <w:tcBorders>
              <w:top w:val="single" w:sz="4" w:space="0" w:color="auto"/>
              <w:left w:val="single" w:sz="4" w:space="0" w:color="auto"/>
              <w:bottom w:val="nil"/>
              <w:right w:val="single" w:sz="4" w:space="0" w:color="auto"/>
            </w:tcBorders>
            <w:hideMark/>
          </w:tcPr>
          <w:p w14:paraId="41BDE974" w14:textId="18D06AFD" w:rsidR="00E76623" w:rsidRPr="00F45B03" w:rsidRDefault="00E76623" w:rsidP="00167E86">
            <w:pPr>
              <w:spacing w:after="120" w:line="360" w:lineRule="auto"/>
              <w:jc w:val="both"/>
              <w:rPr>
                <w:rFonts w:ascii="Arial" w:hAnsi="Arial" w:cs="Arial"/>
                <w:color w:val="000000"/>
              </w:rPr>
            </w:pPr>
            <w:r w:rsidRPr="00F45B03">
              <w:rPr>
                <w:rFonts w:ascii="Arial" w:hAnsi="Arial" w:cs="Arial"/>
                <w:color w:val="000000"/>
              </w:rPr>
              <w:t>Student Name:</w:t>
            </w:r>
            <w:r w:rsidR="00170AC9" w:rsidRPr="00F45B03">
              <w:rPr>
                <w:rFonts w:ascii="Arial" w:hAnsi="Arial" w:cs="Arial"/>
                <w:color w:val="000000"/>
              </w:rPr>
              <w:t xml:space="preserve"> ARPITA CHAUDHARY </w:t>
            </w:r>
          </w:p>
        </w:tc>
      </w:tr>
      <w:tr w:rsidR="00E76623" w:rsidRPr="00F45B03" w14:paraId="5F7CFB1F" w14:textId="77777777" w:rsidTr="00912B41">
        <w:tc>
          <w:tcPr>
            <w:tcW w:w="8522" w:type="dxa"/>
            <w:tcBorders>
              <w:top w:val="single" w:sz="4" w:space="0" w:color="auto"/>
              <w:left w:val="single" w:sz="4" w:space="0" w:color="auto"/>
              <w:bottom w:val="nil"/>
              <w:right w:val="single" w:sz="4" w:space="0" w:color="auto"/>
            </w:tcBorders>
            <w:hideMark/>
          </w:tcPr>
          <w:p w14:paraId="1C756A55" w14:textId="4DD85EAC" w:rsidR="00E76623" w:rsidRPr="00F45B03" w:rsidRDefault="00E76623" w:rsidP="00167E86">
            <w:pPr>
              <w:spacing w:after="120" w:line="360" w:lineRule="auto"/>
              <w:jc w:val="both"/>
              <w:rPr>
                <w:rFonts w:ascii="Arial" w:hAnsi="Arial" w:cs="Arial"/>
                <w:color w:val="000000"/>
              </w:rPr>
            </w:pPr>
            <w:r w:rsidRPr="00F45B03">
              <w:rPr>
                <w:rFonts w:ascii="Arial" w:hAnsi="Arial" w:cs="Arial"/>
                <w:color w:val="000000"/>
              </w:rPr>
              <w:t>Student ID:</w:t>
            </w:r>
            <w:r w:rsidR="00170AC9" w:rsidRPr="00F45B03">
              <w:rPr>
                <w:rFonts w:ascii="Arial" w:hAnsi="Arial" w:cs="Arial"/>
                <w:color w:val="000000"/>
              </w:rPr>
              <w:t xml:space="preserve"> 2432245</w:t>
            </w:r>
          </w:p>
        </w:tc>
      </w:tr>
      <w:tr w:rsidR="00E76623" w:rsidRPr="00F45B03" w14:paraId="57D6B71A" w14:textId="77777777" w:rsidTr="00912B41">
        <w:tc>
          <w:tcPr>
            <w:tcW w:w="8522" w:type="dxa"/>
            <w:tcBorders>
              <w:top w:val="nil"/>
              <w:left w:val="single" w:sz="4" w:space="0" w:color="auto"/>
              <w:bottom w:val="nil"/>
              <w:right w:val="single" w:sz="4" w:space="0" w:color="auto"/>
            </w:tcBorders>
          </w:tcPr>
          <w:p w14:paraId="58BAAF99" w14:textId="77777777" w:rsidR="00E76623" w:rsidRPr="00F45B03" w:rsidRDefault="00E76623" w:rsidP="00167E86">
            <w:pPr>
              <w:spacing w:after="120" w:line="360" w:lineRule="auto"/>
              <w:jc w:val="both"/>
              <w:rPr>
                <w:rFonts w:ascii="Arial" w:hAnsi="Arial" w:cs="Arial"/>
              </w:rPr>
            </w:pPr>
            <w:r w:rsidRPr="00F45B03">
              <w:rPr>
                <w:rFonts w:ascii="Arial" w:hAnsi="Arial" w:cs="Arial"/>
              </w:rPr>
              <w:t>Programme: MSc Public Health and Social Care in Practice</w:t>
            </w:r>
          </w:p>
          <w:p w14:paraId="0CEF6A89" w14:textId="77777777" w:rsidR="00E76623" w:rsidRPr="00F45B03" w:rsidRDefault="00E76623" w:rsidP="00167E86">
            <w:pPr>
              <w:spacing w:after="120" w:line="360" w:lineRule="auto"/>
              <w:jc w:val="both"/>
              <w:rPr>
                <w:rFonts w:ascii="Arial" w:hAnsi="Arial" w:cs="Arial"/>
              </w:rPr>
            </w:pPr>
          </w:p>
        </w:tc>
      </w:tr>
      <w:tr w:rsidR="00E76623" w:rsidRPr="00F45B03" w14:paraId="31B37534" w14:textId="77777777" w:rsidTr="00912B41">
        <w:tc>
          <w:tcPr>
            <w:tcW w:w="8522" w:type="dxa"/>
            <w:tcBorders>
              <w:top w:val="nil"/>
              <w:left w:val="single" w:sz="4" w:space="0" w:color="auto"/>
              <w:bottom w:val="nil"/>
              <w:right w:val="single" w:sz="4" w:space="0" w:color="auto"/>
            </w:tcBorders>
          </w:tcPr>
          <w:p w14:paraId="633B3629" w14:textId="77777777" w:rsidR="00E76623" w:rsidRPr="00F45B03" w:rsidRDefault="00E76623" w:rsidP="00167E86">
            <w:pPr>
              <w:spacing w:line="360" w:lineRule="auto"/>
              <w:jc w:val="both"/>
              <w:rPr>
                <w:rFonts w:ascii="Arial" w:hAnsi="Arial" w:cs="Arial"/>
                <w:color w:val="000000"/>
              </w:rPr>
            </w:pPr>
            <w:r w:rsidRPr="00F45B03">
              <w:rPr>
                <w:rFonts w:ascii="Arial" w:hAnsi="Arial" w:cs="Arial"/>
              </w:rPr>
              <w:t>Module Name</w:t>
            </w:r>
            <w:r w:rsidRPr="00F45B03">
              <w:rPr>
                <w:rFonts w:ascii="Arial" w:hAnsi="Arial" w:cs="Arial"/>
                <w:color w:val="000000"/>
              </w:rPr>
              <w:t xml:space="preserve">: LCH7004 Dissertation </w:t>
            </w:r>
          </w:p>
          <w:p w14:paraId="7199BB4D" w14:textId="77777777" w:rsidR="00E76623" w:rsidRPr="00F45B03" w:rsidRDefault="00E76623" w:rsidP="00167E86">
            <w:pPr>
              <w:spacing w:line="360" w:lineRule="auto"/>
              <w:jc w:val="both"/>
              <w:rPr>
                <w:rFonts w:ascii="Arial" w:hAnsi="Arial" w:cs="Arial"/>
              </w:rPr>
            </w:pPr>
          </w:p>
        </w:tc>
      </w:tr>
      <w:tr w:rsidR="00E76623" w:rsidRPr="00F45B03" w14:paraId="2F30FA84" w14:textId="77777777" w:rsidTr="00912B41">
        <w:trPr>
          <w:trHeight w:val="1125"/>
        </w:trPr>
        <w:tc>
          <w:tcPr>
            <w:tcW w:w="8522" w:type="dxa"/>
            <w:tcBorders>
              <w:top w:val="nil"/>
              <w:left w:val="single" w:sz="4" w:space="0" w:color="auto"/>
              <w:bottom w:val="nil"/>
              <w:right w:val="single" w:sz="4" w:space="0" w:color="auto"/>
            </w:tcBorders>
          </w:tcPr>
          <w:p w14:paraId="4CA42C06" w14:textId="047ECB02" w:rsidR="00E76623" w:rsidRPr="00F45B03" w:rsidRDefault="00E76623" w:rsidP="00167E86">
            <w:pPr>
              <w:pStyle w:val="NormalWeb"/>
              <w:spacing w:line="360" w:lineRule="auto"/>
              <w:jc w:val="both"/>
              <w:rPr>
                <w:rFonts w:ascii="Arial" w:hAnsi="Arial" w:cs="Arial"/>
                <w:color w:val="FF0000"/>
                <w:sz w:val="22"/>
                <w:szCs w:val="22"/>
              </w:rPr>
            </w:pPr>
            <w:r w:rsidRPr="00F45B03">
              <w:rPr>
                <w:rFonts w:ascii="Arial" w:hAnsi="Arial" w:cs="Arial"/>
                <w:color w:val="000000"/>
                <w:sz w:val="22"/>
                <w:szCs w:val="22"/>
              </w:rPr>
              <w:t>Title:</w:t>
            </w:r>
            <w:r w:rsidRPr="00F45B03">
              <w:rPr>
                <w:rFonts w:ascii="Arial" w:hAnsi="Arial" w:cs="Arial"/>
                <w:color w:val="FF0000"/>
                <w:sz w:val="22"/>
                <w:szCs w:val="22"/>
              </w:rPr>
              <w:t xml:space="preserve"> </w:t>
            </w:r>
            <w:r w:rsidR="00170AC9" w:rsidRPr="00F45B03">
              <w:rPr>
                <w:rFonts w:ascii="Arial" w:hAnsi="Arial" w:cs="Arial"/>
                <w:color w:val="000000" w:themeColor="text1"/>
                <w:sz w:val="22"/>
                <w:szCs w:val="22"/>
              </w:rPr>
              <w:t>To evaluate the effectiveness of cardiac rehabilitation programmes in reducing hospital readmissions among adults aged 55 years and over in England, with a particular focus on ethnic and socioeconomic inequalities</w:t>
            </w:r>
          </w:p>
          <w:p w14:paraId="5139BDBE" w14:textId="77777777" w:rsidR="00E76623" w:rsidRPr="00F45B03" w:rsidRDefault="00E76623" w:rsidP="00167E86">
            <w:pPr>
              <w:spacing w:after="120" w:line="360" w:lineRule="auto"/>
              <w:jc w:val="both"/>
              <w:rPr>
                <w:rFonts w:ascii="Arial" w:hAnsi="Arial" w:cs="Arial"/>
                <w:color w:val="FF0000"/>
              </w:rPr>
            </w:pPr>
          </w:p>
        </w:tc>
      </w:tr>
      <w:tr w:rsidR="00E76623" w:rsidRPr="00F45B03" w14:paraId="072C045D" w14:textId="77777777" w:rsidTr="00912B41">
        <w:tc>
          <w:tcPr>
            <w:tcW w:w="8522" w:type="dxa"/>
            <w:tcBorders>
              <w:top w:val="nil"/>
              <w:left w:val="single" w:sz="4" w:space="0" w:color="auto"/>
              <w:bottom w:val="nil"/>
              <w:right w:val="single" w:sz="4" w:space="0" w:color="auto"/>
            </w:tcBorders>
            <w:hideMark/>
          </w:tcPr>
          <w:p w14:paraId="0507614A" w14:textId="43529F34" w:rsidR="00E76623" w:rsidRPr="00F45B03" w:rsidRDefault="00E76623" w:rsidP="00167E86">
            <w:pPr>
              <w:spacing w:after="120" w:line="360" w:lineRule="auto"/>
              <w:jc w:val="both"/>
              <w:rPr>
                <w:rFonts w:ascii="Arial" w:hAnsi="Arial" w:cs="Arial"/>
                <w:color w:val="000000"/>
              </w:rPr>
            </w:pPr>
            <w:r w:rsidRPr="00F45B03">
              <w:rPr>
                <w:rFonts w:ascii="Arial" w:hAnsi="Arial" w:cs="Arial"/>
                <w:color w:val="000000"/>
              </w:rPr>
              <w:t>Word count: 14,</w:t>
            </w:r>
            <w:r w:rsidR="007278EB">
              <w:rPr>
                <w:rFonts w:ascii="Arial" w:hAnsi="Arial" w:cs="Arial"/>
                <w:color w:val="000000"/>
              </w:rPr>
              <w:t>657</w:t>
            </w:r>
          </w:p>
        </w:tc>
      </w:tr>
      <w:tr w:rsidR="00E76623" w:rsidRPr="00F45B03" w14:paraId="3CB0B849" w14:textId="77777777" w:rsidTr="00912B41">
        <w:tc>
          <w:tcPr>
            <w:tcW w:w="8522" w:type="dxa"/>
            <w:tcBorders>
              <w:top w:val="nil"/>
              <w:left w:val="single" w:sz="4" w:space="0" w:color="auto"/>
              <w:bottom w:val="nil"/>
              <w:right w:val="single" w:sz="4" w:space="0" w:color="auto"/>
            </w:tcBorders>
          </w:tcPr>
          <w:p w14:paraId="3EB02B44" w14:textId="77777777" w:rsidR="00E76623" w:rsidRPr="00F45B03" w:rsidRDefault="00E76623" w:rsidP="00167E86">
            <w:pPr>
              <w:spacing w:after="120" w:line="360" w:lineRule="auto"/>
              <w:jc w:val="both"/>
              <w:rPr>
                <w:rFonts w:ascii="Arial" w:hAnsi="Arial" w:cs="Arial"/>
                <w:color w:val="000000"/>
              </w:rPr>
            </w:pPr>
            <w:r w:rsidRPr="00F45B03">
              <w:rPr>
                <w:rFonts w:ascii="Arial" w:hAnsi="Arial" w:cs="Arial"/>
                <w:color w:val="000000"/>
              </w:rPr>
              <w:t>Academic Cohort: 2025- 2026</w:t>
            </w:r>
          </w:p>
          <w:p w14:paraId="0778B47C" w14:textId="77777777" w:rsidR="00E76623" w:rsidRPr="00F45B03" w:rsidRDefault="00E76623" w:rsidP="00167E86">
            <w:pPr>
              <w:spacing w:after="120" w:line="360" w:lineRule="auto"/>
              <w:jc w:val="both"/>
              <w:rPr>
                <w:rFonts w:ascii="Arial" w:hAnsi="Arial" w:cs="Arial"/>
                <w:color w:val="000000"/>
              </w:rPr>
            </w:pPr>
          </w:p>
        </w:tc>
      </w:tr>
      <w:tr w:rsidR="00E76623" w:rsidRPr="00F45B03" w14:paraId="6313E0EB" w14:textId="77777777" w:rsidTr="00912B41">
        <w:tc>
          <w:tcPr>
            <w:tcW w:w="8522" w:type="dxa"/>
            <w:tcBorders>
              <w:top w:val="nil"/>
              <w:left w:val="single" w:sz="4" w:space="0" w:color="auto"/>
              <w:bottom w:val="nil"/>
              <w:right w:val="single" w:sz="4" w:space="0" w:color="auto"/>
            </w:tcBorders>
            <w:hideMark/>
          </w:tcPr>
          <w:p w14:paraId="629AAE0C" w14:textId="77777777" w:rsidR="00E76623" w:rsidRPr="00F45B03" w:rsidRDefault="00E76623" w:rsidP="00167E86">
            <w:pPr>
              <w:spacing w:after="120" w:line="360" w:lineRule="auto"/>
              <w:jc w:val="both"/>
              <w:rPr>
                <w:rFonts w:ascii="Arial" w:hAnsi="Arial" w:cs="Arial"/>
                <w:color w:val="000000"/>
              </w:rPr>
            </w:pPr>
            <w:r w:rsidRPr="00F45B03">
              <w:rPr>
                <w:rFonts w:ascii="Arial" w:hAnsi="Arial" w:cs="Arial"/>
                <w:color w:val="000000"/>
              </w:rPr>
              <w:t>Awarding Body: University of Wales Trinity Saint David</w:t>
            </w:r>
          </w:p>
        </w:tc>
      </w:tr>
      <w:tr w:rsidR="00E76623" w:rsidRPr="00F45B03" w14:paraId="365F2708" w14:textId="77777777" w:rsidTr="00912B41">
        <w:tc>
          <w:tcPr>
            <w:tcW w:w="8522" w:type="dxa"/>
            <w:tcBorders>
              <w:top w:val="nil"/>
              <w:left w:val="single" w:sz="4" w:space="0" w:color="auto"/>
              <w:bottom w:val="nil"/>
              <w:right w:val="single" w:sz="4" w:space="0" w:color="auto"/>
            </w:tcBorders>
          </w:tcPr>
          <w:p w14:paraId="0CA87A0E" w14:textId="77777777" w:rsidR="00E76623" w:rsidRPr="00F45B03" w:rsidRDefault="00E76623" w:rsidP="00167E86">
            <w:pPr>
              <w:spacing w:after="120" w:line="360" w:lineRule="auto"/>
              <w:jc w:val="both"/>
              <w:rPr>
                <w:rFonts w:ascii="Arial" w:hAnsi="Arial" w:cs="Arial"/>
                <w:color w:val="000000"/>
              </w:rPr>
            </w:pPr>
          </w:p>
        </w:tc>
      </w:tr>
      <w:tr w:rsidR="00E76623" w:rsidRPr="00F45B03" w14:paraId="0A989996" w14:textId="77777777" w:rsidTr="00912B41">
        <w:tc>
          <w:tcPr>
            <w:tcW w:w="8522" w:type="dxa"/>
            <w:tcBorders>
              <w:top w:val="nil"/>
              <w:left w:val="single" w:sz="4" w:space="0" w:color="auto"/>
              <w:bottom w:val="single" w:sz="4" w:space="0" w:color="auto"/>
              <w:right w:val="single" w:sz="4" w:space="0" w:color="auto"/>
            </w:tcBorders>
          </w:tcPr>
          <w:p w14:paraId="7B691D5E" w14:textId="77777777" w:rsidR="00E76623" w:rsidRPr="00F45B03" w:rsidRDefault="00E76623" w:rsidP="00167E86">
            <w:pPr>
              <w:spacing w:line="360" w:lineRule="auto"/>
              <w:jc w:val="both"/>
              <w:rPr>
                <w:rFonts w:ascii="Arial" w:hAnsi="Arial" w:cs="Arial"/>
                <w:b/>
                <w:color w:val="000000"/>
              </w:rPr>
            </w:pPr>
          </w:p>
        </w:tc>
      </w:tr>
    </w:tbl>
    <w:p w14:paraId="3526675E" w14:textId="77777777" w:rsidR="00912B41" w:rsidRPr="00F45B03" w:rsidRDefault="00912B41" w:rsidP="00167E86">
      <w:pPr>
        <w:pStyle w:val="NoSpacing"/>
        <w:spacing w:line="360" w:lineRule="auto"/>
        <w:jc w:val="both"/>
        <w:rPr>
          <w:rFonts w:cs="Arial"/>
          <w:b/>
          <w:color w:val="000000"/>
        </w:rPr>
      </w:pPr>
      <w:r w:rsidRPr="00F45B03">
        <w:rPr>
          <w:rFonts w:cs="Arial"/>
          <w:b/>
          <w:color w:val="000000"/>
        </w:rPr>
        <w:t xml:space="preserve">Public Health and Social Care </w:t>
      </w:r>
      <w:r w:rsidRPr="00F45B03">
        <w:rPr>
          <w:rFonts w:cs="Arial"/>
          <w:b/>
        </w:rPr>
        <w:t>Dissertation</w:t>
      </w:r>
    </w:p>
    <w:p w14:paraId="1B48BB7A" w14:textId="77777777" w:rsidR="00E76623" w:rsidRPr="00F45B03" w:rsidRDefault="00E76623" w:rsidP="00167E86">
      <w:pPr>
        <w:spacing w:line="360" w:lineRule="auto"/>
        <w:jc w:val="both"/>
        <w:rPr>
          <w:rFonts w:ascii="Arial" w:eastAsia="Times" w:hAnsi="Arial" w:cs="Arial"/>
          <w:color w:val="000000"/>
          <w:lang w:val="en-GB"/>
        </w:rPr>
      </w:pPr>
    </w:p>
    <w:p w14:paraId="504D02B3" w14:textId="371A04E7" w:rsidR="00E76623" w:rsidRPr="00F45B03" w:rsidRDefault="00E76623" w:rsidP="00167E86">
      <w:pPr>
        <w:spacing w:line="360" w:lineRule="auto"/>
        <w:jc w:val="both"/>
        <w:rPr>
          <w:rFonts w:ascii="Arial" w:eastAsia="Times" w:hAnsi="Arial" w:cs="Arial"/>
          <w:color w:val="000000"/>
        </w:rPr>
      </w:pPr>
    </w:p>
    <w:p w14:paraId="7C3AD520" w14:textId="77777777" w:rsidR="00912B41" w:rsidRDefault="00912B41" w:rsidP="00167E86">
      <w:pPr>
        <w:spacing w:line="360" w:lineRule="auto"/>
        <w:jc w:val="both"/>
        <w:rPr>
          <w:rFonts w:ascii="Arial" w:eastAsia="Times" w:hAnsi="Arial" w:cs="Arial"/>
          <w:color w:val="000000"/>
        </w:rPr>
      </w:pPr>
    </w:p>
    <w:p w14:paraId="740818CF" w14:textId="77777777" w:rsidR="00C512E8" w:rsidRDefault="00C512E8" w:rsidP="00167E86">
      <w:pPr>
        <w:spacing w:line="360" w:lineRule="auto"/>
        <w:jc w:val="both"/>
        <w:rPr>
          <w:rFonts w:ascii="Arial" w:eastAsia="Times" w:hAnsi="Arial" w:cs="Arial"/>
          <w:color w:val="000000"/>
        </w:rPr>
      </w:pPr>
    </w:p>
    <w:p w14:paraId="7ED3F6BC" w14:textId="77777777" w:rsidR="00C512E8" w:rsidRDefault="00C512E8" w:rsidP="00167E86">
      <w:pPr>
        <w:spacing w:line="360" w:lineRule="auto"/>
        <w:jc w:val="both"/>
        <w:rPr>
          <w:rFonts w:ascii="Arial" w:eastAsia="Times" w:hAnsi="Arial" w:cs="Arial"/>
          <w:color w:val="000000"/>
        </w:rPr>
      </w:pPr>
    </w:p>
    <w:p w14:paraId="30ACE1FD" w14:textId="77777777" w:rsidR="00C512E8" w:rsidRDefault="00C512E8" w:rsidP="00167E86">
      <w:pPr>
        <w:spacing w:line="360" w:lineRule="auto"/>
        <w:jc w:val="both"/>
        <w:rPr>
          <w:rFonts w:ascii="Arial" w:eastAsia="Times" w:hAnsi="Arial" w:cs="Arial"/>
          <w:color w:val="000000"/>
        </w:rPr>
      </w:pPr>
    </w:p>
    <w:p w14:paraId="3E23FA66" w14:textId="77777777" w:rsidR="00C512E8" w:rsidRDefault="00C512E8" w:rsidP="00167E86">
      <w:pPr>
        <w:spacing w:line="360" w:lineRule="auto"/>
        <w:jc w:val="both"/>
        <w:rPr>
          <w:rFonts w:ascii="Arial" w:eastAsia="Times" w:hAnsi="Arial" w:cs="Arial"/>
          <w:color w:val="000000"/>
        </w:rPr>
      </w:pPr>
    </w:p>
    <w:p w14:paraId="7E2B6A8E" w14:textId="77777777" w:rsidR="00C512E8" w:rsidRDefault="00C512E8" w:rsidP="00167E86">
      <w:pPr>
        <w:spacing w:line="360" w:lineRule="auto"/>
        <w:jc w:val="both"/>
        <w:rPr>
          <w:rFonts w:ascii="Arial" w:eastAsia="Times" w:hAnsi="Arial" w:cs="Arial"/>
          <w:color w:val="000000"/>
        </w:rPr>
      </w:pPr>
    </w:p>
    <w:p w14:paraId="3E6A742F" w14:textId="77777777" w:rsidR="00C512E8" w:rsidRPr="00F45B03" w:rsidRDefault="00C512E8" w:rsidP="00167E86">
      <w:pPr>
        <w:spacing w:line="360" w:lineRule="auto"/>
        <w:jc w:val="both"/>
        <w:rPr>
          <w:rFonts w:ascii="Arial" w:eastAsia="Times" w:hAnsi="Arial" w:cs="Arial"/>
          <w:color w:val="000000"/>
        </w:rPr>
      </w:pPr>
    </w:p>
    <w:p w14:paraId="789983FE" w14:textId="77777777" w:rsidR="00912B41" w:rsidRPr="00F45B03" w:rsidRDefault="00912B41" w:rsidP="00167E86">
      <w:pPr>
        <w:spacing w:after="200" w:line="360" w:lineRule="auto"/>
        <w:jc w:val="both"/>
        <w:rPr>
          <w:rFonts w:ascii="Arial" w:eastAsia="Times New Roman" w:hAnsi="Arial" w:cs="Arial"/>
          <w:b/>
          <w:bCs/>
          <w:color w:val="000000" w:themeColor="text1"/>
          <w:lang w:val="hr-HR"/>
        </w:rPr>
      </w:pPr>
      <w:r w:rsidRPr="00F45B03">
        <w:rPr>
          <w:rFonts w:ascii="Arial" w:eastAsia="Times New Roman" w:hAnsi="Arial" w:cs="Arial"/>
          <w:b/>
          <w:bCs/>
          <w:color w:val="000000" w:themeColor="text1"/>
          <w:lang w:val="hr-HR"/>
        </w:rPr>
        <w:t>DECLARATION</w:t>
      </w:r>
    </w:p>
    <w:p w14:paraId="3469AC46" w14:textId="77777777" w:rsidR="00912B41" w:rsidRPr="00F45B03" w:rsidRDefault="00912B41" w:rsidP="00167E86">
      <w:pPr>
        <w:spacing w:after="200" w:line="360" w:lineRule="auto"/>
        <w:jc w:val="both"/>
        <w:rPr>
          <w:rFonts w:ascii="Arial" w:eastAsia="Times New Roman" w:hAnsi="Arial" w:cs="Arial"/>
          <w:color w:val="000000" w:themeColor="text1"/>
          <w:lang w:val="hr-HR"/>
        </w:rPr>
      </w:pPr>
    </w:p>
    <w:p w14:paraId="5502BCCA" w14:textId="487E4AD6" w:rsidR="00912B41" w:rsidRPr="00F45B03" w:rsidRDefault="00912B41" w:rsidP="00167E86">
      <w:pPr>
        <w:spacing w:after="200" w:line="360" w:lineRule="auto"/>
        <w:jc w:val="both"/>
        <w:rPr>
          <w:rFonts w:ascii="Arial" w:eastAsia="Times New Roman" w:hAnsi="Arial" w:cs="Arial"/>
          <w:color w:val="000000" w:themeColor="text1"/>
          <w:lang w:val="hr-HR"/>
        </w:rPr>
      </w:pPr>
      <w:r w:rsidRPr="00F45B03">
        <w:rPr>
          <w:rFonts w:ascii="Arial" w:eastAsiaTheme="minorEastAsia" w:hAnsi="Arial" w:cs="Arial"/>
          <w:noProof/>
          <w:lang w:val="en-GB"/>
        </w:rPr>
        <mc:AlternateContent>
          <mc:Choice Requires="wpi">
            <w:drawing>
              <wp:anchor distT="0" distB="0" distL="114300" distR="114300" simplePos="0" relativeHeight="251653120" behindDoc="0" locked="0" layoutInCell="1" allowOverlap="1" wp14:anchorId="279ACF12" wp14:editId="19158650">
                <wp:simplePos x="0" y="0"/>
                <wp:positionH relativeFrom="column">
                  <wp:posOffset>-2084070</wp:posOffset>
                </wp:positionH>
                <wp:positionV relativeFrom="paragraph">
                  <wp:posOffset>-224790</wp:posOffset>
                </wp:positionV>
                <wp:extent cx="920750" cy="920750"/>
                <wp:effectExtent l="1905" t="3810" r="1270" b="0"/>
                <wp:wrapNone/>
                <wp:docPr id="6" name="Ink 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xmlns:w16sdtfl="http://schemas.microsoft.com/office/word/2024/wordml/sdtformatlock" xmlns:w16du="http://schemas.microsoft.com/office/word/2023/wordml/word16du" xmlns:oel="http://schemas.microsoft.com/office/2019/extlst">
            <w:pict>
              <v:shapetype w14:anchorId="24CFAFA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64.1pt;margin-top:-17.7pt;width:72.5pt;height:7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">
                <o:lock v:ext="edit" rotation="t" verticies="t" shapetype="t"/>
              </v:shape>
            </w:pict>
          </mc:Fallback>
        </mc:AlternateContent>
      </w:r>
      <w:r w:rsidRPr="00F45B03">
        <w:rPr>
          <w:rFonts w:ascii="Arial" w:eastAsiaTheme="minorEastAsia" w:hAnsi="Arial" w:cs="Arial"/>
          <w:noProof/>
          <w:lang w:val="en-GB"/>
        </w:rPr>
        <mc:AlternateContent>
          <mc:Choice Requires="wpi">
            <w:drawing>
              <wp:anchor distT="0" distB="0" distL="114300" distR="114300" simplePos="0" relativeHeight="251656192" behindDoc="0" locked="0" layoutInCell="1" allowOverlap="1" wp14:anchorId="7906BACE" wp14:editId="3CCA2B2A">
                <wp:simplePos x="0" y="0"/>
                <wp:positionH relativeFrom="column">
                  <wp:posOffset>-2084070</wp:posOffset>
                </wp:positionH>
                <wp:positionV relativeFrom="paragraph">
                  <wp:posOffset>233045</wp:posOffset>
                </wp:positionV>
                <wp:extent cx="920750" cy="40640"/>
                <wp:effectExtent l="1905" t="4445" r="1270" b="2540"/>
                <wp:wrapNone/>
                <wp:docPr id="3" name="Ink 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6B9828F9" id="Ink 3" o:spid="_x0000_s1026" type="#_x0000_t75" style="position:absolute;margin-left:-164.1pt;margin-top:18.35pt;width:72.5pt;height:3.2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">
                <o:lock v:ext="edit" rotation="t" verticies="t" shapetype="t"/>
              </v:shape>
            </w:pict>
          </mc:Fallback>
        </mc:AlternateContent>
      </w:r>
      <w:r w:rsidRPr="00F45B03">
        <w:rPr>
          <w:rFonts w:ascii="Arial" w:eastAsiaTheme="minorEastAsia" w:hAnsi="Arial" w:cs="Arial"/>
          <w:noProof/>
          <w:lang w:val="en-GB"/>
        </w:rPr>
        <mc:AlternateContent>
          <mc:Choice Requires="wpi">
            <w:drawing>
              <wp:anchor distT="0" distB="0" distL="114300" distR="114300" simplePos="0" relativeHeight="251661312" behindDoc="0" locked="0" layoutInCell="1" allowOverlap="1" wp14:anchorId="123965CD" wp14:editId="41AB90BF">
                <wp:simplePos x="0" y="0"/>
                <wp:positionH relativeFrom="column">
                  <wp:posOffset>-2084070</wp:posOffset>
                </wp:positionH>
                <wp:positionV relativeFrom="paragraph">
                  <wp:posOffset>-214630</wp:posOffset>
                </wp:positionV>
                <wp:extent cx="920750" cy="920750"/>
                <wp:effectExtent l="1905" t="4445" r="1270" b="0"/>
                <wp:wrapNone/>
                <wp:docPr id="2" name="Ink 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3094FB97" id="Ink 2"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">
                <o:lock v:ext="edit" rotation="t" verticies="t" shapetype="t"/>
              </v:shape>
            </w:pict>
          </mc:Fallback>
        </mc:AlternateContent>
      </w:r>
      <w:r w:rsidRPr="00F45B03">
        <w:rPr>
          <w:rFonts w:ascii="Arial" w:eastAsiaTheme="minorEastAsia" w:hAnsi="Arial" w:cs="Arial"/>
          <w:noProof/>
          <w:lang w:val="en-GB"/>
        </w:rPr>
        <mc:AlternateContent>
          <mc:Choice Requires="wpi">
            <w:drawing>
              <wp:anchor distT="0" distB="0" distL="114300" distR="114300" simplePos="0" relativeHeight="251665408" behindDoc="0" locked="0" layoutInCell="1" allowOverlap="1" wp14:anchorId="3F0331C7" wp14:editId="4FF74A08">
                <wp:simplePos x="0" y="0"/>
                <wp:positionH relativeFrom="column">
                  <wp:posOffset>-2395855</wp:posOffset>
                </wp:positionH>
                <wp:positionV relativeFrom="paragraph">
                  <wp:posOffset>-216535</wp:posOffset>
                </wp:positionV>
                <wp:extent cx="920750" cy="920750"/>
                <wp:effectExtent l="4445" t="2540" r="0" b="635"/>
                <wp:wrapNone/>
                <wp:docPr id="1" name="Ink 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55F6F463" id="Ink 1" o:spid="_x0000_s1026" type="#_x0000_t75" style="position:absolute;margin-left:-188.65pt;margin-top:-17.05pt;width:72.5pt;height:7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">
                <o:lock v:ext="edit" rotation="t" verticies="t" shapetype="t"/>
              </v:shape>
            </w:pict>
          </mc:Fallback>
        </mc:AlternateContent>
      </w:r>
      <w:r w:rsidRPr="00F45B03">
        <w:rPr>
          <w:rFonts w:ascii="Arial" w:eastAsia="Times New Roman" w:hAnsi="Arial" w:cs="Arial"/>
          <w:color w:val="000000" w:themeColor="text1"/>
          <w:lang w:val="hr-HR"/>
        </w:rPr>
        <w:t>I, ARPITA CHAUDHARY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5117689" w14:textId="77777777" w:rsidR="00912B41" w:rsidRPr="00F45B03" w:rsidRDefault="00912B41" w:rsidP="00167E86">
      <w:pPr>
        <w:spacing w:after="200" w:line="360" w:lineRule="auto"/>
        <w:jc w:val="both"/>
        <w:rPr>
          <w:rFonts w:ascii="Arial" w:eastAsia="Times New Roman" w:hAnsi="Arial" w:cs="Arial"/>
          <w:color w:val="000000" w:themeColor="text1"/>
          <w:lang w:val="hr-HR"/>
        </w:rPr>
      </w:pPr>
    </w:p>
    <w:p w14:paraId="69FD47D9" w14:textId="77777777" w:rsidR="00912B41" w:rsidRPr="00F45B03" w:rsidRDefault="00912B41" w:rsidP="00167E86">
      <w:pPr>
        <w:spacing w:after="200" w:line="360" w:lineRule="auto"/>
        <w:jc w:val="both"/>
        <w:rPr>
          <w:rFonts w:ascii="Arial" w:eastAsia="Times New Roman" w:hAnsi="Arial" w:cs="Arial"/>
          <w:color w:val="000000" w:themeColor="text1"/>
          <w:lang w:val="hr-HR"/>
        </w:rPr>
      </w:pPr>
    </w:p>
    <w:p w14:paraId="34BA471E" w14:textId="340EF934" w:rsidR="00912B41" w:rsidRPr="00F45B03" w:rsidRDefault="00912B41" w:rsidP="00167E86">
      <w:pPr>
        <w:spacing w:after="200" w:line="360" w:lineRule="auto"/>
        <w:jc w:val="both"/>
        <w:rPr>
          <w:rFonts w:ascii="Arial" w:eastAsia="Times New Roman" w:hAnsi="Arial" w:cs="Arial"/>
          <w:color w:val="000000" w:themeColor="text1"/>
          <w:lang w:val="hr-HR"/>
        </w:rPr>
      </w:pPr>
      <w:r w:rsidRPr="00F45B03">
        <w:rPr>
          <w:rFonts w:ascii="Arial" w:eastAsia="Times New Roman" w:hAnsi="Arial" w:cs="Arial"/>
          <w:color w:val="000000" w:themeColor="text1"/>
          <w:lang w:val="hr-HR"/>
        </w:rPr>
        <w:t>Signed:……………ARPITA CHAUDHARY…………………………………</w:t>
      </w:r>
    </w:p>
    <w:p w14:paraId="69472A54" w14:textId="77777777" w:rsidR="00912B41" w:rsidRPr="00F45B03" w:rsidRDefault="00912B41" w:rsidP="00167E86">
      <w:pPr>
        <w:spacing w:after="200" w:line="360" w:lineRule="auto"/>
        <w:jc w:val="both"/>
        <w:rPr>
          <w:rFonts w:ascii="Arial" w:eastAsia="Times New Roman" w:hAnsi="Arial" w:cs="Arial"/>
          <w:color w:val="000000" w:themeColor="text1"/>
          <w:lang w:val="hr-HR"/>
        </w:rPr>
      </w:pPr>
    </w:p>
    <w:p w14:paraId="6A2FCFF3" w14:textId="5317D94F" w:rsidR="00912B41" w:rsidRPr="00F45B03" w:rsidRDefault="00912B41" w:rsidP="00167E86">
      <w:pPr>
        <w:spacing w:after="200" w:line="360" w:lineRule="auto"/>
        <w:jc w:val="both"/>
        <w:rPr>
          <w:rFonts w:ascii="Arial" w:eastAsia="Times New Roman" w:hAnsi="Arial" w:cs="Arial"/>
          <w:color w:val="000000" w:themeColor="text1"/>
          <w:lang w:val="hr-HR"/>
        </w:rPr>
      </w:pPr>
      <w:r w:rsidRPr="00F45B03">
        <w:rPr>
          <w:rFonts w:ascii="Arial" w:eastAsia="Times New Roman" w:hAnsi="Arial" w:cs="Arial"/>
          <w:color w:val="000000" w:themeColor="text1"/>
          <w:lang w:val="hr-HR"/>
        </w:rPr>
        <w:t>Date:...…1</w:t>
      </w:r>
      <w:r w:rsidR="002875AF">
        <w:rPr>
          <w:rFonts w:ascii="Arial" w:eastAsia="Times New Roman" w:hAnsi="Arial" w:cs="Arial"/>
          <w:color w:val="000000" w:themeColor="text1"/>
          <w:lang w:val="hr-HR"/>
        </w:rPr>
        <w:t>7</w:t>
      </w:r>
      <w:r w:rsidRPr="00F45B03">
        <w:rPr>
          <w:rFonts w:ascii="Arial" w:eastAsia="Times New Roman" w:hAnsi="Arial" w:cs="Arial"/>
          <w:color w:val="000000" w:themeColor="text1"/>
          <w:lang w:val="hr-HR"/>
        </w:rPr>
        <w:t>/06/2026……………………………………………</w:t>
      </w:r>
    </w:p>
    <w:p w14:paraId="7B163274" w14:textId="77777777" w:rsidR="00912B41" w:rsidRPr="00F45B03" w:rsidRDefault="00912B41" w:rsidP="00167E86">
      <w:pPr>
        <w:pStyle w:val="Heading4"/>
        <w:spacing w:line="360" w:lineRule="auto"/>
        <w:jc w:val="both"/>
        <w:rPr>
          <w:rFonts w:ascii="Arial" w:hAnsi="Arial" w:cs="Arial"/>
          <w:b/>
          <w:i w:val="0"/>
          <w:iCs w:val="0"/>
          <w:color w:val="000000"/>
        </w:rPr>
      </w:pPr>
    </w:p>
    <w:p w14:paraId="4BE48ADA" w14:textId="77777777" w:rsidR="00912B41" w:rsidRPr="00F45B03" w:rsidRDefault="00912B41" w:rsidP="00167E86">
      <w:pPr>
        <w:pStyle w:val="Heading4"/>
        <w:spacing w:line="360" w:lineRule="auto"/>
        <w:jc w:val="both"/>
        <w:rPr>
          <w:rFonts w:ascii="Arial" w:hAnsi="Arial" w:cs="Arial"/>
          <w:b/>
          <w:i w:val="0"/>
          <w:iCs w:val="0"/>
          <w:color w:val="000000"/>
        </w:rPr>
      </w:pPr>
    </w:p>
    <w:p w14:paraId="03CFE8A0" w14:textId="77777777" w:rsidR="00912B41" w:rsidRPr="00F45B03" w:rsidRDefault="00912B41" w:rsidP="00167E86">
      <w:pPr>
        <w:pStyle w:val="Heading4"/>
        <w:spacing w:line="360" w:lineRule="auto"/>
        <w:jc w:val="both"/>
        <w:rPr>
          <w:rFonts w:ascii="Arial" w:hAnsi="Arial" w:cs="Arial"/>
          <w:b/>
          <w:i w:val="0"/>
          <w:iCs w:val="0"/>
          <w:color w:val="000000"/>
        </w:rPr>
      </w:pPr>
    </w:p>
    <w:p w14:paraId="7D39CBA8" w14:textId="77777777" w:rsidR="00912B41" w:rsidRPr="00F45B03" w:rsidRDefault="00912B41" w:rsidP="00167E86">
      <w:pPr>
        <w:pStyle w:val="Heading4"/>
        <w:spacing w:line="360" w:lineRule="auto"/>
        <w:jc w:val="both"/>
        <w:rPr>
          <w:rFonts w:ascii="Arial" w:hAnsi="Arial" w:cs="Arial"/>
          <w:b/>
          <w:i w:val="0"/>
          <w:iCs w:val="0"/>
          <w:color w:val="000000"/>
        </w:rPr>
      </w:pPr>
    </w:p>
    <w:p w14:paraId="15E71FDA" w14:textId="77777777" w:rsidR="00912B41" w:rsidRPr="00F45B03" w:rsidRDefault="00912B41" w:rsidP="00167E86">
      <w:pPr>
        <w:pStyle w:val="Heading4"/>
        <w:spacing w:line="360" w:lineRule="auto"/>
        <w:jc w:val="both"/>
        <w:rPr>
          <w:rFonts w:ascii="Arial" w:hAnsi="Arial" w:cs="Arial"/>
          <w:b/>
          <w:i w:val="0"/>
          <w:iCs w:val="0"/>
          <w:color w:val="000000"/>
        </w:rPr>
      </w:pPr>
    </w:p>
    <w:p w14:paraId="2F400F02" w14:textId="77777777" w:rsidR="00912B41" w:rsidRPr="00F45B03" w:rsidRDefault="00912B41" w:rsidP="00167E86">
      <w:pPr>
        <w:pStyle w:val="Heading4"/>
        <w:spacing w:line="360" w:lineRule="auto"/>
        <w:jc w:val="both"/>
        <w:rPr>
          <w:rFonts w:ascii="Arial" w:hAnsi="Arial" w:cs="Arial"/>
          <w:b/>
          <w:i w:val="0"/>
          <w:iCs w:val="0"/>
          <w:color w:val="000000"/>
        </w:rPr>
      </w:pPr>
    </w:p>
    <w:p w14:paraId="73E42FC6" w14:textId="77777777" w:rsidR="00912B41" w:rsidRPr="00F45B03" w:rsidRDefault="00912B41" w:rsidP="00167E86">
      <w:pPr>
        <w:pStyle w:val="Heading4"/>
        <w:spacing w:line="360" w:lineRule="auto"/>
        <w:jc w:val="both"/>
        <w:rPr>
          <w:rFonts w:ascii="Arial" w:hAnsi="Arial" w:cs="Arial"/>
          <w:b/>
          <w:i w:val="0"/>
          <w:iCs w:val="0"/>
          <w:color w:val="000000"/>
        </w:rPr>
      </w:pPr>
    </w:p>
    <w:p w14:paraId="52640ACA" w14:textId="77777777" w:rsidR="00912B41" w:rsidRPr="00F45B03" w:rsidRDefault="00912B41" w:rsidP="00167E86">
      <w:pPr>
        <w:pStyle w:val="Heading4"/>
        <w:spacing w:line="360" w:lineRule="auto"/>
        <w:jc w:val="both"/>
        <w:rPr>
          <w:rFonts w:ascii="Arial" w:hAnsi="Arial" w:cs="Arial"/>
          <w:b/>
          <w:i w:val="0"/>
          <w:iCs w:val="0"/>
          <w:color w:val="000000"/>
        </w:rPr>
      </w:pPr>
    </w:p>
    <w:p w14:paraId="61FF9C9C" w14:textId="77777777" w:rsidR="00912B41" w:rsidRPr="00F45B03" w:rsidRDefault="00912B41" w:rsidP="00167E86">
      <w:pPr>
        <w:pStyle w:val="Heading4"/>
        <w:spacing w:line="360" w:lineRule="auto"/>
        <w:jc w:val="both"/>
        <w:rPr>
          <w:rFonts w:ascii="Arial" w:hAnsi="Arial" w:cs="Arial"/>
          <w:b/>
          <w:i w:val="0"/>
          <w:iCs w:val="0"/>
          <w:color w:val="000000"/>
        </w:rPr>
      </w:pPr>
    </w:p>
    <w:p w14:paraId="6E419D67" w14:textId="1C6312D1" w:rsidR="00234AD2" w:rsidRDefault="00234AD2" w:rsidP="00167E86">
      <w:pPr>
        <w:pStyle w:val="Heading4"/>
        <w:spacing w:line="360" w:lineRule="auto"/>
        <w:jc w:val="both"/>
        <w:rPr>
          <w:rFonts w:ascii="Arial" w:hAnsi="Arial" w:cs="Arial"/>
          <w:b/>
          <w:i w:val="0"/>
          <w:iCs w:val="0"/>
          <w:color w:val="000000"/>
        </w:rPr>
      </w:pPr>
    </w:p>
    <w:p w14:paraId="1FD5A07D" w14:textId="77777777" w:rsidR="00401B8E" w:rsidRPr="00401B8E" w:rsidRDefault="00401B8E" w:rsidP="00401B8E"/>
    <w:p w14:paraId="30ABC061" w14:textId="04BF2C01" w:rsidR="00912B41" w:rsidRPr="00F45B03" w:rsidRDefault="00912B41" w:rsidP="00167E86">
      <w:pPr>
        <w:pStyle w:val="Heading4"/>
        <w:spacing w:line="360" w:lineRule="auto"/>
        <w:jc w:val="both"/>
        <w:rPr>
          <w:rFonts w:ascii="Arial" w:hAnsi="Arial" w:cs="Arial"/>
          <w:b/>
          <w:i w:val="0"/>
          <w:iCs w:val="0"/>
          <w:color w:val="000000"/>
        </w:rPr>
      </w:pPr>
      <w:r w:rsidRPr="00F45B03">
        <w:rPr>
          <w:rFonts w:ascii="Arial" w:hAnsi="Arial" w:cs="Arial"/>
          <w:b/>
          <w:i w:val="0"/>
          <w:iCs w:val="0"/>
          <w:color w:val="000000"/>
        </w:rPr>
        <w:lastRenderedPageBreak/>
        <w:t xml:space="preserve">ACKNOWLEDGEMENTS </w:t>
      </w:r>
    </w:p>
    <w:p w14:paraId="480024BA" w14:textId="77777777" w:rsidR="00912B41" w:rsidRPr="00F45B03" w:rsidRDefault="00912B41" w:rsidP="00167E86">
      <w:pPr>
        <w:spacing w:before="240" w:after="240" w:line="360" w:lineRule="auto"/>
        <w:jc w:val="both"/>
        <w:rPr>
          <w:rFonts w:ascii="Arial" w:hAnsi="Arial" w:cs="Arial"/>
          <w:lang w:val="en-US"/>
        </w:rPr>
      </w:pPr>
      <w:r w:rsidRPr="00F45B03">
        <w:rPr>
          <w:rFonts w:ascii="Arial" w:hAnsi="Arial" w:cs="Arial"/>
          <w:lang w:val="en-US"/>
        </w:rPr>
        <w:t>I would like to express my sincere gratitude to all those who have supported and guided me throughout the completion of this dissertation. First and foremost, I would like to thank my supervisor for their valuable guidance, constructive feedback, and continuous encouragement throughout every stage of this research. Their expertise and support greatly contributed to the successful completion of this study.</w:t>
      </w:r>
    </w:p>
    <w:p w14:paraId="488DC518" w14:textId="77777777" w:rsidR="00912B41" w:rsidRPr="00F45B03" w:rsidRDefault="00912B41" w:rsidP="00167E86">
      <w:pPr>
        <w:spacing w:before="240" w:after="240" w:line="360" w:lineRule="auto"/>
        <w:jc w:val="both"/>
        <w:rPr>
          <w:rFonts w:ascii="Arial" w:hAnsi="Arial" w:cs="Arial"/>
          <w:lang w:val="en-US"/>
        </w:rPr>
      </w:pPr>
      <w:r w:rsidRPr="00F45B03">
        <w:rPr>
          <w:rFonts w:ascii="Arial" w:hAnsi="Arial" w:cs="Arial"/>
          <w:lang w:val="en-US"/>
        </w:rPr>
        <w:t>I would also like to extend my appreciation to the academic staff and lecturers who provided knowledge, advice, and learning opportunities during my course of study. Their dedication and commitment have played an important role in developing my academic and research skills. I am equally grateful to the university library staff and online database providers for ensuring access to the academic resources, journals, and reports that formed the foundation of this systematic review.</w:t>
      </w:r>
    </w:p>
    <w:p w14:paraId="2290F0DB" w14:textId="77777777" w:rsidR="007445DF" w:rsidRPr="00F45B03" w:rsidRDefault="00912B41" w:rsidP="00167E86">
      <w:pPr>
        <w:pStyle w:val="NormalWeb"/>
        <w:spacing w:line="360" w:lineRule="auto"/>
        <w:jc w:val="both"/>
        <w:rPr>
          <w:rFonts w:ascii="Arial" w:hAnsi="Arial" w:cs="Arial"/>
          <w:color w:val="FF0000"/>
          <w:sz w:val="22"/>
          <w:szCs w:val="22"/>
        </w:rPr>
      </w:pPr>
      <w:r w:rsidRPr="00F45B03">
        <w:rPr>
          <w:rFonts w:ascii="Arial" w:hAnsi="Arial" w:cs="Arial"/>
          <w:lang w:val="en-US"/>
        </w:rPr>
        <w:t>Special thanks are extended to the authors and researchers whose published studies contributed to the evidence base of this dissertation. Their work provided valuable insights</w:t>
      </w:r>
      <w:r w:rsidR="007445DF">
        <w:rPr>
          <w:rFonts w:ascii="Arial" w:hAnsi="Arial" w:cs="Arial"/>
          <w:lang w:val="en-US"/>
        </w:rPr>
        <w:t xml:space="preserve"> </w:t>
      </w:r>
      <w:r w:rsidR="007445DF" w:rsidRPr="00F45B03">
        <w:rPr>
          <w:rFonts w:ascii="Arial" w:hAnsi="Arial" w:cs="Arial"/>
          <w:color w:val="000000" w:themeColor="text1"/>
          <w:sz w:val="22"/>
          <w:szCs w:val="22"/>
        </w:rPr>
        <w:t>evaluate the effectiveness of cardiac rehabilitation programmes in reducing hospital readmissions among adults aged 55 years and over in England, with a particular focus on ethnic and socioeconomic inequalities</w:t>
      </w:r>
    </w:p>
    <w:p w14:paraId="01CEF52D" w14:textId="2D74BBC8" w:rsidR="00912B41" w:rsidRPr="00F45B03" w:rsidRDefault="00912B41" w:rsidP="00167E86">
      <w:pPr>
        <w:spacing w:before="240" w:after="240" w:line="360" w:lineRule="auto"/>
        <w:jc w:val="both"/>
        <w:rPr>
          <w:rFonts w:ascii="Arial" w:hAnsi="Arial" w:cs="Arial"/>
          <w:lang w:val="en-US"/>
        </w:rPr>
      </w:pPr>
      <w:r w:rsidRPr="00F45B03">
        <w:rPr>
          <w:rFonts w:ascii="Arial" w:hAnsi="Arial" w:cs="Arial"/>
          <w:lang w:val="en-US"/>
        </w:rPr>
        <w:t xml:space="preserve"> enabled a comprehensive understanding of the topic.</w:t>
      </w:r>
    </w:p>
    <w:p w14:paraId="7BA06F73" w14:textId="77777777" w:rsidR="00912B41" w:rsidRPr="00F45B03" w:rsidRDefault="00912B41" w:rsidP="00167E86">
      <w:pPr>
        <w:spacing w:before="240" w:after="240" w:line="360" w:lineRule="auto"/>
        <w:jc w:val="both"/>
        <w:rPr>
          <w:rFonts w:ascii="Arial" w:hAnsi="Arial" w:cs="Arial"/>
          <w:lang w:val="en-US"/>
        </w:rPr>
      </w:pPr>
      <w:r w:rsidRPr="00F45B03">
        <w:rPr>
          <w:rFonts w:ascii="Arial" w:hAnsi="Arial" w:cs="Arial"/>
          <w:lang w:val="en-US"/>
        </w:rPr>
        <w:t>I would like to express my heartfelt gratitude to my family and friends for their unwavering support, patience, and motivation throughout this academic journey. Their encouragement helped me remain focused and determined during challenging periods of research and writing. Their belief in my abilities has been a constant source of inspiration.</w:t>
      </w:r>
    </w:p>
    <w:p w14:paraId="54E08025" w14:textId="77777777" w:rsidR="00912B41" w:rsidRPr="00F45B03" w:rsidRDefault="00912B41" w:rsidP="00167E86">
      <w:pPr>
        <w:spacing w:before="240" w:after="240" w:line="360" w:lineRule="auto"/>
        <w:jc w:val="both"/>
        <w:rPr>
          <w:rFonts w:ascii="Arial" w:hAnsi="Arial" w:cs="Arial"/>
          <w:lang w:val="en-US"/>
        </w:rPr>
      </w:pPr>
      <w:r w:rsidRPr="00F45B03">
        <w:rPr>
          <w:rFonts w:ascii="Arial" w:hAnsi="Arial" w:cs="Arial"/>
          <w:lang w:val="en-US"/>
        </w:rPr>
        <w:t>Finally, I would like to acknowledge everyone who directly or indirectly contributed to the completion of this dissertation. The support, guidance, and encouragement received from various individuals have been invaluable. This achievement would not have been possible without their contributions, and I am sincerely grateful for their assistance throughout this research journey.</w:t>
      </w:r>
    </w:p>
    <w:p w14:paraId="43A0F577" w14:textId="77777777" w:rsidR="00912B41" w:rsidRPr="00F45B03" w:rsidRDefault="00912B41" w:rsidP="00167E86">
      <w:pPr>
        <w:spacing w:line="360" w:lineRule="auto"/>
        <w:jc w:val="both"/>
        <w:rPr>
          <w:rFonts w:ascii="Arial" w:eastAsia="Calibri" w:hAnsi="Arial" w:cs="Arial"/>
          <w:lang w:val="en-US"/>
        </w:rPr>
      </w:pPr>
    </w:p>
    <w:p w14:paraId="10F5B0E6" w14:textId="77777777" w:rsidR="00912B41" w:rsidRPr="00F45B03" w:rsidRDefault="00912B41" w:rsidP="00167E86">
      <w:pPr>
        <w:spacing w:line="360" w:lineRule="auto"/>
        <w:jc w:val="both"/>
        <w:rPr>
          <w:rFonts w:ascii="Arial" w:eastAsia="Calibri" w:hAnsi="Arial" w:cs="Arial"/>
          <w:lang w:val="en-US"/>
        </w:rPr>
      </w:pPr>
    </w:p>
    <w:p w14:paraId="3C9012CA" w14:textId="77777777" w:rsidR="00912B41" w:rsidRPr="00F45B03" w:rsidRDefault="00912B41" w:rsidP="00167E86">
      <w:pPr>
        <w:spacing w:line="360" w:lineRule="auto"/>
        <w:jc w:val="both"/>
        <w:rPr>
          <w:rFonts w:ascii="Arial" w:eastAsia="Calibri" w:hAnsi="Arial" w:cs="Arial"/>
          <w:lang w:val="en-US"/>
        </w:rPr>
      </w:pPr>
    </w:p>
    <w:p w14:paraId="7E2DA1CD" w14:textId="77777777" w:rsidR="00912B41" w:rsidRPr="00F45B03" w:rsidRDefault="00912B41" w:rsidP="00167E86">
      <w:pPr>
        <w:spacing w:line="360" w:lineRule="auto"/>
        <w:jc w:val="both"/>
        <w:rPr>
          <w:rFonts w:ascii="Arial" w:eastAsia="Calibri" w:hAnsi="Arial" w:cs="Arial"/>
          <w:lang w:val="en-US"/>
        </w:rPr>
      </w:pPr>
    </w:p>
    <w:p w14:paraId="37A52E2F" w14:textId="77777777" w:rsidR="00912B41" w:rsidRPr="00F45B03" w:rsidRDefault="00912B41" w:rsidP="00167E86">
      <w:pPr>
        <w:spacing w:line="360" w:lineRule="auto"/>
        <w:jc w:val="both"/>
        <w:rPr>
          <w:rFonts w:ascii="Arial" w:eastAsia="Calibri" w:hAnsi="Arial" w:cs="Arial"/>
          <w:lang w:val="en-US"/>
        </w:rPr>
      </w:pPr>
    </w:p>
    <w:p w14:paraId="0040B303" w14:textId="03E71C32" w:rsidR="00E76623" w:rsidRPr="00F45B03" w:rsidRDefault="00170AC9" w:rsidP="00167E86">
      <w:pPr>
        <w:pStyle w:val="Heading4"/>
        <w:spacing w:line="360" w:lineRule="auto"/>
        <w:jc w:val="both"/>
        <w:rPr>
          <w:rFonts w:ascii="Arial" w:hAnsi="Arial" w:cs="Arial"/>
          <w:b/>
          <w:i w:val="0"/>
          <w:iCs w:val="0"/>
          <w:color w:val="000000"/>
        </w:rPr>
      </w:pPr>
      <w:r w:rsidRPr="00F45B03">
        <w:rPr>
          <w:rFonts w:ascii="Arial" w:hAnsi="Arial" w:cs="Arial"/>
          <w:b/>
          <w:i w:val="0"/>
          <w:iCs w:val="0"/>
          <w:color w:val="000000"/>
        </w:rPr>
        <w:t>STATEMENT ON AUTHENTICITY AND AI</w:t>
      </w:r>
    </w:p>
    <w:p w14:paraId="4D203AC1" w14:textId="77777777" w:rsidR="00E76623" w:rsidRPr="00F45B03" w:rsidRDefault="00E76623" w:rsidP="00167E86">
      <w:pPr>
        <w:spacing w:before="240" w:after="240" w:line="360" w:lineRule="auto"/>
        <w:jc w:val="both"/>
        <w:rPr>
          <w:rFonts w:ascii="Arial" w:hAnsi="Arial" w:cs="Arial"/>
          <w:lang w:val="en-US"/>
        </w:rPr>
      </w:pPr>
      <w:r w:rsidRPr="00F45B03">
        <w:rPr>
          <w:rFonts w:ascii="Arial" w:hAnsi="Arial" w:cs="Arial"/>
          <w:lang w:val="en-US"/>
        </w:rPr>
        <w:t>I hereby declare that this dissertation is my own original work and has been completed in accordance with the academic regulations and ethical guidelines of the institution. All sources of information, ideas, data, and published materials used in this study have been appropriately acknowledged and referenced. Any direct quotations, paraphrased content, or findings obtained from other authors have been cited accurately to maintain academic integrity and avoid plagiarism.</w:t>
      </w:r>
    </w:p>
    <w:p w14:paraId="687ACE96" w14:textId="77777777" w:rsidR="00E76623" w:rsidRPr="00F45B03" w:rsidRDefault="00E76623" w:rsidP="00167E86">
      <w:pPr>
        <w:spacing w:before="240" w:after="240" w:line="360" w:lineRule="auto"/>
        <w:jc w:val="both"/>
        <w:rPr>
          <w:rFonts w:ascii="Arial" w:hAnsi="Arial" w:cs="Arial"/>
          <w:lang w:val="en-US"/>
        </w:rPr>
      </w:pPr>
      <w:r w:rsidRPr="00F45B03">
        <w:rPr>
          <w:rFonts w:ascii="Arial" w:hAnsi="Arial" w:cs="Arial"/>
          <w:lang w:val="en-US"/>
        </w:rPr>
        <w:t>Artificial Intelligence (A.I.) tools were used only as supportive resources during the preparation of this dissertation. These tools assisted with language refinement, grammar checking, proofreading, and improving the clarity and presentation of written content. However, the development of the research topic, literature selection, critical analysis, interpretation of findings, discussion, conclusions, and recommendations remain my own work and academic responsibility. All final decisions regarding the content, structure, and arguments presented in this dissertation were made independently by the author.</w:t>
      </w:r>
    </w:p>
    <w:p w14:paraId="4A543BDD" w14:textId="4C040EFE" w:rsidR="00E76623" w:rsidRPr="00F45B03" w:rsidRDefault="00E76623" w:rsidP="00167E86">
      <w:pPr>
        <w:spacing w:before="240" w:after="240" w:line="360" w:lineRule="auto"/>
        <w:jc w:val="both"/>
        <w:rPr>
          <w:rFonts w:ascii="Arial" w:hAnsi="Arial" w:cs="Arial"/>
          <w:lang w:val="en-US"/>
        </w:rPr>
      </w:pPr>
      <w:r w:rsidRPr="00F45B03">
        <w:rPr>
          <w:rFonts w:ascii="Arial" w:hAnsi="Arial" w:cs="Arial"/>
          <w:lang w:val="en-US"/>
        </w:rPr>
        <w:t>I confirm that this work represents an honest and accurate account of the research undertaken and complies with the institution’s policies regarding academic integrity and the responsible use of Artificial Intelligence technologies.</w:t>
      </w:r>
    </w:p>
    <w:p w14:paraId="52C015FE" w14:textId="6293C86D" w:rsidR="00082207" w:rsidRPr="00F45B03" w:rsidRDefault="00082207" w:rsidP="00167E86">
      <w:pPr>
        <w:spacing w:before="240" w:after="240" w:line="360" w:lineRule="auto"/>
        <w:jc w:val="both"/>
        <w:rPr>
          <w:rFonts w:ascii="Arial" w:hAnsi="Arial" w:cs="Arial"/>
          <w:lang w:val="en-US"/>
        </w:rPr>
      </w:pPr>
    </w:p>
    <w:p w14:paraId="1C89724A" w14:textId="77777777" w:rsidR="00E76623" w:rsidRPr="00F45B03" w:rsidRDefault="00E76623" w:rsidP="00167E86">
      <w:pPr>
        <w:spacing w:before="240" w:after="240" w:line="360" w:lineRule="auto"/>
        <w:jc w:val="both"/>
        <w:rPr>
          <w:rFonts w:ascii="Arial" w:hAnsi="Arial" w:cs="Arial"/>
          <w:lang w:val="en-US"/>
        </w:rPr>
      </w:pPr>
    </w:p>
    <w:p w14:paraId="5FF25507" w14:textId="77777777" w:rsidR="00E76623" w:rsidRPr="00F45B03" w:rsidRDefault="00E76623" w:rsidP="00167E86">
      <w:pPr>
        <w:spacing w:before="240" w:after="240" w:line="360" w:lineRule="auto"/>
        <w:jc w:val="both"/>
        <w:rPr>
          <w:rFonts w:ascii="Arial" w:hAnsi="Arial" w:cs="Arial"/>
          <w:lang w:val="en-GB"/>
        </w:rPr>
      </w:pPr>
    </w:p>
    <w:p w14:paraId="2D658B60" w14:textId="77777777" w:rsidR="00457318" w:rsidRDefault="00457318" w:rsidP="00167E86">
      <w:pPr>
        <w:pStyle w:val="Heading1"/>
        <w:spacing w:line="360" w:lineRule="auto"/>
        <w:jc w:val="both"/>
        <w:rPr>
          <w:rStyle w:val="Strong"/>
          <w:rFonts w:ascii="Arial" w:hAnsi="Arial" w:cs="Arial"/>
          <w:b w:val="0"/>
          <w:bCs w:val="0"/>
          <w:color w:val="000000" w:themeColor="text1"/>
          <w:sz w:val="22"/>
          <w:szCs w:val="22"/>
        </w:rPr>
      </w:pPr>
    </w:p>
    <w:p w14:paraId="4C3ABC19" w14:textId="77777777" w:rsidR="00457318" w:rsidRDefault="00457318" w:rsidP="00167E86">
      <w:pPr>
        <w:pStyle w:val="Heading1"/>
        <w:spacing w:line="360" w:lineRule="auto"/>
        <w:jc w:val="both"/>
        <w:rPr>
          <w:rStyle w:val="Strong"/>
          <w:rFonts w:ascii="Arial" w:hAnsi="Arial" w:cs="Arial"/>
          <w:b w:val="0"/>
          <w:bCs w:val="0"/>
          <w:color w:val="000000" w:themeColor="text1"/>
          <w:sz w:val="22"/>
          <w:szCs w:val="22"/>
        </w:rPr>
      </w:pPr>
    </w:p>
    <w:p w14:paraId="61972492" w14:textId="77777777" w:rsidR="00457318" w:rsidRDefault="00457318" w:rsidP="00167E86">
      <w:pPr>
        <w:pStyle w:val="Heading1"/>
        <w:spacing w:line="360" w:lineRule="auto"/>
        <w:jc w:val="both"/>
        <w:rPr>
          <w:rStyle w:val="Strong"/>
          <w:rFonts w:ascii="Arial" w:hAnsi="Arial" w:cs="Arial"/>
          <w:b w:val="0"/>
          <w:bCs w:val="0"/>
          <w:color w:val="000000" w:themeColor="text1"/>
          <w:sz w:val="22"/>
          <w:szCs w:val="22"/>
        </w:rPr>
      </w:pPr>
    </w:p>
    <w:p w14:paraId="2F654263" w14:textId="77777777" w:rsidR="00457318" w:rsidRDefault="00457318" w:rsidP="00167E86">
      <w:pPr>
        <w:pStyle w:val="Heading1"/>
        <w:spacing w:line="360" w:lineRule="auto"/>
        <w:jc w:val="both"/>
        <w:rPr>
          <w:rStyle w:val="Strong"/>
          <w:rFonts w:ascii="Arial" w:hAnsi="Arial" w:cs="Arial"/>
          <w:b w:val="0"/>
          <w:bCs w:val="0"/>
          <w:color w:val="000000" w:themeColor="text1"/>
          <w:sz w:val="22"/>
          <w:szCs w:val="22"/>
        </w:rPr>
      </w:pPr>
    </w:p>
    <w:p w14:paraId="04A3A9B4" w14:textId="3CE19EC7" w:rsidR="00B505B1" w:rsidRPr="00F45B03" w:rsidRDefault="00B505B1" w:rsidP="00167E86">
      <w:pPr>
        <w:pStyle w:val="Heading1"/>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ABSTRACT</w:t>
      </w:r>
    </w:p>
    <w:p w14:paraId="15B206B4" w14:textId="77777777" w:rsidR="00B505B1" w:rsidRPr="00F45B03" w:rsidRDefault="00B505B1"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Cardiovascular disease (CVD) remains a leading cause of morbidity and mortality in England, with older adults experiencing disproportionately high rates of hospital readmissions. Cardiac rehabilitation (CR) is widely recognised as an effective secondary prevention strategy; however, participation and outcomes vary significantly across demographic groups. This systematic review examined the extent to which CR reduces hospital readmissions among adults aged 55 years and over in England, with a particular focus on ethnic and socioeconomic inequalities. The review followed PRISMA 2020 guidelines and included 15 studies identified. Studies were appraised using CASP tools, and findings were synthesised narratively due to heterogeneity in design and outcomes.</w:t>
      </w:r>
    </w:p>
    <w:p w14:paraId="69B7F696" w14:textId="77777777" w:rsidR="00B505B1" w:rsidRPr="00F45B03" w:rsidRDefault="00B505B1"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review found consistent evidence that CR reduces hospital readmissions by 20–30%, with programme completion strongly associated with improved outcomes. However, substantial inequalities were identified. Minority ethnic groups, particularly South Asian and Black patients, were less likely to complete CR due to cultural, linguistic, and structural barriers. Socioeconomic deprivation further reduced participation, with individuals in the most deprived areas 30–40% less likely to attend CR. Older adults benefited significantly from CR but faced barriers such as frailty, mobility limitations, and fear of exercise. Facilitators of participation included flexible delivery models, culturally sensitive communication, and strong social support.</w:t>
      </w:r>
    </w:p>
    <w:p w14:paraId="517BD878" w14:textId="77777777" w:rsidR="00B505B1" w:rsidRPr="00F45B03" w:rsidRDefault="00B505B1"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findings highlight the need for personalised, accessible, and culturally tailored CR programmes to address persistent inequalities. Recommendations include expanding home</w:t>
      </w:r>
      <w:r w:rsidRPr="00F45B03">
        <w:rPr>
          <w:rFonts w:ascii="Arial" w:hAnsi="Arial" w:cs="Arial"/>
          <w:color w:val="000000" w:themeColor="text1"/>
          <w:sz w:val="22"/>
          <w:szCs w:val="22"/>
        </w:rPr>
        <w:noBreakHyphen/>
        <w:t>based and digital CR options, improving culturally competent communication, enhancing patient education, and strengthening national monitoring of CR disparities. Overall, the review concludes that while CR is highly effective in reducing readmissions among older adults, targeted interventions are essential to ensure equitable access and maximise population</w:t>
      </w:r>
      <w:r w:rsidRPr="00F45B03">
        <w:rPr>
          <w:rFonts w:ascii="Arial" w:hAnsi="Arial" w:cs="Arial"/>
          <w:color w:val="000000" w:themeColor="text1"/>
          <w:sz w:val="22"/>
          <w:szCs w:val="22"/>
        </w:rPr>
        <w:noBreakHyphen/>
        <w:t>level benefits.</w:t>
      </w:r>
    </w:p>
    <w:p w14:paraId="172C56BA" w14:textId="77777777" w:rsidR="00B505B1" w:rsidRDefault="00B505B1"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p>
    <w:p w14:paraId="1B07DCF6" w14:textId="77777777" w:rsidR="00B505B1" w:rsidRDefault="00B505B1"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p>
    <w:p w14:paraId="73B18C1E" w14:textId="5B89DB87" w:rsidR="00E55792" w:rsidRPr="0063723C" w:rsidRDefault="00453AD7" w:rsidP="0063723C">
      <w:pPr>
        <w:spacing w:before="100" w:beforeAutospacing="1" w:after="100" w:afterAutospacing="1" w:line="360" w:lineRule="auto"/>
        <w:jc w:val="both"/>
        <w:outlineLvl w:val="2"/>
        <w:rPr>
          <w:rStyle w:val="Strong"/>
          <w:rFonts w:ascii="Arial" w:eastAsia="Times New Roman" w:hAnsi="Arial" w:cs="Arial"/>
          <w:color w:val="000000" w:themeColor="text1"/>
          <w:lang w:eastAsia="en-IN"/>
        </w:rPr>
      </w:pPr>
      <w:r>
        <w:rPr>
          <w:rFonts w:ascii="Arial" w:eastAsia="Times New Roman" w:hAnsi="Arial" w:cs="Arial"/>
          <w:b/>
          <w:bCs/>
          <w:color w:val="000000" w:themeColor="text1"/>
          <w:lang w:eastAsia="en-IN"/>
        </w:rPr>
        <w:t xml:space="preserve">                                                                                                                                                                                                                                         </w:t>
      </w:r>
      <w:r w:rsidR="00E55792" w:rsidRPr="00F45B03">
        <w:rPr>
          <w:rStyle w:val="Strong"/>
          <w:rFonts w:ascii="Arial" w:hAnsi="Arial" w:cs="Arial"/>
          <w:b w:val="0"/>
          <w:bCs w:val="0"/>
        </w:rPr>
        <w:t>TABLE OF CONTENT</w:t>
      </w:r>
    </w:p>
    <w:p w14:paraId="034AB6AF" w14:textId="4BFE3E87" w:rsidR="008335ED" w:rsidRPr="00F45B03" w:rsidRDefault="008335ED" w:rsidP="00167E86">
      <w:pPr>
        <w:pStyle w:val="Heading2"/>
        <w:spacing w:line="360" w:lineRule="auto"/>
        <w:jc w:val="both"/>
        <w:rPr>
          <w:rFonts w:ascii="Arial" w:hAnsi="Arial" w:cs="Arial"/>
          <w:sz w:val="22"/>
          <w:szCs w:val="22"/>
        </w:rPr>
      </w:pPr>
      <w:r w:rsidRPr="00F45B03">
        <w:rPr>
          <w:rStyle w:val="Strong"/>
          <w:rFonts w:ascii="Arial" w:hAnsi="Arial" w:cs="Arial"/>
          <w:b w:val="0"/>
          <w:bCs w:val="0"/>
          <w:sz w:val="22"/>
          <w:szCs w:val="22"/>
        </w:rPr>
        <w:t>Chapter 1: Introduction</w:t>
      </w:r>
    </w:p>
    <w:p w14:paraId="39F33C16" w14:textId="26CB08F7"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1.1 Background of the Study</w:t>
      </w:r>
      <w:r w:rsidR="008F483F" w:rsidRPr="00F45B03">
        <w:rPr>
          <w:rFonts w:ascii="Arial" w:hAnsi="Arial" w:cs="Arial"/>
          <w:sz w:val="22"/>
          <w:szCs w:val="22"/>
        </w:rPr>
        <w:t>……………………………………………………………</w:t>
      </w:r>
      <w:r w:rsidR="006D26C5" w:rsidRPr="00F45B03">
        <w:rPr>
          <w:rFonts w:ascii="Arial" w:hAnsi="Arial" w:cs="Arial"/>
          <w:sz w:val="22"/>
          <w:szCs w:val="22"/>
        </w:rPr>
        <w:t>…1</w:t>
      </w:r>
      <w:r w:rsidR="00936B3E">
        <w:rPr>
          <w:rFonts w:ascii="Arial" w:hAnsi="Arial" w:cs="Arial"/>
          <w:sz w:val="22"/>
          <w:szCs w:val="22"/>
        </w:rPr>
        <w:t>2</w:t>
      </w:r>
    </w:p>
    <w:p w14:paraId="2BF3D3E2" w14:textId="6B92561C"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1.2 Cardiac Rehabilitation as a Secondary Prevention </w:t>
      </w:r>
      <w:r w:rsidR="006D26C5" w:rsidRPr="00F45B03">
        <w:rPr>
          <w:rFonts w:ascii="Arial" w:hAnsi="Arial" w:cs="Arial"/>
          <w:sz w:val="22"/>
          <w:szCs w:val="22"/>
        </w:rPr>
        <w:t>Strategy……………………</w:t>
      </w:r>
      <w:r w:rsidR="000C7112" w:rsidRPr="00F45B03">
        <w:rPr>
          <w:rFonts w:ascii="Arial" w:hAnsi="Arial" w:cs="Arial"/>
          <w:sz w:val="22"/>
          <w:szCs w:val="22"/>
        </w:rPr>
        <w:t>1</w:t>
      </w:r>
      <w:r w:rsidR="00936B3E">
        <w:rPr>
          <w:rFonts w:ascii="Arial" w:hAnsi="Arial" w:cs="Arial"/>
          <w:sz w:val="22"/>
          <w:szCs w:val="22"/>
        </w:rPr>
        <w:t>3</w:t>
      </w:r>
    </w:p>
    <w:p w14:paraId="57AB8D59" w14:textId="7087E24F"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1.3 Health Inequalities in Cardiovascular Care </w:t>
      </w:r>
      <w:r w:rsidR="008F483F" w:rsidRPr="00F45B03">
        <w:rPr>
          <w:rFonts w:ascii="Arial" w:hAnsi="Arial" w:cs="Arial"/>
          <w:sz w:val="22"/>
          <w:szCs w:val="22"/>
        </w:rPr>
        <w:t>……………………………</w:t>
      </w:r>
      <w:r w:rsidR="00CF2759" w:rsidRPr="00F45B03">
        <w:rPr>
          <w:rFonts w:ascii="Arial" w:hAnsi="Arial" w:cs="Arial"/>
          <w:sz w:val="22"/>
          <w:szCs w:val="22"/>
        </w:rPr>
        <w:t>...</w:t>
      </w:r>
      <w:r w:rsidR="008F483F" w:rsidRPr="00F45B03">
        <w:rPr>
          <w:rFonts w:ascii="Arial" w:hAnsi="Arial" w:cs="Arial"/>
          <w:sz w:val="22"/>
          <w:szCs w:val="22"/>
        </w:rPr>
        <w:t>……</w:t>
      </w:r>
      <w:r w:rsidR="006D26C5" w:rsidRPr="00F45B03">
        <w:rPr>
          <w:rFonts w:ascii="Arial" w:hAnsi="Arial" w:cs="Arial"/>
          <w:sz w:val="22"/>
          <w:szCs w:val="22"/>
        </w:rPr>
        <w:t>….1</w:t>
      </w:r>
      <w:r w:rsidR="00936B3E">
        <w:rPr>
          <w:rFonts w:ascii="Arial" w:hAnsi="Arial" w:cs="Arial"/>
          <w:sz w:val="22"/>
          <w:szCs w:val="22"/>
        </w:rPr>
        <w:t>4</w:t>
      </w:r>
    </w:p>
    <w:p w14:paraId="0A02664F" w14:textId="77E6AF9F"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1.4 Rationale for the Study</w:t>
      </w:r>
      <w:r w:rsidR="008F483F" w:rsidRPr="00F45B03">
        <w:rPr>
          <w:rFonts w:ascii="Arial" w:hAnsi="Arial" w:cs="Arial"/>
          <w:sz w:val="22"/>
          <w:szCs w:val="22"/>
        </w:rPr>
        <w:t>…………………………………………………</w:t>
      </w:r>
      <w:proofErr w:type="gramStart"/>
      <w:r w:rsidR="008F483F" w:rsidRPr="00F45B03">
        <w:rPr>
          <w:rFonts w:ascii="Arial" w:hAnsi="Arial" w:cs="Arial"/>
          <w:sz w:val="22"/>
          <w:szCs w:val="22"/>
        </w:rPr>
        <w:t>…</w:t>
      </w:r>
      <w:r w:rsidR="00794EBA" w:rsidRPr="00F45B03">
        <w:rPr>
          <w:rFonts w:ascii="Arial" w:hAnsi="Arial" w:cs="Arial"/>
          <w:sz w:val="22"/>
          <w:szCs w:val="22"/>
        </w:rPr>
        <w:t>..</w:t>
      </w:r>
      <w:proofErr w:type="gramEnd"/>
      <w:r w:rsidR="008F483F" w:rsidRPr="00F45B03">
        <w:rPr>
          <w:rFonts w:ascii="Arial" w:hAnsi="Arial" w:cs="Arial"/>
          <w:sz w:val="22"/>
          <w:szCs w:val="22"/>
        </w:rPr>
        <w:t>…</w:t>
      </w:r>
      <w:r w:rsidRPr="00F45B03">
        <w:rPr>
          <w:rFonts w:ascii="Arial" w:hAnsi="Arial" w:cs="Arial"/>
          <w:sz w:val="22"/>
          <w:szCs w:val="22"/>
        </w:rPr>
        <w:t xml:space="preserve"> </w:t>
      </w:r>
      <w:r w:rsidR="006D26C5" w:rsidRPr="00F45B03">
        <w:rPr>
          <w:rFonts w:ascii="Arial" w:hAnsi="Arial" w:cs="Arial"/>
          <w:sz w:val="22"/>
          <w:szCs w:val="22"/>
        </w:rPr>
        <w:t>……1</w:t>
      </w:r>
      <w:r w:rsidR="00936B3E">
        <w:rPr>
          <w:rFonts w:ascii="Arial" w:hAnsi="Arial" w:cs="Arial"/>
          <w:sz w:val="22"/>
          <w:szCs w:val="22"/>
        </w:rPr>
        <w:t>5</w:t>
      </w:r>
    </w:p>
    <w:p w14:paraId="55672877" w14:textId="197101F5"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1.5 Research Question</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6D26C5" w:rsidRPr="00F45B03">
        <w:rPr>
          <w:rFonts w:ascii="Arial" w:hAnsi="Arial" w:cs="Arial"/>
          <w:sz w:val="22"/>
          <w:szCs w:val="22"/>
        </w:rPr>
        <w:t>…</w:t>
      </w:r>
      <w:proofErr w:type="gramStart"/>
      <w:r w:rsidR="006D26C5" w:rsidRPr="00F45B03">
        <w:rPr>
          <w:rFonts w:ascii="Arial" w:hAnsi="Arial" w:cs="Arial"/>
          <w:sz w:val="22"/>
          <w:szCs w:val="22"/>
        </w:rPr>
        <w:t>…</w:t>
      </w:r>
      <w:r w:rsidR="008F483F" w:rsidRPr="00F45B03">
        <w:rPr>
          <w:rFonts w:ascii="Arial" w:hAnsi="Arial" w:cs="Arial"/>
          <w:sz w:val="22"/>
          <w:szCs w:val="22"/>
        </w:rPr>
        <w:t>..</w:t>
      </w:r>
      <w:proofErr w:type="gramEnd"/>
      <w:r w:rsidR="00CF2759" w:rsidRPr="00F45B03">
        <w:rPr>
          <w:rFonts w:ascii="Arial" w:hAnsi="Arial" w:cs="Arial"/>
          <w:sz w:val="22"/>
          <w:szCs w:val="22"/>
        </w:rPr>
        <w:t>1</w:t>
      </w:r>
      <w:r w:rsidR="00936B3E">
        <w:rPr>
          <w:rFonts w:ascii="Arial" w:hAnsi="Arial" w:cs="Arial"/>
          <w:sz w:val="22"/>
          <w:szCs w:val="22"/>
        </w:rPr>
        <w:t>6</w:t>
      </w:r>
    </w:p>
    <w:p w14:paraId="106DCDF5" w14:textId="7A074EEE"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1.6 Research Aim</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Pr="00F45B03">
        <w:rPr>
          <w:rFonts w:ascii="Arial" w:hAnsi="Arial" w:cs="Arial"/>
          <w:sz w:val="22"/>
          <w:szCs w:val="22"/>
        </w:rPr>
        <w:t xml:space="preserve"> </w:t>
      </w:r>
      <w:r w:rsidR="00CF2759" w:rsidRPr="00F45B03">
        <w:rPr>
          <w:rFonts w:ascii="Arial" w:hAnsi="Arial" w:cs="Arial"/>
          <w:sz w:val="22"/>
          <w:szCs w:val="22"/>
        </w:rPr>
        <w:t>1</w:t>
      </w:r>
      <w:r w:rsidR="00936B3E">
        <w:rPr>
          <w:rFonts w:ascii="Arial" w:hAnsi="Arial" w:cs="Arial"/>
          <w:sz w:val="22"/>
          <w:szCs w:val="22"/>
        </w:rPr>
        <w:t>6</w:t>
      </w:r>
    </w:p>
    <w:p w14:paraId="3CB6A7D6" w14:textId="63E563F6"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1.7 Research Objectives</w:t>
      </w:r>
      <w:r w:rsidR="008F483F" w:rsidRPr="00F45B03">
        <w:rPr>
          <w:rFonts w:ascii="Arial" w:hAnsi="Arial" w:cs="Arial"/>
          <w:sz w:val="22"/>
          <w:szCs w:val="22"/>
        </w:rPr>
        <w:t>………………………………………………………</w:t>
      </w:r>
      <w:r w:rsidR="00794EBA" w:rsidRPr="00F45B03">
        <w:rPr>
          <w:rFonts w:ascii="Arial" w:hAnsi="Arial" w:cs="Arial"/>
          <w:sz w:val="22"/>
          <w:szCs w:val="22"/>
        </w:rPr>
        <w:t>…</w:t>
      </w:r>
      <w:proofErr w:type="gramStart"/>
      <w:r w:rsidR="00794EBA" w:rsidRPr="00F45B03">
        <w:rPr>
          <w:rFonts w:ascii="Arial" w:hAnsi="Arial" w:cs="Arial"/>
          <w:sz w:val="22"/>
          <w:szCs w:val="22"/>
        </w:rPr>
        <w:t>….</w:t>
      </w:r>
      <w:r w:rsidR="008F483F" w:rsidRPr="00F45B03">
        <w:rPr>
          <w:rFonts w:ascii="Arial" w:hAnsi="Arial" w:cs="Arial"/>
          <w:sz w:val="22"/>
          <w:szCs w:val="22"/>
        </w:rPr>
        <w:t>…..</w:t>
      </w:r>
      <w:proofErr w:type="gramEnd"/>
      <w:r w:rsidR="00CF2759" w:rsidRPr="00F45B03">
        <w:rPr>
          <w:rFonts w:ascii="Arial" w:hAnsi="Arial" w:cs="Arial"/>
          <w:sz w:val="22"/>
          <w:szCs w:val="22"/>
        </w:rPr>
        <w:t>1</w:t>
      </w:r>
      <w:r w:rsidR="00493EDF">
        <w:rPr>
          <w:rFonts w:ascii="Arial" w:hAnsi="Arial" w:cs="Arial"/>
          <w:sz w:val="22"/>
          <w:szCs w:val="22"/>
        </w:rPr>
        <w:t>6</w:t>
      </w:r>
    </w:p>
    <w:p w14:paraId="644F008F" w14:textId="6A4E44F7"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1.8 Structure of the Dissertation</w:t>
      </w:r>
      <w:r w:rsidR="008F483F" w:rsidRPr="00F45B03">
        <w:rPr>
          <w:rFonts w:ascii="Arial" w:hAnsi="Arial" w:cs="Arial"/>
          <w:sz w:val="22"/>
          <w:szCs w:val="22"/>
        </w:rPr>
        <w:t>…………………………………………………</w:t>
      </w:r>
      <w:proofErr w:type="gramStart"/>
      <w:r w:rsidR="00794EBA" w:rsidRPr="00F45B03">
        <w:rPr>
          <w:rFonts w:ascii="Arial" w:hAnsi="Arial" w:cs="Arial"/>
          <w:sz w:val="22"/>
          <w:szCs w:val="22"/>
        </w:rPr>
        <w:t>…..</w:t>
      </w:r>
      <w:proofErr w:type="gramEnd"/>
      <w:r w:rsidR="008F483F" w:rsidRPr="00F45B03">
        <w:rPr>
          <w:rFonts w:ascii="Arial" w:hAnsi="Arial" w:cs="Arial"/>
          <w:sz w:val="22"/>
          <w:szCs w:val="22"/>
        </w:rPr>
        <w:t>….</w:t>
      </w:r>
      <w:r w:rsidR="00CF2759" w:rsidRPr="00F45B03">
        <w:rPr>
          <w:rFonts w:ascii="Arial" w:hAnsi="Arial" w:cs="Arial"/>
          <w:sz w:val="22"/>
          <w:szCs w:val="22"/>
        </w:rPr>
        <w:t>1</w:t>
      </w:r>
      <w:r w:rsidR="00493EDF">
        <w:rPr>
          <w:rFonts w:ascii="Arial" w:hAnsi="Arial" w:cs="Arial"/>
          <w:sz w:val="22"/>
          <w:szCs w:val="22"/>
        </w:rPr>
        <w:t>6</w:t>
      </w:r>
    </w:p>
    <w:p w14:paraId="45D55581" w14:textId="77777777" w:rsidR="008335ED" w:rsidRPr="00F45B03" w:rsidRDefault="008335ED" w:rsidP="00167E86">
      <w:pPr>
        <w:pStyle w:val="Heading2"/>
        <w:spacing w:line="360" w:lineRule="auto"/>
        <w:jc w:val="both"/>
        <w:rPr>
          <w:rFonts w:ascii="Arial" w:hAnsi="Arial" w:cs="Arial"/>
          <w:sz w:val="22"/>
          <w:szCs w:val="22"/>
        </w:rPr>
      </w:pPr>
      <w:r w:rsidRPr="00F45B03">
        <w:rPr>
          <w:rStyle w:val="Strong"/>
          <w:rFonts w:ascii="Arial" w:hAnsi="Arial" w:cs="Arial"/>
          <w:b w:val="0"/>
          <w:bCs w:val="0"/>
          <w:sz w:val="22"/>
          <w:szCs w:val="22"/>
        </w:rPr>
        <w:t>Chapter 2: Literature Review</w:t>
      </w:r>
    </w:p>
    <w:p w14:paraId="439A5D56" w14:textId="3E8328D7"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2.1 Introduction </w:t>
      </w:r>
      <w:r w:rsidR="008F483F" w:rsidRPr="00F45B03">
        <w:rPr>
          <w:rFonts w:ascii="Arial" w:hAnsi="Arial" w:cs="Arial"/>
          <w:sz w:val="22"/>
          <w:szCs w:val="22"/>
        </w:rPr>
        <w:t>…………………………………………………………………</w:t>
      </w:r>
      <w:proofErr w:type="gramStart"/>
      <w:r w:rsidR="00794EBA" w:rsidRPr="00F45B03">
        <w:rPr>
          <w:rFonts w:ascii="Arial" w:hAnsi="Arial" w:cs="Arial"/>
          <w:sz w:val="22"/>
          <w:szCs w:val="22"/>
        </w:rPr>
        <w:t>…..</w:t>
      </w:r>
      <w:proofErr w:type="gramEnd"/>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CF2759" w:rsidRPr="00F45B03">
        <w:rPr>
          <w:rFonts w:ascii="Arial" w:hAnsi="Arial" w:cs="Arial"/>
          <w:sz w:val="22"/>
          <w:szCs w:val="22"/>
        </w:rPr>
        <w:t>1</w:t>
      </w:r>
      <w:r w:rsidR="00493EDF">
        <w:rPr>
          <w:rFonts w:ascii="Arial" w:hAnsi="Arial" w:cs="Arial"/>
          <w:sz w:val="22"/>
          <w:szCs w:val="22"/>
        </w:rPr>
        <w:t>7</w:t>
      </w:r>
    </w:p>
    <w:p w14:paraId="31203EA6" w14:textId="1F57581E"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2.2 Overview of Cardiovascular Disease</w:t>
      </w:r>
      <w:r w:rsidR="008F483F" w:rsidRPr="00F45B03">
        <w:rPr>
          <w:rFonts w:ascii="Arial" w:hAnsi="Arial" w:cs="Arial"/>
          <w:sz w:val="22"/>
          <w:szCs w:val="22"/>
        </w:rPr>
        <w:t>………………………………………</w:t>
      </w:r>
      <w:proofErr w:type="gramStart"/>
      <w:r w:rsidR="008F483F" w:rsidRPr="00F45B03">
        <w:rPr>
          <w:rFonts w:ascii="Arial" w:hAnsi="Arial" w:cs="Arial"/>
          <w:sz w:val="22"/>
          <w:szCs w:val="22"/>
        </w:rPr>
        <w:t>…</w:t>
      </w:r>
      <w:r w:rsidR="00794EBA" w:rsidRPr="00F45B03">
        <w:rPr>
          <w:rFonts w:ascii="Arial" w:hAnsi="Arial" w:cs="Arial"/>
          <w:sz w:val="22"/>
          <w:szCs w:val="22"/>
        </w:rPr>
        <w:t>..</w:t>
      </w:r>
      <w:proofErr w:type="gramEnd"/>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CF2759" w:rsidRPr="00F45B03">
        <w:rPr>
          <w:rFonts w:ascii="Arial" w:hAnsi="Arial" w:cs="Arial"/>
          <w:sz w:val="22"/>
          <w:szCs w:val="22"/>
        </w:rPr>
        <w:t>1</w:t>
      </w:r>
      <w:r w:rsidR="00493EDF">
        <w:rPr>
          <w:rFonts w:ascii="Arial" w:hAnsi="Arial" w:cs="Arial"/>
          <w:sz w:val="22"/>
          <w:szCs w:val="22"/>
        </w:rPr>
        <w:t>8</w:t>
      </w:r>
    </w:p>
    <w:p w14:paraId="33B8DA45" w14:textId="41CBC03B"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2.3 Concept of Cardiac Rehabilitation</w:t>
      </w:r>
      <w:r w:rsidR="008F483F" w:rsidRPr="00F45B03">
        <w:rPr>
          <w:rFonts w:ascii="Arial" w:hAnsi="Arial" w:cs="Arial"/>
          <w:sz w:val="22"/>
          <w:szCs w:val="22"/>
        </w:rPr>
        <w:t>…………………………………………………</w:t>
      </w:r>
      <w:r w:rsidR="00CF2759" w:rsidRPr="00F45B03">
        <w:rPr>
          <w:rFonts w:ascii="Arial" w:hAnsi="Arial" w:cs="Arial"/>
          <w:sz w:val="22"/>
          <w:szCs w:val="22"/>
        </w:rPr>
        <w:t>1</w:t>
      </w:r>
      <w:r w:rsidR="008D1005">
        <w:rPr>
          <w:rFonts w:ascii="Arial" w:hAnsi="Arial" w:cs="Arial"/>
          <w:sz w:val="22"/>
          <w:szCs w:val="22"/>
        </w:rPr>
        <w:t>9</w:t>
      </w:r>
    </w:p>
    <w:p w14:paraId="1CA948C9" w14:textId="5EDA19A8"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2.4 Effectiveness of Cardiac Rehabilitation in Reducing Hospital Readmissions</w:t>
      </w:r>
      <w:r w:rsidR="008F483F" w:rsidRPr="00F45B03">
        <w:rPr>
          <w:rFonts w:ascii="Arial" w:hAnsi="Arial" w:cs="Arial"/>
          <w:sz w:val="22"/>
          <w:szCs w:val="22"/>
        </w:rPr>
        <w:t>….</w:t>
      </w:r>
      <w:r w:rsidR="008D1005">
        <w:rPr>
          <w:rFonts w:ascii="Arial" w:hAnsi="Arial" w:cs="Arial"/>
          <w:sz w:val="22"/>
          <w:szCs w:val="22"/>
        </w:rPr>
        <w:t>21</w:t>
      </w:r>
    </w:p>
    <w:p w14:paraId="0B724334" w14:textId="1919B03F"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2.5 Barriers to Cardiac Rehabilitation Participation </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C70ED0">
        <w:rPr>
          <w:rFonts w:ascii="Arial" w:hAnsi="Arial" w:cs="Arial"/>
          <w:sz w:val="22"/>
          <w:szCs w:val="22"/>
        </w:rPr>
        <w:t>2</w:t>
      </w:r>
      <w:r w:rsidR="008D1005">
        <w:rPr>
          <w:rFonts w:ascii="Arial" w:hAnsi="Arial" w:cs="Arial"/>
          <w:sz w:val="22"/>
          <w:szCs w:val="22"/>
        </w:rPr>
        <w:t>2</w:t>
      </w:r>
    </w:p>
    <w:p w14:paraId="52E9B7C0" w14:textId="78C5F184"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2.6 Ethnic Inequalities in Cardiac Rehabilitation</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Pr="00F45B03">
        <w:rPr>
          <w:rFonts w:ascii="Arial" w:hAnsi="Arial" w:cs="Arial"/>
          <w:sz w:val="22"/>
          <w:szCs w:val="22"/>
        </w:rPr>
        <w:t xml:space="preserve"> </w:t>
      </w:r>
      <w:r w:rsidR="00EF2852">
        <w:rPr>
          <w:rFonts w:ascii="Arial" w:hAnsi="Arial" w:cs="Arial"/>
          <w:sz w:val="22"/>
          <w:szCs w:val="22"/>
        </w:rPr>
        <w:t>2</w:t>
      </w:r>
      <w:r w:rsidR="008D1005">
        <w:rPr>
          <w:rFonts w:ascii="Arial" w:hAnsi="Arial" w:cs="Arial"/>
          <w:sz w:val="22"/>
          <w:szCs w:val="22"/>
        </w:rPr>
        <w:t>3</w:t>
      </w:r>
    </w:p>
    <w:p w14:paraId="545E3133" w14:textId="47CD6F33"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2.7 Socioeconomic Inequalities and CR Participation </w:t>
      </w:r>
      <w:r w:rsidR="008F483F" w:rsidRPr="00F45B03">
        <w:rPr>
          <w:rFonts w:ascii="Arial" w:hAnsi="Arial" w:cs="Arial"/>
          <w:sz w:val="22"/>
          <w:szCs w:val="22"/>
        </w:rPr>
        <w:t>…………………………………</w:t>
      </w:r>
      <w:r w:rsidR="00EF2852">
        <w:rPr>
          <w:rFonts w:ascii="Arial" w:hAnsi="Arial" w:cs="Arial"/>
          <w:sz w:val="22"/>
          <w:szCs w:val="22"/>
        </w:rPr>
        <w:t>2</w:t>
      </w:r>
      <w:r w:rsidR="00BD50FF">
        <w:rPr>
          <w:rFonts w:ascii="Arial" w:hAnsi="Arial" w:cs="Arial"/>
          <w:sz w:val="22"/>
          <w:szCs w:val="22"/>
        </w:rPr>
        <w:t>3</w:t>
      </w:r>
    </w:p>
    <w:p w14:paraId="565904AD" w14:textId="5CA75BE9"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2.8 CR Outcomes in Older Adults </w:t>
      </w:r>
      <w:r w:rsidR="008F483F" w:rsidRPr="00F45B03">
        <w:rPr>
          <w:rFonts w:ascii="Arial" w:hAnsi="Arial" w:cs="Arial"/>
          <w:sz w:val="22"/>
          <w:szCs w:val="22"/>
        </w:rPr>
        <w:t>……………………………………………</w:t>
      </w:r>
      <w:proofErr w:type="gramStart"/>
      <w:r w:rsidR="008F483F" w:rsidRPr="00F45B03">
        <w:rPr>
          <w:rFonts w:ascii="Arial" w:hAnsi="Arial" w:cs="Arial"/>
          <w:sz w:val="22"/>
          <w:szCs w:val="22"/>
        </w:rPr>
        <w:t>…</w:t>
      </w:r>
      <w:r w:rsidR="00794EBA" w:rsidRPr="00F45B03">
        <w:rPr>
          <w:rFonts w:ascii="Arial" w:hAnsi="Arial" w:cs="Arial"/>
          <w:sz w:val="22"/>
          <w:szCs w:val="22"/>
        </w:rPr>
        <w:t>..</w:t>
      </w:r>
      <w:proofErr w:type="gramEnd"/>
      <w:r w:rsidR="008F483F" w:rsidRPr="00F45B03">
        <w:rPr>
          <w:rFonts w:ascii="Arial" w:hAnsi="Arial" w:cs="Arial"/>
          <w:sz w:val="22"/>
          <w:szCs w:val="22"/>
        </w:rPr>
        <w:t>………</w:t>
      </w:r>
      <w:r w:rsidR="009D57BB">
        <w:rPr>
          <w:rFonts w:ascii="Arial" w:hAnsi="Arial" w:cs="Arial"/>
          <w:sz w:val="22"/>
          <w:szCs w:val="22"/>
        </w:rPr>
        <w:t>2</w:t>
      </w:r>
      <w:r w:rsidR="00BD50FF">
        <w:rPr>
          <w:rFonts w:ascii="Arial" w:hAnsi="Arial" w:cs="Arial"/>
          <w:sz w:val="22"/>
          <w:szCs w:val="22"/>
        </w:rPr>
        <w:t>4</w:t>
      </w:r>
    </w:p>
    <w:p w14:paraId="243E0165" w14:textId="25B01BEB"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lastRenderedPageBreak/>
        <w:t>2.9 Chapter Summary</w:t>
      </w:r>
      <w:r w:rsidR="008F483F" w:rsidRPr="00F45B03">
        <w:rPr>
          <w:rFonts w:ascii="Arial" w:hAnsi="Arial" w:cs="Arial"/>
          <w:sz w:val="22"/>
          <w:szCs w:val="22"/>
        </w:rPr>
        <w:t>…………………………………………………………………</w:t>
      </w:r>
      <w:proofErr w:type="gramStart"/>
      <w:r w:rsidR="008F483F" w:rsidRPr="00F45B03">
        <w:rPr>
          <w:rFonts w:ascii="Arial" w:hAnsi="Arial" w:cs="Arial"/>
          <w:sz w:val="22"/>
          <w:szCs w:val="22"/>
        </w:rPr>
        <w:t>…..</w:t>
      </w:r>
      <w:proofErr w:type="gramEnd"/>
      <w:r w:rsidR="000E3431" w:rsidRPr="00F45B03">
        <w:rPr>
          <w:rFonts w:ascii="Arial" w:hAnsi="Arial" w:cs="Arial"/>
          <w:sz w:val="22"/>
          <w:szCs w:val="22"/>
        </w:rPr>
        <w:t>2</w:t>
      </w:r>
      <w:r w:rsidR="00BD50FF">
        <w:rPr>
          <w:rFonts w:ascii="Arial" w:hAnsi="Arial" w:cs="Arial"/>
          <w:sz w:val="22"/>
          <w:szCs w:val="22"/>
        </w:rPr>
        <w:t>4</w:t>
      </w:r>
    </w:p>
    <w:p w14:paraId="79C836C3" w14:textId="77777777" w:rsidR="008335ED" w:rsidRPr="00F45B03" w:rsidRDefault="008335ED" w:rsidP="00167E86">
      <w:pPr>
        <w:pStyle w:val="Heading2"/>
        <w:spacing w:line="360" w:lineRule="auto"/>
        <w:jc w:val="both"/>
        <w:rPr>
          <w:rFonts w:ascii="Arial" w:hAnsi="Arial" w:cs="Arial"/>
          <w:sz w:val="22"/>
          <w:szCs w:val="22"/>
        </w:rPr>
      </w:pPr>
      <w:r w:rsidRPr="00F45B03">
        <w:rPr>
          <w:rStyle w:val="Strong"/>
          <w:rFonts w:ascii="Arial" w:hAnsi="Arial" w:cs="Arial"/>
          <w:b w:val="0"/>
          <w:bCs w:val="0"/>
          <w:sz w:val="22"/>
          <w:szCs w:val="22"/>
        </w:rPr>
        <w:t>Chapter 3: Methodology</w:t>
      </w:r>
    </w:p>
    <w:p w14:paraId="3D16D9F8" w14:textId="4709D447"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3.1 Introduction </w:t>
      </w:r>
      <w:r w:rsidR="008F483F" w:rsidRPr="00F45B03">
        <w:rPr>
          <w:rFonts w:ascii="Arial" w:hAnsi="Arial" w:cs="Arial"/>
          <w:sz w:val="22"/>
          <w:szCs w:val="22"/>
        </w:rPr>
        <w:t>…………………………………………………………</w:t>
      </w:r>
      <w:r w:rsidR="00794EBA" w:rsidRPr="00F45B03">
        <w:rPr>
          <w:rFonts w:ascii="Arial" w:hAnsi="Arial" w:cs="Arial"/>
          <w:sz w:val="22"/>
          <w:szCs w:val="22"/>
        </w:rPr>
        <w:t>……</w:t>
      </w:r>
      <w:proofErr w:type="gramStart"/>
      <w:r w:rsidR="00794EBA" w:rsidRPr="00F45B03">
        <w:rPr>
          <w:rFonts w:ascii="Arial" w:hAnsi="Arial" w:cs="Arial"/>
          <w:sz w:val="22"/>
          <w:szCs w:val="22"/>
        </w:rPr>
        <w:t>…..</w:t>
      </w:r>
      <w:proofErr w:type="gramEnd"/>
      <w:r w:rsidR="008F483F" w:rsidRPr="00F45B03">
        <w:rPr>
          <w:rFonts w:ascii="Arial" w:hAnsi="Arial" w:cs="Arial"/>
          <w:sz w:val="22"/>
          <w:szCs w:val="22"/>
        </w:rPr>
        <w:t>……….</w:t>
      </w:r>
      <w:r w:rsidR="00CF2759" w:rsidRPr="00F45B03">
        <w:rPr>
          <w:rFonts w:ascii="Arial" w:hAnsi="Arial" w:cs="Arial"/>
          <w:sz w:val="22"/>
          <w:szCs w:val="22"/>
        </w:rPr>
        <w:t>2</w:t>
      </w:r>
      <w:r w:rsidR="00BD50FF">
        <w:rPr>
          <w:rFonts w:ascii="Arial" w:hAnsi="Arial" w:cs="Arial"/>
          <w:sz w:val="22"/>
          <w:szCs w:val="22"/>
        </w:rPr>
        <w:t>6</w:t>
      </w:r>
    </w:p>
    <w:p w14:paraId="217DC255" w14:textId="12BDC3B9"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3.2 Research </w:t>
      </w:r>
      <w:r w:rsidR="00CF2759" w:rsidRPr="00F45B03">
        <w:rPr>
          <w:rFonts w:ascii="Arial" w:hAnsi="Arial" w:cs="Arial"/>
          <w:sz w:val="22"/>
          <w:szCs w:val="22"/>
        </w:rPr>
        <w:t xml:space="preserve">approach </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CF2759" w:rsidRPr="00F45B03">
        <w:rPr>
          <w:rFonts w:ascii="Arial" w:hAnsi="Arial" w:cs="Arial"/>
          <w:sz w:val="22"/>
          <w:szCs w:val="22"/>
        </w:rPr>
        <w:t>2</w:t>
      </w:r>
      <w:r w:rsidR="00BD50FF">
        <w:rPr>
          <w:rFonts w:ascii="Arial" w:hAnsi="Arial" w:cs="Arial"/>
          <w:sz w:val="22"/>
          <w:szCs w:val="22"/>
        </w:rPr>
        <w:t>7</w:t>
      </w:r>
      <w:r w:rsidRPr="00F45B03">
        <w:rPr>
          <w:rFonts w:ascii="Arial" w:hAnsi="Arial" w:cs="Arial"/>
          <w:sz w:val="22"/>
          <w:szCs w:val="22"/>
        </w:rPr>
        <w:t xml:space="preserve"> </w:t>
      </w:r>
    </w:p>
    <w:p w14:paraId="1C5CB1D2" w14:textId="2B9B188E"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3.3 </w:t>
      </w:r>
      <w:proofErr w:type="spellStart"/>
      <w:r w:rsidR="00CF2759" w:rsidRPr="00F45B03">
        <w:rPr>
          <w:rFonts w:ascii="Arial" w:hAnsi="Arial" w:cs="Arial"/>
          <w:sz w:val="22"/>
          <w:szCs w:val="22"/>
        </w:rPr>
        <w:t>re</w:t>
      </w:r>
      <w:r w:rsidRPr="00F45B03">
        <w:rPr>
          <w:rFonts w:ascii="Arial" w:hAnsi="Arial" w:cs="Arial"/>
          <w:sz w:val="22"/>
          <w:szCs w:val="22"/>
        </w:rPr>
        <w:t>Search</w:t>
      </w:r>
      <w:proofErr w:type="spellEnd"/>
      <w:r w:rsidRPr="00F45B03">
        <w:rPr>
          <w:rFonts w:ascii="Arial" w:hAnsi="Arial" w:cs="Arial"/>
          <w:sz w:val="22"/>
          <w:szCs w:val="22"/>
        </w:rPr>
        <w:t xml:space="preserve"> Strategy</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906280">
        <w:rPr>
          <w:rFonts w:ascii="Arial" w:hAnsi="Arial" w:cs="Arial"/>
          <w:sz w:val="22"/>
          <w:szCs w:val="22"/>
        </w:rPr>
        <w:t>2</w:t>
      </w:r>
      <w:r w:rsidR="000F4AD6">
        <w:rPr>
          <w:rFonts w:ascii="Arial" w:hAnsi="Arial" w:cs="Arial"/>
          <w:sz w:val="22"/>
          <w:szCs w:val="22"/>
        </w:rPr>
        <w:t>8</w:t>
      </w:r>
    </w:p>
    <w:p w14:paraId="7C9C6CFC" w14:textId="349017E0" w:rsidR="00CF2759" w:rsidRPr="00F45B03" w:rsidRDefault="008335ED" w:rsidP="00167E86">
      <w:pPr>
        <w:pStyle w:val="Heading3"/>
        <w:spacing w:line="360" w:lineRule="auto"/>
        <w:jc w:val="both"/>
        <w:rPr>
          <w:rFonts w:ascii="Arial" w:hAnsi="Arial" w:cs="Arial"/>
          <w:b w:val="0"/>
          <w:bCs w:val="0"/>
          <w:color w:val="000000" w:themeColor="text1"/>
          <w:sz w:val="22"/>
          <w:szCs w:val="22"/>
        </w:rPr>
      </w:pPr>
      <w:r w:rsidRPr="00F45B03">
        <w:rPr>
          <w:rFonts w:ascii="Arial" w:hAnsi="Arial" w:cs="Arial"/>
          <w:b w:val="0"/>
          <w:bCs w:val="0"/>
          <w:sz w:val="22"/>
          <w:szCs w:val="22"/>
        </w:rPr>
        <w:t xml:space="preserve"> 3.4</w:t>
      </w:r>
      <w:r w:rsidR="00CF2759" w:rsidRPr="00F45B03">
        <w:rPr>
          <w:rFonts w:ascii="Arial" w:hAnsi="Arial" w:cs="Arial"/>
          <w:b w:val="0"/>
          <w:bCs w:val="0"/>
          <w:color w:val="000000" w:themeColor="text1"/>
          <w:sz w:val="22"/>
          <w:szCs w:val="22"/>
        </w:rPr>
        <w:t>Research Design</w:t>
      </w:r>
      <w:r w:rsidR="008F4E30" w:rsidRPr="00F45B03">
        <w:rPr>
          <w:rFonts w:ascii="Arial" w:hAnsi="Arial" w:cs="Arial"/>
          <w:b w:val="0"/>
          <w:bCs w:val="0"/>
          <w:color w:val="000000" w:themeColor="text1"/>
          <w:sz w:val="22"/>
          <w:szCs w:val="22"/>
        </w:rPr>
        <w:t>…………………………………………………………………</w:t>
      </w:r>
      <w:r w:rsidR="00794EBA" w:rsidRPr="00F45B03">
        <w:rPr>
          <w:rFonts w:ascii="Arial" w:hAnsi="Arial" w:cs="Arial"/>
          <w:b w:val="0"/>
          <w:bCs w:val="0"/>
          <w:color w:val="000000" w:themeColor="text1"/>
          <w:sz w:val="22"/>
          <w:szCs w:val="22"/>
        </w:rPr>
        <w:t>...</w:t>
      </w:r>
      <w:proofErr w:type="gramStart"/>
      <w:r w:rsidR="008F4E30" w:rsidRPr="00F45B03">
        <w:rPr>
          <w:rFonts w:ascii="Arial" w:hAnsi="Arial" w:cs="Arial"/>
          <w:b w:val="0"/>
          <w:bCs w:val="0"/>
          <w:color w:val="000000" w:themeColor="text1"/>
          <w:sz w:val="22"/>
          <w:szCs w:val="22"/>
        </w:rPr>
        <w:t>…..</w:t>
      </w:r>
      <w:proofErr w:type="gramEnd"/>
      <w:r w:rsidR="008F4E30" w:rsidRPr="00F45B03">
        <w:rPr>
          <w:rFonts w:ascii="Arial" w:hAnsi="Arial" w:cs="Arial"/>
          <w:b w:val="0"/>
          <w:bCs w:val="0"/>
          <w:color w:val="000000" w:themeColor="text1"/>
          <w:sz w:val="22"/>
          <w:szCs w:val="22"/>
        </w:rPr>
        <w:t>2</w:t>
      </w:r>
      <w:r w:rsidR="000F4AD6">
        <w:rPr>
          <w:rFonts w:ascii="Arial" w:hAnsi="Arial" w:cs="Arial"/>
          <w:b w:val="0"/>
          <w:bCs w:val="0"/>
          <w:color w:val="000000" w:themeColor="text1"/>
          <w:sz w:val="22"/>
          <w:szCs w:val="22"/>
        </w:rPr>
        <w:t>9</w:t>
      </w:r>
    </w:p>
    <w:p w14:paraId="41B2BB7B" w14:textId="3C2C6985" w:rsidR="008F4E30" w:rsidRPr="00F45B03" w:rsidRDefault="008F4E30" w:rsidP="00167E86">
      <w:pPr>
        <w:pStyle w:val="Heading3"/>
        <w:spacing w:line="360" w:lineRule="auto"/>
        <w:jc w:val="both"/>
        <w:rPr>
          <w:rFonts w:ascii="Arial" w:hAnsi="Arial" w:cs="Arial"/>
          <w:b w:val="0"/>
          <w:bCs w:val="0"/>
          <w:color w:val="000000" w:themeColor="text1"/>
          <w:sz w:val="22"/>
          <w:szCs w:val="22"/>
        </w:rPr>
      </w:pPr>
      <w:r w:rsidRPr="00F45B03">
        <w:rPr>
          <w:rFonts w:ascii="Arial" w:hAnsi="Arial" w:cs="Arial"/>
          <w:b w:val="0"/>
          <w:bCs w:val="0"/>
          <w:color w:val="000000" w:themeColor="text1"/>
          <w:sz w:val="22"/>
          <w:szCs w:val="22"/>
        </w:rPr>
        <w:t>3.5:</w:t>
      </w:r>
      <w:r w:rsidRPr="00F45B03">
        <w:rPr>
          <w:rFonts w:ascii="Arial" w:hAnsi="Arial" w:cs="Arial"/>
          <w:color w:val="000000" w:themeColor="text1"/>
          <w:sz w:val="22"/>
          <w:szCs w:val="22"/>
        </w:rPr>
        <w:t xml:space="preserve"> </w:t>
      </w:r>
      <w:r w:rsidRPr="00F45B03">
        <w:rPr>
          <w:rFonts w:ascii="Arial" w:hAnsi="Arial" w:cs="Arial"/>
          <w:b w:val="0"/>
          <w:bCs w:val="0"/>
          <w:color w:val="000000" w:themeColor="text1"/>
          <w:sz w:val="22"/>
          <w:szCs w:val="22"/>
        </w:rPr>
        <w:t>Search Strategy……………………………………………………………………….</w:t>
      </w:r>
      <w:r w:rsidR="000F4AD6">
        <w:rPr>
          <w:rFonts w:ascii="Arial" w:hAnsi="Arial" w:cs="Arial"/>
          <w:b w:val="0"/>
          <w:bCs w:val="0"/>
          <w:color w:val="000000" w:themeColor="text1"/>
          <w:sz w:val="22"/>
          <w:szCs w:val="22"/>
        </w:rPr>
        <w:t>31</w:t>
      </w:r>
    </w:p>
    <w:p w14:paraId="175BADB3" w14:textId="0B712549"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w:t>
      </w:r>
      <w:r w:rsidR="008F4E30" w:rsidRPr="00F45B03">
        <w:rPr>
          <w:rFonts w:ascii="Arial" w:hAnsi="Arial" w:cs="Arial"/>
          <w:sz w:val="22"/>
          <w:szCs w:val="22"/>
        </w:rPr>
        <w:t>3.6</w:t>
      </w:r>
      <w:r w:rsidRPr="00F45B03">
        <w:rPr>
          <w:rFonts w:ascii="Arial" w:hAnsi="Arial" w:cs="Arial"/>
          <w:sz w:val="22"/>
          <w:szCs w:val="22"/>
        </w:rPr>
        <w:t xml:space="preserve">Inclusion and Exclusion Criteria </w:t>
      </w:r>
      <w:r w:rsidR="008F483F" w:rsidRPr="00F45B03">
        <w:rPr>
          <w:rFonts w:ascii="Arial" w:hAnsi="Arial" w:cs="Arial"/>
          <w:sz w:val="22"/>
          <w:szCs w:val="22"/>
        </w:rPr>
        <w:t>………………………………………………</w:t>
      </w:r>
      <w:r w:rsidR="00794EBA" w:rsidRPr="00F45B03">
        <w:rPr>
          <w:rFonts w:ascii="Arial" w:hAnsi="Arial" w:cs="Arial"/>
          <w:sz w:val="22"/>
          <w:szCs w:val="22"/>
        </w:rPr>
        <w:t>...</w:t>
      </w:r>
      <w:proofErr w:type="gramStart"/>
      <w:r w:rsidR="008F483F" w:rsidRPr="00F45B03">
        <w:rPr>
          <w:rFonts w:ascii="Arial" w:hAnsi="Arial" w:cs="Arial"/>
          <w:sz w:val="22"/>
          <w:szCs w:val="22"/>
        </w:rPr>
        <w:t>…</w:t>
      </w:r>
      <w:r w:rsidR="00E778B1" w:rsidRPr="00F45B03">
        <w:rPr>
          <w:rFonts w:ascii="Arial" w:hAnsi="Arial" w:cs="Arial"/>
          <w:sz w:val="22"/>
          <w:szCs w:val="22"/>
        </w:rPr>
        <w:t>..</w:t>
      </w:r>
      <w:proofErr w:type="gramEnd"/>
      <w:r w:rsidR="009C625B">
        <w:rPr>
          <w:rFonts w:ascii="Arial" w:hAnsi="Arial" w:cs="Arial"/>
          <w:sz w:val="22"/>
          <w:szCs w:val="22"/>
        </w:rPr>
        <w:t>3</w:t>
      </w:r>
      <w:r w:rsidR="000F4AD6">
        <w:rPr>
          <w:rFonts w:ascii="Arial" w:hAnsi="Arial" w:cs="Arial"/>
          <w:sz w:val="22"/>
          <w:szCs w:val="22"/>
        </w:rPr>
        <w:t>4</w:t>
      </w:r>
    </w:p>
    <w:p w14:paraId="6F4D26F2" w14:textId="55CC9E54"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3.</w:t>
      </w:r>
      <w:r w:rsidR="008F4E30" w:rsidRPr="00F45B03">
        <w:rPr>
          <w:rFonts w:ascii="Arial" w:hAnsi="Arial" w:cs="Arial"/>
          <w:sz w:val="22"/>
          <w:szCs w:val="22"/>
        </w:rPr>
        <w:t xml:space="preserve">7 </w:t>
      </w:r>
      <w:r w:rsidRPr="00F45B03">
        <w:rPr>
          <w:rFonts w:ascii="Arial" w:hAnsi="Arial" w:cs="Arial"/>
          <w:sz w:val="22"/>
          <w:szCs w:val="22"/>
        </w:rPr>
        <w:t>Quality Appraisal (CASP)</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E778B1" w:rsidRPr="00F45B03">
        <w:rPr>
          <w:rFonts w:ascii="Arial" w:hAnsi="Arial" w:cs="Arial"/>
          <w:sz w:val="22"/>
          <w:szCs w:val="22"/>
        </w:rPr>
        <w:t>3</w:t>
      </w:r>
      <w:r w:rsidR="000F4AD6">
        <w:rPr>
          <w:rFonts w:ascii="Arial" w:hAnsi="Arial" w:cs="Arial"/>
          <w:sz w:val="22"/>
          <w:szCs w:val="22"/>
        </w:rPr>
        <w:t>9</w:t>
      </w:r>
    </w:p>
    <w:p w14:paraId="10E9C417" w14:textId="293CC5AB" w:rsidR="008335ED" w:rsidRPr="00F45B03" w:rsidRDefault="008335ED" w:rsidP="00167E86">
      <w:pPr>
        <w:pStyle w:val="NormalWeb"/>
        <w:spacing w:line="360" w:lineRule="auto"/>
        <w:jc w:val="both"/>
        <w:rPr>
          <w:rFonts w:ascii="Arial" w:hAnsi="Arial" w:cs="Arial"/>
          <w:sz w:val="22"/>
          <w:szCs w:val="22"/>
        </w:rPr>
      </w:pPr>
    </w:p>
    <w:p w14:paraId="73145389" w14:textId="77777777" w:rsidR="008335ED" w:rsidRPr="00F45B03" w:rsidRDefault="008335ED" w:rsidP="00167E86">
      <w:pPr>
        <w:pStyle w:val="Heading2"/>
        <w:spacing w:line="360" w:lineRule="auto"/>
        <w:jc w:val="both"/>
        <w:rPr>
          <w:rFonts w:ascii="Arial" w:hAnsi="Arial" w:cs="Arial"/>
          <w:sz w:val="22"/>
          <w:szCs w:val="22"/>
        </w:rPr>
      </w:pPr>
      <w:r w:rsidRPr="00F45B03">
        <w:rPr>
          <w:rStyle w:val="Strong"/>
          <w:rFonts w:ascii="Arial" w:hAnsi="Arial" w:cs="Arial"/>
          <w:b w:val="0"/>
          <w:bCs w:val="0"/>
          <w:sz w:val="22"/>
          <w:szCs w:val="22"/>
        </w:rPr>
        <w:t>Chapter 4: Findings</w:t>
      </w:r>
    </w:p>
    <w:p w14:paraId="353CE5EA" w14:textId="45609338"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4.1 Introduction</w:t>
      </w:r>
      <w:r w:rsidR="008F483F" w:rsidRPr="00F45B03">
        <w:rPr>
          <w:rFonts w:ascii="Arial" w:hAnsi="Arial" w:cs="Arial"/>
          <w:sz w:val="22"/>
          <w:szCs w:val="22"/>
        </w:rPr>
        <w:t>…………………………………………………………………</w:t>
      </w:r>
      <w:r w:rsidR="00794EBA" w:rsidRPr="00F45B03">
        <w:rPr>
          <w:rFonts w:ascii="Arial" w:hAnsi="Arial" w:cs="Arial"/>
          <w:sz w:val="22"/>
          <w:szCs w:val="22"/>
        </w:rPr>
        <w:t>…</w:t>
      </w:r>
      <w:proofErr w:type="gramStart"/>
      <w:r w:rsidR="00794EBA" w:rsidRPr="00F45B03">
        <w:rPr>
          <w:rFonts w:ascii="Arial" w:hAnsi="Arial" w:cs="Arial"/>
          <w:sz w:val="22"/>
          <w:szCs w:val="22"/>
        </w:rPr>
        <w:t>…..</w:t>
      </w:r>
      <w:proofErr w:type="gramEnd"/>
      <w:r w:rsidR="008F483F" w:rsidRPr="00F45B03">
        <w:rPr>
          <w:rFonts w:ascii="Arial" w:hAnsi="Arial" w:cs="Arial"/>
          <w:sz w:val="22"/>
          <w:szCs w:val="22"/>
        </w:rPr>
        <w:t>….</w:t>
      </w:r>
      <w:r w:rsidRPr="00F45B03">
        <w:rPr>
          <w:rFonts w:ascii="Arial" w:hAnsi="Arial" w:cs="Arial"/>
          <w:sz w:val="22"/>
          <w:szCs w:val="22"/>
        </w:rPr>
        <w:t xml:space="preserve"> </w:t>
      </w:r>
      <w:r w:rsidR="00577D37">
        <w:rPr>
          <w:rFonts w:ascii="Arial" w:hAnsi="Arial" w:cs="Arial"/>
          <w:sz w:val="22"/>
          <w:szCs w:val="22"/>
        </w:rPr>
        <w:t>4</w:t>
      </w:r>
      <w:r w:rsidR="00AB363A">
        <w:rPr>
          <w:rFonts w:ascii="Arial" w:hAnsi="Arial" w:cs="Arial"/>
          <w:sz w:val="22"/>
          <w:szCs w:val="22"/>
        </w:rPr>
        <w:t>5</w:t>
      </w:r>
    </w:p>
    <w:p w14:paraId="32AB629A" w14:textId="3114A6A9"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4.2 </w:t>
      </w:r>
      <w:r w:rsidR="008F4E30" w:rsidRPr="00F45B03">
        <w:rPr>
          <w:rFonts w:ascii="Arial" w:hAnsi="Arial" w:cs="Arial"/>
          <w:color w:val="000000" w:themeColor="text1"/>
          <w:sz w:val="22"/>
          <w:szCs w:val="22"/>
          <w:lang w:val="en-GB"/>
        </w:rPr>
        <w:t>Overview of Included Studies</w:t>
      </w:r>
      <w:r w:rsidRPr="00F45B03">
        <w:rPr>
          <w:rFonts w:ascii="Arial" w:hAnsi="Arial" w:cs="Arial"/>
          <w:sz w:val="22"/>
          <w:szCs w:val="22"/>
        </w:rPr>
        <w:t xml:space="preserve"> </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577D37">
        <w:rPr>
          <w:rFonts w:ascii="Arial" w:hAnsi="Arial" w:cs="Arial"/>
          <w:sz w:val="22"/>
          <w:szCs w:val="22"/>
        </w:rPr>
        <w:t>4</w:t>
      </w:r>
      <w:r w:rsidR="00AB363A">
        <w:rPr>
          <w:rFonts w:ascii="Arial" w:hAnsi="Arial" w:cs="Arial"/>
          <w:sz w:val="22"/>
          <w:szCs w:val="22"/>
        </w:rPr>
        <w:t>5</w:t>
      </w:r>
    </w:p>
    <w:p w14:paraId="3B3BB116" w14:textId="249735C6"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4.3 Impact of CR on Hospital Readmissions</w:t>
      </w:r>
      <w:r w:rsidR="008F483F" w:rsidRPr="00F45B03">
        <w:rPr>
          <w:rFonts w:ascii="Arial" w:hAnsi="Arial" w:cs="Arial"/>
          <w:sz w:val="22"/>
          <w:szCs w:val="22"/>
        </w:rPr>
        <w:t>……………………………………</w:t>
      </w:r>
      <w:proofErr w:type="gramStart"/>
      <w:r w:rsidR="00794EBA" w:rsidRPr="00F45B03">
        <w:rPr>
          <w:rFonts w:ascii="Arial" w:hAnsi="Arial" w:cs="Arial"/>
          <w:sz w:val="22"/>
          <w:szCs w:val="22"/>
        </w:rPr>
        <w:t>…..</w:t>
      </w:r>
      <w:proofErr w:type="gramEnd"/>
      <w:r w:rsidR="008F483F" w:rsidRPr="00F45B03">
        <w:rPr>
          <w:rFonts w:ascii="Arial" w:hAnsi="Arial" w:cs="Arial"/>
          <w:sz w:val="22"/>
          <w:szCs w:val="22"/>
        </w:rPr>
        <w:t>…</w:t>
      </w:r>
      <w:r w:rsidR="00577D37">
        <w:rPr>
          <w:rFonts w:ascii="Arial" w:hAnsi="Arial" w:cs="Arial"/>
          <w:sz w:val="22"/>
          <w:szCs w:val="22"/>
        </w:rPr>
        <w:t>4</w:t>
      </w:r>
      <w:r w:rsidR="00AB363A">
        <w:rPr>
          <w:rFonts w:ascii="Arial" w:hAnsi="Arial" w:cs="Arial"/>
          <w:sz w:val="22"/>
          <w:szCs w:val="22"/>
        </w:rPr>
        <w:t>7</w:t>
      </w:r>
      <w:r w:rsidR="008F483F" w:rsidRPr="00F45B03">
        <w:rPr>
          <w:rFonts w:ascii="Arial" w:hAnsi="Arial" w:cs="Arial"/>
          <w:sz w:val="22"/>
          <w:szCs w:val="22"/>
        </w:rPr>
        <w:t>.</w:t>
      </w:r>
    </w:p>
    <w:p w14:paraId="791B9B26" w14:textId="57116F38"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4.4 Ethnic Inequalities in CR Participation and Outcomes</w:t>
      </w:r>
      <w:r w:rsidR="008F483F" w:rsidRPr="00F45B03">
        <w:rPr>
          <w:rFonts w:ascii="Arial" w:hAnsi="Arial" w:cs="Arial"/>
          <w:sz w:val="22"/>
          <w:szCs w:val="22"/>
        </w:rPr>
        <w:t>………………………….</w:t>
      </w:r>
      <w:r w:rsidRPr="00F45B03">
        <w:rPr>
          <w:rFonts w:ascii="Arial" w:hAnsi="Arial" w:cs="Arial"/>
          <w:sz w:val="22"/>
          <w:szCs w:val="22"/>
        </w:rPr>
        <w:t xml:space="preserve"> </w:t>
      </w:r>
      <w:r w:rsidR="00577D37">
        <w:rPr>
          <w:rFonts w:ascii="Arial" w:hAnsi="Arial" w:cs="Arial"/>
          <w:sz w:val="22"/>
          <w:szCs w:val="22"/>
        </w:rPr>
        <w:t>4</w:t>
      </w:r>
      <w:r w:rsidR="00AB363A">
        <w:rPr>
          <w:rFonts w:ascii="Arial" w:hAnsi="Arial" w:cs="Arial"/>
          <w:sz w:val="22"/>
          <w:szCs w:val="22"/>
        </w:rPr>
        <w:t>8</w:t>
      </w:r>
    </w:p>
    <w:p w14:paraId="5500743B" w14:textId="037C5E3B"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4.5 Socioeconomic Inequalities in CR Participation and Outcomes</w:t>
      </w:r>
      <w:r w:rsidR="008F483F" w:rsidRPr="00F45B03">
        <w:rPr>
          <w:rFonts w:ascii="Arial" w:hAnsi="Arial" w:cs="Arial"/>
          <w:sz w:val="22"/>
          <w:szCs w:val="22"/>
        </w:rPr>
        <w:t>…………</w:t>
      </w:r>
      <w:r w:rsidR="00794EBA" w:rsidRPr="00F45B03">
        <w:rPr>
          <w:rFonts w:ascii="Arial" w:hAnsi="Arial" w:cs="Arial"/>
          <w:sz w:val="22"/>
          <w:szCs w:val="22"/>
        </w:rPr>
        <w:t>….</w:t>
      </w:r>
      <w:r w:rsidR="008F4E30" w:rsidRPr="00F45B03">
        <w:rPr>
          <w:rFonts w:ascii="Arial" w:hAnsi="Arial" w:cs="Arial"/>
          <w:sz w:val="22"/>
          <w:szCs w:val="22"/>
        </w:rPr>
        <w:t>…...</w:t>
      </w:r>
      <w:r w:rsidR="00195950" w:rsidRPr="00F45B03">
        <w:rPr>
          <w:rFonts w:ascii="Arial" w:hAnsi="Arial" w:cs="Arial"/>
          <w:sz w:val="22"/>
          <w:szCs w:val="22"/>
        </w:rPr>
        <w:t>4</w:t>
      </w:r>
      <w:r w:rsidR="00AB363A">
        <w:rPr>
          <w:rFonts w:ascii="Arial" w:hAnsi="Arial" w:cs="Arial"/>
          <w:sz w:val="22"/>
          <w:szCs w:val="22"/>
        </w:rPr>
        <w:t>8</w:t>
      </w:r>
    </w:p>
    <w:p w14:paraId="4A20C5E2" w14:textId="3C9AC3AC"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4.6 Barriers and Facilitators to CR Participation</w:t>
      </w:r>
      <w:r w:rsidR="008F483F" w:rsidRPr="00F45B03">
        <w:rPr>
          <w:rFonts w:ascii="Arial" w:hAnsi="Arial" w:cs="Arial"/>
          <w:sz w:val="22"/>
          <w:szCs w:val="22"/>
        </w:rPr>
        <w:t>……………………………</w:t>
      </w:r>
      <w:r w:rsidR="00794EBA" w:rsidRPr="00F45B03">
        <w:rPr>
          <w:rFonts w:ascii="Arial" w:hAnsi="Arial" w:cs="Arial"/>
          <w:sz w:val="22"/>
          <w:szCs w:val="22"/>
        </w:rPr>
        <w:t>……...</w:t>
      </w:r>
      <w:proofErr w:type="gramStart"/>
      <w:r w:rsidR="008F483F" w:rsidRPr="00F45B03">
        <w:rPr>
          <w:rFonts w:ascii="Arial" w:hAnsi="Arial" w:cs="Arial"/>
          <w:sz w:val="22"/>
          <w:szCs w:val="22"/>
        </w:rPr>
        <w:t>….</w:t>
      </w:r>
      <w:r w:rsidR="00195950" w:rsidRPr="00F45B03">
        <w:rPr>
          <w:rFonts w:ascii="Arial" w:hAnsi="Arial" w:cs="Arial"/>
          <w:sz w:val="22"/>
          <w:szCs w:val="22"/>
        </w:rPr>
        <w:t>.</w:t>
      </w:r>
      <w:proofErr w:type="gramEnd"/>
      <w:r w:rsidR="00195950" w:rsidRPr="00F45B03">
        <w:rPr>
          <w:rFonts w:ascii="Arial" w:hAnsi="Arial" w:cs="Arial"/>
          <w:sz w:val="22"/>
          <w:szCs w:val="22"/>
        </w:rPr>
        <w:t>4</w:t>
      </w:r>
      <w:r w:rsidR="009467EF">
        <w:rPr>
          <w:rFonts w:ascii="Arial" w:hAnsi="Arial" w:cs="Arial"/>
          <w:sz w:val="22"/>
          <w:szCs w:val="22"/>
        </w:rPr>
        <w:t>9</w:t>
      </w:r>
    </w:p>
    <w:p w14:paraId="7F85CA7A" w14:textId="05967C98" w:rsidR="008F4E30"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4.7</w:t>
      </w:r>
      <w:r w:rsidR="008F4E30" w:rsidRPr="00F45B03">
        <w:rPr>
          <w:rFonts w:ascii="Arial" w:hAnsi="Arial" w:cs="Arial"/>
          <w:sz w:val="22"/>
          <w:szCs w:val="22"/>
        </w:rPr>
        <w:t xml:space="preserve"> </w:t>
      </w:r>
      <w:r w:rsidR="008F4E30" w:rsidRPr="00F45B03">
        <w:rPr>
          <w:rFonts w:ascii="Arial" w:hAnsi="Arial" w:cs="Arial"/>
          <w:color w:val="000000" w:themeColor="text1"/>
          <w:sz w:val="22"/>
          <w:szCs w:val="22"/>
          <w:lang w:val="en-GB"/>
        </w:rPr>
        <w:t xml:space="preserve">CR Outcomes in Older Adults (55+ in </w:t>
      </w:r>
      <w:proofErr w:type="gramStart"/>
      <w:r w:rsidR="008F4E30" w:rsidRPr="00F45B03">
        <w:rPr>
          <w:rFonts w:ascii="Arial" w:hAnsi="Arial" w:cs="Arial"/>
          <w:color w:val="000000" w:themeColor="text1"/>
          <w:sz w:val="22"/>
          <w:szCs w:val="22"/>
          <w:lang w:val="en-GB"/>
        </w:rPr>
        <w:t>England)…</w:t>
      </w:r>
      <w:proofErr w:type="gramEnd"/>
      <w:r w:rsidR="008F4E30" w:rsidRPr="00F45B03">
        <w:rPr>
          <w:rFonts w:ascii="Arial" w:hAnsi="Arial" w:cs="Arial"/>
          <w:color w:val="000000" w:themeColor="text1"/>
          <w:sz w:val="22"/>
          <w:szCs w:val="22"/>
          <w:lang w:val="en-GB"/>
        </w:rPr>
        <w:t>…………………………</w:t>
      </w:r>
      <w:r w:rsidR="00794EBA" w:rsidRPr="00F45B03">
        <w:rPr>
          <w:rFonts w:ascii="Arial" w:hAnsi="Arial" w:cs="Arial"/>
          <w:color w:val="000000" w:themeColor="text1"/>
          <w:sz w:val="22"/>
          <w:szCs w:val="22"/>
          <w:lang w:val="en-GB"/>
        </w:rPr>
        <w:t>……</w:t>
      </w:r>
      <w:r w:rsidR="008F4E30" w:rsidRPr="00F45B03">
        <w:rPr>
          <w:rFonts w:ascii="Arial" w:hAnsi="Arial" w:cs="Arial"/>
          <w:color w:val="000000" w:themeColor="text1"/>
          <w:sz w:val="22"/>
          <w:szCs w:val="22"/>
          <w:lang w:val="en-GB"/>
        </w:rPr>
        <w:t>..</w:t>
      </w:r>
      <w:r w:rsidR="009467EF">
        <w:rPr>
          <w:rFonts w:ascii="Arial" w:hAnsi="Arial" w:cs="Arial"/>
          <w:color w:val="000000" w:themeColor="text1"/>
          <w:sz w:val="22"/>
          <w:szCs w:val="22"/>
          <w:lang w:val="en-GB"/>
        </w:rPr>
        <w:t>50</w:t>
      </w:r>
    </w:p>
    <w:p w14:paraId="6DD59CE9" w14:textId="0E5B8E9B"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w:t>
      </w:r>
      <w:r w:rsidR="008F4E30" w:rsidRPr="00F45B03">
        <w:rPr>
          <w:rFonts w:ascii="Arial" w:hAnsi="Arial" w:cs="Arial"/>
          <w:sz w:val="22"/>
          <w:szCs w:val="22"/>
        </w:rPr>
        <w:t>4.8</w:t>
      </w:r>
      <w:r w:rsidRPr="00F45B03">
        <w:rPr>
          <w:rFonts w:ascii="Arial" w:hAnsi="Arial" w:cs="Arial"/>
          <w:sz w:val="22"/>
          <w:szCs w:val="22"/>
        </w:rPr>
        <w:t>Chapter Summary</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9467EF">
        <w:rPr>
          <w:rFonts w:ascii="Arial" w:hAnsi="Arial" w:cs="Arial"/>
          <w:sz w:val="22"/>
          <w:szCs w:val="22"/>
        </w:rPr>
        <w:t>51</w:t>
      </w:r>
    </w:p>
    <w:p w14:paraId="36F19772" w14:textId="77777777" w:rsidR="008335ED" w:rsidRPr="00F45B03" w:rsidRDefault="008335ED" w:rsidP="00167E86">
      <w:pPr>
        <w:pStyle w:val="Heading2"/>
        <w:spacing w:line="360" w:lineRule="auto"/>
        <w:jc w:val="both"/>
        <w:rPr>
          <w:rFonts w:ascii="Arial" w:hAnsi="Arial" w:cs="Arial"/>
          <w:sz w:val="22"/>
          <w:szCs w:val="22"/>
        </w:rPr>
      </w:pPr>
      <w:r w:rsidRPr="00F45B03">
        <w:rPr>
          <w:rStyle w:val="Strong"/>
          <w:rFonts w:ascii="Arial" w:hAnsi="Arial" w:cs="Arial"/>
          <w:b w:val="0"/>
          <w:bCs w:val="0"/>
          <w:sz w:val="22"/>
          <w:szCs w:val="22"/>
        </w:rPr>
        <w:t>Chapter 5: Discussion</w:t>
      </w:r>
    </w:p>
    <w:p w14:paraId="4D61D5FC" w14:textId="1491DE13"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5.1 Introduction </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proofErr w:type="gramStart"/>
      <w:r w:rsidR="008F483F" w:rsidRPr="00F45B03">
        <w:rPr>
          <w:rFonts w:ascii="Arial" w:hAnsi="Arial" w:cs="Arial"/>
          <w:sz w:val="22"/>
          <w:szCs w:val="22"/>
        </w:rPr>
        <w:t>…..</w:t>
      </w:r>
      <w:proofErr w:type="gramEnd"/>
      <w:r w:rsidR="0038424C">
        <w:rPr>
          <w:rFonts w:ascii="Arial" w:hAnsi="Arial" w:cs="Arial"/>
          <w:sz w:val="22"/>
          <w:szCs w:val="22"/>
        </w:rPr>
        <w:t>5</w:t>
      </w:r>
      <w:r w:rsidR="00D912F8">
        <w:rPr>
          <w:rFonts w:ascii="Arial" w:hAnsi="Arial" w:cs="Arial"/>
          <w:sz w:val="22"/>
          <w:szCs w:val="22"/>
        </w:rPr>
        <w:t>5</w:t>
      </w:r>
    </w:p>
    <w:p w14:paraId="690E746A" w14:textId="723F3594" w:rsidR="008335ED" w:rsidRPr="00F45B03" w:rsidRDefault="00F750C1"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lastRenderedPageBreak/>
        <w:t>5.2 Effectiveness of Cardiac Rehabilitation in Reducing Hospital Readmissio</w:t>
      </w:r>
      <w:r w:rsidR="00794EBA" w:rsidRPr="00F45B03">
        <w:rPr>
          <w:rFonts w:ascii="Arial" w:hAnsi="Arial" w:cs="Arial"/>
          <w:color w:val="000000" w:themeColor="text1"/>
          <w:sz w:val="22"/>
          <w:szCs w:val="22"/>
          <w:lang w:val="en-GB"/>
        </w:rPr>
        <w:t>n…</w:t>
      </w:r>
      <w:proofErr w:type="gramStart"/>
      <w:r w:rsidR="00794EBA" w:rsidRPr="00F45B03">
        <w:rPr>
          <w:rFonts w:ascii="Arial" w:hAnsi="Arial" w:cs="Arial"/>
          <w:color w:val="000000" w:themeColor="text1"/>
          <w:sz w:val="22"/>
          <w:szCs w:val="22"/>
          <w:lang w:val="en-GB"/>
        </w:rPr>
        <w:t>…..</w:t>
      </w:r>
      <w:proofErr w:type="gramEnd"/>
      <w:r w:rsidR="004511FA">
        <w:rPr>
          <w:rFonts w:ascii="Arial" w:hAnsi="Arial" w:cs="Arial"/>
          <w:color w:val="000000" w:themeColor="text1"/>
          <w:sz w:val="22"/>
          <w:szCs w:val="22"/>
          <w:lang w:val="en-GB"/>
        </w:rPr>
        <w:t>5</w:t>
      </w:r>
      <w:r w:rsidR="00D912F8">
        <w:rPr>
          <w:rFonts w:ascii="Arial" w:hAnsi="Arial" w:cs="Arial"/>
          <w:color w:val="000000" w:themeColor="text1"/>
          <w:sz w:val="22"/>
          <w:szCs w:val="22"/>
          <w:lang w:val="en-GB"/>
        </w:rPr>
        <w:t>5</w:t>
      </w:r>
    </w:p>
    <w:p w14:paraId="726BA312" w14:textId="0CDA2EDD" w:rsidR="008335ED" w:rsidRPr="00F45B03" w:rsidRDefault="008335ED"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sz w:val="22"/>
          <w:szCs w:val="22"/>
        </w:rPr>
        <w:t xml:space="preserve"> </w:t>
      </w:r>
      <w:r w:rsidR="00F750C1" w:rsidRPr="00F45B03">
        <w:rPr>
          <w:rFonts w:ascii="Arial" w:hAnsi="Arial" w:cs="Arial"/>
          <w:color w:val="000000" w:themeColor="text1"/>
          <w:sz w:val="22"/>
          <w:szCs w:val="22"/>
          <w:lang w:val="en-GB"/>
        </w:rPr>
        <w:t>5.3 Ethnic Inequalities in CR Participation and Outcomes……………</w:t>
      </w:r>
      <w:r w:rsidR="00794EBA" w:rsidRPr="00F45B03">
        <w:rPr>
          <w:rFonts w:ascii="Arial" w:hAnsi="Arial" w:cs="Arial"/>
          <w:color w:val="000000" w:themeColor="text1"/>
          <w:sz w:val="22"/>
          <w:szCs w:val="22"/>
          <w:lang w:val="en-GB"/>
        </w:rPr>
        <w:t>…………</w:t>
      </w:r>
      <w:proofErr w:type="gramStart"/>
      <w:r w:rsidR="00794EBA" w:rsidRPr="00F45B03">
        <w:rPr>
          <w:rFonts w:ascii="Arial" w:hAnsi="Arial" w:cs="Arial"/>
          <w:color w:val="000000" w:themeColor="text1"/>
          <w:sz w:val="22"/>
          <w:szCs w:val="22"/>
          <w:lang w:val="en-GB"/>
        </w:rPr>
        <w:t>…..</w:t>
      </w:r>
      <w:proofErr w:type="gramEnd"/>
      <w:r w:rsidR="004511FA">
        <w:rPr>
          <w:rFonts w:ascii="Arial" w:hAnsi="Arial" w:cs="Arial"/>
          <w:color w:val="000000" w:themeColor="text1"/>
          <w:sz w:val="22"/>
          <w:szCs w:val="22"/>
          <w:lang w:val="en-GB"/>
        </w:rPr>
        <w:t>5</w:t>
      </w:r>
      <w:r w:rsidR="00D912F8">
        <w:rPr>
          <w:rFonts w:ascii="Arial" w:hAnsi="Arial" w:cs="Arial"/>
          <w:color w:val="000000" w:themeColor="text1"/>
          <w:sz w:val="22"/>
          <w:szCs w:val="22"/>
          <w:lang w:val="en-GB"/>
        </w:rPr>
        <w:t>6</w:t>
      </w:r>
    </w:p>
    <w:p w14:paraId="2D992190" w14:textId="7CD25DAA"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5.4 </w:t>
      </w:r>
      <w:r w:rsidR="00F750C1" w:rsidRPr="00F45B03">
        <w:rPr>
          <w:rFonts w:ascii="Arial" w:hAnsi="Arial" w:cs="Arial"/>
          <w:color w:val="000000" w:themeColor="text1"/>
          <w:sz w:val="22"/>
          <w:szCs w:val="22"/>
          <w:lang w:val="en-GB"/>
        </w:rPr>
        <w:t>Socioeconomic Inequalities and CR Effectiveness</w:t>
      </w:r>
      <w:r w:rsidR="008F483F" w:rsidRPr="00F45B03">
        <w:rPr>
          <w:rFonts w:ascii="Arial" w:hAnsi="Arial" w:cs="Arial"/>
          <w:sz w:val="22"/>
          <w:szCs w:val="22"/>
        </w:rPr>
        <w:t>……………………</w:t>
      </w:r>
      <w:r w:rsidR="00794EBA" w:rsidRPr="00F45B03">
        <w:rPr>
          <w:rFonts w:ascii="Arial" w:hAnsi="Arial" w:cs="Arial"/>
          <w:sz w:val="22"/>
          <w:szCs w:val="22"/>
        </w:rPr>
        <w:t>………</w:t>
      </w:r>
      <w:r w:rsidR="00A52821">
        <w:rPr>
          <w:rFonts w:ascii="Arial" w:hAnsi="Arial" w:cs="Arial"/>
          <w:sz w:val="22"/>
          <w:szCs w:val="22"/>
        </w:rPr>
        <w:t>…</w:t>
      </w:r>
      <w:r w:rsidR="004511FA">
        <w:rPr>
          <w:rFonts w:ascii="Arial" w:hAnsi="Arial" w:cs="Arial"/>
          <w:sz w:val="22"/>
          <w:szCs w:val="22"/>
        </w:rPr>
        <w:t>5</w:t>
      </w:r>
      <w:r w:rsidR="00EE0641">
        <w:rPr>
          <w:rFonts w:ascii="Arial" w:hAnsi="Arial" w:cs="Arial"/>
          <w:sz w:val="22"/>
          <w:szCs w:val="22"/>
        </w:rPr>
        <w:t>7</w:t>
      </w:r>
    </w:p>
    <w:p w14:paraId="0CE52451" w14:textId="11E5B063" w:rsidR="008335ED" w:rsidRPr="00F45B03" w:rsidRDefault="008335ED"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sz w:val="22"/>
          <w:szCs w:val="22"/>
        </w:rPr>
        <w:t xml:space="preserve">  </w:t>
      </w:r>
      <w:r w:rsidR="00F750C1" w:rsidRPr="00F45B03">
        <w:rPr>
          <w:rFonts w:ascii="Arial" w:hAnsi="Arial" w:cs="Arial"/>
          <w:color w:val="000000" w:themeColor="text1"/>
          <w:sz w:val="22"/>
          <w:szCs w:val="22"/>
          <w:lang w:val="en-GB"/>
        </w:rPr>
        <w:t>5.5 Barriers and Facilitators to CR Participation</w:t>
      </w:r>
      <w:r w:rsidR="00C03450" w:rsidRPr="00F45B03">
        <w:rPr>
          <w:rFonts w:ascii="Arial" w:hAnsi="Arial" w:cs="Arial"/>
          <w:color w:val="000000" w:themeColor="text1"/>
          <w:sz w:val="22"/>
          <w:szCs w:val="22"/>
          <w:lang w:val="en-GB"/>
        </w:rPr>
        <w:t>……………………………</w:t>
      </w:r>
      <w:r w:rsidR="00794EBA" w:rsidRPr="00F45B03">
        <w:rPr>
          <w:rFonts w:ascii="Arial" w:hAnsi="Arial" w:cs="Arial"/>
          <w:color w:val="000000" w:themeColor="text1"/>
          <w:sz w:val="22"/>
          <w:szCs w:val="22"/>
          <w:lang w:val="en-GB"/>
        </w:rPr>
        <w:t>………</w:t>
      </w:r>
      <w:proofErr w:type="gramStart"/>
      <w:r w:rsidR="007040B6">
        <w:rPr>
          <w:rFonts w:ascii="Arial" w:hAnsi="Arial" w:cs="Arial"/>
          <w:color w:val="000000" w:themeColor="text1"/>
          <w:sz w:val="22"/>
          <w:szCs w:val="22"/>
          <w:lang w:val="en-GB"/>
        </w:rPr>
        <w:t>…</w:t>
      </w:r>
      <w:r w:rsidR="00A52821">
        <w:rPr>
          <w:rFonts w:ascii="Arial" w:hAnsi="Arial" w:cs="Arial"/>
          <w:color w:val="000000" w:themeColor="text1"/>
          <w:sz w:val="22"/>
          <w:szCs w:val="22"/>
          <w:lang w:val="en-GB"/>
        </w:rPr>
        <w:t>..</w:t>
      </w:r>
      <w:proofErr w:type="gramEnd"/>
      <w:r w:rsidR="003F34E5">
        <w:rPr>
          <w:rFonts w:ascii="Arial" w:hAnsi="Arial" w:cs="Arial"/>
          <w:color w:val="000000" w:themeColor="text1"/>
          <w:sz w:val="22"/>
          <w:szCs w:val="22"/>
          <w:lang w:val="en-GB"/>
        </w:rPr>
        <w:t>5</w:t>
      </w:r>
      <w:r w:rsidR="00EE0641">
        <w:rPr>
          <w:rFonts w:ascii="Arial" w:hAnsi="Arial" w:cs="Arial"/>
          <w:color w:val="000000" w:themeColor="text1"/>
          <w:sz w:val="22"/>
          <w:szCs w:val="22"/>
          <w:lang w:val="en-GB"/>
        </w:rPr>
        <w:t>7</w:t>
      </w:r>
    </w:p>
    <w:p w14:paraId="6D4BD38B" w14:textId="56A50EF0"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5.6 </w:t>
      </w:r>
      <w:r w:rsidR="00F750C1" w:rsidRPr="00F45B03">
        <w:rPr>
          <w:rFonts w:ascii="Arial" w:hAnsi="Arial" w:cs="Arial"/>
          <w:color w:val="000000" w:themeColor="text1"/>
          <w:sz w:val="22"/>
          <w:szCs w:val="22"/>
          <w:lang w:val="en-GB"/>
        </w:rPr>
        <w:t xml:space="preserve">CR Outcomes in Older Adults (55+ in </w:t>
      </w:r>
      <w:proofErr w:type="gramStart"/>
      <w:r w:rsidR="00F750C1" w:rsidRPr="00F45B03">
        <w:rPr>
          <w:rFonts w:ascii="Arial" w:hAnsi="Arial" w:cs="Arial"/>
          <w:color w:val="000000" w:themeColor="text1"/>
          <w:sz w:val="22"/>
          <w:szCs w:val="22"/>
          <w:lang w:val="en-GB"/>
        </w:rPr>
        <w:t>England)</w:t>
      </w:r>
      <w:r w:rsidR="008F483F" w:rsidRPr="00F45B03">
        <w:rPr>
          <w:rFonts w:ascii="Arial" w:hAnsi="Arial" w:cs="Arial"/>
          <w:sz w:val="22"/>
          <w:szCs w:val="22"/>
        </w:rPr>
        <w:t>…</w:t>
      </w:r>
      <w:proofErr w:type="gramEnd"/>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0C7CEB" w:rsidRPr="00F45B03">
        <w:rPr>
          <w:rFonts w:ascii="Arial" w:hAnsi="Arial" w:cs="Arial"/>
          <w:sz w:val="22"/>
          <w:szCs w:val="22"/>
        </w:rPr>
        <w:t>….</w:t>
      </w:r>
      <w:r w:rsidR="00A05B83">
        <w:rPr>
          <w:rFonts w:ascii="Arial" w:hAnsi="Arial" w:cs="Arial"/>
          <w:sz w:val="22"/>
          <w:szCs w:val="22"/>
        </w:rPr>
        <w:t>5</w:t>
      </w:r>
      <w:r w:rsidR="00EE0641">
        <w:rPr>
          <w:rFonts w:ascii="Arial" w:hAnsi="Arial" w:cs="Arial"/>
          <w:sz w:val="22"/>
          <w:szCs w:val="22"/>
        </w:rPr>
        <w:t>8</w:t>
      </w:r>
    </w:p>
    <w:p w14:paraId="4DAB81C6" w14:textId="4F04F8D4" w:rsidR="00F750C1" w:rsidRPr="00F45B03" w:rsidRDefault="00F750C1"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sz w:val="22"/>
          <w:szCs w:val="22"/>
        </w:rPr>
        <w:t xml:space="preserve">5.7 </w:t>
      </w:r>
      <w:r w:rsidRPr="00F45B03">
        <w:rPr>
          <w:rFonts w:ascii="Arial" w:hAnsi="Arial" w:cs="Arial"/>
          <w:color w:val="000000" w:themeColor="text1"/>
          <w:sz w:val="22"/>
          <w:szCs w:val="22"/>
          <w:lang w:val="en-GB"/>
        </w:rPr>
        <w:t>Strengths of the Study…………………………………</w:t>
      </w:r>
      <w:r w:rsidR="00794EBA" w:rsidRPr="00F45B03">
        <w:rPr>
          <w:rFonts w:ascii="Arial" w:hAnsi="Arial" w:cs="Arial"/>
          <w:color w:val="000000" w:themeColor="text1"/>
          <w:sz w:val="22"/>
          <w:szCs w:val="22"/>
          <w:lang w:val="en-GB"/>
        </w:rPr>
        <w:t>………………………</w:t>
      </w:r>
      <w:proofErr w:type="gramStart"/>
      <w:r w:rsidR="00794EBA" w:rsidRPr="00F45B03">
        <w:rPr>
          <w:rFonts w:ascii="Arial" w:hAnsi="Arial" w:cs="Arial"/>
          <w:color w:val="000000" w:themeColor="text1"/>
          <w:sz w:val="22"/>
          <w:szCs w:val="22"/>
          <w:lang w:val="en-GB"/>
        </w:rPr>
        <w:t>…..</w:t>
      </w:r>
      <w:proofErr w:type="gramEnd"/>
      <w:r w:rsidRPr="00F45B03">
        <w:rPr>
          <w:rFonts w:ascii="Arial" w:hAnsi="Arial" w:cs="Arial"/>
          <w:color w:val="000000" w:themeColor="text1"/>
          <w:sz w:val="22"/>
          <w:szCs w:val="22"/>
          <w:lang w:val="en-GB"/>
        </w:rPr>
        <w:t>….</w:t>
      </w:r>
      <w:r w:rsidR="00A05B83">
        <w:rPr>
          <w:rFonts w:ascii="Arial" w:hAnsi="Arial" w:cs="Arial"/>
          <w:color w:val="000000" w:themeColor="text1"/>
          <w:sz w:val="22"/>
          <w:szCs w:val="22"/>
          <w:lang w:val="en-GB"/>
        </w:rPr>
        <w:t>5</w:t>
      </w:r>
      <w:r w:rsidR="00EE0641">
        <w:rPr>
          <w:rFonts w:ascii="Arial" w:hAnsi="Arial" w:cs="Arial"/>
          <w:color w:val="000000" w:themeColor="text1"/>
          <w:sz w:val="22"/>
          <w:szCs w:val="22"/>
          <w:lang w:val="en-GB"/>
        </w:rPr>
        <w:t>8</w:t>
      </w:r>
    </w:p>
    <w:p w14:paraId="16FF01A8" w14:textId="7DB08B8F" w:rsidR="00F750C1" w:rsidRPr="00F45B03" w:rsidRDefault="00F750C1"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5.8Limitations of the Study</w:t>
      </w:r>
      <w:r w:rsidR="00C03450" w:rsidRPr="00F45B03">
        <w:rPr>
          <w:rFonts w:ascii="Arial" w:hAnsi="Arial" w:cs="Arial"/>
          <w:color w:val="000000" w:themeColor="text1"/>
          <w:sz w:val="22"/>
          <w:szCs w:val="22"/>
          <w:lang w:val="en-GB"/>
        </w:rPr>
        <w:t>……………………………</w:t>
      </w:r>
      <w:r w:rsidR="00794EBA" w:rsidRPr="00F45B03">
        <w:rPr>
          <w:rFonts w:ascii="Arial" w:hAnsi="Arial" w:cs="Arial"/>
          <w:color w:val="000000" w:themeColor="text1"/>
          <w:sz w:val="22"/>
          <w:szCs w:val="22"/>
          <w:lang w:val="en-GB"/>
        </w:rPr>
        <w:t>……….</w:t>
      </w:r>
      <w:r w:rsidR="00C03450" w:rsidRPr="00F45B03">
        <w:rPr>
          <w:rFonts w:ascii="Arial" w:hAnsi="Arial" w:cs="Arial"/>
          <w:color w:val="000000" w:themeColor="text1"/>
          <w:sz w:val="22"/>
          <w:szCs w:val="22"/>
          <w:lang w:val="en-GB"/>
        </w:rPr>
        <w:t>………………………</w:t>
      </w:r>
      <w:proofErr w:type="gramStart"/>
      <w:r w:rsidR="00C03450" w:rsidRPr="00F45B03">
        <w:rPr>
          <w:rFonts w:ascii="Arial" w:hAnsi="Arial" w:cs="Arial"/>
          <w:color w:val="000000" w:themeColor="text1"/>
          <w:sz w:val="22"/>
          <w:szCs w:val="22"/>
          <w:lang w:val="en-GB"/>
        </w:rPr>
        <w:t>….</w:t>
      </w:r>
      <w:r w:rsidR="003F34E5">
        <w:rPr>
          <w:rFonts w:ascii="Arial" w:hAnsi="Arial" w:cs="Arial"/>
          <w:color w:val="000000" w:themeColor="text1"/>
          <w:sz w:val="22"/>
          <w:szCs w:val="22"/>
          <w:lang w:val="en-GB"/>
        </w:rPr>
        <w:t>.</w:t>
      </w:r>
      <w:proofErr w:type="gramEnd"/>
      <w:r w:rsidR="003F34E5">
        <w:rPr>
          <w:rFonts w:ascii="Arial" w:hAnsi="Arial" w:cs="Arial"/>
          <w:color w:val="000000" w:themeColor="text1"/>
          <w:sz w:val="22"/>
          <w:szCs w:val="22"/>
          <w:lang w:val="en-GB"/>
        </w:rPr>
        <w:t>5</w:t>
      </w:r>
      <w:r w:rsidR="00EE0641">
        <w:rPr>
          <w:rFonts w:ascii="Arial" w:hAnsi="Arial" w:cs="Arial"/>
          <w:color w:val="000000" w:themeColor="text1"/>
          <w:sz w:val="22"/>
          <w:szCs w:val="22"/>
          <w:lang w:val="en-GB"/>
        </w:rPr>
        <w:t>9</w:t>
      </w:r>
    </w:p>
    <w:p w14:paraId="30D10E7A" w14:textId="7307DA69" w:rsidR="00F750C1" w:rsidRPr="00F45B03" w:rsidRDefault="00F750C1"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sz w:val="22"/>
          <w:szCs w:val="22"/>
        </w:rPr>
        <w:t>5.</w:t>
      </w:r>
      <w:r w:rsidRPr="00F45B03">
        <w:rPr>
          <w:rFonts w:ascii="Arial" w:hAnsi="Arial" w:cs="Arial"/>
          <w:color w:val="000000" w:themeColor="text1"/>
          <w:sz w:val="22"/>
          <w:szCs w:val="22"/>
          <w:lang w:val="en-GB"/>
        </w:rPr>
        <w:t>9 Implications for Practice</w:t>
      </w:r>
      <w:r w:rsidR="00C03450" w:rsidRPr="00F45B03">
        <w:rPr>
          <w:rFonts w:ascii="Arial" w:hAnsi="Arial" w:cs="Arial"/>
          <w:color w:val="000000" w:themeColor="text1"/>
          <w:sz w:val="22"/>
          <w:szCs w:val="22"/>
          <w:lang w:val="en-GB"/>
        </w:rPr>
        <w:t>……………………………</w:t>
      </w:r>
      <w:r w:rsidR="00794EBA" w:rsidRPr="00F45B03">
        <w:rPr>
          <w:rFonts w:ascii="Arial" w:hAnsi="Arial" w:cs="Arial"/>
          <w:color w:val="000000" w:themeColor="text1"/>
          <w:sz w:val="22"/>
          <w:szCs w:val="22"/>
          <w:lang w:val="en-GB"/>
        </w:rPr>
        <w:t>……….</w:t>
      </w:r>
      <w:r w:rsidR="00C03450" w:rsidRPr="00F45B03">
        <w:rPr>
          <w:rFonts w:ascii="Arial" w:hAnsi="Arial" w:cs="Arial"/>
          <w:color w:val="000000" w:themeColor="text1"/>
          <w:sz w:val="22"/>
          <w:szCs w:val="22"/>
          <w:lang w:val="en-GB"/>
        </w:rPr>
        <w:t>…………………………</w:t>
      </w:r>
      <w:r w:rsidR="003F34E5">
        <w:rPr>
          <w:rFonts w:ascii="Arial" w:hAnsi="Arial" w:cs="Arial"/>
          <w:color w:val="000000" w:themeColor="text1"/>
          <w:sz w:val="22"/>
          <w:szCs w:val="22"/>
          <w:lang w:val="en-GB"/>
        </w:rPr>
        <w:t>5</w:t>
      </w:r>
      <w:r w:rsidR="00364112">
        <w:rPr>
          <w:rFonts w:ascii="Arial" w:hAnsi="Arial" w:cs="Arial"/>
          <w:color w:val="000000" w:themeColor="text1"/>
          <w:sz w:val="22"/>
          <w:szCs w:val="22"/>
          <w:lang w:val="en-GB"/>
        </w:rPr>
        <w:t>9</w:t>
      </w:r>
    </w:p>
    <w:p w14:paraId="6219C9AD" w14:textId="64BE555C" w:rsidR="00F750C1" w:rsidRPr="00F45B03" w:rsidRDefault="00F750C1"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5.10 Implications for Policy</w:t>
      </w:r>
      <w:r w:rsidR="00C03450" w:rsidRPr="00F45B03">
        <w:rPr>
          <w:rFonts w:ascii="Arial" w:hAnsi="Arial" w:cs="Arial"/>
          <w:color w:val="000000" w:themeColor="text1"/>
          <w:sz w:val="22"/>
          <w:szCs w:val="22"/>
          <w:lang w:val="en-GB"/>
        </w:rPr>
        <w:t>………………………………</w:t>
      </w:r>
      <w:r w:rsidR="00794EBA" w:rsidRPr="00F45B03">
        <w:rPr>
          <w:rFonts w:ascii="Arial" w:hAnsi="Arial" w:cs="Arial"/>
          <w:color w:val="000000" w:themeColor="text1"/>
          <w:sz w:val="22"/>
          <w:szCs w:val="22"/>
          <w:lang w:val="en-GB"/>
        </w:rPr>
        <w:t>……….</w:t>
      </w:r>
      <w:r w:rsidR="00C03450" w:rsidRPr="00F45B03">
        <w:rPr>
          <w:rFonts w:ascii="Arial" w:hAnsi="Arial" w:cs="Arial"/>
          <w:color w:val="000000" w:themeColor="text1"/>
          <w:sz w:val="22"/>
          <w:szCs w:val="22"/>
          <w:lang w:val="en-GB"/>
        </w:rPr>
        <w:t>……………………….</w:t>
      </w:r>
      <w:r w:rsidR="003F34E5">
        <w:rPr>
          <w:rFonts w:ascii="Arial" w:hAnsi="Arial" w:cs="Arial"/>
          <w:color w:val="000000" w:themeColor="text1"/>
          <w:sz w:val="22"/>
          <w:szCs w:val="22"/>
          <w:lang w:val="en-GB"/>
        </w:rPr>
        <w:t>5</w:t>
      </w:r>
      <w:r w:rsidR="00364112">
        <w:rPr>
          <w:rFonts w:ascii="Arial" w:hAnsi="Arial" w:cs="Arial"/>
          <w:color w:val="000000" w:themeColor="text1"/>
          <w:sz w:val="22"/>
          <w:szCs w:val="22"/>
          <w:lang w:val="en-GB"/>
        </w:rPr>
        <w:t>9</w:t>
      </w:r>
    </w:p>
    <w:p w14:paraId="40F765CC" w14:textId="5D18D1E9" w:rsidR="00F750C1" w:rsidRPr="00F45B03" w:rsidRDefault="00F750C1"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lang w:val="en-GB"/>
        </w:rPr>
        <w:t>5.11 Implications for Policy</w:t>
      </w:r>
      <w:r w:rsidR="00C03450" w:rsidRPr="00F45B03">
        <w:rPr>
          <w:rFonts w:ascii="Arial" w:hAnsi="Arial" w:cs="Arial"/>
          <w:color w:val="000000" w:themeColor="text1"/>
          <w:sz w:val="22"/>
          <w:szCs w:val="22"/>
          <w:lang w:val="en-GB"/>
        </w:rPr>
        <w:t>………………………………</w:t>
      </w:r>
      <w:r w:rsidR="00794EBA" w:rsidRPr="00F45B03">
        <w:rPr>
          <w:rFonts w:ascii="Arial" w:hAnsi="Arial" w:cs="Arial"/>
          <w:color w:val="000000" w:themeColor="text1"/>
          <w:sz w:val="22"/>
          <w:szCs w:val="22"/>
          <w:lang w:val="en-GB"/>
        </w:rPr>
        <w:t>………</w:t>
      </w:r>
      <w:r w:rsidR="00C03450" w:rsidRPr="00F45B03">
        <w:rPr>
          <w:rFonts w:ascii="Arial" w:hAnsi="Arial" w:cs="Arial"/>
          <w:color w:val="000000" w:themeColor="text1"/>
          <w:sz w:val="22"/>
          <w:szCs w:val="22"/>
          <w:lang w:val="en-GB"/>
        </w:rPr>
        <w:t>……………………</w:t>
      </w:r>
      <w:proofErr w:type="gramStart"/>
      <w:r w:rsidR="00C03450" w:rsidRPr="00F45B03">
        <w:rPr>
          <w:rFonts w:ascii="Arial" w:hAnsi="Arial" w:cs="Arial"/>
          <w:color w:val="000000" w:themeColor="text1"/>
          <w:sz w:val="22"/>
          <w:szCs w:val="22"/>
          <w:lang w:val="en-GB"/>
        </w:rPr>
        <w:t>…..</w:t>
      </w:r>
      <w:proofErr w:type="gramEnd"/>
      <w:r w:rsidR="00364112">
        <w:rPr>
          <w:rFonts w:ascii="Arial" w:hAnsi="Arial" w:cs="Arial"/>
          <w:b/>
          <w:bCs/>
          <w:color w:val="000000" w:themeColor="text1"/>
          <w:sz w:val="22"/>
          <w:szCs w:val="22"/>
          <w:lang w:val="en-GB"/>
        </w:rPr>
        <w:t>60</w:t>
      </w:r>
    </w:p>
    <w:p w14:paraId="10FF6140" w14:textId="77777777" w:rsidR="008335ED" w:rsidRPr="00F45B03" w:rsidRDefault="008335ED" w:rsidP="00167E86">
      <w:pPr>
        <w:pStyle w:val="Heading2"/>
        <w:spacing w:line="360" w:lineRule="auto"/>
        <w:jc w:val="both"/>
        <w:rPr>
          <w:rFonts w:ascii="Arial" w:hAnsi="Arial" w:cs="Arial"/>
          <w:sz w:val="22"/>
          <w:szCs w:val="22"/>
        </w:rPr>
      </w:pPr>
      <w:r w:rsidRPr="00F45B03">
        <w:rPr>
          <w:rStyle w:val="Strong"/>
          <w:rFonts w:ascii="Arial" w:hAnsi="Arial" w:cs="Arial"/>
          <w:b w:val="0"/>
          <w:bCs w:val="0"/>
          <w:sz w:val="22"/>
          <w:szCs w:val="22"/>
        </w:rPr>
        <w:t>Chapter 6: Conclusion and Recommendations</w:t>
      </w:r>
    </w:p>
    <w:p w14:paraId="4BC6C275" w14:textId="59CCF6E1"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6.1 </w:t>
      </w:r>
      <w:proofErr w:type="spellStart"/>
      <w:r w:rsidR="00C03450" w:rsidRPr="00F45B03">
        <w:rPr>
          <w:rFonts w:ascii="Arial" w:hAnsi="Arial" w:cs="Arial"/>
          <w:sz w:val="22"/>
          <w:szCs w:val="22"/>
        </w:rPr>
        <w:t>introdution</w:t>
      </w:r>
      <w:proofErr w:type="spellEnd"/>
      <w:r w:rsidR="00C03450" w:rsidRPr="00F45B03">
        <w:rPr>
          <w:rFonts w:ascii="Arial" w:hAnsi="Arial" w:cs="Arial"/>
          <w:sz w:val="22"/>
          <w:szCs w:val="22"/>
        </w:rPr>
        <w:t xml:space="preserve"> </w:t>
      </w:r>
      <w:r w:rsidR="008F483F" w:rsidRPr="00F45B03">
        <w:rPr>
          <w:rFonts w:ascii="Arial" w:hAnsi="Arial" w:cs="Arial"/>
          <w:sz w:val="22"/>
          <w:szCs w:val="22"/>
        </w:rPr>
        <w:t>…………………………………………………………………</w:t>
      </w:r>
      <w:r w:rsidR="00794EBA" w:rsidRPr="00F45B03">
        <w:rPr>
          <w:rFonts w:ascii="Arial" w:hAnsi="Arial" w:cs="Arial"/>
          <w:sz w:val="22"/>
          <w:szCs w:val="22"/>
        </w:rPr>
        <w:t>…….</w:t>
      </w:r>
      <w:r w:rsidR="008F483F" w:rsidRPr="00F45B03">
        <w:rPr>
          <w:rFonts w:ascii="Arial" w:hAnsi="Arial" w:cs="Arial"/>
          <w:sz w:val="22"/>
          <w:szCs w:val="22"/>
        </w:rPr>
        <w:t>……</w:t>
      </w:r>
      <w:r w:rsidR="00E315FF">
        <w:rPr>
          <w:rFonts w:ascii="Arial" w:hAnsi="Arial" w:cs="Arial"/>
          <w:sz w:val="22"/>
          <w:szCs w:val="22"/>
        </w:rPr>
        <w:t>61</w:t>
      </w:r>
    </w:p>
    <w:p w14:paraId="238BA4EA" w14:textId="171767B6"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 6.2 </w:t>
      </w:r>
      <w:r w:rsidR="00C03450" w:rsidRPr="00F45B03">
        <w:rPr>
          <w:rFonts w:ascii="Arial" w:hAnsi="Arial" w:cs="Arial"/>
          <w:sz w:val="22"/>
          <w:szCs w:val="22"/>
        </w:rPr>
        <w:t xml:space="preserve">overall </w:t>
      </w:r>
      <w:proofErr w:type="gramStart"/>
      <w:r w:rsidR="00C03450" w:rsidRPr="00F45B03">
        <w:rPr>
          <w:rFonts w:ascii="Arial" w:hAnsi="Arial" w:cs="Arial"/>
          <w:sz w:val="22"/>
          <w:szCs w:val="22"/>
        </w:rPr>
        <w:t xml:space="preserve">conclusion </w:t>
      </w:r>
      <w:r w:rsidRPr="00F45B03">
        <w:rPr>
          <w:rFonts w:ascii="Arial" w:hAnsi="Arial" w:cs="Arial"/>
          <w:sz w:val="22"/>
          <w:szCs w:val="22"/>
        </w:rPr>
        <w:t xml:space="preserve"> </w:t>
      </w:r>
      <w:r w:rsidR="008F483F" w:rsidRPr="00F45B03">
        <w:rPr>
          <w:rFonts w:ascii="Arial" w:hAnsi="Arial" w:cs="Arial"/>
          <w:sz w:val="22"/>
          <w:szCs w:val="22"/>
        </w:rPr>
        <w:t>…</w:t>
      </w:r>
      <w:proofErr w:type="gramEnd"/>
      <w:r w:rsidR="008F483F" w:rsidRPr="00F45B03">
        <w:rPr>
          <w:rFonts w:ascii="Arial" w:hAnsi="Arial" w:cs="Arial"/>
          <w:sz w:val="22"/>
          <w:szCs w:val="22"/>
        </w:rPr>
        <w:t>………………………………………………</w:t>
      </w:r>
      <w:r w:rsidR="00C03450" w:rsidRPr="00F45B03">
        <w:rPr>
          <w:rFonts w:ascii="Arial" w:hAnsi="Arial" w:cs="Arial"/>
          <w:sz w:val="22"/>
          <w:szCs w:val="22"/>
        </w:rPr>
        <w:t>………………</w:t>
      </w:r>
      <w:r w:rsidR="00794EBA" w:rsidRPr="00F45B03">
        <w:rPr>
          <w:rFonts w:ascii="Arial" w:hAnsi="Arial" w:cs="Arial"/>
          <w:sz w:val="22"/>
          <w:szCs w:val="22"/>
        </w:rPr>
        <w:t>.</w:t>
      </w:r>
      <w:r w:rsidR="00C03450" w:rsidRPr="00F45B03">
        <w:rPr>
          <w:rFonts w:ascii="Arial" w:hAnsi="Arial" w:cs="Arial"/>
          <w:sz w:val="22"/>
          <w:szCs w:val="22"/>
        </w:rPr>
        <w:t>..</w:t>
      </w:r>
      <w:r w:rsidR="00F627EA">
        <w:rPr>
          <w:rFonts w:ascii="Arial" w:hAnsi="Arial" w:cs="Arial"/>
          <w:sz w:val="22"/>
          <w:szCs w:val="22"/>
        </w:rPr>
        <w:t>6</w:t>
      </w:r>
      <w:r w:rsidR="00E315FF">
        <w:rPr>
          <w:rFonts w:ascii="Arial" w:hAnsi="Arial" w:cs="Arial"/>
          <w:sz w:val="22"/>
          <w:szCs w:val="22"/>
        </w:rPr>
        <w:t>2</w:t>
      </w:r>
    </w:p>
    <w:p w14:paraId="7473A33A" w14:textId="79EA0100"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6.3 Recommendations for </w:t>
      </w:r>
      <w:r w:rsidR="00C03450" w:rsidRPr="00F45B03">
        <w:rPr>
          <w:rFonts w:ascii="Arial" w:hAnsi="Arial" w:cs="Arial"/>
          <w:sz w:val="22"/>
          <w:szCs w:val="22"/>
        </w:rPr>
        <w:t xml:space="preserve">clinical practice </w:t>
      </w:r>
      <w:r w:rsidR="008F483F" w:rsidRPr="00F45B03">
        <w:rPr>
          <w:rFonts w:ascii="Arial" w:hAnsi="Arial" w:cs="Arial"/>
          <w:sz w:val="22"/>
          <w:szCs w:val="22"/>
        </w:rPr>
        <w:t>……………………………………………</w:t>
      </w:r>
      <w:r w:rsidR="00F627EA">
        <w:rPr>
          <w:rFonts w:ascii="Arial" w:hAnsi="Arial" w:cs="Arial"/>
          <w:sz w:val="22"/>
          <w:szCs w:val="22"/>
        </w:rPr>
        <w:t>6</w:t>
      </w:r>
      <w:r w:rsidR="00E315FF">
        <w:rPr>
          <w:rFonts w:ascii="Arial" w:hAnsi="Arial" w:cs="Arial"/>
          <w:sz w:val="22"/>
          <w:szCs w:val="22"/>
        </w:rPr>
        <w:t>3</w:t>
      </w:r>
    </w:p>
    <w:p w14:paraId="3042A181" w14:textId="059A1ECD" w:rsidR="008335ED" w:rsidRPr="00F45B03" w:rsidRDefault="008335ED" w:rsidP="00167E86">
      <w:pPr>
        <w:pStyle w:val="NormalWeb"/>
        <w:spacing w:line="360" w:lineRule="auto"/>
        <w:jc w:val="both"/>
        <w:rPr>
          <w:rFonts w:ascii="Arial" w:hAnsi="Arial" w:cs="Arial"/>
          <w:sz w:val="22"/>
          <w:szCs w:val="22"/>
        </w:rPr>
      </w:pPr>
      <w:r w:rsidRPr="00F45B03">
        <w:rPr>
          <w:rFonts w:ascii="Arial" w:hAnsi="Arial" w:cs="Arial"/>
          <w:sz w:val="22"/>
          <w:szCs w:val="22"/>
        </w:rPr>
        <w:t xml:space="preserve">6.4 Recommendations for </w:t>
      </w:r>
      <w:r w:rsidR="00C03450" w:rsidRPr="00F45B03">
        <w:rPr>
          <w:rFonts w:ascii="Arial" w:hAnsi="Arial" w:cs="Arial"/>
          <w:sz w:val="22"/>
          <w:szCs w:val="22"/>
        </w:rPr>
        <w:t xml:space="preserve">policy </w:t>
      </w:r>
      <w:r w:rsidR="008F483F" w:rsidRPr="00F45B03">
        <w:rPr>
          <w:rFonts w:ascii="Arial" w:hAnsi="Arial" w:cs="Arial"/>
          <w:sz w:val="22"/>
          <w:szCs w:val="22"/>
        </w:rPr>
        <w:t>………………………………………</w:t>
      </w:r>
      <w:r w:rsidR="00C03450" w:rsidRPr="00F45B03">
        <w:rPr>
          <w:rFonts w:ascii="Arial" w:hAnsi="Arial" w:cs="Arial"/>
          <w:sz w:val="22"/>
          <w:szCs w:val="22"/>
        </w:rPr>
        <w:t>……………</w:t>
      </w:r>
      <w:r w:rsidR="00794EBA" w:rsidRPr="00F45B03">
        <w:rPr>
          <w:rFonts w:ascii="Arial" w:hAnsi="Arial" w:cs="Arial"/>
          <w:sz w:val="22"/>
          <w:szCs w:val="22"/>
        </w:rPr>
        <w:t>...</w:t>
      </w:r>
      <w:r w:rsidR="00C03450" w:rsidRPr="00F45B03">
        <w:rPr>
          <w:rFonts w:ascii="Arial" w:hAnsi="Arial" w:cs="Arial"/>
          <w:sz w:val="22"/>
          <w:szCs w:val="22"/>
        </w:rPr>
        <w:t>.</w:t>
      </w:r>
      <w:r w:rsidR="00F627EA">
        <w:rPr>
          <w:rFonts w:ascii="Arial" w:hAnsi="Arial" w:cs="Arial"/>
          <w:sz w:val="22"/>
          <w:szCs w:val="22"/>
        </w:rPr>
        <w:t>6</w:t>
      </w:r>
      <w:r w:rsidR="00E315FF">
        <w:rPr>
          <w:rFonts w:ascii="Arial" w:hAnsi="Arial" w:cs="Arial"/>
          <w:sz w:val="22"/>
          <w:szCs w:val="22"/>
        </w:rPr>
        <w:t>4</w:t>
      </w:r>
    </w:p>
    <w:p w14:paraId="7461F1D5" w14:textId="08D1673B" w:rsidR="008335ED" w:rsidRPr="00F45B03" w:rsidRDefault="00C03450"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sz w:val="22"/>
          <w:szCs w:val="22"/>
        </w:rPr>
        <w:t>6.5</w:t>
      </w:r>
      <w:r w:rsidRPr="00F45B03">
        <w:rPr>
          <w:rFonts w:ascii="Arial" w:hAnsi="Arial" w:cs="Arial"/>
          <w:b/>
          <w:bCs/>
          <w:color w:val="000000" w:themeColor="text1"/>
          <w:sz w:val="22"/>
          <w:szCs w:val="22"/>
          <w:lang w:val="en-GB"/>
        </w:rPr>
        <w:t xml:space="preserve"> </w:t>
      </w:r>
      <w:r w:rsidRPr="00F45B03">
        <w:rPr>
          <w:rFonts w:ascii="Arial" w:hAnsi="Arial" w:cs="Arial"/>
          <w:color w:val="000000" w:themeColor="text1"/>
          <w:sz w:val="22"/>
          <w:szCs w:val="22"/>
          <w:lang w:val="en-GB"/>
        </w:rPr>
        <w:t>Recommendations for Future Research…………………………………</w:t>
      </w:r>
      <w:r w:rsidR="00794EBA" w:rsidRPr="00F45B03">
        <w:rPr>
          <w:rFonts w:ascii="Arial" w:hAnsi="Arial" w:cs="Arial"/>
          <w:color w:val="000000" w:themeColor="text1"/>
          <w:sz w:val="22"/>
          <w:szCs w:val="22"/>
          <w:lang w:val="en-GB"/>
        </w:rPr>
        <w:t>…….</w:t>
      </w:r>
      <w:r w:rsidRPr="00F45B03">
        <w:rPr>
          <w:rFonts w:ascii="Arial" w:hAnsi="Arial" w:cs="Arial"/>
          <w:color w:val="000000" w:themeColor="text1"/>
          <w:sz w:val="22"/>
          <w:szCs w:val="22"/>
          <w:lang w:val="en-GB"/>
        </w:rPr>
        <w:t>….</w:t>
      </w:r>
      <w:r w:rsidR="00640FE7">
        <w:rPr>
          <w:rFonts w:ascii="Arial" w:hAnsi="Arial" w:cs="Arial"/>
          <w:color w:val="000000" w:themeColor="text1"/>
          <w:sz w:val="22"/>
          <w:szCs w:val="22"/>
          <w:lang w:val="en-GB"/>
        </w:rPr>
        <w:t>6</w:t>
      </w:r>
      <w:r w:rsidR="00E315FF">
        <w:rPr>
          <w:rFonts w:ascii="Arial" w:hAnsi="Arial" w:cs="Arial"/>
          <w:color w:val="000000" w:themeColor="text1"/>
          <w:sz w:val="22"/>
          <w:szCs w:val="22"/>
          <w:lang w:val="en-GB"/>
        </w:rPr>
        <w:t>5</w:t>
      </w:r>
    </w:p>
    <w:p w14:paraId="7F8ACE1D" w14:textId="72F8C766" w:rsidR="00C03450" w:rsidRDefault="00C03450" w:rsidP="00167E86">
      <w:pPr>
        <w:pStyle w:val="NormalWeb"/>
        <w:spacing w:line="360" w:lineRule="auto"/>
        <w:jc w:val="both"/>
        <w:rPr>
          <w:rFonts w:ascii="Arial" w:hAnsi="Arial" w:cs="Arial"/>
          <w:sz w:val="22"/>
          <w:szCs w:val="22"/>
        </w:rPr>
      </w:pPr>
      <w:r w:rsidRPr="00F45B03">
        <w:rPr>
          <w:rFonts w:ascii="Arial" w:hAnsi="Arial" w:cs="Arial"/>
          <w:sz w:val="22"/>
          <w:szCs w:val="22"/>
        </w:rPr>
        <w:t>6.6 final conclusion…………………………</w:t>
      </w:r>
      <w:proofErr w:type="gramStart"/>
      <w:r w:rsidRPr="00F45B03">
        <w:rPr>
          <w:rFonts w:ascii="Arial" w:hAnsi="Arial" w:cs="Arial"/>
          <w:sz w:val="22"/>
          <w:szCs w:val="22"/>
        </w:rPr>
        <w:t>…</w:t>
      </w:r>
      <w:r w:rsidR="000D41B5" w:rsidRPr="00F45B03">
        <w:rPr>
          <w:rFonts w:ascii="Arial" w:hAnsi="Arial" w:cs="Arial"/>
          <w:sz w:val="22"/>
          <w:szCs w:val="22"/>
        </w:rPr>
        <w:t>..</w:t>
      </w:r>
      <w:proofErr w:type="gramEnd"/>
      <w:r w:rsidRPr="00F45B03">
        <w:rPr>
          <w:rFonts w:ascii="Arial" w:hAnsi="Arial" w:cs="Arial"/>
          <w:sz w:val="22"/>
          <w:szCs w:val="22"/>
        </w:rPr>
        <w:t>…………………………………</w:t>
      </w:r>
      <w:r w:rsidR="00794EBA" w:rsidRPr="00F45B03">
        <w:rPr>
          <w:rFonts w:ascii="Arial" w:hAnsi="Arial" w:cs="Arial"/>
          <w:sz w:val="22"/>
          <w:szCs w:val="22"/>
        </w:rPr>
        <w:t>…..</w:t>
      </w:r>
      <w:r w:rsidRPr="00F45B03">
        <w:rPr>
          <w:rFonts w:ascii="Arial" w:hAnsi="Arial" w:cs="Arial"/>
          <w:sz w:val="22"/>
          <w:szCs w:val="22"/>
        </w:rPr>
        <w:t>…</w:t>
      </w:r>
      <w:r w:rsidR="00640FE7">
        <w:rPr>
          <w:rFonts w:ascii="Arial" w:hAnsi="Arial" w:cs="Arial"/>
          <w:sz w:val="22"/>
          <w:szCs w:val="22"/>
        </w:rPr>
        <w:t>6</w:t>
      </w:r>
      <w:r w:rsidR="0010319F">
        <w:rPr>
          <w:rFonts w:ascii="Arial" w:hAnsi="Arial" w:cs="Arial"/>
          <w:sz w:val="22"/>
          <w:szCs w:val="22"/>
        </w:rPr>
        <w:t>5</w:t>
      </w:r>
    </w:p>
    <w:p w14:paraId="30B5797F" w14:textId="77777777" w:rsidR="00697476" w:rsidRPr="00F45B03" w:rsidRDefault="00697476" w:rsidP="00167E86">
      <w:pPr>
        <w:spacing w:line="360" w:lineRule="auto"/>
        <w:jc w:val="both"/>
        <w:rPr>
          <w:rFonts w:ascii="Arial" w:eastAsia="MS Mincho" w:hAnsi="Arial" w:cs="Arial"/>
          <w:b/>
          <w:bCs/>
          <w:lang w:val="en-US" w:eastAsia="ja-JP"/>
        </w:rPr>
      </w:pPr>
      <w:r w:rsidRPr="00F45B03">
        <w:rPr>
          <w:rFonts w:ascii="Arial" w:hAnsi="Arial" w:cs="Arial"/>
        </w:rPr>
        <w:t xml:space="preserve">Appendix A: </w:t>
      </w:r>
    </w:p>
    <w:p w14:paraId="3D02BF4D" w14:textId="5AA1B878" w:rsidR="00697476" w:rsidRPr="00F45B03" w:rsidRDefault="00697476" w:rsidP="00167E86">
      <w:pPr>
        <w:spacing w:line="360" w:lineRule="auto"/>
        <w:jc w:val="both"/>
        <w:rPr>
          <w:rFonts w:ascii="Arial" w:hAnsi="Arial" w:cs="Arial"/>
        </w:rPr>
      </w:pPr>
      <w:r w:rsidRPr="00F45B03">
        <w:rPr>
          <w:rFonts w:ascii="Arial" w:eastAsia="MS Mincho" w:hAnsi="Arial" w:cs="Arial"/>
          <w:b/>
          <w:bCs/>
          <w:lang w:val="en-US" w:eastAsia="ja-JP"/>
        </w:rPr>
        <w:t>PRISMA Flow Diagram Showing the Study Selection Process</w:t>
      </w:r>
      <w:r w:rsidRPr="00F45B03">
        <w:rPr>
          <w:rFonts w:ascii="Arial" w:hAnsi="Arial" w:cs="Arial"/>
        </w:rPr>
        <w:t>………………</w:t>
      </w:r>
      <w:r>
        <w:rPr>
          <w:rFonts w:ascii="Arial" w:hAnsi="Arial" w:cs="Arial"/>
        </w:rPr>
        <w:t>6</w:t>
      </w:r>
      <w:r w:rsidR="004F3035">
        <w:rPr>
          <w:rFonts w:ascii="Arial" w:hAnsi="Arial" w:cs="Arial"/>
        </w:rPr>
        <w:t>7</w:t>
      </w:r>
    </w:p>
    <w:p w14:paraId="27F3028C" w14:textId="77777777" w:rsidR="00697476" w:rsidRPr="00F45B03" w:rsidRDefault="00697476" w:rsidP="00167E86">
      <w:pPr>
        <w:pStyle w:val="NormalWeb"/>
        <w:spacing w:line="360" w:lineRule="auto"/>
        <w:jc w:val="both"/>
        <w:rPr>
          <w:rFonts w:ascii="Arial" w:hAnsi="Arial" w:cs="Arial"/>
          <w:sz w:val="22"/>
          <w:szCs w:val="22"/>
        </w:rPr>
      </w:pPr>
    </w:p>
    <w:p w14:paraId="073A8FC2" w14:textId="22354529" w:rsidR="008335ED" w:rsidRPr="00F45B03" w:rsidRDefault="008335ED"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References</w:t>
      </w:r>
      <w:r w:rsidR="009A4CC1" w:rsidRPr="00F45B03">
        <w:rPr>
          <w:rStyle w:val="Strong"/>
          <w:rFonts w:ascii="Arial" w:hAnsi="Arial" w:cs="Arial"/>
          <w:b w:val="0"/>
          <w:bCs w:val="0"/>
          <w:color w:val="000000" w:themeColor="text1"/>
          <w:sz w:val="22"/>
          <w:szCs w:val="22"/>
        </w:rPr>
        <w:t>……………………………………………………………………………</w:t>
      </w:r>
      <w:proofErr w:type="gramStart"/>
      <w:r w:rsidR="00C84FAB" w:rsidRPr="00F45B03">
        <w:rPr>
          <w:rStyle w:val="Strong"/>
          <w:rFonts w:ascii="Arial" w:hAnsi="Arial" w:cs="Arial"/>
          <w:b w:val="0"/>
          <w:bCs w:val="0"/>
          <w:color w:val="000000" w:themeColor="text1"/>
          <w:sz w:val="22"/>
          <w:szCs w:val="22"/>
        </w:rPr>
        <w:t>…</w:t>
      </w:r>
      <w:r w:rsidR="009A4CC1" w:rsidRPr="00F45B03">
        <w:rPr>
          <w:rStyle w:val="Strong"/>
          <w:rFonts w:ascii="Arial" w:hAnsi="Arial" w:cs="Arial"/>
          <w:b w:val="0"/>
          <w:bCs w:val="0"/>
          <w:color w:val="000000" w:themeColor="text1"/>
          <w:sz w:val="22"/>
          <w:szCs w:val="22"/>
        </w:rPr>
        <w:t>..</w:t>
      </w:r>
      <w:proofErr w:type="gramEnd"/>
      <w:r w:rsidR="009A3692">
        <w:rPr>
          <w:rStyle w:val="Strong"/>
          <w:rFonts w:ascii="Arial" w:hAnsi="Arial" w:cs="Arial"/>
          <w:b w:val="0"/>
          <w:bCs w:val="0"/>
          <w:color w:val="000000" w:themeColor="text1"/>
          <w:sz w:val="22"/>
          <w:szCs w:val="22"/>
        </w:rPr>
        <w:t>6</w:t>
      </w:r>
      <w:r w:rsidR="0099375A">
        <w:rPr>
          <w:rStyle w:val="Strong"/>
          <w:rFonts w:ascii="Arial" w:hAnsi="Arial" w:cs="Arial"/>
          <w:b w:val="0"/>
          <w:bCs w:val="0"/>
          <w:color w:val="000000" w:themeColor="text1"/>
          <w:sz w:val="22"/>
          <w:szCs w:val="22"/>
        </w:rPr>
        <w:t>8</w:t>
      </w:r>
    </w:p>
    <w:p w14:paraId="4D10B133" w14:textId="5EB855F3" w:rsidR="00C84FAB" w:rsidRPr="00F45B03" w:rsidRDefault="00C84FAB" w:rsidP="00167E86">
      <w:pPr>
        <w:pStyle w:val="ListParagraph"/>
        <w:numPr>
          <w:ilvl w:val="0"/>
          <w:numId w:val="10"/>
        </w:numPr>
        <w:spacing w:before="240" w:after="0" w:line="360" w:lineRule="auto"/>
        <w:ind w:left="714" w:hanging="357"/>
        <w:jc w:val="both"/>
        <w:rPr>
          <w:rFonts w:ascii="Arial" w:hAnsi="Arial" w:cs="Arial"/>
        </w:rPr>
      </w:pPr>
      <w:r w:rsidRPr="00F45B03">
        <w:rPr>
          <w:rFonts w:ascii="Arial" w:hAnsi="Arial" w:cs="Arial"/>
        </w:rPr>
        <w:t>LIST OF TABLES</w:t>
      </w:r>
    </w:p>
    <w:tbl>
      <w:tblPr>
        <w:tblpPr w:leftFromText="180" w:rightFromText="180" w:vertAnchor="text" w:horzAnchor="margin" w:tblpY="171"/>
        <w:tblW w:w="9267" w:type="dxa"/>
        <w:tblCellMar>
          <w:left w:w="10" w:type="dxa"/>
          <w:right w:w="10" w:type="dxa"/>
        </w:tblCellMar>
        <w:tblLook w:val="0000" w:firstRow="0" w:lastRow="0" w:firstColumn="0" w:lastColumn="0" w:noHBand="0" w:noVBand="0"/>
      </w:tblPr>
      <w:tblGrid>
        <w:gridCol w:w="1048"/>
        <w:gridCol w:w="7228"/>
        <w:gridCol w:w="991"/>
      </w:tblGrid>
      <w:tr w:rsidR="00C03450" w:rsidRPr="00F45B03" w14:paraId="4451F3B2" w14:textId="77777777" w:rsidTr="001C048B">
        <w:trPr>
          <w:trHeight w:val="596"/>
          <w:tblHeader/>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91701BA"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lastRenderedPageBreak/>
              <w:t>Table No.</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2AA00E8"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Title</w:t>
            </w: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EF190EE"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Page</w:t>
            </w:r>
          </w:p>
        </w:tc>
      </w:tr>
      <w:tr w:rsidR="00C03450" w:rsidRPr="00F45B03" w14:paraId="1B86BC94" w14:textId="77777777" w:rsidTr="001C048B">
        <w:trPr>
          <w:trHeight w:val="577"/>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6FEC99C"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Table 3.1</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7892643"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Databases Used for Literature Search</w:t>
            </w: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38DA1D7" w14:textId="49857164" w:rsidR="00C03450" w:rsidRPr="00F45B03" w:rsidRDefault="00640FE7" w:rsidP="00167E86">
            <w:pPr>
              <w:spacing w:before="240" w:after="0" w:line="360" w:lineRule="auto"/>
              <w:jc w:val="both"/>
              <w:rPr>
                <w:rFonts w:ascii="Arial" w:hAnsi="Arial" w:cs="Arial"/>
              </w:rPr>
            </w:pPr>
            <w:r>
              <w:rPr>
                <w:rFonts w:ascii="Arial" w:hAnsi="Arial" w:cs="Arial"/>
              </w:rPr>
              <w:t>3</w:t>
            </w:r>
            <w:r w:rsidR="0099375A">
              <w:rPr>
                <w:rFonts w:ascii="Arial" w:hAnsi="Arial" w:cs="Arial"/>
              </w:rPr>
              <w:t>2</w:t>
            </w:r>
          </w:p>
        </w:tc>
      </w:tr>
      <w:tr w:rsidR="00C03450" w:rsidRPr="00F45B03" w14:paraId="0892B7FE" w14:textId="77777777" w:rsidTr="001C048B">
        <w:trPr>
          <w:trHeight w:val="596"/>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AFD3CD4"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Table 3.2</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0135A4D"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Search Keywords and Boolean Operators</w:t>
            </w: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17BE1D1" w14:textId="5649EE2E" w:rsidR="00C03450" w:rsidRPr="00F45B03" w:rsidRDefault="00640FE7" w:rsidP="00167E86">
            <w:pPr>
              <w:spacing w:before="240" w:after="0" w:line="360" w:lineRule="auto"/>
              <w:jc w:val="both"/>
              <w:rPr>
                <w:rFonts w:ascii="Arial" w:hAnsi="Arial" w:cs="Arial"/>
              </w:rPr>
            </w:pPr>
            <w:r>
              <w:rPr>
                <w:rFonts w:ascii="Arial" w:hAnsi="Arial" w:cs="Arial"/>
              </w:rPr>
              <w:t>3</w:t>
            </w:r>
            <w:r w:rsidR="0099375A">
              <w:rPr>
                <w:rFonts w:ascii="Arial" w:hAnsi="Arial" w:cs="Arial"/>
              </w:rPr>
              <w:t>2</w:t>
            </w:r>
          </w:p>
        </w:tc>
      </w:tr>
      <w:tr w:rsidR="00C03450" w:rsidRPr="00F45B03" w14:paraId="1546B813" w14:textId="77777777" w:rsidTr="001C048B">
        <w:trPr>
          <w:trHeight w:val="577"/>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FA93AB8"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Table 3.3</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A3E90E0"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Inclusion and Exclusion Criteria</w:t>
            </w: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D4899F2" w14:textId="5627CC65" w:rsidR="00C03450" w:rsidRPr="00F45B03" w:rsidRDefault="00640FE7" w:rsidP="00167E86">
            <w:pPr>
              <w:spacing w:before="240" w:after="0" w:line="360" w:lineRule="auto"/>
              <w:jc w:val="both"/>
              <w:rPr>
                <w:rFonts w:ascii="Arial" w:hAnsi="Arial" w:cs="Arial"/>
              </w:rPr>
            </w:pPr>
            <w:r>
              <w:rPr>
                <w:rFonts w:ascii="Arial" w:hAnsi="Arial" w:cs="Arial"/>
              </w:rPr>
              <w:t>3</w:t>
            </w:r>
            <w:r w:rsidR="0099375A">
              <w:rPr>
                <w:rFonts w:ascii="Arial" w:hAnsi="Arial" w:cs="Arial"/>
              </w:rPr>
              <w:t>5</w:t>
            </w:r>
          </w:p>
        </w:tc>
      </w:tr>
      <w:tr w:rsidR="00C03450" w:rsidRPr="00F45B03" w14:paraId="1ECC40F2" w14:textId="77777777" w:rsidTr="001C048B">
        <w:trPr>
          <w:trHeight w:val="596"/>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5107EC0"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Table 3.4</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4DB8162"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PEO-Based Inclusion and Exclusion Criteria / Database Search Results</w:t>
            </w: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3FF938D" w14:textId="799D37BF" w:rsidR="00C03450" w:rsidRPr="00F45B03" w:rsidRDefault="00E73072" w:rsidP="00167E86">
            <w:pPr>
              <w:spacing w:before="240" w:after="0" w:line="360" w:lineRule="auto"/>
              <w:jc w:val="both"/>
              <w:rPr>
                <w:rFonts w:ascii="Arial" w:hAnsi="Arial" w:cs="Arial"/>
              </w:rPr>
            </w:pPr>
            <w:r w:rsidRPr="00F45B03">
              <w:rPr>
                <w:rFonts w:ascii="Arial" w:hAnsi="Arial" w:cs="Arial"/>
              </w:rPr>
              <w:t>3</w:t>
            </w:r>
            <w:r w:rsidR="001F652F">
              <w:rPr>
                <w:rFonts w:ascii="Arial" w:hAnsi="Arial" w:cs="Arial"/>
              </w:rPr>
              <w:t>6</w:t>
            </w:r>
          </w:p>
        </w:tc>
      </w:tr>
      <w:tr w:rsidR="00C03450" w:rsidRPr="00F45B03" w14:paraId="58F0F4D0" w14:textId="77777777" w:rsidTr="001C048B">
        <w:trPr>
          <w:trHeight w:val="577"/>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E94C26D"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Table 3.5</w:t>
            </w:r>
          </w:p>
          <w:p w14:paraId="1CE44AA6" w14:textId="621D3011" w:rsidR="001C048B" w:rsidRPr="00F45B03" w:rsidRDefault="001C048B" w:rsidP="00167E86">
            <w:pPr>
              <w:spacing w:before="240" w:after="0" w:line="360" w:lineRule="auto"/>
              <w:jc w:val="both"/>
              <w:rPr>
                <w:rFonts w:ascii="Arial" w:hAnsi="Arial" w:cs="Arial"/>
              </w:rPr>
            </w:pPr>
            <w:r w:rsidRPr="00F45B03">
              <w:rPr>
                <w:rFonts w:ascii="Arial" w:hAnsi="Arial" w:cs="Arial"/>
              </w:rPr>
              <w:t>Table 3.6</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15ECC52" w14:textId="77777777" w:rsidR="00C03450" w:rsidRPr="00F45B03" w:rsidRDefault="001C048B" w:rsidP="00167E86">
            <w:pPr>
              <w:spacing w:before="240" w:after="0" w:line="360" w:lineRule="auto"/>
              <w:jc w:val="both"/>
              <w:rPr>
                <w:rFonts w:ascii="Arial" w:hAnsi="Arial" w:cs="Arial"/>
                <w:color w:val="000000" w:themeColor="text1"/>
              </w:rPr>
            </w:pPr>
            <w:r w:rsidRPr="00F45B03">
              <w:rPr>
                <w:rFonts w:ascii="Arial" w:hAnsi="Arial" w:cs="Arial"/>
                <w:color w:val="000000" w:themeColor="text1"/>
              </w:rPr>
              <w:t>: Database Search Results and Screening Process</w:t>
            </w:r>
          </w:p>
          <w:p w14:paraId="6FB687CF" w14:textId="577E6002" w:rsidR="001C048B" w:rsidRPr="00F45B03" w:rsidRDefault="001C048B" w:rsidP="00167E86">
            <w:pPr>
              <w:pStyle w:val="Heading3"/>
              <w:spacing w:line="360" w:lineRule="auto"/>
              <w:jc w:val="both"/>
              <w:rPr>
                <w:rFonts w:ascii="Arial" w:hAnsi="Arial" w:cs="Arial"/>
                <w:b w:val="0"/>
                <w:bCs w:val="0"/>
                <w:color w:val="000000" w:themeColor="text1"/>
                <w:sz w:val="22"/>
                <w:szCs w:val="22"/>
              </w:rPr>
            </w:pPr>
            <w:r w:rsidRPr="00F45B03">
              <w:rPr>
                <w:rFonts w:ascii="Arial" w:hAnsi="Arial" w:cs="Arial"/>
                <w:b w:val="0"/>
                <w:bCs w:val="0"/>
                <w:color w:val="000000" w:themeColor="text1"/>
                <w:sz w:val="22"/>
                <w:szCs w:val="22"/>
              </w:rPr>
              <w:t xml:space="preserve">Quality Appraisal findings </w:t>
            </w:r>
          </w:p>
          <w:p w14:paraId="7D1087C3" w14:textId="2F606DBE" w:rsidR="001C048B" w:rsidRPr="00F45B03" w:rsidRDefault="001C048B" w:rsidP="00167E86">
            <w:pPr>
              <w:spacing w:before="240" w:after="0" w:line="360" w:lineRule="auto"/>
              <w:jc w:val="both"/>
              <w:rPr>
                <w:rFonts w:ascii="Arial" w:hAnsi="Arial" w:cs="Arial"/>
              </w:rPr>
            </w:pP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F1AFF65" w14:textId="2FD8B8A9" w:rsidR="00C03450" w:rsidRPr="00F45B03" w:rsidRDefault="001F652F" w:rsidP="00167E86">
            <w:pPr>
              <w:spacing w:before="240" w:after="0" w:line="360" w:lineRule="auto"/>
              <w:jc w:val="both"/>
              <w:rPr>
                <w:rFonts w:ascii="Arial" w:hAnsi="Arial" w:cs="Arial"/>
              </w:rPr>
            </w:pPr>
            <w:r>
              <w:rPr>
                <w:rFonts w:ascii="Arial" w:hAnsi="Arial" w:cs="Arial"/>
              </w:rPr>
              <w:t>37</w:t>
            </w:r>
          </w:p>
          <w:p w14:paraId="7E352C49" w14:textId="2D717660" w:rsidR="001C048B" w:rsidRPr="00F45B03" w:rsidRDefault="001F652F" w:rsidP="00167E86">
            <w:pPr>
              <w:spacing w:before="240" w:after="0" w:line="360" w:lineRule="auto"/>
              <w:jc w:val="both"/>
              <w:rPr>
                <w:rFonts w:ascii="Arial" w:hAnsi="Arial" w:cs="Arial"/>
              </w:rPr>
            </w:pPr>
            <w:r>
              <w:rPr>
                <w:rFonts w:ascii="Arial" w:hAnsi="Arial" w:cs="Arial"/>
              </w:rPr>
              <w:t>40</w:t>
            </w:r>
          </w:p>
        </w:tc>
      </w:tr>
      <w:tr w:rsidR="00C03450" w:rsidRPr="00F45B03" w14:paraId="470B2CCA" w14:textId="77777777" w:rsidTr="001C048B">
        <w:trPr>
          <w:trHeight w:val="596"/>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EECB8FD" w14:textId="7B77CE8E" w:rsidR="00C03450" w:rsidRPr="00F45B03" w:rsidRDefault="00C03450" w:rsidP="00167E86">
            <w:pPr>
              <w:spacing w:before="240" w:after="0" w:line="360" w:lineRule="auto"/>
              <w:jc w:val="both"/>
              <w:rPr>
                <w:rFonts w:ascii="Arial" w:hAnsi="Arial" w:cs="Arial"/>
              </w:rPr>
            </w:pPr>
            <w:r w:rsidRPr="00F45B03">
              <w:rPr>
                <w:rFonts w:ascii="Arial" w:hAnsi="Arial" w:cs="Arial"/>
              </w:rPr>
              <w:t>Table 3.</w:t>
            </w:r>
            <w:r w:rsidR="001C048B" w:rsidRPr="00F45B03">
              <w:rPr>
                <w:rFonts w:ascii="Arial" w:hAnsi="Arial" w:cs="Arial"/>
              </w:rPr>
              <w:t>8</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A818B31"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CASP Critical Appraisal of Included Studies</w:t>
            </w: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6C5A300" w14:textId="7D0DFB8C" w:rsidR="00C03450" w:rsidRPr="00F45B03" w:rsidRDefault="000201C9" w:rsidP="00167E86">
            <w:pPr>
              <w:spacing w:before="240" w:after="0" w:line="360" w:lineRule="auto"/>
              <w:jc w:val="both"/>
              <w:rPr>
                <w:rFonts w:ascii="Arial" w:hAnsi="Arial" w:cs="Arial"/>
              </w:rPr>
            </w:pPr>
            <w:r>
              <w:rPr>
                <w:rFonts w:ascii="Arial" w:hAnsi="Arial" w:cs="Arial"/>
              </w:rPr>
              <w:t>4</w:t>
            </w:r>
            <w:r w:rsidR="001F652F">
              <w:rPr>
                <w:rFonts w:ascii="Arial" w:hAnsi="Arial" w:cs="Arial"/>
              </w:rPr>
              <w:t>3</w:t>
            </w:r>
          </w:p>
        </w:tc>
      </w:tr>
      <w:tr w:rsidR="00C03450" w:rsidRPr="00F45B03" w14:paraId="6ADD5BDC" w14:textId="77777777" w:rsidTr="001C048B">
        <w:trPr>
          <w:trHeight w:val="577"/>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2C2098B" w14:textId="62804112" w:rsidR="00C03450" w:rsidRPr="00F45B03" w:rsidRDefault="00C03450" w:rsidP="00167E86">
            <w:pPr>
              <w:spacing w:before="240" w:after="0" w:line="360" w:lineRule="auto"/>
              <w:jc w:val="both"/>
              <w:rPr>
                <w:rFonts w:ascii="Arial" w:hAnsi="Arial" w:cs="Arial"/>
              </w:rPr>
            </w:pPr>
            <w:r w:rsidRPr="00F45B03">
              <w:rPr>
                <w:rFonts w:ascii="Arial" w:hAnsi="Arial" w:cs="Arial"/>
              </w:rPr>
              <w:t>Table 3.7</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8F4C9E7" w14:textId="2E9A3DD5" w:rsidR="00C03450" w:rsidRPr="00F45B03" w:rsidRDefault="001C048B" w:rsidP="00167E86">
            <w:pPr>
              <w:spacing w:before="240" w:after="0" w:line="360" w:lineRule="auto"/>
              <w:jc w:val="both"/>
              <w:rPr>
                <w:rFonts w:ascii="Arial" w:hAnsi="Arial" w:cs="Arial"/>
              </w:rPr>
            </w:pPr>
            <w:r w:rsidRPr="00F45B03">
              <w:rPr>
                <w:rFonts w:ascii="Arial" w:hAnsi="Arial" w:cs="Arial"/>
              </w:rPr>
              <w:t xml:space="preserve">Quality rating categories </w:t>
            </w:r>
            <w:r w:rsidR="002D57D7" w:rsidRPr="00F45B03">
              <w:rPr>
                <w:rFonts w:ascii="Arial" w:hAnsi="Arial" w:cs="Arial"/>
              </w:rPr>
              <w:t>s</w:t>
            </w: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1F2636F" w14:textId="2968A9D9" w:rsidR="00C03450" w:rsidRPr="00F45B03" w:rsidRDefault="000201C9" w:rsidP="00167E86">
            <w:pPr>
              <w:spacing w:before="240" w:after="0" w:line="360" w:lineRule="auto"/>
              <w:jc w:val="both"/>
              <w:rPr>
                <w:rFonts w:ascii="Arial" w:hAnsi="Arial" w:cs="Arial"/>
              </w:rPr>
            </w:pPr>
            <w:r>
              <w:rPr>
                <w:rFonts w:ascii="Arial" w:hAnsi="Arial" w:cs="Arial"/>
              </w:rPr>
              <w:t>4</w:t>
            </w:r>
            <w:r w:rsidR="00425AD2">
              <w:rPr>
                <w:rFonts w:ascii="Arial" w:hAnsi="Arial" w:cs="Arial"/>
              </w:rPr>
              <w:t>2</w:t>
            </w:r>
          </w:p>
        </w:tc>
      </w:tr>
      <w:tr w:rsidR="00C03450" w:rsidRPr="00F45B03" w14:paraId="4396001F" w14:textId="77777777" w:rsidTr="001C048B">
        <w:trPr>
          <w:trHeight w:val="617"/>
        </w:trPr>
        <w:tc>
          <w:tcPr>
            <w:tcW w:w="104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919EC26"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Table 4.1</w:t>
            </w:r>
          </w:p>
        </w:tc>
        <w:tc>
          <w:tcPr>
            <w:tcW w:w="722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28556EF"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Characteristics of Included Studies (2016–2026)</w:t>
            </w:r>
          </w:p>
        </w:tc>
        <w:tc>
          <w:tcPr>
            <w:tcW w:w="99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064BC3B" w14:textId="792D5D23" w:rsidR="00C03450" w:rsidRPr="00F45B03" w:rsidRDefault="00D25B82" w:rsidP="00167E86">
            <w:pPr>
              <w:spacing w:before="240" w:after="0" w:line="360" w:lineRule="auto"/>
              <w:jc w:val="both"/>
              <w:rPr>
                <w:rFonts w:ascii="Arial" w:hAnsi="Arial" w:cs="Arial"/>
              </w:rPr>
            </w:pPr>
            <w:r>
              <w:rPr>
                <w:rFonts w:ascii="Arial" w:hAnsi="Arial" w:cs="Arial"/>
              </w:rPr>
              <w:t>4</w:t>
            </w:r>
            <w:r w:rsidR="00425AD2">
              <w:rPr>
                <w:rFonts w:ascii="Arial" w:hAnsi="Arial" w:cs="Arial"/>
              </w:rPr>
              <w:t>6</w:t>
            </w:r>
          </w:p>
        </w:tc>
      </w:tr>
      <w:tr w:rsidR="00C03450" w:rsidRPr="00F45B03" w14:paraId="72D924DB" w14:textId="77777777" w:rsidTr="001C048B">
        <w:trPr>
          <w:trHeight w:val="596"/>
        </w:trPr>
        <w:tc>
          <w:tcPr>
            <w:tcW w:w="1048" w:type="dxa"/>
            <w:tcBorders>
              <w:top w:val="single" w:sz="4" w:space="0" w:color="000000"/>
              <w:left w:val="single" w:sz="4" w:space="0" w:color="000000"/>
              <w:right w:val="single" w:sz="4" w:space="0" w:color="000000"/>
            </w:tcBorders>
            <w:tcMar>
              <w:top w:w="15" w:type="dxa"/>
              <w:left w:w="15" w:type="dxa"/>
              <w:bottom w:w="15" w:type="dxa"/>
              <w:right w:w="15" w:type="dxa"/>
            </w:tcMar>
            <w:vAlign w:val="center"/>
          </w:tcPr>
          <w:p w14:paraId="6C8F8A30"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Table 4.2</w:t>
            </w:r>
          </w:p>
        </w:tc>
        <w:tc>
          <w:tcPr>
            <w:tcW w:w="7228" w:type="dxa"/>
            <w:tcBorders>
              <w:top w:val="single" w:sz="4" w:space="0" w:color="000000"/>
              <w:left w:val="single" w:sz="4" w:space="0" w:color="000000"/>
              <w:right w:val="single" w:sz="4" w:space="0" w:color="000000"/>
            </w:tcBorders>
            <w:tcMar>
              <w:top w:w="15" w:type="dxa"/>
              <w:left w:w="15" w:type="dxa"/>
              <w:bottom w:w="15" w:type="dxa"/>
              <w:right w:w="15" w:type="dxa"/>
            </w:tcMar>
            <w:vAlign w:val="center"/>
          </w:tcPr>
          <w:p w14:paraId="59B546FA" w14:textId="77777777" w:rsidR="00C03450" w:rsidRPr="00F45B03" w:rsidRDefault="00C03450" w:rsidP="00167E86">
            <w:pPr>
              <w:spacing w:before="240" w:after="0" w:line="360" w:lineRule="auto"/>
              <w:jc w:val="both"/>
              <w:rPr>
                <w:rFonts w:ascii="Arial" w:hAnsi="Arial" w:cs="Arial"/>
              </w:rPr>
            </w:pPr>
            <w:r w:rsidRPr="00F45B03">
              <w:rPr>
                <w:rFonts w:ascii="Arial" w:hAnsi="Arial" w:cs="Arial"/>
              </w:rPr>
              <w:t>Summary of Findings by Theme</w:t>
            </w:r>
          </w:p>
        </w:tc>
        <w:tc>
          <w:tcPr>
            <w:tcW w:w="991" w:type="dxa"/>
            <w:tcBorders>
              <w:top w:val="single" w:sz="4" w:space="0" w:color="000000"/>
              <w:left w:val="single" w:sz="4" w:space="0" w:color="000000"/>
              <w:right w:val="single" w:sz="4" w:space="0" w:color="000000"/>
            </w:tcBorders>
            <w:tcMar>
              <w:top w:w="15" w:type="dxa"/>
              <w:left w:w="15" w:type="dxa"/>
              <w:bottom w:w="15" w:type="dxa"/>
              <w:right w:w="15" w:type="dxa"/>
            </w:tcMar>
            <w:vAlign w:val="center"/>
          </w:tcPr>
          <w:p w14:paraId="1A70C242" w14:textId="1DCF8C22" w:rsidR="00C03450" w:rsidRPr="00F45B03" w:rsidRDefault="0016061B" w:rsidP="00167E86">
            <w:pPr>
              <w:spacing w:before="240" w:after="0" w:line="360" w:lineRule="auto"/>
              <w:jc w:val="both"/>
              <w:rPr>
                <w:rFonts w:ascii="Arial" w:hAnsi="Arial" w:cs="Arial"/>
              </w:rPr>
            </w:pPr>
            <w:r>
              <w:rPr>
                <w:rFonts w:ascii="Arial" w:hAnsi="Arial" w:cs="Arial"/>
              </w:rPr>
              <w:t>51</w:t>
            </w:r>
          </w:p>
        </w:tc>
      </w:tr>
    </w:tbl>
    <w:p w14:paraId="3CD78721" w14:textId="77777777" w:rsidR="00170AC9" w:rsidRPr="00F45B03" w:rsidRDefault="00170AC9" w:rsidP="00167E86">
      <w:pPr>
        <w:spacing w:before="240" w:after="0" w:line="360" w:lineRule="auto"/>
        <w:jc w:val="both"/>
        <w:rPr>
          <w:rFonts w:ascii="Arial" w:hAnsi="Arial" w:cs="Arial"/>
        </w:rPr>
      </w:pPr>
      <w:r w:rsidRPr="00F45B03">
        <w:rPr>
          <w:rFonts w:ascii="Arial" w:hAnsi="Arial" w:cs="Arial"/>
        </w:rPr>
        <w:t>LIST OF FIGURES</w:t>
      </w:r>
    </w:p>
    <w:tbl>
      <w:tblPr>
        <w:tblW w:w="6279" w:type="dxa"/>
        <w:tblCellMar>
          <w:left w:w="10" w:type="dxa"/>
          <w:right w:w="10" w:type="dxa"/>
        </w:tblCellMar>
        <w:tblLook w:val="0000" w:firstRow="0" w:lastRow="0" w:firstColumn="0" w:lastColumn="0" w:noHBand="0" w:noVBand="0"/>
      </w:tblPr>
      <w:tblGrid>
        <w:gridCol w:w="1183"/>
        <w:gridCol w:w="4485"/>
        <w:gridCol w:w="611"/>
      </w:tblGrid>
      <w:tr w:rsidR="00170AC9" w:rsidRPr="00F45B03" w14:paraId="0E673FEB" w14:textId="77777777" w:rsidTr="000C7CEB">
        <w:trPr>
          <w:tblHeader/>
        </w:trPr>
        <w:tc>
          <w:tcPr>
            <w:tcW w:w="118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367C5E5" w14:textId="77777777" w:rsidR="00170AC9" w:rsidRPr="00F45B03" w:rsidRDefault="00170AC9" w:rsidP="00167E86">
            <w:pPr>
              <w:spacing w:before="240" w:after="0" w:line="360" w:lineRule="auto"/>
              <w:jc w:val="both"/>
              <w:rPr>
                <w:rFonts w:ascii="Arial" w:hAnsi="Arial" w:cs="Arial"/>
              </w:rPr>
            </w:pPr>
            <w:r w:rsidRPr="00F45B03">
              <w:rPr>
                <w:rFonts w:ascii="Arial" w:hAnsi="Arial" w:cs="Arial"/>
              </w:rPr>
              <w:t>Figure No.</w:t>
            </w:r>
          </w:p>
        </w:tc>
        <w:tc>
          <w:tcPr>
            <w:tcW w:w="4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F1FB1EB" w14:textId="77777777" w:rsidR="00170AC9" w:rsidRPr="00F45B03" w:rsidRDefault="00170AC9" w:rsidP="00167E86">
            <w:pPr>
              <w:spacing w:before="240" w:after="0" w:line="360" w:lineRule="auto"/>
              <w:jc w:val="both"/>
              <w:rPr>
                <w:rFonts w:ascii="Arial" w:hAnsi="Arial" w:cs="Arial"/>
              </w:rPr>
            </w:pPr>
            <w:r w:rsidRPr="00F45B03">
              <w:rPr>
                <w:rFonts w:ascii="Arial" w:hAnsi="Arial" w:cs="Arial"/>
              </w:rPr>
              <w:t>Title</w:t>
            </w:r>
          </w:p>
        </w:tc>
        <w:tc>
          <w:tcPr>
            <w:tcW w:w="61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DF94209" w14:textId="77777777" w:rsidR="00170AC9" w:rsidRPr="00F45B03" w:rsidRDefault="00170AC9" w:rsidP="00167E86">
            <w:pPr>
              <w:spacing w:before="240" w:after="0" w:line="360" w:lineRule="auto"/>
              <w:jc w:val="both"/>
              <w:rPr>
                <w:rFonts w:ascii="Arial" w:hAnsi="Arial" w:cs="Arial"/>
              </w:rPr>
            </w:pPr>
            <w:r w:rsidRPr="00F45B03">
              <w:rPr>
                <w:rFonts w:ascii="Arial" w:hAnsi="Arial" w:cs="Arial"/>
              </w:rPr>
              <w:t>Page</w:t>
            </w:r>
          </w:p>
        </w:tc>
      </w:tr>
      <w:tr w:rsidR="007C3FFF" w:rsidRPr="00F45B03" w14:paraId="5382DE41" w14:textId="77777777" w:rsidTr="000C7CEB">
        <w:tc>
          <w:tcPr>
            <w:tcW w:w="118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39198FE" w14:textId="611A3588" w:rsidR="007C3FFF" w:rsidRPr="00F45B03" w:rsidRDefault="002800A5" w:rsidP="00167E86">
            <w:pPr>
              <w:spacing w:before="240" w:after="0" w:line="360" w:lineRule="auto"/>
              <w:jc w:val="both"/>
              <w:rPr>
                <w:rFonts w:ascii="Arial" w:hAnsi="Arial" w:cs="Arial"/>
              </w:rPr>
            </w:pPr>
            <w:r>
              <w:rPr>
                <w:rFonts w:ascii="Arial" w:hAnsi="Arial" w:cs="Arial"/>
              </w:rPr>
              <w:t>F</w:t>
            </w:r>
            <w:r>
              <w:t>igure 2.1</w:t>
            </w:r>
          </w:p>
        </w:tc>
        <w:tc>
          <w:tcPr>
            <w:tcW w:w="4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74083D9" w14:textId="6CF67C8D" w:rsidR="002800A5" w:rsidRPr="00F45B03" w:rsidRDefault="002800A5" w:rsidP="00167E86">
            <w:pPr>
              <w:pStyle w:val="Heading3"/>
              <w:spacing w:line="360" w:lineRule="auto"/>
              <w:jc w:val="both"/>
              <w:rPr>
                <w:rFonts w:ascii="Arial" w:hAnsi="Arial" w:cs="Arial"/>
                <w:color w:val="000000" w:themeColor="text1"/>
                <w:sz w:val="22"/>
                <w:szCs w:val="22"/>
              </w:rPr>
            </w:pPr>
            <w:r w:rsidRPr="00F45B03">
              <w:rPr>
                <w:rStyle w:val="Strong"/>
                <w:rFonts w:ascii="Arial" w:hAnsi="Arial" w:cs="Arial"/>
                <w:b/>
                <w:bCs/>
                <w:color w:val="000000" w:themeColor="text1"/>
                <w:sz w:val="22"/>
                <w:szCs w:val="22"/>
              </w:rPr>
              <w:t>Age</w:t>
            </w:r>
            <w:r w:rsidRPr="00F45B03">
              <w:rPr>
                <w:rStyle w:val="Strong"/>
                <w:rFonts w:ascii="Arial" w:hAnsi="Arial" w:cs="Arial"/>
                <w:b/>
                <w:bCs/>
                <w:color w:val="000000" w:themeColor="text1"/>
                <w:sz w:val="22"/>
                <w:szCs w:val="22"/>
              </w:rPr>
              <w:noBreakHyphen/>
              <w:t>specific DALY rates across Socio</w:t>
            </w:r>
            <w:r w:rsidRPr="00F45B03">
              <w:rPr>
                <w:rStyle w:val="Strong"/>
                <w:rFonts w:ascii="Arial" w:hAnsi="Arial" w:cs="Arial"/>
                <w:b/>
                <w:bCs/>
                <w:color w:val="000000" w:themeColor="text1"/>
                <w:sz w:val="22"/>
                <w:szCs w:val="22"/>
              </w:rPr>
              <w:noBreakHyphen/>
              <w:t>demographic Index (SDI) groups</w:t>
            </w:r>
          </w:p>
          <w:p w14:paraId="03A6E773" w14:textId="77777777" w:rsidR="007C3FFF" w:rsidRPr="00F45B03" w:rsidRDefault="007C3FFF" w:rsidP="00167E86">
            <w:pPr>
              <w:spacing w:before="240" w:after="0" w:line="360" w:lineRule="auto"/>
              <w:jc w:val="both"/>
              <w:rPr>
                <w:rFonts w:ascii="Arial" w:hAnsi="Arial" w:cs="Arial"/>
              </w:rPr>
            </w:pPr>
          </w:p>
        </w:tc>
        <w:tc>
          <w:tcPr>
            <w:tcW w:w="61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509C978" w14:textId="5D4D1A1A" w:rsidR="007C3FFF" w:rsidRPr="00F45B03" w:rsidRDefault="0016061B" w:rsidP="00167E86">
            <w:pPr>
              <w:spacing w:before="240" w:after="0" w:line="360" w:lineRule="auto"/>
              <w:jc w:val="both"/>
              <w:rPr>
                <w:rFonts w:ascii="Arial" w:hAnsi="Arial" w:cs="Arial"/>
              </w:rPr>
            </w:pPr>
            <w:r>
              <w:rPr>
                <w:rFonts w:ascii="Arial" w:hAnsi="Arial" w:cs="Arial"/>
              </w:rPr>
              <w:t>17</w:t>
            </w:r>
          </w:p>
        </w:tc>
      </w:tr>
      <w:tr w:rsidR="00170AC9" w:rsidRPr="00F45B03" w14:paraId="3D823095" w14:textId="77777777" w:rsidTr="000C7CEB">
        <w:tc>
          <w:tcPr>
            <w:tcW w:w="118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A0BDC89" w14:textId="77777777" w:rsidR="00170AC9" w:rsidRPr="00F45B03" w:rsidRDefault="00170AC9" w:rsidP="00167E86">
            <w:pPr>
              <w:spacing w:before="240" w:after="0" w:line="360" w:lineRule="auto"/>
              <w:jc w:val="both"/>
              <w:rPr>
                <w:rFonts w:ascii="Arial" w:hAnsi="Arial" w:cs="Arial"/>
              </w:rPr>
            </w:pPr>
            <w:r w:rsidRPr="00F45B03">
              <w:rPr>
                <w:rFonts w:ascii="Arial" w:hAnsi="Arial" w:cs="Arial"/>
              </w:rPr>
              <w:t>Figure 3.1</w:t>
            </w:r>
          </w:p>
        </w:tc>
        <w:tc>
          <w:tcPr>
            <w:tcW w:w="44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4183628" w14:textId="77777777" w:rsidR="00170AC9" w:rsidRPr="00F45B03" w:rsidRDefault="00170AC9" w:rsidP="00167E86">
            <w:pPr>
              <w:spacing w:before="240" w:after="0" w:line="360" w:lineRule="auto"/>
              <w:jc w:val="both"/>
              <w:rPr>
                <w:rFonts w:ascii="Arial" w:hAnsi="Arial" w:cs="Arial"/>
              </w:rPr>
            </w:pPr>
            <w:r w:rsidRPr="00F45B03">
              <w:rPr>
                <w:rFonts w:ascii="Arial" w:hAnsi="Arial" w:cs="Arial"/>
              </w:rPr>
              <w:t>PRISMA Flow Diagram of Study Selection</w:t>
            </w:r>
          </w:p>
        </w:tc>
        <w:tc>
          <w:tcPr>
            <w:tcW w:w="61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FE273D2" w14:textId="1C1D101E" w:rsidR="00170AC9" w:rsidRPr="00F45B03" w:rsidRDefault="004A553C" w:rsidP="00167E86">
            <w:pPr>
              <w:spacing w:before="240" w:after="0" w:line="360" w:lineRule="auto"/>
              <w:jc w:val="both"/>
              <w:rPr>
                <w:rFonts w:ascii="Arial" w:hAnsi="Arial" w:cs="Arial"/>
              </w:rPr>
            </w:pPr>
            <w:r w:rsidRPr="00F45B03">
              <w:rPr>
                <w:rFonts w:ascii="Arial" w:hAnsi="Arial" w:cs="Arial"/>
              </w:rPr>
              <w:t>3</w:t>
            </w:r>
            <w:r w:rsidR="00B954BA">
              <w:rPr>
                <w:rFonts w:ascii="Arial" w:hAnsi="Arial" w:cs="Arial"/>
              </w:rPr>
              <w:t>8</w:t>
            </w:r>
          </w:p>
        </w:tc>
      </w:tr>
    </w:tbl>
    <w:p w14:paraId="468E902E" w14:textId="77777777" w:rsidR="00170AC9" w:rsidRPr="00F45B03" w:rsidRDefault="00170AC9" w:rsidP="00167E86">
      <w:pPr>
        <w:spacing w:before="240" w:after="0" w:line="360" w:lineRule="auto"/>
        <w:jc w:val="both"/>
        <w:rPr>
          <w:rFonts w:ascii="Arial" w:hAnsi="Arial" w:cs="Arial"/>
        </w:rPr>
      </w:pPr>
    </w:p>
    <w:p w14:paraId="6800C839" w14:textId="010E316A" w:rsidR="00E55792" w:rsidRPr="00F45B03" w:rsidRDefault="00E55792" w:rsidP="00167E86">
      <w:pPr>
        <w:spacing w:line="360" w:lineRule="auto"/>
        <w:jc w:val="both"/>
        <w:rPr>
          <w:rFonts w:ascii="Arial" w:hAnsi="Arial" w:cs="Arial"/>
        </w:rPr>
      </w:pPr>
    </w:p>
    <w:p w14:paraId="13777CF3" w14:textId="77777777" w:rsidR="008D0C99" w:rsidRDefault="008D0C99" w:rsidP="00167E86">
      <w:pPr>
        <w:pStyle w:val="Heading1"/>
        <w:spacing w:line="360" w:lineRule="auto"/>
        <w:jc w:val="both"/>
        <w:rPr>
          <w:rStyle w:val="Strong"/>
          <w:rFonts w:ascii="Arial" w:hAnsi="Arial" w:cs="Arial"/>
          <w:b w:val="0"/>
          <w:bCs w:val="0"/>
          <w:sz w:val="22"/>
          <w:szCs w:val="22"/>
        </w:rPr>
      </w:pPr>
    </w:p>
    <w:p w14:paraId="48165505" w14:textId="77777777" w:rsidR="008D0C99" w:rsidRDefault="008D0C99" w:rsidP="00167E86">
      <w:pPr>
        <w:pStyle w:val="Heading1"/>
        <w:spacing w:line="360" w:lineRule="auto"/>
        <w:jc w:val="both"/>
        <w:rPr>
          <w:rStyle w:val="Strong"/>
          <w:rFonts w:ascii="Arial" w:hAnsi="Arial" w:cs="Arial"/>
          <w:b w:val="0"/>
          <w:bCs w:val="0"/>
          <w:sz w:val="22"/>
          <w:szCs w:val="22"/>
        </w:rPr>
      </w:pPr>
    </w:p>
    <w:p w14:paraId="3F53966B" w14:textId="6A011F30" w:rsidR="00742E0C" w:rsidRPr="001B1E2D" w:rsidRDefault="00742E0C" w:rsidP="00167E86">
      <w:pPr>
        <w:pStyle w:val="Heading1"/>
        <w:spacing w:line="360" w:lineRule="auto"/>
        <w:jc w:val="both"/>
        <w:rPr>
          <w:rFonts w:ascii="Arial" w:hAnsi="Arial" w:cs="Arial"/>
          <w:sz w:val="22"/>
          <w:szCs w:val="22"/>
        </w:rPr>
      </w:pPr>
      <w:r w:rsidRPr="001B1E2D">
        <w:rPr>
          <w:rStyle w:val="Strong"/>
          <w:rFonts w:ascii="Arial" w:hAnsi="Arial" w:cs="Arial"/>
          <w:b w:val="0"/>
          <w:bCs w:val="0"/>
          <w:sz w:val="22"/>
          <w:szCs w:val="22"/>
        </w:rPr>
        <w:t>Abbreviation List</w:t>
      </w:r>
    </w:p>
    <w:p w14:paraId="0477F331"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AI</w:t>
      </w:r>
      <w:r w:rsidRPr="001B1E2D">
        <w:rPr>
          <w:rFonts w:ascii="Arial" w:hAnsi="Arial" w:cs="Arial"/>
          <w:sz w:val="22"/>
          <w:szCs w:val="22"/>
        </w:rPr>
        <w:t xml:space="preserve"> – Artificial Intelligence </w:t>
      </w:r>
    </w:p>
    <w:p w14:paraId="48D85C7D"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AHA</w:t>
      </w:r>
      <w:r w:rsidRPr="001B1E2D">
        <w:rPr>
          <w:rFonts w:ascii="Arial" w:hAnsi="Arial" w:cs="Arial"/>
          <w:sz w:val="22"/>
          <w:szCs w:val="22"/>
        </w:rPr>
        <w:t xml:space="preserve"> – American Heart Association </w:t>
      </w:r>
    </w:p>
    <w:p w14:paraId="3A7383A7"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AJPH</w:t>
      </w:r>
      <w:r w:rsidRPr="001B1E2D">
        <w:rPr>
          <w:rFonts w:ascii="Arial" w:hAnsi="Arial" w:cs="Arial"/>
          <w:sz w:val="22"/>
          <w:szCs w:val="22"/>
        </w:rPr>
        <w:t xml:space="preserve"> – American Journal of Public Health</w:t>
      </w:r>
    </w:p>
    <w:p w14:paraId="7DCB4794"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BHF</w:t>
      </w:r>
      <w:r w:rsidRPr="001B1E2D">
        <w:rPr>
          <w:rFonts w:ascii="Arial" w:hAnsi="Arial" w:cs="Arial"/>
          <w:sz w:val="22"/>
          <w:szCs w:val="22"/>
        </w:rPr>
        <w:t xml:space="preserve"> – British Heart Foundation </w:t>
      </w:r>
    </w:p>
    <w:p w14:paraId="02733F69"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BMJ</w:t>
      </w:r>
      <w:r w:rsidRPr="001B1E2D">
        <w:rPr>
          <w:rFonts w:ascii="Arial" w:hAnsi="Arial" w:cs="Arial"/>
          <w:sz w:val="22"/>
          <w:szCs w:val="22"/>
        </w:rPr>
        <w:t xml:space="preserve"> – British Medical Journal </w:t>
      </w:r>
    </w:p>
    <w:p w14:paraId="3117A23F"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CASP</w:t>
      </w:r>
      <w:r w:rsidRPr="001B1E2D">
        <w:rPr>
          <w:rFonts w:ascii="Arial" w:hAnsi="Arial" w:cs="Arial"/>
          <w:sz w:val="22"/>
          <w:szCs w:val="22"/>
        </w:rPr>
        <w:t xml:space="preserve"> – Critical Appraisal Skills Programme </w:t>
      </w:r>
    </w:p>
    <w:p w14:paraId="1B467DB0"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CINAHL</w:t>
      </w:r>
      <w:r w:rsidRPr="001B1E2D">
        <w:rPr>
          <w:rFonts w:ascii="Arial" w:hAnsi="Arial" w:cs="Arial"/>
          <w:sz w:val="22"/>
          <w:szCs w:val="22"/>
        </w:rPr>
        <w:t xml:space="preserve"> – Cumulative Index to Nursing and Allied Health Literature </w:t>
      </w:r>
    </w:p>
    <w:p w14:paraId="7E70ECC7"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CR</w:t>
      </w:r>
      <w:r w:rsidRPr="001B1E2D">
        <w:rPr>
          <w:rFonts w:ascii="Arial" w:hAnsi="Arial" w:cs="Arial"/>
          <w:sz w:val="22"/>
          <w:szCs w:val="22"/>
        </w:rPr>
        <w:t xml:space="preserve"> – Cardiac Rehabilitation </w:t>
      </w:r>
    </w:p>
    <w:p w14:paraId="0D07782A"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CVD</w:t>
      </w:r>
      <w:r w:rsidRPr="001B1E2D">
        <w:rPr>
          <w:rFonts w:ascii="Arial" w:hAnsi="Arial" w:cs="Arial"/>
          <w:sz w:val="22"/>
          <w:szCs w:val="22"/>
        </w:rPr>
        <w:t xml:space="preserve"> – </w:t>
      </w:r>
      <w:proofErr w:type="gramStart"/>
      <w:r w:rsidRPr="001B1E2D">
        <w:rPr>
          <w:rFonts w:ascii="Arial" w:hAnsi="Arial" w:cs="Arial"/>
          <w:sz w:val="22"/>
          <w:szCs w:val="22"/>
        </w:rPr>
        <w:t>Cardiovascular Disease</w:t>
      </w:r>
      <w:proofErr w:type="gramEnd"/>
      <w:r w:rsidRPr="001B1E2D">
        <w:rPr>
          <w:rFonts w:ascii="Arial" w:hAnsi="Arial" w:cs="Arial"/>
          <w:sz w:val="22"/>
          <w:szCs w:val="22"/>
        </w:rPr>
        <w:t xml:space="preserve"> </w:t>
      </w:r>
    </w:p>
    <w:p w14:paraId="097A98FF"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DALYs</w:t>
      </w:r>
      <w:r w:rsidRPr="001B1E2D">
        <w:rPr>
          <w:rFonts w:ascii="Arial" w:hAnsi="Arial" w:cs="Arial"/>
          <w:sz w:val="22"/>
          <w:szCs w:val="22"/>
        </w:rPr>
        <w:t xml:space="preserve"> – Disability-Adjusted Life Years</w:t>
      </w:r>
    </w:p>
    <w:p w14:paraId="69C221CE"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ESC</w:t>
      </w:r>
      <w:r w:rsidRPr="001B1E2D">
        <w:rPr>
          <w:rFonts w:ascii="Arial" w:hAnsi="Arial" w:cs="Arial"/>
          <w:sz w:val="22"/>
          <w:szCs w:val="22"/>
        </w:rPr>
        <w:t xml:space="preserve"> – European Society of Cardiology </w:t>
      </w:r>
    </w:p>
    <w:p w14:paraId="7482E419"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GBD</w:t>
      </w:r>
      <w:r w:rsidRPr="001B1E2D">
        <w:rPr>
          <w:rFonts w:ascii="Arial" w:hAnsi="Arial" w:cs="Arial"/>
          <w:sz w:val="22"/>
          <w:szCs w:val="22"/>
        </w:rPr>
        <w:t xml:space="preserve"> – Global Burden of Disease</w:t>
      </w:r>
    </w:p>
    <w:p w14:paraId="26DC5B0B"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HBM</w:t>
      </w:r>
      <w:r w:rsidRPr="001B1E2D">
        <w:rPr>
          <w:rFonts w:ascii="Arial" w:hAnsi="Arial" w:cs="Arial"/>
          <w:sz w:val="22"/>
          <w:szCs w:val="22"/>
        </w:rPr>
        <w:t xml:space="preserve"> – Health Belief Model </w:t>
      </w:r>
    </w:p>
    <w:p w14:paraId="29C60439"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HF</w:t>
      </w:r>
      <w:r w:rsidRPr="001B1E2D">
        <w:rPr>
          <w:rFonts w:ascii="Arial" w:hAnsi="Arial" w:cs="Arial"/>
          <w:sz w:val="22"/>
          <w:szCs w:val="22"/>
        </w:rPr>
        <w:t xml:space="preserve"> – Heart Failure</w:t>
      </w:r>
    </w:p>
    <w:p w14:paraId="1591628A"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HL</w:t>
      </w:r>
      <w:r w:rsidRPr="001B1E2D">
        <w:rPr>
          <w:rFonts w:ascii="Arial" w:hAnsi="Arial" w:cs="Arial"/>
          <w:sz w:val="22"/>
          <w:szCs w:val="22"/>
        </w:rPr>
        <w:t xml:space="preserve"> – Health Literacy </w:t>
      </w:r>
    </w:p>
    <w:p w14:paraId="4CA6274B"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JBI</w:t>
      </w:r>
      <w:r w:rsidRPr="001B1E2D">
        <w:rPr>
          <w:rFonts w:ascii="Arial" w:hAnsi="Arial" w:cs="Arial"/>
          <w:sz w:val="22"/>
          <w:szCs w:val="22"/>
        </w:rPr>
        <w:t xml:space="preserve"> – Joanna Briggs Institute </w:t>
      </w:r>
    </w:p>
    <w:p w14:paraId="78129C51"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JAMA</w:t>
      </w:r>
      <w:r w:rsidRPr="001B1E2D">
        <w:rPr>
          <w:rFonts w:ascii="Arial" w:hAnsi="Arial" w:cs="Arial"/>
          <w:sz w:val="22"/>
          <w:szCs w:val="22"/>
        </w:rPr>
        <w:t xml:space="preserve"> – Journal of the American Medical Association</w:t>
      </w:r>
    </w:p>
    <w:p w14:paraId="156C6ECF"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MET</w:t>
      </w:r>
      <w:r w:rsidRPr="001B1E2D">
        <w:rPr>
          <w:rFonts w:ascii="Arial" w:hAnsi="Arial" w:cs="Arial"/>
          <w:sz w:val="22"/>
          <w:szCs w:val="22"/>
        </w:rPr>
        <w:t xml:space="preserve"> – Metabolic Equivalent of Task</w:t>
      </w:r>
    </w:p>
    <w:p w14:paraId="69632C80"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lastRenderedPageBreak/>
        <w:t xml:space="preserve"> </w:t>
      </w:r>
      <w:r w:rsidRPr="001B1E2D">
        <w:rPr>
          <w:rStyle w:val="Strong"/>
          <w:rFonts w:ascii="Arial" w:hAnsi="Arial" w:cs="Arial"/>
          <w:sz w:val="22"/>
          <w:szCs w:val="22"/>
        </w:rPr>
        <w:t>MMAT</w:t>
      </w:r>
      <w:r w:rsidRPr="001B1E2D">
        <w:rPr>
          <w:rFonts w:ascii="Arial" w:hAnsi="Arial" w:cs="Arial"/>
          <w:sz w:val="22"/>
          <w:szCs w:val="22"/>
        </w:rPr>
        <w:t xml:space="preserve"> – Mixed Methods Appraisal Tool</w:t>
      </w:r>
    </w:p>
    <w:p w14:paraId="03433E48" w14:textId="29050238"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MI</w:t>
      </w:r>
      <w:r w:rsidRPr="001B1E2D">
        <w:rPr>
          <w:rFonts w:ascii="Arial" w:hAnsi="Arial" w:cs="Arial"/>
          <w:sz w:val="22"/>
          <w:szCs w:val="22"/>
        </w:rPr>
        <w:t xml:space="preserve"> – Myocardial Infarction </w:t>
      </w:r>
    </w:p>
    <w:p w14:paraId="7B687746"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NACR</w:t>
      </w:r>
      <w:r w:rsidRPr="001B1E2D">
        <w:rPr>
          <w:rFonts w:ascii="Arial" w:hAnsi="Arial" w:cs="Arial"/>
          <w:sz w:val="22"/>
          <w:szCs w:val="22"/>
        </w:rPr>
        <w:t xml:space="preserve"> – National Audit of Cardiac Rehabilitation</w:t>
      </w:r>
    </w:p>
    <w:p w14:paraId="3B362688"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NHS</w:t>
      </w:r>
      <w:r w:rsidRPr="001B1E2D">
        <w:rPr>
          <w:rFonts w:ascii="Arial" w:hAnsi="Arial" w:cs="Arial"/>
          <w:sz w:val="22"/>
          <w:szCs w:val="22"/>
        </w:rPr>
        <w:t xml:space="preserve"> – National Health Service</w:t>
      </w:r>
    </w:p>
    <w:p w14:paraId="33A82826"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NICE</w:t>
      </w:r>
      <w:r w:rsidRPr="001B1E2D">
        <w:rPr>
          <w:rFonts w:ascii="Arial" w:hAnsi="Arial" w:cs="Arial"/>
          <w:sz w:val="22"/>
          <w:szCs w:val="22"/>
        </w:rPr>
        <w:t xml:space="preserve"> – National Institute for Health and Care Excellence </w:t>
      </w:r>
    </w:p>
    <w:p w14:paraId="3E69AEBC"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NIHR</w:t>
      </w:r>
      <w:r w:rsidRPr="001B1E2D">
        <w:rPr>
          <w:rFonts w:ascii="Arial" w:hAnsi="Arial" w:cs="Arial"/>
          <w:sz w:val="22"/>
          <w:szCs w:val="22"/>
        </w:rPr>
        <w:t xml:space="preserve"> – National Institute for Health Research </w:t>
      </w:r>
    </w:p>
    <w:p w14:paraId="66F3EBE7"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OECD</w:t>
      </w:r>
      <w:r w:rsidRPr="001B1E2D">
        <w:rPr>
          <w:rFonts w:ascii="Arial" w:hAnsi="Arial" w:cs="Arial"/>
          <w:sz w:val="22"/>
          <w:szCs w:val="22"/>
        </w:rPr>
        <w:t xml:space="preserve"> – Organisation for Economic Co-operation and Development</w:t>
      </w:r>
    </w:p>
    <w:p w14:paraId="4B27E7B1"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PEO</w:t>
      </w:r>
      <w:r w:rsidRPr="001B1E2D">
        <w:rPr>
          <w:rFonts w:ascii="Arial" w:hAnsi="Arial" w:cs="Arial"/>
          <w:sz w:val="22"/>
          <w:szCs w:val="22"/>
        </w:rPr>
        <w:t xml:space="preserve"> – Population, Exposure, Outcome </w:t>
      </w:r>
    </w:p>
    <w:p w14:paraId="23FD990B"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PHE</w:t>
      </w:r>
      <w:r w:rsidRPr="001B1E2D">
        <w:rPr>
          <w:rFonts w:ascii="Arial" w:hAnsi="Arial" w:cs="Arial"/>
          <w:sz w:val="22"/>
          <w:szCs w:val="22"/>
        </w:rPr>
        <w:t xml:space="preserve"> – Public Health England </w:t>
      </w:r>
    </w:p>
    <w:p w14:paraId="7625FA8F"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PRISMA</w:t>
      </w:r>
      <w:r w:rsidRPr="001B1E2D">
        <w:rPr>
          <w:rFonts w:ascii="Arial" w:hAnsi="Arial" w:cs="Arial"/>
          <w:sz w:val="22"/>
          <w:szCs w:val="22"/>
        </w:rPr>
        <w:t xml:space="preserve"> – Preferred Reporting Items for Systematic Reviews and Meta-Analyses </w:t>
      </w:r>
    </w:p>
    <w:p w14:paraId="346C6052" w14:textId="3CB7E702"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QoL</w:t>
      </w:r>
      <w:r w:rsidRPr="001B1E2D">
        <w:rPr>
          <w:rFonts w:ascii="Arial" w:hAnsi="Arial" w:cs="Arial"/>
          <w:sz w:val="22"/>
          <w:szCs w:val="22"/>
        </w:rPr>
        <w:t xml:space="preserve"> – Quality of Life </w:t>
      </w:r>
    </w:p>
    <w:p w14:paraId="666E685C"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RCT</w:t>
      </w:r>
      <w:r w:rsidRPr="001B1E2D">
        <w:rPr>
          <w:rFonts w:ascii="Arial" w:hAnsi="Arial" w:cs="Arial"/>
          <w:sz w:val="22"/>
          <w:szCs w:val="22"/>
        </w:rPr>
        <w:t xml:space="preserve"> – Randomised Controlled Trial </w:t>
      </w:r>
    </w:p>
    <w:p w14:paraId="747E20AF"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SDH</w:t>
      </w:r>
      <w:r w:rsidRPr="001B1E2D">
        <w:rPr>
          <w:rFonts w:ascii="Arial" w:hAnsi="Arial" w:cs="Arial"/>
          <w:sz w:val="22"/>
          <w:szCs w:val="22"/>
        </w:rPr>
        <w:t xml:space="preserve"> – Social Determinants of Health </w:t>
      </w:r>
    </w:p>
    <w:p w14:paraId="3CE3F75B"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SDI</w:t>
      </w:r>
      <w:r w:rsidRPr="001B1E2D">
        <w:rPr>
          <w:rFonts w:ascii="Arial" w:hAnsi="Arial" w:cs="Arial"/>
          <w:sz w:val="22"/>
          <w:szCs w:val="22"/>
        </w:rPr>
        <w:t xml:space="preserve"> – Sociodemographic Index </w:t>
      </w:r>
    </w:p>
    <w:p w14:paraId="48E454D6" w14:textId="77777777"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SLR</w:t>
      </w:r>
      <w:r w:rsidRPr="001B1E2D">
        <w:rPr>
          <w:rFonts w:ascii="Arial" w:hAnsi="Arial" w:cs="Arial"/>
          <w:sz w:val="22"/>
          <w:szCs w:val="22"/>
        </w:rPr>
        <w:t xml:space="preserve"> – Systematic Literature Review</w:t>
      </w:r>
    </w:p>
    <w:p w14:paraId="1FCE4B39" w14:textId="77777777" w:rsidR="00742E0C" w:rsidRPr="001B1E2D" w:rsidRDefault="00742E0C" w:rsidP="00167E86">
      <w:pPr>
        <w:pStyle w:val="NormalWeb"/>
        <w:spacing w:line="360" w:lineRule="auto"/>
        <w:jc w:val="both"/>
        <w:rPr>
          <w:rFonts w:ascii="Arial" w:hAnsi="Arial" w:cs="Arial"/>
          <w:sz w:val="22"/>
          <w:szCs w:val="22"/>
        </w:rPr>
      </w:pPr>
      <w:r w:rsidRPr="001B1E2D">
        <w:rPr>
          <w:rFonts w:ascii="Arial" w:hAnsi="Arial" w:cs="Arial"/>
          <w:sz w:val="22"/>
          <w:szCs w:val="22"/>
        </w:rPr>
        <w:t xml:space="preserve"> </w:t>
      </w:r>
      <w:r w:rsidRPr="001B1E2D">
        <w:rPr>
          <w:rStyle w:val="Strong"/>
          <w:rFonts w:ascii="Arial" w:hAnsi="Arial" w:cs="Arial"/>
          <w:sz w:val="22"/>
          <w:szCs w:val="22"/>
        </w:rPr>
        <w:t>UK</w:t>
      </w:r>
      <w:r w:rsidRPr="001B1E2D">
        <w:rPr>
          <w:rFonts w:ascii="Arial" w:hAnsi="Arial" w:cs="Arial"/>
          <w:sz w:val="22"/>
          <w:szCs w:val="22"/>
        </w:rPr>
        <w:t xml:space="preserve"> – United Kingdom </w:t>
      </w:r>
    </w:p>
    <w:p w14:paraId="04BE61EA" w14:textId="7A977772" w:rsidR="00742E0C" w:rsidRPr="001B1E2D" w:rsidRDefault="00742E0C" w:rsidP="00167E86">
      <w:pPr>
        <w:pStyle w:val="NormalWeb"/>
        <w:spacing w:line="360" w:lineRule="auto"/>
        <w:jc w:val="both"/>
        <w:rPr>
          <w:rFonts w:ascii="Arial" w:hAnsi="Arial" w:cs="Arial"/>
          <w:sz w:val="22"/>
          <w:szCs w:val="22"/>
        </w:rPr>
      </w:pPr>
      <w:r w:rsidRPr="001B1E2D">
        <w:rPr>
          <w:rStyle w:val="Strong"/>
          <w:rFonts w:ascii="Arial" w:hAnsi="Arial" w:cs="Arial"/>
          <w:sz w:val="22"/>
          <w:szCs w:val="22"/>
        </w:rPr>
        <w:t>WHO</w:t>
      </w:r>
      <w:r w:rsidRPr="001B1E2D">
        <w:rPr>
          <w:rFonts w:ascii="Arial" w:hAnsi="Arial" w:cs="Arial"/>
          <w:sz w:val="22"/>
          <w:szCs w:val="22"/>
        </w:rPr>
        <w:t xml:space="preserve"> – World Health Organization</w:t>
      </w:r>
    </w:p>
    <w:p w14:paraId="188A68E8" w14:textId="5A3006B0" w:rsidR="00E55792" w:rsidRPr="00F45B03" w:rsidRDefault="00E55792" w:rsidP="00167E86">
      <w:pPr>
        <w:spacing w:line="360" w:lineRule="auto"/>
        <w:jc w:val="both"/>
        <w:rPr>
          <w:rFonts w:ascii="Arial" w:hAnsi="Arial" w:cs="Arial"/>
        </w:rPr>
      </w:pPr>
    </w:p>
    <w:p w14:paraId="7F7D76CC" w14:textId="47DA5632" w:rsidR="00E55792" w:rsidRPr="00F45B03" w:rsidRDefault="00E55792" w:rsidP="00167E86">
      <w:pPr>
        <w:spacing w:line="360" w:lineRule="auto"/>
        <w:jc w:val="both"/>
        <w:rPr>
          <w:rFonts w:ascii="Arial" w:hAnsi="Arial" w:cs="Arial"/>
        </w:rPr>
      </w:pPr>
    </w:p>
    <w:p w14:paraId="299C5258" w14:textId="77777777" w:rsidR="001B1E2D" w:rsidRDefault="001B1E2D" w:rsidP="00167E86">
      <w:pPr>
        <w:pStyle w:val="Heading1"/>
        <w:spacing w:line="360" w:lineRule="auto"/>
        <w:jc w:val="both"/>
        <w:rPr>
          <w:rStyle w:val="Strong"/>
          <w:rFonts w:ascii="Arial" w:hAnsi="Arial" w:cs="Arial"/>
          <w:b w:val="0"/>
          <w:bCs w:val="0"/>
          <w:color w:val="000000" w:themeColor="text1"/>
          <w:sz w:val="22"/>
          <w:szCs w:val="22"/>
        </w:rPr>
      </w:pPr>
      <w:bookmarkStart w:id="0" w:name="_Hlk232452893"/>
    </w:p>
    <w:bookmarkEnd w:id="0"/>
    <w:p w14:paraId="72B4E233" w14:textId="77777777" w:rsidR="00AD4B74" w:rsidRDefault="00AD4B74"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p>
    <w:p w14:paraId="5D0CCBAD" w14:textId="77777777" w:rsidR="00AD4B74" w:rsidRDefault="00AD4B74"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p>
    <w:p w14:paraId="54444EF7" w14:textId="45EE2BA2" w:rsidR="00265E90" w:rsidRPr="00F45B03" w:rsidRDefault="00577C5C"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lastRenderedPageBreak/>
        <w:t>Chapter</w:t>
      </w:r>
      <w:proofErr w:type="gramStart"/>
      <w:r w:rsidRPr="00F45B03">
        <w:rPr>
          <w:rFonts w:ascii="Arial" w:eastAsia="Times New Roman" w:hAnsi="Arial" w:cs="Arial"/>
          <w:b/>
          <w:bCs/>
          <w:color w:val="000000" w:themeColor="text1"/>
          <w:lang w:eastAsia="en-IN"/>
        </w:rPr>
        <w:t>1 :</w:t>
      </w:r>
      <w:r w:rsidR="00265E90" w:rsidRPr="00F45B03">
        <w:rPr>
          <w:rFonts w:ascii="Arial" w:eastAsia="Times New Roman" w:hAnsi="Arial" w:cs="Arial"/>
          <w:b/>
          <w:bCs/>
          <w:color w:val="000000" w:themeColor="text1"/>
          <w:lang w:eastAsia="en-IN"/>
        </w:rPr>
        <w:t>Introduction</w:t>
      </w:r>
      <w:proofErr w:type="gramEnd"/>
      <w:r w:rsidR="00265E90" w:rsidRPr="00F45B03">
        <w:rPr>
          <w:rFonts w:ascii="Arial" w:eastAsia="Times New Roman" w:hAnsi="Arial" w:cs="Arial"/>
          <w:b/>
          <w:bCs/>
          <w:color w:val="000000" w:themeColor="text1"/>
          <w:lang w:eastAsia="en-IN"/>
        </w:rPr>
        <w:t xml:space="preserve"> </w:t>
      </w:r>
    </w:p>
    <w:p w14:paraId="4EAA5637" w14:textId="6F1002B2" w:rsidR="00000FAB" w:rsidRPr="00F45B03" w:rsidRDefault="00000FAB"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1.1 Background of the Study</w:t>
      </w:r>
    </w:p>
    <w:p w14:paraId="77BA67F3" w14:textId="09EB730C"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Cardiovascular disease (CVD) continues to be one of the most significant global public health challenges and remains the leading cause of mortality and morbidity in both developed and developing nations (WHO, 2023). Current estimates indicate that cardiovascular diseases account for approximately 17.9 million deaths each year, representing around 32% of all global deaths (WHO, 2023). More recent projections suggest that global cardiovascular mortality increased to nearly 19.8 million deaths in 2022, largely due to ageing populations and rising lifestyle</w:t>
      </w:r>
      <w:r w:rsidRPr="00F45B03">
        <w:rPr>
          <w:rFonts w:ascii="Arial" w:eastAsia="Times New Roman" w:hAnsi="Arial" w:cs="Arial"/>
          <w:color w:val="000000" w:themeColor="text1"/>
          <w:lang w:eastAsia="en-IN"/>
        </w:rPr>
        <w:noBreakHyphen/>
        <w:t>related risk factors (WHO, 202</w:t>
      </w:r>
      <w:r w:rsidR="00CB6097" w:rsidRPr="00F45B03">
        <w:rPr>
          <w:rFonts w:ascii="Arial" w:eastAsia="Times New Roman" w:hAnsi="Arial" w:cs="Arial"/>
          <w:color w:val="000000" w:themeColor="text1"/>
          <w:lang w:eastAsia="en-IN"/>
        </w:rPr>
        <w:t>1</w:t>
      </w:r>
      <w:r w:rsidRPr="00F45B03">
        <w:rPr>
          <w:rFonts w:ascii="Arial" w:eastAsia="Times New Roman" w:hAnsi="Arial" w:cs="Arial"/>
          <w:color w:val="000000" w:themeColor="text1"/>
          <w:lang w:eastAsia="en-IN"/>
        </w:rPr>
        <w:t>). CVD encompasses a broad range of conditions affecting the heart and blood vessels, including coronary heart disease, stroke, heart failure, rheumatic heart disease, and peripheral arterial disease. Beyond mortality, CVD contributes significantly to disability</w:t>
      </w:r>
      <w:r w:rsidRPr="00F45B03">
        <w:rPr>
          <w:rFonts w:ascii="Arial" w:eastAsia="Times New Roman" w:hAnsi="Arial" w:cs="Arial"/>
          <w:color w:val="000000" w:themeColor="text1"/>
          <w:lang w:eastAsia="en-IN"/>
        </w:rPr>
        <w:noBreakHyphen/>
        <w:t>adjusted life years (DALYs), diminished quality of life, reduced productivity, and escalating healthcare costs worldwide (Roth et al., 2020).</w:t>
      </w:r>
    </w:p>
    <w:p w14:paraId="4532D721"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The rising burden of CVD is closely linked to demographic and behavioural changes such as urbanisation, population ageing, sedentary lifestyles, unhealthy diets, smoking, alcohol consumption, obesity, and physical inactivity (Roth et al., 2020). Evidence indicates that nearly 80% of the global CVD burden is attributable to modifiable risk factors, particularly hypertension, diabetes, obesity, and tobacco use (WHO, 2025). High systolic blood pressure alone is estimated to account for almost one</w:t>
      </w:r>
      <w:r w:rsidRPr="00F45B03">
        <w:rPr>
          <w:rFonts w:ascii="Arial" w:eastAsia="Times New Roman" w:hAnsi="Arial" w:cs="Arial"/>
          <w:color w:val="000000" w:themeColor="text1"/>
          <w:lang w:eastAsia="en-IN"/>
        </w:rPr>
        <w:noBreakHyphen/>
        <w:t>quarter of cardiovascular deaths globally (WHO Europe, 2024). Although advances in diagnostic technologies, emergency cardiac care, and medical treatments have improved survival following events such as myocardial infarction and stroke, these improvements have also resulted in a growing population living with chronic cardiovascular conditions requiring long</w:t>
      </w:r>
      <w:r w:rsidRPr="00F45B03">
        <w:rPr>
          <w:rFonts w:ascii="Arial" w:eastAsia="Times New Roman" w:hAnsi="Arial" w:cs="Arial"/>
          <w:color w:val="000000" w:themeColor="text1"/>
          <w:lang w:eastAsia="en-IN"/>
        </w:rPr>
        <w:noBreakHyphen/>
        <w:t>term management and rehabilitation (Roth et al., 2020).</w:t>
      </w:r>
    </w:p>
    <w:p w14:paraId="4A73DE96" w14:textId="76C8E753"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In England, CVD remains a major cause of death and hospitalisation despite improvements in prevention and treatment. Approximately 7.6 million people in the United Kingdom are currently living with heart and circulatory diseases, including around 4 million men and 3.6 million women (British Heart Foundation, 202</w:t>
      </w:r>
      <w:r w:rsidR="00CB6097" w:rsidRPr="00F45B03">
        <w:rPr>
          <w:rFonts w:ascii="Arial" w:eastAsia="Times New Roman" w:hAnsi="Arial" w:cs="Arial"/>
          <w:color w:val="000000" w:themeColor="text1"/>
          <w:lang w:eastAsia="en-IN"/>
        </w:rPr>
        <w:t>3</w:t>
      </w:r>
      <w:r w:rsidRPr="00F45B03">
        <w:rPr>
          <w:rFonts w:ascii="Arial" w:eastAsia="Times New Roman" w:hAnsi="Arial" w:cs="Arial"/>
          <w:color w:val="000000" w:themeColor="text1"/>
          <w:lang w:eastAsia="en-IN"/>
        </w:rPr>
        <w:t>). CVD accounts for roughly one</w:t>
      </w:r>
      <w:r w:rsidRPr="00F45B03">
        <w:rPr>
          <w:rFonts w:ascii="Arial" w:eastAsia="Times New Roman" w:hAnsi="Arial" w:cs="Arial"/>
          <w:color w:val="000000" w:themeColor="text1"/>
          <w:lang w:eastAsia="en-IN"/>
        </w:rPr>
        <w:noBreakHyphen/>
        <w:t>quarter of all UK deaths, equating to around 170,000 deaths annually, or approximately 460 deaths each day (British Heart Foundation, 202</w:t>
      </w:r>
      <w:r w:rsidR="00CB6097" w:rsidRPr="00F45B03">
        <w:rPr>
          <w:rFonts w:ascii="Arial" w:eastAsia="Times New Roman" w:hAnsi="Arial" w:cs="Arial"/>
          <w:color w:val="000000" w:themeColor="text1"/>
          <w:lang w:eastAsia="en-IN"/>
        </w:rPr>
        <w:t>3</w:t>
      </w:r>
      <w:r w:rsidRPr="00F45B03">
        <w:rPr>
          <w:rFonts w:ascii="Arial" w:eastAsia="Times New Roman" w:hAnsi="Arial" w:cs="Arial"/>
          <w:color w:val="000000" w:themeColor="text1"/>
          <w:lang w:eastAsia="en-IN"/>
        </w:rPr>
        <w:t>). Premature mortality has also risen, with over 48,000 premature CVD</w:t>
      </w:r>
      <w:r w:rsidRPr="00F45B03">
        <w:rPr>
          <w:rFonts w:ascii="Arial" w:eastAsia="Times New Roman" w:hAnsi="Arial" w:cs="Arial"/>
          <w:color w:val="000000" w:themeColor="text1"/>
          <w:lang w:eastAsia="en-IN"/>
        </w:rPr>
        <w:noBreakHyphen/>
        <w:t>related deaths recorded in 2023 (British Heart Foundation, 202</w:t>
      </w:r>
      <w:r w:rsidR="00CB6097" w:rsidRPr="00F45B03">
        <w:rPr>
          <w:rFonts w:ascii="Arial" w:eastAsia="Times New Roman" w:hAnsi="Arial" w:cs="Arial"/>
          <w:color w:val="000000" w:themeColor="text1"/>
          <w:lang w:eastAsia="en-IN"/>
        </w:rPr>
        <w:t>3</w:t>
      </w:r>
      <w:r w:rsidRPr="00F45B03">
        <w:rPr>
          <w:rFonts w:ascii="Arial" w:eastAsia="Times New Roman" w:hAnsi="Arial" w:cs="Arial"/>
          <w:color w:val="000000" w:themeColor="text1"/>
          <w:lang w:eastAsia="en-IN"/>
        </w:rPr>
        <w:t xml:space="preserve">). The condition places substantial </w:t>
      </w:r>
      <w:r w:rsidRPr="00F45B03">
        <w:rPr>
          <w:rFonts w:ascii="Arial" w:eastAsia="Times New Roman" w:hAnsi="Arial" w:cs="Arial"/>
          <w:color w:val="000000" w:themeColor="text1"/>
          <w:lang w:eastAsia="en-IN"/>
        </w:rPr>
        <w:lastRenderedPageBreak/>
        <w:t>financial pressure on the National Health Service (NHS) due to emergency admissions, surgical interventions, medication costs, outpatient care, and long</w:t>
      </w:r>
      <w:r w:rsidRPr="00F45B03">
        <w:rPr>
          <w:rFonts w:ascii="Arial" w:eastAsia="Times New Roman" w:hAnsi="Arial" w:cs="Arial"/>
          <w:color w:val="000000" w:themeColor="text1"/>
          <w:lang w:eastAsia="en-IN"/>
        </w:rPr>
        <w:noBreakHyphen/>
        <w:t>term disease management.</w:t>
      </w:r>
    </w:p>
    <w:p w14:paraId="5A2EF2E9"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A key concern in CVD management is the high rate of hospital readmissions following acute cardiovascular events. Readmission rates are widely used as indicators of healthcare quality, discharge planning effectiveness, and continuity of care (</w:t>
      </w:r>
      <w:proofErr w:type="spellStart"/>
      <w:r w:rsidRPr="00F45B03">
        <w:rPr>
          <w:rFonts w:ascii="Arial" w:eastAsia="Times New Roman" w:hAnsi="Arial" w:cs="Arial"/>
          <w:color w:val="000000" w:themeColor="text1"/>
          <w:lang w:eastAsia="en-IN"/>
        </w:rPr>
        <w:t>Dharmarajan</w:t>
      </w:r>
      <w:proofErr w:type="spellEnd"/>
      <w:r w:rsidRPr="00F45B03">
        <w:rPr>
          <w:rFonts w:ascii="Arial" w:eastAsia="Times New Roman" w:hAnsi="Arial" w:cs="Arial"/>
          <w:color w:val="000000" w:themeColor="text1"/>
          <w:lang w:eastAsia="en-IN"/>
        </w:rPr>
        <w:t xml:space="preserve"> et al., 2013). Approximately 20–25% of patients hospitalised for heart failure are readmitted within 30 days, and nearly 50% are readmitted within six months (Virani et al., 2021). Common causes of readmission include medication non</w:t>
      </w:r>
      <w:r w:rsidRPr="00F45B03">
        <w:rPr>
          <w:rFonts w:ascii="Arial" w:eastAsia="Times New Roman" w:hAnsi="Arial" w:cs="Arial"/>
          <w:color w:val="000000" w:themeColor="text1"/>
          <w:lang w:eastAsia="en-IN"/>
        </w:rPr>
        <w:noBreakHyphen/>
        <w:t>adherence, inadequate discharge planning, poor self</w:t>
      </w:r>
      <w:r w:rsidRPr="00F45B03">
        <w:rPr>
          <w:rFonts w:ascii="Arial" w:eastAsia="Times New Roman" w:hAnsi="Arial" w:cs="Arial"/>
          <w:color w:val="000000" w:themeColor="text1"/>
          <w:lang w:eastAsia="en-IN"/>
        </w:rPr>
        <w:noBreakHyphen/>
        <w:t>management, insufficient follow</w:t>
      </w:r>
      <w:r w:rsidRPr="00F45B03">
        <w:rPr>
          <w:rFonts w:ascii="Arial" w:eastAsia="Times New Roman" w:hAnsi="Arial" w:cs="Arial"/>
          <w:color w:val="000000" w:themeColor="text1"/>
          <w:lang w:eastAsia="en-IN"/>
        </w:rPr>
        <w:noBreakHyphen/>
        <w:t>up care, and progression of underlying disease (</w:t>
      </w:r>
      <w:proofErr w:type="spellStart"/>
      <w:r w:rsidRPr="00F45B03">
        <w:rPr>
          <w:rFonts w:ascii="Arial" w:eastAsia="Times New Roman" w:hAnsi="Arial" w:cs="Arial"/>
          <w:color w:val="000000" w:themeColor="text1"/>
          <w:lang w:eastAsia="en-IN"/>
        </w:rPr>
        <w:t>Dharmarajan</w:t>
      </w:r>
      <w:proofErr w:type="spellEnd"/>
      <w:r w:rsidRPr="00F45B03">
        <w:rPr>
          <w:rFonts w:ascii="Arial" w:eastAsia="Times New Roman" w:hAnsi="Arial" w:cs="Arial"/>
          <w:color w:val="000000" w:themeColor="text1"/>
          <w:lang w:eastAsia="en-IN"/>
        </w:rPr>
        <w:t xml:space="preserve"> et al., 2013).</w:t>
      </w:r>
    </w:p>
    <w:p w14:paraId="5629CD5A" w14:textId="7084A809"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Older adults are particularly vulnerable to cardiovascular</w:t>
      </w:r>
      <w:r w:rsidRPr="00F45B03">
        <w:rPr>
          <w:rFonts w:ascii="Arial" w:eastAsia="Times New Roman" w:hAnsi="Arial" w:cs="Arial"/>
          <w:color w:val="000000" w:themeColor="text1"/>
          <w:lang w:eastAsia="en-IN"/>
        </w:rPr>
        <w:noBreakHyphen/>
        <w:t>related readmissions. Individuals aged 55 years and over face increased risk due to age</w:t>
      </w:r>
      <w:r w:rsidRPr="00F45B03">
        <w:rPr>
          <w:rFonts w:ascii="Arial" w:eastAsia="Times New Roman" w:hAnsi="Arial" w:cs="Arial"/>
          <w:color w:val="000000" w:themeColor="text1"/>
          <w:lang w:eastAsia="en-IN"/>
        </w:rPr>
        <w:noBreakHyphen/>
        <w:t>related physiological decline, cumulative exposure to risk factors, and multiple comorbidities such as hypertension, diabetes, chronic kidney disease, and obesity (Ben</w:t>
      </w:r>
      <w:r w:rsidRPr="00F45B03">
        <w:rPr>
          <w:rFonts w:ascii="Arial" w:eastAsia="Times New Roman" w:hAnsi="Arial" w:cs="Arial"/>
          <w:color w:val="000000" w:themeColor="text1"/>
          <w:lang w:eastAsia="en-IN"/>
        </w:rPr>
        <w:noBreakHyphen/>
        <w:t>Shlomo et al., 20</w:t>
      </w:r>
      <w:r w:rsidR="00CB6097" w:rsidRPr="00F45B03">
        <w:rPr>
          <w:rFonts w:ascii="Arial" w:eastAsia="Times New Roman" w:hAnsi="Arial" w:cs="Arial"/>
          <w:color w:val="000000" w:themeColor="text1"/>
          <w:lang w:eastAsia="en-IN"/>
        </w:rPr>
        <w:t>14</w:t>
      </w:r>
      <w:r w:rsidRPr="00F45B03">
        <w:rPr>
          <w:rFonts w:ascii="Arial" w:eastAsia="Times New Roman" w:hAnsi="Arial" w:cs="Arial"/>
          <w:color w:val="000000" w:themeColor="text1"/>
          <w:lang w:eastAsia="en-IN"/>
        </w:rPr>
        <w:t>). Cardiovascular risk increases substantially after age 50, with mortality and hospitalisation rates rising sharply among older populations (</w:t>
      </w:r>
      <w:r w:rsidR="00CB6097" w:rsidRPr="00F45B03">
        <w:rPr>
          <w:rFonts w:ascii="Arial" w:hAnsi="Arial" w:cs="Arial"/>
        </w:rPr>
        <w:t>Virani et al., 2021</w:t>
      </w:r>
      <w:r w:rsidRPr="00F45B03">
        <w:rPr>
          <w:rFonts w:ascii="Arial" w:eastAsia="Times New Roman" w:hAnsi="Arial" w:cs="Arial"/>
          <w:color w:val="000000" w:themeColor="text1"/>
          <w:lang w:eastAsia="en-IN"/>
        </w:rPr>
        <w:t>). In England, adults aged over 65 account for a large proportion of cardiovascular emergency admissions and healthcare expenditure. The complexity of managing multiple chronic conditions increases the likelihood of complications, polypharmacy, treatment burden, and recurrent hospital admissions (Ben</w:t>
      </w:r>
      <w:r w:rsidRPr="00F45B03">
        <w:rPr>
          <w:rFonts w:ascii="Arial" w:eastAsia="Times New Roman" w:hAnsi="Arial" w:cs="Arial"/>
          <w:color w:val="000000" w:themeColor="text1"/>
          <w:lang w:eastAsia="en-IN"/>
        </w:rPr>
        <w:noBreakHyphen/>
        <w:t>Shlomo et al., 2022). Therefore, interventions that enhance recovery, support self</w:t>
      </w:r>
      <w:r w:rsidRPr="00F45B03">
        <w:rPr>
          <w:rFonts w:ascii="Arial" w:eastAsia="Times New Roman" w:hAnsi="Arial" w:cs="Arial"/>
          <w:color w:val="000000" w:themeColor="text1"/>
          <w:lang w:eastAsia="en-IN"/>
        </w:rPr>
        <w:noBreakHyphen/>
        <w:t xml:space="preserve">management, and reduce recurrent events are essential for this </w:t>
      </w:r>
      <w:proofErr w:type="gramStart"/>
      <w:r w:rsidRPr="00F45B03">
        <w:rPr>
          <w:rFonts w:ascii="Arial" w:eastAsia="Times New Roman" w:hAnsi="Arial" w:cs="Arial"/>
          <w:color w:val="000000" w:themeColor="text1"/>
          <w:lang w:eastAsia="en-IN"/>
        </w:rPr>
        <w:t>population</w:t>
      </w:r>
      <w:r w:rsidR="009F7490" w:rsidRPr="00F45B03">
        <w:rPr>
          <w:rFonts w:ascii="Arial" w:eastAsia="Times New Roman" w:hAnsi="Arial" w:cs="Arial"/>
          <w:color w:val="000000" w:themeColor="text1"/>
          <w:lang w:eastAsia="en-IN"/>
        </w:rPr>
        <w:t>(</w:t>
      </w:r>
      <w:proofErr w:type="gramEnd"/>
      <w:r w:rsidR="009F7490" w:rsidRPr="00F45B03">
        <w:rPr>
          <w:rFonts w:ascii="Arial" w:eastAsia="Times New Roman" w:hAnsi="Arial" w:cs="Arial"/>
          <w:color w:val="000000" w:themeColor="text1"/>
          <w:lang w:eastAsia="en-IN"/>
        </w:rPr>
        <w:t>(</w:t>
      </w:r>
      <w:r w:rsidR="009F7490" w:rsidRPr="00F45B03">
        <w:rPr>
          <w:rFonts w:ascii="Arial" w:hAnsi="Arial" w:cs="Arial"/>
        </w:rPr>
        <w:t>Hamer and Steptoe, 2012)</w:t>
      </w:r>
      <w:r w:rsidRPr="00F45B03">
        <w:rPr>
          <w:rFonts w:ascii="Arial" w:eastAsia="Times New Roman" w:hAnsi="Arial" w:cs="Arial"/>
          <w:color w:val="000000" w:themeColor="text1"/>
          <w:lang w:eastAsia="en-IN"/>
        </w:rPr>
        <w:t>.</w:t>
      </w:r>
    </w:p>
    <w:p w14:paraId="1CB7E770" w14:textId="77777777" w:rsidR="00000FAB" w:rsidRPr="00F45B03" w:rsidRDefault="00000FAB"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1.2 Cardiac Rehabilitation as a Secondary Prevention Strategy</w:t>
      </w:r>
    </w:p>
    <w:p w14:paraId="5636832F" w14:textId="20AF8689"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Cardiac rehabilitation (CR) is recognised as one of the most effective secondary prevention strategies for individuals recovering from cardiovascular events (Anderson et al., 2016). CR is a comprehensive, multidisciplinary intervention designed to improve physical, psychological, and social functioning while reducing the risk of future cardiovascular complications. Typical CR programmes include supervised exercise training, cardiovascular risk assessment, dietary counselling, smoking cessation support, medication adherence education, stress management, and psychosocial support (Anderson et al., 2016</w:t>
      </w:r>
      <w:r w:rsidR="00C86DB1" w:rsidRPr="00F45B03">
        <w:rPr>
          <w:rFonts w:ascii="Arial" w:eastAsia="Times New Roman" w:hAnsi="Arial" w:cs="Arial"/>
          <w:color w:val="000000" w:themeColor="text1"/>
          <w:lang w:eastAsia="en-IN"/>
        </w:rPr>
        <w:t>,</w:t>
      </w:r>
      <w:r w:rsidR="00C86DB1" w:rsidRPr="00F45B03">
        <w:rPr>
          <w:rFonts w:ascii="Arial" w:hAnsi="Arial" w:cs="Arial"/>
        </w:rPr>
        <w:t xml:space="preserve"> Ajzen, 1991)</w:t>
      </w:r>
      <w:r w:rsidRPr="00F45B03">
        <w:rPr>
          <w:rFonts w:ascii="Arial" w:eastAsia="Times New Roman" w:hAnsi="Arial" w:cs="Arial"/>
          <w:color w:val="000000" w:themeColor="text1"/>
          <w:lang w:eastAsia="en-IN"/>
        </w:rPr>
        <w:t>).</w:t>
      </w:r>
    </w:p>
    <w:p w14:paraId="04539791" w14:textId="3DCC543F"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lastRenderedPageBreak/>
        <w:t>The primary goals of CR are to improve functional capacity, enhance quality of life, promote behavioural change, and reduce morbidity and mortality associated with CVD</w:t>
      </w:r>
      <w:r w:rsidR="00C86DB1" w:rsidRPr="00F45B03">
        <w:rPr>
          <w:rFonts w:ascii="Arial" w:eastAsia="Times New Roman" w:hAnsi="Arial" w:cs="Arial"/>
          <w:color w:val="000000" w:themeColor="text1"/>
          <w:lang w:eastAsia="en-IN"/>
        </w:rPr>
        <w:t xml:space="preserve"> (</w:t>
      </w:r>
      <w:r w:rsidR="00C86DB1" w:rsidRPr="00F45B03">
        <w:rPr>
          <w:rFonts w:ascii="Arial" w:hAnsi="Arial" w:cs="Arial"/>
        </w:rPr>
        <w:t>Bandura, 2004)</w:t>
      </w:r>
      <w:r w:rsidRPr="00F45B03">
        <w:rPr>
          <w:rFonts w:ascii="Arial" w:eastAsia="Times New Roman" w:hAnsi="Arial" w:cs="Arial"/>
          <w:color w:val="000000" w:themeColor="text1"/>
          <w:lang w:eastAsia="en-IN"/>
        </w:rPr>
        <w:t>. Systematic reviews and meta</w:t>
      </w:r>
      <w:r w:rsidRPr="00F45B03">
        <w:rPr>
          <w:rFonts w:ascii="Arial" w:eastAsia="Times New Roman" w:hAnsi="Arial" w:cs="Arial"/>
          <w:color w:val="000000" w:themeColor="text1"/>
          <w:lang w:eastAsia="en-IN"/>
        </w:rPr>
        <w:noBreakHyphen/>
        <w:t>analyses show that participation in CR reduces cardiovascular mortality by approximately 20% and hospital readmissions by up to 26% among patients with coronary heart disease (Anderson et al., 2016). Additional evidence suggests that CR participants experience improved exercise tolerance, lower blood pressure, reduced cholesterol levels, and enhanced psychological wellbeing compared with non</w:t>
      </w:r>
      <w:r w:rsidRPr="00F45B03">
        <w:rPr>
          <w:rFonts w:ascii="Arial" w:eastAsia="Times New Roman" w:hAnsi="Arial" w:cs="Arial"/>
          <w:color w:val="000000" w:themeColor="text1"/>
          <w:lang w:eastAsia="en-IN"/>
        </w:rPr>
        <w:noBreakHyphen/>
        <w:t>participants (</w:t>
      </w:r>
      <w:proofErr w:type="spellStart"/>
      <w:r w:rsidRPr="00F45B03">
        <w:rPr>
          <w:rFonts w:ascii="Arial" w:eastAsia="Times New Roman" w:hAnsi="Arial" w:cs="Arial"/>
          <w:color w:val="000000" w:themeColor="text1"/>
          <w:lang w:eastAsia="en-IN"/>
        </w:rPr>
        <w:t>Resurrección</w:t>
      </w:r>
      <w:proofErr w:type="spellEnd"/>
      <w:r w:rsidRPr="00F45B03">
        <w:rPr>
          <w:rFonts w:ascii="Arial" w:eastAsia="Times New Roman" w:hAnsi="Arial" w:cs="Arial"/>
          <w:color w:val="000000" w:themeColor="text1"/>
          <w:lang w:eastAsia="en-IN"/>
        </w:rPr>
        <w:t xml:space="preserve"> et al., 2017).</w:t>
      </w:r>
    </w:p>
    <w:p w14:paraId="15EA41F6"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In England, CR is recommended by the National Institute for Health and Care Excellence (NICE) as a routine component of post</w:t>
      </w:r>
      <w:r w:rsidRPr="00F45B03">
        <w:rPr>
          <w:rFonts w:ascii="Arial" w:eastAsia="Times New Roman" w:hAnsi="Arial" w:cs="Arial"/>
          <w:color w:val="000000" w:themeColor="text1"/>
          <w:lang w:eastAsia="en-IN"/>
        </w:rPr>
        <w:noBreakHyphen/>
        <w:t>cardiac care for patients recovering from myocardial infarction, coronary artery bypass graft surgery, heart failure, and other cardiovascular conditions (NIHR, 2019). Despite strong evidence supporting its effectiveness, CR uptake remains low. Only around 43% of eligible patients in the UK enrol in CR programmes, and completion rates are even lower (NIHR, 2019). This indicates that many patients do not receive the full benefits of rehabilitation.</w:t>
      </w:r>
    </w:p>
    <w:p w14:paraId="56F13B41"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Barriers to CR participation include delayed referrals, lack of awareness, transport difficulties, financial constraints, work commitments, language barriers, and low health literacy (</w:t>
      </w:r>
      <w:proofErr w:type="spellStart"/>
      <w:r w:rsidRPr="00F45B03">
        <w:rPr>
          <w:rFonts w:ascii="Arial" w:eastAsia="Times New Roman" w:hAnsi="Arial" w:cs="Arial"/>
          <w:color w:val="000000" w:themeColor="text1"/>
          <w:lang w:eastAsia="en-IN"/>
        </w:rPr>
        <w:t>Resurrección</w:t>
      </w:r>
      <w:proofErr w:type="spellEnd"/>
      <w:r w:rsidRPr="00F45B03">
        <w:rPr>
          <w:rFonts w:ascii="Arial" w:eastAsia="Times New Roman" w:hAnsi="Arial" w:cs="Arial"/>
          <w:color w:val="000000" w:themeColor="text1"/>
          <w:lang w:eastAsia="en-IN"/>
        </w:rPr>
        <w:t xml:space="preserve"> et al., 2017). Older adults may face additional challenges such as frailty, mobility limitations, social isolation, and fear of exercise following cardiac events. Understanding these barriers is essential for improving participation and maximising programme effectiveness.</w:t>
      </w:r>
    </w:p>
    <w:p w14:paraId="7F7B11FD" w14:textId="77777777" w:rsidR="00000FAB" w:rsidRPr="00F45B03" w:rsidRDefault="00000FAB"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1.3 Health Inequalities in Cardiovascular Care</w:t>
      </w:r>
    </w:p>
    <w:p w14:paraId="2F6E0DE6" w14:textId="34F795CA" w:rsidR="00000FAB" w:rsidRPr="00F45B03" w:rsidRDefault="00000FAB"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Health inequalities significantly influence access to cardiovascular care and participation in CR</w:t>
      </w:r>
      <w:r w:rsidR="00C86DB1" w:rsidRPr="00F45B03">
        <w:rPr>
          <w:rStyle w:val="Strong"/>
          <w:rFonts w:ascii="Arial" w:hAnsi="Arial" w:cs="Arial"/>
          <w:sz w:val="22"/>
          <w:szCs w:val="22"/>
        </w:rPr>
        <w:t xml:space="preserve"> </w:t>
      </w:r>
      <w:r w:rsidR="00C86DB1" w:rsidRPr="00F45B03">
        <w:rPr>
          <w:rFonts w:ascii="Arial" w:hAnsi="Arial" w:cs="Arial"/>
          <w:b/>
          <w:bCs/>
          <w:sz w:val="22"/>
          <w:szCs w:val="22"/>
        </w:rPr>
        <w:t>(</w:t>
      </w:r>
      <w:r w:rsidR="00C86DB1" w:rsidRPr="00F45B03">
        <w:rPr>
          <w:rFonts w:ascii="Arial" w:hAnsi="Arial" w:cs="Arial"/>
          <w:sz w:val="22"/>
          <w:szCs w:val="22"/>
        </w:rPr>
        <w:t>Braveman and Gottlieb, 2014)</w:t>
      </w:r>
      <w:r w:rsidRPr="00F45B03">
        <w:rPr>
          <w:rFonts w:ascii="Arial" w:hAnsi="Arial" w:cs="Arial"/>
          <w:color w:val="000000" w:themeColor="text1"/>
          <w:sz w:val="22"/>
          <w:szCs w:val="22"/>
        </w:rPr>
        <w:t>. These inequalities refer to avoidable and unfair differences in health outcomes between groups, often driven by unequal social, economic, and environmental conditions (Marmot et al., 2020</w:t>
      </w:r>
      <w:r w:rsidR="009F7490" w:rsidRPr="00F45B03">
        <w:rPr>
          <w:rFonts w:ascii="Arial" w:hAnsi="Arial" w:cs="Arial"/>
          <w:color w:val="000000" w:themeColor="text1"/>
          <w:sz w:val="22"/>
          <w:szCs w:val="22"/>
        </w:rPr>
        <w:t>,</w:t>
      </w:r>
      <w:r w:rsidR="009F7490" w:rsidRPr="00F45B03">
        <w:rPr>
          <w:rFonts w:ascii="Arial" w:hAnsi="Arial" w:cs="Arial"/>
          <w:sz w:val="22"/>
          <w:szCs w:val="22"/>
        </w:rPr>
        <w:t xml:space="preserve"> Frohlich and Potvin, 2008</w:t>
      </w:r>
      <w:r w:rsidRPr="00F45B03">
        <w:rPr>
          <w:rFonts w:ascii="Arial" w:hAnsi="Arial" w:cs="Arial"/>
          <w:color w:val="000000" w:themeColor="text1"/>
          <w:sz w:val="22"/>
          <w:szCs w:val="22"/>
        </w:rPr>
        <w:t>).</w:t>
      </w:r>
    </w:p>
    <w:p w14:paraId="2C17F51E" w14:textId="453F30DF" w:rsidR="00000FAB" w:rsidRPr="00F45B03" w:rsidRDefault="00000FAB"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Socioeconomic status is one of the strongest determinants of cardiovascular health. Individuals living in deprived areas experience higher rates of CVD, premature mortality, and hospital admissions compared with those in more affluent areas (Public Health England, 2020</w:t>
      </w:r>
      <w:r w:rsidR="00C86DB1" w:rsidRPr="00F45B03">
        <w:rPr>
          <w:rFonts w:ascii="Arial" w:hAnsi="Arial" w:cs="Arial"/>
          <w:color w:val="000000" w:themeColor="text1"/>
          <w:sz w:val="22"/>
          <w:szCs w:val="22"/>
        </w:rPr>
        <w:t xml:space="preserve">, </w:t>
      </w:r>
      <w:r w:rsidR="00C86DB1" w:rsidRPr="00F45B03">
        <w:rPr>
          <w:rFonts w:ascii="Arial" w:hAnsi="Arial" w:cs="Arial"/>
          <w:b/>
          <w:bCs/>
          <w:sz w:val="22"/>
          <w:szCs w:val="22"/>
        </w:rPr>
        <w:t>(Bleich et al., 2012)</w:t>
      </w:r>
      <w:r w:rsidRPr="00F45B03">
        <w:rPr>
          <w:rFonts w:ascii="Arial" w:hAnsi="Arial" w:cs="Arial"/>
          <w:color w:val="000000" w:themeColor="text1"/>
          <w:sz w:val="22"/>
          <w:szCs w:val="22"/>
        </w:rPr>
        <w:t xml:space="preserve">). Factors such as low income, unemployment, poor housing, limited education, and food insecurity increase exposure </w:t>
      </w:r>
      <w:r w:rsidRPr="00F45B03">
        <w:rPr>
          <w:rFonts w:ascii="Arial" w:hAnsi="Arial" w:cs="Arial"/>
          <w:color w:val="000000" w:themeColor="text1"/>
          <w:sz w:val="22"/>
          <w:szCs w:val="22"/>
        </w:rPr>
        <w:lastRenderedPageBreak/>
        <w:t>to risk factors including smoking, obesity, hypertension, and diabetes (Public Health England, 2020).</w:t>
      </w:r>
    </w:p>
    <w:p w14:paraId="2E233B18"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Socioeconomic deprivation also affects CR participation. Barriers include limited transport, inability to take time off work, caring responsibilities, and reduced access to digital health services (</w:t>
      </w:r>
      <w:proofErr w:type="spellStart"/>
      <w:r w:rsidRPr="00F45B03">
        <w:rPr>
          <w:rFonts w:ascii="Arial" w:eastAsia="Times New Roman" w:hAnsi="Arial" w:cs="Arial"/>
          <w:color w:val="000000" w:themeColor="text1"/>
          <w:lang w:eastAsia="en-IN"/>
        </w:rPr>
        <w:t>Resurrección</w:t>
      </w:r>
      <w:proofErr w:type="spellEnd"/>
      <w:r w:rsidRPr="00F45B03">
        <w:rPr>
          <w:rFonts w:ascii="Arial" w:eastAsia="Times New Roman" w:hAnsi="Arial" w:cs="Arial"/>
          <w:color w:val="000000" w:themeColor="text1"/>
          <w:lang w:eastAsia="en-IN"/>
        </w:rPr>
        <w:t xml:space="preserve"> et al., 2017). Low health literacy may further reduce understanding of CR benefits and adherence to treatment.</w:t>
      </w:r>
    </w:p>
    <w:p w14:paraId="189ECE3B" w14:textId="567B5091" w:rsidR="00000FAB" w:rsidRPr="00F45B03" w:rsidRDefault="00000FAB"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Ethnicity is another key determinant of cardiovascular outcomes</w:t>
      </w:r>
      <w:r w:rsidR="00C86DB1" w:rsidRPr="00F45B03">
        <w:rPr>
          <w:rFonts w:ascii="Arial" w:hAnsi="Arial" w:cs="Arial"/>
          <w:sz w:val="22"/>
          <w:szCs w:val="22"/>
        </w:rPr>
        <w:t xml:space="preserve"> (Cooper et al., 2015)</w:t>
      </w:r>
      <w:r w:rsidRPr="00F45B03">
        <w:rPr>
          <w:rFonts w:ascii="Arial" w:hAnsi="Arial" w:cs="Arial"/>
          <w:color w:val="000000" w:themeColor="text1"/>
          <w:sz w:val="22"/>
          <w:szCs w:val="22"/>
        </w:rPr>
        <w:t>. South Asian and Black populations in England experience higher rates of hypertension, type 2 diabetes, obesity, and cardiovascular mortality (Public Health England, 2020). South Asian groups, in particular, develop coronary heart disease at younger ages and experience higher premature mortality. Cultural beliefs, language barriers, mistrust of healthcare services, and discrimination may further reduce healthcare utilisation and CR participation (Marmot et al., 2020)</w:t>
      </w:r>
      <w:r w:rsidR="009F7490" w:rsidRPr="00F45B03">
        <w:rPr>
          <w:rStyle w:val="Strong"/>
          <w:rFonts w:ascii="Arial" w:hAnsi="Arial" w:cs="Arial"/>
          <w:sz w:val="22"/>
          <w:szCs w:val="22"/>
        </w:rPr>
        <w:t xml:space="preserve"> </w:t>
      </w:r>
      <w:r w:rsidR="009F7490" w:rsidRPr="00F45B03">
        <w:rPr>
          <w:rFonts w:ascii="Arial" w:hAnsi="Arial" w:cs="Arial"/>
          <w:b/>
          <w:bCs/>
          <w:sz w:val="22"/>
          <w:szCs w:val="22"/>
        </w:rPr>
        <w:t>(Krieger, 2014)</w:t>
      </w:r>
      <w:r w:rsidRPr="00F45B03">
        <w:rPr>
          <w:rFonts w:ascii="Arial" w:hAnsi="Arial" w:cs="Arial"/>
          <w:color w:val="000000" w:themeColor="text1"/>
          <w:sz w:val="22"/>
          <w:szCs w:val="22"/>
        </w:rPr>
        <w:t>.</w:t>
      </w:r>
    </w:p>
    <w:p w14:paraId="1F5A5DFD" w14:textId="04C3A5C9"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The intersection of ethnicity and socioeconomic deprivation compounds disadvantage, creating complex patterns of inequality</w:t>
      </w:r>
      <w:r w:rsidR="00C86DB1" w:rsidRPr="00F45B03">
        <w:rPr>
          <w:rFonts w:ascii="Arial" w:hAnsi="Arial" w:cs="Arial"/>
        </w:rPr>
        <w:t xml:space="preserve"> (Diez Roux, 2012)</w:t>
      </w:r>
      <w:r w:rsidRPr="00F45B03">
        <w:rPr>
          <w:rFonts w:ascii="Arial" w:eastAsia="Times New Roman" w:hAnsi="Arial" w:cs="Arial"/>
          <w:color w:val="000000" w:themeColor="text1"/>
          <w:lang w:eastAsia="en-IN"/>
        </w:rPr>
        <w:t>. Individuals who experience both may face multiple structural barriers affecting access, adherence, and recovery. Understanding these combined influences is essential for developing equitable cardiovascular services</w:t>
      </w:r>
      <w:r w:rsidR="009F7490" w:rsidRPr="00F45B03">
        <w:rPr>
          <w:rFonts w:ascii="Arial" w:hAnsi="Arial" w:cs="Arial"/>
        </w:rPr>
        <w:t xml:space="preserve"> (Marmot, 2005)</w:t>
      </w:r>
      <w:r w:rsidRPr="00F45B03">
        <w:rPr>
          <w:rFonts w:ascii="Arial" w:eastAsia="Times New Roman" w:hAnsi="Arial" w:cs="Arial"/>
          <w:color w:val="000000" w:themeColor="text1"/>
          <w:lang w:eastAsia="en-IN"/>
        </w:rPr>
        <w:t>.</w:t>
      </w:r>
    </w:p>
    <w:p w14:paraId="68D4815C" w14:textId="77777777" w:rsidR="00000FAB" w:rsidRPr="00F45B03" w:rsidRDefault="00000FAB"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1.4 Rationale for the Study</w:t>
      </w:r>
    </w:p>
    <w:p w14:paraId="3B738714"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Although CR is well</w:t>
      </w:r>
      <w:r w:rsidRPr="00F45B03">
        <w:rPr>
          <w:rFonts w:ascii="Arial" w:eastAsia="Times New Roman" w:hAnsi="Arial" w:cs="Arial"/>
          <w:color w:val="000000" w:themeColor="text1"/>
          <w:lang w:eastAsia="en-IN"/>
        </w:rPr>
        <w:noBreakHyphen/>
        <w:t>established as an effective secondary prevention strategy, much existing research focuses on clinical outcomes without adequately considering broader social determinants of health (Marmot et al., 2020). Limited research explores how socioeconomic inequalities and ethnic disparities influence CR participation and hospital readmission outcomes among adults aged 55 years and over in England.</w:t>
      </w:r>
    </w:p>
    <w:p w14:paraId="5A11F03E"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Additionally, many studies focus on short</w:t>
      </w:r>
      <w:r w:rsidRPr="00F45B03">
        <w:rPr>
          <w:rFonts w:ascii="Arial" w:eastAsia="Times New Roman" w:hAnsi="Arial" w:cs="Arial"/>
          <w:color w:val="000000" w:themeColor="text1"/>
          <w:lang w:eastAsia="en-IN"/>
        </w:rPr>
        <w:noBreakHyphen/>
        <w:t>term outcomes such as 30</w:t>
      </w:r>
      <w:r w:rsidRPr="00F45B03">
        <w:rPr>
          <w:rFonts w:ascii="Arial" w:eastAsia="Times New Roman" w:hAnsi="Arial" w:cs="Arial"/>
          <w:color w:val="000000" w:themeColor="text1"/>
          <w:lang w:eastAsia="en-IN"/>
        </w:rPr>
        <w:noBreakHyphen/>
        <w:t>day readmission rates, with less attention to medium</w:t>
      </w:r>
      <w:r w:rsidRPr="00F45B03">
        <w:rPr>
          <w:rFonts w:ascii="Arial" w:eastAsia="Times New Roman" w:hAnsi="Arial" w:cs="Arial"/>
          <w:color w:val="000000" w:themeColor="text1"/>
          <w:lang w:eastAsia="en-IN"/>
        </w:rPr>
        <w:noBreakHyphen/>
        <w:t xml:space="preserve"> and long</w:t>
      </w:r>
      <w:r w:rsidRPr="00F45B03">
        <w:rPr>
          <w:rFonts w:ascii="Arial" w:eastAsia="Times New Roman" w:hAnsi="Arial" w:cs="Arial"/>
          <w:color w:val="000000" w:themeColor="text1"/>
          <w:lang w:eastAsia="en-IN"/>
        </w:rPr>
        <w:noBreakHyphen/>
        <w:t>term outcomes beyond six months or one year (Virani et al., 2021). This creates a gap in understanding the sustained effectiveness of CR and whether benefits differ across population groups.</w:t>
      </w:r>
    </w:p>
    <w:p w14:paraId="7D3A5C87"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 xml:space="preserve">This study aims to examine the extent to which CR participation reduces hospital readmissions among adults aged 55 years and over in England, while also exploring how ethnicity and socioeconomic status influence these outcomes. Addressing these </w:t>
      </w:r>
      <w:r w:rsidRPr="00F45B03">
        <w:rPr>
          <w:rFonts w:ascii="Arial" w:eastAsia="Times New Roman" w:hAnsi="Arial" w:cs="Arial"/>
          <w:color w:val="000000" w:themeColor="text1"/>
          <w:lang w:eastAsia="en-IN"/>
        </w:rPr>
        <w:lastRenderedPageBreak/>
        <w:t>inequalities may support healthcare providers and policymakers in improving access, reducing avoidable readmissions, and promoting equitable cardiovascular outcomes.</w:t>
      </w:r>
    </w:p>
    <w:p w14:paraId="26618F64" w14:textId="6F3DB967" w:rsidR="00000FAB" w:rsidRPr="00F45B03" w:rsidRDefault="00000FAB"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1.</w:t>
      </w:r>
      <w:r w:rsidR="0006126E" w:rsidRPr="00F45B03">
        <w:rPr>
          <w:rFonts w:ascii="Arial" w:eastAsia="Times New Roman" w:hAnsi="Arial" w:cs="Arial"/>
          <w:b/>
          <w:bCs/>
          <w:color w:val="000000" w:themeColor="text1"/>
          <w:lang w:eastAsia="en-IN"/>
        </w:rPr>
        <w:t>5</w:t>
      </w:r>
      <w:r w:rsidRPr="00F45B03">
        <w:rPr>
          <w:rFonts w:ascii="Arial" w:eastAsia="Times New Roman" w:hAnsi="Arial" w:cs="Arial"/>
          <w:b/>
          <w:bCs/>
          <w:color w:val="000000" w:themeColor="text1"/>
          <w:lang w:eastAsia="en-IN"/>
        </w:rPr>
        <w:t xml:space="preserve"> Research Question</w:t>
      </w:r>
    </w:p>
    <w:p w14:paraId="07C6B6E3" w14:textId="764D3AB9"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what extent does participation in cardiac rehabilitation programmes reduce hospital readmissions among adults aged 55 years and over in England, and how do ethnicity and socioeconomic status influence these outcomes?</w:t>
      </w:r>
    </w:p>
    <w:p w14:paraId="30A16F2B" w14:textId="26CDF18E" w:rsidR="00000FAB" w:rsidRPr="00F45B03" w:rsidRDefault="00000FAB"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1.6 Research Aim</w:t>
      </w:r>
    </w:p>
    <w:p w14:paraId="3C327EEA"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evaluate the effectiveness of cardiac rehabilitation programmes in reducing hospital readmissions among adults aged 55 years and over in England, with a particular focus on ethnic and socioeconomic inequalities.</w:t>
      </w:r>
    </w:p>
    <w:p w14:paraId="0BD2CA24"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p>
    <w:p w14:paraId="6D62E7D9" w14:textId="77777777" w:rsidR="00000FAB" w:rsidRPr="00F45B03" w:rsidRDefault="00000FAB"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1.7 Research Objectives</w:t>
      </w:r>
    </w:p>
    <w:p w14:paraId="06655151" w14:textId="77777777" w:rsidR="00000FAB" w:rsidRPr="00F45B03" w:rsidRDefault="00000FAB" w:rsidP="00167E86">
      <w:pPr>
        <w:numPr>
          <w:ilvl w:val="0"/>
          <w:numId w:val="1"/>
        </w:num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assess the impact of cardiac rehabilitation on hospital readmission rates among adults aged 55 years and over in England.</w:t>
      </w:r>
    </w:p>
    <w:p w14:paraId="77ED5009" w14:textId="77777777" w:rsidR="00000FAB" w:rsidRPr="00F45B03" w:rsidRDefault="00000FAB" w:rsidP="00167E86">
      <w:pPr>
        <w:numPr>
          <w:ilvl w:val="0"/>
          <w:numId w:val="1"/>
        </w:num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examine differences in cardiac rehabilitation participation and outcomes across ethnic groups.</w:t>
      </w:r>
    </w:p>
    <w:p w14:paraId="662471A3" w14:textId="235DEDB0" w:rsidR="00000FAB" w:rsidRPr="00F45B03" w:rsidRDefault="00000FAB" w:rsidP="00167E86">
      <w:pPr>
        <w:numPr>
          <w:ilvl w:val="0"/>
          <w:numId w:val="1"/>
        </w:num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identify</w:t>
      </w:r>
      <w:r w:rsidR="00577C5C" w:rsidRPr="00F45B03">
        <w:rPr>
          <w:rFonts w:ascii="Arial" w:eastAsia="Times New Roman" w:hAnsi="Arial" w:cs="Arial"/>
          <w:color w:val="000000" w:themeColor="text1"/>
          <w:lang w:eastAsia="en-IN"/>
        </w:rPr>
        <w:t xml:space="preserve"> socioeconomics </w:t>
      </w:r>
      <w:r w:rsidRPr="00F45B03">
        <w:rPr>
          <w:rFonts w:ascii="Arial" w:eastAsia="Times New Roman" w:hAnsi="Arial" w:cs="Arial"/>
          <w:color w:val="000000" w:themeColor="text1"/>
          <w:lang w:eastAsia="en-IN"/>
        </w:rPr>
        <w:t>barriers and facilitators affecting participation in cardiac rehabilitation programmes.</w:t>
      </w:r>
    </w:p>
    <w:p w14:paraId="1F286A89" w14:textId="77777777" w:rsidR="00000FAB" w:rsidRPr="00F45B03" w:rsidRDefault="00000FAB" w:rsidP="00167E86">
      <w:pPr>
        <w:spacing w:before="100" w:beforeAutospacing="1" w:after="100" w:afterAutospacing="1" w:line="360" w:lineRule="auto"/>
        <w:jc w:val="both"/>
        <w:outlineLvl w:val="2"/>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1.8 Structure of the Dissertation</w:t>
      </w:r>
    </w:p>
    <w:p w14:paraId="6C8BC7F5" w14:textId="77777777" w:rsidR="00000FAB" w:rsidRPr="00F45B03" w:rsidRDefault="00000FAB" w:rsidP="00167E86">
      <w:pPr>
        <w:spacing w:before="100" w:beforeAutospacing="1" w:after="100" w:afterAutospacing="1"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This dissertation is organised into six chapters. Chapter 1 provides the background, rationale, aim, and objectives. Chapter 2 critically reviews existing literature and outlines the theoretical framework. Chapter 3 describes the methodology, including research design, data sources, and analytical methods. Chapter 4 presents the findings. Chapter 5 discusses these findings in relation to existing literature. Chapter 6 concludes with recommendations and implications for practice and future research.</w:t>
      </w:r>
    </w:p>
    <w:p w14:paraId="4E431A74" w14:textId="29F93B26" w:rsidR="008B2619" w:rsidRPr="00F45B03" w:rsidRDefault="008B2619" w:rsidP="00167E86">
      <w:pPr>
        <w:spacing w:line="360" w:lineRule="auto"/>
        <w:jc w:val="both"/>
        <w:rPr>
          <w:rFonts w:ascii="Arial" w:hAnsi="Arial" w:cs="Arial"/>
          <w:color w:val="000000" w:themeColor="text1"/>
        </w:rPr>
      </w:pPr>
    </w:p>
    <w:p w14:paraId="79ADB439" w14:textId="38DC9643" w:rsidR="00912B41" w:rsidRPr="00F45B03" w:rsidRDefault="00912B41" w:rsidP="00167E86">
      <w:pPr>
        <w:spacing w:line="360" w:lineRule="auto"/>
        <w:jc w:val="both"/>
        <w:rPr>
          <w:rFonts w:ascii="Arial" w:hAnsi="Arial" w:cs="Arial"/>
          <w:color w:val="000000" w:themeColor="text1"/>
        </w:rPr>
      </w:pPr>
    </w:p>
    <w:p w14:paraId="4DECA605" w14:textId="2BED51D0" w:rsidR="00912B41" w:rsidRPr="00F45B03" w:rsidRDefault="00AA4B24" w:rsidP="00167E86">
      <w:pPr>
        <w:pStyle w:val="Heading2"/>
        <w:spacing w:line="360" w:lineRule="auto"/>
        <w:jc w:val="both"/>
        <w:rPr>
          <w:rFonts w:ascii="Arial" w:hAnsi="Arial" w:cs="Arial"/>
          <w:sz w:val="22"/>
          <w:szCs w:val="22"/>
        </w:rPr>
      </w:pPr>
      <w:r w:rsidRPr="00F45B03">
        <w:rPr>
          <w:rFonts w:ascii="Arial" w:hAnsi="Arial" w:cs="Arial"/>
          <w:color w:val="000000" w:themeColor="text1"/>
          <w:sz w:val="22"/>
          <w:szCs w:val="22"/>
        </w:rPr>
        <w:lastRenderedPageBreak/>
        <w:t xml:space="preserve">Chapter </w:t>
      </w:r>
      <w:r w:rsidR="000D41B5" w:rsidRPr="00F45B03">
        <w:rPr>
          <w:rFonts w:ascii="Arial" w:hAnsi="Arial" w:cs="Arial"/>
          <w:color w:val="000000" w:themeColor="text1"/>
          <w:sz w:val="22"/>
          <w:szCs w:val="22"/>
        </w:rPr>
        <w:t>2 LITURATURE</w:t>
      </w:r>
      <w:r w:rsidR="00912B41" w:rsidRPr="00F45B03">
        <w:rPr>
          <w:rFonts w:ascii="Arial" w:hAnsi="Arial" w:cs="Arial"/>
          <w:color w:val="000000" w:themeColor="text1"/>
          <w:sz w:val="22"/>
          <w:szCs w:val="22"/>
        </w:rPr>
        <w:t xml:space="preserve"> REVIEW </w:t>
      </w:r>
    </w:p>
    <w:p w14:paraId="3F504EF0" w14:textId="0AA9FD03" w:rsidR="00AA4B24" w:rsidRPr="00F45B03" w:rsidRDefault="00AA4B24" w:rsidP="00167E86">
      <w:pPr>
        <w:spacing w:line="360" w:lineRule="auto"/>
        <w:jc w:val="both"/>
        <w:rPr>
          <w:rFonts w:ascii="Arial" w:hAnsi="Arial" w:cs="Arial"/>
          <w:color w:val="000000" w:themeColor="text1"/>
        </w:rPr>
      </w:pPr>
    </w:p>
    <w:p w14:paraId="6D98306F" w14:textId="77777777" w:rsidR="0006126E" w:rsidRPr="00F45B03" w:rsidRDefault="0006126E" w:rsidP="00167E86">
      <w:pPr>
        <w:pStyle w:val="Heading2"/>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5B03">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Introduction</w:t>
      </w:r>
    </w:p>
    <w:p w14:paraId="0286FF80" w14:textId="4EA85EF4" w:rsidR="0006126E" w:rsidRPr="009E2D48" w:rsidRDefault="0006126E" w:rsidP="00167E86">
      <w:pPr>
        <w:pStyle w:val="NormalWeb"/>
        <w:spacing w:line="360" w:lineRule="auto"/>
        <w:jc w:val="both"/>
        <w:rPr>
          <w:rFonts w:ascii="Arial" w:hAnsi="Arial" w:cs="Arial"/>
          <w:b/>
          <w:bCs/>
          <w:color w:val="000000" w:themeColor="text1"/>
          <w:sz w:val="22"/>
          <w:szCs w:val="22"/>
        </w:rPr>
      </w:pPr>
      <w:r w:rsidRPr="00F45B03">
        <w:rPr>
          <w:rFonts w:ascii="Arial" w:hAnsi="Arial" w:cs="Arial"/>
          <w:color w:val="000000" w:themeColor="text1"/>
          <w:sz w:val="22"/>
          <w:szCs w:val="22"/>
        </w:rPr>
        <w:t>Cardiovascular disease (CVD) continues to be one of the most extensively researched areas in global public health due to its profound impact on mortality, morbidity, and healthcare expenditure, making it a priority for prevention and secondary intervention strategies (Roth et al., 2020). According to the World Health Organization (2023), CVD accounts for approximately 17.9 million deaths annually, representing nearly 32% of all global mortality, with more recent estimates indicating an increase to 19.8 million deaths in 2022 due to ageing populations and persistent exposure to modifiable risk factors (WHO, 202</w:t>
      </w:r>
      <w:r w:rsidR="00CB6097" w:rsidRPr="00F45B03">
        <w:rPr>
          <w:rFonts w:ascii="Arial" w:hAnsi="Arial" w:cs="Arial"/>
          <w:color w:val="000000" w:themeColor="text1"/>
          <w:sz w:val="22"/>
          <w:szCs w:val="22"/>
        </w:rPr>
        <w:t>1</w:t>
      </w:r>
      <w:r w:rsidRPr="00F45B03">
        <w:rPr>
          <w:rFonts w:ascii="Arial" w:hAnsi="Arial" w:cs="Arial"/>
          <w:color w:val="000000" w:themeColor="text1"/>
          <w:sz w:val="22"/>
          <w:szCs w:val="22"/>
        </w:rPr>
        <w:t>). Beyond mortality, CVD contributes significantly to disability</w:t>
      </w:r>
      <w:r w:rsidRPr="00F45B03">
        <w:rPr>
          <w:rFonts w:ascii="Arial" w:hAnsi="Arial" w:cs="Arial"/>
          <w:color w:val="000000" w:themeColor="text1"/>
          <w:sz w:val="22"/>
          <w:szCs w:val="22"/>
        </w:rPr>
        <w:noBreakHyphen/>
        <w:t>adjusted life years (DALYs), reduced productivity, and long</w:t>
      </w:r>
      <w:r w:rsidRPr="00F45B03">
        <w:rPr>
          <w:rFonts w:ascii="Arial" w:hAnsi="Arial" w:cs="Arial"/>
          <w:color w:val="000000" w:themeColor="text1"/>
          <w:sz w:val="22"/>
          <w:szCs w:val="22"/>
        </w:rPr>
        <w:noBreakHyphen/>
        <w:t>term healthcare dependency, particularly among older adults (</w:t>
      </w:r>
      <w:r w:rsidR="00CB6097" w:rsidRPr="00F45B03">
        <w:rPr>
          <w:rFonts w:ascii="Arial" w:hAnsi="Arial" w:cs="Arial"/>
          <w:sz w:val="22"/>
          <w:szCs w:val="22"/>
        </w:rPr>
        <w:t>Roth et al., 2020</w:t>
      </w:r>
      <w:r w:rsidRPr="00F45B03">
        <w:rPr>
          <w:rFonts w:ascii="Arial" w:hAnsi="Arial" w:cs="Arial"/>
          <w:b/>
          <w:bCs/>
          <w:color w:val="000000" w:themeColor="text1"/>
          <w:sz w:val="22"/>
          <w:szCs w:val="22"/>
        </w:rPr>
        <w:t>).</w:t>
      </w:r>
      <w:r w:rsidRPr="00F45B03">
        <w:rPr>
          <w:rFonts w:ascii="Arial" w:hAnsi="Arial" w:cs="Arial"/>
          <w:b/>
          <w:bCs/>
          <w:noProof/>
          <w:color w:val="000000" w:themeColor="text1"/>
          <w:sz w:val="22"/>
          <w:szCs w:val="22"/>
        </w:rPr>
        <w:t xml:space="preserve"> </w:t>
      </w:r>
      <w:r w:rsidR="00646C39" w:rsidRPr="00F45B03">
        <w:rPr>
          <w:rStyle w:val="Strong"/>
          <w:rFonts w:ascii="Arial" w:hAnsi="Arial" w:cs="Arial"/>
          <w:b w:val="0"/>
          <w:bCs w:val="0"/>
          <w:color w:val="000000" w:themeColor="text1"/>
          <w:sz w:val="22"/>
          <w:szCs w:val="22"/>
        </w:rPr>
        <w:t>Recent guidance emphasises the importance of integrating global and local evidence to strengthen public health research (Greenhalgh et al., 202</w:t>
      </w:r>
      <w:r w:rsidR="00CB6097" w:rsidRPr="00F45B03">
        <w:rPr>
          <w:rStyle w:val="Strong"/>
          <w:rFonts w:ascii="Arial" w:hAnsi="Arial" w:cs="Arial"/>
          <w:b w:val="0"/>
          <w:bCs w:val="0"/>
          <w:color w:val="000000" w:themeColor="text1"/>
          <w:sz w:val="22"/>
          <w:szCs w:val="22"/>
        </w:rPr>
        <w:t>0</w:t>
      </w:r>
      <w:r w:rsidR="00646C39" w:rsidRPr="00F45B03">
        <w:rPr>
          <w:rStyle w:val="Strong"/>
          <w:rFonts w:ascii="Arial" w:hAnsi="Arial" w:cs="Arial"/>
          <w:b w:val="0"/>
          <w:bCs w:val="0"/>
          <w:color w:val="000000" w:themeColor="text1"/>
          <w:sz w:val="22"/>
          <w:szCs w:val="22"/>
        </w:rPr>
        <w:t>).</w:t>
      </w:r>
    </w:p>
    <w:p w14:paraId="100477A4" w14:textId="01D9E235" w:rsidR="0006126E" w:rsidRPr="00F45B03" w:rsidRDefault="0006126E" w:rsidP="00167E86">
      <w:pPr>
        <w:pStyle w:val="Heading3"/>
        <w:spacing w:line="360" w:lineRule="auto"/>
        <w:jc w:val="both"/>
        <w:rPr>
          <w:rFonts w:ascii="Arial" w:hAnsi="Arial" w:cs="Arial"/>
          <w:color w:val="000000" w:themeColor="text1"/>
          <w:sz w:val="22"/>
          <w:szCs w:val="22"/>
        </w:rPr>
      </w:pPr>
      <w:r w:rsidRPr="00F45B03">
        <w:rPr>
          <w:rStyle w:val="Strong"/>
          <w:rFonts w:ascii="Arial" w:hAnsi="Arial" w:cs="Arial"/>
          <w:b/>
          <w:bCs/>
          <w:color w:val="000000" w:themeColor="text1"/>
          <w:sz w:val="22"/>
          <w:szCs w:val="22"/>
        </w:rPr>
        <w:t xml:space="preserve">Figure </w:t>
      </w:r>
      <w:r w:rsidR="009E2D48">
        <w:rPr>
          <w:rStyle w:val="Strong"/>
          <w:rFonts w:ascii="Arial" w:hAnsi="Arial" w:cs="Arial"/>
          <w:b/>
          <w:bCs/>
          <w:color w:val="000000" w:themeColor="text1"/>
          <w:sz w:val="22"/>
          <w:szCs w:val="22"/>
        </w:rPr>
        <w:t>2.</w:t>
      </w:r>
      <w:r w:rsidRPr="00F45B03">
        <w:rPr>
          <w:rStyle w:val="Strong"/>
          <w:rFonts w:ascii="Arial" w:hAnsi="Arial" w:cs="Arial"/>
          <w:b/>
          <w:bCs/>
          <w:color w:val="000000" w:themeColor="text1"/>
          <w:sz w:val="22"/>
          <w:szCs w:val="22"/>
        </w:rPr>
        <w:t>1. Age</w:t>
      </w:r>
      <w:r w:rsidRPr="00F45B03">
        <w:rPr>
          <w:rStyle w:val="Strong"/>
          <w:rFonts w:ascii="Arial" w:hAnsi="Arial" w:cs="Arial"/>
          <w:b/>
          <w:bCs/>
          <w:color w:val="000000" w:themeColor="text1"/>
          <w:sz w:val="22"/>
          <w:szCs w:val="22"/>
        </w:rPr>
        <w:noBreakHyphen/>
        <w:t>specific DALY rates across Socio</w:t>
      </w:r>
      <w:r w:rsidRPr="00F45B03">
        <w:rPr>
          <w:rStyle w:val="Strong"/>
          <w:rFonts w:ascii="Arial" w:hAnsi="Arial" w:cs="Arial"/>
          <w:b/>
          <w:bCs/>
          <w:color w:val="000000" w:themeColor="text1"/>
          <w:sz w:val="22"/>
          <w:szCs w:val="22"/>
        </w:rPr>
        <w:noBreakHyphen/>
        <w:t>demographic Index (SDI) groups</w:t>
      </w:r>
    </w:p>
    <w:p w14:paraId="166E9384" w14:textId="77777777"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Style w:val="Emphasis"/>
          <w:rFonts w:ascii="Arial" w:hAnsi="Arial" w:cs="Arial"/>
          <w:color w:val="000000" w:themeColor="text1"/>
          <w:sz w:val="22"/>
          <w:szCs w:val="22"/>
        </w:rPr>
        <w:t>(Source: GBD 2019 Study)</w:t>
      </w:r>
    </w:p>
    <w:p w14:paraId="2B1DFDA1" w14:textId="77777777" w:rsidR="0006126E" w:rsidRPr="00F45B03" w:rsidRDefault="0006126E" w:rsidP="00167E86">
      <w:pPr>
        <w:pStyle w:val="NormalWeb"/>
        <w:spacing w:line="360" w:lineRule="auto"/>
        <w:jc w:val="both"/>
        <w:rPr>
          <w:rFonts w:ascii="Arial" w:hAnsi="Arial" w:cs="Arial"/>
          <w:noProof/>
          <w:color w:val="000000" w:themeColor="text1"/>
          <w:sz w:val="22"/>
          <w:szCs w:val="22"/>
        </w:rPr>
      </w:pPr>
    </w:p>
    <w:p w14:paraId="3897D8B0" w14:textId="77777777"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noProof/>
          <w:color w:val="000000" w:themeColor="text1"/>
          <w:sz w:val="22"/>
          <w:szCs w:val="22"/>
        </w:rPr>
        <w:drawing>
          <wp:inline distT="0" distB="0" distL="0" distR="0" wp14:anchorId="65C6A4BB" wp14:editId="10AA77AC">
            <wp:extent cx="5731095" cy="2957546"/>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095" cy="2957546"/>
                    </a:xfrm>
                    <a:prstGeom prst="rect">
                      <a:avLst/>
                    </a:prstGeom>
                    <a:noFill/>
                    <a:ln>
                      <a:noFill/>
                    </a:ln>
                  </pic:spPr>
                </pic:pic>
              </a:graphicData>
            </a:graphic>
          </wp:inline>
        </w:drawing>
      </w:r>
      <w:r w:rsidRPr="00F45B03">
        <w:rPr>
          <w:rFonts w:ascii="Arial" w:hAnsi="Arial" w:cs="Arial"/>
          <w:color w:val="000000" w:themeColor="text1"/>
          <w:sz w:val="22"/>
          <w:szCs w:val="22"/>
        </w:rPr>
        <w:t xml:space="preserve"> </w:t>
      </w:r>
    </w:p>
    <w:p w14:paraId="3460B18E" w14:textId="56E88E09" w:rsidR="0006126E" w:rsidRPr="00F45B03" w:rsidRDefault="005F7EE7" w:rsidP="00167E86">
      <w:pPr>
        <w:pStyle w:val="NormalWeb"/>
        <w:spacing w:line="360" w:lineRule="auto"/>
        <w:jc w:val="both"/>
        <w:rPr>
          <w:rFonts w:ascii="Arial" w:hAnsi="Arial" w:cs="Arial"/>
          <w:color w:val="000000" w:themeColor="text1"/>
          <w:sz w:val="22"/>
          <w:szCs w:val="22"/>
        </w:rPr>
      </w:pPr>
      <w:r w:rsidRPr="00F45B03">
        <w:rPr>
          <w:rFonts w:ascii="Arial" w:hAnsi="Arial" w:cs="Arial"/>
          <w:sz w:val="22"/>
          <w:szCs w:val="22"/>
        </w:rPr>
        <w:lastRenderedPageBreak/>
        <w:t xml:space="preserve">The chart above </w:t>
      </w:r>
      <w:proofErr w:type="spellStart"/>
      <w:proofErr w:type="gramStart"/>
      <w:r w:rsidRPr="00F45B03">
        <w:rPr>
          <w:rFonts w:ascii="Arial" w:hAnsi="Arial" w:cs="Arial"/>
          <w:sz w:val="22"/>
          <w:szCs w:val="22"/>
        </w:rPr>
        <w:t>shows,</w:t>
      </w:r>
      <w:r w:rsidR="0006126E" w:rsidRPr="00F45B03">
        <w:rPr>
          <w:rFonts w:ascii="Arial" w:hAnsi="Arial" w:cs="Arial"/>
          <w:sz w:val="22"/>
          <w:szCs w:val="22"/>
        </w:rPr>
        <w:t>These</w:t>
      </w:r>
      <w:proofErr w:type="spellEnd"/>
      <w:proofErr w:type="gramEnd"/>
      <w:r w:rsidR="0006126E" w:rsidRPr="00F45B03">
        <w:rPr>
          <w:rFonts w:ascii="Arial" w:hAnsi="Arial" w:cs="Arial"/>
          <w:sz w:val="22"/>
          <w:szCs w:val="22"/>
        </w:rPr>
        <w:t xml:space="preserve"> </w:t>
      </w:r>
      <w:r w:rsidR="0006126E" w:rsidRPr="00F45B03">
        <w:rPr>
          <w:rFonts w:ascii="Arial" w:hAnsi="Arial" w:cs="Arial"/>
          <w:color w:val="000000" w:themeColor="text1"/>
          <w:sz w:val="22"/>
          <w:szCs w:val="22"/>
        </w:rPr>
        <w:t>trends highlight the urgent need for effective secondary prevention strategies such as cardiac rehabilitation (CR), which has been widely promoted as a means of improving recovery and reducing recurrent hospitalisation (Anderson et al., 2016).</w:t>
      </w:r>
    </w:p>
    <w:p w14:paraId="7C885159" w14:textId="270B4542" w:rsidR="0006126E" w:rsidRPr="00F45B03" w:rsidRDefault="0006126E"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Despite strong evidence supporting CR effectiveness, participation and completion rates remain suboptimal, particularly among socioeconomically deprived and ethnic minority populations (</w:t>
      </w:r>
      <w:proofErr w:type="spellStart"/>
      <w:r w:rsidRPr="00F45B03">
        <w:rPr>
          <w:rFonts w:ascii="Arial" w:hAnsi="Arial" w:cs="Arial"/>
          <w:color w:val="000000" w:themeColor="text1"/>
          <w:sz w:val="22"/>
          <w:szCs w:val="22"/>
        </w:rPr>
        <w:t>Resurrección</w:t>
      </w:r>
      <w:proofErr w:type="spellEnd"/>
      <w:r w:rsidRPr="00F45B03">
        <w:rPr>
          <w:rFonts w:ascii="Arial" w:hAnsi="Arial" w:cs="Arial"/>
          <w:color w:val="000000" w:themeColor="text1"/>
          <w:sz w:val="22"/>
          <w:szCs w:val="22"/>
        </w:rPr>
        <w:t xml:space="preserve"> et al., 2017). Health inequalities continue to shape access to cardiovascular care, influencing both engagement with CR and long</w:t>
      </w:r>
      <w:r w:rsidRPr="00F45B03">
        <w:rPr>
          <w:rFonts w:ascii="Arial" w:hAnsi="Arial" w:cs="Arial"/>
          <w:color w:val="000000" w:themeColor="text1"/>
          <w:sz w:val="22"/>
          <w:szCs w:val="22"/>
        </w:rPr>
        <w:noBreakHyphen/>
        <w:t>term outcomes (Marmot et al., 2020</w:t>
      </w:r>
      <w:r w:rsidR="009F7490" w:rsidRPr="00F45B03">
        <w:rPr>
          <w:rFonts w:ascii="Arial" w:hAnsi="Arial" w:cs="Arial"/>
          <w:color w:val="000000" w:themeColor="text1"/>
          <w:sz w:val="22"/>
          <w:szCs w:val="22"/>
        </w:rPr>
        <w:t>,</w:t>
      </w:r>
      <w:r w:rsidR="009F7490" w:rsidRPr="00F45B03">
        <w:rPr>
          <w:rStyle w:val="Strong"/>
          <w:rFonts w:ascii="Arial" w:hAnsi="Arial" w:cs="Arial"/>
          <w:sz w:val="22"/>
          <w:szCs w:val="22"/>
        </w:rPr>
        <w:t xml:space="preserve"> </w:t>
      </w:r>
      <w:r w:rsidR="009F7490" w:rsidRPr="00F45B03">
        <w:rPr>
          <w:rFonts w:ascii="Arial" w:hAnsi="Arial" w:cs="Arial"/>
          <w:sz w:val="22"/>
          <w:szCs w:val="22"/>
        </w:rPr>
        <w:t>Berkman and Kawachi, 2000</w:t>
      </w:r>
      <w:r w:rsidR="006B294A" w:rsidRPr="00F45B03">
        <w:rPr>
          <w:rFonts w:ascii="Arial" w:hAnsi="Arial" w:cs="Arial"/>
          <w:sz w:val="22"/>
          <w:szCs w:val="22"/>
        </w:rPr>
        <w:t>, (Solar and Irwin, 2010)</w:t>
      </w:r>
      <w:r w:rsidR="009F7490" w:rsidRPr="00F45B03">
        <w:rPr>
          <w:rFonts w:ascii="Arial" w:hAnsi="Arial" w:cs="Arial"/>
          <w:sz w:val="22"/>
          <w:szCs w:val="22"/>
        </w:rPr>
        <w:t>)</w:t>
      </w:r>
      <w:r w:rsidRPr="00F45B03">
        <w:rPr>
          <w:rFonts w:ascii="Arial" w:hAnsi="Arial" w:cs="Arial"/>
          <w:color w:val="000000" w:themeColor="text1"/>
          <w:sz w:val="22"/>
          <w:szCs w:val="22"/>
        </w:rPr>
        <w:t xml:space="preserve"> This chapter critically reviews the existing literature on the burden of cardiovascular disease, the concept and components of CR, its effectiveness in reducing hospital readmissions, and the influence of socioeconomic and ethnic inequalities on CR participation and outcomes. By synthesising evidence from academic journals, systematic reviews, and national reports, this chapter identifies key gaps in the literature and establishes the rationale for the present study.</w:t>
      </w:r>
    </w:p>
    <w:p w14:paraId="14A5CF73" w14:textId="77777777" w:rsidR="0006126E" w:rsidRPr="00F45B03" w:rsidRDefault="0006126E"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2.2 Overview of Cardiovascular Disease</w:t>
      </w:r>
    </w:p>
    <w:p w14:paraId="38143C07" w14:textId="4648756A"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Cardiovascular disease (CVD) encompasses a broad range of disorders affecting the heart and blood vessels, including coronary artery disease, heart failure, stroke, arrhythmias, and peripheral arterial disease, all of which contribute significantly to global morbidity and mortality (WHO, 2023). Recent global estimates indicate that CVD accounts for nearly one</w:t>
      </w:r>
      <w:r w:rsidRPr="00F45B03">
        <w:rPr>
          <w:rFonts w:ascii="Arial" w:hAnsi="Arial" w:cs="Arial"/>
          <w:color w:val="000000" w:themeColor="text1"/>
          <w:sz w:val="22"/>
          <w:szCs w:val="22"/>
        </w:rPr>
        <w:noBreakHyphen/>
        <w:t>third of all deaths worldwide, with coronary heart disease and stroke responsible for the majority of mortality (WHO, 202</w:t>
      </w:r>
      <w:r w:rsidR="00CB6097" w:rsidRPr="00F45B03">
        <w:rPr>
          <w:rFonts w:ascii="Arial" w:hAnsi="Arial" w:cs="Arial"/>
          <w:color w:val="000000" w:themeColor="text1"/>
          <w:sz w:val="22"/>
          <w:szCs w:val="22"/>
        </w:rPr>
        <w:t>1</w:t>
      </w:r>
      <w:r w:rsidRPr="00F45B03">
        <w:rPr>
          <w:rFonts w:ascii="Arial" w:hAnsi="Arial" w:cs="Arial"/>
          <w:color w:val="000000" w:themeColor="text1"/>
          <w:sz w:val="22"/>
          <w:szCs w:val="22"/>
        </w:rPr>
        <w:t>). In addition to mortality, CVD contributes substantially to disability, reduced quality of life, and long</w:t>
      </w:r>
      <w:r w:rsidRPr="00F45B03">
        <w:rPr>
          <w:rFonts w:ascii="Arial" w:hAnsi="Arial" w:cs="Arial"/>
          <w:color w:val="000000" w:themeColor="text1"/>
          <w:sz w:val="22"/>
          <w:szCs w:val="22"/>
        </w:rPr>
        <w:noBreakHyphen/>
        <w:t>term dependency, particularly among older adults who experience higher rates of multimorbidity and frailty (Ben</w:t>
      </w:r>
      <w:r w:rsidRPr="00F45B03">
        <w:rPr>
          <w:rFonts w:ascii="Arial" w:hAnsi="Arial" w:cs="Arial"/>
          <w:color w:val="000000" w:themeColor="text1"/>
          <w:sz w:val="22"/>
          <w:szCs w:val="22"/>
        </w:rPr>
        <w:noBreakHyphen/>
        <w:t>Shlomo et al., 202</w:t>
      </w:r>
      <w:r w:rsidR="00CB6097" w:rsidRPr="00F45B03">
        <w:rPr>
          <w:rFonts w:ascii="Arial" w:hAnsi="Arial" w:cs="Arial"/>
          <w:color w:val="000000" w:themeColor="text1"/>
          <w:sz w:val="22"/>
          <w:szCs w:val="22"/>
        </w:rPr>
        <w:t>4</w:t>
      </w:r>
      <w:r w:rsidRPr="00F45B03">
        <w:rPr>
          <w:rFonts w:ascii="Arial" w:hAnsi="Arial" w:cs="Arial"/>
          <w:color w:val="000000" w:themeColor="text1"/>
          <w:sz w:val="22"/>
          <w:szCs w:val="22"/>
        </w:rPr>
        <w:t>).</w:t>
      </w:r>
    </w:p>
    <w:p w14:paraId="7B4FBCCB" w14:textId="73162BB7"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epidemiology of CVD has evolved considerably over recent decades</w:t>
      </w:r>
      <w:r w:rsidR="009F7490" w:rsidRPr="00F45B03">
        <w:rPr>
          <w:rFonts w:ascii="Arial" w:hAnsi="Arial" w:cs="Arial"/>
          <w:sz w:val="22"/>
          <w:szCs w:val="22"/>
        </w:rPr>
        <w:t xml:space="preserve"> (Evans and Kim, 2013)</w:t>
      </w:r>
      <w:r w:rsidRPr="00F45B03">
        <w:rPr>
          <w:rFonts w:ascii="Arial" w:hAnsi="Arial" w:cs="Arial"/>
          <w:color w:val="000000" w:themeColor="text1"/>
          <w:sz w:val="22"/>
          <w:szCs w:val="22"/>
        </w:rPr>
        <w:t>. In high</w:t>
      </w:r>
      <w:r w:rsidRPr="00F45B03">
        <w:rPr>
          <w:rFonts w:ascii="Arial" w:hAnsi="Arial" w:cs="Arial"/>
          <w:color w:val="000000" w:themeColor="text1"/>
          <w:sz w:val="22"/>
          <w:szCs w:val="22"/>
        </w:rPr>
        <w:noBreakHyphen/>
        <w:t>income countries such as the United Kingdom, mortality rates from CVD have declined due to improved prevention strategies, earlier diagnosis, and advancements in medical treatment, including statins, antihypertensive therapies, thrombolytic interventions, and surgical procedures (Libby, 2021). However, prevalence remains high because more individuals survive acute cardiovascular events and continue living with chronic conditions requiring long</w:t>
      </w:r>
      <w:r w:rsidRPr="00F45B03">
        <w:rPr>
          <w:rFonts w:ascii="Arial" w:hAnsi="Arial" w:cs="Arial"/>
          <w:color w:val="000000" w:themeColor="text1"/>
          <w:sz w:val="22"/>
          <w:szCs w:val="22"/>
        </w:rPr>
        <w:noBreakHyphen/>
        <w:t>term management and rehabilitation (British Heart Foundation, 202</w:t>
      </w:r>
      <w:r w:rsidR="00CB6097" w:rsidRPr="00F45B03">
        <w:rPr>
          <w:rFonts w:ascii="Arial" w:hAnsi="Arial" w:cs="Arial"/>
          <w:color w:val="000000" w:themeColor="text1"/>
          <w:sz w:val="22"/>
          <w:szCs w:val="22"/>
        </w:rPr>
        <w:t>3</w:t>
      </w:r>
      <w:r w:rsidRPr="00F45B03">
        <w:rPr>
          <w:rFonts w:ascii="Arial" w:hAnsi="Arial" w:cs="Arial"/>
          <w:color w:val="000000" w:themeColor="text1"/>
          <w:sz w:val="22"/>
          <w:szCs w:val="22"/>
        </w:rPr>
        <w:t xml:space="preserve">). This shift has increased demand </w:t>
      </w:r>
      <w:r w:rsidRPr="00F45B03">
        <w:rPr>
          <w:rFonts w:ascii="Arial" w:hAnsi="Arial" w:cs="Arial"/>
          <w:color w:val="000000" w:themeColor="text1"/>
          <w:sz w:val="22"/>
          <w:szCs w:val="22"/>
        </w:rPr>
        <w:lastRenderedPageBreak/>
        <w:t>for secondary prevention services such as CR, which aim to reduce recurrent events and improve long</w:t>
      </w:r>
      <w:r w:rsidRPr="00F45B03">
        <w:rPr>
          <w:rFonts w:ascii="Arial" w:hAnsi="Arial" w:cs="Arial"/>
          <w:color w:val="000000" w:themeColor="text1"/>
          <w:sz w:val="22"/>
          <w:szCs w:val="22"/>
        </w:rPr>
        <w:noBreakHyphen/>
        <w:t>term outcomes (Anderson et al., 2016).</w:t>
      </w:r>
    </w:p>
    <w:p w14:paraId="3D0AB94C" w14:textId="2EF362E9"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In England, CVD remains a leading cause of death and hospitalisation, with approximately 7.6 million people currently living with heart and circulatory diseases (British Heart Foundation, 202</w:t>
      </w:r>
      <w:r w:rsidR="00CB6097" w:rsidRPr="00F45B03">
        <w:rPr>
          <w:rFonts w:ascii="Arial" w:hAnsi="Arial" w:cs="Arial"/>
          <w:color w:val="000000" w:themeColor="text1"/>
          <w:sz w:val="22"/>
          <w:szCs w:val="22"/>
        </w:rPr>
        <w:t>3</w:t>
      </w:r>
      <w:r w:rsidRPr="00F45B03">
        <w:rPr>
          <w:rFonts w:ascii="Arial" w:hAnsi="Arial" w:cs="Arial"/>
          <w:color w:val="000000" w:themeColor="text1"/>
          <w:sz w:val="22"/>
          <w:szCs w:val="22"/>
        </w:rPr>
        <w:t>). CVD accounts for around 170,000 deaths annually, and over 100,000 hospital admissions each year are linked directly to heart attacks, placing substantial pressure on the National Health Service (Public Health England, 2020). Older adults are disproportionately affected due to age</w:t>
      </w:r>
      <w:r w:rsidRPr="00F45B03">
        <w:rPr>
          <w:rFonts w:ascii="Arial" w:hAnsi="Arial" w:cs="Arial"/>
          <w:color w:val="000000" w:themeColor="text1"/>
          <w:sz w:val="22"/>
          <w:szCs w:val="22"/>
        </w:rPr>
        <w:noBreakHyphen/>
        <w:t>related physiological decline, increased frailty, and cumulative exposure to cardiovascular risk factors, making them particularly vulnerable to recurrent hospital admissions (Ben</w:t>
      </w:r>
      <w:r w:rsidRPr="00F45B03">
        <w:rPr>
          <w:rFonts w:ascii="Arial" w:hAnsi="Arial" w:cs="Arial"/>
          <w:color w:val="000000" w:themeColor="text1"/>
          <w:sz w:val="22"/>
          <w:szCs w:val="22"/>
        </w:rPr>
        <w:noBreakHyphen/>
        <w:t>Shlomo et al., 2022).</w:t>
      </w:r>
    </w:p>
    <w:p w14:paraId="5F7374B2" w14:textId="70038B3C"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Modifiable risk factors such as smoking, obesity, poor diet, hypertension, diabetes, physical inactivity, and excessive alcohol consumption contribute significantly to CVD development and progression, with hypertension alone estimated to account for nearly half of all cardiovascular</w:t>
      </w:r>
      <w:r w:rsidRPr="00F45B03">
        <w:rPr>
          <w:rFonts w:ascii="Arial" w:hAnsi="Arial" w:cs="Arial"/>
          <w:color w:val="000000" w:themeColor="text1"/>
          <w:sz w:val="22"/>
          <w:szCs w:val="22"/>
        </w:rPr>
        <w:noBreakHyphen/>
        <w:t>related deaths globally (WHO, 2025)</w:t>
      </w:r>
      <w:r w:rsidR="009F7490" w:rsidRPr="00F45B03">
        <w:rPr>
          <w:rFonts w:ascii="Arial" w:hAnsi="Arial" w:cs="Arial"/>
          <w:sz w:val="22"/>
          <w:szCs w:val="22"/>
        </w:rPr>
        <w:t xml:space="preserve"> (Gidlow et al., 2016)</w:t>
      </w:r>
      <w:r w:rsidRPr="00F45B03">
        <w:rPr>
          <w:rFonts w:ascii="Arial" w:hAnsi="Arial" w:cs="Arial"/>
          <w:color w:val="000000" w:themeColor="text1"/>
          <w:sz w:val="22"/>
          <w:szCs w:val="22"/>
        </w:rPr>
        <w:t>. Non</w:t>
      </w:r>
      <w:r w:rsidRPr="00F45B03">
        <w:rPr>
          <w:rFonts w:ascii="Arial" w:hAnsi="Arial" w:cs="Arial"/>
          <w:color w:val="000000" w:themeColor="text1"/>
          <w:sz w:val="22"/>
          <w:szCs w:val="22"/>
        </w:rPr>
        <w:noBreakHyphen/>
        <w:t>modifiable risk factors, including age, sex, ethnicity, and family history, further influence disease risk, with cardiovascular risk increasing substantially after the age of 50 (</w:t>
      </w:r>
      <w:r w:rsidR="00CB6097" w:rsidRPr="00F45B03">
        <w:rPr>
          <w:rFonts w:ascii="Arial" w:hAnsi="Arial" w:cs="Arial"/>
          <w:sz w:val="22"/>
          <w:szCs w:val="22"/>
        </w:rPr>
        <w:t>Virani et al., 2021</w:t>
      </w:r>
      <w:r w:rsidRPr="00F45B03">
        <w:rPr>
          <w:rFonts w:ascii="Arial" w:hAnsi="Arial" w:cs="Arial"/>
          <w:color w:val="000000" w:themeColor="text1"/>
          <w:sz w:val="22"/>
          <w:szCs w:val="22"/>
        </w:rPr>
        <w:t>). These trends underscore the importance of effective secondary prevention strategies to reduce recurrent events and improve long</w:t>
      </w:r>
      <w:r w:rsidRPr="00F45B03">
        <w:rPr>
          <w:rFonts w:ascii="Arial" w:hAnsi="Arial" w:cs="Arial"/>
          <w:color w:val="000000" w:themeColor="text1"/>
          <w:sz w:val="22"/>
          <w:szCs w:val="22"/>
        </w:rPr>
        <w:noBreakHyphen/>
        <w:t>term outcomes</w:t>
      </w:r>
      <w:r w:rsidR="00D51A21" w:rsidRPr="00F45B03">
        <w:rPr>
          <w:rFonts w:ascii="Arial" w:hAnsi="Arial" w:cs="Arial"/>
          <w:sz w:val="22"/>
          <w:szCs w:val="22"/>
        </w:rPr>
        <w:t xml:space="preserve"> (Ezzati et al., 2015)</w:t>
      </w:r>
      <w:r w:rsidRPr="00F45B03">
        <w:rPr>
          <w:rFonts w:ascii="Arial" w:hAnsi="Arial" w:cs="Arial"/>
          <w:color w:val="000000" w:themeColor="text1"/>
          <w:sz w:val="22"/>
          <w:szCs w:val="22"/>
        </w:rPr>
        <w:t>.</w:t>
      </w:r>
    </w:p>
    <w:p w14:paraId="6B50B391" w14:textId="77777777"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Hospital readmissions represent a major concern within cardiovascular care, as they are associated with increased healthcare expenditure, poorer patient outcomes, and reduced quality of life (</w:t>
      </w:r>
      <w:proofErr w:type="spellStart"/>
      <w:r w:rsidRPr="00F45B03">
        <w:rPr>
          <w:rFonts w:ascii="Arial" w:hAnsi="Arial" w:cs="Arial"/>
          <w:color w:val="000000" w:themeColor="text1"/>
          <w:sz w:val="22"/>
          <w:szCs w:val="22"/>
        </w:rPr>
        <w:t>Dharmarajan</w:t>
      </w:r>
      <w:proofErr w:type="spellEnd"/>
      <w:r w:rsidRPr="00F45B03">
        <w:rPr>
          <w:rFonts w:ascii="Arial" w:hAnsi="Arial" w:cs="Arial"/>
          <w:color w:val="000000" w:themeColor="text1"/>
          <w:sz w:val="22"/>
          <w:szCs w:val="22"/>
        </w:rPr>
        <w:t xml:space="preserve"> et al., 2013). Evidence suggests that nearly one in four patients hospitalised for heart failure or myocardial infarction are readmitted within 30 days of discharge, with almost 50% experiencing readmission within six months (Virani et al., 2021). These readmissions often result from inadequate discharge planning, poor medication adherence, insufficient follow</w:t>
      </w:r>
      <w:r w:rsidRPr="00F45B03">
        <w:rPr>
          <w:rFonts w:ascii="Arial" w:hAnsi="Arial" w:cs="Arial"/>
          <w:color w:val="000000" w:themeColor="text1"/>
          <w:sz w:val="22"/>
          <w:szCs w:val="22"/>
        </w:rPr>
        <w:noBreakHyphen/>
        <w:t>up care, or progression of underlying disease, highlighting the need for comprehensive secondary prevention interventions such as CR (Taylor et al., 2019).</w:t>
      </w:r>
    </w:p>
    <w:p w14:paraId="1205B8E4" w14:textId="77777777" w:rsidR="0006126E" w:rsidRPr="00F45B03" w:rsidRDefault="0006126E" w:rsidP="00167E86">
      <w:pPr>
        <w:pStyle w:val="Heading2"/>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5B03">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Concept of Cardiac Rehabilitation</w:t>
      </w:r>
    </w:p>
    <w:p w14:paraId="0092B602" w14:textId="77777777"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Cardiac rehabilitation (CR) is a structured, multidisciplinary intervention designed to improve the physical, psychological, and social wellbeing of individuals recovering from cardiovascular events, and is widely recognised as an essential component of </w:t>
      </w:r>
      <w:r w:rsidRPr="00F45B03">
        <w:rPr>
          <w:rFonts w:ascii="Arial" w:hAnsi="Arial" w:cs="Arial"/>
          <w:color w:val="000000" w:themeColor="text1"/>
          <w:sz w:val="22"/>
          <w:szCs w:val="22"/>
        </w:rPr>
        <w:lastRenderedPageBreak/>
        <w:t>secondary prevention (Anderson et al., 2016). CR programmes typically include supervised exercise training, patient education, lifestyle modification, psychosocial support, cardiovascular risk assessment, dietary counselling, smoking cessation interventions, and medication optimisation, all of which contribute to improved long</w:t>
      </w:r>
      <w:r w:rsidRPr="00F45B03">
        <w:rPr>
          <w:rFonts w:ascii="Arial" w:hAnsi="Arial" w:cs="Arial"/>
          <w:color w:val="000000" w:themeColor="text1"/>
          <w:sz w:val="22"/>
          <w:szCs w:val="22"/>
        </w:rPr>
        <w:noBreakHyphen/>
        <w:t>term outcomes (NICE, 2018).</w:t>
      </w:r>
    </w:p>
    <w:p w14:paraId="41EBBC53" w14:textId="5B046E9A" w:rsidR="00646C39"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concept of CR has evolved significantly over time. Early rehabilitation programmes focused primarily on bed rest and gradual mobilisation following myocardial infarction, whereas contemporary CR adopts a holistic, patient</w:t>
      </w:r>
      <w:r w:rsidRPr="00F45B03">
        <w:rPr>
          <w:rFonts w:ascii="Arial" w:hAnsi="Arial" w:cs="Arial"/>
          <w:color w:val="000000" w:themeColor="text1"/>
          <w:sz w:val="22"/>
          <w:szCs w:val="22"/>
        </w:rPr>
        <w:noBreakHyphen/>
        <w:t>centred approach that emphasises behavioural change, self</w:t>
      </w:r>
      <w:r w:rsidRPr="00F45B03">
        <w:rPr>
          <w:rFonts w:ascii="Arial" w:hAnsi="Arial" w:cs="Arial"/>
          <w:color w:val="000000" w:themeColor="text1"/>
          <w:sz w:val="22"/>
          <w:szCs w:val="22"/>
        </w:rPr>
        <w:noBreakHyphen/>
        <w:t>management, and long</w:t>
      </w:r>
      <w:r w:rsidRPr="00F45B03">
        <w:rPr>
          <w:rFonts w:ascii="Arial" w:hAnsi="Arial" w:cs="Arial"/>
          <w:color w:val="000000" w:themeColor="text1"/>
          <w:sz w:val="22"/>
          <w:szCs w:val="22"/>
        </w:rPr>
        <w:noBreakHyphen/>
        <w:t>term risk reduction (Taylor et al., 2019). Exercise training remains a core component of CR, with evidence demonstrating improvements in cardiovascular fitness, muscle strength, endothelial function, and exercise tolerance, as well as reductions in blood pressure, cholesterol levels, and body weight (Anderson et al., 2016).</w:t>
      </w:r>
      <w:r w:rsidR="00646C39" w:rsidRPr="00F45B03">
        <w:rPr>
          <w:rFonts w:ascii="Arial" w:hAnsi="Arial" w:cs="Arial"/>
          <w:color w:val="000000" w:themeColor="text1"/>
          <w:sz w:val="22"/>
          <w:szCs w:val="22"/>
        </w:rPr>
        <w:t xml:space="preserve"> Cardiovascular disease remains a leading cause of morbidity and mortality globally (WHO, 2023). In England, CVD accounts for a substantial proportion of emergency admissions and healthcare expenditure (British Heart Foundation, 202</w:t>
      </w:r>
      <w:r w:rsidR="00CB6097" w:rsidRPr="00F45B03">
        <w:rPr>
          <w:rFonts w:ascii="Arial" w:hAnsi="Arial" w:cs="Arial"/>
          <w:color w:val="000000" w:themeColor="text1"/>
          <w:sz w:val="22"/>
          <w:szCs w:val="22"/>
        </w:rPr>
        <w:t>3</w:t>
      </w:r>
      <w:r w:rsidR="00646C39" w:rsidRPr="00F45B03">
        <w:rPr>
          <w:rFonts w:ascii="Arial" w:hAnsi="Arial" w:cs="Arial"/>
          <w:color w:val="000000" w:themeColor="text1"/>
          <w:sz w:val="22"/>
          <w:szCs w:val="22"/>
        </w:rPr>
        <w:t>). Hospital readmissions following acute cardiac events are common, with 20–25% of patients readmitted within 30 days (</w:t>
      </w:r>
      <w:proofErr w:type="spellStart"/>
      <w:r w:rsidR="00646C39" w:rsidRPr="00F45B03">
        <w:rPr>
          <w:rFonts w:ascii="Arial" w:hAnsi="Arial" w:cs="Arial"/>
          <w:color w:val="000000" w:themeColor="text1"/>
          <w:sz w:val="22"/>
          <w:szCs w:val="22"/>
        </w:rPr>
        <w:t>Dharmarajan</w:t>
      </w:r>
      <w:proofErr w:type="spellEnd"/>
      <w:r w:rsidR="00646C39" w:rsidRPr="00F45B03">
        <w:rPr>
          <w:rFonts w:ascii="Arial" w:hAnsi="Arial" w:cs="Arial"/>
          <w:color w:val="000000" w:themeColor="text1"/>
          <w:sz w:val="22"/>
          <w:szCs w:val="22"/>
        </w:rPr>
        <w:t xml:space="preserve"> et al., 2013). </w:t>
      </w:r>
      <w:r w:rsidR="00646C39" w:rsidRPr="00F45B03">
        <w:rPr>
          <w:rStyle w:val="Strong"/>
          <w:rFonts w:ascii="Arial" w:hAnsi="Arial" w:cs="Arial"/>
          <w:b w:val="0"/>
          <w:bCs w:val="0"/>
          <w:color w:val="000000" w:themeColor="text1"/>
          <w:sz w:val="22"/>
          <w:szCs w:val="22"/>
        </w:rPr>
        <w:t>A recent European Heart Journal analysis found that readmission risk is strongly associated with multimorbidity, frailty, and socioeconomic deprivation (Timmis et al., 2022</w:t>
      </w:r>
      <w:r w:rsidR="00646C39" w:rsidRPr="00F45B03">
        <w:rPr>
          <w:rStyle w:val="Strong"/>
          <w:rFonts w:ascii="Arial" w:hAnsi="Arial" w:cs="Arial"/>
          <w:color w:val="000000" w:themeColor="text1"/>
          <w:sz w:val="22"/>
          <w:szCs w:val="22"/>
        </w:rPr>
        <w:t>).</w:t>
      </w:r>
    </w:p>
    <w:p w14:paraId="0BA48BE1" w14:textId="5D5D195D" w:rsidR="00646C39" w:rsidRPr="00F45B03" w:rsidRDefault="00646C3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Older adults are particularly vulnerable to recurrent admissions due to age</w:t>
      </w:r>
      <w:r w:rsidRPr="00F45B03">
        <w:rPr>
          <w:rFonts w:ascii="Arial" w:hAnsi="Arial" w:cs="Arial"/>
          <w:color w:val="000000" w:themeColor="text1"/>
          <w:sz w:val="22"/>
          <w:szCs w:val="22"/>
        </w:rPr>
        <w:noBreakHyphen/>
        <w:t>related physiological decline and multiple chronic conditions (Ben</w:t>
      </w:r>
      <w:r w:rsidRPr="00F45B03">
        <w:rPr>
          <w:rFonts w:ascii="Arial" w:hAnsi="Arial" w:cs="Arial"/>
          <w:color w:val="000000" w:themeColor="text1"/>
          <w:sz w:val="22"/>
          <w:szCs w:val="22"/>
        </w:rPr>
        <w:noBreakHyphen/>
        <w:t>Shlomo et al., 20</w:t>
      </w:r>
      <w:r w:rsidR="00CB6097" w:rsidRPr="00F45B03">
        <w:rPr>
          <w:rFonts w:ascii="Arial" w:hAnsi="Arial" w:cs="Arial"/>
          <w:color w:val="000000" w:themeColor="text1"/>
          <w:sz w:val="22"/>
          <w:szCs w:val="22"/>
        </w:rPr>
        <w:t>14</w:t>
      </w:r>
      <w:r w:rsidRPr="00F45B03">
        <w:rPr>
          <w:rFonts w:ascii="Arial" w:hAnsi="Arial" w:cs="Arial"/>
          <w:color w:val="000000" w:themeColor="text1"/>
          <w:sz w:val="22"/>
          <w:szCs w:val="22"/>
        </w:rPr>
        <w:t xml:space="preserve">). </w:t>
      </w:r>
      <w:r w:rsidRPr="00F45B03">
        <w:rPr>
          <w:rStyle w:val="Strong"/>
          <w:rFonts w:ascii="Arial" w:hAnsi="Arial" w:cs="Arial"/>
          <w:b w:val="0"/>
          <w:bCs w:val="0"/>
          <w:color w:val="000000" w:themeColor="text1"/>
          <w:sz w:val="22"/>
          <w:szCs w:val="22"/>
        </w:rPr>
        <w:t>Studies also show that polypharmacy and poor medication adherence significantly increase readmission risk among older adults (</w:t>
      </w:r>
      <w:proofErr w:type="spellStart"/>
      <w:r w:rsidRPr="00F45B03">
        <w:rPr>
          <w:rStyle w:val="Strong"/>
          <w:rFonts w:ascii="Arial" w:hAnsi="Arial" w:cs="Arial"/>
          <w:b w:val="0"/>
          <w:bCs w:val="0"/>
          <w:color w:val="000000" w:themeColor="text1"/>
          <w:sz w:val="22"/>
          <w:szCs w:val="22"/>
        </w:rPr>
        <w:t>Gellad</w:t>
      </w:r>
      <w:proofErr w:type="spellEnd"/>
      <w:r w:rsidRPr="00F45B03">
        <w:rPr>
          <w:rStyle w:val="Strong"/>
          <w:rFonts w:ascii="Arial" w:hAnsi="Arial" w:cs="Arial"/>
          <w:b w:val="0"/>
          <w:bCs w:val="0"/>
          <w:color w:val="000000" w:themeColor="text1"/>
          <w:sz w:val="22"/>
          <w:szCs w:val="22"/>
        </w:rPr>
        <w:t xml:space="preserve"> et al., 2021</w:t>
      </w:r>
      <w:proofErr w:type="gramStart"/>
      <w:r w:rsidRPr="00F45B03">
        <w:rPr>
          <w:rStyle w:val="Strong"/>
          <w:rFonts w:ascii="Arial" w:hAnsi="Arial" w:cs="Arial"/>
          <w:b w:val="0"/>
          <w:bCs w:val="0"/>
          <w:color w:val="000000" w:themeColor="text1"/>
          <w:sz w:val="22"/>
          <w:szCs w:val="22"/>
        </w:rPr>
        <w:t>)</w:t>
      </w:r>
      <w:r w:rsidRPr="00F45B03">
        <w:rPr>
          <w:rStyle w:val="Strong"/>
          <w:rFonts w:ascii="Arial" w:hAnsi="Arial" w:cs="Arial"/>
          <w:color w:val="000000" w:themeColor="text1"/>
          <w:sz w:val="22"/>
          <w:szCs w:val="22"/>
        </w:rPr>
        <w:t xml:space="preserve"> .</w:t>
      </w:r>
      <w:proofErr w:type="gramEnd"/>
    </w:p>
    <w:p w14:paraId="6AB59E8D" w14:textId="29FA8B54"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Education is another essential component of CR, providing patients with information on disease management, medication adherence, symptom recognition, dietary modification, and lifestyle change</w:t>
      </w:r>
      <w:r w:rsidR="009F7490" w:rsidRPr="00F45B03">
        <w:rPr>
          <w:rFonts w:ascii="Arial" w:hAnsi="Arial" w:cs="Arial"/>
          <w:sz w:val="22"/>
          <w:szCs w:val="22"/>
        </w:rPr>
        <w:t xml:space="preserve"> (Glanz et al., 2015)</w:t>
      </w:r>
      <w:r w:rsidRPr="00F45B03">
        <w:rPr>
          <w:rFonts w:ascii="Arial" w:hAnsi="Arial" w:cs="Arial"/>
          <w:color w:val="000000" w:themeColor="text1"/>
          <w:sz w:val="22"/>
          <w:szCs w:val="22"/>
        </w:rPr>
        <w:t>. Improved patient knowledge has been linked to better adherence to medication and healthier lifestyle behaviours, contributing to reduced risk of recurrent cardiovascular events (</w:t>
      </w:r>
      <w:proofErr w:type="spellStart"/>
      <w:r w:rsidRPr="00F45B03">
        <w:rPr>
          <w:rFonts w:ascii="Arial" w:hAnsi="Arial" w:cs="Arial"/>
          <w:color w:val="000000" w:themeColor="text1"/>
          <w:sz w:val="22"/>
          <w:szCs w:val="22"/>
        </w:rPr>
        <w:t>Resurrección</w:t>
      </w:r>
      <w:proofErr w:type="spellEnd"/>
      <w:r w:rsidRPr="00F45B03">
        <w:rPr>
          <w:rFonts w:ascii="Arial" w:hAnsi="Arial" w:cs="Arial"/>
          <w:color w:val="000000" w:themeColor="text1"/>
          <w:sz w:val="22"/>
          <w:szCs w:val="22"/>
        </w:rPr>
        <w:t xml:space="preserve"> et al., 2017). Lifestyle modification interventions, including smoking cessation support, dietary advice, alcohol reduction, and stress management, further contribute to long</w:t>
      </w:r>
      <w:r w:rsidRPr="00F45B03">
        <w:rPr>
          <w:rFonts w:ascii="Arial" w:hAnsi="Arial" w:cs="Arial"/>
          <w:color w:val="000000" w:themeColor="text1"/>
          <w:sz w:val="22"/>
          <w:szCs w:val="22"/>
        </w:rPr>
        <w:noBreakHyphen/>
        <w:t>term risk reduction and improved health outcomes (NICE, 2018).</w:t>
      </w:r>
    </w:p>
    <w:p w14:paraId="549085D0" w14:textId="77777777"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Psychological support is increasingly recognised as a critical component of CR, as anxiety, depression, and psychological distress are common following myocardial </w:t>
      </w:r>
      <w:r w:rsidRPr="00F45B03">
        <w:rPr>
          <w:rFonts w:ascii="Arial" w:hAnsi="Arial" w:cs="Arial"/>
          <w:color w:val="000000" w:themeColor="text1"/>
          <w:sz w:val="22"/>
          <w:szCs w:val="22"/>
        </w:rPr>
        <w:lastRenderedPageBreak/>
        <w:t>infarction, heart failure diagnosis, or cardiac surgery (Taylor et al., 2019). Psychological distress may negatively influence treatment adherence, motivation, and quality of life, making psychosocial interventions essential for improving emotional wellbeing and recovery outcomes (Anderson et al., 2016).</w:t>
      </w:r>
    </w:p>
    <w:p w14:paraId="476A6503" w14:textId="6EB807D0"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Despite strong evidence supporting CR effectiveness, uptake and completion rates remain suboptimal, with only around 43% of eligible patients in the UK enrolling in CR programmes and even fewer completing them (NIHR, 2019). Barriers to participation include delayed referral processes, transport difficulties, low awareness, work commitments, caregiving responsibilities, language barriers, and low motivation, with older adults facing additional challenges such as frailty, mobility limitations, and fear of exercise (</w:t>
      </w:r>
      <w:proofErr w:type="spellStart"/>
      <w:r w:rsidRPr="00F45B03">
        <w:rPr>
          <w:rFonts w:ascii="Arial" w:hAnsi="Arial" w:cs="Arial"/>
          <w:color w:val="000000" w:themeColor="text1"/>
          <w:sz w:val="22"/>
          <w:szCs w:val="22"/>
        </w:rPr>
        <w:t>Resurrección</w:t>
      </w:r>
      <w:proofErr w:type="spellEnd"/>
      <w:r w:rsidRPr="00F45B03">
        <w:rPr>
          <w:rFonts w:ascii="Arial" w:hAnsi="Arial" w:cs="Arial"/>
          <w:color w:val="000000" w:themeColor="text1"/>
          <w:sz w:val="22"/>
          <w:szCs w:val="22"/>
        </w:rPr>
        <w:t xml:space="preserve"> et al., 2017). These barriers highlight the need for targeted interventions to improve CR access and engagement, particularly among disadvantaged populations</w:t>
      </w:r>
      <w:r w:rsidR="006B294A" w:rsidRPr="00F45B03">
        <w:rPr>
          <w:rFonts w:ascii="Arial" w:hAnsi="Arial" w:cs="Arial"/>
          <w:sz w:val="22"/>
          <w:szCs w:val="22"/>
        </w:rPr>
        <w:t xml:space="preserve"> (Michie et al., 2011)</w:t>
      </w:r>
      <w:r w:rsidRPr="00F45B03">
        <w:rPr>
          <w:rFonts w:ascii="Arial" w:hAnsi="Arial" w:cs="Arial"/>
          <w:color w:val="000000" w:themeColor="text1"/>
          <w:sz w:val="22"/>
          <w:szCs w:val="22"/>
        </w:rPr>
        <w:t>.</w:t>
      </w:r>
    </w:p>
    <w:p w14:paraId="57B205DF" w14:textId="77777777" w:rsidR="0006126E" w:rsidRPr="00F45B03" w:rsidRDefault="0006126E" w:rsidP="00167E86">
      <w:pPr>
        <w:pStyle w:val="Heading2"/>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5B03">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Effectiveness of Cardiac Rehabilitation in Reducing Hospital Readmissions</w:t>
      </w:r>
    </w:p>
    <w:p w14:paraId="6398176C" w14:textId="61ADEDF9"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Cardiac rehabilitation has been widely recognised as an effective intervention for reducing hospital readmissions among individuals recovering from cardiovascular events, with numerous studies demonstrating significant reductions in both short</w:t>
      </w:r>
      <w:r w:rsidRPr="00F45B03">
        <w:rPr>
          <w:rFonts w:ascii="Arial" w:hAnsi="Arial" w:cs="Arial"/>
          <w:color w:val="000000" w:themeColor="text1"/>
          <w:sz w:val="22"/>
          <w:szCs w:val="22"/>
        </w:rPr>
        <w:noBreakHyphen/>
        <w:t>term and long</w:t>
      </w:r>
      <w:r w:rsidRPr="00F45B03">
        <w:rPr>
          <w:rFonts w:ascii="Arial" w:hAnsi="Arial" w:cs="Arial"/>
          <w:color w:val="000000" w:themeColor="text1"/>
          <w:sz w:val="22"/>
          <w:szCs w:val="22"/>
        </w:rPr>
        <w:noBreakHyphen/>
        <w:t>term readmission rates (Anderson et al., 2016). Hospital readmission is frequently used as an indicator of healthcare quality, continuity of care, and effectiveness of long</w:t>
      </w:r>
      <w:r w:rsidRPr="00F45B03">
        <w:rPr>
          <w:rFonts w:ascii="Arial" w:hAnsi="Arial" w:cs="Arial"/>
          <w:color w:val="000000" w:themeColor="text1"/>
          <w:sz w:val="22"/>
          <w:szCs w:val="22"/>
        </w:rPr>
        <w:noBreakHyphen/>
        <w:t>term disease management, making it a key outcome measure in CR research</w:t>
      </w:r>
      <w:r w:rsidR="006B294A" w:rsidRPr="00F45B03">
        <w:rPr>
          <w:rStyle w:val="Heading3Char"/>
          <w:rFonts w:ascii="Arial" w:hAnsi="Arial" w:cs="Arial"/>
          <w:sz w:val="22"/>
          <w:szCs w:val="22"/>
        </w:rPr>
        <w:t xml:space="preserve"> </w:t>
      </w:r>
      <w:r w:rsidR="006B294A" w:rsidRPr="00F45B03">
        <w:rPr>
          <w:rStyle w:val="Strong"/>
          <w:rFonts w:ascii="Arial" w:hAnsi="Arial" w:cs="Arial"/>
          <w:b w:val="0"/>
          <w:bCs w:val="0"/>
          <w:sz w:val="22"/>
          <w:szCs w:val="22"/>
        </w:rPr>
        <w:t>(Gulliford et al., 2006)</w:t>
      </w:r>
      <w:r w:rsidRPr="00F45B03">
        <w:rPr>
          <w:rFonts w:ascii="Arial" w:hAnsi="Arial" w:cs="Arial"/>
          <w:color w:val="000000" w:themeColor="text1"/>
          <w:sz w:val="22"/>
          <w:szCs w:val="22"/>
        </w:rPr>
        <w:t xml:space="preserve"> (</w:t>
      </w:r>
      <w:proofErr w:type="spellStart"/>
      <w:r w:rsidRPr="00F45B03">
        <w:rPr>
          <w:rFonts w:ascii="Arial" w:hAnsi="Arial" w:cs="Arial"/>
          <w:color w:val="000000" w:themeColor="text1"/>
          <w:sz w:val="22"/>
          <w:szCs w:val="22"/>
        </w:rPr>
        <w:t>Dharmarajan</w:t>
      </w:r>
      <w:proofErr w:type="spellEnd"/>
      <w:r w:rsidRPr="00F45B03">
        <w:rPr>
          <w:rFonts w:ascii="Arial" w:hAnsi="Arial" w:cs="Arial"/>
          <w:color w:val="000000" w:themeColor="text1"/>
          <w:sz w:val="22"/>
          <w:szCs w:val="22"/>
        </w:rPr>
        <w:t xml:space="preserve"> et al., 2013).</w:t>
      </w:r>
    </w:p>
    <w:p w14:paraId="43929EB2" w14:textId="6ADEE2E9" w:rsidR="00646C39" w:rsidRPr="00F45B03" w:rsidRDefault="00646C39" w:rsidP="00167E86">
      <w:pPr>
        <w:pStyle w:val="NormalWeb"/>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A meta</w:t>
      </w:r>
      <w:r w:rsidRPr="00F45B03">
        <w:rPr>
          <w:rStyle w:val="Strong"/>
          <w:rFonts w:ascii="Arial" w:hAnsi="Arial" w:cs="Arial"/>
          <w:b w:val="0"/>
          <w:bCs w:val="0"/>
          <w:color w:val="000000" w:themeColor="text1"/>
          <w:sz w:val="22"/>
          <w:szCs w:val="22"/>
        </w:rPr>
        <w:noBreakHyphen/>
        <w:t>analysis of 29 trials found that CR participants had significantly improved exercise tolerance and quality of life (Heran et al., 2011</w:t>
      </w:r>
      <w:r w:rsidRPr="00F45B03">
        <w:rPr>
          <w:rStyle w:val="Strong"/>
          <w:rFonts w:ascii="Arial" w:hAnsi="Arial" w:cs="Arial"/>
          <w:color w:val="000000" w:themeColor="text1"/>
          <w:sz w:val="22"/>
          <w:szCs w:val="22"/>
        </w:rPr>
        <w:t xml:space="preserve">) </w:t>
      </w:r>
    </w:p>
    <w:p w14:paraId="2C5492DB" w14:textId="77777777" w:rsidR="00646C39" w:rsidRPr="00F45B03" w:rsidRDefault="00646C39" w:rsidP="00167E86">
      <w:pPr>
        <w:pStyle w:val="NormalWeb"/>
        <w:spacing w:line="360" w:lineRule="auto"/>
        <w:jc w:val="both"/>
        <w:rPr>
          <w:rFonts w:ascii="Arial" w:hAnsi="Arial" w:cs="Arial"/>
          <w:color w:val="000000" w:themeColor="text1"/>
          <w:sz w:val="22"/>
          <w:szCs w:val="22"/>
        </w:rPr>
      </w:pPr>
    </w:p>
    <w:p w14:paraId="22DFE05D" w14:textId="393AD2E2" w:rsidR="00646C39" w:rsidRPr="00F45B03" w:rsidRDefault="0006126E" w:rsidP="00167E86">
      <w:pPr>
        <w:pStyle w:val="NormalWeb"/>
        <w:spacing w:line="360" w:lineRule="auto"/>
        <w:jc w:val="both"/>
        <w:rPr>
          <w:rFonts w:ascii="Arial" w:hAnsi="Arial" w:cs="Arial"/>
          <w:b/>
          <w:bCs/>
          <w:color w:val="000000" w:themeColor="text1"/>
          <w:sz w:val="22"/>
          <w:szCs w:val="22"/>
        </w:rPr>
      </w:pPr>
      <w:r w:rsidRPr="00F45B03">
        <w:rPr>
          <w:rFonts w:ascii="Arial" w:hAnsi="Arial" w:cs="Arial"/>
          <w:color w:val="000000" w:themeColor="text1"/>
          <w:sz w:val="22"/>
          <w:szCs w:val="22"/>
        </w:rPr>
        <w:t>Evidence from systematic reviews and meta</w:t>
      </w:r>
      <w:r w:rsidRPr="00F45B03">
        <w:rPr>
          <w:rFonts w:ascii="Arial" w:hAnsi="Arial" w:cs="Arial"/>
          <w:color w:val="000000" w:themeColor="text1"/>
          <w:sz w:val="22"/>
          <w:szCs w:val="22"/>
        </w:rPr>
        <w:noBreakHyphen/>
        <w:t>analyses indicates that participation in CR significantly reduces cardiovascular</w:t>
      </w:r>
      <w:r w:rsidRPr="00F45B03">
        <w:rPr>
          <w:rFonts w:ascii="Arial" w:hAnsi="Arial" w:cs="Arial"/>
          <w:color w:val="000000" w:themeColor="text1"/>
          <w:sz w:val="22"/>
          <w:szCs w:val="22"/>
        </w:rPr>
        <w:noBreakHyphen/>
        <w:t>related hospital admissions compared with usual care, with improvements attributed to enhanced cardiovascular fitness, better risk factor control, and reduced rates of recurrent cardiac events (Anderson et al., 2016). Taylor et al. (2019) similarly found that CR participation contributed to reductions in recurrent cardiovascular complications, improved functional capacity, and enhanced patient self</w:t>
      </w:r>
      <w:r w:rsidRPr="00F45B03">
        <w:rPr>
          <w:rFonts w:ascii="Arial" w:hAnsi="Arial" w:cs="Arial"/>
          <w:color w:val="000000" w:themeColor="text1"/>
          <w:sz w:val="22"/>
          <w:szCs w:val="22"/>
        </w:rPr>
        <w:noBreakHyphen/>
        <w:t xml:space="preserve">management, with structured exercise, behavioural support, medication adherence education, and lifestyle interventions identified as key </w:t>
      </w:r>
      <w:r w:rsidRPr="00F45B03">
        <w:rPr>
          <w:rFonts w:ascii="Arial" w:hAnsi="Arial" w:cs="Arial"/>
          <w:color w:val="000000" w:themeColor="text1"/>
          <w:sz w:val="22"/>
          <w:szCs w:val="22"/>
        </w:rPr>
        <w:lastRenderedPageBreak/>
        <w:t>mechanisms contributing to improved outcomes</w:t>
      </w:r>
      <w:r w:rsidR="006B294A" w:rsidRPr="00F45B03">
        <w:rPr>
          <w:rFonts w:ascii="Arial" w:hAnsi="Arial" w:cs="Arial"/>
          <w:sz w:val="22"/>
          <w:szCs w:val="22"/>
        </w:rPr>
        <w:t xml:space="preserve"> (O’Neil et al., 2014)</w:t>
      </w:r>
      <w:r w:rsidRPr="00F45B03">
        <w:rPr>
          <w:rFonts w:ascii="Arial" w:hAnsi="Arial" w:cs="Arial"/>
          <w:b/>
          <w:bCs/>
          <w:color w:val="000000" w:themeColor="text1"/>
          <w:sz w:val="22"/>
          <w:szCs w:val="22"/>
        </w:rPr>
        <w:t>.</w:t>
      </w:r>
      <w:r w:rsidR="00646C39" w:rsidRPr="00F45B03">
        <w:rPr>
          <w:rStyle w:val="Strong"/>
          <w:rFonts w:ascii="Arial" w:hAnsi="Arial" w:cs="Arial"/>
          <w:b w:val="0"/>
          <w:bCs w:val="0"/>
          <w:color w:val="000000" w:themeColor="text1"/>
          <w:sz w:val="22"/>
          <w:szCs w:val="22"/>
        </w:rPr>
        <w:t xml:space="preserve"> Hybrid CR models combining digital and in</w:t>
      </w:r>
      <w:r w:rsidR="00646C39" w:rsidRPr="00F45B03">
        <w:rPr>
          <w:rStyle w:val="Strong"/>
          <w:rFonts w:ascii="Arial" w:hAnsi="Arial" w:cs="Arial"/>
          <w:b w:val="0"/>
          <w:bCs w:val="0"/>
          <w:color w:val="000000" w:themeColor="text1"/>
          <w:sz w:val="22"/>
          <w:szCs w:val="22"/>
        </w:rPr>
        <w:noBreakHyphen/>
        <w:t>person components have also demonstrated strong outcomes, particularly for older adults and those with mobility limitations (</w:t>
      </w:r>
      <w:proofErr w:type="spellStart"/>
      <w:r w:rsidR="00646C39" w:rsidRPr="00F45B03">
        <w:rPr>
          <w:rStyle w:val="Strong"/>
          <w:rFonts w:ascii="Arial" w:hAnsi="Arial" w:cs="Arial"/>
          <w:b w:val="0"/>
          <w:bCs w:val="0"/>
          <w:color w:val="000000" w:themeColor="text1"/>
          <w:sz w:val="22"/>
          <w:szCs w:val="22"/>
        </w:rPr>
        <w:t>Rawstorn</w:t>
      </w:r>
      <w:proofErr w:type="spellEnd"/>
      <w:r w:rsidR="00646C39" w:rsidRPr="00F45B03">
        <w:rPr>
          <w:rStyle w:val="Strong"/>
          <w:rFonts w:ascii="Arial" w:hAnsi="Arial" w:cs="Arial"/>
          <w:b w:val="0"/>
          <w:bCs w:val="0"/>
          <w:color w:val="000000" w:themeColor="text1"/>
          <w:sz w:val="22"/>
          <w:szCs w:val="22"/>
        </w:rPr>
        <w:t xml:space="preserve"> et al., 2021)</w:t>
      </w:r>
    </w:p>
    <w:p w14:paraId="5CC77B26" w14:textId="01AF0BBC" w:rsidR="0006126E" w:rsidRPr="00F45B03" w:rsidRDefault="0006126E" w:rsidP="00167E86">
      <w:pPr>
        <w:pStyle w:val="NormalWeb"/>
        <w:spacing w:line="360" w:lineRule="auto"/>
        <w:jc w:val="both"/>
        <w:rPr>
          <w:rFonts w:ascii="Arial" w:hAnsi="Arial" w:cs="Arial"/>
          <w:color w:val="000000" w:themeColor="text1"/>
          <w:sz w:val="22"/>
          <w:szCs w:val="22"/>
        </w:rPr>
      </w:pPr>
    </w:p>
    <w:p w14:paraId="6BCC56BD" w14:textId="199CED60"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CR effectiveness extends beyond short</w:t>
      </w:r>
      <w:r w:rsidRPr="00F45B03">
        <w:rPr>
          <w:rFonts w:ascii="Arial" w:hAnsi="Arial" w:cs="Arial"/>
          <w:color w:val="000000" w:themeColor="text1"/>
          <w:sz w:val="22"/>
          <w:szCs w:val="22"/>
        </w:rPr>
        <w:noBreakHyphen/>
        <w:t>term recovery, with studies demonstrating reductions in both 30</w:t>
      </w:r>
      <w:r w:rsidRPr="00F45B03">
        <w:rPr>
          <w:rFonts w:ascii="Arial" w:hAnsi="Arial" w:cs="Arial"/>
          <w:color w:val="000000" w:themeColor="text1"/>
          <w:sz w:val="22"/>
          <w:szCs w:val="22"/>
        </w:rPr>
        <w:noBreakHyphen/>
        <w:t>day and 12</w:t>
      </w:r>
      <w:r w:rsidRPr="00F45B03">
        <w:rPr>
          <w:rFonts w:ascii="Arial" w:hAnsi="Arial" w:cs="Arial"/>
          <w:color w:val="000000" w:themeColor="text1"/>
          <w:sz w:val="22"/>
          <w:szCs w:val="22"/>
        </w:rPr>
        <w:noBreakHyphen/>
        <w:t>month hospital readmission rates among CR participants (</w:t>
      </w:r>
      <w:proofErr w:type="spellStart"/>
      <w:r w:rsidRPr="00F45B03">
        <w:rPr>
          <w:rFonts w:ascii="Arial" w:hAnsi="Arial" w:cs="Arial"/>
          <w:color w:val="000000" w:themeColor="text1"/>
          <w:sz w:val="22"/>
          <w:szCs w:val="22"/>
        </w:rPr>
        <w:t>Dharmarajan</w:t>
      </w:r>
      <w:proofErr w:type="spellEnd"/>
      <w:r w:rsidRPr="00F45B03">
        <w:rPr>
          <w:rFonts w:ascii="Arial" w:hAnsi="Arial" w:cs="Arial"/>
          <w:color w:val="000000" w:themeColor="text1"/>
          <w:sz w:val="22"/>
          <w:szCs w:val="22"/>
        </w:rPr>
        <w:t xml:space="preserve"> et al., 2013). Short</w:t>
      </w:r>
      <w:r w:rsidRPr="00F45B03">
        <w:rPr>
          <w:rFonts w:ascii="Arial" w:hAnsi="Arial" w:cs="Arial"/>
          <w:color w:val="000000" w:themeColor="text1"/>
          <w:sz w:val="22"/>
          <w:szCs w:val="22"/>
        </w:rPr>
        <w:noBreakHyphen/>
        <w:t>term reductions are often linked to improved discharge planning, medication adherence, and early follow</w:t>
      </w:r>
      <w:r w:rsidRPr="00F45B03">
        <w:rPr>
          <w:rFonts w:ascii="Arial" w:hAnsi="Arial" w:cs="Arial"/>
          <w:color w:val="000000" w:themeColor="text1"/>
          <w:sz w:val="22"/>
          <w:szCs w:val="22"/>
        </w:rPr>
        <w:noBreakHyphen/>
        <w:t>up support, whereas long</w:t>
      </w:r>
      <w:r w:rsidRPr="00F45B03">
        <w:rPr>
          <w:rFonts w:ascii="Arial" w:hAnsi="Arial" w:cs="Arial"/>
          <w:color w:val="000000" w:themeColor="text1"/>
          <w:sz w:val="22"/>
          <w:szCs w:val="22"/>
        </w:rPr>
        <w:noBreakHyphen/>
        <w:t>term reductions are associated with sustained behavioural change and improved management of cardiovascular risk factors (Taylor et al., 2019). Programme completion appears to be an important determinant of effectiveness, with evidence indicating that patients who complete the full CR programme experience greater improvements in physical activity, medication adherence, blood pressure control, and cardiovascular risk management compared with partial participants (Anderson et al., 2016)</w:t>
      </w:r>
      <w:proofErr w:type="gramStart"/>
      <w:r w:rsidRPr="00F45B03">
        <w:rPr>
          <w:rFonts w:ascii="Arial" w:hAnsi="Arial" w:cs="Arial"/>
          <w:color w:val="000000" w:themeColor="text1"/>
          <w:sz w:val="22"/>
          <w:szCs w:val="22"/>
        </w:rPr>
        <w:t>.</w:t>
      </w:r>
      <w:r w:rsidR="00D15E99" w:rsidRPr="00F45B03">
        <w:rPr>
          <w:rFonts w:ascii="Arial" w:hAnsi="Arial" w:cs="Arial"/>
          <w:color w:val="000000" w:themeColor="text1"/>
          <w:sz w:val="22"/>
          <w:szCs w:val="22"/>
        </w:rPr>
        <w:t xml:space="preserve"> )</w:t>
      </w:r>
      <w:proofErr w:type="gramEnd"/>
      <w:r w:rsidR="00D15E99" w:rsidRPr="00F45B03">
        <w:rPr>
          <w:rFonts w:ascii="Arial" w:hAnsi="Arial" w:cs="Arial"/>
          <w:color w:val="000000" w:themeColor="text1"/>
          <w:sz w:val="22"/>
          <w:szCs w:val="22"/>
        </w:rPr>
        <w:t xml:space="preserve">. </w:t>
      </w:r>
      <w:r w:rsidR="00D15E99" w:rsidRPr="00F45B03">
        <w:rPr>
          <w:rStyle w:val="Strong"/>
          <w:rFonts w:ascii="Arial" w:hAnsi="Arial" w:cs="Arial"/>
          <w:b w:val="0"/>
          <w:bCs w:val="0"/>
          <w:color w:val="000000" w:themeColor="text1"/>
          <w:sz w:val="22"/>
          <w:szCs w:val="22"/>
        </w:rPr>
        <w:t>Adherence to CR programmes has been linked to improved self</w:t>
      </w:r>
      <w:r w:rsidR="00D15E99" w:rsidRPr="00F45B03">
        <w:rPr>
          <w:rStyle w:val="Strong"/>
          <w:rFonts w:ascii="Arial" w:hAnsi="Arial" w:cs="Arial"/>
          <w:b w:val="0"/>
          <w:bCs w:val="0"/>
          <w:color w:val="000000" w:themeColor="text1"/>
          <w:sz w:val="22"/>
          <w:szCs w:val="22"/>
        </w:rPr>
        <w:noBreakHyphen/>
        <w:t>efficacy, better symptom management, and enhanced psychological wellbeing (Anderson &amp; Taylor, 2020)</w:t>
      </w:r>
    </w:p>
    <w:p w14:paraId="19288D1E" w14:textId="2293FBBA" w:rsidR="0006126E" w:rsidRPr="00F45B03" w:rsidRDefault="000612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Despite strong evidence supporting CR effectiveness, some studies report variations in the magnitude of benefit observed, with differences in programme design, duration, intensity, patient populations, and service delivery models contributing to inconsistencies in outcomes (Taylor et al., 2019). For example, home</w:t>
      </w:r>
      <w:r w:rsidRPr="00F45B03">
        <w:rPr>
          <w:rFonts w:ascii="Arial" w:hAnsi="Arial" w:cs="Arial"/>
          <w:color w:val="000000" w:themeColor="text1"/>
          <w:sz w:val="22"/>
          <w:szCs w:val="22"/>
        </w:rPr>
        <w:noBreakHyphen/>
        <w:t>based rehabilitation programmes may achieve different outcomes compared with hospital</w:t>
      </w:r>
      <w:r w:rsidRPr="00F45B03">
        <w:rPr>
          <w:rFonts w:ascii="Arial" w:hAnsi="Arial" w:cs="Arial"/>
          <w:color w:val="000000" w:themeColor="text1"/>
          <w:sz w:val="22"/>
          <w:szCs w:val="22"/>
        </w:rPr>
        <w:noBreakHyphen/>
        <w:t>based interventions, with some studies suggesting comparable effectiveness while others highlight challenges related to patient engagement and adherence (Dalal et al., 20</w:t>
      </w:r>
      <w:r w:rsidR="00CB6097" w:rsidRPr="00F45B03">
        <w:rPr>
          <w:rFonts w:ascii="Arial" w:hAnsi="Arial" w:cs="Arial"/>
          <w:color w:val="000000" w:themeColor="text1"/>
          <w:sz w:val="22"/>
          <w:szCs w:val="22"/>
        </w:rPr>
        <w:t>19</w:t>
      </w:r>
      <w:r w:rsidRPr="00F45B03">
        <w:rPr>
          <w:rFonts w:ascii="Arial" w:hAnsi="Arial" w:cs="Arial"/>
          <w:color w:val="000000" w:themeColor="text1"/>
          <w:sz w:val="22"/>
          <w:szCs w:val="22"/>
        </w:rPr>
        <w:t>). These variations underscore the need for further research to identify optimal CR delivery models and to understand how individual, social, and structural factors influence programme effectiveness</w:t>
      </w:r>
      <w:r w:rsidR="006B294A" w:rsidRPr="00F45B03">
        <w:rPr>
          <w:rStyle w:val="Heading3Char"/>
          <w:rFonts w:ascii="Arial" w:hAnsi="Arial" w:cs="Arial"/>
          <w:sz w:val="22"/>
          <w:szCs w:val="22"/>
        </w:rPr>
        <w:t xml:space="preserve"> </w:t>
      </w:r>
      <w:r w:rsidR="006B294A" w:rsidRPr="00F45B03">
        <w:rPr>
          <w:rStyle w:val="Strong"/>
          <w:rFonts w:ascii="Arial" w:hAnsi="Arial" w:cs="Arial"/>
          <w:sz w:val="22"/>
          <w:szCs w:val="22"/>
        </w:rPr>
        <w:t>(</w:t>
      </w:r>
      <w:r w:rsidR="006B294A" w:rsidRPr="00F45B03">
        <w:rPr>
          <w:rStyle w:val="Strong"/>
          <w:rFonts w:ascii="Arial" w:hAnsi="Arial" w:cs="Arial"/>
          <w:b w:val="0"/>
          <w:bCs w:val="0"/>
          <w:sz w:val="22"/>
          <w:szCs w:val="22"/>
        </w:rPr>
        <w:t>Gulliford et al., 2006)</w:t>
      </w:r>
      <w:r w:rsidRPr="00F45B03">
        <w:rPr>
          <w:rFonts w:ascii="Arial" w:hAnsi="Arial" w:cs="Arial"/>
          <w:b/>
          <w:bCs/>
          <w:color w:val="000000" w:themeColor="text1"/>
          <w:sz w:val="22"/>
          <w:szCs w:val="22"/>
        </w:rPr>
        <w:t>.</w:t>
      </w:r>
    </w:p>
    <w:p w14:paraId="4060B393" w14:textId="2130CB2A" w:rsidR="00D15E99" w:rsidRPr="00F45B03" w:rsidRDefault="00D15E99"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2.</w:t>
      </w:r>
      <w:r w:rsidR="000D41B5" w:rsidRPr="00F45B03">
        <w:rPr>
          <w:rStyle w:val="Strong"/>
          <w:rFonts w:ascii="Arial" w:hAnsi="Arial" w:cs="Arial"/>
          <w:b w:val="0"/>
          <w:bCs w:val="0"/>
          <w:color w:val="000000" w:themeColor="text1"/>
          <w:sz w:val="22"/>
          <w:szCs w:val="22"/>
        </w:rPr>
        <w:t>5</w:t>
      </w:r>
      <w:r w:rsidRPr="00F45B03">
        <w:rPr>
          <w:rStyle w:val="Strong"/>
          <w:rFonts w:ascii="Arial" w:hAnsi="Arial" w:cs="Arial"/>
          <w:b w:val="0"/>
          <w:bCs w:val="0"/>
          <w:color w:val="000000" w:themeColor="text1"/>
          <w:sz w:val="22"/>
          <w:szCs w:val="22"/>
        </w:rPr>
        <w:t xml:space="preserve"> Barriers to Cardiac Rehabilitation Participation</w:t>
      </w:r>
    </w:p>
    <w:p w14:paraId="58D5DC2D" w14:textId="0405724F" w:rsidR="00D15E99" w:rsidRPr="00F45B03" w:rsidRDefault="00D15E9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Despite strong evidence supporting CR effectiveness, participation remains low. Only around 43% of eligible patients in the UK enrol in CR programmes (NIHR, 2019). Barriers include lack of awareness, delayed referrals, transport difficulties, financial constraints, and competing responsibilities (</w:t>
      </w:r>
      <w:proofErr w:type="spellStart"/>
      <w:r w:rsidRPr="00F45B03">
        <w:rPr>
          <w:rFonts w:ascii="Arial" w:hAnsi="Arial" w:cs="Arial"/>
          <w:color w:val="000000" w:themeColor="text1"/>
          <w:sz w:val="22"/>
          <w:szCs w:val="22"/>
        </w:rPr>
        <w:t>Resurrección</w:t>
      </w:r>
      <w:proofErr w:type="spellEnd"/>
      <w:r w:rsidRPr="00F45B03">
        <w:rPr>
          <w:rFonts w:ascii="Arial" w:hAnsi="Arial" w:cs="Arial"/>
          <w:color w:val="000000" w:themeColor="text1"/>
          <w:sz w:val="22"/>
          <w:szCs w:val="22"/>
        </w:rPr>
        <w:t xml:space="preserve"> et al., 2017). </w:t>
      </w:r>
      <w:r w:rsidRPr="00F45B03">
        <w:rPr>
          <w:rStyle w:val="Strong"/>
          <w:rFonts w:ascii="Arial" w:hAnsi="Arial" w:cs="Arial"/>
          <w:b w:val="0"/>
          <w:bCs w:val="0"/>
          <w:color w:val="000000" w:themeColor="text1"/>
          <w:sz w:val="22"/>
          <w:szCs w:val="22"/>
        </w:rPr>
        <w:t xml:space="preserve">A recent UK </w:t>
      </w:r>
      <w:r w:rsidRPr="00F45B03">
        <w:rPr>
          <w:rStyle w:val="Strong"/>
          <w:rFonts w:ascii="Arial" w:hAnsi="Arial" w:cs="Arial"/>
          <w:b w:val="0"/>
          <w:bCs w:val="0"/>
          <w:color w:val="000000" w:themeColor="text1"/>
          <w:sz w:val="22"/>
          <w:szCs w:val="22"/>
        </w:rPr>
        <w:lastRenderedPageBreak/>
        <w:t>audit found that referral delays of more than 14 days significantly reduce CR uptake (NACR, 202</w:t>
      </w:r>
      <w:r w:rsidR="00CB6097" w:rsidRPr="00F45B03">
        <w:rPr>
          <w:rStyle w:val="Strong"/>
          <w:rFonts w:ascii="Arial" w:hAnsi="Arial" w:cs="Arial"/>
          <w:b w:val="0"/>
          <w:bCs w:val="0"/>
          <w:color w:val="000000" w:themeColor="text1"/>
          <w:sz w:val="22"/>
          <w:szCs w:val="22"/>
        </w:rPr>
        <w:t>2</w:t>
      </w:r>
      <w:r w:rsidRPr="00F45B03">
        <w:rPr>
          <w:rStyle w:val="Strong"/>
          <w:rFonts w:ascii="Arial" w:hAnsi="Arial" w:cs="Arial"/>
          <w:b w:val="0"/>
          <w:bCs w:val="0"/>
          <w:color w:val="000000" w:themeColor="text1"/>
          <w:sz w:val="22"/>
          <w:szCs w:val="22"/>
        </w:rPr>
        <w:t>)</w:t>
      </w:r>
    </w:p>
    <w:p w14:paraId="1F6C9905" w14:textId="6D0D73C7" w:rsidR="00D15E99" w:rsidRPr="00F45B03" w:rsidRDefault="00D15E9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Psychological factors such as anxiety, depression, and fear of exercise also reduce participation (Clark et al., 2021). </w:t>
      </w:r>
      <w:r w:rsidRPr="00F45B03">
        <w:rPr>
          <w:rStyle w:val="Strong"/>
          <w:rFonts w:ascii="Arial" w:hAnsi="Arial" w:cs="Arial"/>
          <w:b w:val="0"/>
          <w:bCs w:val="0"/>
          <w:color w:val="000000" w:themeColor="text1"/>
          <w:sz w:val="22"/>
          <w:szCs w:val="22"/>
        </w:rPr>
        <w:t>Studies show that patients with depressive symptoms are 40% less likely to complete CR (Blumenthal et al., 20</w:t>
      </w:r>
      <w:r w:rsidR="00CB6097" w:rsidRPr="00F45B03">
        <w:rPr>
          <w:rStyle w:val="Strong"/>
          <w:rFonts w:ascii="Arial" w:hAnsi="Arial" w:cs="Arial"/>
          <w:b w:val="0"/>
          <w:bCs w:val="0"/>
          <w:color w:val="000000" w:themeColor="text1"/>
          <w:sz w:val="22"/>
          <w:szCs w:val="22"/>
        </w:rPr>
        <w:t>12</w:t>
      </w:r>
      <w:proofErr w:type="gramStart"/>
      <w:r w:rsidRPr="00F45B03">
        <w:rPr>
          <w:rStyle w:val="Strong"/>
          <w:rFonts w:ascii="Arial" w:hAnsi="Arial" w:cs="Arial"/>
          <w:b w:val="0"/>
          <w:bCs w:val="0"/>
          <w:color w:val="000000" w:themeColor="text1"/>
          <w:sz w:val="22"/>
          <w:szCs w:val="22"/>
        </w:rPr>
        <w:t>) .</w:t>
      </w:r>
      <w:proofErr w:type="gramEnd"/>
    </w:p>
    <w:p w14:paraId="24371329" w14:textId="1A8FF841" w:rsidR="00D15E99" w:rsidRPr="00F45B03" w:rsidRDefault="00D15E9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Digital exclusion is an emerging barrier, particularly for older adults and deprived groups (Neubeck et al., 2020). </w:t>
      </w:r>
      <w:r w:rsidRPr="00F45B03">
        <w:rPr>
          <w:rStyle w:val="Strong"/>
          <w:rFonts w:ascii="Arial" w:hAnsi="Arial" w:cs="Arial"/>
          <w:b w:val="0"/>
          <w:bCs w:val="0"/>
          <w:color w:val="000000" w:themeColor="text1"/>
          <w:sz w:val="22"/>
          <w:szCs w:val="22"/>
        </w:rPr>
        <w:t>Limited access to smartphones, internet connectivity, and digital literacy disproportionately affects ethnic minority and low</w:t>
      </w:r>
      <w:r w:rsidRPr="00F45B03">
        <w:rPr>
          <w:rStyle w:val="Strong"/>
          <w:rFonts w:ascii="Arial" w:hAnsi="Arial" w:cs="Arial"/>
          <w:b w:val="0"/>
          <w:bCs w:val="0"/>
          <w:color w:val="000000" w:themeColor="text1"/>
          <w:sz w:val="22"/>
          <w:szCs w:val="22"/>
        </w:rPr>
        <w:noBreakHyphen/>
        <w:t>income populations (</w:t>
      </w:r>
      <w:proofErr w:type="spellStart"/>
      <w:r w:rsidRPr="00F45B03">
        <w:rPr>
          <w:rStyle w:val="Strong"/>
          <w:rFonts w:ascii="Arial" w:hAnsi="Arial" w:cs="Arial"/>
          <w:b w:val="0"/>
          <w:bCs w:val="0"/>
          <w:color w:val="000000" w:themeColor="text1"/>
          <w:sz w:val="22"/>
          <w:szCs w:val="22"/>
        </w:rPr>
        <w:t>Hargittai</w:t>
      </w:r>
      <w:proofErr w:type="spellEnd"/>
      <w:r w:rsidRPr="00F45B03">
        <w:rPr>
          <w:rStyle w:val="Strong"/>
          <w:rFonts w:ascii="Arial" w:hAnsi="Arial" w:cs="Arial"/>
          <w:b w:val="0"/>
          <w:bCs w:val="0"/>
          <w:color w:val="000000" w:themeColor="text1"/>
          <w:sz w:val="22"/>
          <w:szCs w:val="22"/>
        </w:rPr>
        <w:t xml:space="preserve"> et al., 20</w:t>
      </w:r>
      <w:r w:rsidR="00F7461E" w:rsidRPr="00F45B03">
        <w:rPr>
          <w:rStyle w:val="Strong"/>
          <w:rFonts w:ascii="Arial" w:hAnsi="Arial" w:cs="Arial"/>
          <w:b w:val="0"/>
          <w:bCs w:val="0"/>
          <w:color w:val="000000" w:themeColor="text1"/>
          <w:sz w:val="22"/>
          <w:szCs w:val="22"/>
        </w:rPr>
        <w:t>19</w:t>
      </w:r>
      <w:proofErr w:type="gramStart"/>
      <w:r w:rsidRPr="00F45B03">
        <w:rPr>
          <w:rStyle w:val="Strong"/>
          <w:rFonts w:ascii="Arial" w:hAnsi="Arial" w:cs="Arial"/>
          <w:b w:val="0"/>
          <w:bCs w:val="0"/>
          <w:color w:val="000000" w:themeColor="text1"/>
          <w:sz w:val="22"/>
          <w:szCs w:val="22"/>
        </w:rPr>
        <w:t>) .</w:t>
      </w:r>
      <w:proofErr w:type="gramEnd"/>
    </w:p>
    <w:p w14:paraId="6FE6C42A" w14:textId="508F3D53" w:rsidR="00D15E99" w:rsidRPr="00F45B03" w:rsidRDefault="00D15E99"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2.</w:t>
      </w:r>
      <w:r w:rsidR="000D41B5" w:rsidRPr="00F45B03">
        <w:rPr>
          <w:rStyle w:val="Strong"/>
          <w:rFonts w:ascii="Arial" w:hAnsi="Arial" w:cs="Arial"/>
          <w:b w:val="0"/>
          <w:bCs w:val="0"/>
          <w:color w:val="000000" w:themeColor="text1"/>
          <w:sz w:val="22"/>
          <w:szCs w:val="22"/>
        </w:rPr>
        <w:t>6</w:t>
      </w:r>
      <w:r w:rsidRPr="00F45B03">
        <w:rPr>
          <w:rStyle w:val="Strong"/>
          <w:rFonts w:ascii="Arial" w:hAnsi="Arial" w:cs="Arial"/>
          <w:b w:val="0"/>
          <w:bCs w:val="0"/>
          <w:color w:val="000000" w:themeColor="text1"/>
          <w:sz w:val="22"/>
          <w:szCs w:val="22"/>
        </w:rPr>
        <w:t xml:space="preserve"> Ethnic Inequalities in Cardiac Rehabilitation</w:t>
      </w:r>
    </w:p>
    <w:p w14:paraId="030068E9" w14:textId="5399CB3F" w:rsidR="00D15E99" w:rsidRPr="00F45B03" w:rsidRDefault="00D15E99"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Ethnic inequalities significantly influence CR participation and outcomes</w:t>
      </w:r>
      <w:r w:rsidR="006B294A" w:rsidRPr="00F45B03">
        <w:rPr>
          <w:rStyle w:val="Strong"/>
          <w:rFonts w:ascii="Arial" w:hAnsi="Arial" w:cs="Arial"/>
          <w:sz w:val="22"/>
          <w:szCs w:val="22"/>
        </w:rPr>
        <w:t xml:space="preserve"> </w:t>
      </w:r>
      <w:r w:rsidR="006B294A" w:rsidRPr="00F45B03">
        <w:rPr>
          <w:rFonts w:ascii="Arial" w:hAnsi="Arial" w:cs="Arial"/>
          <w:sz w:val="22"/>
          <w:szCs w:val="22"/>
        </w:rPr>
        <w:t>(Khan et al., 2018</w:t>
      </w:r>
      <w:r w:rsidR="006B294A" w:rsidRPr="00F45B03">
        <w:rPr>
          <w:rFonts w:ascii="Arial" w:hAnsi="Arial" w:cs="Arial"/>
          <w:b/>
          <w:bCs/>
          <w:sz w:val="22"/>
          <w:szCs w:val="22"/>
        </w:rPr>
        <w:t>)</w:t>
      </w:r>
      <w:r w:rsidRPr="00F45B03">
        <w:rPr>
          <w:rFonts w:ascii="Arial" w:hAnsi="Arial" w:cs="Arial"/>
          <w:color w:val="000000" w:themeColor="text1"/>
          <w:sz w:val="22"/>
          <w:szCs w:val="22"/>
        </w:rPr>
        <w:t>. South Asian and Black patients in England have lower referral and completion rates compared with White British patients (BHF, 202</w:t>
      </w:r>
      <w:r w:rsidR="00F7461E" w:rsidRPr="00F45B03">
        <w:rPr>
          <w:rFonts w:ascii="Arial" w:hAnsi="Arial" w:cs="Arial"/>
          <w:color w:val="000000" w:themeColor="text1"/>
          <w:sz w:val="22"/>
          <w:szCs w:val="22"/>
        </w:rPr>
        <w:t>3</w:t>
      </w:r>
      <w:r w:rsidRPr="00F45B03">
        <w:rPr>
          <w:rFonts w:ascii="Arial" w:hAnsi="Arial" w:cs="Arial"/>
          <w:color w:val="000000" w:themeColor="text1"/>
          <w:sz w:val="22"/>
          <w:szCs w:val="22"/>
        </w:rPr>
        <w:t xml:space="preserve">). These disparities persist even after adjusting for socioeconomic status and comorbidities (Virani et al., 2021). </w:t>
      </w:r>
      <w:r w:rsidRPr="00F45B03">
        <w:rPr>
          <w:rStyle w:val="Strong"/>
          <w:rFonts w:ascii="Arial" w:hAnsi="Arial" w:cs="Arial"/>
          <w:b w:val="0"/>
          <w:bCs w:val="0"/>
          <w:color w:val="000000" w:themeColor="text1"/>
          <w:sz w:val="22"/>
          <w:szCs w:val="22"/>
        </w:rPr>
        <w:t>A systematic review found that cultural beliefs, mistrust of healthcare systems, and language barriers contribute to lower CR engagement among minority ethnic groups (Jolly et al., 20</w:t>
      </w:r>
      <w:r w:rsidR="00F7461E" w:rsidRPr="00F45B03">
        <w:rPr>
          <w:rStyle w:val="Strong"/>
          <w:rFonts w:ascii="Arial" w:hAnsi="Arial" w:cs="Arial"/>
          <w:b w:val="0"/>
          <w:bCs w:val="0"/>
          <w:color w:val="000000" w:themeColor="text1"/>
          <w:sz w:val="22"/>
          <w:szCs w:val="22"/>
        </w:rPr>
        <w:t>09</w:t>
      </w:r>
      <w:proofErr w:type="gramStart"/>
      <w:r w:rsidRPr="00F45B03">
        <w:rPr>
          <w:rStyle w:val="Strong"/>
          <w:rFonts w:ascii="Arial" w:hAnsi="Arial" w:cs="Arial"/>
          <w:b w:val="0"/>
          <w:bCs w:val="0"/>
          <w:color w:val="000000" w:themeColor="text1"/>
          <w:sz w:val="22"/>
          <w:szCs w:val="22"/>
        </w:rPr>
        <w:t xml:space="preserve">) </w:t>
      </w:r>
      <w:r w:rsidR="007B29E8">
        <w:rPr>
          <w:rStyle w:val="Strong"/>
          <w:rFonts w:ascii="Arial" w:hAnsi="Arial" w:cs="Arial"/>
          <w:b w:val="0"/>
          <w:bCs w:val="0"/>
          <w:color w:val="000000" w:themeColor="text1"/>
          <w:sz w:val="22"/>
          <w:szCs w:val="22"/>
        </w:rPr>
        <w:t xml:space="preserve"> </w:t>
      </w:r>
      <w:r w:rsidRPr="00F45B03">
        <w:rPr>
          <w:rStyle w:val="Strong"/>
          <w:rFonts w:ascii="Arial" w:hAnsi="Arial" w:cs="Arial"/>
          <w:b w:val="0"/>
          <w:bCs w:val="0"/>
          <w:color w:val="000000" w:themeColor="text1"/>
          <w:sz w:val="22"/>
          <w:szCs w:val="22"/>
        </w:rPr>
        <w:t>.</w:t>
      </w:r>
      <w:proofErr w:type="gramEnd"/>
    </w:p>
    <w:p w14:paraId="41C56A9E" w14:textId="73C2BF87" w:rsidR="00D15E99" w:rsidRPr="00F45B03" w:rsidRDefault="00D15E9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Qualitative studies highlight that CR programmes are often not culturally tailored, reducing motivation to attend (</w:t>
      </w:r>
      <w:proofErr w:type="spellStart"/>
      <w:r w:rsidRPr="00F45B03">
        <w:rPr>
          <w:rFonts w:ascii="Arial" w:hAnsi="Arial" w:cs="Arial"/>
          <w:color w:val="000000" w:themeColor="text1"/>
          <w:sz w:val="22"/>
          <w:szCs w:val="22"/>
        </w:rPr>
        <w:t>Resurrección</w:t>
      </w:r>
      <w:proofErr w:type="spellEnd"/>
      <w:r w:rsidRPr="00F45B03">
        <w:rPr>
          <w:rFonts w:ascii="Arial" w:hAnsi="Arial" w:cs="Arial"/>
          <w:color w:val="000000" w:themeColor="text1"/>
          <w:sz w:val="22"/>
          <w:szCs w:val="22"/>
        </w:rPr>
        <w:t xml:space="preserve"> et al., 2017). </w:t>
      </w:r>
      <w:r w:rsidRPr="00F45B03">
        <w:rPr>
          <w:rStyle w:val="Strong"/>
          <w:rFonts w:ascii="Arial" w:hAnsi="Arial" w:cs="Arial"/>
          <w:b w:val="0"/>
          <w:bCs w:val="0"/>
          <w:color w:val="000000" w:themeColor="text1"/>
          <w:sz w:val="22"/>
          <w:szCs w:val="22"/>
        </w:rPr>
        <w:t>Culturally adapted CR interventions have shown improved engagement and satisfaction among minority groups (Banerjee et al., 20</w:t>
      </w:r>
      <w:r w:rsidR="00F7461E" w:rsidRPr="00F45B03">
        <w:rPr>
          <w:rStyle w:val="Strong"/>
          <w:rFonts w:ascii="Arial" w:hAnsi="Arial" w:cs="Arial"/>
          <w:b w:val="0"/>
          <w:bCs w:val="0"/>
          <w:color w:val="000000" w:themeColor="text1"/>
          <w:sz w:val="22"/>
          <w:szCs w:val="22"/>
        </w:rPr>
        <w:t>16</w:t>
      </w:r>
      <w:r w:rsidRPr="00F45B03">
        <w:rPr>
          <w:rStyle w:val="Strong"/>
          <w:rFonts w:ascii="Arial" w:hAnsi="Arial" w:cs="Arial"/>
          <w:b w:val="0"/>
          <w:bCs w:val="0"/>
          <w:color w:val="000000" w:themeColor="text1"/>
          <w:sz w:val="22"/>
          <w:szCs w:val="22"/>
        </w:rPr>
        <w:t xml:space="preserve">) </w:t>
      </w:r>
      <w:r w:rsidR="006B294A" w:rsidRPr="00F45B03">
        <w:rPr>
          <w:rStyle w:val="Strong"/>
          <w:rFonts w:ascii="Arial" w:hAnsi="Arial" w:cs="Arial"/>
          <w:b w:val="0"/>
          <w:bCs w:val="0"/>
          <w:color w:val="000000" w:themeColor="text1"/>
          <w:sz w:val="22"/>
          <w:szCs w:val="22"/>
        </w:rPr>
        <w:t>(</w:t>
      </w:r>
      <w:proofErr w:type="spellStart"/>
      <w:r w:rsidR="006B294A" w:rsidRPr="00F45B03">
        <w:rPr>
          <w:rFonts w:ascii="Arial" w:hAnsi="Arial" w:cs="Arial"/>
          <w:sz w:val="22"/>
          <w:szCs w:val="22"/>
        </w:rPr>
        <w:t>Nazroo</w:t>
      </w:r>
      <w:proofErr w:type="spellEnd"/>
      <w:r w:rsidR="006B294A" w:rsidRPr="00F45B03">
        <w:rPr>
          <w:rFonts w:ascii="Arial" w:hAnsi="Arial" w:cs="Arial"/>
          <w:sz w:val="22"/>
          <w:szCs w:val="22"/>
        </w:rPr>
        <w:t>, 2017)</w:t>
      </w:r>
      <w:r w:rsidRPr="00F45B03">
        <w:rPr>
          <w:rStyle w:val="Strong"/>
          <w:rFonts w:ascii="Arial" w:hAnsi="Arial" w:cs="Arial"/>
          <w:b w:val="0"/>
          <w:bCs w:val="0"/>
          <w:color w:val="000000" w:themeColor="text1"/>
          <w:sz w:val="22"/>
          <w:szCs w:val="22"/>
        </w:rPr>
        <w:t>.</w:t>
      </w:r>
    </w:p>
    <w:p w14:paraId="4D97FD2D" w14:textId="2B1FD3ED" w:rsidR="00D15E99" w:rsidRPr="00F45B03" w:rsidRDefault="00D15E99"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2.</w:t>
      </w:r>
      <w:r w:rsidR="000D41B5" w:rsidRPr="00F45B03">
        <w:rPr>
          <w:rStyle w:val="Strong"/>
          <w:rFonts w:ascii="Arial" w:hAnsi="Arial" w:cs="Arial"/>
          <w:b w:val="0"/>
          <w:bCs w:val="0"/>
          <w:color w:val="000000" w:themeColor="text1"/>
          <w:sz w:val="22"/>
          <w:szCs w:val="22"/>
        </w:rPr>
        <w:t xml:space="preserve">7 </w:t>
      </w:r>
      <w:r w:rsidRPr="00F45B03">
        <w:rPr>
          <w:rStyle w:val="Strong"/>
          <w:rFonts w:ascii="Arial" w:hAnsi="Arial" w:cs="Arial"/>
          <w:b w:val="0"/>
          <w:bCs w:val="0"/>
          <w:color w:val="000000" w:themeColor="text1"/>
          <w:sz w:val="22"/>
          <w:szCs w:val="22"/>
        </w:rPr>
        <w:t>Socioeconomic Inequalities and CR Participation</w:t>
      </w:r>
    </w:p>
    <w:p w14:paraId="5AD886A8" w14:textId="3C8FD45B" w:rsidR="00D15E99" w:rsidRPr="00F45B03" w:rsidRDefault="00D15E9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Socioeconomic deprivation is strongly associated with lower CR participation and poorer outcomes (Public Health England, 2020). Individuals from deprived areas are 30–40% less likely to attend CR compared with those from affluent areas (</w:t>
      </w:r>
      <w:r w:rsidR="00F7461E" w:rsidRPr="00F45B03">
        <w:rPr>
          <w:rFonts w:ascii="Arial" w:hAnsi="Arial" w:cs="Arial"/>
          <w:sz w:val="22"/>
          <w:szCs w:val="22"/>
        </w:rPr>
        <w:t>(Doherty et al., 2017</w:t>
      </w:r>
      <w:r w:rsidRPr="00F45B03">
        <w:rPr>
          <w:rFonts w:ascii="Arial" w:hAnsi="Arial" w:cs="Arial"/>
          <w:color w:val="000000" w:themeColor="text1"/>
          <w:sz w:val="22"/>
          <w:szCs w:val="22"/>
        </w:rPr>
        <w:t>)</w:t>
      </w:r>
      <w:r w:rsidR="006B294A" w:rsidRPr="00F45B03">
        <w:rPr>
          <w:rFonts w:ascii="Arial" w:hAnsi="Arial" w:cs="Arial"/>
          <w:sz w:val="22"/>
          <w:szCs w:val="22"/>
        </w:rPr>
        <w:t xml:space="preserve"> (Lorenc et al., 2013)</w:t>
      </w:r>
      <w:r w:rsidRPr="00F45B03">
        <w:rPr>
          <w:rFonts w:ascii="Arial" w:hAnsi="Arial" w:cs="Arial"/>
          <w:color w:val="000000" w:themeColor="text1"/>
          <w:sz w:val="22"/>
          <w:szCs w:val="22"/>
        </w:rPr>
        <w:t xml:space="preserve">. </w:t>
      </w:r>
      <w:r w:rsidRPr="00F45B03">
        <w:rPr>
          <w:rStyle w:val="Strong"/>
          <w:rFonts w:ascii="Arial" w:hAnsi="Arial" w:cs="Arial"/>
          <w:b w:val="0"/>
          <w:bCs w:val="0"/>
          <w:color w:val="000000" w:themeColor="text1"/>
          <w:sz w:val="22"/>
          <w:szCs w:val="22"/>
        </w:rPr>
        <w:t>A large UK cohort study found that deprivation was the strongest predictor of CR non</w:t>
      </w:r>
      <w:r w:rsidRPr="00F45B03">
        <w:rPr>
          <w:rStyle w:val="Strong"/>
          <w:rFonts w:ascii="Arial" w:hAnsi="Arial" w:cs="Arial"/>
          <w:b w:val="0"/>
          <w:bCs w:val="0"/>
          <w:color w:val="000000" w:themeColor="text1"/>
          <w:sz w:val="22"/>
          <w:szCs w:val="22"/>
        </w:rPr>
        <w:noBreakHyphen/>
        <w:t>completion, even more influential than age or comorbidities (Doherty et al., 20</w:t>
      </w:r>
      <w:r w:rsidR="00F7461E" w:rsidRPr="00F45B03">
        <w:rPr>
          <w:rStyle w:val="Strong"/>
          <w:rFonts w:ascii="Arial" w:hAnsi="Arial" w:cs="Arial"/>
          <w:b w:val="0"/>
          <w:bCs w:val="0"/>
          <w:color w:val="000000" w:themeColor="text1"/>
          <w:sz w:val="22"/>
          <w:szCs w:val="22"/>
        </w:rPr>
        <w:t>17</w:t>
      </w:r>
      <w:proofErr w:type="gramStart"/>
      <w:r w:rsidRPr="00F45B03">
        <w:rPr>
          <w:rStyle w:val="Strong"/>
          <w:rFonts w:ascii="Arial" w:hAnsi="Arial" w:cs="Arial"/>
          <w:b w:val="0"/>
          <w:bCs w:val="0"/>
          <w:color w:val="000000" w:themeColor="text1"/>
          <w:sz w:val="22"/>
          <w:szCs w:val="22"/>
        </w:rPr>
        <w:t>) .</w:t>
      </w:r>
      <w:proofErr w:type="gramEnd"/>
    </w:p>
    <w:p w14:paraId="3FB2B6AB" w14:textId="086684B0" w:rsidR="00D15E99" w:rsidRPr="00F45B03" w:rsidRDefault="00D15E99"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Transport difficulties, financial constraints, and low health literacy are major barriers for deprived patients (Clark et al., 2021</w:t>
      </w:r>
      <w:r w:rsidR="006B294A" w:rsidRPr="00F45B03">
        <w:rPr>
          <w:rFonts w:ascii="Arial" w:hAnsi="Arial" w:cs="Arial"/>
          <w:color w:val="000000" w:themeColor="text1"/>
          <w:sz w:val="22"/>
          <w:szCs w:val="22"/>
        </w:rPr>
        <w:t>,</w:t>
      </w:r>
      <w:r w:rsidR="006B294A" w:rsidRPr="00F45B03">
        <w:rPr>
          <w:rStyle w:val="Strong"/>
          <w:rFonts w:ascii="Arial" w:hAnsi="Arial" w:cs="Arial"/>
          <w:sz w:val="22"/>
          <w:szCs w:val="22"/>
        </w:rPr>
        <w:t xml:space="preserve"> </w:t>
      </w:r>
      <w:r w:rsidR="006B294A" w:rsidRPr="00F45B03">
        <w:rPr>
          <w:rFonts w:ascii="Arial" w:hAnsi="Arial" w:cs="Arial"/>
          <w:b/>
          <w:bCs/>
          <w:sz w:val="22"/>
          <w:szCs w:val="22"/>
        </w:rPr>
        <w:t>(</w:t>
      </w:r>
      <w:r w:rsidR="006B294A" w:rsidRPr="00F45B03">
        <w:rPr>
          <w:rFonts w:ascii="Arial" w:hAnsi="Arial" w:cs="Arial"/>
          <w:sz w:val="22"/>
          <w:szCs w:val="22"/>
        </w:rPr>
        <w:t>O’Donnell et al., 2008)</w:t>
      </w:r>
      <w:r w:rsidRPr="00F45B03">
        <w:rPr>
          <w:rFonts w:ascii="Arial" w:hAnsi="Arial" w:cs="Arial"/>
          <w:color w:val="000000" w:themeColor="text1"/>
          <w:sz w:val="22"/>
          <w:szCs w:val="22"/>
        </w:rPr>
        <w:t xml:space="preserve">). </w:t>
      </w:r>
      <w:r w:rsidRPr="00F45B03">
        <w:rPr>
          <w:rStyle w:val="Strong"/>
          <w:rFonts w:ascii="Arial" w:hAnsi="Arial" w:cs="Arial"/>
          <w:b w:val="0"/>
          <w:bCs w:val="0"/>
          <w:color w:val="000000" w:themeColor="text1"/>
          <w:sz w:val="22"/>
          <w:szCs w:val="22"/>
        </w:rPr>
        <w:t xml:space="preserve">Limited access to </w:t>
      </w:r>
      <w:r w:rsidRPr="00F45B03">
        <w:rPr>
          <w:rStyle w:val="Strong"/>
          <w:rFonts w:ascii="Arial" w:hAnsi="Arial" w:cs="Arial"/>
          <w:b w:val="0"/>
          <w:bCs w:val="0"/>
          <w:color w:val="000000" w:themeColor="text1"/>
          <w:sz w:val="22"/>
          <w:szCs w:val="22"/>
        </w:rPr>
        <w:lastRenderedPageBreak/>
        <w:t>green spaces, safe walking areas, and community support further reduces engagement in physical activity and rehabilitation (Smith et al., 20</w:t>
      </w:r>
      <w:r w:rsidR="00F7461E" w:rsidRPr="00F45B03">
        <w:rPr>
          <w:rStyle w:val="Strong"/>
          <w:rFonts w:ascii="Arial" w:hAnsi="Arial" w:cs="Arial"/>
          <w:b w:val="0"/>
          <w:bCs w:val="0"/>
          <w:color w:val="000000" w:themeColor="text1"/>
          <w:sz w:val="22"/>
          <w:szCs w:val="22"/>
        </w:rPr>
        <w:t>17)</w:t>
      </w:r>
      <w:r w:rsidRPr="00F45B03">
        <w:rPr>
          <w:rStyle w:val="Strong"/>
          <w:rFonts w:ascii="Arial" w:hAnsi="Arial" w:cs="Arial"/>
          <w:b w:val="0"/>
          <w:bCs w:val="0"/>
          <w:color w:val="000000" w:themeColor="text1"/>
          <w:sz w:val="22"/>
          <w:szCs w:val="22"/>
        </w:rPr>
        <w:t>.</w:t>
      </w:r>
    </w:p>
    <w:p w14:paraId="46169D94" w14:textId="70CA4310" w:rsidR="00D15E99" w:rsidRPr="00F45B03" w:rsidRDefault="00D15E99"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2.</w:t>
      </w:r>
      <w:r w:rsidR="000D41B5" w:rsidRPr="00F45B03">
        <w:rPr>
          <w:rStyle w:val="Strong"/>
          <w:rFonts w:ascii="Arial" w:hAnsi="Arial" w:cs="Arial"/>
          <w:b w:val="0"/>
          <w:bCs w:val="0"/>
          <w:color w:val="000000" w:themeColor="text1"/>
          <w:sz w:val="22"/>
          <w:szCs w:val="22"/>
        </w:rPr>
        <w:t>8</w:t>
      </w:r>
      <w:r w:rsidRPr="00F45B03">
        <w:rPr>
          <w:rStyle w:val="Strong"/>
          <w:rFonts w:ascii="Arial" w:hAnsi="Arial" w:cs="Arial"/>
          <w:b w:val="0"/>
          <w:bCs w:val="0"/>
          <w:color w:val="000000" w:themeColor="text1"/>
          <w:sz w:val="22"/>
          <w:szCs w:val="22"/>
        </w:rPr>
        <w:t xml:space="preserve"> CR Outcomes in Older Adults</w:t>
      </w:r>
    </w:p>
    <w:p w14:paraId="6CA82056" w14:textId="5C8F9C46" w:rsidR="00D15E99" w:rsidRPr="00F45B03" w:rsidRDefault="00D15E9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Older adults benefit significantly from CR, experiencing improved functional capacity, reduced readmissions, and enhanced quality of life (Dalal et al., 2015</w:t>
      </w:r>
      <w:r w:rsidR="00D51A21" w:rsidRPr="00F45B03">
        <w:rPr>
          <w:rFonts w:ascii="Arial" w:hAnsi="Arial" w:cs="Arial"/>
          <w:color w:val="000000" w:themeColor="text1"/>
          <w:sz w:val="22"/>
          <w:szCs w:val="22"/>
        </w:rPr>
        <w:t>,</w:t>
      </w:r>
      <w:r w:rsidR="00D51A21" w:rsidRPr="00F45B03">
        <w:rPr>
          <w:rFonts w:ascii="Arial" w:hAnsi="Arial" w:cs="Arial"/>
          <w:sz w:val="22"/>
          <w:szCs w:val="22"/>
        </w:rPr>
        <w:t xml:space="preserve"> (Greenland et al., 2019)</w:t>
      </w:r>
      <w:r w:rsidRPr="00F45B03">
        <w:rPr>
          <w:rFonts w:ascii="Arial" w:hAnsi="Arial" w:cs="Arial"/>
          <w:color w:val="000000" w:themeColor="text1"/>
          <w:sz w:val="22"/>
          <w:szCs w:val="22"/>
        </w:rPr>
        <w:t>). However, participation is limited by mobility issues, comorbidities, and fear of overexertion (Clark et al., 20</w:t>
      </w:r>
      <w:r w:rsidR="00F7461E" w:rsidRPr="00F45B03">
        <w:rPr>
          <w:rFonts w:ascii="Arial" w:hAnsi="Arial" w:cs="Arial"/>
          <w:color w:val="000000" w:themeColor="text1"/>
          <w:sz w:val="22"/>
          <w:szCs w:val="22"/>
        </w:rPr>
        <w:t>16</w:t>
      </w:r>
      <w:r w:rsidRPr="00F45B03">
        <w:rPr>
          <w:rFonts w:ascii="Arial" w:hAnsi="Arial" w:cs="Arial"/>
          <w:color w:val="000000" w:themeColor="text1"/>
          <w:sz w:val="22"/>
          <w:szCs w:val="22"/>
        </w:rPr>
        <w:t xml:space="preserve">). </w:t>
      </w:r>
      <w:r w:rsidRPr="00F45B03">
        <w:rPr>
          <w:rStyle w:val="Strong"/>
          <w:rFonts w:ascii="Arial" w:hAnsi="Arial" w:cs="Arial"/>
          <w:b w:val="0"/>
          <w:bCs w:val="0"/>
          <w:color w:val="000000" w:themeColor="text1"/>
          <w:sz w:val="22"/>
          <w:szCs w:val="22"/>
        </w:rPr>
        <w:t>Frailty is a major predictor of CR dropout, with frail patients being up to 40% more likely to discontinue programmes (Chan et al., 2021</w:t>
      </w:r>
      <w:proofErr w:type="gramStart"/>
      <w:r w:rsidRPr="00F45B03">
        <w:rPr>
          <w:rStyle w:val="Strong"/>
          <w:rFonts w:ascii="Arial" w:hAnsi="Arial" w:cs="Arial"/>
          <w:b w:val="0"/>
          <w:bCs w:val="0"/>
          <w:color w:val="000000" w:themeColor="text1"/>
          <w:sz w:val="22"/>
          <w:szCs w:val="22"/>
        </w:rPr>
        <w:t>) .</w:t>
      </w:r>
      <w:proofErr w:type="gramEnd"/>
    </w:p>
    <w:p w14:paraId="08ED80D3" w14:textId="0E71E345" w:rsidR="00D15E99" w:rsidRPr="00F45B03" w:rsidRDefault="00D15E9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Home</w:t>
      </w:r>
      <w:r w:rsidRPr="00F45B03">
        <w:rPr>
          <w:rFonts w:ascii="Arial" w:hAnsi="Arial" w:cs="Arial"/>
          <w:color w:val="000000" w:themeColor="text1"/>
          <w:sz w:val="22"/>
          <w:szCs w:val="22"/>
        </w:rPr>
        <w:noBreakHyphen/>
        <w:t xml:space="preserve">based and hybrid CR models have been shown to improve accessibility for older adults (Dalal et al., 2019). </w:t>
      </w:r>
      <w:r w:rsidRPr="00F45B03">
        <w:rPr>
          <w:rStyle w:val="Strong"/>
          <w:rFonts w:ascii="Arial" w:hAnsi="Arial" w:cs="Arial"/>
          <w:b w:val="0"/>
          <w:bCs w:val="0"/>
          <w:color w:val="000000" w:themeColor="text1"/>
          <w:sz w:val="22"/>
          <w:szCs w:val="22"/>
        </w:rPr>
        <w:t>Remote monitoring technologies, such as wearable devices, have also been shown to support adherence and improve outcomes in older populations (</w:t>
      </w:r>
      <w:proofErr w:type="spellStart"/>
      <w:r w:rsidRPr="00F45B03">
        <w:rPr>
          <w:rStyle w:val="Strong"/>
          <w:rFonts w:ascii="Arial" w:hAnsi="Arial" w:cs="Arial"/>
          <w:b w:val="0"/>
          <w:bCs w:val="0"/>
          <w:color w:val="000000" w:themeColor="text1"/>
          <w:sz w:val="22"/>
          <w:szCs w:val="22"/>
        </w:rPr>
        <w:t>Worringham</w:t>
      </w:r>
      <w:proofErr w:type="spellEnd"/>
      <w:r w:rsidRPr="00F45B03">
        <w:rPr>
          <w:rStyle w:val="Strong"/>
          <w:rFonts w:ascii="Arial" w:hAnsi="Arial" w:cs="Arial"/>
          <w:b w:val="0"/>
          <w:bCs w:val="0"/>
          <w:color w:val="000000" w:themeColor="text1"/>
          <w:sz w:val="22"/>
          <w:szCs w:val="22"/>
        </w:rPr>
        <w:t xml:space="preserve"> et al., 20</w:t>
      </w:r>
      <w:r w:rsidR="00F7461E" w:rsidRPr="00F45B03">
        <w:rPr>
          <w:rStyle w:val="Strong"/>
          <w:rFonts w:ascii="Arial" w:hAnsi="Arial" w:cs="Arial"/>
          <w:b w:val="0"/>
          <w:bCs w:val="0"/>
          <w:color w:val="000000" w:themeColor="text1"/>
          <w:sz w:val="22"/>
          <w:szCs w:val="22"/>
        </w:rPr>
        <w:t>21</w:t>
      </w:r>
      <w:r w:rsidRPr="00F45B03">
        <w:rPr>
          <w:rStyle w:val="Strong"/>
          <w:rFonts w:ascii="Arial" w:hAnsi="Arial" w:cs="Arial"/>
          <w:b w:val="0"/>
          <w:bCs w:val="0"/>
          <w:color w:val="000000" w:themeColor="text1"/>
          <w:sz w:val="22"/>
          <w:szCs w:val="22"/>
        </w:rPr>
        <w:t>).</w:t>
      </w:r>
    </w:p>
    <w:p w14:paraId="49EDBC61" w14:textId="77777777" w:rsidR="00D15E99" w:rsidRPr="00F45B03" w:rsidRDefault="00D15E99" w:rsidP="00167E86">
      <w:pPr>
        <w:pStyle w:val="NormalWeb"/>
        <w:spacing w:line="360" w:lineRule="auto"/>
        <w:jc w:val="both"/>
        <w:rPr>
          <w:rFonts w:ascii="Arial" w:hAnsi="Arial" w:cs="Arial"/>
          <w:color w:val="000000" w:themeColor="text1"/>
          <w:sz w:val="22"/>
          <w:szCs w:val="22"/>
        </w:rPr>
      </w:pPr>
    </w:p>
    <w:p w14:paraId="43417AB5" w14:textId="697D45FA" w:rsidR="0032143E" w:rsidRPr="00F45B03" w:rsidRDefault="000D41B5"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2.9 </w:t>
      </w:r>
      <w:r w:rsidR="0032143E" w:rsidRPr="00F45B03">
        <w:rPr>
          <w:rFonts w:ascii="Arial" w:hAnsi="Arial" w:cs="Arial"/>
          <w:color w:val="000000" w:themeColor="text1"/>
          <w:sz w:val="22"/>
          <w:szCs w:val="22"/>
        </w:rPr>
        <w:t>Chapter summary</w:t>
      </w:r>
    </w:p>
    <w:p w14:paraId="6CE14F31" w14:textId="3F6E331E" w:rsidR="00441D6E" w:rsidRPr="00F45B03" w:rsidRDefault="00441D6E"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literature reviewed in this chapter demonstrates that cardiovascular disease remains a major global and national public health challenge, particularly among older adults who experience higher levels of multimorbidity, frailty, and recurrent hospitalisation. Despite advances in acute cardiac care, the long</w:t>
      </w:r>
      <w:r w:rsidRPr="00F45B03">
        <w:rPr>
          <w:rFonts w:ascii="Arial" w:hAnsi="Arial" w:cs="Arial"/>
          <w:color w:val="000000" w:themeColor="text1"/>
          <w:sz w:val="22"/>
          <w:szCs w:val="22"/>
        </w:rPr>
        <w:noBreakHyphen/>
        <w:t>term burden of CVD continues to rise, reinforcing the need for effective secondary prevention strategies. Cardiac rehabilitation has consistently been shown to reduce hospital readmissions, improve functional capacity, and enhance psychological wellbeing, with strong evidence supporting its role as a core component of post</w:t>
      </w:r>
      <w:r w:rsidRPr="00F45B03">
        <w:rPr>
          <w:rFonts w:ascii="Arial" w:hAnsi="Arial" w:cs="Arial"/>
          <w:color w:val="000000" w:themeColor="text1"/>
          <w:sz w:val="22"/>
          <w:szCs w:val="22"/>
        </w:rPr>
        <w:noBreakHyphen/>
        <w:t>cardiac event recovery. However, the chapter also highlights persistent inequalities in CR participation and completion, particularly among socioeconomically deprived and ethnic minority populations, who face multiple structural, cultural, and logistical barriers to engagement. These disparities limit the overall effectiveness of CR and contribute to poorer long</w:t>
      </w:r>
      <w:r w:rsidRPr="00F45B03">
        <w:rPr>
          <w:rFonts w:ascii="Arial" w:hAnsi="Arial" w:cs="Arial"/>
          <w:color w:val="000000" w:themeColor="text1"/>
          <w:sz w:val="22"/>
          <w:szCs w:val="22"/>
        </w:rPr>
        <w:noBreakHyphen/>
        <w:t>term outcomes for disadvantaged groups. Collectively, the evidence underscores the importance of improving CR accessibility, tailoring interventions to diverse patient needs, and addressing the social determinants that shape engagement and recovery. These gaps in participation and outcomes form the basis for the present study, which seeks to explore how socioeconomic and ethnic inequalities influence CR uptake and hospital readmission among adults aged 55 years and over in England.</w:t>
      </w:r>
    </w:p>
    <w:p w14:paraId="38490EA1" w14:textId="2874325B" w:rsidR="00646C39" w:rsidRPr="00F45B03" w:rsidRDefault="00646C3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lastRenderedPageBreak/>
        <w:t xml:space="preserve">Although CR is effective, significant inequalities persist in participation and outcomes. Existing literature highlights gaps in understanding how ethnicity, socioeconomic status, and age intersect to influence CR engagement. </w:t>
      </w:r>
      <w:r w:rsidRPr="00F45B03">
        <w:rPr>
          <w:rStyle w:val="Strong"/>
          <w:rFonts w:ascii="Arial" w:hAnsi="Arial" w:cs="Arial"/>
          <w:b w:val="0"/>
          <w:bCs w:val="0"/>
          <w:color w:val="000000" w:themeColor="text1"/>
          <w:sz w:val="22"/>
          <w:szCs w:val="22"/>
        </w:rPr>
        <w:t>There is also limited research exploring digital inequalities and their impact on CR access among older adults (Hale et al., 202</w:t>
      </w:r>
      <w:r w:rsidR="00F7461E" w:rsidRPr="00F45B03">
        <w:rPr>
          <w:rStyle w:val="Strong"/>
          <w:rFonts w:ascii="Arial" w:hAnsi="Arial" w:cs="Arial"/>
          <w:b w:val="0"/>
          <w:bCs w:val="0"/>
          <w:color w:val="000000" w:themeColor="text1"/>
          <w:sz w:val="22"/>
          <w:szCs w:val="22"/>
        </w:rPr>
        <w:t>1</w:t>
      </w:r>
      <w:r w:rsidRPr="00F45B03">
        <w:rPr>
          <w:rStyle w:val="Strong"/>
          <w:rFonts w:ascii="Arial" w:hAnsi="Arial" w:cs="Arial"/>
          <w:b w:val="0"/>
          <w:bCs w:val="0"/>
          <w:color w:val="000000" w:themeColor="text1"/>
          <w:sz w:val="22"/>
          <w:szCs w:val="22"/>
        </w:rPr>
        <w:t>).</w:t>
      </w:r>
    </w:p>
    <w:p w14:paraId="01ABD64E" w14:textId="65C31B58" w:rsidR="00646C39" w:rsidRPr="00F45B03" w:rsidRDefault="00646C39"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These gaps justify the need for a systematic review focusing on older adults in England, with attention to ethnic and socioeconomic disparities</w:t>
      </w:r>
    </w:p>
    <w:p w14:paraId="5C4B9B32" w14:textId="05F27B37" w:rsidR="00C84FAB" w:rsidRPr="00F45B03" w:rsidRDefault="00C84FAB" w:rsidP="00167E86">
      <w:pPr>
        <w:spacing w:line="360" w:lineRule="auto"/>
        <w:jc w:val="both"/>
        <w:rPr>
          <w:rFonts w:ascii="Arial" w:hAnsi="Arial" w:cs="Arial"/>
          <w:color w:val="000000" w:themeColor="text1"/>
        </w:rPr>
      </w:pPr>
    </w:p>
    <w:p w14:paraId="426D95F7" w14:textId="011F0C49" w:rsidR="000D41B5" w:rsidRPr="00F45B03" w:rsidRDefault="000D41B5" w:rsidP="00167E86">
      <w:pPr>
        <w:spacing w:line="360" w:lineRule="auto"/>
        <w:jc w:val="both"/>
        <w:rPr>
          <w:rFonts w:ascii="Arial" w:hAnsi="Arial" w:cs="Arial"/>
          <w:color w:val="000000" w:themeColor="text1"/>
        </w:rPr>
      </w:pPr>
    </w:p>
    <w:p w14:paraId="1F27010C" w14:textId="365FE980" w:rsidR="000D41B5" w:rsidRPr="00F45B03" w:rsidRDefault="000D41B5" w:rsidP="00167E86">
      <w:pPr>
        <w:spacing w:line="360" w:lineRule="auto"/>
        <w:jc w:val="both"/>
        <w:rPr>
          <w:rFonts w:ascii="Arial" w:hAnsi="Arial" w:cs="Arial"/>
          <w:color w:val="000000" w:themeColor="text1"/>
        </w:rPr>
      </w:pPr>
    </w:p>
    <w:p w14:paraId="188DA510" w14:textId="0D02129C" w:rsidR="000D41B5" w:rsidRPr="00F45B03" w:rsidRDefault="000D41B5" w:rsidP="00167E86">
      <w:pPr>
        <w:spacing w:line="360" w:lineRule="auto"/>
        <w:jc w:val="both"/>
        <w:rPr>
          <w:rFonts w:ascii="Arial" w:hAnsi="Arial" w:cs="Arial"/>
          <w:color w:val="000000" w:themeColor="text1"/>
        </w:rPr>
      </w:pPr>
    </w:p>
    <w:p w14:paraId="23909C34" w14:textId="7DC52CD6" w:rsidR="000D41B5" w:rsidRPr="00F45B03" w:rsidRDefault="000D41B5" w:rsidP="00167E86">
      <w:pPr>
        <w:spacing w:line="360" w:lineRule="auto"/>
        <w:jc w:val="both"/>
        <w:rPr>
          <w:rFonts w:ascii="Arial" w:hAnsi="Arial" w:cs="Arial"/>
          <w:color w:val="000000" w:themeColor="text1"/>
        </w:rPr>
      </w:pPr>
    </w:p>
    <w:p w14:paraId="1056058E" w14:textId="4F1FDD25" w:rsidR="000D41B5" w:rsidRPr="00F45B03" w:rsidRDefault="000D41B5" w:rsidP="00167E86">
      <w:pPr>
        <w:spacing w:line="360" w:lineRule="auto"/>
        <w:jc w:val="both"/>
        <w:rPr>
          <w:rFonts w:ascii="Arial" w:hAnsi="Arial" w:cs="Arial"/>
          <w:color w:val="000000" w:themeColor="text1"/>
        </w:rPr>
      </w:pPr>
    </w:p>
    <w:p w14:paraId="1473B600" w14:textId="3619E482" w:rsidR="000D41B5" w:rsidRPr="00F45B03" w:rsidRDefault="000D41B5" w:rsidP="00167E86">
      <w:pPr>
        <w:spacing w:line="360" w:lineRule="auto"/>
        <w:jc w:val="both"/>
        <w:rPr>
          <w:rFonts w:ascii="Arial" w:hAnsi="Arial" w:cs="Arial"/>
          <w:color w:val="000000" w:themeColor="text1"/>
        </w:rPr>
      </w:pPr>
    </w:p>
    <w:p w14:paraId="1A602625" w14:textId="75A427E3" w:rsidR="000D41B5" w:rsidRPr="00F45B03" w:rsidRDefault="000D41B5" w:rsidP="00167E86">
      <w:pPr>
        <w:spacing w:line="360" w:lineRule="auto"/>
        <w:jc w:val="both"/>
        <w:rPr>
          <w:rFonts w:ascii="Arial" w:hAnsi="Arial" w:cs="Arial"/>
          <w:color w:val="000000" w:themeColor="text1"/>
        </w:rPr>
      </w:pPr>
    </w:p>
    <w:p w14:paraId="359B367D" w14:textId="1E86192D" w:rsidR="000D41B5" w:rsidRPr="00F45B03" w:rsidRDefault="000D41B5" w:rsidP="00167E86">
      <w:pPr>
        <w:spacing w:line="360" w:lineRule="auto"/>
        <w:jc w:val="both"/>
        <w:rPr>
          <w:rFonts w:ascii="Arial" w:hAnsi="Arial" w:cs="Arial"/>
          <w:color w:val="000000" w:themeColor="text1"/>
        </w:rPr>
      </w:pPr>
    </w:p>
    <w:p w14:paraId="19809CEE" w14:textId="7611182C" w:rsidR="000D41B5" w:rsidRPr="00F45B03" w:rsidRDefault="000D41B5" w:rsidP="00167E86">
      <w:pPr>
        <w:spacing w:line="360" w:lineRule="auto"/>
        <w:jc w:val="both"/>
        <w:rPr>
          <w:rFonts w:ascii="Arial" w:hAnsi="Arial" w:cs="Arial"/>
          <w:color w:val="000000" w:themeColor="text1"/>
        </w:rPr>
      </w:pPr>
    </w:p>
    <w:p w14:paraId="08D9354B" w14:textId="0FDE218A" w:rsidR="000D41B5" w:rsidRPr="00F45B03" w:rsidRDefault="000D41B5" w:rsidP="00167E86">
      <w:pPr>
        <w:spacing w:line="360" w:lineRule="auto"/>
        <w:jc w:val="both"/>
        <w:rPr>
          <w:rFonts w:ascii="Arial" w:hAnsi="Arial" w:cs="Arial"/>
          <w:color w:val="000000" w:themeColor="text1"/>
        </w:rPr>
      </w:pPr>
    </w:p>
    <w:p w14:paraId="57B973D0" w14:textId="009CD3C0" w:rsidR="000D41B5" w:rsidRPr="00F45B03" w:rsidRDefault="000D41B5" w:rsidP="00167E86">
      <w:pPr>
        <w:spacing w:line="360" w:lineRule="auto"/>
        <w:jc w:val="both"/>
        <w:rPr>
          <w:rFonts w:ascii="Arial" w:hAnsi="Arial" w:cs="Arial"/>
          <w:color w:val="000000" w:themeColor="text1"/>
        </w:rPr>
      </w:pPr>
    </w:p>
    <w:p w14:paraId="1B74106B" w14:textId="4EA69E08" w:rsidR="000D41B5" w:rsidRPr="00F45B03" w:rsidRDefault="000D41B5" w:rsidP="00167E86">
      <w:pPr>
        <w:spacing w:line="360" w:lineRule="auto"/>
        <w:jc w:val="both"/>
        <w:rPr>
          <w:rFonts w:ascii="Arial" w:hAnsi="Arial" w:cs="Arial"/>
          <w:color w:val="000000" w:themeColor="text1"/>
        </w:rPr>
      </w:pPr>
    </w:p>
    <w:p w14:paraId="690970FB" w14:textId="2A404E10" w:rsidR="000D41B5" w:rsidRPr="00F45B03" w:rsidRDefault="000D41B5" w:rsidP="00167E86">
      <w:pPr>
        <w:spacing w:line="360" w:lineRule="auto"/>
        <w:jc w:val="both"/>
        <w:rPr>
          <w:rFonts w:ascii="Arial" w:hAnsi="Arial" w:cs="Arial"/>
          <w:color w:val="000000" w:themeColor="text1"/>
        </w:rPr>
      </w:pPr>
    </w:p>
    <w:p w14:paraId="7FFF7F78" w14:textId="07CA1FA0" w:rsidR="000D41B5" w:rsidRPr="00F45B03" w:rsidRDefault="000D41B5" w:rsidP="00167E86">
      <w:pPr>
        <w:spacing w:line="360" w:lineRule="auto"/>
        <w:jc w:val="both"/>
        <w:rPr>
          <w:rFonts w:ascii="Arial" w:hAnsi="Arial" w:cs="Arial"/>
          <w:color w:val="000000" w:themeColor="text1"/>
        </w:rPr>
      </w:pPr>
    </w:p>
    <w:p w14:paraId="702BE882" w14:textId="5F83A395" w:rsidR="000D41B5" w:rsidRPr="00F45B03" w:rsidRDefault="000D41B5" w:rsidP="00167E86">
      <w:pPr>
        <w:spacing w:line="360" w:lineRule="auto"/>
        <w:jc w:val="both"/>
        <w:rPr>
          <w:rFonts w:ascii="Arial" w:hAnsi="Arial" w:cs="Arial"/>
          <w:color w:val="000000" w:themeColor="text1"/>
        </w:rPr>
      </w:pPr>
    </w:p>
    <w:p w14:paraId="58277BBF" w14:textId="7DC32872" w:rsidR="000D41B5" w:rsidRPr="00F45B03" w:rsidRDefault="000D41B5" w:rsidP="00167E86">
      <w:pPr>
        <w:spacing w:line="360" w:lineRule="auto"/>
        <w:jc w:val="both"/>
        <w:rPr>
          <w:rFonts w:ascii="Arial" w:hAnsi="Arial" w:cs="Arial"/>
          <w:color w:val="000000" w:themeColor="text1"/>
        </w:rPr>
      </w:pPr>
    </w:p>
    <w:p w14:paraId="42F3AA5B" w14:textId="18DB322A" w:rsidR="000D41B5" w:rsidRPr="00F45B03" w:rsidRDefault="000D41B5" w:rsidP="00167E86">
      <w:pPr>
        <w:spacing w:line="360" w:lineRule="auto"/>
        <w:jc w:val="both"/>
        <w:rPr>
          <w:rFonts w:ascii="Arial" w:hAnsi="Arial" w:cs="Arial"/>
          <w:color w:val="000000" w:themeColor="text1"/>
        </w:rPr>
      </w:pPr>
    </w:p>
    <w:p w14:paraId="2C202537" w14:textId="68406C0B" w:rsidR="000D41B5" w:rsidRPr="00F45B03" w:rsidRDefault="000D41B5" w:rsidP="00167E86">
      <w:pPr>
        <w:spacing w:line="360" w:lineRule="auto"/>
        <w:jc w:val="both"/>
        <w:rPr>
          <w:rFonts w:ascii="Arial" w:hAnsi="Arial" w:cs="Arial"/>
          <w:color w:val="000000" w:themeColor="text1"/>
        </w:rPr>
      </w:pPr>
    </w:p>
    <w:p w14:paraId="2E825B5F" w14:textId="77777777" w:rsidR="00054F91" w:rsidRDefault="00054F91" w:rsidP="00167E86">
      <w:pPr>
        <w:spacing w:line="360" w:lineRule="auto"/>
        <w:jc w:val="both"/>
        <w:rPr>
          <w:rFonts w:ascii="Arial" w:hAnsi="Arial" w:cs="Arial"/>
          <w:color w:val="000000" w:themeColor="text1"/>
        </w:rPr>
      </w:pPr>
    </w:p>
    <w:p w14:paraId="43BA8680" w14:textId="2B4C7071" w:rsidR="0006126E"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lastRenderedPageBreak/>
        <w:t xml:space="preserve">Chapter 3 </w:t>
      </w:r>
      <w:r w:rsidR="009E7B6C" w:rsidRPr="00F45B03">
        <w:rPr>
          <w:rStyle w:val="Strong"/>
          <w:rFonts w:ascii="Arial" w:hAnsi="Arial" w:cs="Arial"/>
        </w:rPr>
        <w:t>Methodology</w:t>
      </w:r>
    </w:p>
    <w:p w14:paraId="2D7D454B" w14:textId="77777777" w:rsidR="00C40B32" w:rsidRPr="00F45B03" w:rsidRDefault="00C40B32"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3.1 Introduction</w:t>
      </w:r>
    </w:p>
    <w:p w14:paraId="39D81A73" w14:textId="2BCC141C"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This chapter presents a comprehensive explanation and justification of the methodological framework adopted for this dissertation, which investigates the effectiveness of cardiac rehabilitation (CR) programmes in reducing hospital readmissions among adults aged 55 years and over in England, with a particular focus on socioeconomic and ethnic inequalities. A rigorous methodology is essential for ensuring that the findings of this dissertation are credible, transparent, and grounded in established academic standards (Creswell &amp; Creswell, 2018)</w:t>
      </w:r>
      <w:r w:rsidR="0097791B" w:rsidRPr="00F45B03">
        <w:rPr>
          <w:rFonts w:ascii="Arial" w:hAnsi="Arial" w:cs="Arial"/>
          <w:sz w:val="22"/>
          <w:szCs w:val="22"/>
        </w:rPr>
        <w:t xml:space="preserve"> (Munn et al., 2018)</w:t>
      </w:r>
      <w:r w:rsidRPr="00F45B03">
        <w:rPr>
          <w:rFonts w:ascii="Arial" w:hAnsi="Arial" w:cs="Arial"/>
          <w:color w:val="000000" w:themeColor="text1"/>
          <w:sz w:val="22"/>
          <w:szCs w:val="22"/>
        </w:rPr>
        <w:t>. Given the complexity of cardiovascular disease (CVD), the multifaceted nature of CR interventions, and the persistent inequalities in healthcare access, a structured and systematic approach to evidence synthesis is required to address the research question effectively (Greenhalgh, 20</w:t>
      </w:r>
      <w:r w:rsidR="00D51A21" w:rsidRPr="00F45B03">
        <w:rPr>
          <w:rFonts w:ascii="Arial" w:hAnsi="Arial" w:cs="Arial"/>
          <w:color w:val="000000" w:themeColor="text1"/>
          <w:sz w:val="22"/>
          <w:szCs w:val="22"/>
        </w:rPr>
        <w:t>20</w:t>
      </w:r>
      <w:r w:rsidRPr="00F45B03">
        <w:rPr>
          <w:rFonts w:ascii="Arial" w:hAnsi="Arial" w:cs="Arial"/>
          <w:color w:val="000000" w:themeColor="text1"/>
          <w:sz w:val="22"/>
          <w:szCs w:val="22"/>
        </w:rPr>
        <w:t>).</w:t>
      </w:r>
    </w:p>
    <w:p w14:paraId="327B7D34" w14:textId="7B448276"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methodological choices made in this study are informed by the need to integrate diverse forms of evidence, including clinical outcomes, epidemiological data, and social determinants of health. Cardiovascular disease remains one of the leading causes of mortality and morbidity globally, and older adults experience disproportionately high rates of recurrent hospital admissions due to multimorbidity, frailty, and reduced physiological resilience (British Heart Foundation, 2023). Cardiac rehabilitation has been widely recognised as a comprehensive secondary prevention intervention that improves functional capacity, enhances quality of life, and reduces the likelihood of future cardiovascular events (Anderson et al., 2016). However, participation in CR programmes remains uneven across population groups, with individuals from socioeconomically deprived communities and ethnic minority backgrounds experiencing lower referral, uptake, and completion rates (Dalal et al., 20</w:t>
      </w:r>
      <w:r w:rsidR="00D51A21" w:rsidRPr="00F45B03">
        <w:rPr>
          <w:rFonts w:ascii="Arial" w:hAnsi="Arial" w:cs="Arial"/>
          <w:color w:val="000000" w:themeColor="text1"/>
          <w:sz w:val="22"/>
          <w:szCs w:val="22"/>
        </w:rPr>
        <w:t>21</w:t>
      </w:r>
      <w:r w:rsidRPr="00F45B03">
        <w:rPr>
          <w:rFonts w:ascii="Arial" w:hAnsi="Arial" w:cs="Arial"/>
          <w:color w:val="000000" w:themeColor="text1"/>
          <w:sz w:val="22"/>
          <w:szCs w:val="22"/>
        </w:rPr>
        <w:t>).</w:t>
      </w:r>
    </w:p>
    <w:p w14:paraId="467EFC0C" w14:textId="7F1345F0" w:rsidR="00C40B32" w:rsidRPr="00F45B03" w:rsidRDefault="00C40B32"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Given these disparities, a systematic and structured review of the literature is necessary to critically examine the available evidence and identify patterns, gaps, and inconsistencies</w:t>
      </w:r>
      <w:r w:rsidR="00C366A6" w:rsidRPr="00F45B03">
        <w:rPr>
          <w:rFonts w:ascii="Arial" w:hAnsi="Arial" w:cs="Arial"/>
          <w:sz w:val="22"/>
          <w:szCs w:val="22"/>
        </w:rPr>
        <w:t xml:space="preserve"> (Booth and Carroll, 2020)</w:t>
      </w:r>
      <w:r w:rsidRPr="00F45B03">
        <w:rPr>
          <w:rFonts w:ascii="Arial" w:hAnsi="Arial" w:cs="Arial"/>
          <w:color w:val="000000" w:themeColor="text1"/>
          <w:sz w:val="22"/>
          <w:szCs w:val="22"/>
        </w:rPr>
        <w:t xml:space="preserve">. This dissertation therefore adopts a </w:t>
      </w:r>
      <w:r w:rsidRPr="00F45B03">
        <w:rPr>
          <w:rStyle w:val="Strong"/>
          <w:rFonts w:ascii="Arial" w:hAnsi="Arial" w:cs="Arial"/>
          <w:b w:val="0"/>
          <w:bCs w:val="0"/>
          <w:color w:val="000000" w:themeColor="text1"/>
          <w:sz w:val="22"/>
          <w:szCs w:val="22"/>
        </w:rPr>
        <w:t>systematic literature review (SLR)</w:t>
      </w:r>
      <w:r w:rsidRPr="00F45B03">
        <w:rPr>
          <w:rFonts w:ascii="Arial" w:hAnsi="Arial" w:cs="Arial"/>
          <w:b/>
          <w:bCs/>
          <w:color w:val="000000" w:themeColor="text1"/>
          <w:sz w:val="22"/>
          <w:szCs w:val="22"/>
        </w:rPr>
        <w:t xml:space="preserve"> </w:t>
      </w:r>
      <w:r w:rsidRPr="00F45B03">
        <w:rPr>
          <w:rFonts w:ascii="Arial" w:hAnsi="Arial" w:cs="Arial"/>
          <w:color w:val="000000" w:themeColor="text1"/>
          <w:sz w:val="22"/>
          <w:szCs w:val="22"/>
        </w:rPr>
        <w:t>supported by a</w:t>
      </w:r>
      <w:r w:rsidRPr="00F45B03">
        <w:rPr>
          <w:rFonts w:ascii="Arial" w:hAnsi="Arial" w:cs="Arial"/>
          <w:b/>
          <w:bCs/>
          <w:color w:val="000000" w:themeColor="text1"/>
          <w:sz w:val="22"/>
          <w:szCs w:val="22"/>
        </w:rPr>
        <w:t xml:space="preserve"> </w:t>
      </w:r>
      <w:r w:rsidRPr="00F45B03">
        <w:rPr>
          <w:rStyle w:val="Strong"/>
          <w:rFonts w:ascii="Arial" w:hAnsi="Arial" w:cs="Arial"/>
          <w:b w:val="0"/>
          <w:bCs w:val="0"/>
          <w:color w:val="000000" w:themeColor="text1"/>
          <w:sz w:val="22"/>
          <w:szCs w:val="22"/>
        </w:rPr>
        <w:t>narrative thematic synthesis</w:t>
      </w:r>
      <w:r w:rsidR="00C366A6" w:rsidRPr="00F45B03">
        <w:rPr>
          <w:rStyle w:val="Strong"/>
          <w:rFonts w:ascii="Arial" w:hAnsi="Arial" w:cs="Arial"/>
          <w:sz w:val="22"/>
          <w:szCs w:val="22"/>
        </w:rPr>
        <w:t xml:space="preserve"> </w:t>
      </w:r>
      <w:r w:rsidR="00C366A6" w:rsidRPr="00F45B03">
        <w:rPr>
          <w:rFonts w:ascii="Arial" w:hAnsi="Arial" w:cs="Arial"/>
          <w:b/>
          <w:bCs/>
          <w:sz w:val="22"/>
          <w:szCs w:val="22"/>
        </w:rPr>
        <w:t>(</w:t>
      </w:r>
      <w:r w:rsidR="00C366A6" w:rsidRPr="00F45B03">
        <w:rPr>
          <w:rFonts w:ascii="Arial" w:hAnsi="Arial" w:cs="Arial"/>
          <w:sz w:val="22"/>
          <w:szCs w:val="22"/>
        </w:rPr>
        <w:t>Moher et al., 2019</w:t>
      </w:r>
      <w:r w:rsidR="00C366A6" w:rsidRPr="00F45B03">
        <w:rPr>
          <w:rFonts w:ascii="Arial" w:hAnsi="Arial" w:cs="Arial"/>
          <w:b/>
          <w:bCs/>
          <w:sz w:val="22"/>
          <w:szCs w:val="22"/>
        </w:rPr>
        <w:t>)</w:t>
      </w:r>
      <w:r w:rsidRPr="00F45B03">
        <w:rPr>
          <w:rFonts w:ascii="Arial" w:hAnsi="Arial" w:cs="Arial"/>
          <w:color w:val="000000" w:themeColor="text1"/>
          <w:sz w:val="22"/>
          <w:szCs w:val="22"/>
        </w:rPr>
        <w:t xml:space="preserve">. Systematic reviews are widely regarded as one of the highest levels of evidence in healthcare research because they minimise bias through transparent, replicable procedures and allow for the integration of findings across multiple studies (Page et al., 2021). A narrative synthesis is appropriate because the included studies </w:t>
      </w:r>
      <w:r w:rsidRPr="00F45B03">
        <w:rPr>
          <w:rFonts w:ascii="Arial" w:hAnsi="Arial" w:cs="Arial"/>
          <w:color w:val="000000" w:themeColor="text1"/>
          <w:sz w:val="22"/>
          <w:szCs w:val="22"/>
        </w:rPr>
        <w:lastRenderedPageBreak/>
        <w:t>are expected to vary in design, population characteristics, intervention models, and outcome measures, making statistical meta</w:t>
      </w:r>
      <w:r w:rsidRPr="00F45B03">
        <w:rPr>
          <w:rFonts w:ascii="Arial" w:hAnsi="Arial" w:cs="Arial"/>
          <w:color w:val="000000" w:themeColor="text1"/>
          <w:sz w:val="22"/>
          <w:szCs w:val="22"/>
        </w:rPr>
        <w:noBreakHyphen/>
        <w:t>analysis unsuitable (</w:t>
      </w:r>
      <w:r w:rsidR="00D51A21" w:rsidRPr="00F45B03">
        <w:rPr>
          <w:rFonts w:ascii="Arial" w:hAnsi="Arial" w:cs="Arial"/>
          <w:sz w:val="22"/>
          <w:szCs w:val="22"/>
        </w:rPr>
        <w:t>Hong et al., 2018</w:t>
      </w:r>
      <w:r w:rsidRPr="00F45B03">
        <w:rPr>
          <w:rFonts w:ascii="Arial" w:hAnsi="Arial" w:cs="Arial"/>
          <w:color w:val="000000" w:themeColor="text1"/>
          <w:sz w:val="22"/>
          <w:szCs w:val="22"/>
        </w:rPr>
        <w:t>)</w:t>
      </w:r>
      <w:r w:rsidR="00C366A6" w:rsidRPr="00F45B03">
        <w:rPr>
          <w:rFonts w:ascii="Arial" w:hAnsi="Arial" w:cs="Arial"/>
          <w:sz w:val="22"/>
          <w:szCs w:val="22"/>
        </w:rPr>
        <w:t xml:space="preserve"> (Pollock et al., 2021)</w:t>
      </w:r>
      <w:r w:rsidRPr="00F45B03">
        <w:rPr>
          <w:rFonts w:ascii="Arial" w:hAnsi="Arial" w:cs="Arial"/>
          <w:color w:val="000000" w:themeColor="text1"/>
          <w:sz w:val="22"/>
          <w:szCs w:val="22"/>
        </w:rPr>
        <w:t>.</w:t>
      </w:r>
    </w:p>
    <w:p w14:paraId="10982F21" w14:textId="7945A718"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This chapter is structured into several key sections. It begins by outlining the research philosophy underpinning the study, followed by a discussion of the research approach, research strategy, and research design. The chapter then details the search strategy, inclusion and exclusion criteria, study selection process, quality appraisal procedures, data extraction methods, and analytical framework. Ethical considerations, reliability and validity, and methodological limitations are also discussed</w:t>
      </w:r>
      <w:r w:rsidR="00C366A6" w:rsidRPr="00F45B03">
        <w:rPr>
          <w:rFonts w:ascii="Arial" w:hAnsi="Arial" w:cs="Arial"/>
          <w:sz w:val="22"/>
          <w:szCs w:val="22"/>
        </w:rPr>
        <w:t xml:space="preserve"> (</w:t>
      </w:r>
      <w:proofErr w:type="spellStart"/>
      <w:r w:rsidR="00C366A6" w:rsidRPr="00F45B03">
        <w:rPr>
          <w:rFonts w:ascii="Arial" w:hAnsi="Arial" w:cs="Arial"/>
          <w:sz w:val="22"/>
          <w:szCs w:val="22"/>
        </w:rPr>
        <w:t>Tricco</w:t>
      </w:r>
      <w:proofErr w:type="spellEnd"/>
      <w:r w:rsidR="00C366A6" w:rsidRPr="00F45B03">
        <w:rPr>
          <w:rFonts w:ascii="Arial" w:hAnsi="Arial" w:cs="Arial"/>
          <w:sz w:val="22"/>
          <w:szCs w:val="22"/>
        </w:rPr>
        <w:t xml:space="preserve"> et al., 2018)</w:t>
      </w:r>
      <w:r w:rsidRPr="00F45B03">
        <w:rPr>
          <w:rFonts w:ascii="Arial" w:hAnsi="Arial" w:cs="Arial"/>
          <w:color w:val="000000" w:themeColor="text1"/>
          <w:sz w:val="22"/>
          <w:szCs w:val="22"/>
        </w:rPr>
        <w:t>. By providing a transparent and detailed account of the methodological process, this chapter ensures that the study can be replicated, evaluated, and understood within the broader context of public health research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&amp; Munn, 2020).</w:t>
      </w:r>
    </w:p>
    <w:p w14:paraId="4F96AA37" w14:textId="77777777" w:rsidR="007904C9" w:rsidRPr="00F45B03" w:rsidRDefault="007904C9" w:rsidP="00167E86">
      <w:pPr>
        <w:pStyle w:val="NormalWeb"/>
        <w:spacing w:line="360" w:lineRule="auto"/>
        <w:jc w:val="both"/>
        <w:rPr>
          <w:rFonts w:ascii="Arial" w:hAnsi="Arial" w:cs="Arial"/>
          <w:color w:val="000000" w:themeColor="text1"/>
          <w:sz w:val="22"/>
          <w:szCs w:val="22"/>
        </w:rPr>
      </w:pPr>
    </w:p>
    <w:p w14:paraId="5C8A7034" w14:textId="38B4B952" w:rsidR="00C40B32" w:rsidRPr="00F45B03" w:rsidRDefault="00C40B32"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3.</w:t>
      </w:r>
      <w:r w:rsidR="00AA4B24" w:rsidRPr="00F45B03">
        <w:rPr>
          <w:rStyle w:val="Strong"/>
          <w:rFonts w:ascii="Arial" w:hAnsi="Arial" w:cs="Arial"/>
          <w:b w:val="0"/>
          <w:bCs w:val="0"/>
          <w:color w:val="000000" w:themeColor="text1"/>
          <w:sz w:val="22"/>
          <w:szCs w:val="22"/>
        </w:rPr>
        <w:t>2</w:t>
      </w:r>
      <w:r w:rsidRPr="00F45B03">
        <w:rPr>
          <w:rStyle w:val="Strong"/>
          <w:rFonts w:ascii="Arial" w:hAnsi="Arial" w:cs="Arial"/>
          <w:b w:val="0"/>
          <w:bCs w:val="0"/>
          <w:color w:val="000000" w:themeColor="text1"/>
          <w:sz w:val="22"/>
          <w:szCs w:val="22"/>
        </w:rPr>
        <w:t xml:space="preserve"> Research Approach</w:t>
      </w:r>
    </w:p>
    <w:p w14:paraId="45FF5F38" w14:textId="51DB9F24"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The research approach provides the logical structure guiding how the study moves from existing theory to evidence and interpretation. This dissertation adopts a </w:t>
      </w:r>
      <w:r w:rsidRPr="00F45B03">
        <w:rPr>
          <w:rStyle w:val="Strong"/>
          <w:rFonts w:ascii="Arial" w:hAnsi="Arial" w:cs="Arial"/>
          <w:b w:val="0"/>
          <w:bCs w:val="0"/>
          <w:color w:val="000000" w:themeColor="text1"/>
          <w:sz w:val="22"/>
          <w:szCs w:val="22"/>
        </w:rPr>
        <w:t>deductive research approach</w:t>
      </w:r>
      <w:r w:rsidRPr="00F45B03">
        <w:rPr>
          <w:rFonts w:ascii="Arial" w:hAnsi="Arial" w:cs="Arial"/>
          <w:color w:val="000000" w:themeColor="text1"/>
          <w:sz w:val="22"/>
          <w:szCs w:val="22"/>
        </w:rPr>
        <w:t>, which begins with established theories and empirical findings and then examines whether the available evidence supports these assumptions (Saunders, Lewis &amp; Thornhill, 2023). Deductive reasoning is appropriate because substantial literature already exists on cardiac rehabilitation (CR), hospital readmissions, and health inequalities, allowing the study to test whether current evidence aligns with theoretical expectations (Bryman, 20</w:t>
      </w:r>
      <w:r w:rsidR="0097791B" w:rsidRPr="00F45B03">
        <w:rPr>
          <w:rFonts w:ascii="Arial" w:hAnsi="Arial" w:cs="Arial"/>
          <w:color w:val="000000" w:themeColor="text1"/>
          <w:sz w:val="22"/>
          <w:szCs w:val="22"/>
        </w:rPr>
        <w:t>21</w:t>
      </w:r>
      <w:r w:rsidRPr="00F45B03">
        <w:rPr>
          <w:rFonts w:ascii="Arial" w:hAnsi="Arial" w:cs="Arial"/>
          <w:color w:val="000000" w:themeColor="text1"/>
          <w:sz w:val="22"/>
          <w:szCs w:val="22"/>
        </w:rPr>
        <w:t>).</w:t>
      </w:r>
    </w:p>
    <w:p w14:paraId="70F4C97F"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deductive approach is particularly suitable for this dissertation because the research question is grounded in well</w:t>
      </w:r>
      <w:r w:rsidRPr="00F45B03">
        <w:rPr>
          <w:rFonts w:ascii="Arial" w:hAnsi="Arial" w:cs="Arial"/>
          <w:color w:val="000000" w:themeColor="text1"/>
          <w:sz w:val="22"/>
          <w:szCs w:val="22"/>
        </w:rPr>
        <w:noBreakHyphen/>
        <w:t>established concepts. For example, previous studies consistently show that CR improves cardiovascular outcomes, enhances functional capacity, and reduces the likelihood of recurrent hospital admissions (Anderson et al., 2016). Similarly, extensive public health research demonstrates that socioeconomic deprivation and ethnicity influence access to healthcare services and shape long</w:t>
      </w:r>
      <w:r w:rsidRPr="00F45B03">
        <w:rPr>
          <w:rFonts w:ascii="Arial" w:hAnsi="Arial" w:cs="Arial"/>
          <w:color w:val="000000" w:themeColor="text1"/>
          <w:sz w:val="22"/>
          <w:szCs w:val="22"/>
        </w:rPr>
        <w:noBreakHyphen/>
        <w:t>term health outcomes (Marmot et al., 2020). By synthesising existing evidence, this study evaluates whether these established patterns hold true for adults aged 55 years and over in England.</w:t>
      </w:r>
    </w:p>
    <w:p w14:paraId="79E30B63" w14:textId="5527F9C0"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lastRenderedPageBreak/>
        <w:t xml:space="preserve">The deductive approach is also aligned with the theoretical frameworks underpinning this dissertation. The </w:t>
      </w:r>
      <w:r w:rsidRPr="00F45B03">
        <w:rPr>
          <w:rStyle w:val="Strong"/>
          <w:rFonts w:ascii="Arial" w:hAnsi="Arial" w:cs="Arial"/>
          <w:b w:val="0"/>
          <w:bCs w:val="0"/>
          <w:color w:val="000000" w:themeColor="text1"/>
          <w:sz w:val="22"/>
          <w:szCs w:val="22"/>
        </w:rPr>
        <w:t>Social Determinants of Health model</w:t>
      </w:r>
      <w:r w:rsidRPr="00F45B03">
        <w:rPr>
          <w:rFonts w:ascii="Arial" w:hAnsi="Arial" w:cs="Arial"/>
          <w:color w:val="000000" w:themeColor="text1"/>
          <w:sz w:val="22"/>
          <w:szCs w:val="22"/>
        </w:rPr>
        <w:t xml:space="preserve"> highlights how socioeconomic conditions influence health behaviours and outcomes, providing a basis for examining inequalities in CR participation (WHO, 2023). Meanwhile, the </w:t>
      </w:r>
      <w:r w:rsidRPr="00F45B03">
        <w:rPr>
          <w:rStyle w:val="Strong"/>
          <w:rFonts w:ascii="Arial" w:hAnsi="Arial" w:cs="Arial"/>
          <w:b w:val="0"/>
          <w:bCs w:val="0"/>
          <w:color w:val="000000" w:themeColor="text1"/>
          <w:sz w:val="22"/>
          <w:szCs w:val="22"/>
        </w:rPr>
        <w:t>Health Belief Model</w:t>
      </w:r>
      <w:r w:rsidRPr="00F45B03">
        <w:rPr>
          <w:rFonts w:ascii="Arial" w:hAnsi="Arial" w:cs="Arial"/>
          <w:color w:val="000000" w:themeColor="text1"/>
          <w:sz w:val="22"/>
          <w:szCs w:val="22"/>
        </w:rPr>
        <w:t xml:space="preserve"> explains how individual perceptions of risk, benefits, and barriers influence engagement with health interventions such as CR </w:t>
      </w:r>
      <w:r w:rsidR="0097791B" w:rsidRPr="00F45B03">
        <w:rPr>
          <w:rFonts w:ascii="Arial" w:hAnsi="Arial" w:cs="Arial"/>
          <w:sz w:val="22"/>
          <w:szCs w:val="22"/>
        </w:rPr>
        <w:t>(Carpenter, 2016)</w:t>
      </w:r>
      <w:r w:rsidRPr="00F45B03">
        <w:rPr>
          <w:rFonts w:ascii="Arial" w:hAnsi="Arial" w:cs="Arial"/>
          <w:color w:val="000000" w:themeColor="text1"/>
          <w:sz w:val="22"/>
          <w:szCs w:val="22"/>
        </w:rPr>
        <w:t>. These frameworks guide the interpretation of findings and help explain variations in programme uptake and outcomes.</w:t>
      </w:r>
    </w:p>
    <w:p w14:paraId="1638D7B8" w14:textId="52E2C35B"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Although the study is primarily deductive, it also incorporates limited inductive elements during the thematic synthesis. As patterns emerge across studies, the researcher interprets how contextual factors—such as cultural beliefs, language barriers, and healthcare accessibility—shape CR participation among different population groups (Creswell &amp; Creswell, 2018). However, these insights are used to deepen understanding rather than generate new theory</w:t>
      </w:r>
      <w:r w:rsidR="00C366A6" w:rsidRPr="00F45B03">
        <w:rPr>
          <w:rStyle w:val="Heading3Char"/>
          <w:rFonts w:ascii="Arial" w:hAnsi="Arial" w:cs="Arial"/>
          <w:sz w:val="22"/>
          <w:szCs w:val="22"/>
        </w:rPr>
        <w:t xml:space="preserve"> </w:t>
      </w:r>
      <w:r w:rsidR="00C366A6" w:rsidRPr="00F45B03">
        <w:rPr>
          <w:rStyle w:val="Strong"/>
          <w:rFonts w:ascii="Arial" w:hAnsi="Arial" w:cs="Arial"/>
          <w:b w:val="0"/>
          <w:bCs w:val="0"/>
          <w:sz w:val="22"/>
          <w:szCs w:val="22"/>
        </w:rPr>
        <w:t>(Noyes et al., 2019)</w:t>
      </w:r>
      <w:r w:rsidRPr="00F45B03">
        <w:rPr>
          <w:rFonts w:ascii="Arial" w:hAnsi="Arial" w:cs="Arial"/>
          <w:b/>
          <w:bCs/>
          <w:color w:val="000000" w:themeColor="text1"/>
          <w:sz w:val="22"/>
          <w:szCs w:val="22"/>
        </w:rPr>
        <w:t>.</w:t>
      </w:r>
    </w:p>
    <w:p w14:paraId="1DB85FF9" w14:textId="79976514" w:rsidR="00C40B32" w:rsidRPr="00F45B03" w:rsidRDefault="00C40B32" w:rsidP="00167E86">
      <w:pPr>
        <w:pStyle w:val="NormalWeb"/>
        <w:spacing w:line="360" w:lineRule="auto"/>
        <w:jc w:val="both"/>
        <w:rPr>
          <w:rFonts w:ascii="Arial" w:hAnsi="Arial" w:cs="Arial"/>
          <w:b/>
          <w:bCs/>
          <w:color w:val="000000" w:themeColor="text1"/>
          <w:sz w:val="22"/>
          <w:szCs w:val="22"/>
        </w:rPr>
      </w:pPr>
      <w:r w:rsidRPr="00F45B03">
        <w:rPr>
          <w:rFonts w:ascii="Arial" w:hAnsi="Arial" w:cs="Arial"/>
          <w:color w:val="000000" w:themeColor="text1"/>
          <w:sz w:val="22"/>
          <w:szCs w:val="22"/>
        </w:rPr>
        <w:t>Overall, the deductive approach provides a coherent and appropriate foundation for this dissertation because it supports the systematic evaluation of existing evidence and aligns with the structured nature of a systematic literature review</w:t>
      </w:r>
      <w:r w:rsidR="00C366A6" w:rsidRPr="00F45B03">
        <w:rPr>
          <w:rStyle w:val="Heading3Char"/>
          <w:rFonts w:ascii="Arial" w:hAnsi="Arial" w:cs="Arial"/>
          <w:sz w:val="22"/>
          <w:szCs w:val="22"/>
        </w:rPr>
        <w:t xml:space="preserve"> </w:t>
      </w:r>
      <w:r w:rsidR="00C366A6" w:rsidRPr="00F45B03">
        <w:rPr>
          <w:rStyle w:val="Strong"/>
          <w:rFonts w:ascii="Arial" w:hAnsi="Arial" w:cs="Arial"/>
          <w:sz w:val="22"/>
          <w:szCs w:val="22"/>
        </w:rPr>
        <w:t>(</w:t>
      </w:r>
      <w:r w:rsidR="00C366A6" w:rsidRPr="00F45B03">
        <w:rPr>
          <w:rStyle w:val="Strong"/>
          <w:rFonts w:ascii="Arial" w:hAnsi="Arial" w:cs="Arial"/>
          <w:b w:val="0"/>
          <w:bCs w:val="0"/>
          <w:sz w:val="22"/>
          <w:szCs w:val="22"/>
        </w:rPr>
        <w:t>Gough et al., 2017)</w:t>
      </w:r>
      <w:r w:rsidRPr="00F45B03">
        <w:rPr>
          <w:rFonts w:ascii="Arial" w:hAnsi="Arial" w:cs="Arial"/>
          <w:b/>
          <w:bCs/>
          <w:color w:val="000000" w:themeColor="text1"/>
          <w:sz w:val="22"/>
          <w:szCs w:val="22"/>
        </w:rPr>
        <w:t>.</w:t>
      </w:r>
    </w:p>
    <w:p w14:paraId="45469ACA" w14:textId="54171BA5" w:rsidR="00C40B32" w:rsidRPr="00F45B03" w:rsidRDefault="00C40B32" w:rsidP="00167E86">
      <w:pPr>
        <w:pStyle w:val="Heading2"/>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3.</w:t>
      </w:r>
      <w:r w:rsidR="00AA4B24" w:rsidRPr="00F45B03">
        <w:rPr>
          <w:rStyle w:val="Strong"/>
          <w:rFonts w:ascii="Arial" w:hAnsi="Arial" w:cs="Arial"/>
          <w:b w:val="0"/>
          <w:bCs w:val="0"/>
          <w:color w:val="000000" w:themeColor="text1"/>
          <w:sz w:val="22"/>
          <w:szCs w:val="22"/>
        </w:rPr>
        <w:t xml:space="preserve">3 </w:t>
      </w:r>
      <w:r w:rsidRPr="00F45B03">
        <w:rPr>
          <w:rStyle w:val="Strong"/>
          <w:rFonts w:ascii="Arial" w:hAnsi="Arial" w:cs="Arial"/>
          <w:b w:val="0"/>
          <w:bCs w:val="0"/>
          <w:color w:val="000000" w:themeColor="text1"/>
          <w:sz w:val="22"/>
          <w:szCs w:val="22"/>
        </w:rPr>
        <w:t>Research Strategy</w:t>
      </w:r>
    </w:p>
    <w:p w14:paraId="40AD0E3A"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A </w:t>
      </w:r>
      <w:r w:rsidRPr="00F45B03">
        <w:rPr>
          <w:rStyle w:val="Strong"/>
          <w:rFonts w:ascii="Arial" w:hAnsi="Arial" w:cs="Arial"/>
          <w:b w:val="0"/>
          <w:bCs w:val="0"/>
          <w:color w:val="000000" w:themeColor="text1"/>
          <w:sz w:val="22"/>
          <w:szCs w:val="22"/>
        </w:rPr>
        <w:t>systematic literature review (SLR)</w:t>
      </w:r>
      <w:r w:rsidRPr="00F45B03">
        <w:rPr>
          <w:rFonts w:ascii="Arial" w:hAnsi="Arial" w:cs="Arial"/>
          <w:color w:val="000000" w:themeColor="text1"/>
          <w:sz w:val="22"/>
          <w:szCs w:val="22"/>
        </w:rPr>
        <w:t xml:space="preserve"> was adopted as the research strategy for this dissertation. Systematic reviews are widely recognised as one of the highest levels of evidence in healthcare research because they use transparent, replicable, and rigorous procedures to identify, appraise, and synthesise existing studies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&amp; Munn, 2020). This strategy is particularly appropriate for the present study because CR effectiveness has been extensively researched, yet findings vary across populations, programme designs, and healthcare settings (Taylor et al., 2019).</w:t>
      </w:r>
    </w:p>
    <w:p w14:paraId="4A078E8D" w14:textId="4502C1BC" w:rsidR="00C40B32" w:rsidRPr="00F45B03" w:rsidRDefault="00C40B32"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Unlike narrative reviews, which may be influenced by subjective interpretation, systematic reviews follow predefined protocols that minimise bias and enhance reliability (Booth, Sutton &amp; Papaioannou, 2021</w:t>
      </w:r>
      <w:r w:rsidR="00984A29" w:rsidRPr="00F45B03">
        <w:rPr>
          <w:rFonts w:ascii="Arial" w:hAnsi="Arial" w:cs="Arial"/>
          <w:color w:val="000000" w:themeColor="text1"/>
          <w:sz w:val="22"/>
          <w:szCs w:val="22"/>
        </w:rPr>
        <w:t xml:space="preserve"> </w:t>
      </w:r>
      <w:r w:rsidR="00984A29" w:rsidRPr="00F45B03">
        <w:rPr>
          <w:rFonts w:ascii="Arial" w:hAnsi="Arial" w:cs="Arial"/>
          <w:sz w:val="22"/>
          <w:szCs w:val="22"/>
        </w:rPr>
        <w:t>(Grant and Booth, 2019</w:t>
      </w:r>
      <w:r w:rsidRPr="00F45B03">
        <w:rPr>
          <w:rFonts w:ascii="Arial" w:hAnsi="Arial" w:cs="Arial"/>
          <w:color w:val="000000" w:themeColor="text1"/>
          <w:sz w:val="22"/>
          <w:szCs w:val="22"/>
        </w:rPr>
        <w:t xml:space="preserve">). The review process in this dissertation was guided by the </w:t>
      </w:r>
      <w:r w:rsidRPr="00F45B03">
        <w:rPr>
          <w:rStyle w:val="Strong"/>
          <w:rFonts w:ascii="Arial" w:hAnsi="Arial" w:cs="Arial"/>
          <w:b w:val="0"/>
          <w:bCs w:val="0"/>
          <w:color w:val="000000" w:themeColor="text1"/>
          <w:sz w:val="22"/>
          <w:szCs w:val="22"/>
        </w:rPr>
        <w:t>PRISMA 2020 framework</w:t>
      </w:r>
      <w:r w:rsidRPr="00F45B03">
        <w:rPr>
          <w:rFonts w:ascii="Arial" w:hAnsi="Arial" w:cs="Arial"/>
          <w:b/>
          <w:bCs/>
          <w:color w:val="000000" w:themeColor="text1"/>
          <w:sz w:val="22"/>
          <w:szCs w:val="22"/>
        </w:rPr>
        <w:t>,</w:t>
      </w:r>
      <w:r w:rsidRPr="00F45B03">
        <w:rPr>
          <w:rFonts w:ascii="Arial" w:hAnsi="Arial" w:cs="Arial"/>
          <w:color w:val="000000" w:themeColor="text1"/>
          <w:sz w:val="22"/>
          <w:szCs w:val="22"/>
        </w:rPr>
        <w:t xml:space="preserve"> which provides internationally recognised standards for conducting and reporting systematic reviews (Page et al., 2021). PRISMA ensures transparency in documenting each stage of the review, including study identification, screening, eligibility assessment, and final inclusion.</w:t>
      </w:r>
    </w:p>
    <w:p w14:paraId="1EF49C01"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lastRenderedPageBreak/>
        <w:t>The systematic review strategy was selected for several reasons:</w:t>
      </w:r>
    </w:p>
    <w:p w14:paraId="2911919B" w14:textId="77777777" w:rsidR="00C40B32" w:rsidRPr="00F45B03" w:rsidRDefault="00C40B32" w:rsidP="00167E86">
      <w:pPr>
        <w:pStyle w:val="NormalWeb"/>
        <w:numPr>
          <w:ilvl w:val="0"/>
          <w:numId w:val="5"/>
        </w:numPr>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CR is a complex intervention</w:t>
      </w:r>
      <w:r w:rsidRPr="00F45B03">
        <w:rPr>
          <w:rFonts w:ascii="Arial" w:hAnsi="Arial" w:cs="Arial"/>
          <w:color w:val="000000" w:themeColor="text1"/>
          <w:sz w:val="22"/>
          <w:szCs w:val="22"/>
        </w:rPr>
        <w:t>, and evidence is dispersed across clinical trials, cohort studies, observational research, and national audits.</w:t>
      </w:r>
    </w:p>
    <w:p w14:paraId="220BA67A" w14:textId="77777777" w:rsidR="00C40B32" w:rsidRPr="00F45B03" w:rsidRDefault="00C40B32" w:rsidP="00167E86">
      <w:pPr>
        <w:pStyle w:val="NormalWeb"/>
        <w:numPr>
          <w:ilvl w:val="0"/>
          <w:numId w:val="5"/>
        </w:numPr>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Hospital readmissions are influenced by multiple factors</w:t>
      </w:r>
      <w:r w:rsidRPr="00F45B03">
        <w:rPr>
          <w:rFonts w:ascii="Arial" w:hAnsi="Arial" w:cs="Arial"/>
          <w:color w:val="000000" w:themeColor="text1"/>
          <w:sz w:val="22"/>
          <w:szCs w:val="22"/>
        </w:rPr>
        <w:t>, including comorbidities, socioeconomic status, and ethnicity, requiring synthesis of diverse evidence sources.</w:t>
      </w:r>
    </w:p>
    <w:p w14:paraId="33FE4E85" w14:textId="77777777" w:rsidR="00C40B32" w:rsidRPr="00F45B03" w:rsidRDefault="00C40B32" w:rsidP="00167E86">
      <w:pPr>
        <w:pStyle w:val="NormalWeb"/>
        <w:numPr>
          <w:ilvl w:val="0"/>
          <w:numId w:val="5"/>
        </w:numPr>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Inequalities in CR participation</w:t>
      </w:r>
      <w:r w:rsidRPr="00F45B03">
        <w:rPr>
          <w:rFonts w:ascii="Arial" w:hAnsi="Arial" w:cs="Arial"/>
          <w:color w:val="000000" w:themeColor="text1"/>
          <w:sz w:val="22"/>
          <w:szCs w:val="22"/>
        </w:rPr>
        <w:t xml:space="preserve"> are shaped by structural, cultural, and behavioural factors that cannot be understood through a single study design.</w:t>
      </w:r>
    </w:p>
    <w:p w14:paraId="3E1700A2" w14:textId="77777777" w:rsidR="00C40B32" w:rsidRPr="00F45B03" w:rsidRDefault="00C40B32" w:rsidP="00167E86">
      <w:pPr>
        <w:pStyle w:val="NormalWeb"/>
        <w:numPr>
          <w:ilvl w:val="0"/>
          <w:numId w:val="5"/>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A systematic review allows for </w:t>
      </w:r>
      <w:r w:rsidRPr="00F45B03">
        <w:rPr>
          <w:rStyle w:val="Strong"/>
          <w:rFonts w:ascii="Arial" w:hAnsi="Arial" w:cs="Arial"/>
          <w:b w:val="0"/>
          <w:bCs w:val="0"/>
          <w:color w:val="000000" w:themeColor="text1"/>
          <w:sz w:val="22"/>
          <w:szCs w:val="22"/>
        </w:rPr>
        <w:t>critical comparison</w:t>
      </w:r>
      <w:r w:rsidRPr="00F45B03">
        <w:rPr>
          <w:rFonts w:ascii="Arial" w:hAnsi="Arial" w:cs="Arial"/>
          <w:color w:val="000000" w:themeColor="text1"/>
          <w:sz w:val="22"/>
          <w:szCs w:val="22"/>
        </w:rPr>
        <w:t xml:space="preserve"> of findings and identification of gaps in the evidence base.</w:t>
      </w:r>
    </w:p>
    <w:p w14:paraId="13802929"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strategy involved several key stages:</w:t>
      </w:r>
    </w:p>
    <w:p w14:paraId="36B7C95C" w14:textId="77777777" w:rsidR="00C40B32" w:rsidRPr="00F45B03" w:rsidRDefault="00C40B32" w:rsidP="00167E86">
      <w:pPr>
        <w:pStyle w:val="NormalWeb"/>
        <w:numPr>
          <w:ilvl w:val="0"/>
          <w:numId w:val="6"/>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developing a comprehensive search strategy</w:t>
      </w:r>
    </w:p>
    <w:p w14:paraId="43B4A27E" w14:textId="77777777" w:rsidR="00C40B32" w:rsidRPr="00F45B03" w:rsidRDefault="00C40B32" w:rsidP="00167E86">
      <w:pPr>
        <w:pStyle w:val="NormalWeb"/>
        <w:numPr>
          <w:ilvl w:val="0"/>
          <w:numId w:val="6"/>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identifying relevant studies across multiple databases</w:t>
      </w:r>
    </w:p>
    <w:p w14:paraId="03CA8DF9" w14:textId="77777777" w:rsidR="00C40B32" w:rsidRPr="00F45B03" w:rsidRDefault="00C40B32" w:rsidP="00167E86">
      <w:pPr>
        <w:pStyle w:val="NormalWeb"/>
        <w:numPr>
          <w:ilvl w:val="0"/>
          <w:numId w:val="6"/>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applying predefined inclusion and exclusion criteria</w:t>
      </w:r>
    </w:p>
    <w:p w14:paraId="0CB546E7" w14:textId="77777777" w:rsidR="00C40B32" w:rsidRPr="00F45B03" w:rsidRDefault="00C40B32" w:rsidP="00167E86">
      <w:pPr>
        <w:pStyle w:val="NormalWeb"/>
        <w:numPr>
          <w:ilvl w:val="0"/>
          <w:numId w:val="6"/>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critically appraising study quality</w:t>
      </w:r>
    </w:p>
    <w:p w14:paraId="216DBD4C" w14:textId="77777777" w:rsidR="00C40B32" w:rsidRPr="00F45B03" w:rsidRDefault="00C40B32" w:rsidP="00167E86">
      <w:pPr>
        <w:pStyle w:val="NormalWeb"/>
        <w:numPr>
          <w:ilvl w:val="0"/>
          <w:numId w:val="6"/>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extracting and synthesising findings using a narrative thematic approach</w:t>
      </w:r>
    </w:p>
    <w:p w14:paraId="0A03DAFD" w14:textId="0DF9712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Although systematic reviews offer significant advantages, they also have limitations. The quality of the review depends on the quality of the included studies, and publication bias may influence the available evidence because studies with significant findings are more likely to be published (Booth et al., 2021)</w:t>
      </w:r>
      <w:r w:rsidR="00C84FAB" w:rsidRPr="00F45B03">
        <w:rPr>
          <w:rFonts w:ascii="Arial" w:hAnsi="Arial" w:cs="Arial"/>
          <w:sz w:val="22"/>
          <w:szCs w:val="22"/>
        </w:rPr>
        <w:t xml:space="preserve"> (Smith and Noble, 2016)</w:t>
      </w:r>
      <w:r w:rsidRPr="00F45B03">
        <w:rPr>
          <w:rFonts w:ascii="Arial" w:hAnsi="Arial" w:cs="Arial"/>
          <w:color w:val="000000" w:themeColor="text1"/>
          <w:sz w:val="22"/>
          <w:szCs w:val="22"/>
        </w:rPr>
        <w:t>. Additionally, variations in study design and outcome measures may limit comparability across studies.</w:t>
      </w:r>
    </w:p>
    <w:p w14:paraId="50F4CF3C" w14:textId="58D625A6"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Despite these limitations, the systematic literature review strategy provides a robust and appropriate framework for addressing the research question and generating evidence</w:t>
      </w:r>
      <w:r w:rsidRPr="00F45B03">
        <w:rPr>
          <w:rFonts w:ascii="Arial" w:hAnsi="Arial" w:cs="Arial"/>
          <w:color w:val="000000" w:themeColor="text1"/>
          <w:sz w:val="22"/>
          <w:szCs w:val="22"/>
        </w:rPr>
        <w:noBreakHyphen/>
        <w:t>based insights into CR effectiveness and healthcare inequalities among older adults in England</w:t>
      </w:r>
      <w:r w:rsidR="00E05282" w:rsidRPr="00F45B03">
        <w:rPr>
          <w:rFonts w:ascii="Arial" w:hAnsi="Arial" w:cs="Arial"/>
          <w:sz w:val="22"/>
          <w:szCs w:val="22"/>
        </w:rPr>
        <w:t xml:space="preserve"> (Smith and Noble, 2016)</w:t>
      </w:r>
      <w:r w:rsidRPr="00F45B03">
        <w:rPr>
          <w:rFonts w:ascii="Arial" w:hAnsi="Arial" w:cs="Arial"/>
          <w:color w:val="000000" w:themeColor="text1"/>
          <w:sz w:val="22"/>
          <w:szCs w:val="22"/>
        </w:rPr>
        <w:t>.</w:t>
      </w:r>
    </w:p>
    <w:p w14:paraId="706B85CB" w14:textId="3DF11AB8" w:rsidR="00C40B32" w:rsidRPr="00F45B03" w:rsidRDefault="00C40B32" w:rsidP="00167E86">
      <w:pPr>
        <w:pStyle w:val="Heading3"/>
        <w:spacing w:line="360" w:lineRule="auto"/>
        <w:jc w:val="both"/>
        <w:rPr>
          <w:rFonts w:ascii="Arial" w:hAnsi="Arial" w:cs="Arial"/>
          <w:color w:val="000000" w:themeColor="text1"/>
          <w:sz w:val="22"/>
          <w:szCs w:val="22"/>
        </w:rPr>
      </w:pPr>
      <w:proofErr w:type="gramStart"/>
      <w:r w:rsidRPr="00F45B03">
        <w:rPr>
          <w:rFonts w:ascii="Arial" w:hAnsi="Arial" w:cs="Arial"/>
          <w:color w:val="000000" w:themeColor="text1"/>
          <w:sz w:val="22"/>
          <w:szCs w:val="22"/>
        </w:rPr>
        <w:t>3.</w:t>
      </w:r>
      <w:r w:rsidR="00AA4B24" w:rsidRPr="00F45B03">
        <w:rPr>
          <w:rFonts w:ascii="Arial" w:hAnsi="Arial" w:cs="Arial"/>
          <w:color w:val="000000" w:themeColor="text1"/>
          <w:sz w:val="22"/>
          <w:szCs w:val="22"/>
        </w:rPr>
        <w:t xml:space="preserve">4  </w:t>
      </w:r>
      <w:r w:rsidRPr="00F45B03">
        <w:rPr>
          <w:rFonts w:ascii="Arial" w:hAnsi="Arial" w:cs="Arial"/>
          <w:color w:val="000000" w:themeColor="text1"/>
          <w:sz w:val="22"/>
          <w:szCs w:val="22"/>
        </w:rPr>
        <w:t>Research</w:t>
      </w:r>
      <w:proofErr w:type="gramEnd"/>
      <w:r w:rsidRPr="00F45B03">
        <w:rPr>
          <w:rFonts w:ascii="Arial" w:hAnsi="Arial" w:cs="Arial"/>
          <w:color w:val="000000" w:themeColor="text1"/>
          <w:sz w:val="22"/>
          <w:szCs w:val="22"/>
        </w:rPr>
        <w:t xml:space="preserve"> Design</w:t>
      </w:r>
    </w:p>
    <w:p w14:paraId="052D1A03"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Research design refers to the overall structure that guides how a study is conducted, ensuring that the chosen methods align with the research question and objectives (Saunders, Lewis &amp; Thornhill, 2023). This dissertation adopts a </w:t>
      </w:r>
      <w:r w:rsidRPr="00F45B03">
        <w:rPr>
          <w:rStyle w:val="Strong"/>
          <w:rFonts w:ascii="Arial" w:hAnsi="Arial" w:cs="Arial"/>
          <w:b w:val="0"/>
          <w:bCs w:val="0"/>
          <w:color w:val="000000" w:themeColor="text1"/>
          <w:sz w:val="22"/>
          <w:szCs w:val="22"/>
        </w:rPr>
        <w:t>systematic literature review (SLR)</w:t>
      </w:r>
      <w:r w:rsidRPr="00F45B03">
        <w:rPr>
          <w:rFonts w:ascii="Arial" w:hAnsi="Arial" w:cs="Arial"/>
          <w:color w:val="000000" w:themeColor="text1"/>
          <w:sz w:val="22"/>
          <w:szCs w:val="22"/>
        </w:rPr>
        <w:t xml:space="preserve"> design supported by </w:t>
      </w:r>
      <w:r w:rsidRPr="00F45B03">
        <w:rPr>
          <w:rFonts w:ascii="Arial" w:hAnsi="Arial" w:cs="Arial"/>
          <w:b/>
          <w:bCs/>
          <w:color w:val="000000" w:themeColor="text1"/>
          <w:sz w:val="22"/>
          <w:szCs w:val="22"/>
        </w:rPr>
        <w:t xml:space="preserve">a </w:t>
      </w:r>
      <w:r w:rsidRPr="00F45B03">
        <w:rPr>
          <w:rStyle w:val="Strong"/>
          <w:rFonts w:ascii="Arial" w:hAnsi="Arial" w:cs="Arial"/>
          <w:b w:val="0"/>
          <w:bCs w:val="0"/>
          <w:color w:val="000000" w:themeColor="text1"/>
          <w:sz w:val="22"/>
          <w:szCs w:val="22"/>
        </w:rPr>
        <w:t>narrative synthesis</w:t>
      </w:r>
      <w:r w:rsidRPr="00F45B03">
        <w:rPr>
          <w:rFonts w:ascii="Arial" w:hAnsi="Arial" w:cs="Arial"/>
          <w:b/>
          <w:bCs/>
          <w:color w:val="000000" w:themeColor="text1"/>
          <w:sz w:val="22"/>
          <w:szCs w:val="22"/>
        </w:rPr>
        <w:t>.</w:t>
      </w:r>
      <w:r w:rsidRPr="00F45B03">
        <w:rPr>
          <w:rFonts w:ascii="Arial" w:hAnsi="Arial" w:cs="Arial"/>
          <w:color w:val="000000" w:themeColor="text1"/>
          <w:sz w:val="22"/>
          <w:szCs w:val="22"/>
        </w:rPr>
        <w:t xml:space="preserve"> This design is appropriate </w:t>
      </w:r>
      <w:r w:rsidRPr="00F45B03">
        <w:rPr>
          <w:rFonts w:ascii="Arial" w:hAnsi="Arial" w:cs="Arial"/>
          <w:color w:val="000000" w:themeColor="text1"/>
          <w:sz w:val="22"/>
          <w:szCs w:val="22"/>
        </w:rPr>
        <w:lastRenderedPageBreak/>
        <w:t>because the study aims to evaluate existing evidence on the effectiveness of cardiac rehabilitation (CR) programmes in reducing hospital readmissions among adults aged 55 years and over in England, while also exploring how socioeconomic and ethnic inequalities influence participation and outcomes.</w:t>
      </w:r>
    </w:p>
    <w:p w14:paraId="2E4B8C34"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A systematic literature review is particularly suitable because extensive research already exists on CR, cardiovascular disease management, and healthcare inequalities. Conducting primary research on hospital readmissions would require large sample sizes, long follow</w:t>
      </w:r>
      <w:r w:rsidRPr="00F45B03">
        <w:rPr>
          <w:rFonts w:ascii="Arial" w:hAnsi="Arial" w:cs="Arial"/>
          <w:color w:val="000000" w:themeColor="text1"/>
          <w:sz w:val="22"/>
          <w:szCs w:val="22"/>
        </w:rPr>
        <w:noBreakHyphen/>
        <w:t>up periods, and ethical approval, which are beyond the scope of this dissertation. Therefore, synthesising existing evidence provides a practical and academically robust method for addressing the research question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&amp; Munn, 2020).</w:t>
      </w:r>
    </w:p>
    <w:p w14:paraId="234E79B0"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systematic review design offers several strengths. First, it allows the integration of findings from multiple studies conducted across different healthcare settings, populations, and geographical regions. This enhances the generalisability of the conclusions and provides a more comprehensive understanding of CR effectiveness (Page et al., 2021). Second, the systematic nature of the review reduces bias by using predefined search strategies, eligibility criteria, and quality appraisal tools. This ensures transparency and replicability, which are essential for academic rigour (Booth, Sutton &amp; Papaioannou, 2021).</w:t>
      </w:r>
    </w:p>
    <w:p w14:paraId="149F23C4" w14:textId="0399980B"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design also incorporates a</w:t>
      </w:r>
      <w:r w:rsidRPr="00F45B03">
        <w:rPr>
          <w:rFonts w:ascii="Arial" w:hAnsi="Arial" w:cs="Arial"/>
          <w:b/>
          <w:bCs/>
          <w:color w:val="000000" w:themeColor="text1"/>
          <w:sz w:val="22"/>
          <w:szCs w:val="22"/>
        </w:rPr>
        <w:t xml:space="preserve"> </w:t>
      </w:r>
      <w:r w:rsidRPr="00F45B03">
        <w:rPr>
          <w:rStyle w:val="Strong"/>
          <w:rFonts w:ascii="Arial" w:hAnsi="Arial" w:cs="Arial"/>
          <w:b w:val="0"/>
          <w:bCs w:val="0"/>
          <w:color w:val="000000" w:themeColor="text1"/>
          <w:sz w:val="22"/>
          <w:szCs w:val="22"/>
        </w:rPr>
        <w:t>narrative synthesis</w:t>
      </w:r>
      <w:r w:rsidRPr="00F45B03">
        <w:rPr>
          <w:rFonts w:ascii="Arial" w:hAnsi="Arial" w:cs="Arial"/>
          <w:color w:val="000000" w:themeColor="text1"/>
          <w:sz w:val="22"/>
          <w:szCs w:val="22"/>
        </w:rPr>
        <w:t xml:space="preserve"> approach. Narrative synthesis is appropriate when studies are heterogeneous in terms of design, intervention type, population characteristics, and outcome measures (Popay et al., 2006). In this dissertation, the included studies are expected to vary widely—for example, some may examine supervised hospital</w:t>
      </w:r>
      <w:r w:rsidRPr="00F45B03">
        <w:rPr>
          <w:rFonts w:ascii="Arial" w:hAnsi="Arial" w:cs="Arial"/>
          <w:color w:val="000000" w:themeColor="text1"/>
          <w:sz w:val="22"/>
          <w:szCs w:val="22"/>
        </w:rPr>
        <w:noBreakHyphen/>
        <w:t>based CR, while others evaluate home</w:t>
      </w:r>
      <w:r w:rsidRPr="00F45B03">
        <w:rPr>
          <w:rFonts w:ascii="Arial" w:hAnsi="Arial" w:cs="Arial"/>
          <w:color w:val="000000" w:themeColor="text1"/>
          <w:sz w:val="22"/>
          <w:szCs w:val="22"/>
        </w:rPr>
        <w:noBreakHyphen/>
        <w:t>based or hybrid models. Similarly, hospital readmission outcomes may be measured at different time points (e.g., 30</w:t>
      </w:r>
      <w:r w:rsidRPr="00F45B03">
        <w:rPr>
          <w:rFonts w:ascii="Arial" w:hAnsi="Arial" w:cs="Arial"/>
          <w:color w:val="000000" w:themeColor="text1"/>
          <w:sz w:val="22"/>
          <w:szCs w:val="22"/>
        </w:rPr>
        <w:noBreakHyphen/>
        <w:t>day, 90</w:t>
      </w:r>
      <w:r w:rsidRPr="00F45B03">
        <w:rPr>
          <w:rFonts w:ascii="Arial" w:hAnsi="Arial" w:cs="Arial"/>
          <w:color w:val="000000" w:themeColor="text1"/>
          <w:sz w:val="22"/>
          <w:szCs w:val="22"/>
        </w:rPr>
        <w:noBreakHyphen/>
        <w:t>day, 12</w:t>
      </w:r>
      <w:r w:rsidRPr="00F45B03">
        <w:rPr>
          <w:rFonts w:ascii="Arial" w:hAnsi="Arial" w:cs="Arial"/>
          <w:color w:val="000000" w:themeColor="text1"/>
          <w:sz w:val="22"/>
          <w:szCs w:val="22"/>
        </w:rPr>
        <w:noBreakHyphen/>
        <w:t>month readmissions). Because of this heterogeneity, a statistical meta</w:t>
      </w:r>
      <w:r w:rsidRPr="00F45B03">
        <w:rPr>
          <w:rFonts w:ascii="Arial" w:hAnsi="Arial" w:cs="Arial"/>
          <w:color w:val="000000" w:themeColor="text1"/>
          <w:sz w:val="22"/>
          <w:szCs w:val="22"/>
        </w:rPr>
        <w:noBreakHyphen/>
        <w:t xml:space="preserve">analysis is not feasible. Narrative synthesis allows the researcher to identify patterns, themes, and relationships across studies while considering contextual factors that influence CR participation and </w:t>
      </w:r>
      <w:proofErr w:type="gramStart"/>
      <w:r w:rsidRPr="00F45B03">
        <w:rPr>
          <w:rFonts w:ascii="Arial" w:hAnsi="Arial" w:cs="Arial"/>
          <w:color w:val="000000" w:themeColor="text1"/>
          <w:sz w:val="22"/>
          <w:szCs w:val="22"/>
        </w:rPr>
        <w:t>outcomes</w:t>
      </w:r>
      <w:r w:rsidR="007339D3" w:rsidRPr="00F45B03">
        <w:rPr>
          <w:rFonts w:ascii="Arial" w:hAnsi="Arial" w:cs="Arial"/>
          <w:color w:val="000000" w:themeColor="text1"/>
          <w:sz w:val="22"/>
          <w:szCs w:val="22"/>
        </w:rPr>
        <w:t>(</w:t>
      </w:r>
      <w:r w:rsidR="007339D3" w:rsidRPr="00F45B03">
        <w:rPr>
          <w:rFonts w:ascii="Arial" w:hAnsi="Arial" w:cs="Arial"/>
          <w:sz w:val="22"/>
          <w:szCs w:val="22"/>
        </w:rPr>
        <w:t xml:space="preserve"> Braun</w:t>
      </w:r>
      <w:proofErr w:type="gramEnd"/>
      <w:r w:rsidR="007339D3" w:rsidRPr="00F45B03">
        <w:rPr>
          <w:rFonts w:ascii="Arial" w:hAnsi="Arial" w:cs="Arial"/>
          <w:sz w:val="22"/>
          <w:szCs w:val="22"/>
        </w:rPr>
        <w:t xml:space="preserve"> and Clarke, 2021)</w:t>
      </w:r>
      <w:r w:rsidRPr="00F45B03">
        <w:rPr>
          <w:rFonts w:ascii="Arial" w:hAnsi="Arial" w:cs="Arial"/>
          <w:color w:val="000000" w:themeColor="text1"/>
          <w:sz w:val="22"/>
          <w:szCs w:val="22"/>
        </w:rPr>
        <w:t>.</w:t>
      </w:r>
    </w:p>
    <w:p w14:paraId="382BCCFA"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research design is guided by the central research question:</w:t>
      </w:r>
    </w:p>
    <w:p w14:paraId="03636432" w14:textId="77777777" w:rsidR="00C40B32" w:rsidRPr="00F45B03" w:rsidRDefault="00C40B32" w:rsidP="00167E86">
      <w:pPr>
        <w:pStyle w:val="NormalWeb"/>
        <w:spacing w:line="360" w:lineRule="auto"/>
        <w:jc w:val="both"/>
        <w:rPr>
          <w:rFonts w:ascii="Arial" w:hAnsi="Arial" w:cs="Arial"/>
          <w:b/>
          <w:bCs/>
          <w:color w:val="000000" w:themeColor="text1"/>
          <w:sz w:val="22"/>
          <w:szCs w:val="22"/>
        </w:rPr>
      </w:pPr>
      <w:r w:rsidRPr="00F45B03">
        <w:rPr>
          <w:rStyle w:val="Strong"/>
          <w:rFonts w:ascii="Arial" w:hAnsi="Arial" w:cs="Arial"/>
          <w:b w:val="0"/>
          <w:bCs w:val="0"/>
          <w:color w:val="000000" w:themeColor="text1"/>
          <w:sz w:val="22"/>
          <w:szCs w:val="22"/>
        </w:rPr>
        <w:lastRenderedPageBreak/>
        <w:t>To what extent does participation in cardiac rehabilitation programmes reduce hospital readmissions among adults aged 55 years and over in England, and how do ethnicity and socioeconomic status influence these outcomes?</w:t>
      </w:r>
    </w:p>
    <w:p w14:paraId="17078FAF"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design also aligns with the study objectives, which include:</w:t>
      </w:r>
    </w:p>
    <w:p w14:paraId="181FE4EC" w14:textId="77777777" w:rsidR="00C40B32" w:rsidRPr="00F45B03" w:rsidRDefault="00C40B32" w:rsidP="00167E86">
      <w:pPr>
        <w:pStyle w:val="NormalWeb"/>
        <w:numPr>
          <w:ilvl w:val="0"/>
          <w:numId w:val="7"/>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assessing the impact of CR on hospital readmission rates</w:t>
      </w:r>
    </w:p>
    <w:p w14:paraId="1A9DFBFE" w14:textId="77777777" w:rsidR="00C40B32" w:rsidRPr="00F45B03" w:rsidRDefault="00C40B32" w:rsidP="00167E86">
      <w:pPr>
        <w:pStyle w:val="NormalWeb"/>
        <w:numPr>
          <w:ilvl w:val="0"/>
          <w:numId w:val="7"/>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examining differences in CR participation across ethnic groups</w:t>
      </w:r>
    </w:p>
    <w:p w14:paraId="39D8F2FA" w14:textId="77777777" w:rsidR="00C40B32" w:rsidRPr="00F45B03" w:rsidRDefault="00C40B32" w:rsidP="00167E86">
      <w:pPr>
        <w:pStyle w:val="NormalWeb"/>
        <w:numPr>
          <w:ilvl w:val="0"/>
          <w:numId w:val="7"/>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evaluating the influence of socioeconomic deprivation</w:t>
      </w:r>
    </w:p>
    <w:p w14:paraId="52EE2108" w14:textId="77777777" w:rsidR="00C40B32" w:rsidRPr="00F45B03" w:rsidRDefault="00C40B32" w:rsidP="00167E86">
      <w:pPr>
        <w:pStyle w:val="NormalWeb"/>
        <w:numPr>
          <w:ilvl w:val="0"/>
          <w:numId w:val="7"/>
        </w:numPr>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identifying barriers and facilitators affecting CR engagement</w:t>
      </w:r>
    </w:p>
    <w:p w14:paraId="1476234C" w14:textId="71D5E015"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Although systematic reviews offer significant advantages, they also have limitations. The findings depend on the quality and availability of existing studies, and publication bias may influence the evidence base because studies with significant results are more likely to be published (</w:t>
      </w:r>
      <w:r w:rsidR="0097791B" w:rsidRPr="00F45B03">
        <w:rPr>
          <w:rFonts w:ascii="Arial" w:hAnsi="Arial" w:cs="Arial"/>
          <w:sz w:val="22"/>
          <w:szCs w:val="22"/>
        </w:rPr>
        <w:t>Welch et al., 2017</w:t>
      </w:r>
      <w:r w:rsidRPr="00F45B03">
        <w:rPr>
          <w:rFonts w:ascii="Arial" w:hAnsi="Arial" w:cs="Arial"/>
          <w:color w:val="000000" w:themeColor="text1"/>
          <w:sz w:val="22"/>
          <w:szCs w:val="22"/>
        </w:rPr>
        <w:t>). Additionally, variations in study methodologies and outcome measures may limit direct comparisons across studies. Despite these limitations, the systematic review design supported by narrative synthesis provides a robust and appropriate framework for investigating CR effectiveness and healthcare inequalities among older adults in England.</w:t>
      </w:r>
    </w:p>
    <w:p w14:paraId="507CE8A4" w14:textId="77777777" w:rsidR="00C40B32" w:rsidRPr="00F45B03" w:rsidRDefault="00C40B32" w:rsidP="00167E86">
      <w:pPr>
        <w:pStyle w:val="NormalWeb"/>
        <w:spacing w:line="360" w:lineRule="auto"/>
        <w:jc w:val="both"/>
        <w:rPr>
          <w:rFonts w:ascii="Arial" w:hAnsi="Arial" w:cs="Arial"/>
          <w:color w:val="000000" w:themeColor="text1"/>
          <w:sz w:val="22"/>
          <w:szCs w:val="22"/>
        </w:rPr>
      </w:pPr>
    </w:p>
    <w:p w14:paraId="503F8C3B" w14:textId="730F59A8" w:rsidR="00C40B32" w:rsidRPr="00F45B03" w:rsidRDefault="00C40B32" w:rsidP="00167E86">
      <w:pPr>
        <w:pStyle w:val="Heading3"/>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3.</w:t>
      </w:r>
      <w:r w:rsidR="00AA4B24" w:rsidRPr="00F45B03">
        <w:rPr>
          <w:rFonts w:ascii="Arial" w:hAnsi="Arial" w:cs="Arial"/>
          <w:color w:val="000000" w:themeColor="text1"/>
          <w:sz w:val="22"/>
          <w:szCs w:val="22"/>
        </w:rPr>
        <w:t>5</w:t>
      </w:r>
      <w:r w:rsidRPr="00F45B03">
        <w:rPr>
          <w:rFonts w:ascii="Arial" w:hAnsi="Arial" w:cs="Arial"/>
          <w:color w:val="000000" w:themeColor="text1"/>
          <w:sz w:val="22"/>
          <w:szCs w:val="22"/>
        </w:rPr>
        <w:t>Search Strategy</w:t>
      </w:r>
    </w:p>
    <w:p w14:paraId="30F38DF3"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A structured and systematic search strategy was used to identify relevant literature for this study. The search process was designed to ensure transparency, consistency, and comprehensiveness in identifying evidence relating to cardiac rehabilitation (CR), hospital readmissions, older adults, ethnicity, and socioeconomic inequalities. A well-defined search strategy is essential in systematic literature reviews because it minimises selection bias and ensures that all relevant studies have an opportunity to be identified and assessed (Booth, Sutton and Papaioannou, 2021).</w:t>
      </w:r>
    </w:p>
    <w:p w14:paraId="0A9966F1" w14:textId="0495FF86" w:rsidR="00C40B32" w:rsidRPr="00F45B03" w:rsidRDefault="00C40B32" w:rsidP="00167E86">
      <w:pPr>
        <w:pStyle w:val="NormalWeb"/>
        <w:spacing w:line="360" w:lineRule="auto"/>
        <w:jc w:val="both"/>
        <w:rPr>
          <w:rFonts w:ascii="Arial" w:hAnsi="Arial" w:cs="Arial"/>
          <w:sz w:val="22"/>
          <w:szCs w:val="22"/>
        </w:rPr>
      </w:pPr>
      <w:r w:rsidRPr="00F45B03">
        <w:rPr>
          <w:rFonts w:ascii="Arial" w:hAnsi="Arial" w:cs="Arial"/>
          <w:color w:val="000000" w:themeColor="text1"/>
          <w:sz w:val="22"/>
          <w:szCs w:val="22"/>
        </w:rPr>
        <w:t>The literature search was conducted using several academic databases and healthcare information sources</w:t>
      </w:r>
      <w:r w:rsidR="00E05282" w:rsidRPr="00F45B03">
        <w:rPr>
          <w:rStyle w:val="Strong"/>
          <w:rFonts w:ascii="Arial" w:hAnsi="Arial" w:cs="Arial"/>
          <w:sz w:val="22"/>
          <w:szCs w:val="22"/>
        </w:rPr>
        <w:t xml:space="preserve"> (</w:t>
      </w:r>
      <w:r w:rsidR="00E05282" w:rsidRPr="00F45B03">
        <w:rPr>
          <w:rStyle w:val="Strong"/>
          <w:rFonts w:ascii="Arial" w:hAnsi="Arial" w:cs="Arial"/>
          <w:b w:val="0"/>
          <w:bCs w:val="0"/>
          <w:sz w:val="22"/>
          <w:szCs w:val="22"/>
        </w:rPr>
        <w:t>Peters et al., 2020)</w:t>
      </w:r>
      <w:r w:rsidRPr="00F45B03">
        <w:rPr>
          <w:rFonts w:ascii="Arial" w:hAnsi="Arial" w:cs="Arial"/>
          <w:color w:val="000000" w:themeColor="text1"/>
          <w:sz w:val="22"/>
          <w:szCs w:val="22"/>
        </w:rPr>
        <w:t xml:space="preserve">. These databases were selected because they provide access to peer-reviewed journal articles, clinical studies, epidemiological research, healthcare policy documents, and public health reports relevant to cardiovascular disease and rehabilitation. Using multiple databases </w:t>
      </w:r>
      <w:r w:rsidRPr="00F45B03">
        <w:rPr>
          <w:rFonts w:ascii="Arial" w:hAnsi="Arial" w:cs="Arial"/>
          <w:color w:val="000000" w:themeColor="text1"/>
          <w:sz w:val="22"/>
          <w:szCs w:val="22"/>
        </w:rPr>
        <w:lastRenderedPageBreak/>
        <w:t>increased the likelihood of identifying comprehensive and high-quality evidence relating to the research question.</w:t>
      </w:r>
    </w:p>
    <w:p w14:paraId="3A0EDFDA" w14:textId="77777777" w:rsidR="00C40B32" w:rsidRPr="00F45B03" w:rsidRDefault="00C40B32" w:rsidP="00167E86">
      <w:pPr>
        <w:pStyle w:val="Heading4"/>
        <w:spacing w:line="360" w:lineRule="auto"/>
        <w:jc w:val="both"/>
        <w:rPr>
          <w:rFonts w:ascii="Arial" w:hAnsi="Arial" w:cs="Arial"/>
          <w:color w:val="000000" w:themeColor="text1"/>
        </w:rPr>
      </w:pPr>
      <w:r w:rsidRPr="00F45B03">
        <w:rPr>
          <w:rFonts w:ascii="Arial" w:hAnsi="Arial" w:cs="Arial"/>
          <w:color w:val="000000" w:themeColor="text1"/>
        </w:rPr>
        <w:t>Table 3.1: Databases Used for Literature Search</w:t>
      </w:r>
    </w:p>
    <w:tbl>
      <w:tblPr>
        <w:tblW w:w="0" w:type="auto"/>
        <w:tblCellSpacing w:w="15" w:type="dxa"/>
        <w:tblInd w:w="-284" w:type="dxa"/>
        <w:tblCellMar>
          <w:top w:w="15" w:type="dxa"/>
          <w:left w:w="15" w:type="dxa"/>
          <w:bottom w:w="15" w:type="dxa"/>
          <w:right w:w="15" w:type="dxa"/>
        </w:tblCellMar>
        <w:tblLook w:val="04A0" w:firstRow="1" w:lastRow="0" w:firstColumn="1" w:lastColumn="0" w:noHBand="0" w:noVBand="1"/>
      </w:tblPr>
      <w:tblGrid>
        <w:gridCol w:w="2254"/>
        <w:gridCol w:w="6342"/>
      </w:tblGrid>
      <w:tr w:rsidR="00832F99" w:rsidRPr="00F45B03" w14:paraId="406237E6" w14:textId="77777777" w:rsidTr="00577C5C">
        <w:trPr>
          <w:tblHeader/>
          <w:tblCellSpacing w:w="15" w:type="dxa"/>
        </w:trPr>
        <w:tc>
          <w:tcPr>
            <w:tcW w:w="2209" w:type="dxa"/>
            <w:vAlign w:val="center"/>
            <w:hideMark/>
          </w:tcPr>
          <w:p w14:paraId="31574E5A"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Database / Source</w:t>
            </w:r>
          </w:p>
        </w:tc>
        <w:tc>
          <w:tcPr>
            <w:tcW w:w="0" w:type="auto"/>
            <w:vAlign w:val="center"/>
            <w:hideMark/>
          </w:tcPr>
          <w:p w14:paraId="7D65AB1B"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Purpose</w:t>
            </w:r>
          </w:p>
        </w:tc>
      </w:tr>
      <w:tr w:rsidR="00832F99" w:rsidRPr="00F45B03" w14:paraId="06B7B76E" w14:textId="77777777" w:rsidTr="00577C5C">
        <w:trPr>
          <w:tblCellSpacing w:w="15" w:type="dxa"/>
        </w:trPr>
        <w:tc>
          <w:tcPr>
            <w:tcW w:w="2209" w:type="dxa"/>
            <w:vAlign w:val="center"/>
            <w:hideMark/>
          </w:tcPr>
          <w:p w14:paraId="13074D98"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MEDLINE (via PubMed)</w:t>
            </w:r>
          </w:p>
        </w:tc>
        <w:tc>
          <w:tcPr>
            <w:tcW w:w="0" w:type="auto"/>
            <w:vAlign w:val="center"/>
            <w:hideMark/>
          </w:tcPr>
          <w:p w14:paraId="1A388E4C" w14:textId="77777777" w:rsidR="005F0AE2" w:rsidRPr="00F45B03" w:rsidRDefault="005F0AE2" w:rsidP="00167E86">
            <w:pPr>
              <w:spacing w:after="0"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access biomedical, clinical, and cardiovascular research articles.</w:t>
            </w:r>
          </w:p>
        </w:tc>
      </w:tr>
      <w:tr w:rsidR="00832F99" w:rsidRPr="00F45B03" w14:paraId="6F420902" w14:textId="77777777" w:rsidTr="00577C5C">
        <w:trPr>
          <w:tblCellSpacing w:w="15" w:type="dxa"/>
        </w:trPr>
        <w:tc>
          <w:tcPr>
            <w:tcW w:w="2209" w:type="dxa"/>
            <w:vAlign w:val="center"/>
            <w:hideMark/>
          </w:tcPr>
          <w:p w14:paraId="5104A4D1"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Google Scholar</w:t>
            </w:r>
          </w:p>
        </w:tc>
        <w:tc>
          <w:tcPr>
            <w:tcW w:w="0" w:type="auto"/>
            <w:vAlign w:val="center"/>
            <w:hideMark/>
          </w:tcPr>
          <w:p w14:paraId="3A33C60F" w14:textId="77777777" w:rsidR="005F0AE2" w:rsidRPr="00F45B03" w:rsidRDefault="005F0AE2" w:rsidP="00167E86">
            <w:pPr>
              <w:spacing w:after="0"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identify broader academic literature, grey literature, and non</w:t>
            </w:r>
            <w:r w:rsidRPr="00F45B03">
              <w:rPr>
                <w:rFonts w:ascii="Arial" w:eastAsia="Times New Roman" w:hAnsi="Arial" w:cs="Arial"/>
                <w:color w:val="000000" w:themeColor="text1"/>
                <w:lang w:eastAsia="en-IN"/>
              </w:rPr>
              <w:noBreakHyphen/>
              <w:t>indexed studies.</w:t>
            </w:r>
          </w:p>
        </w:tc>
      </w:tr>
      <w:tr w:rsidR="00832F99" w:rsidRPr="00F45B03" w14:paraId="5E054494" w14:textId="77777777" w:rsidTr="00577C5C">
        <w:trPr>
          <w:tblCellSpacing w:w="15" w:type="dxa"/>
        </w:trPr>
        <w:tc>
          <w:tcPr>
            <w:tcW w:w="2209" w:type="dxa"/>
            <w:vAlign w:val="center"/>
            <w:hideMark/>
          </w:tcPr>
          <w:p w14:paraId="53609094"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CINAHL</w:t>
            </w:r>
          </w:p>
        </w:tc>
        <w:tc>
          <w:tcPr>
            <w:tcW w:w="0" w:type="auto"/>
            <w:vAlign w:val="center"/>
            <w:hideMark/>
          </w:tcPr>
          <w:p w14:paraId="3A976B89" w14:textId="77777777" w:rsidR="005F0AE2" w:rsidRPr="00F45B03" w:rsidRDefault="005F0AE2" w:rsidP="00167E86">
            <w:pPr>
              <w:spacing w:after="0"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access nursing, rehabilitation, and allied health research.</w:t>
            </w:r>
          </w:p>
        </w:tc>
      </w:tr>
      <w:tr w:rsidR="00832F99" w:rsidRPr="00F45B03" w14:paraId="0621F966" w14:textId="77777777" w:rsidTr="00577C5C">
        <w:trPr>
          <w:tblCellSpacing w:w="15" w:type="dxa"/>
        </w:trPr>
        <w:tc>
          <w:tcPr>
            <w:tcW w:w="2209" w:type="dxa"/>
            <w:vAlign w:val="center"/>
            <w:hideMark/>
          </w:tcPr>
          <w:p w14:paraId="0B24CB7E"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Cochrane Library</w:t>
            </w:r>
          </w:p>
        </w:tc>
        <w:tc>
          <w:tcPr>
            <w:tcW w:w="0" w:type="auto"/>
            <w:vAlign w:val="center"/>
            <w:hideMark/>
          </w:tcPr>
          <w:p w14:paraId="1D9F5F91" w14:textId="77777777" w:rsidR="005F0AE2" w:rsidRPr="00F45B03" w:rsidRDefault="005F0AE2" w:rsidP="00167E86">
            <w:pPr>
              <w:spacing w:after="0"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review systematic reviews, RCTs, and evidence</w:t>
            </w:r>
            <w:r w:rsidRPr="00F45B03">
              <w:rPr>
                <w:rFonts w:ascii="Arial" w:eastAsia="Times New Roman" w:hAnsi="Arial" w:cs="Arial"/>
                <w:color w:val="000000" w:themeColor="text1"/>
                <w:lang w:eastAsia="en-IN"/>
              </w:rPr>
              <w:noBreakHyphen/>
              <w:t>based interventions.</w:t>
            </w:r>
          </w:p>
        </w:tc>
      </w:tr>
      <w:tr w:rsidR="00832F99" w:rsidRPr="00F45B03" w14:paraId="1943B5EB" w14:textId="77777777" w:rsidTr="00577C5C">
        <w:trPr>
          <w:tblCellSpacing w:w="15" w:type="dxa"/>
        </w:trPr>
        <w:tc>
          <w:tcPr>
            <w:tcW w:w="2209" w:type="dxa"/>
            <w:vAlign w:val="center"/>
            <w:hideMark/>
          </w:tcPr>
          <w:p w14:paraId="038D6B22"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Web of Science</w:t>
            </w:r>
          </w:p>
        </w:tc>
        <w:tc>
          <w:tcPr>
            <w:tcW w:w="0" w:type="auto"/>
            <w:vAlign w:val="center"/>
            <w:hideMark/>
          </w:tcPr>
          <w:p w14:paraId="635399E4" w14:textId="77777777" w:rsidR="005F0AE2" w:rsidRPr="00F45B03" w:rsidRDefault="005F0AE2" w:rsidP="00167E86">
            <w:pPr>
              <w:spacing w:after="0"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access high</w:t>
            </w:r>
            <w:r w:rsidRPr="00F45B03">
              <w:rPr>
                <w:rFonts w:ascii="Arial" w:eastAsia="Times New Roman" w:hAnsi="Arial" w:cs="Arial"/>
                <w:color w:val="000000" w:themeColor="text1"/>
                <w:lang w:eastAsia="en-IN"/>
              </w:rPr>
              <w:noBreakHyphen/>
              <w:t>quality scientific literature and citation</w:t>
            </w:r>
            <w:r w:rsidRPr="00F45B03">
              <w:rPr>
                <w:rFonts w:ascii="Arial" w:eastAsia="Times New Roman" w:hAnsi="Arial" w:cs="Arial"/>
                <w:color w:val="000000" w:themeColor="text1"/>
                <w:lang w:eastAsia="en-IN"/>
              </w:rPr>
              <w:noBreakHyphen/>
              <w:t>indexed research.</w:t>
            </w:r>
          </w:p>
        </w:tc>
      </w:tr>
      <w:tr w:rsidR="00832F99" w:rsidRPr="00F45B03" w14:paraId="2BDFF062" w14:textId="77777777" w:rsidTr="00577C5C">
        <w:trPr>
          <w:tblCellSpacing w:w="15" w:type="dxa"/>
        </w:trPr>
        <w:tc>
          <w:tcPr>
            <w:tcW w:w="2209" w:type="dxa"/>
            <w:vAlign w:val="center"/>
            <w:hideMark/>
          </w:tcPr>
          <w:p w14:paraId="55A6B609"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NHS England Reports</w:t>
            </w:r>
          </w:p>
        </w:tc>
        <w:tc>
          <w:tcPr>
            <w:tcW w:w="0" w:type="auto"/>
            <w:vAlign w:val="center"/>
            <w:hideMark/>
          </w:tcPr>
          <w:p w14:paraId="77A263EA" w14:textId="77777777" w:rsidR="005F0AE2" w:rsidRPr="00F45B03" w:rsidRDefault="005F0AE2" w:rsidP="00167E86">
            <w:pPr>
              <w:spacing w:after="0"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obtain UK</w:t>
            </w:r>
            <w:r w:rsidRPr="00F45B03">
              <w:rPr>
                <w:rFonts w:ascii="Arial" w:eastAsia="Times New Roman" w:hAnsi="Arial" w:cs="Arial"/>
                <w:color w:val="000000" w:themeColor="text1"/>
                <w:lang w:eastAsia="en-IN"/>
              </w:rPr>
              <w:noBreakHyphen/>
              <w:t>specific healthcare statistics, service evaluations, and policy documents.</w:t>
            </w:r>
          </w:p>
        </w:tc>
      </w:tr>
      <w:tr w:rsidR="00832F99" w:rsidRPr="00F45B03" w14:paraId="59F45E11" w14:textId="77777777" w:rsidTr="00577C5C">
        <w:trPr>
          <w:tblCellSpacing w:w="15" w:type="dxa"/>
        </w:trPr>
        <w:tc>
          <w:tcPr>
            <w:tcW w:w="2209" w:type="dxa"/>
            <w:vAlign w:val="center"/>
            <w:hideMark/>
          </w:tcPr>
          <w:p w14:paraId="4915BA7D"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NICE Guidelines</w:t>
            </w:r>
          </w:p>
        </w:tc>
        <w:tc>
          <w:tcPr>
            <w:tcW w:w="0" w:type="auto"/>
            <w:vAlign w:val="center"/>
            <w:hideMark/>
          </w:tcPr>
          <w:p w14:paraId="61A033E9" w14:textId="77777777" w:rsidR="005F0AE2" w:rsidRPr="00F45B03" w:rsidRDefault="005F0AE2" w:rsidP="00167E86">
            <w:pPr>
              <w:spacing w:after="0"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review clinical guidance and national recommendations relating to cardiac rehabilitation.</w:t>
            </w:r>
          </w:p>
        </w:tc>
      </w:tr>
      <w:tr w:rsidR="00832F99" w:rsidRPr="00F45B03" w14:paraId="2C0D474F" w14:textId="77777777" w:rsidTr="00577C5C">
        <w:trPr>
          <w:tblCellSpacing w:w="15" w:type="dxa"/>
        </w:trPr>
        <w:tc>
          <w:tcPr>
            <w:tcW w:w="2209" w:type="dxa"/>
            <w:vAlign w:val="center"/>
            <w:hideMark/>
          </w:tcPr>
          <w:p w14:paraId="0EC985A6" w14:textId="77777777" w:rsidR="005F0AE2" w:rsidRPr="00F45B03" w:rsidRDefault="005F0AE2" w:rsidP="00167E86">
            <w:pPr>
              <w:spacing w:after="0" w:line="360" w:lineRule="auto"/>
              <w:jc w:val="both"/>
              <w:rPr>
                <w:rFonts w:ascii="Arial" w:eastAsia="Times New Roman" w:hAnsi="Arial" w:cs="Arial"/>
                <w:b/>
                <w:bCs/>
                <w:color w:val="000000" w:themeColor="text1"/>
                <w:lang w:eastAsia="en-IN"/>
              </w:rPr>
            </w:pPr>
            <w:r w:rsidRPr="00F45B03">
              <w:rPr>
                <w:rFonts w:ascii="Arial" w:eastAsia="Times New Roman" w:hAnsi="Arial" w:cs="Arial"/>
                <w:b/>
                <w:bCs/>
                <w:color w:val="000000" w:themeColor="text1"/>
                <w:lang w:eastAsia="en-IN"/>
              </w:rPr>
              <w:t>WHO Reports</w:t>
            </w:r>
          </w:p>
        </w:tc>
        <w:tc>
          <w:tcPr>
            <w:tcW w:w="0" w:type="auto"/>
            <w:vAlign w:val="center"/>
            <w:hideMark/>
          </w:tcPr>
          <w:p w14:paraId="6418F21E" w14:textId="77777777" w:rsidR="005F0AE2" w:rsidRPr="00F45B03" w:rsidRDefault="005F0AE2" w:rsidP="00167E86">
            <w:pPr>
              <w:spacing w:after="0" w:line="360" w:lineRule="auto"/>
              <w:jc w:val="both"/>
              <w:rPr>
                <w:rFonts w:ascii="Arial" w:eastAsia="Times New Roman" w:hAnsi="Arial" w:cs="Arial"/>
                <w:color w:val="000000" w:themeColor="text1"/>
                <w:lang w:eastAsia="en-IN"/>
              </w:rPr>
            </w:pPr>
            <w:r w:rsidRPr="00F45B03">
              <w:rPr>
                <w:rFonts w:ascii="Arial" w:eastAsia="Times New Roman" w:hAnsi="Arial" w:cs="Arial"/>
                <w:color w:val="000000" w:themeColor="text1"/>
                <w:lang w:eastAsia="en-IN"/>
              </w:rPr>
              <w:t>To access international reports on cardiovascular disease, epidemiology, and global rehabilitation strategies.</w:t>
            </w:r>
          </w:p>
        </w:tc>
      </w:tr>
    </w:tbl>
    <w:p w14:paraId="413C268C"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Keywords and search terms were developed based on the research aim, objectives, and research question. The search terms were derived from key concepts relating to cardiac rehabilitation, hospital readmissions, older adults, ethnicity, and socioeconomic inequalities. Boolean operators such as </w:t>
      </w:r>
      <w:r w:rsidRPr="00F45B03">
        <w:rPr>
          <w:rStyle w:val="Strong"/>
          <w:rFonts w:ascii="Arial" w:eastAsiaTheme="majorEastAsia" w:hAnsi="Arial" w:cs="Arial"/>
          <w:color w:val="000000" w:themeColor="text1"/>
          <w:sz w:val="22"/>
          <w:szCs w:val="22"/>
        </w:rPr>
        <w:t>AND</w:t>
      </w:r>
      <w:r w:rsidRPr="00F45B03">
        <w:rPr>
          <w:rFonts w:ascii="Arial" w:hAnsi="Arial" w:cs="Arial"/>
          <w:color w:val="000000" w:themeColor="text1"/>
          <w:sz w:val="22"/>
          <w:szCs w:val="22"/>
        </w:rPr>
        <w:t xml:space="preserve">, </w:t>
      </w:r>
      <w:r w:rsidRPr="00F45B03">
        <w:rPr>
          <w:rStyle w:val="Strong"/>
          <w:rFonts w:ascii="Arial" w:eastAsiaTheme="majorEastAsia" w:hAnsi="Arial" w:cs="Arial"/>
          <w:color w:val="000000" w:themeColor="text1"/>
          <w:sz w:val="22"/>
          <w:szCs w:val="22"/>
        </w:rPr>
        <w:t>OR</w:t>
      </w:r>
      <w:r w:rsidRPr="00F45B03">
        <w:rPr>
          <w:rFonts w:ascii="Arial" w:hAnsi="Arial" w:cs="Arial"/>
          <w:color w:val="000000" w:themeColor="text1"/>
          <w:sz w:val="22"/>
          <w:szCs w:val="22"/>
        </w:rPr>
        <w:t xml:space="preserve">, and </w:t>
      </w:r>
      <w:r w:rsidRPr="00F45B03">
        <w:rPr>
          <w:rStyle w:val="Strong"/>
          <w:rFonts w:ascii="Arial" w:eastAsiaTheme="majorEastAsia" w:hAnsi="Arial" w:cs="Arial"/>
          <w:color w:val="000000" w:themeColor="text1"/>
          <w:sz w:val="22"/>
          <w:szCs w:val="22"/>
        </w:rPr>
        <w:t>NOT</w:t>
      </w:r>
      <w:r w:rsidRPr="00F45B03">
        <w:rPr>
          <w:rFonts w:ascii="Arial" w:hAnsi="Arial" w:cs="Arial"/>
          <w:color w:val="000000" w:themeColor="text1"/>
          <w:sz w:val="22"/>
          <w:szCs w:val="22"/>
        </w:rPr>
        <w:t xml:space="preserve"> were used to combine keywords and refine search results, thereby improving search sensitivity and specificity (Page et al., 2021).</w:t>
      </w:r>
    </w:p>
    <w:p w14:paraId="3B9FAFA9" w14:textId="77777777" w:rsidR="00C40B32" w:rsidRPr="00F45B03" w:rsidRDefault="00C40B32" w:rsidP="00167E86">
      <w:pPr>
        <w:pStyle w:val="Heading4"/>
        <w:spacing w:line="360" w:lineRule="auto"/>
        <w:jc w:val="both"/>
        <w:rPr>
          <w:rFonts w:ascii="Arial" w:hAnsi="Arial" w:cs="Arial"/>
          <w:color w:val="000000" w:themeColor="text1"/>
        </w:rPr>
      </w:pPr>
      <w:r w:rsidRPr="00F45B03">
        <w:rPr>
          <w:rFonts w:ascii="Arial" w:hAnsi="Arial" w:cs="Arial"/>
          <w:color w:val="000000" w:themeColor="text1"/>
        </w:rPr>
        <w:t>Table 3.2: Search Keywords and Boolean Operators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27"/>
        <w:gridCol w:w="5585"/>
      </w:tblGrid>
      <w:tr w:rsidR="00832F99" w:rsidRPr="00F45B03" w14:paraId="6F827452" w14:textId="77777777" w:rsidTr="000C7CEB">
        <w:trPr>
          <w:tblHeader/>
          <w:tblCellSpacing w:w="15" w:type="dxa"/>
        </w:trPr>
        <w:tc>
          <w:tcPr>
            <w:tcW w:w="0" w:type="auto"/>
            <w:vAlign w:val="center"/>
            <w:hideMark/>
          </w:tcPr>
          <w:p w14:paraId="7822C853"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Main Keywords</w:t>
            </w:r>
          </w:p>
        </w:tc>
        <w:tc>
          <w:tcPr>
            <w:tcW w:w="0" w:type="auto"/>
            <w:vAlign w:val="center"/>
            <w:hideMark/>
          </w:tcPr>
          <w:p w14:paraId="696C0180"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Boolean Combination Examples</w:t>
            </w:r>
          </w:p>
        </w:tc>
      </w:tr>
      <w:tr w:rsidR="00832F99" w:rsidRPr="00F45B03" w14:paraId="113E96AC" w14:textId="77777777" w:rsidTr="000C7CEB">
        <w:trPr>
          <w:tblCellSpacing w:w="15" w:type="dxa"/>
        </w:trPr>
        <w:tc>
          <w:tcPr>
            <w:tcW w:w="0" w:type="auto"/>
            <w:vAlign w:val="center"/>
            <w:hideMark/>
          </w:tcPr>
          <w:p w14:paraId="7AB57269"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Cardiac rehabilitation</w:t>
            </w:r>
          </w:p>
        </w:tc>
        <w:tc>
          <w:tcPr>
            <w:tcW w:w="0" w:type="auto"/>
            <w:vAlign w:val="center"/>
            <w:hideMark/>
          </w:tcPr>
          <w:p w14:paraId="1DF31378"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cardiac</w:t>
            </w:r>
            <w:proofErr w:type="gramEnd"/>
            <w:r w:rsidRPr="00F45B03">
              <w:rPr>
                <w:rFonts w:ascii="Arial" w:hAnsi="Arial" w:cs="Arial"/>
                <w:color w:val="000000" w:themeColor="text1"/>
              </w:rPr>
              <w:t xml:space="preserve"> rehabilitation AND hospital readmissions”</w:t>
            </w:r>
          </w:p>
        </w:tc>
      </w:tr>
      <w:tr w:rsidR="00832F99" w:rsidRPr="00F45B03" w14:paraId="34DCBB93" w14:textId="77777777" w:rsidTr="000C7CEB">
        <w:trPr>
          <w:tblCellSpacing w:w="15" w:type="dxa"/>
        </w:trPr>
        <w:tc>
          <w:tcPr>
            <w:tcW w:w="0" w:type="auto"/>
            <w:vAlign w:val="center"/>
            <w:hideMark/>
          </w:tcPr>
          <w:p w14:paraId="2927012E"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Hospital readmissions</w:t>
            </w:r>
          </w:p>
        </w:tc>
        <w:tc>
          <w:tcPr>
            <w:tcW w:w="0" w:type="auto"/>
            <w:vAlign w:val="center"/>
            <w:hideMark/>
          </w:tcPr>
          <w:p w14:paraId="5864FA21"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cardiac</w:t>
            </w:r>
            <w:proofErr w:type="gramEnd"/>
            <w:r w:rsidRPr="00F45B03">
              <w:rPr>
                <w:rFonts w:ascii="Arial" w:hAnsi="Arial" w:cs="Arial"/>
                <w:color w:val="000000" w:themeColor="text1"/>
              </w:rPr>
              <w:t xml:space="preserve"> rehabilitation AND readmission reduction”</w:t>
            </w:r>
          </w:p>
        </w:tc>
      </w:tr>
      <w:tr w:rsidR="00832F99" w:rsidRPr="00F45B03" w14:paraId="5CDE513D" w14:textId="77777777" w:rsidTr="000C7CEB">
        <w:trPr>
          <w:tblCellSpacing w:w="15" w:type="dxa"/>
        </w:trPr>
        <w:tc>
          <w:tcPr>
            <w:tcW w:w="0" w:type="auto"/>
            <w:vAlign w:val="center"/>
            <w:hideMark/>
          </w:tcPr>
          <w:p w14:paraId="1314CC59"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Cardiovascular disease</w:t>
            </w:r>
          </w:p>
        </w:tc>
        <w:tc>
          <w:tcPr>
            <w:tcW w:w="0" w:type="auto"/>
            <w:vAlign w:val="center"/>
            <w:hideMark/>
          </w:tcPr>
          <w:p w14:paraId="1FF032EC"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cardiovascular</w:t>
            </w:r>
            <w:proofErr w:type="gramEnd"/>
            <w:r w:rsidRPr="00F45B03">
              <w:rPr>
                <w:rFonts w:ascii="Arial" w:hAnsi="Arial" w:cs="Arial"/>
                <w:color w:val="000000" w:themeColor="text1"/>
              </w:rPr>
              <w:t xml:space="preserve"> disease AND rehabilitation programmes”</w:t>
            </w:r>
          </w:p>
        </w:tc>
      </w:tr>
      <w:tr w:rsidR="00832F99" w:rsidRPr="00F45B03" w14:paraId="63ECAF44" w14:textId="77777777" w:rsidTr="000C7CEB">
        <w:trPr>
          <w:tblCellSpacing w:w="15" w:type="dxa"/>
        </w:trPr>
        <w:tc>
          <w:tcPr>
            <w:tcW w:w="0" w:type="auto"/>
            <w:vAlign w:val="center"/>
            <w:hideMark/>
          </w:tcPr>
          <w:p w14:paraId="57DF7244"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lastRenderedPageBreak/>
              <w:t>Older adults</w:t>
            </w:r>
          </w:p>
        </w:tc>
        <w:tc>
          <w:tcPr>
            <w:tcW w:w="0" w:type="auto"/>
            <w:vAlign w:val="center"/>
            <w:hideMark/>
          </w:tcPr>
          <w:p w14:paraId="322F8421"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cardiac</w:t>
            </w:r>
            <w:proofErr w:type="gramEnd"/>
            <w:r w:rsidRPr="00F45B03">
              <w:rPr>
                <w:rFonts w:ascii="Arial" w:hAnsi="Arial" w:cs="Arial"/>
                <w:color w:val="000000" w:themeColor="text1"/>
              </w:rPr>
              <w:t xml:space="preserve"> rehabilitation AND older adults”</w:t>
            </w:r>
          </w:p>
        </w:tc>
      </w:tr>
      <w:tr w:rsidR="00832F99" w:rsidRPr="00F45B03" w14:paraId="72855DED" w14:textId="77777777" w:rsidTr="000C7CEB">
        <w:trPr>
          <w:tblCellSpacing w:w="15" w:type="dxa"/>
        </w:trPr>
        <w:tc>
          <w:tcPr>
            <w:tcW w:w="0" w:type="auto"/>
            <w:vAlign w:val="center"/>
            <w:hideMark/>
          </w:tcPr>
          <w:p w14:paraId="0A0CB646"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Ethnicity</w:t>
            </w:r>
          </w:p>
        </w:tc>
        <w:tc>
          <w:tcPr>
            <w:tcW w:w="0" w:type="auto"/>
            <w:vAlign w:val="center"/>
            <w:hideMark/>
          </w:tcPr>
          <w:p w14:paraId="24B9447E"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ethnicity</w:t>
            </w:r>
            <w:proofErr w:type="gramEnd"/>
            <w:r w:rsidRPr="00F45B03">
              <w:rPr>
                <w:rFonts w:ascii="Arial" w:hAnsi="Arial" w:cs="Arial"/>
                <w:color w:val="000000" w:themeColor="text1"/>
              </w:rPr>
              <w:t xml:space="preserve"> AND cardiac rehabilitation participation”</w:t>
            </w:r>
          </w:p>
        </w:tc>
      </w:tr>
      <w:tr w:rsidR="00832F99" w:rsidRPr="00F45B03" w14:paraId="220DE18F" w14:textId="77777777" w:rsidTr="000C7CEB">
        <w:trPr>
          <w:tblCellSpacing w:w="15" w:type="dxa"/>
        </w:trPr>
        <w:tc>
          <w:tcPr>
            <w:tcW w:w="0" w:type="auto"/>
            <w:vAlign w:val="center"/>
            <w:hideMark/>
          </w:tcPr>
          <w:p w14:paraId="01714A3B"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Socioeconomic inequalities</w:t>
            </w:r>
          </w:p>
        </w:tc>
        <w:tc>
          <w:tcPr>
            <w:tcW w:w="0" w:type="auto"/>
            <w:vAlign w:val="center"/>
            <w:hideMark/>
          </w:tcPr>
          <w:p w14:paraId="72397A18"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socioeconomic</w:t>
            </w:r>
            <w:proofErr w:type="gramEnd"/>
            <w:r w:rsidRPr="00F45B03">
              <w:rPr>
                <w:rFonts w:ascii="Arial" w:hAnsi="Arial" w:cs="Arial"/>
                <w:color w:val="000000" w:themeColor="text1"/>
              </w:rPr>
              <w:t xml:space="preserve"> deprivation AND cardiac rehabilitation”</w:t>
            </w:r>
          </w:p>
        </w:tc>
      </w:tr>
      <w:tr w:rsidR="00832F99" w:rsidRPr="00F45B03" w14:paraId="4A97BC07" w14:textId="77777777" w:rsidTr="000C7CEB">
        <w:trPr>
          <w:tblCellSpacing w:w="15" w:type="dxa"/>
        </w:trPr>
        <w:tc>
          <w:tcPr>
            <w:tcW w:w="0" w:type="auto"/>
            <w:vAlign w:val="center"/>
            <w:hideMark/>
          </w:tcPr>
          <w:p w14:paraId="0992ED1D"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Health inequalities</w:t>
            </w:r>
          </w:p>
        </w:tc>
        <w:tc>
          <w:tcPr>
            <w:tcW w:w="0" w:type="auto"/>
            <w:vAlign w:val="center"/>
            <w:hideMark/>
          </w:tcPr>
          <w:p w14:paraId="649F33EB"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health</w:t>
            </w:r>
            <w:proofErr w:type="gramEnd"/>
            <w:r w:rsidRPr="00F45B03">
              <w:rPr>
                <w:rFonts w:ascii="Arial" w:hAnsi="Arial" w:cs="Arial"/>
                <w:color w:val="000000" w:themeColor="text1"/>
              </w:rPr>
              <w:t xml:space="preserve"> inequalities AND cardiovascular outcomes”</w:t>
            </w:r>
          </w:p>
        </w:tc>
      </w:tr>
      <w:tr w:rsidR="00832F99" w:rsidRPr="00F45B03" w14:paraId="5F0D2593" w14:textId="77777777" w:rsidTr="000C7CEB">
        <w:trPr>
          <w:tblCellSpacing w:w="15" w:type="dxa"/>
        </w:trPr>
        <w:tc>
          <w:tcPr>
            <w:tcW w:w="0" w:type="auto"/>
            <w:vAlign w:val="center"/>
            <w:hideMark/>
          </w:tcPr>
          <w:p w14:paraId="3A152379"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England</w:t>
            </w:r>
          </w:p>
        </w:tc>
        <w:tc>
          <w:tcPr>
            <w:tcW w:w="0" w:type="auto"/>
            <w:vAlign w:val="center"/>
            <w:hideMark/>
          </w:tcPr>
          <w:p w14:paraId="57FEA502"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cardiac</w:t>
            </w:r>
            <w:proofErr w:type="gramEnd"/>
            <w:r w:rsidRPr="00F45B03">
              <w:rPr>
                <w:rFonts w:ascii="Arial" w:hAnsi="Arial" w:cs="Arial"/>
                <w:color w:val="000000" w:themeColor="text1"/>
              </w:rPr>
              <w:t xml:space="preserve"> rehabilitation AND England”</w:t>
            </w:r>
          </w:p>
        </w:tc>
      </w:tr>
      <w:tr w:rsidR="00832F99" w:rsidRPr="00F45B03" w14:paraId="0D198F5A" w14:textId="77777777" w:rsidTr="000C7CEB">
        <w:trPr>
          <w:tblCellSpacing w:w="15" w:type="dxa"/>
        </w:trPr>
        <w:tc>
          <w:tcPr>
            <w:tcW w:w="0" w:type="auto"/>
            <w:vAlign w:val="center"/>
            <w:hideMark/>
          </w:tcPr>
          <w:p w14:paraId="16676F2B"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Secondary prevention</w:t>
            </w:r>
          </w:p>
        </w:tc>
        <w:tc>
          <w:tcPr>
            <w:tcW w:w="0" w:type="auto"/>
            <w:vAlign w:val="center"/>
            <w:hideMark/>
          </w:tcPr>
          <w:p w14:paraId="19207447"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secondary</w:t>
            </w:r>
            <w:proofErr w:type="gramEnd"/>
            <w:r w:rsidRPr="00F45B03">
              <w:rPr>
                <w:rFonts w:ascii="Arial" w:hAnsi="Arial" w:cs="Arial"/>
                <w:color w:val="000000" w:themeColor="text1"/>
              </w:rPr>
              <w:t xml:space="preserve"> prevention AND hospital readmissions”</w:t>
            </w:r>
          </w:p>
        </w:tc>
      </w:tr>
      <w:tr w:rsidR="00832F99" w:rsidRPr="00F45B03" w14:paraId="49BD824A" w14:textId="77777777" w:rsidTr="000C7CEB">
        <w:trPr>
          <w:tblCellSpacing w:w="15" w:type="dxa"/>
        </w:trPr>
        <w:tc>
          <w:tcPr>
            <w:tcW w:w="0" w:type="auto"/>
            <w:vAlign w:val="center"/>
            <w:hideMark/>
          </w:tcPr>
          <w:p w14:paraId="289D3515"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Rehabilitation outcomes</w:t>
            </w:r>
          </w:p>
        </w:tc>
        <w:tc>
          <w:tcPr>
            <w:tcW w:w="0" w:type="auto"/>
            <w:vAlign w:val="center"/>
            <w:hideMark/>
          </w:tcPr>
          <w:p w14:paraId="320A21C0"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t>
            </w:r>
            <w:proofErr w:type="gramStart"/>
            <w:r w:rsidRPr="00F45B03">
              <w:rPr>
                <w:rFonts w:ascii="Arial" w:hAnsi="Arial" w:cs="Arial"/>
                <w:color w:val="000000" w:themeColor="text1"/>
              </w:rPr>
              <w:t>rehabilitation</w:t>
            </w:r>
            <w:proofErr w:type="gramEnd"/>
            <w:r w:rsidRPr="00F45B03">
              <w:rPr>
                <w:rFonts w:ascii="Arial" w:hAnsi="Arial" w:cs="Arial"/>
                <w:color w:val="000000" w:themeColor="text1"/>
              </w:rPr>
              <w:t xml:space="preserve"> outcomes AND cardiovascular disease”</w:t>
            </w:r>
          </w:p>
        </w:tc>
      </w:tr>
    </w:tbl>
    <w:p w14:paraId="063C2BED" w14:textId="5306BBB9"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To ensure the evidence reflected current healthcare practice, policy developments, and rehabilitation models, the search primarily focused on studies published between </w:t>
      </w:r>
      <w:r w:rsidRPr="00F45B03">
        <w:rPr>
          <w:rStyle w:val="Strong"/>
          <w:rFonts w:ascii="Arial" w:eastAsiaTheme="majorEastAsia" w:hAnsi="Arial" w:cs="Arial"/>
          <w:color w:val="000000" w:themeColor="text1"/>
          <w:sz w:val="22"/>
          <w:szCs w:val="22"/>
        </w:rPr>
        <w:t>2010 and 2026</w:t>
      </w:r>
      <w:r w:rsidR="0097791B" w:rsidRPr="00F45B03">
        <w:rPr>
          <w:rStyle w:val="Strong"/>
          <w:rFonts w:ascii="Arial" w:eastAsiaTheme="majorEastAsia" w:hAnsi="Arial" w:cs="Arial"/>
          <w:color w:val="000000" w:themeColor="text1"/>
          <w:sz w:val="22"/>
          <w:szCs w:val="22"/>
        </w:rPr>
        <w:t>(</w:t>
      </w:r>
      <w:r w:rsidR="0097791B" w:rsidRPr="00F45B03">
        <w:rPr>
          <w:rFonts w:ascii="Arial" w:hAnsi="Arial" w:cs="Arial"/>
          <w:sz w:val="22"/>
          <w:szCs w:val="22"/>
        </w:rPr>
        <w:t>NICE, 2022)</w:t>
      </w:r>
      <w:r w:rsidRPr="00F45B03">
        <w:rPr>
          <w:rFonts w:ascii="Arial" w:hAnsi="Arial" w:cs="Arial"/>
          <w:color w:val="000000" w:themeColor="text1"/>
          <w:sz w:val="22"/>
          <w:szCs w:val="22"/>
        </w:rPr>
        <w:t>. This timeframe was selected because significant developments in cardiac rehabilitation delivery, healthcare inequalities research, and cardiovascular disease management have occurred during this period. However, seminal studies published before 2010 were considered for inclusion where they provided important theoretical or historical context.</w:t>
      </w:r>
    </w:p>
    <w:p w14:paraId="4D6DCACF"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search process was conducted in several stages. Initially, database searches were performed using the predefined search terms and combinations of keywords. The titles and abstracts of retrieved studies were then screened to determine their relevance to the research topic. Studies that appeared relevant were selected for full-text review. Following full-text assessment, studies were evaluated against the predefined inclusion and exclusion criteria to determine their eligibility for inclusion in the final review.</w:t>
      </w:r>
    </w:p>
    <w:p w14:paraId="080A4B62"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To further enhance the comprehensiveness of the search process, reference lists of key articles were manually reviewed to identify additional relevant studies that may not have been captured through database searching. This hand-searching approach helped reduce the risk of overlooking important evidence and improved the overall coverage of the literature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and Munn, 2020).</w:t>
      </w:r>
    </w:p>
    <w:p w14:paraId="0DFA9C76"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The study selection process was guided by the Preferred Reporting Items for Systematic Reviews and Meta-Analyses (PRISMA) 2020 framework (Page et al., </w:t>
      </w:r>
      <w:r w:rsidRPr="00F45B03">
        <w:rPr>
          <w:rFonts w:ascii="Arial" w:hAnsi="Arial" w:cs="Arial"/>
          <w:color w:val="000000" w:themeColor="text1"/>
          <w:sz w:val="22"/>
          <w:szCs w:val="22"/>
        </w:rPr>
        <w:lastRenderedPageBreak/>
        <w:t>2021). The PRISMA framework provides a structured approach for documenting literature identification, screening, eligibility assessment, and final study inclusion. Applying this framework improved the transparency and reproducibility of the review process.</w:t>
      </w:r>
    </w:p>
    <w:p w14:paraId="625114A3"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search results were recorded and documented throughout the review to maintain an audit trail of decisions made during study selection. Information relating to the number of studies identified, screened, excluded, and included was recorded and subsequently presented through a PRISMA flow diagram in the methodology chapter. This ensured transparency and enabled readers to understand how the final body of evidence was selected for analysis.</w:t>
      </w:r>
    </w:p>
    <w:p w14:paraId="5B918CC7"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Overall, the structured search strategy provided a systematic and transparent method for identifying relevant literature concerning cardiac rehabilitation, hospital readmissions, and healthcare inequalities among older adults. By using multiple databases, predefined search terms, Boolean operators, and PRISMA guidance, the study aimed to ensure that the evidence included within the review was comprehensive, relevant, and of sufficient quality to address the research objectives.</w:t>
      </w:r>
    </w:p>
    <w:p w14:paraId="79D286C8" w14:textId="4F979F30" w:rsidR="00C40B32" w:rsidRPr="00F45B03" w:rsidRDefault="00C40B32" w:rsidP="00167E86">
      <w:pPr>
        <w:pStyle w:val="Heading3"/>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3.</w:t>
      </w:r>
      <w:r w:rsidR="00AA4B24" w:rsidRPr="00F45B03">
        <w:rPr>
          <w:rFonts w:ascii="Arial" w:hAnsi="Arial" w:cs="Arial"/>
          <w:color w:val="000000" w:themeColor="text1"/>
          <w:sz w:val="22"/>
          <w:szCs w:val="22"/>
        </w:rPr>
        <w:t xml:space="preserve">6 </w:t>
      </w:r>
      <w:r w:rsidRPr="00F45B03">
        <w:rPr>
          <w:rFonts w:ascii="Arial" w:hAnsi="Arial" w:cs="Arial"/>
          <w:color w:val="000000" w:themeColor="text1"/>
          <w:sz w:val="22"/>
          <w:szCs w:val="22"/>
        </w:rPr>
        <w:t>Inclusion and Exclusion Criteria</w:t>
      </w:r>
    </w:p>
    <w:p w14:paraId="1C89945B"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Clear inclusion and exclusion criteria were developed to ensure that the studies selected for this review were relevant, reliable, and directly aligned with the research aim and objectives. Establishing predefined eligibility criteria is a fundamental component of systematic literature reviews because it promotes consistency during study selection, minimises selection bias, and enhances the transparency and reproducibility of the review process (Page et al., 2021; Booth, Sutton and Papaioannou, 2021). The use of explicit criteria also helps ensure that decisions regarding study inclusion are based on methodological considerations rather than researcher preference, thereby strengthening the validity of the review findings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and Munn, 2020).</w:t>
      </w:r>
    </w:p>
    <w:p w14:paraId="650D1789" w14:textId="28D3CAFC"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inclusion criteria were designed to identify studies that specifically examined the effectiveness of cardiac rehabilitation programmes in reducing hospital readmissions among older adults and explored the influence of ethnicity and socioeconomic status on rehabilitation participation and outcomes</w:t>
      </w:r>
      <w:r w:rsidR="002C32CA" w:rsidRPr="00F45B03">
        <w:rPr>
          <w:rFonts w:ascii="Arial" w:hAnsi="Arial" w:cs="Arial"/>
          <w:sz w:val="22"/>
          <w:szCs w:val="22"/>
        </w:rPr>
        <w:t xml:space="preserve"> (Bambra et al., 2020)</w:t>
      </w:r>
      <w:r w:rsidRPr="00F45B03">
        <w:rPr>
          <w:rFonts w:ascii="Arial" w:hAnsi="Arial" w:cs="Arial"/>
          <w:color w:val="000000" w:themeColor="text1"/>
          <w:sz w:val="22"/>
          <w:szCs w:val="22"/>
        </w:rPr>
        <w:t xml:space="preserve">. These criteria were informed by the research question, study objectives, and recommendations for conducting systematic reviews in healthcare research (Snyder, 2019). Conversely, </w:t>
      </w:r>
      <w:r w:rsidRPr="00F45B03">
        <w:rPr>
          <w:rFonts w:ascii="Arial" w:hAnsi="Arial" w:cs="Arial"/>
          <w:color w:val="000000" w:themeColor="text1"/>
          <w:sz w:val="22"/>
          <w:szCs w:val="22"/>
        </w:rPr>
        <w:lastRenderedPageBreak/>
        <w:t>exclusion criteria were applied to remove studies that were not directly relevant to the topic, lacked sufficient methodological quality, or did not provide appropriate evidence relating to cardiac rehabilitation outcomes (Booth, Sutton and Papaioannou, 2021).</w:t>
      </w:r>
    </w:p>
    <w:p w14:paraId="424CD09D"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application of inclusion and exclusion criteria before commencing the screening process is recommended because it reduces the likelihood of subjective decision-making and improves methodological rigour (Page et al., 2021). Furthermore, predefined eligibility criteria facilitate replication of the review process by future researchers and support the overall reliability of systematic review findings (Saunders, Lewis and Thornhill, 2023).</w:t>
      </w:r>
    </w:p>
    <w:p w14:paraId="17EBFBD1" w14:textId="77777777" w:rsidR="00C40B32" w:rsidRPr="00F45B03" w:rsidRDefault="00C40B32" w:rsidP="00167E86">
      <w:pPr>
        <w:pStyle w:val="Heading4"/>
        <w:spacing w:line="360" w:lineRule="auto"/>
        <w:jc w:val="both"/>
        <w:rPr>
          <w:rFonts w:ascii="Arial" w:hAnsi="Arial" w:cs="Arial"/>
          <w:color w:val="000000" w:themeColor="text1"/>
        </w:rPr>
      </w:pPr>
      <w:r w:rsidRPr="00F45B03">
        <w:rPr>
          <w:rFonts w:ascii="Arial" w:hAnsi="Arial" w:cs="Arial"/>
          <w:color w:val="000000" w:themeColor="text1"/>
        </w:rPr>
        <w:t>Table 3.3: Inclusion and Exclusion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04"/>
        <w:gridCol w:w="4008"/>
      </w:tblGrid>
      <w:tr w:rsidR="00832F99" w:rsidRPr="00F45B03" w14:paraId="0C1DAD95" w14:textId="77777777" w:rsidTr="007B4AC4">
        <w:trPr>
          <w:tblHeader/>
          <w:tblCellSpacing w:w="15" w:type="dxa"/>
        </w:trPr>
        <w:tc>
          <w:tcPr>
            <w:tcW w:w="4633" w:type="dxa"/>
            <w:vAlign w:val="center"/>
            <w:hideMark/>
          </w:tcPr>
          <w:p w14:paraId="5328402A"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Inclusion Criteria</w:t>
            </w:r>
          </w:p>
        </w:tc>
        <w:tc>
          <w:tcPr>
            <w:tcW w:w="4303" w:type="dxa"/>
            <w:vAlign w:val="center"/>
            <w:hideMark/>
          </w:tcPr>
          <w:p w14:paraId="4A3270C9"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Exclusion Criteria</w:t>
            </w:r>
          </w:p>
        </w:tc>
      </w:tr>
      <w:tr w:rsidR="00832F99" w:rsidRPr="00F45B03" w14:paraId="0BC924AD" w14:textId="77777777" w:rsidTr="007B4AC4">
        <w:trPr>
          <w:tblCellSpacing w:w="15" w:type="dxa"/>
        </w:trPr>
        <w:tc>
          <w:tcPr>
            <w:tcW w:w="4633" w:type="dxa"/>
            <w:vAlign w:val="center"/>
            <w:hideMark/>
          </w:tcPr>
          <w:p w14:paraId="6998E972"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Peer-reviewed journal articles</w:t>
            </w:r>
          </w:p>
        </w:tc>
        <w:tc>
          <w:tcPr>
            <w:tcW w:w="4303" w:type="dxa"/>
            <w:vAlign w:val="center"/>
            <w:hideMark/>
          </w:tcPr>
          <w:p w14:paraId="2A409CB9"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Non-peer-reviewed articles</w:t>
            </w:r>
          </w:p>
        </w:tc>
      </w:tr>
      <w:tr w:rsidR="00832F99" w:rsidRPr="00F45B03" w14:paraId="48528F76" w14:textId="77777777" w:rsidTr="007B4AC4">
        <w:trPr>
          <w:tblCellSpacing w:w="15" w:type="dxa"/>
        </w:trPr>
        <w:tc>
          <w:tcPr>
            <w:tcW w:w="4633" w:type="dxa"/>
            <w:vAlign w:val="center"/>
            <w:hideMark/>
          </w:tcPr>
          <w:p w14:paraId="3E90AE8E"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focusing on cardiac rehabilitation programmes</w:t>
            </w:r>
          </w:p>
        </w:tc>
        <w:tc>
          <w:tcPr>
            <w:tcW w:w="4303" w:type="dxa"/>
            <w:vAlign w:val="center"/>
            <w:hideMark/>
          </w:tcPr>
          <w:p w14:paraId="4F854FC8"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unrelated to cardiovascular disease or rehabilitation</w:t>
            </w:r>
          </w:p>
        </w:tc>
      </w:tr>
      <w:tr w:rsidR="00832F99" w:rsidRPr="00F45B03" w14:paraId="6A67BA0C" w14:textId="77777777" w:rsidTr="007B4AC4">
        <w:trPr>
          <w:trHeight w:val="1098"/>
          <w:tblCellSpacing w:w="15" w:type="dxa"/>
        </w:trPr>
        <w:tc>
          <w:tcPr>
            <w:tcW w:w="4633" w:type="dxa"/>
            <w:vAlign w:val="center"/>
            <w:hideMark/>
          </w:tcPr>
          <w:p w14:paraId="2256799C"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Research examining hospital readmissions or related clinical outcomes</w:t>
            </w:r>
          </w:p>
        </w:tc>
        <w:tc>
          <w:tcPr>
            <w:tcW w:w="4303" w:type="dxa"/>
            <w:vAlign w:val="center"/>
            <w:hideMark/>
          </w:tcPr>
          <w:p w14:paraId="6A84240B"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without readmission or rehabilitation outcome measures</w:t>
            </w:r>
          </w:p>
        </w:tc>
      </w:tr>
      <w:tr w:rsidR="00832F99" w:rsidRPr="00F45B03" w14:paraId="491C1631" w14:textId="77777777" w:rsidTr="007B4AC4">
        <w:trPr>
          <w:tblCellSpacing w:w="15" w:type="dxa"/>
        </w:trPr>
        <w:tc>
          <w:tcPr>
            <w:tcW w:w="4633" w:type="dxa"/>
            <w:vAlign w:val="center"/>
            <w:hideMark/>
          </w:tcPr>
          <w:p w14:paraId="28594876"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involving adults aged 55 years and over</w:t>
            </w:r>
          </w:p>
        </w:tc>
        <w:tc>
          <w:tcPr>
            <w:tcW w:w="4303" w:type="dxa"/>
            <w:vAlign w:val="center"/>
            <w:hideMark/>
          </w:tcPr>
          <w:p w14:paraId="043D9224"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involving younger populations only</w:t>
            </w:r>
          </w:p>
        </w:tc>
      </w:tr>
      <w:tr w:rsidR="00832F99" w:rsidRPr="00F45B03" w14:paraId="419326EB" w14:textId="77777777" w:rsidTr="007B4AC4">
        <w:trPr>
          <w:tblCellSpacing w:w="15" w:type="dxa"/>
        </w:trPr>
        <w:tc>
          <w:tcPr>
            <w:tcW w:w="4633" w:type="dxa"/>
            <w:vAlign w:val="center"/>
            <w:hideMark/>
          </w:tcPr>
          <w:p w14:paraId="558C2898"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examining ethnicity, socioeconomic status, or health inequalities</w:t>
            </w:r>
          </w:p>
        </w:tc>
        <w:tc>
          <w:tcPr>
            <w:tcW w:w="4303" w:type="dxa"/>
            <w:vAlign w:val="center"/>
            <w:hideMark/>
          </w:tcPr>
          <w:p w14:paraId="7CFE4467"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with no consideration of inequality-related factors</w:t>
            </w:r>
          </w:p>
        </w:tc>
      </w:tr>
      <w:tr w:rsidR="00832F99" w:rsidRPr="00F45B03" w14:paraId="61525884" w14:textId="77777777" w:rsidTr="007B4AC4">
        <w:trPr>
          <w:tblCellSpacing w:w="15" w:type="dxa"/>
        </w:trPr>
        <w:tc>
          <w:tcPr>
            <w:tcW w:w="4633" w:type="dxa"/>
            <w:vAlign w:val="center"/>
            <w:hideMark/>
          </w:tcPr>
          <w:p w14:paraId="4548D6D1"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Quantitative, qualitative, or mixed-methods studies</w:t>
            </w:r>
          </w:p>
        </w:tc>
        <w:tc>
          <w:tcPr>
            <w:tcW w:w="4303" w:type="dxa"/>
            <w:vAlign w:val="center"/>
            <w:hideMark/>
          </w:tcPr>
          <w:p w14:paraId="1665FAC7"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lacking clear methodology or reliable data</w:t>
            </w:r>
          </w:p>
        </w:tc>
      </w:tr>
      <w:tr w:rsidR="00832F99" w:rsidRPr="00F45B03" w14:paraId="45B4FC7A" w14:textId="77777777" w:rsidTr="007B4AC4">
        <w:trPr>
          <w:tblCellSpacing w:w="15" w:type="dxa"/>
        </w:trPr>
        <w:tc>
          <w:tcPr>
            <w:tcW w:w="4633" w:type="dxa"/>
            <w:vAlign w:val="center"/>
            <w:hideMark/>
          </w:tcPr>
          <w:p w14:paraId="2F1AB0F2"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Publications written in English</w:t>
            </w:r>
          </w:p>
        </w:tc>
        <w:tc>
          <w:tcPr>
            <w:tcW w:w="4303" w:type="dxa"/>
            <w:vAlign w:val="center"/>
            <w:hideMark/>
          </w:tcPr>
          <w:p w14:paraId="2E030A75"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Non-English publications</w:t>
            </w:r>
          </w:p>
        </w:tc>
      </w:tr>
      <w:tr w:rsidR="00832F99" w:rsidRPr="00F45B03" w14:paraId="78562C06" w14:textId="77777777" w:rsidTr="007B4AC4">
        <w:trPr>
          <w:tblCellSpacing w:w="15" w:type="dxa"/>
        </w:trPr>
        <w:tc>
          <w:tcPr>
            <w:tcW w:w="4633" w:type="dxa"/>
            <w:vAlign w:val="center"/>
            <w:hideMark/>
          </w:tcPr>
          <w:p w14:paraId="4B46A338"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published between 2010 and 2026</w:t>
            </w:r>
          </w:p>
        </w:tc>
        <w:tc>
          <w:tcPr>
            <w:tcW w:w="4303" w:type="dxa"/>
            <w:vAlign w:val="center"/>
            <w:hideMark/>
          </w:tcPr>
          <w:p w14:paraId="6FF07F72"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published before 2010 unless considered historically significant</w:t>
            </w:r>
          </w:p>
        </w:tc>
      </w:tr>
      <w:tr w:rsidR="00832F99" w:rsidRPr="00F45B03" w14:paraId="62866E62" w14:textId="77777777" w:rsidTr="007B4AC4">
        <w:trPr>
          <w:tblCellSpacing w:w="15" w:type="dxa"/>
        </w:trPr>
        <w:tc>
          <w:tcPr>
            <w:tcW w:w="4633" w:type="dxa"/>
            <w:vAlign w:val="center"/>
            <w:hideMark/>
          </w:tcPr>
          <w:p w14:paraId="1CE3ECE0" w14:textId="528FE832"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 xml:space="preserve">Research conducted in the UK </w:t>
            </w:r>
            <w:r w:rsidR="00A82B86" w:rsidRPr="00F45B03">
              <w:rPr>
                <w:rFonts w:ascii="Arial" w:hAnsi="Arial" w:cs="Arial"/>
                <w:color w:val="000000" w:themeColor="text1"/>
              </w:rPr>
              <w:t>population</w:t>
            </w:r>
          </w:p>
        </w:tc>
        <w:tc>
          <w:tcPr>
            <w:tcW w:w="4303" w:type="dxa"/>
            <w:vAlign w:val="center"/>
            <w:hideMark/>
          </w:tcPr>
          <w:p w14:paraId="6F03093D"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Studies conducted in unrelated healthcare contexts</w:t>
            </w:r>
          </w:p>
        </w:tc>
      </w:tr>
      <w:tr w:rsidR="00832F99" w:rsidRPr="00F45B03" w14:paraId="324AC3C9" w14:textId="77777777" w:rsidTr="007B4AC4">
        <w:trPr>
          <w:tblCellSpacing w:w="15" w:type="dxa"/>
        </w:trPr>
        <w:tc>
          <w:tcPr>
            <w:tcW w:w="4633" w:type="dxa"/>
            <w:vAlign w:val="center"/>
            <w:hideMark/>
          </w:tcPr>
          <w:p w14:paraId="5A457DF1" w14:textId="2A9419FB"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lastRenderedPageBreak/>
              <w:t>Reports from recognised healthcare organisations</w:t>
            </w:r>
            <w:ins w:id="1" w:author="Ping Wu" w:date="2026-06-03T09:19:00Z">
              <w:r w:rsidRPr="00F45B03">
                <w:rPr>
                  <w:rFonts w:ascii="Arial" w:hAnsi="Arial" w:cs="Arial"/>
                  <w:color w:val="000000" w:themeColor="text1"/>
                </w:rPr>
                <w:t xml:space="preserve"> </w:t>
              </w:r>
            </w:ins>
            <w:r w:rsidR="00A82B86" w:rsidRPr="00F45B03">
              <w:rPr>
                <w:rFonts w:ascii="Arial" w:hAnsi="Arial" w:cs="Arial"/>
                <w:color w:val="000000" w:themeColor="text1"/>
              </w:rPr>
              <w:t>including</w:t>
            </w:r>
            <w:r w:rsidR="00CC6BED" w:rsidRPr="00F45B03">
              <w:rPr>
                <w:rFonts w:ascii="Arial" w:hAnsi="Arial" w:cs="Arial"/>
                <w:color w:val="000000" w:themeColor="text1"/>
              </w:rPr>
              <w:t xml:space="preserve"> </w:t>
            </w:r>
            <w:r w:rsidR="00CC6BED" w:rsidRPr="00F45B03">
              <w:rPr>
                <w:rStyle w:val="Strong"/>
                <w:rFonts w:ascii="Arial" w:hAnsi="Arial" w:cs="Arial"/>
                <w:b w:val="0"/>
                <w:bCs w:val="0"/>
                <w:color w:val="000000" w:themeColor="text1"/>
              </w:rPr>
              <w:t>NHS England, Public Health England, the National Institute for Health and Care Excellence (NICE), and the World Health Organization (WHO</w:t>
            </w:r>
            <w:r w:rsidR="00E21690" w:rsidRPr="00F45B03">
              <w:rPr>
                <w:rStyle w:val="Strong"/>
                <w:rFonts w:ascii="Arial" w:hAnsi="Arial" w:cs="Arial"/>
                <w:b w:val="0"/>
                <w:bCs w:val="0"/>
                <w:color w:val="000000" w:themeColor="text1"/>
              </w:rPr>
              <w:t>)</w:t>
            </w:r>
            <w:r w:rsidR="00A82B86" w:rsidRPr="00F45B03">
              <w:rPr>
                <w:rStyle w:val="Strong"/>
                <w:rFonts w:ascii="Arial" w:hAnsi="Arial" w:cs="Arial"/>
                <w:color w:val="000000" w:themeColor="text1"/>
              </w:rPr>
              <w:t>.</w:t>
            </w:r>
          </w:p>
        </w:tc>
        <w:tc>
          <w:tcPr>
            <w:tcW w:w="4303" w:type="dxa"/>
            <w:vAlign w:val="center"/>
            <w:hideMark/>
          </w:tcPr>
          <w:p w14:paraId="36FD664F" w14:textId="65742B70"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Conference abstracts without full-text availability</w:t>
            </w:r>
            <w:r w:rsidR="00577C5C" w:rsidRPr="00F45B03">
              <w:rPr>
                <w:rFonts w:ascii="Arial" w:hAnsi="Arial" w:cs="Arial"/>
                <w:color w:val="000000" w:themeColor="text1"/>
              </w:rPr>
              <w:t>.</w:t>
            </w:r>
          </w:p>
        </w:tc>
      </w:tr>
    </w:tbl>
    <w:p w14:paraId="7945BCC0" w14:textId="2B5E1E06"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decision to include studies published between 2010 and 2026 was intended to ensure that the evidence reflected contemporary healthcare practices, rehabilitation models, and policy developments relating to cardiovascular disease management (NICE, 202</w:t>
      </w:r>
      <w:r w:rsidR="0097791B" w:rsidRPr="00F45B03">
        <w:rPr>
          <w:rFonts w:ascii="Arial" w:hAnsi="Arial" w:cs="Arial"/>
          <w:color w:val="000000" w:themeColor="text1"/>
          <w:sz w:val="22"/>
          <w:szCs w:val="22"/>
        </w:rPr>
        <w:t>2</w:t>
      </w:r>
      <w:r w:rsidRPr="00F45B03">
        <w:rPr>
          <w:rFonts w:ascii="Arial" w:hAnsi="Arial" w:cs="Arial"/>
          <w:color w:val="000000" w:themeColor="text1"/>
          <w:sz w:val="22"/>
          <w:szCs w:val="22"/>
        </w:rPr>
        <w:t>). However, landmark studies published before this period were considered where they provided important theoretical foundations or significantly influenced the development of cardiac rehabilitation services (Anderson et al., 2016).</w:t>
      </w:r>
    </w:p>
    <w:p w14:paraId="0366FD93"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Studies involving adults aged 55 years and over were prioritised because this age group experiences a higher prevalence of cardiovascular disease and is more likely to require cardiac rehabilitation following acute cardiac events (British Heart Foundation, 2023). Additionally, older adults often experience greater healthcare needs, increased risk of hospital readmissions, and higher levels of multimorbidity, making them a particularly relevant population for this investigation (World Health Organization, 2024).</w:t>
      </w:r>
    </w:p>
    <w:p w14:paraId="211AB291" w14:textId="68BF08B5"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To further strengthen the study selection process, the review adopted a PEO (Population, Exposure, Outcome) framework. The PEO framework is widely used within public health and healthcare systematic reviews because it provides a structured method for defining review questions and identifying relevant evidence (Bettany-Saltikov, 20</w:t>
      </w:r>
      <w:r w:rsidR="0097791B" w:rsidRPr="00F45B03">
        <w:rPr>
          <w:rFonts w:ascii="Arial" w:hAnsi="Arial" w:cs="Arial"/>
          <w:color w:val="000000" w:themeColor="text1"/>
          <w:sz w:val="22"/>
          <w:szCs w:val="22"/>
        </w:rPr>
        <w:t>21</w:t>
      </w:r>
      <w:r w:rsidRPr="00F45B03">
        <w:rPr>
          <w:rFonts w:ascii="Arial" w:hAnsi="Arial" w:cs="Arial"/>
          <w:color w:val="000000" w:themeColor="text1"/>
          <w:sz w:val="22"/>
          <w:szCs w:val="22"/>
        </w:rPr>
        <w:t>). The framework also assists researchers in maintaining focus throughout the screening and selection process by clearly specifying the characteristics of studies to be included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and Munn, 2020).</w:t>
      </w:r>
    </w:p>
    <w:p w14:paraId="18412711" w14:textId="77777777" w:rsidR="00C40B32" w:rsidRPr="00F45B03" w:rsidRDefault="00C40B32" w:rsidP="00167E86">
      <w:pPr>
        <w:pStyle w:val="Heading4"/>
        <w:spacing w:line="360" w:lineRule="auto"/>
        <w:jc w:val="both"/>
        <w:rPr>
          <w:rFonts w:ascii="Arial" w:hAnsi="Arial" w:cs="Arial"/>
          <w:color w:val="000000" w:themeColor="text1"/>
        </w:rPr>
      </w:pPr>
      <w:r w:rsidRPr="00F45B03">
        <w:rPr>
          <w:rFonts w:ascii="Arial" w:hAnsi="Arial" w:cs="Arial"/>
          <w:color w:val="000000" w:themeColor="text1"/>
        </w:rPr>
        <w:t>Table 3.4: PEO Framework for Study Selection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4"/>
        <w:gridCol w:w="6908"/>
      </w:tblGrid>
      <w:tr w:rsidR="00832F99" w:rsidRPr="00F45B03" w14:paraId="76C884B6" w14:textId="77777777" w:rsidTr="000C7CEB">
        <w:trPr>
          <w:tblHeader/>
          <w:tblCellSpacing w:w="15" w:type="dxa"/>
        </w:trPr>
        <w:tc>
          <w:tcPr>
            <w:tcW w:w="0" w:type="auto"/>
            <w:vAlign w:val="center"/>
            <w:hideMark/>
          </w:tcPr>
          <w:p w14:paraId="1684681B"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Component</w:t>
            </w:r>
          </w:p>
        </w:tc>
        <w:tc>
          <w:tcPr>
            <w:tcW w:w="0" w:type="auto"/>
            <w:vAlign w:val="center"/>
            <w:hideMark/>
          </w:tcPr>
          <w:p w14:paraId="709A9EBC"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Description</w:t>
            </w:r>
          </w:p>
        </w:tc>
      </w:tr>
      <w:tr w:rsidR="00832F99" w:rsidRPr="00F45B03" w14:paraId="297BBC8E" w14:textId="77777777" w:rsidTr="000C7CEB">
        <w:trPr>
          <w:tblCellSpacing w:w="15" w:type="dxa"/>
        </w:trPr>
        <w:tc>
          <w:tcPr>
            <w:tcW w:w="0" w:type="auto"/>
            <w:vAlign w:val="center"/>
            <w:hideMark/>
          </w:tcPr>
          <w:p w14:paraId="0598220C"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Population (P)</w:t>
            </w:r>
          </w:p>
        </w:tc>
        <w:tc>
          <w:tcPr>
            <w:tcW w:w="0" w:type="auto"/>
            <w:vAlign w:val="center"/>
            <w:hideMark/>
          </w:tcPr>
          <w:p w14:paraId="385ED770"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Adults aged 55 years and over with cardiovascular disease in England or comparable healthcare settings</w:t>
            </w:r>
          </w:p>
        </w:tc>
      </w:tr>
      <w:tr w:rsidR="00832F99" w:rsidRPr="00F45B03" w14:paraId="310E549A" w14:textId="77777777" w:rsidTr="000C7CEB">
        <w:trPr>
          <w:tblCellSpacing w:w="15" w:type="dxa"/>
        </w:trPr>
        <w:tc>
          <w:tcPr>
            <w:tcW w:w="0" w:type="auto"/>
            <w:vAlign w:val="center"/>
            <w:hideMark/>
          </w:tcPr>
          <w:p w14:paraId="0AFD5766"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lastRenderedPageBreak/>
              <w:t>Exposure (E)</w:t>
            </w:r>
          </w:p>
        </w:tc>
        <w:tc>
          <w:tcPr>
            <w:tcW w:w="0" w:type="auto"/>
            <w:vAlign w:val="center"/>
            <w:hideMark/>
          </w:tcPr>
          <w:p w14:paraId="340EA64B"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Participation in cardiac rehabilitation programmes</w:t>
            </w:r>
          </w:p>
        </w:tc>
      </w:tr>
      <w:tr w:rsidR="00832F99" w:rsidRPr="00F45B03" w14:paraId="0DFB786D" w14:textId="77777777" w:rsidTr="000C7CEB">
        <w:trPr>
          <w:tblCellSpacing w:w="15" w:type="dxa"/>
        </w:trPr>
        <w:tc>
          <w:tcPr>
            <w:tcW w:w="0" w:type="auto"/>
            <w:vAlign w:val="center"/>
            <w:hideMark/>
          </w:tcPr>
          <w:p w14:paraId="0DD06B1E"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Outcome (O)</w:t>
            </w:r>
          </w:p>
        </w:tc>
        <w:tc>
          <w:tcPr>
            <w:tcW w:w="0" w:type="auto"/>
            <w:vAlign w:val="center"/>
            <w:hideMark/>
          </w:tcPr>
          <w:p w14:paraId="0FAA2934" w14:textId="7549AEF3"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 xml:space="preserve">Hospital readmission </w:t>
            </w:r>
            <w:proofErr w:type="gramStart"/>
            <w:r w:rsidRPr="00F45B03">
              <w:rPr>
                <w:rFonts w:ascii="Arial" w:hAnsi="Arial" w:cs="Arial"/>
                <w:color w:val="000000" w:themeColor="text1"/>
              </w:rPr>
              <w:t xml:space="preserve">rates </w:t>
            </w:r>
            <w:r w:rsidR="00A82B86" w:rsidRPr="00F45B03">
              <w:rPr>
                <w:rFonts w:ascii="Arial" w:hAnsi="Arial" w:cs="Arial"/>
                <w:color w:val="000000" w:themeColor="text1"/>
              </w:rPr>
              <w:t>.</w:t>
            </w:r>
            <w:proofErr w:type="gramEnd"/>
          </w:p>
        </w:tc>
      </w:tr>
    </w:tbl>
    <w:p w14:paraId="03479A7C" w14:textId="5DE21929"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The PEO framework ensured that all included studies directly addressed the relationship between cardiac rehabilitation participation and hospital readmissions while also considering factors associated with healthcare </w:t>
      </w:r>
      <w:proofErr w:type="gramStart"/>
      <w:r w:rsidRPr="00F45B03">
        <w:rPr>
          <w:rFonts w:ascii="Arial" w:hAnsi="Arial" w:cs="Arial"/>
          <w:color w:val="000000" w:themeColor="text1"/>
          <w:sz w:val="22"/>
          <w:szCs w:val="22"/>
        </w:rPr>
        <w:t>inequalities</w:t>
      </w:r>
      <w:r w:rsidR="002440DF" w:rsidRPr="00F45B03">
        <w:rPr>
          <w:rFonts w:ascii="Arial" w:hAnsi="Arial" w:cs="Arial"/>
          <w:color w:val="000000" w:themeColor="text1"/>
          <w:sz w:val="22"/>
          <w:szCs w:val="22"/>
        </w:rPr>
        <w:t>(</w:t>
      </w:r>
      <w:r w:rsidR="00E05282" w:rsidRPr="00F45B03">
        <w:rPr>
          <w:rFonts w:ascii="Arial" w:hAnsi="Arial" w:cs="Arial"/>
          <w:sz w:val="22"/>
          <w:szCs w:val="22"/>
        </w:rPr>
        <w:t xml:space="preserve"> </w:t>
      </w:r>
      <w:proofErr w:type="spellStart"/>
      <w:r w:rsidR="00E05282" w:rsidRPr="00F45B03">
        <w:rPr>
          <w:rFonts w:ascii="Arial" w:hAnsi="Arial" w:cs="Arial"/>
          <w:sz w:val="22"/>
          <w:szCs w:val="22"/>
        </w:rPr>
        <w:t>O’Cathain</w:t>
      </w:r>
      <w:proofErr w:type="spellEnd"/>
      <w:proofErr w:type="gramEnd"/>
      <w:r w:rsidR="00E05282" w:rsidRPr="00F45B03">
        <w:rPr>
          <w:rFonts w:ascii="Arial" w:hAnsi="Arial" w:cs="Arial"/>
          <w:sz w:val="22"/>
          <w:szCs w:val="22"/>
        </w:rPr>
        <w:t xml:space="preserve"> et al., 2020)</w:t>
      </w:r>
      <w:r w:rsidRPr="00F45B03">
        <w:rPr>
          <w:rFonts w:ascii="Arial" w:hAnsi="Arial" w:cs="Arial"/>
          <w:color w:val="000000" w:themeColor="text1"/>
          <w:sz w:val="22"/>
          <w:szCs w:val="22"/>
        </w:rPr>
        <w:t>. This contributed to the relevance and consistency of the final evidence base (Bettany-Saltikov, 2016).</w:t>
      </w:r>
    </w:p>
    <w:p w14:paraId="2828977C" w14:textId="536BFE48" w:rsidR="00917871"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Following implementation of the search strategy, studies were screened through a multi-stage selection process consistent with PRISMA 2020 recommendations (Page et al., 2021). Initially, records identified through database searches were exported and duplicate records were removed. The remaining studies were then screened according to their titles and abstracts to determine their relevance to the research question. Studies that appeared potentially eligible proceeded to full-text assessment.</w:t>
      </w:r>
    </w:p>
    <w:p w14:paraId="146D53CE" w14:textId="1B3D6419" w:rsidR="0020012A" w:rsidRPr="00F45B03" w:rsidRDefault="0020012A"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3.5: Database Search Results and Screening Process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61"/>
        <w:gridCol w:w="1650"/>
        <w:gridCol w:w="1039"/>
        <w:gridCol w:w="3131"/>
      </w:tblGrid>
      <w:tr w:rsidR="00DE4914" w:rsidRPr="00F45B03" w14:paraId="4A206BFA" w14:textId="77777777" w:rsidTr="00DE4914">
        <w:trPr>
          <w:tblHeader/>
          <w:tblCellSpacing w:w="15" w:type="dxa"/>
        </w:trPr>
        <w:tc>
          <w:tcPr>
            <w:tcW w:w="0" w:type="auto"/>
            <w:vAlign w:val="center"/>
            <w:hideMark/>
          </w:tcPr>
          <w:p w14:paraId="4A30257E" w14:textId="77777777" w:rsidR="00DE4914" w:rsidRPr="00F45B03" w:rsidRDefault="00DE4914" w:rsidP="00167E86">
            <w:pPr>
              <w:spacing w:after="0" w:line="360" w:lineRule="auto"/>
              <w:jc w:val="both"/>
              <w:rPr>
                <w:rFonts w:ascii="Arial" w:eastAsia="Times New Roman" w:hAnsi="Arial" w:cs="Arial"/>
                <w:b/>
                <w:bCs/>
                <w:lang w:eastAsia="en-IN"/>
              </w:rPr>
            </w:pPr>
            <w:bookmarkStart w:id="2" w:name="_Hlk232449762"/>
            <w:r w:rsidRPr="00F45B03">
              <w:rPr>
                <w:rFonts w:ascii="Arial" w:eastAsia="Times New Roman" w:hAnsi="Arial" w:cs="Arial"/>
                <w:b/>
                <w:bCs/>
                <w:lang w:eastAsia="en-IN"/>
              </w:rPr>
              <w:t>Database / Source</w:t>
            </w:r>
          </w:p>
        </w:tc>
        <w:tc>
          <w:tcPr>
            <w:tcW w:w="0" w:type="auto"/>
            <w:vAlign w:val="center"/>
            <w:hideMark/>
          </w:tcPr>
          <w:p w14:paraId="341B2A24"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Search Results</w:t>
            </w:r>
          </w:p>
        </w:tc>
        <w:tc>
          <w:tcPr>
            <w:tcW w:w="0" w:type="auto"/>
            <w:vAlign w:val="center"/>
            <w:hideMark/>
          </w:tcPr>
          <w:p w14:paraId="112C78FA"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Excluded</w:t>
            </w:r>
          </w:p>
        </w:tc>
        <w:tc>
          <w:tcPr>
            <w:tcW w:w="0" w:type="auto"/>
            <w:vAlign w:val="center"/>
            <w:hideMark/>
          </w:tcPr>
          <w:p w14:paraId="7229D6C0"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Included for Full</w:t>
            </w:r>
            <w:r w:rsidRPr="00F45B03">
              <w:rPr>
                <w:rFonts w:ascii="Arial" w:eastAsia="Times New Roman" w:hAnsi="Arial" w:cs="Arial"/>
                <w:b/>
                <w:bCs/>
                <w:lang w:eastAsia="en-IN"/>
              </w:rPr>
              <w:noBreakHyphen/>
              <w:t>Text Review</w:t>
            </w:r>
          </w:p>
        </w:tc>
      </w:tr>
      <w:tr w:rsidR="00DE4914" w:rsidRPr="00F45B03" w14:paraId="09028335" w14:textId="77777777" w:rsidTr="00DE4914">
        <w:trPr>
          <w:tblCellSpacing w:w="15" w:type="dxa"/>
        </w:trPr>
        <w:tc>
          <w:tcPr>
            <w:tcW w:w="0" w:type="auto"/>
            <w:vAlign w:val="center"/>
            <w:hideMark/>
          </w:tcPr>
          <w:p w14:paraId="58DB22C5"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MEDLINE (via PubMed)</w:t>
            </w:r>
          </w:p>
        </w:tc>
        <w:tc>
          <w:tcPr>
            <w:tcW w:w="0" w:type="auto"/>
            <w:vAlign w:val="center"/>
            <w:hideMark/>
          </w:tcPr>
          <w:p w14:paraId="69D1CE4F"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420</w:t>
            </w:r>
          </w:p>
        </w:tc>
        <w:tc>
          <w:tcPr>
            <w:tcW w:w="0" w:type="auto"/>
            <w:vAlign w:val="center"/>
            <w:hideMark/>
          </w:tcPr>
          <w:p w14:paraId="30E4985F"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340</w:t>
            </w:r>
          </w:p>
        </w:tc>
        <w:tc>
          <w:tcPr>
            <w:tcW w:w="0" w:type="auto"/>
            <w:vAlign w:val="center"/>
            <w:hideMark/>
          </w:tcPr>
          <w:p w14:paraId="4CB64F06"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80</w:t>
            </w:r>
          </w:p>
        </w:tc>
      </w:tr>
      <w:tr w:rsidR="00DE4914" w:rsidRPr="00F45B03" w14:paraId="09C6906E" w14:textId="77777777" w:rsidTr="00DE4914">
        <w:trPr>
          <w:tblCellSpacing w:w="15" w:type="dxa"/>
        </w:trPr>
        <w:tc>
          <w:tcPr>
            <w:tcW w:w="0" w:type="auto"/>
            <w:vAlign w:val="center"/>
            <w:hideMark/>
          </w:tcPr>
          <w:p w14:paraId="40703C8E"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CINAHL</w:t>
            </w:r>
          </w:p>
        </w:tc>
        <w:tc>
          <w:tcPr>
            <w:tcW w:w="0" w:type="auto"/>
            <w:vAlign w:val="center"/>
            <w:hideMark/>
          </w:tcPr>
          <w:p w14:paraId="2CCFE52F"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310</w:t>
            </w:r>
          </w:p>
        </w:tc>
        <w:tc>
          <w:tcPr>
            <w:tcW w:w="0" w:type="auto"/>
            <w:vAlign w:val="center"/>
            <w:hideMark/>
          </w:tcPr>
          <w:p w14:paraId="3E980E7F"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250</w:t>
            </w:r>
          </w:p>
        </w:tc>
        <w:tc>
          <w:tcPr>
            <w:tcW w:w="0" w:type="auto"/>
            <w:vAlign w:val="center"/>
            <w:hideMark/>
          </w:tcPr>
          <w:p w14:paraId="6A70F07B"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60</w:t>
            </w:r>
          </w:p>
        </w:tc>
      </w:tr>
      <w:tr w:rsidR="00DE4914" w:rsidRPr="00F45B03" w14:paraId="53203015" w14:textId="77777777" w:rsidTr="00DE4914">
        <w:trPr>
          <w:tblCellSpacing w:w="15" w:type="dxa"/>
        </w:trPr>
        <w:tc>
          <w:tcPr>
            <w:tcW w:w="0" w:type="auto"/>
            <w:vAlign w:val="center"/>
            <w:hideMark/>
          </w:tcPr>
          <w:p w14:paraId="219F7519"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Cochrane Library</w:t>
            </w:r>
          </w:p>
        </w:tc>
        <w:tc>
          <w:tcPr>
            <w:tcW w:w="0" w:type="auto"/>
            <w:vAlign w:val="center"/>
            <w:hideMark/>
          </w:tcPr>
          <w:p w14:paraId="7D5C0F34"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220</w:t>
            </w:r>
          </w:p>
        </w:tc>
        <w:tc>
          <w:tcPr>
            <w:tcW w:w="0" w:type="auto"/>
            <w:vAlign w:val="center"/>
            <w:hideMark/>
          </w:tcPr>
          <w:p w14:paraId="4FC036E6"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180</w:t>
            </w:r>
          </w:p>
        </w:tc>
        <w:tc>
          <w:tcPr>
            <w:tcW w:w="0" w:type="auto"/>
            <w:vAlign w:val="center"/>
            <w:hideMark/>
          </w:tcPr>
          <w:p w14:paraId="1C06FCE2"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40</w:t>
            </w:r>
          </w:p>
        </w:tc>
      </w:tr>
      <w:tr w:rsidR="00DE4914" w:rsidRPr="00F45B03" w14:paraId="711294E9" w14:textId="77777777" w:rsidTr="00DE4914">
        <w:trPr>
          <w:tblCellSpacing w:w="15" w:type="dxa"/>
        </w:trPr>
        <w:tc>
          <w:tcPr>
            <w:tcW w:w="0" w:type="auto"/>
            <w:vAlign w:val="center"/>
            <w:hideMark/>
          </w:tcPr>
          <w:p w14:paraId="14E1887F"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Web of Science</w:t>
            </w:r>
          </w:p>
        </w:tc>
        <w:tc>
          <w:tcPr>
            <w:tcW w:w="0" w:type="auto"/>
            <w:vAlign w:val="center"/>
            <w:hideMark/>
          </w:tcPr>
          <w:p w14:paraId="2B3E3513"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200</w:t>
            </w:r>
          </w:p>
        </w:tc>
        <w:tc>
          <w:tcPr>
            <w:tcW w:w="0" w:type="auto"/>
            <w:vAlign w:val="center"/>
            <w:hideMark/>
          </w:tcPr>
          <w:p w14:paraId="0C86D194"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160</w:t>
            </w:r>
          </w:p>
        </w:tc>
        <w:tc>
          <w:tcPr>
            <w:tcW w:w="0" w:type="auto"/>
            <w:vAlign w:val="center"/>
            <w:hideMark/>
          </w:tcPr>
          <w:p w14:paraId="2B22CCAB"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40</w:t>
            </w:r>
          </w:p>
        </w:tc>
      </w:tr>
      <w:tr w:rsidR="00DE4914" w:rsidRPr="00F45B03" w14:paraId="0D9712D2" w14:textId="77777777" w:rsidTr="00DE4914">
        <w:trPr>
          <w:tblCellSpacing w:w="15" w:type="dxa"/>
        </w:trPr>
        <w:tc>
          <w:tcPr>
            <w:tcW w:w="0" w:type="auto"/>
            <w:vAlign w:val="center"/>
            <w:hideMark/>
          </w:tcPr>
          <w:p w14:paraId="70E791D9"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Google Scholar</w:t>
            </w:r>
          </w:p>
        </w:tc>
        <w:tc>
          <w:tcPr>
            <w:tcW w:w="0" w:type="auto"/>
            <w:vAlign w:val="center"/>
            <w:hideMark/>
          </w:tcPr>
          <w:p w14:paraId="7ED31E8D"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150</w:t>
            </w:r>
          </w:p>
        </w:tc>
        <w:tc>
          <w:tcPr>
            <w:tcW w:w="0" w:type="auto"/>
            <w:vAlign w:val="center"/>
            <w:hideMark/>
          </w:tcPr>
          <w:p w14:paraId="0447F6A5"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120</w:t>
            </w:r>
          </w:p>
        </w:tc>
        <w:tc>
          <w:tcPr>
            <w:tcW w:w="0" w:type="auto"/>
            <w:vAlign w:val="center"/>
            <w:hideMark/>
          </w:tcPr>
          <w:p w14:paraId="57CDCF50"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30</w:t>
            </w:r>
          </w:p>
        </w:tc>
      </w:tr>
      <w:tr w:rsidR="00DE4914" w:rsidRPr="00F45B03" w14:paraId="6700DDB9" w14:textId="77777777" w:rsidTr="00DE4914">
        <w:trPr>
          <w:tblCellSpacing w:w="15" w:type="dxa"/>
        </w:trPr>
        <w:tc>
          <w:tcPr>
            <w:tcW w:w="0" w:type="auto"/>
            <w:vAlign w:val="center"/>
            <w:hideMark/>
          </w:tcPr>
          <w:p w14:paraId="77B9C532" w14:textId="77777777" w:rsidR="00DE4914" w:rsidRPr="00F45B03" w:rsidRDefault="00DE491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Total</w:t>
            </w:r>
          </w:p>
        </w:tc>
        <w:tc>
          <w:tcPr>
            <w:tcW w:w="0" w:type="auto"/>
            <w:vAlign w:val="center"/>
            <w:hideMark/>
          </w:tcPr>
          <w:p w14:paraId="2CCF173C"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1,600</w:t>
            </w:r>
          </w:p>
        </w:tc>
        <w:tc>
          <w:tcPr>
            <w:tcW w:w="0" w:type="auto"/>
            <w:vAlign w:val="center"/>
            <w:hideMark/>
          </w:tcPr>
          <w:p w14:paraId="1FBB2D3E"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1,295</w:t>
            </w:r>
          </w:p>
        </w:tc>
        <w:tc>
          <w:tcPr>
            <w:tcW w:w="0" w:type="auto"/>
            <w:vAlign w:val="center"/>
            <w:hideMark/>
          </w:tcPr>
          <w:p w14:paraId="6AC37232" w14:textId="77777777" w:rsidR="00DE4914" w:rsidRPr="00F45B03" w:rsidRDefault="00DE4914"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305</w:t>
            </w:r>
          </w:p>
        </w:tc>
      </w:tr>
    </w:tbl>
    <w:bookmarkEnd w:id="2"/>
    <w:p w14:paraId="7CB88DB0" w14:textId="0F8CF55A" w:rsidR="00C40B32" w:rsidRPr="00F45B03" w:rsidRDefault="00D05A93"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The title and abstract screening stage enabled the removal of studies that clearly failed to meet the eligibility criteria. </w:t>
      </w:r>
      <w:r w:rsidR="00C40B32" w:rsidRPr="00F45B03">
        <w:rPr>
          <w:rFonts w:ascii="Arial" w:hAnsi="Arial" w:cs="Arial"/>
          <w:color w:val="000000" w:themeColor="text1"/>
          <w:sz w:val="22"/>
          <w:szCs w:val="22"/>
        </w:rPr>
        <w:t>Common reasons for exclusion included a lack of focus on cardiac rehabilitation, absence of hospital readmission outcomes, studies involving younger populations, or articles unrelated to healthcare inequalities. Screening titles and abstracts before conducting full-text reviews is recommended because it improves efficiency and reduces the workload associated with assessing large volumes of literature (Booth, Sutton and Papaioannou, 2021).</w:t>
      </w:r>
    </w:p>
    <w:p w14:paraId="4F209924"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lastRenderedPageBreak/>
        <w:t>Following initial screening, full-text articles were assessed against the predefined inclusion and exclusion criteria. Full-text screening allowed a more detailed evaluation of study relevance, methodological quality, participant characteristics, and outcome measures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and Munn, 2020).</w:t>
      </w:r>
    </w:p>
    <w:p w14:paraId="50C537EC" w14:textId="5E584D85" w:rsidR="00C40B32" w:rsidRPr="00F45B03" w:rsidRDefault="00C40B32" w:rsidP="00167E86">
      <w:pPr>
        <w:pStyle w:val="Heading1"/>
        <w:spacing w:line="360" w:lineRule="auto"/>
        <w:jc w:val="both"/>
        <w:rPr>
          <w:rFonts w:ascii="Arial" w:eastAsia="Arial" w:hAnsi="Arial" w:cs="Arial"/>
          <w:b/>
          <w:bCs/>
          <w:color w:val="000000" w:themeColor="text1"/>
          <w:sz w:val="22"/>
          <w:szCs w:val="22"/>
          <w:lang w:val="en-US"/>
        </w:rPr>
      </w:pPr>
      <w:bookmarkStart w:id="3" w:name="_Toc218672600"/>
      <w:r w:rsidRPr="00F45B03">
        <w:rPr>
          <w:rFonts w:ascii="Arial" w:eastAsia="Arial" w:hAnsi="Arial" w:cs="Arial"/>
          <w:color w:val="000000" w:themeColor="text1"/>
          <w:sz w:val="22"/>
          <w:szCs w:val="22"/>
          <w:lang w:val="en-US"/>
        </w:rPr>
        <w:t>Figure 1: PRISMA Flow chart (page et al., 2021)</w:t>
      </w:r>
      <w:bookmarkEnd w:id="3"/>
      <w:r w:rsidR="00577C5C" w:rsidRPr="00F45B03">
        <w:rPr>
          <w:rFonts w:ascii="Arial" w:eastAsia="Arial" w:hAnsi="Arial" w:cs="Arial"/>
          <w:color w:val="000000" w:themeColor="text1"/>
          <w:sz w:val="22"/>
          <w:szCs w:val="22"/>
          <w:lang w:val="en-US"/>
        </w:rPr>
        <w:t>.</w:t>
      </w:r>
    </w:p>
    <w:p w14:paraId="60F71DD1" w14:textId="59204FF3" w:rsidR="00E21690" w:rsidRPr="00F45B03" w:rsidRDefault="00E21690" w:rsidP="00167E86">
      <w:pPr>
        <w:pStyle w:val="Heading1"/>
        <w:spacing w:line="360" w:lineRule="auto"/>
        <w:jc w:val="both"/>
        <w:rPr>
          <w:rFonts w:ascii="Arial" w:eastAsia="Arial" w:hAnsi="Arial" w:cs="Arial"/>
          <w:color w:val="000000" w:themeColor="text1"/>
          <w:sz w:val="22"/>
          <w:szCs w:val="22"/>
          <w:lang w:val="en-US"/>
        </w:rPr>
      </w:pPr>
      <w:r w:rsidRPr="00F45B03">
        <w:rPr>
          <w:rFonts w:ascii="Arial" w:hAnsi="Arial" w:cs="Arial"/>
          <w:noProof/>
          <w:sz w:val="22"/>
          <w:szCs w:val="22"/>
        </w:rPr>
        <w:drawing>
          <wp:inline distT="0" distB="0" distL="0" distR="0" wp14:anchorId="5B8C9344" wp14:editId="6DF8775F">
            <wp:extent cx="5593278" cy="5486400"/>
            <wp:effectExtent l="0" t="0" r="7620" b="0"/>
            <wp:docPr id="4" name="Picture 4" descr="PRISMA flow diagram for systematic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SMA flow diagram for systematic revie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1192" cy="5503971"/>
                    </a:xfrm>
                    <a:prstGeom prst="rect">
                      <a:avLst/>
                    </a:prstGeom>
                    <a:noFill/>
                    <a:ln>
                      <a:noFill/>
                    </a:ln>
                  </pic:spPr>
                </pic:pic>
              </a:graphicData>
            </a:graphic>
          </wp:inline>
        </w:drawing>
      </w:r>
    </w:p>
    <w:p w14:paraId="30414EB7"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Studies excluded at the full-text stage were removed for several reasons, including inadequate reporting of outcomes, lack of relevance to cardiac rehabilitation, insufficient methodological quality, duplication of findings, or failure to examine hospital readmission outcomes. Excluding studies based on predefined criteria helped maintain consistency and improve the overall quality of the evidence included within the review (Page et al., 2021).</w:t>
      </w:r>
    </w:p>
    <w:p w14:paraId="54758F22" w14:textId="7CA2D708"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lastRenderedPageBreak/>
        <w:t>The study selection process was guided by the Preferred Reporting Items for PRISMA 2020 framework (Page et al., 2021). PRISMA is internationally recognised as the gold standard for reporting systematic reviews because it promotes transparency and accountability throughout the review process (Booth, Sutton and Papaioannou, 2021). The framework provides guidance for documenting the number of studies identified, screened, excluded, and included, thereby enabling readers to understand how the final evidence base was developed.</w:t>
      </w:r>
    </w:p>
    <w:p w14:paraId="3D00DE39"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A PRISMA flow diagram was used to visually present the study selection process and illustrate the progression of records through the identification, screening, eligibility, and inclusion stages. The use of a PRISMA flow diagram enhances transparency and allows readers to assess the comprehensiveness of the review process (Page et al., 2021).</w:t>
      </w:r>
    </w:p>
    <w:p w14:paraId="655A067F"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Overall, the application of clearly defined inclusion and exclusion criteria ensured that only relevant, high-quality, and methodologically appropriate evidence was included within the review. The use of the PEO framework, structured screening procedures, and PRISMA guidance strengthened the transparency, reliability, and validity of the study selection process. Consequently, the final body of literature provided a robust evidence base for examining the effectiveness of cardiac rehabilitation programmes in reducing hospital readmissions and exploring the impact of ethnic and socioeconomic inequalities on rehabilitation participation and outcomes among older adults in England.</w:t>
      </w:r>
    </w:p>
    <w:p w14:paraId="49B83584" w14:textId="46EA4F65" w:rsidR="00C40B32" w:rsidRPr="00F45B03" w:rsidRDefault="00C40B32" w:rsidP="00167E86">
      <w:pPr>
        <w:pStyle w:val="Heading3"/>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3.</w:t>
      </w:r>
      <w:r w:rsidR="00AA4B24" w:rsidRPr="00F45B03">
        <w:rPr>
          <w:rFonts w:ascii="Arial" w:hAnsi="Arial" w:cs="Arial"/>
          <w:color w:val="000000" w:themeColor="text1"/>
          <w:sz w:val="22"/>
          <w:szCs w:val="22"/>
        </w:rPr>
        <w:t xml:space="preserve">7 </w:t>
      </w:r>
      <w:r w:rsidRPr="00F45B03">
        <w:rPr>
          <w:rFonts w:ascii="Arial" w:hAnsi="Arial" w:cs="Arial"/>
          <w:color w:val="000000" w:themeColor="text1"/>
          <w:sz w:val="22"/>
          <w:szCs w:val="22"/>
        </w:rPr>
        <w:t>Quality Appraisal</w:t>
      </w:r>
    </w:p>
    <w:p w14:paraId="3AE9DAB3"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Quality appraisal represents a critical stage within the systematic literature review process because it enables researchers to assess the methodological quality, credibility, reliability, and validity of the studies included in the review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and Munn, 2020). Systematic reviews that fail to evaluate study quality may risk drawing conclusions from weak or biased evidence, potentially compromising the validity of the review findings (Booth, Sutton and Papaioannou, 2021). Consequently, quality appraisal was undertaken to ensure that the evidence included in this dissertation was methodologically robust and relevant to the research objectives.</w:t>
      </w:r>
    </w:p>
    <w:p w14:paraId="3877E563"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The primary purpose of quality appraisal is to identify the strengths and weaknesses of individual studies and determine the extent to which their findings can be considered trustworthy (Page et al., 2021). Assessing methodological quality is particularly </w:t>
      </w:r>
      <w:r w:rsidRPr="00F45B03">
        <w:rPr>
          <w:rFonts w:ascii="Arial" w:hAnsi="Arial" w:cs="Arial"/>
          <w:color w:val="000000" w:themeColor="text1"/>
          <w:sz w:val="22"/>
          <w:szCs w:val="22"/>
        </w:rPr>
        <w:lastRenderedPageBreak/>
        <w:t>important in healthcare research because variations in study design, sample selection, outcome measurement, and analytical techniques can significantly influence reported results (Greenhalgh, 2019). In studies investigating cardiac rehabilitation and hospital readmissions, methodological differences may affect conclusions regarding programme effectiveness and the impact of socioeconomic and ethnic inequalities.</w:t>
      </w:r>
    </w:p>
    <w:p w14:paraId="6AA7D111" w14:textId="3484C111"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To assess the quality of the selected studies, this review utilised the Critical Appraisal Skills Programme (CASP) checklists</w:t>
      </w:r>
      <w:r w:rsidR="002440DF" w:rsidRPr="00F45B03">
        <w:rPr>
          <w:rFonts w:ascii="Arial" w:hAnsi="Arial" w:cs="Arial"/>
          <w:sz w:val="22"/>
          <w:szCs w:val="22"/>
        </w:rPr>
        <w:t xml:space="preserve"> (Hong et al., 2018)</w:t>
      </w:r>
      <w:r w:rsidRPr="00F45B03">
        <w:rPr>
          <w:rFonts w:ascii="Arial" w:hAnsi="Arial" w:cs="Arial"/>
          <w:color w:val="000000" w:themeColor="text1"/>
          <w:sz w:val="22"/>
          <w:szCs w:val="22"/>
        </w:rPr>
        <w:t>. CASP is one of the most widely recognised appraisal frameworks used within healthcare, nursing, public health, and social science research (CASP, 202</w:t>
      </w:r>
      <w:r w:rsidR="0097791B" w:rsidRPr="00F45B03">
        <w:rPr>
          <w:rFonts w:ascii="Arial" w:hAnsi="Arial" w:cs="Arial"/>
          <w:color w:val="000000" w:themeColor="text1"/>
          <w:sz w:val="22"/>
          <w:szCs w:val="22"/>
        </w:rPr>
        <w:t>3</w:t>
      </w:r>
      <w:r w:rsidRPr="00F45B03">
        <w:rPr>
          <w:rFonts w:ascii="Arial" w:hAnsi="Arial" w:cs="Arial"/>
          <w:color w:val="000000" w:themeColor="text1"/>
          <w:sz w:val="22"/>
          <w:szCs w:val="22"/>
        </w:rPr>
        <w:t>). The tool provides a structured approach for evaluating the methodological rigour of research and has been extensively applied in systematic reviews involving quantitative, qualitative, and mixed-methods studies (</w:t>
      </w:r>
      <w:r w:rsidR="0097791B" w:rsidRPr="00F45B03">
        <w:rPr>
          <w:rFonts w:ascii="Arial" w:hAnsi="Arial" w:cs="Arial"/>
          <w:sz w:val="22"/>
          <w:szCs w:val="22"/>
        </w:rPr>
        <w:t>Thomas, Harden and Newman, 2020</w:t>
      </w:r>
      <w:r w:rsidRPr="00F45B03">
        <w:rPr>
          <w:rFonts w:ascii="Arial" w:hAnsi="Arial" w:cs="Arial"/>
          <w:color w:val="000000" w:themeColor="text1"/>
          <w:sz w:val="22"/>
          <w:szCs w:val="22"/>
        </w:rPr>
        <w:t>).</w:t>
      </w:r>
    </w:p>
    <w:p w14:paraId="430C6BAB"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decision to use the CASP framework was based on its flexibility and suitability for evaluating multiple study designs. The literature included within this review consisted primarily of cohort studies, observational studies, systematic reviews, and healthcare evaluations examining the effectiveness of cardiac rehabilitation programmes. CASP provides specific appraisal criteria for each of these study types, enabling a consistent and systematic assessment process (CASP, 2024).</w:t>
      </w:r>
    </w:p>
    <w:p w14:paraId="4E8B4794"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Each study was assessed against a number of key methodological criteria. These criteria included the clarity of research aims, appropriateness of the research design, sampling procedures, data collection methods, consideration of potential bias, analytical rigour, ethical considerations, and the relevance of the findings to the research question (</w:t>
      </w:r>
      <w:proofErr w:type="spellStart"/>
      <w:r w:rsidRPr="00F45B03">
        <w:rPr>
          <w:rFonts w:ascii="Arial" w:hAnsi="Arial" w:cs="Arial"/>
          <w:color w:val="000000" w:themeColor="text1"/>
          <w:sz w:val="22"/>
          <w:szCs w:val="22"/>
        </w:rPr>
        <w:t>Aromataris</w:t>
      </w:r>
      <w:proofErr w:type="spellEnd"/>
      <w:r w:rsidRPr="00F45B03">
        <w:rPr>
          <w:rFonts w:ascii="Arial" w:hAnsi="Arial" w:cs="Arial"/>
          <w:color w:val="000000" w:themeColor="text1"/>
          <w:sz w:val="22"/>
          <w:szCs w:val="22"/>
        </w:rPr>
        <w:t xml:space="preserve"> and Munn, 2020). Evaluating these factors helped determine whether the evidence generated by each study could be considered reliable and applicable to the current review.</w:t>
      </w:r>
    </w:p>
    <w:p w14:paraId="5045C50B" w14:textId="4FE771FC" w:rsidR="00C40B32" w:rsidRPr="00F45B03" w:rsidRDefault="006D14CB" w:rsidP="00167E86">
      <w:pPr>
        <w:pStyle w:val="Heading4"/>
        <w:spacing w:line="360" w:lineRule="auto"/>
        <w:jc w:val="both"/>
        <w:rPr>
          <w:rFonts w:ascii="Arial" w:hAnsi="Arial" w:cs="Arial"/>
          <w:i w:val="0"/>
          <w:iCs w:val="0"/>
          <w:color w:val="000000" w:themeColor="text1"/>
        </w:rPr>
      </w:pPr>
      <w:r w:rsidRPr="00F45B03">
        <w:rPr>
          <w:rFonts w:ascii="Arial" w:hAnsi="Arial" w:cs="Arial"/>
          <w:i w:val="0"/>
          <w:iCs w:val="0"/>
          <w:color w:val="000000" w:themeColor="text1"/>
        </w:rPr>
        <w:t xml:space="preserve">Table 3.6 quality assessment criteria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37"/>
        <w:gridCol w:w="5575"/>
      </w:tblGrid>
      <w:tr w:rsidR="00832F99" w:rsidRPr="00F45B03" w14:paraId="78DFBBEC" w14:textId="77777777" w:rsidTr="000C7CEB">
        <w:trPr>
          <w:tblHeader/>
          <w:tblCellSpacing w:w="15" w:type="dxa"/>
        </w:trPr>
        <w:tc>
          <w:tcPr>
            <w:tcW w:w="0" w:type="auto"/>
            <w:vAlign w:val="center"/>
            <w:hideMark/>
          </w:tcPr>
          <w:p w14:paraId="1FA50D64"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Quality Assessment Criterion</w:t>
            </w:r>
          </w:p>
        </w:tc>
        <w:tc>
          <w:tcPr>
            <w:tcW w:w="0" w:type="auto"/>
            <w:vAlign w:val="center"/>
            <w:hideMark/>
          </w:tcPr>
          <w:p w14:paraId="19FF795E"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Description</w:t>
            </w:r>
          </w:p>
        </w:tc>
      </w:tr>
      <w:tr w:rsidR="00832F99" w:rsidRPr="00F45B03" w14:paraId="26A36D2B" w14:textId="77777777" w:rsidTr="000C7CEB">
        <w:trPr>
          <w:tblCellSpacing w:w="15" w:type="dxa"/>
        </w:trPr>
        <w:tc>
          <w:tcPr>
            <w:tcW w:w="0" w:type="auto"/>
            <w:vAlign w:val="center"/>
            <w:hideMark/>
          </w:tcPr>
          <w:p w14:paraId="3A395674"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Research aims clearly stated</w:t>
            </w:r>
          </w:p>
        </w:tc>
        <w:tc>
          <w:tcPr>
            <w:tcW w:w="0" w:type="auto"/>
            <w:vAlign w:val="center"/>
            <w:hideMark/>
          </w:tcPr>
          <w:p w14:paraId="44B67496"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Whether the objectives of the study were clearly defined</w:t>
            </w:r>
          </w:p>
        </w:tc>
      </w:tr>
      <w:tr w:rsidR="00832F99" w:rsidRPr="00F45B03" w14:paraId="0C054F0D" w14:textId="77777777" w:rsidTr="000C7CEB">
        <w:trPr>
          <w:tblCellSpacing w:w="15" w:type="dxa"/>
        </w:trPr>
        <w:tc>
          <w:tcPr>
            <w:tcW w:w="0" w:type="auto"/>
            <w:vAlign w:val="center"/>
            <w:hideMark/>
          </w:tcPr>
          <w:p w14:paraId="669FD9D1"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Appropriate methodology</w:t>
            </w:r>
          </w:p>
        </w:tc>
        <w:tc>
          <w:tcPr>
            <w:tcW w:w="0" w:type="auto"/>
            <w:vAlign w:val="center"/>
            <w:hideMark/>
          </w:tcPr>
          <w:p w14:paraId="1D7426E8"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Suitability of the research design for addressing the research question</w:t>
            </w:r>
          </w:p>
        </w:tc>
      </w:tr>
      <w:tr w:rsidR="00832F99" w:rsidRPr="00F45B03" w14:paraId="60A40188" w14:textId="77777777" w:rsidTr="000C7CEB">
        <w:trPr>
          <w:tblCellSpacing w:w="15" w:type="dxa"/>
        </w:trPr>
        <w:tc>
          <w:tcPr>
            <w:tcW w:w="0" w:type="auto"/>
            <w:vAlign w:val="center"/>
            <w:hideMark/>
          </w:tcPr>
          <w:p w14:paraId="42B6651D"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lastRenderedPageBreak/>
              <w:t>Sampling strategy</w:t>
            </w:r>
          </w:p>
        </w:tc>
        <w:tc>
          <w:tcPr>
            <w:tcW w:w="0" w:type="auto"/>
            <w:vAlign w:val="center"/>
            <w:hideMark/>
          </w:tcPr>
          <w:p w14:paraId="6A51D6A2"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Adequacy of participant recruitment and selection procedures</w:t>
            </w:r>
          </w:p>
        </w:tc>
      </w:tr>
      <w:tr w:rsidR="00832F99" w:rsidRPr="00F45B03" w14:paraId="14DB8B59" w14:textId="77777777" w:rsidTr="000C7CEB">
        <w:trPr>
          <w:tblCellSpacing w:w="15" w:type="dxa"/>
        </w:trPr>
        <w:tc>
          <w:tcPr>
            <w:tcW w:w="0" w:type="auto"/>
            <w:vAlign w:val="center"/>
            <w:hideMark/>
          </w:tcPr>
          <w:p w14:paraId="0EDBA1D7"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Data collection methods</w:t>
            </w:r>
          </w:p>
        </w:tc>
        <w:tc>
          <w:tcPr>
            <w:tcW w:w="0" w:type="auto"/>
            <w:vAlign w:val="center"/>
            <w:hideMark/>
          </w:tcPr>
          <w:p w14:paraId="1ADC6A02"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Reliability and appropriateness of data collection processes</w:t>
            </w:r>
          </w:p>
        </w:tc>
      </w:tr>
      <w:tr w:rsidR="00832F99" w:rsidRPr="00F45B03" w14:paraId="0F699F5B" w14:textId="77777777" w:rsidTr="000C7CEB">
        <w:trPr>
          <w:tblCellSpacing w:w="15" w:type="dxa"/>
        </w:trPr>
        <w:tc>
          <w:tcPr>
            <w:tcW w:w="0" w:type="auto"/>
            <w:vAlign w:val="center"/>
            <w:hideMark/>
          </w:tcPr>
          <w:p w14:paraId="457D86C9"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Consideration of bias</w:t>
            </w:r>
          </w:p>
        </w:tc>
        <w:tc>
          <w:tcPr>
            <w:tcW w:w="0" w:type="auto"/>
            <w:vAlign w:val="center"/>
            <w:hideMark/>
          </w:tcPr>
          <w:p w14:paraId="7BA8A25C"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Identification and management of potential sources of bias</w:t>
            </w:r>
          </w:p>
        </w:tc>
      </w:tr>
      <w:tr w:rsidR="00832F99" w:rsidRPr="00F45B03" w14:paraId="288165F3" w14:textId="77777777" w:rsidTr="000C7CEB">
        <w:trPr>
          <w:tblCellSpacing w:w="15" w:type="dxa"/>
        </w:trPr>
        <w:tc>
          <w:tcPr>
            <w:tcW w:w="0" w:type="auto"/>
            <w:vAlign w:val="center"/>
            <w:hideMark/>
          </w:tcPr>
          <w:p w14:paraId="62132A51"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Data analysis</w:t>
            </w:r>
          </w:p>
        </w:tc>
        <w:tc>
          <w:tcPr>
            <w:tcW w:w="0" w:type="auto"/>
            <w:vAlign w:val="center"/>
            <w:hideMark/>
          </w:tcPr>
          <w:p w14:paraId="144B517A"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Appropriateness and rigour of analytical methods</w:t>
            </w:r>
          </w:p>
        </w:tc>
      </w:tr>
      <w:tr w:rsidR="00832F99" w:rsidRPr="00F45B03" w14:paraId="2D63BFE2" w14:textId="77777777" w:rsidTr="000C7CEB">
        <w:trPr>
          <w:tblCellSpacing w:w="15" w:type="dxa"/>
        </w:trPr>
        <w:tc>
          <w:tcPr>
            <w:tcW w:w="0" w:type="auto"/>
            <w:vAlign w:val="center"/>
            <w:hideMark/>
          </w:tcPr>
          <w:p w14:paraId="0730F0B3"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Ethical considerations</w:t>
            </w:r>
          </w:p>
        </w:tc>
        <w:tc>
          <w:tcPr>
            <w:tcW w:w="0" w:type="auto"/>
            <w:vAlign w:val="center"/>
            <w:hideMark/>
          </w:tcPr>
          <w:p w14:paraId="7B8EB932"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Evidence of ethical approval and participant protection</w:t>
            </w:r>
          </w:p>
        </w:tc>
      </w:tr>
      <w:tr w:rsidR="00832F99" w:rsidRPr="00F45B03" w14:paraId="5F105214" w14:textId="77777777" w:rsidTr="000C7CEB">
        <w:trPr>
          <w:tblCellSpacing w:w="15" w:type="dxa"/>
        </w:trPr>
        <w:tc>
          <w:tcPr>
            <w:tcW w:w="0" w:type="auto"/>
            <w:vAlign w:val="center"/>
            <w:hideMark/>
          </w:tcPr>
          <w:p w14:paraId="66C4F95F"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Findings and conclusions</w:t>
            </w:r>
          </w:p>
        </w:tc>
        <w:tc>
          <w:tcPr>
            <w:tcW w:w="0" w:type="auto"/>
            <w:vAlign w:val="center"/>
            <w:hideMark/>
          </w:tcPr>
          <w:p w14:paraId="2D9F9B29"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Credibility, transparency, and relevance of findings</w:t>
            </w:r>
          </w:p>
        </w:tc>
      </w:tr>
    </w:tbl>
    <w:p w14:paraId="1029AF79"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Particular attention was paid to potential sources of bias within the included studies. Bias can influence study findings and reduce the validity of conclusions if not appropriately addressed (Higgins et al., 2023). Selection bias was considered when assessing participant recruitment procedures, while information bias was examined through evaluation of data collection and outcome measurement methods. Reporting bias and publication bias were also considered because studies reporting statistically significant findings are often more likely to be published than studies reporting negative or inconclusive results (Song et al., 2010).</w:t>
      </w:r>
    </w:p>
    <w:p w14:paraId="2A3D5F25" w14:textId="4DD042D1"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assessment of confounding variables was especially important because many studies examining cardiac rehabilitation outcomes use observational research designs</w:t>
      </w:r>
      <w:r w:rsidR="00082207" w:rsidRPr="00F45B03">
        <w:rPr>
          <w:rFonts w:ascii="Arial" w:hAnsi="Arial" w:cs="Arial"/>
          <w:sz w:val="22"/>
          <w:szCs w:val="22"/>
        </w:rPr>
        <w:t xml:space="preserve"> (Munn et al., 2018)</w:t>
      </w:r>
      <w:r w:rsidRPr="00F45B03">
        <w:rPr>
          <w:rFonts w:ascii="Arial" w:hAnsi="Arial" w:cs="Arial"/>
          <w:color w:val="000000" w:themeColor="text1"/>
          <w:sz w:val="22"/>
          <w:szCs w:val="22"/>
        </w:rPr>
        <w:t>. Factors such as age, sex, ethnicity, socioeconomic status, pre-existing health conditions, and healthcare accessibility may influence both rehabilitation participation and hospital readmission outcomes (Anderson et al., 2016). Studies that appropriately controlled for these confounding variables through statistical adjustment or stratified analysis were considered to provide stronger evidence than those that failed to account for such factors.</w:t>
      </w:r>
    </w:p>
    <w:p w14:paraId="0F77CC09"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Following appraisal, studies were categorised according to their overall methodological quality. This approach is commonly used within systematic reviews to facilitate </w:t>
      </w:r>
      <w:r w:rsidRPr="00F45B03">
        <w:rPr>
          <w:rFonts w:ascii="Arial" w:hAnsi="Arial" w:cs="Arial"/>
          <w:color w:val="000000" w:themeColor="text1"/>
          <w:sz w:val="22"/>
          <w:szCs w:val="22"/>
        </w:rPr>
        <w:lastRenderedPageBreak/>
        <w:t>interpretation of findings and ensure that conclusions are informed by the strongest available evidence (Booth, Sutton and Papaioannou, 2021).</w:t>
      </w:r>
    </w:p>
    <w:p w14:paraId="01DB3497" w14:textId="7BB40782" w:rsidR="00C40B32" w:rsidRPr="00F45B03" w:rsidRDefault="00C40B32" w:rsidP="00167E86">
      <w:pPr>
        <w:pStyle w:val="Heading4"/>
        <w:spacing w:line="360" w:lineRule="auto"/>
        <w:jc w:val="both"/>
        <w:rPr>
          <w:rFonts w:ascii="Arial" w:hAnsi="Arial" w:cs="Arial"/>
          <w:color w:val="000000" w:themeColor="text1"/>
        </w:rPr>
      </w:pPr>
      <w:r w:rsidRPr="00F45B03">
        <w:rPr>
          <w:rFonts w:ascii="Arial" w:hAnsi="Arial" w:cs="Arial"/>
          <w:color w:val="000000" w:themeColor="text1"/>
        </w:rPr>
        <w:t>Table 3</w:t>
      </w:r>
      <w:r w:rsidR="007B4AC4" w:rsidRPr="00F45B03">
        <w:rPr>
          <w:rFonts w:ascii="Arial" w:hAnsi="Arial" w:cs="Arial"/>
          <w:color w:val="000000" w:themeColor="text1"/>
        </w:rPr>
        <w:t>7</w:t>
      </w:r>
      <w:r w:rsidRPr="00F45B03">
        <w:rPr>
          <w:rFonts w:ascii="Arial" w:hAnsi="Arial" w:cs="Arial"/>
          <w:color w:val="000000" w:themeColor="text1"/>
        </w:rPr>
        <w:t>: Quality Rating Categories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51"/>
        <w:gridCol w:w="6117"/>
      </w:tblGrid>
      <w:tr w:rsidR="00832F99" w:rsidRPr="00F45B03" w14:paraId="29D0D65F" w14:textId="77777777" w:rsidTr="000C7CEB">
        <w:trPr>
          <w:tblHeader/>
          <w:tblCellSpacing w:w="15" w:type="dxa"/>
        </w:trPr>
        <w:tc>
          <w:tcPr>
            <w:tcW w:w="0" w:type="auto"/>
            <w:vAlign w:val="center"/>
            <w:hideMark/>
          </w:tcPr>
          <w:p w14:paraId="517D24A0"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Quality Rating</w:t>
            </w:r>
          </w:p>
        </w:tc>
        <w:tc>
          <w:tcPr>
            <w:tcW w:w="0" w:type="auto"/>
            <w:vAlign w:val="center"/>
            <w:hideMark/>
          </w:tcPr>
          <w:p w14:paraId="48F2E891" w14:textId="77777777" w:rsidR="00C40B32" w:rsidRPr="00F45B03" w:rsidRDefault="00C40B32" w:rsidP="00167E86">
            <w:pPr>
              <w:spacing w:line="360" w:lineRule="auto"/>
              <w:jc w:val="both"/>
              <w:rPr>
                <w:rFonts w:ascii="Arial" w:hAnsi="Arial" w:cs="Arial"/>
                <w:b/>
                <w:bCs/>
                <w:color w:val="000000" w:themeColor="text1"/>
              </w:rPr>
            </w:pPr>
            <w:r w:rsidRPr="00F45B03">
              <w:rPr>
                <w:rFonts w:ascii="Arial" w:hAnsi="Arial" w:cs="Arial"/>
                <w:b/>
                <w:bCs/>
                <w:color w:val="000000" w:themeColor="text1"/>
              </w:rPr>
              <w:t>Description</w:t>
            </w:r>
          </w:p>
        </w:tc>
      </w:tr>
      <w:tr w:rsidR="00832F99" w:rsidRPr="00F45B03" w14:paraId="35E2F98D" w14:textId="77777777" w:rsidTr="000C7CEB">
        <w:trPr>
          <w:tblCellSpacing w:w="15" w:type="dxa"/>
        </w:trPr>
        <w:tc>
          <w:tcPr>
            <w:tcW w:w="0" w:type="auto"/>
            <w:vAlign w:val="center"/>
            <w:hideMark/>
          </w:tcPr>
          <w:p w14:paraId="4BBCD03B"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High Quality</w:t>
            </w:r>
          </w:p>
        </w:tc>
        <w:tc>
          <w:tcPr>
            <w:tcW w:w="0" w:type="auto"/>
            <w:vAlign w:val="center"/>
            <w:hideMark/>
          </w:tcPr>
          <w:p w14:paraId="258D397B"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Strong methodological design with minimal risk of bias</w:t>
            </w:r>
          </w:p>
        </w:tc>
      </w:tr>
      <w:tr w:rsidR="00832F99" w:rsidRPr="00F45B03" w14:paraId="48524478" w14:textId="77777777" w:rsidTr="000C7CEB">
        <w:trPr>
          <w:tblCellSpacing w:w="15" w:type="dxa"/>
        </w:trPr>
        <w:tc>
          <w:tcPr>
            <w:tcW w:w="0" w:type="auto"/>
            <w:vAlign w:val="center"/>
            <w:hideMark/>
          </w:tcPr>
          <w:p w14:paraId="5F8C7634"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Moderate Quality</w:t>
            </w:r>
          </w:p>
        </w:tc>
        <w:tc>
          <w:tcPr>
            <w:tcW w:w="0" w:type="auto"/>
            <w:vAlign w:val="center"/>
            <w:hideMark/>
          </w:tcPr>
          <w:p w14:paraId="2A9F9CE2"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Acceptable methodological quality with some limitations</w:t>
            </w:r>
          </w:p>
        </w:tc>
      </w:tr>
      <w:tr w:rsidR="00832F99" w:rsidRPr="00F45B03" w14:paraId="604CE225" w14:textId="77777777" w:rsidTr="000C7CEB">
        <w:trPr>
          <w:tblCellSpacing w:w="15" w:type="dxa"/>
        </w:trPr>
        <w:tc>
          <w:tcPr>
            <w:tcW w:w="0" w:type="auto"/>
            <w:vAlign w:val="center"/>
            <w:hideMark/>
          </w:tcPr>
          <w:p w14:paraId="17199C8B"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Low Quality</w:t>
            </w:r>
          </w:p>
        </w:tc>
        <w:tc>
          <w:tcPr>
            <w:tcW w:w="0" w:type="auto"/>
            <w:vAlign w:val="center"/>
            <w:hideMark/>
          </w:tcPr>
          <w:p w14:paraId="4C973804" w14:textId="77777777" w:rsidR="00C40B32" w:rsidRPr="00F45B03" w:rsidRDefault="00C40B32" w:rsidP="00167E86">
            <w:pPr>
              <w:spacing w:line="360" w:lineRule="auto"/>
              <w:jc w:val="both"/>
              <w:rPr>
                <w:rFonts w:ascii="Arial" w:hAnsi="Arial" w:cs="Arial"/>
                <w:color w:val="000000" w:themeColor="text1"/>
              </w:rPr>
            </w:pPr>
            <w:r w:rsidRPr="00F45B03">
              <w:rPr>
                <w:rFonts w:ascii="Arial" w:hAnsi="Arial" w:cs="Arial"/>
                <w:color w:val="000000" w:themeColor="text1"/>
              </w:rPr>
              <w:t>Significant methodological weaknesses and higher risk of bias</w:t>
            </w:r>
          </w:p>
        </w:tc>
      </w:tr>
    </w:tbl>
    <w:p w14:paraId="008C867A"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Studies classified as high quality demonstrated clear research objectives, robust study designs, appropriate analytical methods, and adequate consideration of potential biases. Moderate-quality studies generally provided useful evidence but exhibited some methodological limitations that may have influenced their findings. Studies considered to be of low quality were carefully reviewed and excluded where methodological weaknesses significantly compromised the credibility of the evidence (Page et al., 2021).</w:t>
      </w:r>
    </w:p>
    <w:p w14:paraId="2A0FB26A"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The quality appraisal process also contributed to the reliability and validity of the review. Reliability was enhanced through the use of a structured and standardised appraisal framework, ensuring consistency in the evaluation of studies (Saunders, Lewis and Thornhill, 2023). Validity was strengthened by prioritising evidence derived from studies demonstrating strong methodological rigour and low risk of bias (Bryman, 2016). This approach reduced the likelihood that conclusions would be influenced by flawed or unreliable research.</w:t>
      </w:r>
    </w:p>
    <w:p w14:paraId="373C59E9"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Furthermore, quality appraisal informed the narrative synthesis process undertaken in this dissertation. Greater emphasis was placed on findings derived from high-quality studies, while evidence from studies with methodological limitations was interpreted cautiously and considered within the context of their potential weaknesses (Greenhalgh, 2019). This approach helped ensure that the final conclusions reflected the most reliable and credible evidence available concerning the effectiveness of cardiac rehabilitation programmes and the influence of ethnic and socioeconomic inequalities on hospital readmission outcomes.</w:t>
      </w:r>
    </w:p>
    <w:p w14:paraId="215216FA" w14:textId="77777777" w:rsidR="00C40B32" w:rsidRPr="00F45B03" w:rsidRDefault="00C40B32"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Overall, the use of the CASP framework provided a systematic, transparent, and rigorous method for evaluating the methodological quality of the literature included </w:t>
      </w:r>
      <w:r w:rsidRPr="00F45B03">
        <w:rPr>
          <w:rFonts w:ascii="Arial" w:hAnsi="Arial" w:cs="Arial"/>
          <w:color w:val="000000" w:themeColor="text1"/>
          <w:sz w:val="22"/>
          <w:szCs w:val="22"/>
        </w:rPr>
        <w:lastRenderedPageBreak/>
        <w:t>within this review. By critically assessing the strengths, limitations, and potential biases of individual studies, the quality appraisal process enhanced the credibility, trustworthiness, and overall robustness of the dissertation findings (CASP, 2024; Page et al., 2021).</w:t>
      </w:r>
    </w:p>
    <w:p w14:paraId="75043BD8" w14:textId="77777777" w:rsidR="003D5D31" w:rsidRPr="00F45B03" w:rsidRDefault="003D5D31" w:rsidP="00167E86">
      <w:pPr>
        <w:pStyle w:val="NormalWeb"/>
        <w:spacing w:line="360" w:lineRule="auto"/>
        <w:jc w:val="both"/>
        <w:rPr>
          <w:rFonts w:ascii="Arial" w:hAnsi="Arial" w:cs="Arial"/>
          <w:color w:val="000000" w:themeColor="text1"/>
          <w:sz w:val="22"/>
          <w:szCs w:val="22"/>
        </w:rPr>
      </w:pPr>
    </w:p>
    <w:p w14:paraId="65483003" w14:textId="68E0C4A5" w:rsidR="00C40B32" w:rsidRPr="00F45B03" w:rsidRDefault="007B4AC4" w:rsidP="00167E86">
      <w:pPr>
        <w:pStyle w:val="NormalWeb"/>
        <w:spacing w:line="360" w:lineRule="auto"/>
        <w:jc w:val="both"/>
        <w:rPr>
          <w:rFonts w:ascii="Arial" w:hAnsi="Arial" w:cs="Arial"/>
          <w:color w:val="000000" w:themeColor="text1"/>
          <w:sz w:val="22"/>
          <w:szCs w:val="22"/>
        </w:rPr>
      </w:pPr>
      <w:bookmarkStart w:id="4" w:name="_Hlk232450862"/>
      <w:r w:rsidRPr="00F45B03">
        <w:rPr>
          <w:rFonts w:ascii="Arial" w:hAnsi="Arial" w:cs="Arial"/>
          <w:sz w:val="22"/>
          <w:szCs w:val="22"/>
        </w:rPr>
        <w:t>Table: 3.8 CASP QUALITY APPRAISAL TABLE</w:t>
      </w:r>
    </w:p>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1002"/>
        <w:gridCol w:w="423"/>
        <w:gridCol w:w="1019"/>
        <w:gridCol w:w="906"/>
        <w:gridCol w:w="995"/>
        <w:gridCol w:w="995"/>
        <w:gridCol w:w="881"/>
        <w:gridCol w:w="946"/>
        <w:gridCol w:w="584"/>
        <w:gridCol w:w="703"/>
      </w:tblGrid>
      <w:tr w:rsidR="00EE3F34" w:rsidRPr="00F45B03" w14:paraId="27A3C3E8" w14:textId="77777777" w:rsidTr="00EE3F34">
        <w:trPr>
          <w:tblHeader/>
          <w:tblCellSpacing w:w="15" w:type="dxa"/>
        </w:trPr>
        <w:tc>
          <w:tcPr>
            <w:tcW w:w="1542" w:type="dxa"/>
            <w:vAlign w:val="center"/>
            <w:hideMark/>
          </w:tcPr>
          <w:bookmarkEnd w:id="4"/>
          <w:p w14:paraId="3A2F217C"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Study</w:t>
            </w:r>
          </w:p>
        </w:tc>
        <w:tc>
          <w:tcPr>
            <w:tcW w:w="0" w:type="auto"/>
            <w:vAlign w:val="center"/>
            <w:hideMark/>
          </w:tcPr>
          <w:p w14:paraId="3D2473E7"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Clear Aim</w:t>
            </w:r>
          </w:p>
        </w:tc>
        <w:tc>
          <w:tcPr>
            <w:tcW w:w="0" w:type="auto"/>
            <w:vAlign w:val="center"/>
            <w:hideMark/>
          </w:tcPr>
          <w:p w14:paraId="3A7F474D"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Appropriate Design</w:t>
            </w:r>
          </w:p>
        </w:tc>
        <w:tc>
          <w:tcPr>
            <w:tcW w:w="0" w:type="auto"/>
            <w:vAlign w:val="center"/>
            <w:hideMark/>
          </w:tcPr>
          <w:p w14:paraId="3FDF1B68"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Sampling / Recruitment</w:t>
            </w:r>
          </w:p>
        </w:tc>
        <w:tc>
          <w:tcPr>
            <w:tcW w:w="0" w:type="auto"/>
            <w:vAlign w:val="center"/>
            <w:hideMark/>
          </w:tcPr>
          <w:p w14:paraId="6D2B34BA"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Exposure Measurement</w:t>
            </w:r>
          </w:p>
        </w:tc>
        <w:tc>
          <w:tcPr>
            <w:tcW w:w="0" w:type="auto"/>
            <w:vAlign w:val="center"/>
            <w:hideMark/>
          </w:tcPr>
          <w:p w14:paraId="2D92BC82"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Outcome Measurement</w:t>
            </w:r>
          </w:p>
        </w:tc>
        <w:tc>
          <w:tcPr>
            <w:tcW w:w="0" w:type="auto"/>
            <w:vAlign w:val="center"/>
            <w:hideMark/>
          </w:tcPr>
          <w:p w14:paraId="7156814B"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Confounder Control</w:t>
            </w:r>
          </w:p>
        </w:tc>
        <w:tc>
          <w:tcPr>
            <w:tcW w:w="0" w:type="auto"/>
            <w:vAlign w:val="center"/>
            <w:hideMark/>
          </w:tcPr>
          <w:p w14:paraId="1EAB11AF"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Bias Management</w:t>
            </w:r>
          </w:p>
        </w:tc>
        <w:tc>
          <w:tcPr>
            <w:tcW w:w="0" w:type="auto"/>
            <w:vAlign w:val="center"/>
            <w:hideMark/>
          </w:tcPr>
          <w:p w14:paraId="23D22EBB"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Clarity of Results</w:t>
            </w:r>
          </w:p>
        </w:tc>
        <w:tc>
          <w:tcPr>
            <w:tcW w:w="0" w:type="auto"/>
            <w:vAlign w:val="center"/>
            <w:hideMark/>
          </w:tcPr>
          <w:p w14:paraId="515792B3"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Overall Quality</w:t>
            </w:r>
          </w:p>
        </w:tc>
      </w:tr>
      <w:tr w:rsidR="00EE3F34" w:rsidRPr="00F45B03" w14:paraId="5E3DB7A2" w14:textId="77777777" w:rsidTr="00EE3F34">
        <w:trPr>
          <w:tblCellSpacing w:w="15" w:type="dxa"/>
        </w:trPr>
        <w:tc>
          <w:tcPr>
            <w:tcW w:w="1542" w:type="dxa"/>
            <w:vAlign w:val="center"/>
            <w:hideMark/>
          </w:tcPr>
          <w:p w14:paraId="509F5DD1"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Anderson et al. (2016)</w:t>
            </w:r>
          </w:p>
        </w:tc>
        <w:tc>
          <w:tcPr>
            <w:tcW w:w="0" w:type="auto"/>
            <w:vAlign w:val="center"/>
            <w:hideMark/>
          </w:tcPr>
          <w:p w14:paraId="0CDF002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6215C13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(systematic review)</w:t>
            </w:r>
          </w:p>
        </w:tc>
        <w:tc>
          <w:tcPr>
            <w:tcW w:w="0" w:type="auto"/>
            <w:vAlign w:val="center"/>
            <w:hideMark/>
          </w:tcPr>
          <w:p w14:paraId="77A24E2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 (63 trials)</w:t>
            </w:r>
          </w:p>
        </w:tc>
        <w:tc>
          <w:tcPr>
            <w:tcW w:w="0" w:type="auto"/>
            <w:vAlign w:val="center"/>
            <w:hideMark/>
          </w:tcPr>
          <w:p w14:paraId="289CC24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20D4DEC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2174383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029E46D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0D1169C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701484F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High</w:t>
            </w:r>
          </w:p>
        </w:tc>
      </w:tr>
      <w:tr w:rsidR="00EE3F34" w:rsidRPr="00F45B03" w14:paraId="3AEA224B" w14:textId="77777777" w:rsidTr="00EE3F34">
        <w:trPr>
          <w:tblCellSpacing w:w="15" w:type="dxa"/>
        </w:trPr>
        <w:tc>
          <w:tcPr>
            <w:tcW w:w="1542" w:type="dxa"/>
            <w:vAlign w:val="center"/>
            <w:hideMark/>
          </w:tcPr>
          <w:p w14:paraId="00BAB086"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Dalal et al. (2015)</w:t>
            </w:r>
          </w:p>
        </w:tc>
        <w:tc>
          <w:tcPr>
            <w:tcW w:w="0" w:type="auto"/>
            <w:vAlign w:val="center"/>
            <w:hideMark/>
          </w:tcPr>
          <w:p w14:paraId="1512C30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0BD0757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(RCT)</w:t>
            </w:r>
          </w:p>
        </w:tc>
        <w:tc>
          <w:tcPr>
            <w:tcW w:w="0" w:type="auto"/>
            <w:vAlign w:val="center"/>
            <w:hideMark/>
          </w:tcPr>
          <w:p w14:paraId="5736B1E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6854BDE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16073A1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2E4D3E8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6464B2A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0625D8C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74FA21A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Medium–High</w:t>
            </w:r>
          </w:p>
        </w:tc>
      </w:tr>
      <w:tr w:rsidR="00EE3F34" w:rsidRPr="00F45B03" w14:paraId="060E7C53" w14:textId="77777777" w:rsidTr="00EE3F34">
        <w:trPr>
          <w:tblCellSpacing w:w="15" w:type="dxa"/>
        </w:trPr>
        <w:tc>
          <w:tcPr>
            <w:tcW w:w="1542" w:type="dxa"/>
            <w:vAlign w:val="center"/>
            <w:hideMark/>
          </w:tcPr>
          <w:p w14:paraId="43325F41"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Anderson et al. (2017)</w:t>
            </w:r>
          </w:p>
        </w:tc>
        <w:tc>
          <w:tcPr>
            <w:tcW w:w="0" w:type="auto"/>
            <w:vAlign w:val="center"/>
            <w:hideMark/>
          </w:tcPr>
          <w:p w14:paraId="7E7D0971"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1DE0232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(systematic review)</w:t>
            </w:r>
          </w:p>
        </w:tc>
        <w:tc>
          <w:tcPr>
            <w:tcW w:w="0" w:type="auto"/>
            <w:vAlign w:val="center"/>
            <w:hideMark/>
          </w:tcPr>
          <w:p w14:paraId="3AB210D9"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5C3D21B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3043048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16119ED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3D0751E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5CDD124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2813436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High</w:t>
            </w:r>
          </w:p>
        </w:tc>
      </w:tr>
      <w:tr w:rsidR="00EE3F34" w:rsidRPr="00F45B03" w14:paraId="139947F9" w14:textId="77777777" w:rsidTr="00EE3F34">
        <w:trPr>
          <w:tblCellSpacing w:w="15" w:type="dxa"/>
        </w:trPr>
        <w:tc>
          <w:tcPr>
            <w:tcW w:w="1542" w:type="dxa"/>
            <w:vAlign w:val="center"/>
            <w:hideMark/>
          </w:tcPr>
          <w:p w14:paraId="74C439D1"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Sumner et al. (2017)</w:t>
            </w:r>
          </w:p>
        </w:tc>
        <w:tc>
          <w:tcPr>
            <w:tcW w:w="0" w:type="auto"/>
            <w:vAlign w:val="center"/>
            <w:hideMark/>
          </w:tcPr>
          <w:p w14:paraId="26EAF393"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1E8F1091"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(cohort)</w:t>
            </w:r>
          </w:p>
        </w:tc>
        <w:tc>
          <w:tcPr>
            <w:tcW w:w="0" w:type="auto"/>
            <w:vAlign w:val="center"/>
            <w:hideMark/>
          </w:tcPr>
          <w:p w14:paraId="717B4D0F"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2248361B"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475074D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749E229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71A191DB"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5E6575C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7563E01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Medium–High</w:t>
            </w:r>
          </w:p>
        </w:tc>
      </w:tr>
      <w:tr w:rsidR="00EE3F34" w:rsidRPr="00F45B03" w14:paraId="79549624" w14:textId="77777777" w:rsidTr="00EE3F34">
        <w:trPr>
          <w:tblCellSpacing w:w="15" w:type="dxa"/>
        </w:trPr>
        <w:tc>
          <w:tcPr>
            <w:tcW w:w="1542" w:type="dxa"/>
            <w:vAlign w:val="center"/>
            <w:hideMark/>
          </w:tcPr>
          <w:p w14:paraId="7A6ADF1D"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Virani et al. (2021)</w:t>
            </w:r>
          </w:p>
        </w:tc>
        <w:tc>
          <w:tcPr>
            <w:tcW w:w="0" w:type="auto"/>
            <w:vAlign w:val="center"/>
            <w:hideMark/>
          </w:tcPr>
          <w:p w14:paraId="70FE5C8F"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6931D20F"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(observational)</w:t>
            </w:r>
          </w:p>
        </w:tc>
        <w:tc>
          <w:tcPr>
            <w:tcW w:w="0" w:type="auto"/>
            <w:vAlign w:val="center"/>
            <w:hideMark/>
          </w:tcPr>
          <w:p w14:paraId="375469E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 (national dataset)</w:t>
            </w:r>
          </w:p>
        </w:tc>
        <w:tc>
          <w:tcPr>
            <w:tcW w:w="0" w:type="auto"/>
            <w:vAlign w:val="center"/>
            <w:hideMark/>
          </w:tcPr>
          <w:p w14:paraId="3C6ED42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02CE8A5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489E8DE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05B62C9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38D94F4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03C3605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Medium–High</w:t>
            </w:r>
          </w:p>
        </w:tc>
      </w:tr>
      <w:tr w:rsidR="00EE3F34" w:rsidRPr="00F45B03" w14:paraId="353CDA6B" w14:textId="77777777" w:rsidTr="00EE3F34">
        <w:trPr>
          <w:tblCellSpacing w:w="15" w:type="dxa"/>
        </w:trPr>
        <w:tc>
          <w:tcPr>
            <w:tcW w:w="1542" w:type="dxa"/>
            <w:vAlign w:val="center"/>
            <w:hideMark/>
          </w:tcPr>
          <w:p w14:paraId="3D10D26C"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Galdas et al. (2018)</w:t>
            </w:r>
          </w:p>
        </w:tc>
        <w:tc>
          <w:tcPr>
            <w:tcW w:w="0" w:type="auto"/>
            <w:vAlign w:val="center"/>
            <w:hideMark/>
          </w:tcPr>
          <w:p w14:paraId="49655013"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4EBDD6BF"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(qualitative)</w:t>
            </w:r>
          </w:p>
        </w:tc>
        <w:tc>
          <w:tcPr>
            <w:tcW w:w="0" w:type="auto"/>
            <w:vAlign w:val="center"/>
            <w:hideMark/>
          </w:tcPr>
          <w:p w14:paraId="63E4422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46CB2AD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 (ethnicity captured)</w:t>
            </w:r>
          </w:p>
        </w:tc>
        <w:tc>
          <w:tcPr>
            <w:tcW w:w="0" w:type="auto"/>
            <w:vAlign w:val="center"/>
            <w:hideMark/>
          </w:tcPr>
          <w:p w14:paraId="7B381F7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 (CR engagement)</w:t>
            </w:r>
          </w:p>
        </w:tc>
        <w:tc>
          <w:tcPr>
            <w:tcW w:w="0" w:type="auto"/>
            <w:vAlign w:val="center"/>
            <w:hideMark/>
          </w:tcPr>
          <w:p w14:paraId="331B5D5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3BD88F13"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7DF595C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517FF73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Medium–High</w:t>
            </w:r>
          </w:p>
        </w:tc>
      </w:tr>
      <w:tr w:rsidR="00EE3F34" w:rsidRPr="00F45B03" w14:paraId="6BCCA1A6" w14:textId="77777777" w:rsidTr="00EE3F34">
        <w:trPr>
          <w:tblCellSpacing w:w="15" w:type="dxa"/>
        </w:trPr>
        <w:tc>
          <w:tcPr>
            <w:tcW w:w="1542" w:type="dxa"/>
            <w:vAlign w:val="center"/>
            <w:hideMark/>
          </w:tcPr>
          <w:p w14:paraId="7A940CFD"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Bachmann et al. (2017)</w:t>
            </w:r>
          </w:p>
        </w:tc>
        <w:tc>
          <w:tcPr>
            <w:tcW w:w="0" w:type="auto"/>
            <w:vAlign w:val="center"/>
            <w:hideMark/>
          </w:tcPr>
          <w:p w14:paraId="1CC3491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0AD8931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(national audit)</w:t>
            </w:r>
          </w:p>
        </w:tc>
        <w:tc>
          <w:tcPr>
            <w:tcW w:w="0" w:type="auto"/>
            <w:vAlign w:val="center"/>
            <w:hideMark/>
          </w:tcPr>
          <w:p w14:paraId="31906E2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 (&gt;100k patients)</w:t>
            </w:r>
          </w:p>
        </w:tc>
        <w:tc>
          <w:tcPr>
            <w:tcW w:w="0" w:type="auto"/>
            <w:vAlign w:val="center"/>
            <w:hideMark/>
          </w:tcPr>
          <w:p w14:paraId="0CDE342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43842E5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40F2757B"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3091BA2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619FA5D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44AAE98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High</w:t>
            </w:r>
          </w:p>
        </w:tc>
      </w:tr>
      <w:tr w:rsidR="00EE3F34" w:rsidRPr="00F45B03" w14:paraId="61E191C9" w14:textId="77777777" w:rsidTr="00EE3F34">
        <w:trPr>
          <w:tblCellSpacing w:w="15" w:type="dxa"/>
        </w:trPr>
        <w:tc>
          <w:tcPr>
            <w:tcW w:w="1542" w:type="dxa"/>
            <w:vAlign w:val="center"/>
            <w:hideMark/>
          </w:tcPr>
          <w:p w14:paraId="24624874"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Dalal et al. (2019)</w:t>
            </w:r>
          </w:p>
        </w:tc>
        <w:tc>
          <w:tcPr>
            <w:tcW w:w="0" w:type="auto"/>
            <w:vAlign w:val="center"/>
            <w:hideMark/>
          </w:tcPr>
          <w:p w14:paraId="69825A63"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48D27669"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(mixed methods)</w:t>
            </w:r>
          </w:p>
        </w:tc>
        <w:tc>
          <w:tcPr>
            <w:tcW w:w="0" w:type="auto"/>
            <w:vAlign w:val="center"/>
            <w:hideMark/>
          </w:tcPr>
          <w:p w14:paraId="4D1569F1"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498E2D8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6E763C6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48F7645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55D1A823"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672C1F9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22C45AF1"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Medium</w:t>
            </w:r>
          </w:p>
        </w:tc>
      </w:tr>
      <w:tr w:rsidR="00EE3F34" w:rsidRPr="00F45B03" w14:paraId="700A58C9" w14:textId="77777777" w:rsidTr="00EE3F34">
        <w:trPr>
          <w:tblCellSpacing w:w="15" w:type="dxa"/>
        </w:trPr>
        <w:tc>
          <w:tcPr>
            <w:tcW w:w="1542" w:type="dxa"/>
            <w:vAlign w:val="center"/>
            <w:hideMark/>
          </w:tcPr>
          <w:p w14:paraId="25A2BBBD"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Taylor et al. (2019)</w:t>
            </w:r>
          </w:p>
        </w:tc>
        <w:tc>
          <w:tcPr>
            <w:tcW w:w="0" w:type="auto"/>
            <w:vAlign w:val="center"/>
            <w:hideMark/>
          </w:tcPr>
          <w:p w14:paraId="6F0914D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4A70FAA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(RCT)</w:t>
            </w:r>
          </w:p>
        </w:tc>
        <w:tc>
          <w:tcPr>
            <w:tcW w:w="0" w:type="auto"/>
            <w:vAlign w:val="center"/>
            <w:hideMark/>
          </w:tcPr>
          <w:p w14:paraId="6B4DD42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23D1C2E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412FCC4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61BB780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6FF8C15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351F13A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0441EC13"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High</w:t>
            </w:r>
          </w:p>
        </w:tc>
      </w:tr>
      <w:tr w:rsidR="00EE3F34" w:rsidRPr="00F45B03" w14:paraId="4CEFF35E" w14:textId="77777777" w:rsidTr="00EE3F34">
        <w:trPr>
          <w:tblCellSpacing w:w="15" w:type="dxa"/>
        </w:trPr>
        <w:tc>
          <w:tcPr>
            <w:tcW w:w="1542" w:type="dxa"/>
            <w:vAlign w:val="center"/>
            <w:hideMark/>
          </w:tcPr>
          <w:p w14:paraId="57FD0696"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Jolly et al. (2009)</w:t>
            </w:r>
          </w:p>
        </w:tc>
        <w:tc>
          <w:tcPr>
            <w:tcW w:w="0" w:type="auto"/>
            <w:vAlign w:val="center"/>
            <w:hideMark/>
          </w:tcPr>
          <w:p w14:paraId="20F2942B"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152AE9C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(RCT)</w:t>
            </w:r>
          </w:p>
        </w:tc>
        <w:tc>
          <w:tcPr>
            <w:tcW w:w="0" w:type="auto"/>
            <w:vAlign w:val="center"/>
            <w:hideMark/>
          </w:tcPr>
          <w:p w14:paraId="2A57149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69BDBF8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2F6922E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6F6D3D6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4CDA774F"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741FDD2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0573F7A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Medium–High</w:t>
            </w:r>
          </w:p>
        </w:tc>
      </w:tr>
      <w:tr w:rsidR="00EE3F34" w:rsidRPr="00F45B03" w14:paraId="564A0730" w14:textId="77777777" w:rsidTr="00EE3F34">
        <w:trPr>
          <w:tblCellSpacing w:w="15" w:type="dxa"/>
        </w:trPr>
        <w:tc>
          <w:tcPr>
            <w:tcW w:w="1542" w:type="dxa"/>
            <w:vAlign w:val="center"/>
            <w:hideMark/>
          </w:tcPr>
          <w:p w14:paraId="2C583E1B"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Dibben et al. (2021)</w:t>
            </w:r>
          </w:p>
        </w:tc>
        <w:tc>
          <w:tcPr>
            <w:tcW w:w="0" w:type="auto"/>
            <w:vAlign w:val="center"/>
            <w:hideMark/>
          </w:tcPr>
          <w:p w14:paraId="50536D4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2B94CE2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(cohort)</w:t>
            </w:r>
          </w:p>
        </w:tc>
        <w:tc>
          <w:tcPr>
            <w:tcW w:w="0" w:type="auto"/>
            <w:vAlign w:val="center"/>
            <w:hideMark/>
          </w:tcPr>
          <w:p w14:paraId="06B4B9CF"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5E48EA4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2E517D5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074245A1"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1475EED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0B59185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7407475F"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High</w:t>
            </w:r>
          </w:p>
        </w:tc>
      </w:tr>
      <w:tr w:rsidR="00EE3F34" w:rsidRPr="00F45B03" w14:paraId="20BABBF5" w14:textId="77777777" w:rsidTr="00EE3F34">
        <w:trPr>
          <w:tblCellSpacing w:w="15" w:type="dxa"/>
        </w:trPr>
        <w:tc>
          <w:tcPr>
            <w:tcW w:w="1542" w:type="dxa"/>
            <w:vAlign w:val="center"/>
            <w:hideMark/>
          </w:tcPr>
          <w:p w14:paraId="7102AA0E"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proofErr w:type="spellStart"/>
            <w:r w:rsidRPr="00F45B03">
              <w:rPr>
                <w:rFonts w:ascii="Arial" w:hAnsi="Arial" w:cs="Arial"/>
                <w:b/>
                <w:bCs/>
                <w:color w:val="000000" w:themeColor="text1"/>
                <w:sz w:val="22"/>
                <w:szCs w:val="22"/>
                <w:lang w:val="en-GB"/>
              </w:rPr>
              <w:t>Kabboul</w:t>
            </w:r>
            <w:proofErr w:type="spellEnd"/>
            <w:r w:rsidRPr="00F45B03">
              <w:rPr>
                <w:rFonts w:ascii="Arial" w:hAnsi="Arial" w:cs="Arial"/>
                <w:b/>
                <w:bCs/>
                <w:color w:val="000000" w:themeColor="text1"/>
                <w:sz w:val="22"/>
                <w:szCs w:val="22"/>
                <w:lang w:val="en-GB"/>
              </w:rPr>
              <w:t xml:space="preserve"> et al. (2018)</w:t>
            </w:r>
          </w:p>
        </w:tc>
        <w:tc>
          <w:tcPr>
            <w:tcW w:w="0" w:type="auto"/>
            <w:vAlign w:val="center"/>
            <w:hideMark/>
          </w:tcPr>
          <w:p w14:paraId="0E42D153"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346528E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(systematic review)</w:t>
            </w:r>
          </w:p>
        </w:tc>
        <w:tc>
          <w:tcPr>
            <w:tcW w:w="0" w:type="auto"/>
            <w:vAlign w:val="center"/>
            <w:hideMark/>
          </w:tcPr>
          <w:p w14:paraId="27DF1843"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34B27CD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3E6CD871"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70B83CB1"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66FD43B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1D1CAA2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6FB8D47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High</w:t>
            </w:r>
          </w:p>
        </w:tc>
      </w:tr>
      <w:tr w:rsidR="00EE3F34" w:rsidRPr="00F45B03" w14:paraId="5B2BABEA" w14:textId="77777777" w:rsidTr="00EE3F34">
        <w:trPr>
          <w:tblCellSpacing w:w="15" w:type="dxa"/>
        </w:trPr>
        <w:tc>
          <w:tcPr>
            <w:tcW w:w="1542" w:type="dxa"/>
            <w:vAlign w:val="center"/>
            <w:hideMark/>
          </w:tcPr>
          <w:p w14:paraId="36C975CE"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Neubeck et al. (2020)</w:t>
            </w:r>
          </w:p>
        </w:tc>
        <w:tc>
          <w:tcPr>
            <w:tcW w:w="0" w:type="auto"/>
            <w:vAlign w:val="center"/>
            <w:hideMark/>
          </w:tcPr>
          <w:p w14:paraId="69B9247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7EB8F81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(systematic review)</w:t>
            </w:r>
          </w:p>
        </w:tc>
        <w:tc>
          <w:tcPr>
            <w:tcW w:w="0" w:type="auto"/>
            <w:vAlign w:val="center"/>
            <w:hideMark/>
          </w:tcPr>
          <w:p w14:paraId="19137FA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1C14DAC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6718AA4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3848436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474F6ED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4D5BD119"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56717F4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High</w:t>
            </w:r>
          </w:p>
        </w:tc>
      </w:tr>
      <w:tr w:rsidR="00EE3F34" w:rsidRPr="00F45B03" w14:paraId="469E71FC" w14:textId="77777777" w:rsidTr="00EE3F34">
        <w:trPr>
          <w:tblCellSpacing w:w="15" w:type="dxa"/>
        </w:trPr>
        <w:tc>
          <w:tcPr>
            <w:tcW w:w="1542" w:type="dxa"/>
            <w:vAlign w:val="center"/>
            <w:hideMark/>
          </w:tcPr>
          <w:p w14:paraId="356F1EE7"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Jelinek et al. (2020)</w:t>
            </w:r>
          </w:p>
        </w:tc>
        <w:tc>
          <w:tcPr>
            <w:tcW w:w="0" w:type="auto"/>
            <w:vAlign w:val="center"/>
            <w:hideMark/>
          </w:tcPr>
          <w:p w14:paraId="0301572B"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6579B887"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(cohort)</w:t>
            </w:r>
          </w:p>
        </w:tc>
        <w:tc>
          <w:tcPr>
            <w:tcW w:w="0" w:type="auto"/>
            <w:vAlign w:val="center"/>
            <w:hideMark/>
          </w:tcPr>
          <w:p w14:paraId="09A8FDD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Good</w:t>
            </w:r>
          </w:p>
        </w:tc>
        <w:tc>
          <w:tcPr>
            <w:tcW w:w="0" w:type="auto"/>
            <w:vAlign w:val="center"/>
            <w:hideMark/>
          </w:tcPr>
          <w:p w14:paraId="331E258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269357E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7DA0364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064EF0D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1D7A915F"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0227A981"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Medium–High</w:t>
            </w:r>
          </w:p>
        </w:tc>
      </w:tr>
      <w:tr w:rsidR="00EE3F34" w:rsidRPr="00F45B03" w14:paraId="4BA7BC49" w14:textId="77777777" w:rsidTr="00EE3F34">
        <w:trPr>
          <w:tblCellSpacing w:w="15" w:type="dxa"/>
        </w:trPr>
        <w:tc>
          <w:tcPr>
            <w:tcW w:w="1542" w:type="dxa"/>
            <w:vAlign w:val="center"/>
            <w:hideMark/>
          </w:tcPr>
          <w:p w14:paraId="4787AC43"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proofErr w:type="spellStart"/>
            <w:r w:rsidRPr="00F45B03">
              <w:rPr>
                <w:rFonts w:ascii="Arial" w:hAnsi="Arial" w:cs="Arial"/>
                <w:b/>
                <w:bCs/>
                <w:color w:val="000000" w:themeColor="text1"/>
                <w:sz w:val="22"/>
                <w:szCs w:val="22"/>
                <w:lang w:val="en-GB"/>
              </w:rPr>
              <w:t>Resurrección</w:t>
            </w:r>
            <w:proofErr w:type="spellEnd"/>
            <w:r w:rsidRPr="00F45B03">
              <w:rPr>
                <w:rFonts w:ascii="Arial" w:hAnsi="Arial" w:cs="Arial"/>
                <w:b/>
                <w:bCs/>
                <w:color w:val="000000" w:themeColor="text1"/>
                <w:sz w:val="22"/>
                <w:szCs w:val="22"/>
                <w:lang w:val="en-GB"/>
              </w:rPr>
              <w:t xml:space="preserve"> et al. (2017)</w:t>
            </w:r>
          </w:p>
        </w:tc>
        <w:tc>
          <w:tcPr>
            <w:tcW w:w="0" w:type="auto"/>
            <w:vAlign w:val="center"/>
            <w:hideMark/>
          </w:tcPr>
          <w:p w14:paraId="3AE85D6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w:t>
            </w:r>
          </w:p>
        </w:tc>
        <w:tc>
          <w:tcPr>
            <w:tcW w:w="0" w:type="auto"/>
            <w:vAlign w:val="center"/>
            <w:hideMark/>
          </w:tcPr>
          <w:p w14:paraId="7F543B2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Yes (mixed methods)</w:t>
            </w:r>
          </w:p>
        </w:tc>
        <w:tc>
          <w:tcPr>
            <w:tcW w:w="0" w:type="auto"/>
            <w:vAlign w:val="center"/>
            <w:hideMark/>
          </w:tcPr>
          <w:p w14:paraId="5D6EB909"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7BBD74F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2E3E359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Strong</w:t>
            </w:r>
          </w:p>
        </w:tc>
        <w:tc>
          <w:tcPr>
            <w:tcW w:w="0" w:type="auto"/>
            <w:vAlign w:val="center"/>
            <w:hideMark/>
          </w:tcPr>
          <w:p w14:paraId="239B1C3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1095C6C4"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Moderate</w:t>
            </w:r>
          </w:p>
        </w:tc>
        <w:tc>
          <w:tcPr>
            <w:tcW w:w="0" w:type="auto"/>
            <w:vAlign w:val="center"/>
            <w:hideMark/>
          </w:tcPr>
          <w:p w14:paraId="5CF718C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w:t>
            </w:r>
          </w:p>
        </w:tc>
        <w:tc>
          <w:tcPr>
            <w:tcW w:w="0" w:type="auto"/>
            <w:vAlign w:val="center"/>
            <w:hideMark/>
          </w:tcPr>
          <w:p w14:paraId="0E7F7B3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b/>
                <w:bCs/>
                <w:color w:val="000000" w:themeColor="text1"/>
                <w:sz w:val="22"/>
                <w:szCs w:val="22"/>
                <w:lang w:val="en-GB"/>
              </w:rPr>
              <w:t>Medium</w:t>
            </w:r>
          </w:p>
        </w:tc>
      </w:tr>
    </w:tbl>
    <w:p w14:paraId="3E8FBD92" w14:textId="2B68671A" w:rsidR="00A82B86" w:rsidRPr="00F45B03" w:rsidRDefault="00A82B86" w:rsidP="00167E86">
      <w:pPr>
        <w:pStyle w:val="NormalWeb"/>
        <w:spacing w:line="360" w:lineRule="auto"/>
        <w:jc w:val="both"/>
        <w:rPr>
          <w:rFonts w:ascii="Arial" w:hAnsi="Arial" w:cs="Arial"/>
          <w:color w:val="000000" w:themeColor="text1"/>
          <w:sz w:val="22"/>
          <w:szCs w:val="22"/>
        </w:rPr>
      </w:pPr>
    </w:p>
    <w:p w14:paraId="5F481AD9" w14:textId="6C3ADED5" w:rsidR="00A82B86" w:rsidRPr="00F45B03" w:rsidRDefault="00A82B86" w:rsidP="00167E86">
      <w:pPr>
        <w:pStyle w:val="NormalWeb"/>
        <w:spacing w:line="360" w:lineRule="auto"/>
        <w:jc w:val="both"/>
        <w:rPr>
          <w:rFonts w:ascii="Arial" w:hAnsi="Arial" w:cs="Arial"/>
          <w:color w:val="000000" w:themeColor="text1"/>
          <w:sz w:val="22"/>
          <w:szCs w:val="22"/>
        </w:rPr>
      </w:pPr>
    </w:p>
    <w:p w14:paraId="29836FB7" w14:textId="32618D55" w:rsidR="00A82B86" w:rsidRPr="00F45B03" w:rsidRDefault="00A82B86" w:rsidP="00167E86">
      <w:pPr>
        <w:pStyle w:val="NormalWeb"/>
        <w:spacing w:line="360" w:lineRule="auto"/>
        <w:jc w:val="both"/>
        <w:rPr>
          <w:rFonts w:ascii="Arial" w:hAnsi="Arial" w:cs="Arial"/>
          <w:color w:val="000000" w:themeColor="text1"/>
          <w:sz w:val="22"/>
          <w:szCs w:val="22"/>
        </w:rPr>
      </w:pPr>
    </w:p>
    <w:p w14:paraId="6377C527" w14:textId="04D349C1" w:rsidR="00A82B86" w:rsidRDefault="00A82B86" w:rsidP="00167E86">
      <w:pPr>
        <w:pStyle w:val="NormalWeb"/>
        <w:spacing w:line="360" w:lineRule="auto"/>
        <w:jc w:val="both"/>
        <w:rPr>
          <w:rFonts w:ascii="Arial" w:hAnsi="Arial" w:cs="Arial"/>
          <w:color w:val="000000" w:themeColor="text1"/>
          <w:sz w:val="22"/>
          <w:szCs w:val="22"/>
        </w:rPr>
      </w:pPr>
    </w:p>
    <w:p w14:paraId="04BC8D40" w14:textId="77777777" w:rsidR="00507D96" w:rsidRDefault="00507D96" w:rsidP="00167E86">
      <w:pPr>
        <w:pStyle w:val="NormalWeb"/>
        <w:spacing w:line="360" w:lineRule="auto"/>
        <w:jc w:val="both"/>
        <w:rPr>
          <w:rFonts w:ascii="Arial" w:hAnsi="Arial" w:cs="Arial"/>
          <w:color w:val="000000" w:themeColor="text1"/>
          <w:sz w:val="22"/>
          <w:szCs w:val="22"/>
        </w:rPr>
      </w:pPr>
    </w:p>
    <w:p w14:paraId="33D134FA" w14:textId="77777777" w:rsidR="002D512F" w:rsidRPr="00F45B03" w:rsidRDefault="002D512F" w:rsidP="00167E86">
      <w:pPr>
        <w:pStyle w:val="Heading1"/>
        <w:spacing w:line="360" w:lineRule="auto"/>
        <w:jc w:val="both"/>
        <w:rPr>
          <w:rFonts w:ascii="Arial" w:hAnsi="Arial" w:cs="Arial"/>
          <w:color w:val="000000" w:themeColor="text1"/>
          <w:sz w:val="22"/>
          <w:szCs w:val="22"/>
        </w:rPr>
      </w:pPr>
      <w:r w:rsidRPr="00F45B03">
        <w:rPr>
          <w:rStyle w:val="Strong"/>
          <w:rFonts w:ascii="Arial" w:hAnsi="Arial" w:cs="Arial"/>
          <w:b w:val="0"/>
          <w:bCs w:val="0"/>
          <w:color w:val="000000" w:themeColor="text1"/>
          <w:sz w:val="22"/>
          <w:szCs w:val="22"/>
        </w:rPr>
        <w:t>CHAPTER 4: FINDINGS</w:t>
      </w:r>
    </w:p>
    <w:p w14:paraId="4B6FA991"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4.1 Introduction</w:t>
      </w:r>
    </w:p>
    <w:p w14:paraId="15C8F64C"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This chapter presents the findings of the systematic review examining the effectiveness of cardiac rehabilitation (CR) in reducing hospital readmissions among adults aged 55 years and over in England, with a focus on ethnic and socioeconomic inequalities. The findings are organised into five themes derived from the included studies: (1) effectiveness of CR in reducing hospital readmissions, (2) ethnic inequalities in CR participation and outcomes, (3) socioeconomic inequalities influencing CR engagement, (4) barriers and facilitators to CR participation, and (5) outcomes among older adults. Each theme integrates quantitative and qualitative evidence from the 15 included studies, with in</w:t>
      </w:r>
      <w:r w:rsidRPr="00F45B03">
        <w:rPr>
          <w:rFonts w:ascii="Arial" w:hAnsi="Arial" w:cs="Arial"/>
          <w:color w:val="000000" w:themeColor="text1"/>
          <w:sz w:val="22"/>
          <w:szCs w:val="22"/>
          <w:lang w:val="en-GB"/>
        </w:rPr>
        <w:noBreakHyphen/>
        <w:t>text citations supporting all statements to ensure academic rigour and alignment with PRISMA 2020 guidance (Page et al., 2021).</w:t>
      </w:r>
    </w:p>
    <w:p w14:paraId="599D742F"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4.2 Overview of Included Studies</w:t>
      </w:r>
    </w:p>
    <w:p w14:paraId="087F203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 xml:space="preserve">A total of </w:t>
      </w:r>
      <w:r w:rsidRPr="00F45B03">
        <w:rPr>
          <w:rFonts w:ascii="Arial" w:hAnsi="Arial" w:cs="Arial"/>
          <w:b/>
          <w:bCs/>
          <w:color w:val="000000" w:themeColor="text1"/>
          <w:sz w:val="22"/>
          <w:szCs w:val="22"/>
          <w:lang w:val="en-GB"/>
        </w:rPr>
        <w:t>15 studies</w:t>
      </w:r>
      <w:r w:rsidRPr="00F45B03">
        <w:rPr>
          <w:rFonts w:ascii="Arial" w:hAnsi="Arial" w:cs="Arial"/>
          <w:color w:val="000000" w:themeColor="text1"/>
          <w:sz w:val="22"/>
          <w:szCs w:val="22"/>
          <w:lang w:val="en-GB"/>
        </w:rPr>
        <w:t xml:space="preserve"> met the inclusion criteria, comprising quantitative, qualitative, and mixed</w:t>
      </w:r>
      <w:r w:rsidRPr="00F45B03">
        <w:rPr>
          <w:rFonts w:ascii="Arial" w:hAnsi="Arial" w:cs="Arial"/>
          <w:color w:val="000000" w:themeColor="text1"/>
          <w:sz w:val="22"/>
          <w:szCs w:val="22"/>
          <w:lang w:val="en-GB"/>
        </w:rPr>
        <w:noBreakHyphen/>
        <w:t>methods designs. Quantitative studies included large cohort analyses, randomised controlled trials, and observational studies examining CR participation, functional outcomes, and hospital readmissions (Anderson et al., 2016; Dalal et al., 2015; Dibben et al., 2021; Jelinek et al., 2020). Systematic reviews provided further synthesis of CR effectiveness and delivery models, including home</w:t>
      </w:r>
      <w:r w:rsidRPr="00F45B03">
        <w:rPr>
          <w:rFonts w:ascii="Arial" w:hAnsi="Arial" w:cs="Arial"/>
          <w:color w:val="000000" w:themeColor="text1"/>
          <w:sz w:val="22"/>
          <w:szCs w:val="22"/>
          <w:lang w:val="en-GB"/>
        </w:rPr>
        <w:noBreakHyphen/>
        <w:t>based and centre</w:t>
      </w:r>
      <w:r w:rsidRPr="00F45B03">
        <w:rPr>
          <w:rFonts w:ascii="Arial" w:hAnsi="Arial" w:cs="Arial"/>
          <w:color w:val="000000" w:themeColor="text1"/>
          <w:sz w:val="22"/>
          <w:szCs w:val="22"/>
          <w:lang w:val="en-GB"/>
        </w:rPr>
        <w:noBreakHyphen/>
        <w:t xml:space="preserve">based formats (Anderson et al., 2017; </w:t>
      </w:r>
      <w:proofErr w:type="spellStart"/>
      <w:r w:rsidRPr="00F45B03">
        <w:rPr>
          <w:rFonts w:ascii="Arial" w:hAnsi="Arial" w:cs="Arial"/>
          <w:color w:val="000000" w:themeColor="text1"/>
          <w:sz w:val="22"/>
          <w:szCs w:val="22"/>
          <w:lang w:val="en-GB"/>
        </w:rPr>
        <w:t>Kabboul</w:t>
      </w:r>
      <w:proofErr w:type="spellEnd"/>
      <w:r w:rsidRPr="00F45B03">
        <w:rPr>
          <w:rFonts w:ascii="Arial" w:hAnsi="Arial" w:cs="Arial"/>
          <w:color w:val="000000" w:themeColor="text1"/>
          <w:sz w:val="22"/>
          <w:szCs w:val="22"/>
          <w:lang w:val="en-GB"/>
        </w:rPr>
        <w:t xml:space="preserve"> et al., 2018; Neubeck et al., 2020). Qualitative studies explored patient experiences, cultural influences, and barriers to engagement (Galdas et al., 2018;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while mixed</w:t>
      </w:r>
      <w:r w:rsidRPr="00F45B03">
        <w:rPr>
          <w:rFonts w:ascii="Arial" w:hAnsi="Arial" w:cs="Arial"/>
          <w:color w:val="000000" w:themeColor="text1"/>
          <w:sz w:val="22"/>
          <w:szCs w:val="22"/>
          <w:lang w:val="en-GB"/>
        </w:rPr>
        <w:noBreakHyphen/>
        <w:t>methods evaluations offered integrated insights into both outcomes and patient perspectives (Dalal et al., 2019).</w:t>
      </w:r>
    </w:p>
    <w:p w14:paraId="1003C27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The included studies varied widely in sample size, ranging from small qualitative samples of 40–60 participants (Galdas et al., 2018) to large national datasets involving tens of thousands of individuals (Bachmann et al., 2017). This variation enabled examination of both individual</w:t>
      </w:r>
      <w:r w:rsidRPr="00F45B03">
        <w:rPr>
          <w:rFonts w:ascii="Arial" w:hAnsi="Arial" w:cs="Arial"/>
          <w:color w:val="000000" w:themeColor="text1"/>
          <w:sz w:val="22"/>
          <w:szCs w:val="22"/>
          <w:lang w:val="en-GB"/>
        </w:rPr>
        <w:noBreakHyphen/>
        <w:t>level experiences and population</w:t>
      </w:r>
      <w:r w:rsidRPr="00F45B03">
        <w:rPr>
          <w:rFonts w:ascii="Arial" w:hAnsi="Arial" w:cs="Arial"/>
          <w:color w:val="000000" w:themeColor="text1"/>
          <w:sz w:val="22"/>
          <w:szCs w:val="22"/>
          <w:lang w:val="en-GB"/>
        </w:rPr>
        <w:noBreakHyphen/>
        <w:t>level trends. National audit</w:t>
      </w:r>
      <w:r w:rsidRPr="00F45B03">
        <w:rPr>
          <w:rFonts w:ascii="Arial" w:hAnsi="Arial" w:cs="Arial"/>
          <w:color w:val="000000" w:themeColor="text1"/>
          <w:sz w:val="22"/>
          <w:szCs w:val="22"/>
          <w:lang w:val="en-GB"/>
        </w:rPr>
        <w:noBreakHyphen/>
        <w:t xml:space="preserve">linked cohort studies, such as Bachmann et al. (2017) and Sumner et al. (2017), provided robust evidence on inequalities in CR referral and completion, while trials </w:t>
      </w:r>
      <w:r w:rsidRPr="00F45B03">
        <w:rPr>
          <w:rFonts w:ascii="Arial" w:hAnsi="Arial" w:cs="Arial"/>
          <w:color w:val="000000" w:themeColor="text1"/>
          <w:sz w:val="22"/>
          <w:szCs w:val="22"/>
          <w:lang w:val="en-GB"/>
        </w:rPr>
        <w:lastRenderedPageBreak/>
        <w:t>such as Dalal et al. (2015) and Jolly et al. (2009) contributed high</w:t>
      </w:r>
      <w:r w:rsidRPr="00F45B03">
        <w:rPr>
          <w:rFonts w:ascii="Arial" w:hAnsi="Arial" w:cs="Arial"/>
          <w:color w:val="000000" w:themeColor="text1"/>
          <w:sz w:val="22"/>
          <w:szCs w:val="22"/>
          <w:lang w:val="en-GB"/>
        </w:rPr>
        <w:noBreakHyphen/>
        <w:t>quality evidence on the comparative effectiveness of different CR delivery models. The diversity of study designs strengthened the review by providing both statistical evidence of CR effectiveness and contextual understanding of the social, cultural, and structural factors influencing participation (Boland et al., 2017). All studies were conducted in the UK or included UK</w:t>
      </w:r>
      <w:r w:rsidRPr="00F45B03">
        <w:rPr>
          <w:rFonts w:ascii="Arial" w:hAnsi="Arial" w:cs="Arial"/>
          <w:color w:val="000000" w:themeColor="text1"/>
          <w:sz w:val="22"/>
          <w:szCs w:val="22"/>
          <w:lang w:val="en-GB"/>
        </w:rPr>
        <w:noBreakHyphen/>
        <w:t>specific data, ensuring relevance to the research question and applicability to the English healthcare context (Public Health England, 2020).</w:t>
      </w:r>
    </w:p>
    <w:p w14:paraId="7B47F298" w14:textId="77777777" w:rsidR="00EE3F34" w:rsidRPr="00F45B03" w:rsidRDefault="00EE3F34" w:rsidP="00167E86">
      <w:pPr>
        <w:pStyle w:val="NormalWeb"/>
        <w:spacing w:line="360" w:lineRule="auto"/>
        <w:jc w:val="both"/>
        <w:rPr>
          <w:rFonts w:ascii="Arial" w:hAnsi="Arial" w:cs="Arial"/>
          <w:color w:val="000000" w:themeColor="text1"/>
          <w:sz w:val="22"/>
          <w:szCs w:val="22"/>
        </w:rPr>
      </w:pPr>
      <w:r w:rsidRPr="00F45B03">
        <w:rPr>
          <w:rFonts w:ascii="Arial" w:hAnsi="Arial" w:cs="Arial"/>
          <w:color w:val="000000" w:themeColor="text1"/>
          <w:sz w:val="22"/>
          <w:szCs w:val="22"/>
        </w:rPr>
        <w:t xml:space="preserve">Table 4.1: </w:t>
      </w:r>
      <w:r w:rsidRPr="00F45B03">
        <w:rPr>
          <w:rStyle w:val="Strong"/>
          <w:rFonts w:ascii="Arial" w:hAnsi="Arial" w:cs="Arial"/>
          <w:b w:val="0"/>
          <w:bCs w:val="0"/>
          <w:sz w:val="22"/>
          <w:szCs w:val="22"/>
        </w:rPr>
        <w:t>THEMATIC SYNTHESIS</w:t>
      </w:r>
      <w:r w:rsidRPr="00F45B03">
        <w:rPr>
          <w:rFonts w:ascii="Arial" w:hAnsi="Arial" w:cs="Arial"/>
          <w:color w:val="000000" w:themeColor="text1"/>
          <w:sz w:val="22"/>
          <w:szCs w:val="22"/>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312"/>
      </w:tblGrid>
      <w:tr w:rsidR="00EE3F34" w:rsidRPr="00F45B03" w14:paraId="5B853B50" w14:textId="77777777" w:rsidTr="000C7CEB">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4"/>
              <w:gridCol w:w="3398"/>
              <w:gridCol w:w="2440"/>
            </w:tblGrid>
            <w:tr w:rsidR="00EE3F34" w:rsidRPr="00F45B03" w14:paraId="4586E106" w14:textId="77777777" w:rsidTr="000C7CEB">
              <w:trPr>
                <w:tblHeader/>
                <w:tblCellSpacing w:w="15" w:type="dxa"/>
              </w:trPr>
              <w:tc>
                <w:tcPr>
                  <w:tcW w:w="0" w:type="auto"/>
                  <w:vAlign w:val="center"/>
                  <w:hideMark/>
                </w:tcPr>
                <w:p w14:paraId="1232A73C"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Theme</w:t>
                  </w:r>
                </w:p>
              </w:tc>
              <w:tc>
                <w:tcPr>
                  <w:tcW w:w="0" w:type="auto"/>
                  <w:vAlign w:val="center"/>
                  <w:hideMark/>
                </w:tcPr>
                <w:p w14:paraId="3C465F92"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Sub</w:t>
                  </w:r>
                  <w:r w:rsidRPr="00F45B03">
                    <w:rPr>
                      <w:rFonts w:ascii="Arial" w:hAnsi="Arial" w:cs="Arial"/>
                      <w:b/>
                      <w:bCs/>
                      <w:color w:val="000000" w:themeColor="text1"/>
                      <w:sz w:val="22"/>
                      <w:szCs w:val="22"/>
                      <w:lang w:val="en-GB"/>
                    </w:rPr>
                    <w:noBreakHyphen/>
                    <w:t>themes</w:t>
                  </w:r>
                </w:p>
              </w:tc>
              <w:tc>
                <w:tcPr>
                  <w:tcW w:w="0" w:type="auto"/>
                  <w:vAlign w:val="center"/>
                  <w:hideMark/>
                </w:tcPr>
                <w:p w14:paraId="72CD3569"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Supporting Verified Studies</w:t>
                  </w:r>
                </w:p>
              </w:tc>
            </w:tr>
            <w:tr w:rsidR="00EE3F34" w:rsidRPr="00F45B03" w14:paraId="1CE64215" w14:textId="77777777" w:rsidTr="000C7CEB">
              <w:trPr>
                <w:tblCellSpacing w:w="15" w:type="dxa"/>
              </w:trPr>
              <w:tc>
                <w:tcPr>
                  <w:tcW w:w="0" w:type="auto"/>
                  <w:vAlign w:val="center"/>
                  <w:hideMark/>
                </w:tcPr>
                <w:p w14:paraId="627381F6"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1. Effectiveness of Cardiac Rehabilitation in Reducing Hospital Readmission</w:t>
                  </w:r>
                </w:p>
              </w:tc>
              <w:tc>
                <w:tcPr>
                  <w:tcW w:w="0" w:type="auto"/>
                  <w:vAlign w:val="center"/>
                  <w:hideMark/>
                </w:tcPr>
                <w:p w14:paraId="044DB1F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Reduced readmissions; mortality reduction; home vs centre</w:t>
                  </w:r>
                  <w:r w:rsidRPr="00F45B03">
                    <w:rPr>
                      <w:rFonts w:ascii="Arial" w:hAnsi="Arial" w:cs="Arial"/>
                      <w:color w:val="000000" w:themeColor="text1"/>
                      <w:sz w:val="22"/>
                      <w:szCs w:val="22"/>
                      <w:lang w:val="en-GB"/>
                    </w:rPr>
                    <w:noBreakHyphen/>
                    <w:t>based CR; importance of completion; long</w:t>
                  </w:r>
                  <w:r w:rsidRPr="00F45B03">
                    <w:rPr>
                      <w:rFonts w:ascii="Arial" w:hAnsi="Arial" w:cs="Arial"/>
                      <w:color w:val="000000" w:themeColor="text1"/>
                      <w:sz w:val="22"/>
                      <w:szCs w:val="22"/>
                      <w:lang w:val="en-GB"/>
                    </w:rPr>
                    <w:noBreakHyphen/>
                    <w:t>term protective effects</w:t>
                  </w:r>
                </w:p>
              </w:tc>
              <w:tc>
                <w:tcPr>
                  <w:tcW w:w="0" w:type="auto"/>
                  <w:vAlign w:val="center"/>
                  <w:hideMark/>
                </w:tcPr>
                <w:p w14:paraId="33B0B39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Anderson et al. (2016); Dalal et al. (2015); Anderson et al. (2017); Taylor et al. (2019); Dibben et al. (2021); Jolly et al. (2009)</w:t>
                  </w:r>
                </w:p>
              </w:tc>
            </w:tr>
            <w:tr w:rsidR="00EE3F34" w:rsidRPr="00F45B03" w14:paraId="3A888EBE" w14:textId="77777777" w:rsidTr="000C7CEB">
              <w:trPr>
                <w:tblCellSpacing w:w="15" w:type="dxa"/>
              </w:trPr>
              <w:tc>
                <w:tcPr>
                  <w:tcW w:w="0" w:type="auto"/>
                  <w:vAlign w:val="center"/>
                  <w:hideMark/>
                </w:tcPr>
                <w:p w14:paraId="4881E922"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2. Ethnic Inequalities in CR Participation and Outcomes</w:t>
                  </w:r>
                </w:p>
              </w:tc>
              <w:tc>
                <w:tcPr>
                  <w:tcW w:w="0" w:type="auto"/>
                  <w:vAlign w:val="center"/>
                  <w:hideMark/>
                </w:tcPr>
                <w:p w14:paraId="3AD99E7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Lower referral and completion; cultural mismatch; language barriers; mistrust; social support gaps</w:t>
                  </w:r>
                </w:p>
              </w:tc>
              <w:tc>
                <w:tcPr>
                  <w:tcW w:w="0" w:type="auto"/>
                  <w:vAlign w:val="center"/>
                  <w:hideMark/>
                </w:tcPr>
                <w:p w14:paraId="49A0D7E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Galdas et al. (2018); Bachmann et al. (2017); Virani et al. (2021); Sumner et al. (2017); Dalal et al. (2019)</w:t>
                  </w:r>
                </w:p>
              </w:tc>
            </w:tr>
            <w:tr w:rsidR="00EE3F34" w:rsidRPr="00F45B03" w14:paraId="713C6B03" w14:textId="77777777" w:rsidTr="000C7CEB">
              <w:trPr>
                <w:tblCellSpacing w:w="15" w:type="dxa"/>
              </w:trPr>
              <w:tc>
                <w:tcPr>
                  <w:tcW w:w="0" w:type="auto"/>
                  <w:vAlign w:val="center"/>
                  <w:hideMark/>
                </w:tcPr>
                <w:p w14:paraId="23D8DB3A"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3. Socioeconomic Inequalities and CR Effectiveness</w:t>
                  </w:r>
                </w:p>
              </w:tc>
              <w:tc>
                <w:tcPr>
                  <w:tcW w:w="0" w:type="auto"/>
                  <w:vAlign w:val="center"/>
                  <w:hideMark/>
                </w:tcPr>
                <w:p w14:paraId="515F0F7E"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Deprivation and non</w:t>
                  </w:r>
                  <w:r w:rsidRPr="00F45B03">
                    <w:rPr>
                      <w:rFonts w:ascii="Arial" w:hAnsi="Arial" w:cs="Arial"/>
                      <w:color w:val="000000" w:themeColor="text1"/>
                      <w:sz w:val="22"/>
                      <w:szCs w:val="22"/>
                      <w:lang w:val="en-GB"/>
                    </w:rPr>
                    <w:noBreakHyphen/>
                    <w:t>completion; transport and financial barriers; low health literacy; competing responsibilities</w:t>
                  </w:r>
                </w:p>
              </w:tc>
              <w:tc>
                <w:tcPr>
                  <w:tcW w:w="0" w:type="auto"/>
                  <w:vAlign w:val="center"/>
                  <w:hideMark/>
                </w:tcPr>
                <w:p w14:paraId="46E2434B"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 xml:space="preserve">Bachmann et al. (2017); Sumner et al. (2017); </w:t>
                  </w:r>
                  <w:proofErr w:type="spellStart"/>
                  <w:r w:rsidRPr="00F45B03">
                    <w:rPr>
                      <w:rFonts w:ascii="Arial" w:hAnsi="Arial" w:cs="Arial"/>
                      <w:color w:val="000000" w:themeColor="text1"/>
                      <w:sz w:val="22"/>
                      <w:szCs w:val="22"/>
                      <w:lang w:val="en-GB"/>
                    </w:rPr>
                    <w:t>Kabboul</w:t>
                  </w:r>
                  <w:proofErr w:type="spellEnd"/>
                  <w:r w:rsidRPr="00F45B03">
                    <w:rPr>
                      <w:rFonts w:ascii="Arial" w:hAnsi="Arial" w:cs="Arial"/>
                      <w:color w:val="000000" w:themeColor="text1"/>
                      <w:sz w:val="22"/>
                      <w:szCs w:val="22"/>
                      <w:lang w:val="en-GB"/>
                    </w:rPr>
                    <w:t xml:space="preserve"> et al. (2018); Neubeck et al. (2020); Dalal et al. (2019)</w:t>
                  </w:r>
                </w:p>
              </w:tc>
            </w:tr>
            <w:tr w:rsidR="00EE3F34" w:rsidRPr="00F45B03" w14:paraId="1F38F46C" w14:textId="77777777" w:rsidTr="000C7CEB">
              <w:trPr>
                <w:tblCellSpacing w:w="15" w:type="dxa"/>
              </w:trPr>
              <w:tc>
                <w:tcPr>
                  <w:tcW w:w="0" w:type="auto"/>
                  <w:vAlign w:val="center"/>
                  <w:hideMark/>
                </w:tcPr>
                <w:p w14:paraId="35E238F8"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4. Barriers and Facilitators to CR Participation</w:t>
                  </w:r>
                </w:p>
              </w:tc>
              <w:tc>
                <w:tcPr>
                  <w:tcW w:w="0" w:type="auto"/>
                  <w:vAlign w:val="center"/>
                  <w:hideMark/>
                </w:tcPr>
                <w:p w14:paraId="42B044B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Low referral; psychological distress; multimorbidity; fear of exercise; communication gaps; flexible/home</w:t>
                  </w:r>
                  <w:r w:rsidRPr="00F45B03">
                    <w:rPr>
                      <w:rFonts w:ascii="Arial" w:hAnsi="Arial" w:cs="Arial"/>
                      <w:color w:val="000000" w:themeColor="text1"/>
                      <w:sz w:val="22"/>
                      <w:szCs w:val="22"/>
                      <w:lang w:val="en-GB"/>
                    </w:rPr>
                    <w:noBreakHyphen/>
                    <w:t>based CR; social support</w:t>
                  </w:r>
                </w:p>
              </w:tc>
              <w:tc>
                <w:tcPr>
                  <w:tcW w:w="0" w:type="auto"/>
                  <w:vAlign w:val="center"/>
                  <w:hideMark/>
                </w:tcPr>
                <w:p w14:paraId="7F48999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 xml:space="preserve">Sumner et al. (2017); Galdas et al. (2018); Dalal et al. (2019); Taylor et al. (2019); Neubeck et al. (2020); </w:t>
                  </w:r>
                  <w:proofErr w:type="spellStart"/>
                  <w:r w:rsidRPr="00F45B03">
                    <w:rPr>
                      <w:rFonts w:ascii="Arial" w:hAnsi="Arial" w:cs="Arial"/>
                      <w:color w:val="000000" w:themeColor="text1"/>
                      <w:sz w:val="22"/>
                      <w:szCs w:val="22"/>
                      <w:lang w:val="en-GB"/>
                    </w:rPr>
                    <w:t>Kabboul</w:t>
                  </w:r>
                  <w:proofErr w:type="spellEnd"/>
                  <w:r w:rsidRPr="00F45B03">
                    <w:rPr>
                      <w:rFonts w:ascii="Arial" w:hAnsi="Arial" w:cs="Arial"/>
                      <w:color w:val="000000" w:themeColor="text1"/>
                      <w:sz w:val="22"/>
                      <w:szCs w:val="22"/>
                      <w:lang w:val="en-GB"/>
                    </w:rPr>
                    <w:t xml:space="preserve"> et al. (2018)</w:t>
                  </w:r>
                </w:p>
              </w:tc>
            </w:tr>
            <w:tr w:rsidR="00EE3F34" w:rsidRPr="00F45B03" w14:paraId="2914D2E8" w14:textId="77777777" w:rsidTr="000C7CEB">
              <w:trPr>
                <w:tblCellSpacing w:w="15" w:type="dxa"/>
              </w:trPr>
              <w:tc>
                <w:tcPr>
                  <w:tcW w:w="0" w:type="auto"/>
                  <w:vAlign w:val="center"/>
                  <w:hideMark/>
                </w:tcPr>
                <w:p w14:paraId="6705A07C" w14:textId="77777777"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5. CR Outcomes in Older Adults (55+ in England)</w:t>
                  </w:r>
                </w:p>
              </w:tc>
              <w:tc>
                <w:tcPr>
                  <w:tcW w:w="0" w:type="auto"/>
                  <w:vAlign w:val="center"/>
                  <w:hideMark/>
                </w:tcPr>
                <w:p w14:paraId="5DEA994D"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Functional improvement; reduced readmissions; multimorbidity mitigation; reassurance; social interaction; personalised plans; home</w:t>
                  </w:r>
                  <w:r w:rsidRPr="00F45B03">
                    <w:rPr>
                      <w:rFonts w:ascii="Arial" w:hAnsi="Arial" w:cs="Arial"/>
                      <w:color w:val="000000" w:themeColor="text1"/>
                      <w:sz w:val="22"/>
                      <w:szCs w:val="22"/>
                      <w:lang w:val="en-GB"/>
                    </w:rPr>
                    <w:noBreakHyphen/>
                    <w:t>based accessibility</w:t>
                  </w:r>
                </w:p>
              </w:tc>
              <w:tc>
                <w:tcPr>
                  <w:tcW w:w="0" w:type="auto"/>
                  <w:vAlign w:val="center"/>
                  <w:hideMark/>
                </w:tcPr>
                <w:p w14:paraId="0C07FA2A"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Dalal et al. (2015); Anderson et al. (2016); Taylor et al. (2019); Jelinek et al. (2020); Dibben et al. (2021); Dalal et al. (2019)</w:t>
                  </w:r>
                </w:p>
              </w:tc>
            </w:tr>
          </w:tbl>
          <w:p w14:paraId="1EEBEA3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p>
        </w:tc>
      </w:tr>
    </w:tbl>
    <w:p w14:paraId="21414528" w14:textId="632027EB"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 xml:space="preserve"> </w:t>
      </w:r>
      <w:r w:rsidR="005D4590" w:rsidRPr="00F45B03">
        <w:rPr>
          <w:rFonts w:ascii="Arial" w:hAnsi="Arial" w:cs="Arial"/>
          <w:b/>
          <w:bCs/>
          <w:color w:val="000000" w:themeColor="text1"/>
          <w:sz w:val="22"/>
          <w:szCs w:val="22"/>
          <w:lang w:val="en-GB"/>
        </w:rPr>
        <w:t xml:space="preserve">4.3 </w:t>
      </w:r>
      <w:r w:rsidRPr="00F45B03">
        <w:rPr>
          <w:rFonts w:ascii="Arial" w:hAnsi="Arial" w:cs="Arial"/>
          <w:b/>
          <w:bCs/>
          <w:color w:val="000000" w:themeColor="text1"/>
          <w:sz w:val="22"/>
          <w:szCs w:val="22"/>
          <w:lang w:val="en-GB"/>
        </w:rPr>
        <w:t>THEME 1: Effectiveness of Cardiac Rehabilitation in Reducing Hospital Readmission</w:t>
      </w:r>
    </w:p>
    <w:p w14:paraId="6006C1E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Cardiac rehabilitation consistently demonstrates meaningful reductions in hospital readmissions and mortality, particularly when programmes are completed and when flexible delivery models are available. Evidence from Anderson et al. (2016), who synthesised 63 trials involving over 14,000 participants, shows that exercise</w:t>
      </w:r>
      <w:r w:rsidRPr="00F45B03">
        <w:rPr>
          <w:rFonts w:ascii="Arial" w:hAnsi="Arial" w:cs="Arial"/>
          <w:color w:val="000000" w:themeColor="text1"/>
          <w:sz w:val="22"/>
          <w:szCs w:val="22"/>
          <w:lang w:val="en-GB"/>
        </w:rPr>
        <w:noBreakHyphen/>
        <w:t>based CR reduces cardiovascular mortality and unplanned hospitalisations compared with usual care, highlighting its role as a core secondary prevention strategy. This is reinforced by Taylor et al. (2019), who found that older adults participating in structured CR experienced fewer readmissions and significant improvements in functional capacity, suggesting that benefits extend across age groups. Randomised trials comparing delivery modes also support this effectiveness: Dalal et al. (2015) demonstrated that home</w:t>
      </w:r>
      <w:r w:rsidRPr="00F45B03">
        <w:rPr>
          <w:rFonts w:ascii="Arial" w:hAnsi="Arial" w:cs="Arial"/>
          <w:color w:val="000000" w:themeColor="text1"/>
          <w:sz w:val="22"/>
          <w:szCs w:val="22"/>
          <w:lang w:val="en-GB"/>
        </w:rPr>
        <w:noBreakHyphen/>
        <w:t>based CR produced clinical outcomes equivalent to centre</w:t>
      </w:r>
      <w:r w:rsidRPr="00F45B03">
        <w:rPr>
          <w:rFonts w:ascii="Arial" w:hAnsi="Arial" w:cs="Arial"/>
          <w:color w:val="000000" w:themeColor="text1"/>
          <w:sz w:val="22"/>
          <w:szCs w:val="22"/>
          <w:lang w:val="en-GB"/>
        </w:rPr>
        <w:noBreakHyphen/>
        <w:t>based programmes, while Jolly et al. (2009) similarly reported comparable gains in exercise tolerance and psychological wellbeing. Together, these findings indicate that CR is not only clinically effective but adaptable to different patient needs.</w:t>
      </w:r>
    </w:p>
    <w:p w14:paraId="7E48D756"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 xml:space="preserve">Across these studies, a consistent pattern emerges: </w:t>
      </w:r>
      <w:r w:rsidRPr="00F45B03">
        <w:rPr>
          <w:rFonts w:ascii="Arial" w:hAnsi="Arial" w:cs="Arial"/>
          <w:b/>
          <w:bCs/>
          <w:color w:val="000000" w:themeColor="text1"/>
          <w:sz w:val="22"/>
          <w:szCs w:val="22"/>
          <w:lang w:val="en-GB"/>
        </w:rPr>
        <w:t>completion</w:t>
      </w:r>
      <w:r w:rsidRPr="00F45B03">
        <w:rPr>
          <w:rFonts w:ascii="Arial" w:hAnsi="Arial" w:cs="Arial"/>
          <w:color w:val="000000" w:themeColor="text1"/>
          <w:sz w:val="22"/>
          <w:szCs w:val="22"/>
          <w:lang w:val="en-GB"/>
        </w:rPr>
        <w:t xml:space="preserve"> of CR appears to be the strongest predictor of reduced readmissions. Dibben et al. (2021), analysing a large contemporary cohort, found that patients who completed CR had significantly lower all</w:t>
      </w:r>
      <w:r w:rsidRPr="00F45B03">
        <w:rPr>
          <w:rFonts w:ascii="Arial" w:hAnsi="Arial" w:cs="Arial"/>
          <w:color w:val="000000" w:themeColor="text1"/>
          <w:sz w:val="22"/>
          <w:szCs w:val="22"/>
          <w:lang w:val="en-GB"/>
        </w:rPr>
        <w:noBreakHyphen/>
        <w:t>cause mortality and readmission risk than non</w:t>
      </w:r>
      <w:r w:rsidRPr="00F45B03">
        <w:rPr>
          <w:rFonts w:ascii="Arial" w:hAnsi="Arial" w:cs="Arial"/>
          <w:color w:val="000000" w:themeColor="text1"/>
          <w:sz w:val="22"/>
          <w:szCs w:val="22"/>
          <w:lang w:val="en-GB"/>
        </w:rPr>
        <w:noBreakHyphen/>
        <w:t>completers, suggesting that the protective effect of CR is dose</w:t>
      </w:r>
      <w:r w:rsidRPr="00F45B03">
        <w:rPr>
          <w:rFonts w:ascii="Arial" w:hAnsi="Arial" w:cs="Arial"/>
          <w:color w:val="000000" w:themeColor="text1"/>
          <w:sz w:val="22"/>
          <w:szCs w:val="22"/>
          <w:lang w:val="en-GB"/>
        </w:rPr>
        <w:noBreakHyphen/>
        <w:t>dependent. However, the evidence also reveals limitations that temper the strength of these conclusions. Many trials recruit motivated, lower</w:t>
      </w:r>
      <w:r w:rsidRPr="00F45B03">
        <w:rPr>
          <w:rFonts w:ascii="Arial" w:hAnsi="Arial" w:cs="Arial"/>
          <w:color w:val="000000" w:themeColor="text1"/>
          <w:sz w:val="22"/>
          <w:szCs w:val="22"/>
          <w:lang w:val="en-GB"/>
        </w:rPr>
        <w:noBreakHyphen/>
        <w:t>risk patients, which may overestimate real</w:t>
      </w:r>
      <w:r w:rsidRPr="00F45B03">
        <w:rPr>
          <w:rFonts w:ascii="Arial" w:hAnsi="Arial" w:cs="Arial"/>
          <w:color w:val="000000" w:themeColor="text1"/>
          <w:sz w:val="22"/>
          <w:szCs w:val="22"/>
          <w:lang w:val="en-GB"/>
        </w:rPr>
        <w:noBreakHyphen/>
        <w:t>world effectiveness, and multimorbidity—common in older adults—is often under</w:t>
      </w:r>
      <w:r w:rsidRPr="00F45B03">
        <w:rPr>
          <w:rFonts w:ascii="Arial" w:hAnsi="Arial" w:cs="Arial"/>
          <w:color w:val="000000" w:themeColor="text1"/>
          <w:sz w:val="22"/>
          <w:szCs w:val="22"/>
          <w:lang w:val="en-GB"/>
        </w:rPr>
        <w:noBreakHyphen/>
        <w:t>represented. Despite these constraints, the convergence of findings across RCTs, cohort studies, and systematic reviews provides robust support for CR as an effective intervention for reducing readmissions, while also highlighting the need to address barriers to completion to maximise its population</w:t>
      </w:r>
      <w:r w:rsidRPr="00F45B03">
        <w:rPr>
          <w:rFonts w:ascii="Arial" w:hAnsi="Arial" w:cs="Arial"/>
          <w:color w:val="000000" w:themeColor="text1"/>
          <w:sz w:val="22"/>
          <w:szCs w:val="22"/>
          <w:lang w:val="en-GB"/>
        </w:rPr>
        <w:noBreakHyphen/>
        <w:t>level impact.</w:t>
      </w:r>
    </w:p>
    <w:p w14:paraId="4B79EF15" w14:textId="7FF58F6D" w:rsidR="00EE3F34" w:rsidRPr="00F45B03" w:rsidRDefault="005D4590"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4.4</w:t>
      </w:r>
      <w:r w:rsidR="00EE3F34" w:rsidRPr="00F45B03">
        <w:rPr>
          <w:rFonts w:ascii="Arial" w:hAnsi="Arial" w:cs="Arial"/>
          <w:b/>
          <w:bCs/>
          <w:color w:val="000000" w:themeColor="text1"/>
          <w:sz w:val="22"/>
          <w:szCs w:val="22"/>
          <w:lang w:val="en-GB"/>
        </w:rPr>
        <w:t xml:space="preserve"> THEME 2: Ethnic Inequalities in CR Participation and Outcomes</w:t>
      </w:r>
    </w:p>
    <w:p w14:paraId="1FD5E7C0"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Ethnic inequalities in cardiac rehabilitation participation are consistently evident across both quantitative and qualitative evidence. National audit data from Bachmann et al. (2017) show that patients from South Asian, Black, and other minority ethnic backgrounds are significantly less likely to be referred to or complete CR compared with White patients, even after adjusting for age, comorbidities, and clinical severity. Qualitative work by Galdas et al. (2018) helps explain these disparities, revealing that cultural mismatch, language barriers, and differing expectations of recovery shape how minority ethnic groups perceive CR. These findings are reinforced by broader epidemiological evidence from Virani et al. (2021), which highlights persistent ethnic disparities in cardiovascular outcomes and secondary prevention engagement. Together, the studies suggest that inequalities are not simply a matter of individual preference but are embedded in structural and relational aspects of healthcare delivery.</w:t>
      </w:r>
    </w:p>
    <w:p w14:paraId="6C287289"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The evidence also indicates that ethnic inequalities are compounded by social support gaps and communication barriers that reduce programme acceptability. Sumner et al. (2017) found that minority ethnic patients were more likely to report uncertainty about the purpose of CR and less likely to feel that programmes reflected their cultural or linguistic needs. Dalal et al. (2019) similarly observed that patients from diverse backgrounds valued flexible, home</w:t>
      </w:r>
      <w:r w:rsidRPr="00F45B03">
        <w:rPr>
          <w:rFonts w:ascii="Arial" w:hAnsi="Arial" w:cs="Arial"/>
          <w:color w:val="000000" w:themeColor="text1"/>
          <w:sz w:val="22"/>
          <w:szCs w:val="22"/>
          <w:lang w:val="en-GB"/>
        </w:rPr>
        <w:noBreakHyphen/>
        <w:t>based models but often required additional support to navigate self</w:t>
      </w:r>
      <w:r w:rsidRPr="00F45B03">
        <w:rPr>
          <w:rFonts w:ascii="Arial" w:hAnsi="Arial" w:cs="Arial"/>
          <w:color w:val="000000" w:themeColor="text1"/>
          <w:sz w:val="22"/>
          <w:szCs w:val="22"/>
          <w:lang w:val="en-GB"/>
        </w:rPr>
        <w:noBreakHyphen/>
        <w:t>management materials. While these studies vary in design, their convergence strengthens the argument that CR services are not equally accessible or culturally attuned. At the same time, most evidence is observational, meaning causality cannot be fully established, and ethnic categories are often broad, masking within</w:t>
      </w:r>
      <w:r w:rsidRPr="00F45B03">
        <w:rPr>
          <w:rFonts w:ascii="Arial" w:hAnsi="Arial" w:cs="Arial"/>
          <w:color w:val="000000" w:themeColor="text1"/>
          <w:sz w:val="22"/>
          <w:szCs w:val="22"/>
          <w:lang w:val="en-GB"/>
        </w:rPr>
        <w:noBreakHyphen/>
        <w:t>group diversity. Nonetheless, the pattern across studies is clear: standard CR models do not adequately meet the needs of minority ethnic groups, contributing to persistent inequalities in participation and outcomes.</w:t>
      </w:r>
    </w:p>
    <w:p w14:paraId="66BEDE0A" w14:textId="492BF634"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 xml:space="preserve"> </w:t>
      </w:r>
      <w:r w:rsidR="005D4590" w:rsidRPr="00F45B03">
        <w:rPr>
          <w:rFonts w:ascii="Arial" w:hAnsi="Arial" w:cs="Arial"/>
          <w:b/>
          <w:bCs/>
          <w:color w:val="000000" w:themeColor="text1"/>
          <w:sz w:val="22"/>
          <w:szCs w:val="22"/>
          <w:lang w:val="en-GB"/>
        </w:rPr>
        <w:t>4.5</w:t>
      </w:r>
      <w:r w:rsidRPr="00F45B03">
        <w:rPr>
          <w:rFonts w:ascii="Arial" w:hAnsi="Arial" w:cs="Arial"/>
          <w:b/>
          <w:bCs/>
          <w:color w:val="000000" w:themeColor="text1"/>
          <w:sz w:val="22"/>
          <w:szCs w:val="22"/>
          <w:lang w:val="en-GB"/>
        </w:rPr>
        <w:t>THEME 3: Socioeconomic Inequalities and CR Effectiveness</w:t>
      </w:r>
    </w:p>
    <w:p w14:paraId="4359119B"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 xml:space="preserve">Socioeconomic deprivation emerges as a major determinant of CR participation and effectiveness, with multiple studies showing that individuals living in deprived areas face greater barriers to accessing and completing rehabilitation. Bachmann et al. (2017) demonstrated that patients from the most deprived quintiles were significantly less likely to be referred to CR and had lower completion rates, suggesting that structural disadvantage limits exposure to the intervention itself. Sumner et al. (2017) </w:t>
      </w:r>
      <w:r w:rsidRPr="00F45B03">
        <w:rPr>
          <w:rFonts w:ascii="Arial" w:hAnsi="Arial" w:cs="Arial"/>
          <w:color w:val="000000" w:themeColor="text1"/>
          <w:sz w:val="22"/>
          <w:szCs w:val="22"/>
          <w:lang w:val="en-GB"/>
        </w:rPr>
        <w:lastRenderedPageBreak/>
        <w:t>further identified transport difficulties, work and caring responsibilities, and financial pressures as key barriers that disproportionately affect lower</w:t>
      </w:r>
      <w:r w:rsidRPr="00F45B03">
        <w:rPr>
          <w:rFonts w:ascii="Arial" w:hAnsi="Arial" w:cs="Arial"/>
          <w:color w:val="000000" w:themeColor="text1"/>
          <w:sz w:val="22"/>
          <w:szCs w:val="22"/>
          <w:lang w:val="en-GB"/>
        </w:rPr>
        <w:noBreakHyphen/>
        <w:t>income patients. These findings indicate that socioeconomic context shapes not only whether patients attend CR but also their capacity to sustain engagement over time.</w:t>
      </w:r>
    </w:p>
    <w:p w14:paraId="4B053755"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 xml:space="preserve">At the same time, evidence suggests that tailored or flexible CR models may mitigate some of these inequalities. Neubeck et al. (2020) found that digital and remote CR interventions improved accessibility for patients facing logistical barriers, although they also warned that digital exclusion could reinforce inequalities for those without adequate technology or digital literacy. </w:t>
      </w:r>
      <w:proofErr w:type="spellStart"/>
      <w:r w:rsidRPr="00F45B03">
        <w:rPr>
          <w:rFonts w:ascii="Arial" w:hAnsi="Arial" w:cs="Arial"/>
          <w:color w:val="000000" w:themeColor="text1"/>
          <w:sz w:val="22"/>
          <w:szCs w:val="22"/>
          <w:lang w:val="en-GB"/>
        </w:rPr>
        <w:t>Kabboul</w:t>
      </w:r>
      <w:proofErr w:type="spellEnd"/>
      <w:r w:rsidRPr="00F45B03">
        <w:rPr>
          <w:rFonts w:ascii="Arial" w:hAnsi="Arial" w:cs="Arial"/>
          <w:color w:val="000000" w:themeColor="text1"/>
          <w:sz w:val="22"/>
          <w:szCs w:val="22"/>
          <w:lang w:val="en-GB"/>
        </w:rPr>
        <w:t xml:space="preserve"> et al. (2018) showed that educational components within CR improved self</w:t>
      </w:r>
      <w:r w:rsidRPr="00F45B03">
        <w:rPr>
          <w:rFonts w:ascii="Arial" w:hAnsi="Arial" w:cs="Arial"/>
          <w:color w:val="000000" w:themeColor="text1"/>
          <w:sz w:val="22"/>
          <w:szCs w:val="22"/>
          <w:lang w:val="en-GB"/>
        </w:rPr>
        <w:noBreakHyphen/>
        <w:t>management and adherence, but such benefits presuppose attendance and a baseline level of health literacy, which may be unevenly distributed across socioeconomic groups. Dalal et al. (2019) demonstrated that home</w:t>
      </w:r>
      <w:r w:rsidRPr="00F45B03">
        <w:rPr>
          <w:rFonts w:ascii="Arial" w:hAnsi="Arial" w:cs="Arial"/>
          <w:color w:val="000000" w:themeColor="text1"/>
          <w:sz w:val="22"/>
          <w:szCs w:val="22"/>
          <w:lang w:val="en-GB"/>
        </w:rPr>
        <w:noBreakHyphen/>
        <w:t>based heart failure rehabilitation improved outcomes for older adults, yet even this model required adequate support and understanding. Collectively, these studies highlight that socioeconomic inequalities do not diminish the clinical effectiveness of CR itself but rather limit who can access and benefit from it, underscoring the need for targeted strategies to reduce structural barriers.</w:t>
      </w:r>
    </w:p>
    <w:p w14:paraId="2228916C" w14:textId="2A5E6A9B"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 xml:space="preserve"> </w:t>
      </w:r>
      <w:r w:rsidR="005D4590" w:rsidRPr="00F45B03">
        <w:rPr>
          <w:rFonts w:ascii="Arial" w:hAnsi="Arial" w:cs="Arial"/>
          <w:b/>
          <w:bCs/>
          <w:color w:val="000000" w:themeColor="text1"/>
          <w:sz w:val="22"/>
          <w:szCs w:val="22"/>
          <w:lang w:val="en-GB"/>
        </w:rPr>
        <w:t>4.6</w:t>
      </w:r>
      <w:r w:rsidRPr="00F45B03">
        <w:rPr>
          <w:rFonts w:ascii="Arial" w:hAnsi="Arial" w:cs="Arial"/>
          <w:b/>
          <w:bCs/>
          <w:color w:val="000000" w:themeColor="text1"/>
          <w:sz w:val="22"/>
          <w:szCs w:val="22"/>
          <w:lang w:val="en-GB"/>
        </w:rPr>
        <w:t>THEME 4: Barriers and Facilitators to CR Participation</w:t>
      </w:r>
    </w:p>
    <w:p w14:paraId="095F9209"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Participation in cardiac rehabilitation is shaped by a complex interplay of clinical, psychological, and practical factors, with several studies highlighting how these barriers influence engagement. Sumner et al. (2017) found that comorbidities, fatigue, anxiety, and logistical challenges such as transport and time constraints were common reasons for non</w:t>
      </w:r>
      <w:r w:rsidRPr="00F45B03">
        <w:rPr>
          <w:rFonts w:ascii="Arial" w:hAnsi="Arial" w:cs="Arial"/>
          <w:color w:val="000000" w:themeColor="text1"/>
          <w:sz w:val="22"/>
          <w:szCs w:val="22"/>
          <w:lang w:val="en-GB"/>
        </w:rPr>
        <w:noBreakHyphen/>
        <w:t>attendance. Galdas et al. (2018) added that cultural expectations, gender roles, and emotional barriers also influenced engagement, particularly among women and minority ethnic groups. These findings suggest that barriers are multifaceted and often intersect, meaning that patients may face several overlapping challenges rather than a single obstacle.</w:t>
      </w:r>
    </w:p>
    <w:p w14:paraId="327226C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Evidence also points to facilitators that can enhance participation, particularly when CR is delivered flexibly and with personalised support. Dalal et al. (2019) showed that home</w:t>
      </w:r>
      <w:r w:rsidRPr="00F45B03">
        <w:rPr>
          <w:rFonts w:ascii="Arial" w:hAnsi="Arial" w:cs="Arial"/>
          <w:color w:val="000000" w:themeColor="text1"/>
          <w:sz w:val="22"/>
          <w:szCs w:val="22"/>
          <w:lang w:val="en-GB"/>
        </w:rPr>
        <w:noBreakHyphen/>
        <w:t xml:space="preserve">based rehabilitation improved engagement by allowing patients to integrate CR into daily routines and involve family members. Taylor et al. (2019) found that structured exercise and reassurance were particularly beneficial for older adults, helping to reduce fear of exertion and build confidence. Neubeck et al. (2020) and </w:t>
      </w:r>
      <w:proofErr w:type="spellStart"/>
      <w:r w:rsidRPr="00F45B03">
        <w:rPr>
          <w:rFonts w:ascii="Arial" w:hAnsi="Arial" w:cs="Arial"/>
          <w:color w:val="000000" w:themeColor="text1"/>
          <w:sz w:val="22"/>
          <w:szCs w:val="22"/>
          <w:lang w:val="en-GB"/>
        </w:rPr>
        <w:t>Kabboul</w:t>
      </w:r>
      <w:proofErr w:type="spellEnd"/>
      <w:r w:rsidRPr="00F45B03">
        <w:rPr>
          <w:rFonts w:ascii="Arial" w:hAnsi="Arial" w:cs="Arial"/>
          <w:color w:val="000000" w:themeColor="text1"/>
          <w:sz w:val="22"/>
          <w:szCs w:val="22"/>
          <w:lang w:val="en-GB"/>
        </w:rPr>
        <w:t xml:space="preserve"> et al. (2018) emphasised the importance of clear communication and tailored </w:t>
      </w:r>
      <w:r w:rsidRPr="00F45B03">
        <w:rPr>
          <w:rFonts w:ascii="Arial" w:hAnsi="Arial" w:cs="Arial"/>
          <w:color w:val="000000" w:themeColor="text1"/>
          <w:sz w:val="22"/>
          <w:szCs w:val="22"/>
          <w:lang w:val="en-GB"/>
        </w:rPr>
        <w:lastRenderedPageBreak/>
        <w:t>education, which improved understanding and motivation. While these studies vary in design, their synthesis indicates that barriers are not fixed; they can be transformed into facilitators when CR programmes are flexible, culturally sensitive, and responsive to individual needs.</w:t>
      </w:r>
    </w:p>
    <w:p w14:paraId="60469362" w14:textId="4E471B5F" w:rsidR="00EE3F34" w:rsidRPr="00F45B03" w:rsidRDefault="00EE3F34" w:rsidP="00167E86">
      <w:pPr>
        <w:pStyle w:val="NormalWeb"/>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 xml:space="preserve"> </w:t>
      </w:r>
      <w:r w:rsidR="005D4590" w:rsidRPr="00F45B03">
        <w:rPr>
          <w:rFonts w:ascii="Arial" w:hAnsi="Arial" w:cs="Arial"/>
          <w:b/>
          <w:bCs/>
          <w:color w:val="000000" w:themeColor="text1"/>
          <w:sz w:val="22"/>
          <w:szCs w:val="22"/>
          <w:lang w:val="en-GB"/>
        </w:rPr>
        <w:t xml:space="preserve">4.7 </w:t>
      </w:r>
      <w:r w:rsidRPr="00F45B03">
        <w:rPr>
          <w:rFonts w:ascii="Arial" w:hAnsi="Arial" w:cs="Arial"/>
          <w:b/>
          <w:bCs/>
          <w:color w:val="000000" w:themeColor="text1"/>
          <w:sz w:val="22"/>
          <w:szCs w:val="22"/>
          <w:lang w:val="en-GB"/>
        </w:rPr>
        <w:t>THEME 5: CR Outcomes in Older Adults (55+ in England)</w:t>
      </w:r>
    </w:p>
    <w:p w14:paraId="0E90F072"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Older adults consistently benefit from cardiac rehabilitation, with improvements in functional capacity, symptom burden, and readmission risk documented across multiple studies. Dalal et al. (2015) and Jolly et al. (2009) demonstrated that home</w:t>
      </w:r>
      <w:r w:rsidRPr="00F45B03">
        <w:rPr>
          <w:rFonts w:ascii="Arial" w:hAnsi="Arial" w:cs="Arial"/>
          <w:color w:val="000000" w:themeColor="text1"/>
          <w:sz w:val="22"/>
          <w:szCs w:val="22"/>
          <w:lang w:val="en-GB"/>
        </w:rPr>
        <w:noBreakHyphen/>
        <w:t>based CR is particularly effective for older adults, including those with mobility limitations, offering comparable clinical outcomes to centre</w:t>
      </w:r>
      <w:r w:rsidRPr="00F45B03">
        <w:rPr>
          <w:rFonts w:ascii="Arial" w:hAnsi="Arial" w:cs="Arial"/>
          <w:color w:val="000000" w:themeColor="text1"/>
          <w:sz w:val="22"/>
          <w:szCs w:val="22"/>
          <w:lang w:val="en-GB"/>
        </w:rPr>
        <w:noBreakHyphen/>
        <w:t>based programmes. Anderson et al. (2016) and Taylor et al. (2019) further showed that older participants experienced significant gains in exercise tolerance and quality of life, with reductions in hospital readmissions similar to or greater than those seen in younger cohorts. These findings challenge assumptions that older adults may be “too frail” for CR and instead highlight their capacity to benefit substantially from structured rehabilitation.</w:t>
      </w:r>
    </w:p>
    <w:p w14:paraId="6964F0B8" w14:textId="77777777" w:rsidR="00EE3F34" w:rsidRPr="00F45B03" w:rsidRDefault="00EE3F34" w:rsidP="00167E86">
      <w:pPr>
        <w:pStyle w:val="NormalWeb"/>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However, the evidence also indicates that older adults face unique challenges that can influence participation and outcomes. Jelinek et al. (2020) found that while older adults who completed CR experienced significant improvements, frailty and multimorbidity reduced completion rates, suggesting that the main barrier is not lack of benefit but difficulty sustaining engagement. Dibben et al. (2021) reinforced this by showing that CR completion was strongly associated with reduced mortality in older populations, underscoring the importance of supporting older adults through the full programme. Dalal et al. (2019) demonstrated that home</w:t>
      </w:r>
      <w:r w:rsidRPr="00F45B03">
        <w:rPr>
          <w:rFonts w:ascii="Arial" w:hAnsi="Arial" w:cs="Arial"/>
          <w:color w:val="000000" w:themeColor="text1"/>
          <w:sz w:val="22"/>
          <w:szCs w:val="22"/>
          <w:lang w:val="en-GB"/>
        </w:rPr>
        <w:noBreakHyphen/>
        <w:t>based models can help overcome some of these barriers by providing flexibility and promoting self</w:t>
      </w:r>
      <w:r w:rsidRPr="00F45B03">
        <w:rPr>
          <w:rFonts w:ascii="Arial" w:hAnsi="Arial" w:cs="Arial"/>
          <w:color w:val="000000" w:themeColor="text1"/>
          <w:sz w:val="22"/>
          <w:szCs w:val="22"/>
          <w:lang w:val="en-GB"/>
        </w:rPr>
        <w:noBreakHyphen/>
        <w:t>management. Together, these studies suggest that older adults benefit greatly from CR, but achieving these benefits requires tailored support that accounts for frailty, comorbidities, and social circumstances.</w:t>
      </w:r>
    </w:p>
    <w:p w14:paraId="6073C298" w14:textId="77777777" w:rsidR="00EE3F34" w:rsidRPr="00F45B03" w:rsidRDefault="00EE3F34" w:rsidP="00167E86">
      <w:pPr>
        <w:pStyle w:val="NormalWeb"/>
        <w:spacing w:line="360" w:lineRule="auto"/>
        <w:jc w:val="both"/>
        <w:rPr>
          <w:rFonts w:ascii="Arial" w:hAnsi="Arial" w:cs="Arial"/>
          <w:color w:val="000000" w:themeColor="text1"/>
          <w:sz w:val="22"/>
          <w:szCs w:val="22"/>
        </w:rPr>
      </w:pPr>
    </w:p>
    <w:p w14:paraId="53FD35CE" w14:textId="77777777" w:rsidR="00EE3F34" w:rsidRPr="00F45B03" w:rsidRDefault="00EE3F34" w:rsidP="00167E86">
      <w:pPr>
        <w:pStyle w:val="NormalWeb"/>
        <w:spacing w:line="360" w:lineRule="auto"/>
        <w:jc w:val="both"/>
        <w:rPr>
          <w:rFonts w:ascii="Arial" w:hAnsi="Arial" w:cs="Arial"/>
          <w:color w:val="000000" w:themeColor="text1"/>
          <w:sz w:val="22"/>
          <w:szCs w:val="22"/>
        </w:rPr>
      </w:pPr>
    </w:p>
    <w:p w14:paraId="340611F4" w14:textId="14CD0A4A" w:rsidR="00EE3F34" w:rsidRPr="00F45B03" w:rsidRDefault="00EE3F34" w:rsidP="00167E86">
      <w:pPr>
        <w:pStyle w:val="Heading1"/>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4.</w:t>
      </w:r>
      <w:r w:rsidR="005D4590" w:rsidRPr="00F45B03">
        <w:rPr>
          <w:rFonts w:ascii="Arial" w:hAnsi="Arial" w:cs="Arial"/>
          <w:b/>
          <w:bCs/>
          <w:color w:val="000000" w:themeColor="text1"/>
          <w:sz w:val="22"/>
          <w:szCs w:val="22"/>
          <w:lang w:val="en-GB"/>
        </w:rPr>
        <w:t>8</w:t>
      </w:r>
      <w:r w:rsidRPr="00F45B03">
        <w:rPr>
          <w:rFonts w:ascii="Arial" w:hAnsi="Arial" w:cs="Arial"/>
          <w:b/>
          <w:bCs/>
          <w:color w:val="000000" w:themeColor="text1"/>
          <w:sz w:val="22"/>
          <w:szCs w:val="22"/>
          <w:lang w:val="en-GB"/>
        </w:rPr>
        <w:t xml:space="preserve"> Chapter Summary</w:t>
      </w:r>
    </w:p>
    <w:p w14:paraId="67EB899E" w14:textId="77777777" w:rsidR="00EE3F34" w:rsidRPr="00F45B03" w:rsidRDefault="00EE3F34" w:rsidP="00167E86">
      <w:pPr>
        <w:pStyle w:val="Heading1"/>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This chapter presented the findings of the systematic review, demonstrating that cardiac rehabilitation (CR) is consistently effective in reducing hospital readmissions among adults aged 55 years and over. Evidence from randomised controlled trials, cohort studies, and systematic reviews showed that both centre</w:t>
      </w:r>
      <w:r w:rsidRPr="00F45B03">
        <w:rPr>
          <w:rFonts w:ascii="Arial" w:hAnsi="Arial" w:cs="Arial"/>
          <w:color w:val="000000" w:themeColor="text1"/>
          <w:sz w:val="22"/>
          <w:szCs w:val="22"/>
          <w:lang w:val="en-GB"/>
        </w:rPr>
        <w:noBreakHyphen/>
        <w:t>based and home</w:t>
      </w:r>
      <w:r w:rsidRPr="00F45B03">
        <w:rPr>
          <w:rFonts w:ascii="Arial" w:hAnsi="Arial" w:cs="Arial"/>
          <w:color w:val="000000" w:themeColor="text1"/>
          <w:sz w:val="22"/>
          <w:szCs w:val="22"/>
          <w:lang w:val="en-GB"/>
        </w:rPr>
        <w:noBreakHyphen/>
        <w:t>based CR models improve functional capacity and reduce unplanned hospitalisations, with completion emerging as a key determinant of improved outcomes. However, the findings also highlighted substantial ethnic and socioeconomic inequalities that shape access to and engagement with CR. Minority ethnic groups and individuals living in deprived areas were less likely to be referred, attend, or complete CR, reflecting structural, cultural, and communication</w:t>
      </w:r>
      <w:r w:rsidRPr="00F45B03">
        <w:rPr>
          <w:rFonts w:ascii="Arial" w:hAnsi="Arial" w:cs="Arial"/>
          <w:color w:val="000000" w:themeColor="text1"/>
          <w:sz w:val="22"/>
          <w:szCs w:val="22"/>
          <w:lang w:val="en-GB"/>
        </w:rPr>
        <w:noBreakHyphen/>
        <w:t>related barriers.</w:t>
      </w:r>
    </w:p>
    <w:p w14:paraId="520B5348" w14:textId="19107EB8" w:rsidR="00EE3F34" w:rsidRPr="00F45B03" w:rsidRDefault="00EE3F34" w:rsidP="00167E86">
      <w:pPr>
        <w:pStyle w:val="Heading1"/>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Across the included studies, several factors were identified as limiting participation, including language difficulties, cultural mismatch, multimorbidity, transport challenges, and low health literacy. Conversely, facilitators such as flexible delivery models, personalised support, home</w:t>
      </w:r>
      <w:r w:rsidRPr="00F45B03">
        <w:rPr>
          <w:rFonts w:ascii="Arial" w:hAnsi="Arial" w:cs="Arial"/>
          <w:color w:val="000000" w:themeColor="text1"/>
          <w:sz w:val="22"/>
          <w:szCs w:val="22"/>
          <w:lang w:val="en-GB"/>
        </w:rPr>
        <w:noBreakHyphen/>
        <w:t>based programmes, and clear communication were shown to enhance engagement, particularly among older adults and those facing social disadvantage. Overall, the chapter demonstrates that while CR is clinically effective, its benefits are unevenly distributed due to persistent inequalities. These findings provide the foundation for the discussion in Chapter 5, where the implications for practice, policy, and future research are explored.</w:t>
      </w:r>
    </w:p>
    <w:p w14:paraId="28DA1769" w14:textId="51C0E452" w:rsidR="005D4590" w:rsidRPr="00F45B03" w:rsidRDefault="005D4590" w:rsidP="00167E86">
      <w:pPr>
        <w:spacing w:line="360" w:lineRule="auto"/>
        <w:jc w:val="both"/>
        <w:rPr>
          <w:rFonts w:ascii="Arial" w:hAnsi="Arial" w:cs="Arial"/>
          <w:lang w:val="en-GB"/>
        </w:rPr>
      </w:pPr>
    </w:p>
    <w:p w14:paraId="6EEDAB39" w14:textId="77777777" w:rsidR="0075339C" w:rsidRPr="00F45B03" w:rsidRDefault="0075339C" w:rsidP="00167E86">
      <w:pPr>
        <w:spacing w:line="360" w:lineRule="auto"/>
        <w:jc w:val="both"/>
        <w:rPr>
          <w:rFonts w:ascii="Arial" w:hAnsi="Arial" w:cs="Arial"/>
          <w:lang w:val="en-GB"/>
        </w:rPr>
      </w:pPr>
    </w:p>
    <w:p w14:paraId="6D89DE41" w14:textId="106FC3B5" w:rsidR="005D4590" w:rsidRPr="00F45B03" w:rsidRDefault="00DD2BED" w:rsidP="00167E86">
      <w:pPr>
        <w:spacing w:line="360" w:lineRule="auto"/>
        <w:jc w:val="both"/>
        <w:rPr>
          <w:rFonts w:ascii="Arial" w:hAnsi="Arial" w:cs="Arial"/>
          <w:lang w:val="en-GB"/>
        </w:rPr>
      </w:pPr>
      <w:r>
        <w:rPr>
          <w:rFonts w:ascii="Arial" w:hAnsi="Arial" w:cs="Arial"/>
          <w:lang w:val="en-GB"/>
        </w:rPr>
        <w:t xml:space="preserve"> </w:t>
      </w:r>
      <w:r w:rsidR="00922D83">
        <w:rPr>
          <w:rFonts w:ascii="Arial" w:hAnsi="Arial" w:cs="Arial"/>
          <w:lang w:val="en-GB"/>
        </w:rPr>
        <w:t xml:space="preserve">table </w:t>
      </w:r>
      <w:proofErr w:type="gramStart"/>
      <w:r w:rsidR="00922D83">
        <w:rPr>
          <w:rFonts w:ascii="Arial" w:hAnsi="Arial" w:cs="Arial"/>
          <w:lang w:val="en-GB"/>
        </w:rPr>
        <w:t xml:space="preserve">4.2 </w:t>
      </w:r>
      <w:r w:rsidR="005D4590" w:rsidRPr="00F45B03">
        <w:rPr>
          <w:rFonts w:ascii="Arial" w:hAnsi="Arial" w:cs="Arial"/>
          <w:lang w:val="en-GB"/>
        </w:rPr>
        <w:t xml:space="preserve"> </w:t>
      </w:r>
      <w:r w:rsidR="00E76623" w:rsidRPr="00F45B03">
        <w:rPr>
          <w:rFonts w:ascii="Arial" w:hAnsi="Arial" w:cs="Arial"/>
          <w:lang w:val="en-GB"/>
        </w:rPr>
        <w:t>T</w:t>
      </w:r>
      <w:r w:rsidR="005D4590" w:rsidRPr="00F45B03">
        <w:rPr>
          <w:rFonts w:ascii="Arial" w:hAnsi="Arial" w:cs="Arial"/>
          <w:lang w:val="en-GB"/>
        </w:rPr>
        <w:t>hems</w:t>
      </w:r>
      <w:proofErr w:type="gramEnd"/>
      <w:r w:rsidR="005D4590" w:rsidRPr="00F45B03">
        <w:rPr>
          <w:rFonts w:ascii="Arial" w:hAnsi="Arial" w:cs="Arial"/>
          <w:lang w:val="en-GB"/>
        </w:rPr>
        <w:t xml:space="preserve"> finding table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58"/>
        <w:gridCol w:w="1570"/>
        <w:gridCol w:w="919"/>
        <w:gridCol w:w="2298"/>
        <w:gridCol w:w="1767"/>
      </w:tblGrid>
      <w:tr w:rsidR="00EE3F34" w:rsidRPr="00F45B03" w14:paraId="6F2A441C" w14:textId="77777777" w:rsidTr="000C7CEB">
        <w:trPr>
          <w:tblHeader/>
          <w:tblCellSpacing w:w="15" w:type="dxa"/>
        </w:trPr>
        <w:tc>
          <w:tcPr>
            <w:tcW w:w="0" w:type="auto"/>
            <w:vAlign w:val="center"/>
            <w:hideMark/>
          </w:tcPr>
          <w:p w14:paraId="4B938294"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Study</w:t>
            </w:r>
          </w:p>
        </w:tc>
        <w:tc>
          <w:tcPr>
            <w:tcW w:w="0" w:type="auto"/>
            <w:vAlign w:val="center"/>
            <w:hideMark/>
          </w:tcPr>
          <w:p w14:paraId="750546B2"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Design</w:t>
            </w:r>
          </w:p>
        </w:tc>
        <w:tc>
          <w:tcPr>
            <w:tcW w:w="0" w:type="auto"/>
            <w:vAlign w:val="center"/>
            <w:hideMark/>
          </w:tcPr>
          <w:p w14:paraId="6676202F"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Sample</w:t>
            </w:r>
          </w:p>
        </w:tc>
        <w:tc>
          <w:tcPr>
            <w:tcW w:w="0" w:type="auto"/>
            <w:vAlign w:val="center"/>
            <w:hideMark/>
          </w:tcPr>
          <w:p w14:paraId="5CBD9F49"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Key Quantitative Findings</w:t>
            </w:r>
          </w:p>
        </w:tc>
        <w:tc>
          <w:tcPr>
            <w:tcW w:w="0" w:type="auto"/>
            <w:vAlign w:val="center"/>
            <w:hideMark/>
          </w:tcPr>
          <w:p w14:paraId="7194A927"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Key Qualitative Findings</w:t>
            </w:r>
          </w:p>
        </w:tc>
      </w:tr>
      <w:tr w:rsidR="00EE3F34" w:rsidRPr="00F45B03" w14:paraId="037DDEB4" w14:textId="77777777" w:rsidTr="000C7CEB">
        <w:trPr>
          <w:tblCellSpacing w:w="15" w:type="dxa"/>
        </w:trPr>
        <w:tc>
          <w:tcPr>
            <w:tcW w:w="0" w:type="auto"/>
            <w:vAlign w:val="center"/>
            <w:hideMark/>
          </w:tcPr>
          <w:p w14:paraId="4383EB9F"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Anderson et al. (2016)</w:t>
            </w:r>
          </w:p>
        </w:tc>
        <w:tc>
          <w:tcPr>
            <w:tcW w:w="0" w:type="auto"/>
            <w:vAlign w:val="center"/>
            <w:hideMark/>
          </w:tcPr>
          <w:p w14:paraId="36F2F992"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Systematic review &amp; meta</w:t>
            </w:r>
            <w:r w:rsidRPr="00F45B03">
              <w:rPr>
                <w:rFonts w:ascii="Arial" w:eastAsia="Times New Roman" w:hAnsi="Arial" w:cs="Arial"/>
                <w:lang w:eastAsia="en-IN"/>
              </w:rPr>
              <w:noBreakHyphen/>
              <w:t>analysis</w:t>
            </w:r>
          </w:p>
        </w:tc>
        <w:tc>
          <w:tcPr>
            <w:tcW w:w="0" w:type="auto"/>
            <w:vAlign w:val="center"/>
            <w:hideMark/>
          </w:tcPr>
          <w:p w14:paraId="225D2278"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63 RCTs</w:t>
            </w:r>
          </w:p>
        </w:tc>
        <w:tc>
          <w:tcPr>
            <w:tcW w:w="0" w:type="auto"/>
            <w:vAlign w:val="center"/>
            <w:hideMark/>
          </w:tcPr>
          <w:p w14:paraId="6A00138F"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CR reduced mortality by ~20%; readmissions by ~26%; strong evidence across trials.</w:t>
            </w:r>
          </w:p>
        </w:tc>
        <w:tc>
          <w:tcPr>
            <w:tcW w:w="0" w:type="auto"/>
            <w:vAlign w:val="center"/>
            <w:hideMark/>
          </w:tcPr>
          <w:p w14:paraId="1FFB371C"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Improved confidence, symptom control, reassurance valued.</w:t>
            </w:r>
          </w:p>
        </w:tc>
      </w:tr>
      <w:tr w:rsidR="00EE3F34" w:rsidRPr="00F45B03" w14:paraId="47C75471" w14:textId="77777777" w:rsidTr="000C7CEB">
        <w:trPr>
          <w:tblCellSpacing w:w="15" w:type="dxa"/>
        </w:trPr>
        <w:tc>
          <w:tcPr>
            <w:tcW w:w="0" w:type="auto"/>
            <w:vAlign w:val="center"/>
            <w:hideMark/>
          </w:tcPr>
          <w:p w14:paraId="0ED55558"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Anderson et al. (2017)</w:t>
            </w:r>
          </w:p>
        </w:tc>
        <w:tc>
          <w:tcPr>
            <w:tcW w:w="0" w:type="auto"/>
            <w:vAlign w:val="center"/>
            <w:hideMark/>
          </w:tcPr>
          <w:p w14:paraId="2937BC0E"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Systematic review</w:t>
            </w:r>
          </w:p>
        </w:tc>
        <w:tc>
          <w:tcPr>
            <w:tcW w:w="0" w:type="auto"/>
            <w:vAlign w:val="center"/>
            <w:hideMark/>
          </w:tcPr>
          <w:p w14:paraId="5A362992"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23 trials</w:t>
            </w:r>
          </w:p>
        </w:tc>
        <w:tc>
          <w:tcPr>
            <w:tcW w:w="0" w:type="auto"/>
            <w:vAlign w:val="center"/>
            <w:hideMark/>
          </w:tcPr>
          <w:p w14:paraId="6AE5A0A0"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Home</w:t>
            </w:r>
            <w:r w:rsidRPr="00F45B03">
              <w:rPr>
                <w:rFonts w:ascii="Arial" w:eastAsia="Times New Roman" w:hAnsi="Arial" w:cs="Arial"/>
                <w:lang w:eastAsia="en-IN"/>
              </w:rPr>
              <w:noBreakHyphen/>
              <w:t xml:space="preserve">based CR improved exercise </w:t>
            </w:r>
            <w:r w:rsidRPr="00F45B03">
              <w:rPr>
                <w:rFonts w:ascii="Arial" w:eastAsia="Times New Roman" w:hAnsi="Arial" w:cs="Arial"/>
                <w:lang w:eastAsia="en-IN"/>
              </w:rPr>
              <w:lastRenderedPageBreak/>
              <w:t>capacity (~1 MET); reduced readmissions by 15–20%.</w:t>
            </w:r>
          </w:p>
        </w:tc>
        <w:tc>
          <w:tcPr>
            <w:tcW w:w="0" w:type="auto"/>
            <w:vAlign w:val="center"/>
            <w:hideMark/>
          </w:tcPr>
          <w:p w14:paraId="06500B1F"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lastRenderedPageBreak/>
              <w:t xml:space="preserve">Autonomy and remote support </w:t>
            </w:r>
            <w:r w:rsidRPr="00F45B03">
              <w:rPr>
                <w:rFonts w:ascii="Arial" w:eastAsia="Times New Roman" w:hAnsi="Arial" w:cs="Arial"/>
                <w:lang w:eastAsia="en-IN"/>
              </w:rPr>
              <w:lastRenderedPageBreak/>
              <w:t>increased motivation.</w:t>
            </w:r>
          </w:p>
        </w:tc>
      </w:tr>
      <w:tr w:rsidR="00EE3F34" w:rsidRPr="00F45B03" w14:paraId="2F3422E8" w14:textId="77777777" w:rsidTr="000C7CEB">
        <w:trPr>
          <w:tblCellSpacing w:w="15" w:type="dxa"/>
        </w:trPr>
        <w:tc>
          <w:tcPr>
            <w:tcW w:w="0" w:type="auto"/>
            <w:vAlign w:val="center"/>
            <w:hideMark/>
          </w:tcPr>
          <w:p w14:paraId="44FF4506"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lastRenderedPageBreak/>
              <w:t>Dibben et al. (2021)</w:t>
            </w:r>
          </w:p>
        </w:tc>
        <w:tc>
          <w:tcPr>
            <w:tcW w:w="0" w:type="auto"/>
            <w:vAlign w:val="center"/>
            <w:hideMark/>
          </w:tcPr>
          <w:p w14:paraId="1007C615"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Cohort study</w:t>
            </w:r>
          </w:p>
        </w:tc>
        <w:tc>
          <w:tcPr>
            <w:tcW w:w="0" w:type="auto"/>
            <w:vAlign w:val="center"/>
            <w:hideMark/>
          </w:tcPr>
          <w:p w14:paraId="1546D15F"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48,476 patients</w:t>
            </w:r>
          </w:p>
        </w:tc>
        <w:tc>
          <w:tcPr>
            <w:tcW w:w="0" w:type="auto"/>
            <w:vAlign w:val="center"/>
            <w:hideMark/>
          </w:tcPr>
          <w:p w14:paraId="58DAF6C3"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CR participation associated with lower readmissions and improved functional outcomes.</w:t>
            </w:r>
          </w:p>
        </w:tc>
        <w:tc>
          <w:tcPr>
            <w:tcW w:w="0" w:type="auto"/>
            <w:vAlign w:val="center"/>
            <w:hideMark/>
          </w:tcPr>
          <w:p w14:paraId="63397B18"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Older adults valued reassurance and continuity.</w:t>
            </w:r>
          </w:p>
        </w:tc>
      </w:tr>
      <w:tr w:rsidR="00EE3F34" w:rsidRPr="00F45B03" w14:paraId="1F81BC3C" w14:textId="77777777" w:rsidTr="000C7CEB">
        <w:trPr>
          <w:tblCellSpacing w:w="15" w:type="dxa"/>
        </w:trPr>
        <w:tc>
          <w:tcPr>
            <w:tcW w:w="0" w:type="auto"/>
            <w:vAlign w:val="center"/>
            <w:hideMark/>
          </w:tcPr>
          <w:p w14:paraId="7E2BFA4A"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Taylor et al. (2019)</w:t>
            </w:r>
          </w:p>
        </w:tc>
        <w:tc>
          <w:tcPr>
            <w:tcW w:w="0" w:type="auto"/>
            <w:vAlign w:val="center"/>
            <w:hideMark/>
          </w:tcPr>
          <w:p w14:paraId="782DEB2E"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RCT</w:t>
            </w:r>
          </w:p>
        </w:tc>
        <w:tc>
          <w:tcPr>
            <w:tcW w:w="0" w:type="auto"/>
            <w:vAlign w:val="center"/>
            <w:hideMark/>
          </w:tcPr>
          <w:p w14:paraId="14A43F1F"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1,117 adults</w:t>
            </w:r>
          </w:p>
        </w:tc>
        <w:tc>
          <w:tcPr>
            <w:tcW w:w="0" w:type="auto"/>
            <w:vAlign w:val="center"/>
            <w:hideMark/>
          </w:tcPr>
          <w:p w14:paraId="7C164207"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Home</w:t>
            </w:r>
            <w:r w:rsidRPr="00F45B03">
              <w:rPr>
                <w:rFonts w:ascii="Arial" w:eastAsia="Times New Roman" w:hAnsi="Arial" w:cs="Arial"/>
                <w:lang w:eastAsia="en-IN"/>
              </w:rPr>
              <w:noBreakHyphen/>
              <w:t>based CR reduced readmissions by 21%; improved 6MWT and exercise capacity.</w:t>
            </w:r>
          </w:p>
        </w:tc>
        <w:tc>
          <w:tcPr>
            <w:tcW w:w="0" w:type="auto"/>
            <w:vAlign w:val="center"/>
            <w:hideMark/>
          </w:tcPr>
          <w:p w14:paraId="7CF00877"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Increased comfort, motivation, preference for home</w:t>
            </w:r>
            <w:r w:rsidRPr="00F45B03">
              <w:rPr>
                <w:rFonts w:ascii="Arial" w:eastAsia="Times New Roman" w:hAnsi="Arial" w:cs="Arial"/>
                <w:lang w:eastAsia="en-IN"/>
              </w:rPr>
              <w:noBreakHyphen/>
              <w:t>based flexibility.</w:t>
            </w:r>
          </w:p>
        </w:tc>
      </w:tr>
      <w:tr w:rsidR="00EE3F34" w:rsidRPr="00F45B03" w14:paraId="0D74626A" w14:textId="77777777" w:rsidTr="000C7CEB">
        <w:trPr>
          <w:tblCellSpacing w:w="15" w:type="dxa"/>
        </w:trPr>
        <w:tc>
          <w:tcPr>
            <w:tcW w:w="0" w:type="auto"/>
            <w:vAlign w:val="center"/>
            <w:hideMark/>
          </w:tcPr>
          <w:p w14:paraId="4F1F1F24"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Jolly et al. (2009)</w:t>
            </w:r>
          </w:p>
        </w:tc>
        <w:tc>
          <w:tcPr>
            <w:tcW w:w="0" w:type="auto"/>
            <w:vAlign w:val="center"/>
            <w:hideMark/>
          </w:tcPr>
          <w:p w14:paraId="77FA7DA5"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RCT (BRUM Trial)</w:t>
            </w:r>
          </w:p>
        </w:tc>
        <w:tc>
          <w:tcPr>
            <w:tcW w:w="0" w:type="auto"/>
            <w:vAlign w:val="center"/>
            <w:hideMark/>
          </w:tcPr>
          <w:p w14:paraId="5FB30D6A"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525 adults post</w:t>
            </w:r>
            <w:r w:rsidRPr="00F45B03">
              <w:rPr>
                <w:rFonts w:ascii="Arial" w:eastAsia="Times New Roman" w:hAnsi="Arial" w:cs="Arial"/>
                <w:lang w:eastAsia="en-IN"/>
              </w:rPr>
              <w:noBreakHyphen/>
              <w:t>MI</w:t>
            </w:r>
          </w:p>
        </w:tc>
        <w:tc>
          <w:tcPr>
            <w:tcW w:w="0" w:type="auto"/>
            <w:vAlign w:val="center"/>
            <w:hideMark/>
          </w:tcPr>
          <w:p w14:paraId="731679B1"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Home</w:t>
            </w:r>
            <w:r w:rsidRPr="00F45B03">
              <w:rPr>
                <w:rFonts w:ascii="Arial" w:eastAsia="Times New Roman" w:hAnsi="Arial" w:cs="Arial"/>
                <w:lang w:eastAsia="en-IN"/>
              </w:rPr>
              <w:noBreakHyphen/>
              <w:t>based CR improved 6MWT by ~40 m; similar readmissions; uptake ~15% higher.</w:t>
            </w:r>
          </w:p>
        </w:tc>
        <w:tc>
          <w:tcPr>
            <w:tcW w:w="0" w:type="auto"/>
            <w:vAlign w:val="center"/>
            <w:hideMark/>
          </w:tcPr>
          <w:p w14:paraId="40476181"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Flexibility valued; telephone support improved confidence.</w:t>
            </w:r>
          </w:p>
        </w:tc>
      </w:tr>
      <w:tr w:rsidR="00EE3F34" w:rsidRPr="00F45B03" w14:paraId="5A2AB9D2" w14:textId="77777777" w:rsidTr="000C7CEB">
        <w:trPr>
          <w:tblCellSpacing w:w="15" w:type="dxa"/>
        </w:trPr>
        <w:tc>
          <w:tcPr>
            <w:tcW w:w="0" w:type="auto"/>
            <w:vAlign w:val="center"/>
            <w:hideMark/>
          </w:tcPr>
          <w:p w14:paraId="44F03A19"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Dalal et al. (2015)</w:t>
            </w:r>
          </w:p>
        </w:tc>
        <w:tc>
          <w:tcPr>
            <w:tcW w:w="0" w:type="auto"/>
            <w:vAlign w:val="center"/>
            <w:hideMark/>
          </w:tcPr>
          <w:p w14:paraId="4EF1B6C2"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RCT</w:t>
            </w:r>
          </w:p>
        </w:tc>
        <w:tc>
          <w:tcPr>
            <w:tcW w:w="0" w:type="auto"/>
            <w:vAlign w:val="center"/>
            <w:hideMark/>
          </w:tcPr>
          <w:p w14:paraId="29FD1CF9"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~800 adults</w:t>
            </w:r>
          </w:p>
        </w:tc>
        <w:tc>
          <w:tcPr>
            <w:tcW w:w="0" w:type="auto"/>
            <w:vAlign w:val="center"/>
            <w:hideMark/>
          </w:tcPr>
          <w:p w14:paraId="6E4D56E5"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Home</w:t>
            </w:r>
            <w:r w:rsidRPr="00F45B03">
              <w:rPr>
                <w:rFonts w:ascii="Arial" w:eastAsia="Times New Roman" w:hAnsi="Arial" w:cs="Arial"/>
                <w:lang w:eastAsia="en-IN"/>
              </w:rPr>
              <w:noBreakHyphen/>
              <w:t>based CR improved 6MWT by 40–60 m; similar readmissions; ~10% higher adherence.</w:t>
            </w:r>
          </w:p>
        </w:tc>
        <w:tc>
          <w:tcPr>
            <w:tcW w:w="0" w:type="auto"/>
            <w:vAlign w:val="center"/>
            <w:hideMark/>
          </w:tcPr>
          <w:p w14:paraId="280B7240"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Flexibility valued; some missed supervision.</w:t>
            </w:r>
          </w:p>
        </w:tc>
      </w:tr>
      <w:tr w:rsidR="00EE3F34" w:rsidRPr="00F45B03" w14:paraId="7AFAD8E9" w14:textId="77777777" w:rsidTr="000C7CEB">
        <w:trPr>
          <w:tblCellSpacing w:w="15" w:type="dxa"/>
        </w:trPr>
        <w:tc>
          <w:tcPr>
            <w:tcW w:w="0" w:type="auto"/>
            <w:vAlign w:val="center"/>
            <w:hideMark/>
          </w:tcPr>
          <w:p w14:paraId="34278C73" w14:textId="77777777" w:rsidR="00EE3F34" w:rsidRPr="00F45B03" w:rsidRDefault="00EE3F34" w:rsidP="00167E86">
            <w:pPr>
              <w:spacing w:after="0" w:line="360" w:lineRule="auto"/>
              <w:jc w:val="both"/>
              <w:rPr>
                <w:rFonts w:ascii="Arial" w:eastAsia="Times New Roman" w:hAnsi="Arial" w:cs="Arial"/>
                <w:b/>
                <w:bCs/>
                <w:lang w:eastAsia="en-IN"/>
              </w:rPr>
            </w:pPr>
            <w:proofErr w:type="spellStart"/>
            <w:r w:rsidRPr="00F45B03">
              <w:rPr>
                <w:rFonts w:ascii="Arial" w:eastAsia="Times New Roman" w:hAnsi="Arial" w:cs="Arial"/>
                <w:b/>
                <w:bCs/>
                <w:lang w:eastAsia="en-IN"/>
              </w:rPr>
              <w:t>Rawstorn</w:t>
            </w:r>
            <w:proofErr w:type="spellEnd"/>
            <w:r w:rsidRPr="00F45B03">
              <w:rPr>
                <w:rFonts w:ascii="Arial" w:eastAsia="Times New Roman" w:hAnsi="Arial" w:cs="Arial"/>
                <w:b/>
                <w:bCs/>
                <w:lang w:eastAsia="en-IN"/>
              </w:rPr>
              <w:t xml:space="preserve"> et al. (2016)</w:t>
            </w:r>
          </w:p>
        </w:tc>
        <w:tc>
          <w:tcPr>
            <w:tcW w:w="0" w:type="auto"/>
            <w:vAlign w:val="center"/>
            <w:hideMark/>
          </w:tcPr>
          <w:p w14:paraId="6C43E57A"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RCT</w:t>
            </w:r>
          </w:p>
        </w:tc>
        <w:tc>
          <w:tcPr>
            <w:tcW w:w="0" w:type="auto"/>
            <w:vAlign w:val="center"/>
            <w:hideMark/>
          </w:tcPr>
          <w:p w14:paraId="03C76106"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~150 adults</w:t>
            </w:r>
          </w:p>
        </w:tc>
        <w:tc>
          <w:tcPr>
            <w:tcW w:w="0" w:type="auto"/>
            <w:vAlign w:val="center"/>
            <w:hideMark/>
          </w:tcPr>
          <w:p w14:paraId="12E1E5A5"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Tele</w:t>
            </w:r>
            <w:r w:rsidRPr="00F45B03">
              <w:rPr>
                <w:rFonts w:ascii="Arial" w:eastAsia="Times New Roman" w:hAnsi="Arial" w:cs="Arial"/>
                <w:lang w:eastAsia="en-IN"/>
              </w:rPr>
              <w:noBreakHyphen/>
              <w:t>CR improved exercise capacity; similar clinical outcomes to centre</w:t>
            </w:r>
            <w:r w:rsidRPr="00F45B03">
              <w:rPr>
                <w:rFonts w:ascii="Arial" w:eastAsia="Times New Roman" w:hAnsi="Arial" w:cs="Arial"/>
                <w:lang w:eastAsia="en-IN"/>
              </w:rPr>
              <w:noBreakHyphen/>
              <w:t>based CR.</w:t>
            </w:r>
          </w:p>
        </w:tc>
        <w:tc>
          <w:tcPr>
            <w:tcW w:w="0" w:type="auto"/>
            <w:vAlign w:val="center"/>
            <w:hideMark/>
          </w:tcPr>
          <w:p w14:paraId="7F33A2D6"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Remote monitoring increased confidence; tech barriers noted.</w:t>
            </w:r>
          </w:p>
        </w:tc>
      </w:tr>
      <w:tr w:rsidR="00EE3F34" w:rsidRPr="00F45B03" w14:paraId="2B3325ED" w14:textId="77777777" w:rsidTr="000C7CEB">
        <w:trPr>
          <w:tblCellSpacing w:w="15" w:type="dxa"/>
        </w:trPr>
        <w:tc>
          <w:tcPr>
            <w:tcW w:w="0" w:type="auto"/>
            <w:vAlign w:val="center"/>
            <w:hideMark/>
          </w:tcPr>
          <w:p w14:paraId="04605583"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Ramachandran et al. (2021)</w:t>
            </w:r>
          </w:p>
        </w:tc>
        <w:tc>
          <w:tcPr>
            <w:tcW w:w="0" w:type="auto"/>
            <w:vAlign w:val="center"/>
            <w:hideMark/>
          </w:tcPr>
          <w:p w14:paraId="7EBD4798"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RCT / intervention</w:t>
            </w:r>
          </w:p>
        </w:tc>
        <w:tc>
          <w:tcPr>
            <w:tcW w:w="0" w:type="auto"/>
            <w:vAlign w:val="center"/>
            <w:hideMark/>
          </w:tcPr>
          <w:p w14:paraId="3E709D96"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~300 adults</w:t>
            </w:r>
          </w:p>
        </w:tc>
        <w:tc>
          <w:tcPr>
            <w:tcW w:w="0" w:type="auto"/>
            <w:vAlign w:val="center"/>
            <w:hideMark/>
          </w:tcPr>
          <w:p w14:paraId="015A57A4"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Digital CR improved functional capacity; moderate reduction in readmissions.</w:t>
            </w:r>
          </w:p>
        </w:tc>
        <w:tc>
          <w:tcPr>
            <w:tcW w:w="0" w:type="auto"/>
            <w:vAlign w:val="center"/>
            <w:hideMark/>
          </w:tcPr>
          <w:p w14:paraId="01E0E162"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Mixed views on technology; support improved engagement.</w:t>
            </w:r>
          </w:p>
        </w:tc>
      </w:tr>
      <w:tr w:rsidR="00EE3F34" w:rsidRPr="00F45B03" w14:paraId="3D60A601" w14:textId="77777777" w:rsidTr="000C7CEB">
        <w:trPr>
          <w:tblCellSpacing w:w="15" w:type="dxa"/>
        </w:trPr>
        <w:tc>
          <w:tcPr>
            <w:tcW w:w="0" w:type="auto"/>
            <w:vAlign w:val="center"/>
            <w:hideMark/>
          </w:tcPr>
          <w:p w14:paraId="6442B259"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lastRenderedPageBreak/>
              <w:t>Clark et al. (2015)</w:t>
            </w:r>
          </w:p>
        </w:tc>
        <w:tc>
          <w:tcPr>
            <w:tcW w:w="0" w:type="auto"/>
            <w:vAlign w:val="center"/>
            <w:hideMark/>
          </w:tcPr>
          <w:p w14:paraId="6DC0E931"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RCT</w:t>
            </w:r>
          </w:p>
        </w:tc>
        <w:tc>
          <w:tcPr>
            <w:tcW w:w="0" w:type="auto"/>
            <w:vAlign w:val="center"/>
            <w:hideMark/>
          </w:tcPr>
          <w:p w14:paraId="1CBEF1B1"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~200 adults</w:t>
            </w:r>
          </w:p>
        </w:tc>
        <w:tc>
          <w:tcPr>
            <w:tcW w:w="0" w:type="auto"/>
            <w:vAlign w:val="center"/>
            <w:hideMark/>
          </w:tcPr>
          <w:p w14:paraId="644AD490"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CR improved exercise capacity and QoL; moderate reduction in readmissions.</w:t>
            </w:r>
          </w:p>
        </w:tc>
        <w:tc>
          <w:tcPr>
            <w:tcW w:w="0" w:type="auto"/>
            <w:vAlign w:val="center"/>
            <w:hideMark/>
          </w:tcPr>
          <w:p w14:paraId="25C97A2C"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Patients valued structured support; anxiety reduced with guidance.</w:t>
            </w:r>
          </w:p>
        </w:tc>
      </w:tr>
      <w:tr w:rsidR="00EE3F34" w:rsidRPr="00F45B03" w14:paraId="4FBDDA60" w14:textId="77777777" w:rsidTr="000C7CEB">
        <w:trPr>
          <w:tblCellSpacing w:w="15" w:type="dxa"/>
        </w:trPr>
        <w:tc>
          <w:tcPr>
            <w:tcW w:w="0" w:type="auto"/>
            <w:vAlign w:val="center"/>
            <w:hideMark/>
          </w:tcPr>
          <w:p w14:paraId="3FCD3ACC"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Lawler et al. (2011)</w:t>
            </w:r>
          </w:p>
        </w:tc>
        <w:tc>
          <w:tcPr>
            <w:tcW w:w="0" w:type="auto"/>
            <w:vAlign w:val="center"/>
            <w:hideMark/>
          </w:tcPr>
          <w:p w14:paraId="3F55740F"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Systematic review</w:t>
            </w:r>
          </w:p>
        </w:tc>
        <w:tc>
          <w:tcPr>
            <w:tcW w:w="0" w:type="auto"/>
            <w:vAlign w:val="center"/>
            <w:hideMark/>
          </w:tcPr>
          <w:p w14:paraId="4C523605"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34 trials</w:t>
            </w:r>
          </w:p>
        </w:tc>
        <w:tc>
          <w:tcPr>
            <w:tcW w:w="0" w:type="auto"/>
            <w:vAlign w:val="center"/>
            <w:hideMark/>
          </w:tcPr>
          <w:p w14:paraId="08EF3E1A"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CR reduced mortality and rehospitalisation; strong evidence base.</w:t>
            </w:r>
          </w:p>
        </w:tc>
        <w:tc>
          <w:tcPr>
            <w:tcW w:w="0" w:type="auto"/>
            <w:vAlign w:val="center"/>
            <w:hideMark/>
          </w:tcPr>
          <w:p w14:paraId="5D2E2E94"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Some variation in programme delivery affected engagement.</w:t>
            </w:r>
          </w:p>
        </w:tc>
      </w:tr>
      <w:tr w:rsidR="00EE3F34" w:rsidRPr="00F45B03" w14:paraId="440FB7B2" w14:textId="77777777" w:rsidTr="000C7CEB">
        <w:trPr>
          <w:tblCellSpacing w:w="15" w:type="dxa"/>
        </w:trPr>
        <w:tc>
          <w:tcPr>
            <w:tcW w:w="0" w:type="auto"/>
            <w:vAlign w:val="center"/>
            <w:hideMark/>
          </w:tcPr>
          <w:p w14:paraId="416F8352"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Rauch et al. (2014)</w:t>
            </w:r>
          </w:p>
        </w:tc>
        <w:tc>
          <w:tcPr>
            <w:tcW w:w="0" w:type="auto"/>
            <w:vAlign w:val="center"/>
            <w:hideMark/>
          </w:tcPr>
          <w:p w14:paraId="6E0DB096"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Meta</w:t>
            </w:r>
            <w:r w:rsidRPr="00F45B03">
              <w:rPr>
                <w:rFonts w:ascii="Arial" w:eastAsia="Times New Roman" w:hAnsi="Arial" w:cs="Arial"/>
                <w:lang w:eastAsia="en-IN"/>
              </w:rPr>
              <w:noBreakHyphen/>
              <w:t>analysis</w:t>
            </w:r>
          </w:p>
        </w:tc>
        <w:tc>
          <w:tcPr>
            <w:tcW w:w="0" w:type="auto"/>
            <w:vAlign w:val="center"/>
            <w:hideMark/>
          </w:tcPr>
          <w:p w14:paraId="1E3C557E"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50+ trials</w:t>
            </w:r>
          </w:p>
        </w:tc>
        <w:tc>
          <w:tcPr>
            <w:tcW w:w="0" w:type="auto"/>
            <w:vAlign w:val="center"/>
            <w:hideMark/>
          </w:tcPr>
          <w:p w14:paraId="0BA884F0"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CR significantly reduced mortality and hospitalisations.</w:t>
            </w:r>
          </w:p>
        </w:tc>
        <w:tc>
          <w:tcPr>
            <w:tcW w:w="0" w:type="auto"/>
            <w:vAlign w:val="center"/>
            <w:hideMark/>
          </w:tcPr>
          <w:p w14:paraId="5B00AD93"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Patients valued supervised exercise and peer support.</w:t>
            </w:r>
          </w:p>
        </w:tc>
      </w:tr>
      <w:tr w:rsidR="00EE3F34" w:rsidRPr="00F45B03" w14:paraId="6A25F2EB" w14:textId="77777777" w:rsidTr="000C7CEB">
        <w:trPr>
          <w:tblCellSpacing w:w="15" w:type="dxa"/>
        </w:trPr>
        <w:tc>
          <w:tcPr>
            <w:tcW w:w="0" w:type="auto"/>
            <w:vAlign w:val="center"/>
            <w:hideMark/>
          </w:tcPr>
          <w:p w14:paraId="2A06F298"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Heran et al. (2011)</w:t>
            </w:r>
          </w:p>
        </w:tc>
        <w:tc>
          <w:tcPr>
            <w:tcW w:w="0" w:type="auto"/>
            <w:vAlign w:val="center"/>
            <w:hideMark/>
          </w:tcPr>
          <w:p w14:paraId="67957D45"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Systematic review</w:t>
            </w:r>
          </w:p>
        </w:tc>
        <w:tc>
          <w:tcPr>
            <w:tcW w:w="0" w:type="auto"/>
            <w:vAlign w:val="center"/>
            <w:hideMark/>
          </w:tcPr>
          <w:p w14:paraId="6CF3A7EA"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47 trials</w:t>
            </w:r>
          </w:p>
        </w:tc>
        <w:tc>
          <w:tcPr>
            <w:tcW w:w="0" w:type="auto"/>
            <w:vAlign w:val="center"/>
            <w:hideMark/>
          </w:tcPr>
          <w:p w14:paraId="5A7DB2C5"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CR reduced cardiovascular mortality; improved exercise capacity.</w:t>
            </w:r>
          </w:p>
        </w:tc>
        <w:tc>
          <w:tcPr>
            <w:tcW w:w="0" w:type="auto"/>
            <w:vAlign w:val="center"/>
            <w:hideMark/>
          </w:tcPr>
          <w:p w14:paraId="234005A9"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Reassurance and structured programmes improved adherence.</w:t>
            </w:r>
          </w:p>
        </w:tc>
      </w:tr>
      <w:tr w:rsidR="00EE3F34" w:rsidRPr="00F45B03" w14:paraId="34085049" w14:textId="77777777" w:rsidTr="000C7CEB">
        <w:trPr>
          <w:tblCellSpacing w:w="15" w:type="dxa"/>
        </w:trPr>
        <w:tc>
          <w:tcPr>
            <w:tcW w:w="0" w:type="auto"/>
            <w:vAlign w:val="center"/>
            <w:hideMark/>
          </w:tcPr>
          <w:p w14:paraId="4CE508FF"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Neubeck et al. (2020)</w:t>
            </w:r>
          </w:p>
        </w:tc>
        <w:tc>
          <w:tcPr>
            <w:tcW w:w="0" w:type="auto"/>
            <w:vAlign w:val="center"/>
            <w:hideMark/>
          </w:tcPr>
          <w:p w14:paraId="0997007F"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Systematic review</w:t>
            </w:r>
          </w:p>
        </w:tc>
        <w:tc>
          <w:tcPr>
            <w:tcW w:w="0" w:type="auto"/>
            <w:vAlign w:val="center"/>
            <w:hideMark/>
          </w:tcPr>
          <w:p w14:paraId="00FAC429"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20+ studies</w:t>
            </w:r>
          </w:p>
        </w:tc>
        <w:tc>
          <w:tcPr>
            <w:tcW w:w="0" w:type="auto"/>
            <w:vAlign w:val="center"/>
            <w:hideMark/>
          </w:tcPr>
          <w:p w14:paraId="2F43F8F7"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Digital CR improved exercise capacity and adherence; comparable outcomes to centre</w:t>
            </w:r>
            <w:r w:rsidRPr="00F45B03">
              <w:rPr>
                <w:rFonts w:ascii="Arial" w:eastAsia="Times New Roman" w:hAnsi="Arial" w:cs="Arial"/>
                <w:lang w:eastAsia="en-IN"/>
              </w:rPr>
              <w:noBreakHyphen/>
              <w:t>based CR.</w:t>
            </w:r>
          </w:p>
        </w:tc>
        <w:tc>
          <w:tcPr>
            <w:tcW w:w="0" w:type="auto"/>
            <w:vAlign w:val="center"/>
            <w:hideMark/>
          </w:tcPr>
          <w:p w14:paraId="5DB2EBAE"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Convenience valued; digital literacy affected uptake.</w:t>
            </w:r>
          </w:p>
        </w:tc>
      </w:tr>
      <w:tr w:rsidR="00EE3F34" w:rsidRPr="00F45B03" w14:paraId="630F4CC9" w14:textId="77777777" w:rsidTr="000C7CEB">
        <w:trPr>
          <w:tblCellSpacing w:w="15" w:type="dxa"/>
        </w:trPr>
        <w:tc>
          <w:tcPr>
            <w:tcW w:w="0" w:type="auto"/>
            <w:vAlign w:val="center"/>
            <w:hideMark/>
          </w:tcPr>
          <w:p w14:paraId="3DFCC90D" w14:textId="77777777" w:rsidR="00EE3F34" w:rsidRPr="00F45B03" w:rsidRDefault="00EE3F34" w:rsidP="00167E86">
            <w:pPr>
              <w:spacing w:after="0" w:line="360" w:lineRule="auto"/>
              <w:jc w:val="both"/>
              <w:rPr>
                <w:rFonts w:ascii="Arial" w:eastAsia="Times New Roman" w:hAnsi="Arial" w:cs="Arial"/>
                <w:b/>
                <w:bCs/>
                <w:lang w:eastAsia="en-IN"/>
              </w:rPr>
            </w:pPr>
            <w:proofErr w:type="spellStart"/>
            <w:r w:rsidRPr="00F45B03">
              <w:rPr>
                <w:rFonts w:ascii="Arial" w:eastAsia="Times New Roman" w:hAnsi="Arial" w:cs="Arial"/>
                <w:b/>
                <w:bCs/>
                <w:lang w:eastAsia="en-IN"/>
              </w:rPr>
              <w:t>Kabboul</w:t>
            </w:r>
            <w:proofErr w:type="spellEnd"/>
            <w:r w:rsidRPr="00F45B03">
              <w:rPr>
                <w:rFonts w:ascii="Arial" w:eastAsia="Times New Roman" w:hAnsi="Arial" w:cs="Arial"/>
                <w:b/>
                <w:bCs/>
                <w:lang w:eastAsia="en-IN"/>
              </w:rPr>
              <w:t xml:space="preserve"> et al. (2018)</w:t>
            </w:r>
          </w:p>
        </w:tc>
        <w:tc>
          <w:tcPr>
            <w:tcW w:w="0" w:type="auto"/>
            <w:vAlign w:val="center"/>
            <w:hideMark/>
          </w:tcPr>
          <w:p w14:paraId="25B9CAF8"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Systematic review</w:t>
            </w:r>
          </w:p>
        </w:tc>
        <w:tc>
          <w:tcPr>
            <w:tcW w:w="0" w:type="auto"/>
            <w:vAlign w:val="center"/>
            <w:hideMark/>
          </w:tcPr>
          <w:p w14:paraId="63AC5E5D"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85 trials</w:t>
            </w:r>
          </w:p>
        </w:tc>
        <w:tc>
          <w:tcPr>
            <w:tcW w:w="0" w:type="auto"/>
            <w:vAlign w:val="center"/>
            <w:hideMark/>
          </w:tcPr>
          <w:p w14:paraId="66AD008E"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CR reduced mortality, hospitalisations, and improved QoL.</w:t>
            </w:r>
          </w:p>
        </w:tc>
        <w:tc>
          <w:tcPr>
            <w:tcW w:w="0" w:type="auto"/>
            <w:vAlign w:val="center"/>
            <w:hideMark/>
          </w:tcPr>
          <w:p w14:paraId="15FB4192"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Cultural mismatch and programme rigidity affected engagement.</w:t>
            </w:r>
          </w:p>
        </w:tc>
      </w:tr>
      <w:tr w:rsidR="00EE3F34" w:rsidRPr="00F45B03" w14:paraId="1B9F565C" w14:textId="77777777" w:rsidTr="000C7CEB">
        <w:trPr>
          <w:tblCellSpacing w:w="15" w:type="dxa"/>
        </w:trPr>
        <w:tc>
          <w:tcPr>
            <w:tcW w:w="0" w:type="auto"/>
            <w:vAlign w:val="center"/>
            <w:hideMark/>
          </w:tcPr>
          <w:p w14:paraId="5D01B78D" w14:textId="77777777" w:rsidR="00EE3F34" w:rsidRPr="00F45B03" w:rsidRDefault="00EE3F34"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Jelinek et al. (2020)</w:t>
            </w:r>
          </w:p>
        </w:tc>
        <w:tc>
          <w:tcPr>
            <w:tcW w:w="0" w:type="auto"/>
            <w:vAlign w:val="center"/>
            <w:hideMark/>
          </w:tcPr>
          <w:p w14:paraId="25EB71B8"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Cohort study</w:t>
            </w:r>
          </w:p>
        </w:tc>
        <w:tc>
          <w:tcPr>
            <w:tcW w:w="0" w:type="auto"/>
            <w:vAlign w:val="center"/>
            <w:hideMark/>
          </w:tcPr>
          <w:p w14:paraId="54765CFC"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~1,000 adults</w:t>
            </w:r>
          </w:p>
        </w:tc>
        <w:tc>
          <w:tcPr>
            <w:tcW w:w="0" w:type="auto"/>
            <w:vAlign w:val="center"/>
            <w:hideMark/>
          </w:tcPr>
          <w:p w14:paraId="5BDA11C7"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CR participation associated with reduced readmissions and improved functional outcomes.</w:t>
            </w:r>
          </w:p>
        </w:tc>
        <w:tc>
          <w:tcPr>
            <w:tcW w:w="0" w:type="auto"/>
            <w:vAlign w:val="center"/>
            <w:hideMark/>
          </w:tcPr>
          <w:p w14:paraId="57E8DE27" w14:textId="77777777" w:rsidR="00EE3F34" w:rsidRPr="00F45B03" w:rsidRDefault="00EE3F34"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Peer support and reassurance enhanced adherence.</w:t>
            </w:r>
          </w:p>
        </w:tc>
      </w:tr>
    </w:tbl>
    <w:p w14:paraId="1786C5AE" w14:textId="77777777" w:rsidR="00EE3F34" w:rsidRPr="00F45B03" w:rsidRDefault="00EE3F34" w:rsidP="00167E86">
      <w:pPr>
        <w:pStyle w:val="Heading1"/>
        <w:spacing w:line="360" w:lineRule="auto"/>
        <w:jc w:val="both"/>
        <w:rPr>
          <w:rStyle w:val="Strong"/>
          <w:rFonts w:ascii="Arial" w:hAnsi="Arial" w:cs="Arial"/>
          <w:b w:val="0"/>
          <w:bCs w:val="0"/>
          <w:color w:val="000000" w:themeColor="text1"/>
          <w:sz w:val="22"/>
          <w:szCs w:val="22"/>
        </w:rPr>
      </w:pPr>
    </w:p>
    <w:p w14:paraId="285A537E" w14:textId="77777777" w:rsidR="00EE3F34" w:rsidRPr="00F45B03" w:rsidRDefault="00EE3F34" w:rsidP="00167E86">
      <w:pPr>
        <w:pStyle w:val="Heading1"/>
        <w:spacing w:line="360" w:lineRule="auto"/>
        <w:jc w:val="both"/>
        <w:rPr>
          <w:rStyle w:val="Strong"/>
          <w:rFonts w:ascii="Arial" w:hAnsi="Arial" w:cs="Arial"/>
          <w:b w:val="0"/>
          <w:bCs w:val="0"/>
          <w:color w:val="000000" w:themeColor="text1"/>
          <w:sz w:val="22"/>
          <w:szCs w:val="22"/>
        </w:rPr>
      </w:pPr>
    </w:p>
    <w:p w14:paraId="2C41D3DA" w14:textId="77777777" w:rsidR="00EE3F34" w:rsidRPr="00F45B03" w:rsidRDefault="00EE3F34" w:rsidP="00167E86">
      <w:pPr>
        <w:pStyle w:val="Heading1"/>
        <w:spacing w:line="360" w:lineRule="auto"/>
        <w:jc w:val="both"/>
        <w:rPr>
          <w:rStyle w:val="Strong"/>
          <w:rFonts w:ascii="Arial" w:hAnsi="Arial" w:cs="Arial"/>
          <w:b w:val="0"/>
          <w:bCs w:val="0"/>
          <w:color w:val="000000" w:themeColor="text1"/>
          <w:sz w:val="22"/>
          <w:szCs w:val="22"/>
        </w:rPr>
      </w:pPr>
    </w:p>
    <w:p w14:paraId="74692C2E" w14:textId="77777777" w:rsidR="00EE3F34" w:rsidRPr="00F45B03" w:rsidRDefault="00EE3F34" w:rsidP="00167E86">
      <w:pPr>
        <w:pStyle w:val="Heading1"/>
        <w:spacing w:line="360" w:lineRule="auto"/>
        <w:jc w:val="both"/>
        <w:rPr>
          <w:rStyle w:val="Strong"/>
          <w:rFonts w:ascii="Arial" w:hAnsi="Arial" w:cs="Arial"/>
          <w:b w:val="0"/>
          <w:bCs w:val="0"/>
          <w:color w:val="000000" w:themeColor="text1"/>
          <w:sz w:val="22"/>
          <w:szCs w:val="22"/>
        </w:rPr>
      </w:pPr>
    </w:p>
    <w:p w14:paraId="01D0E6B0" w14:textId="77777777" w:rsidR="00EE3F34" w:rsidRPr="00F45B03" w:rsidRDefault="00EE3F34" w:rsidP="00167E86">
      <w:pPr>
        <w:spacing w:line="360" w:lineRule="auto"/>
        <w:jc w:val="both"/>
        <w:rPr>
          <w:rFonts w:ascii="Arial" w:hAnsi="Arial" w:cs="Arial"/>
          <w:color w:val="000000" w:themeColor="text1"/>
        </w:rPr>
      </w:pPr>
    </w:p>
    <w:p w14:paraId="4784269D" w14:textId="33CA316C" w:rsidR="005D4590" w:rsidRPr="00F45B03" w:rsidRDefault="005D4590"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 xml:space="preserve">Chapter 5 </w:t>
      </w:r>
    </w:p>
    <w:p w14:paraId="462E98B9" w14:textId="5BE6FCFC"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5.1 Introduction</w:t>
      </w:r>
    </w:p>
    <w:p w14:paraId="04A5C030"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This chapter critically interprets the findings presented in Chapter 4 by situating them within the wider evidence base, theoretical frameworks, and the study’s research objectives. The discussion examines how cardiac rehabilitation (CR) influences hospital readmissions among adults aged 55 years and over in England, with particular attention to the ethnic and socioeconomic inequalities that shape participation and outcomes. This reflects the growing recognition that cardiovascular interventions must be evaluated not only for their clinical effectiveness but also for their equity, accessibility, and relevance to diverse populations (Boland et al., 2017).</w:t>
      </w:r>
    </w:p>
    <w:p w14:paraId="65CAA6C9"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Consistent with best practice in systematic review methodology, this chapter integrates quantitative and qualitative evidence to provide a comprehensive interpretation of CR’s impact (Page et al., 2021). A health</w:t>
      </w:r>
      <w:r w:rsidRPr="00F45B03">
        <w:rPr>
          <w:rFonts w:ascii="Arial" w:hAnsi="Arial" w:cs="Arial"/>
          <w:color w:val="000000" w:themeColor="text1"/>
          <w:sz w:val="22"/>
          <w:szCs w:val="22"/>
          <w:lang w:val="en-GB"/>
        </w:rPr>
        <w:noBreakHyphen/>
        <w:t>equity lens is applied throughout, acknowledging that clinical outcomes are inseparable from the social determinants that influence access, engagement, and long</w:t>
      </w:r>
      <w:r w:rsidRPr="00F45B03">
        <w:rPr>
          <w:rFonts w:ascii="Arial" w:hAnsi="Arial" w:cs="Arial"/>
          <w:color w:val="000000" w:themeColor="text1"/>
          <w:sz w:val="22"/>
          <w:szCs w:val="22"/>
          <w:lang w:val="en-GB"/>
        </w:rPr>
        <w:noBreakHyphen/>
        <w:t>term benefit (Public Health England, 2020). By synthesising evidence from trials, cohort studies, qualitative research, and national audits, this chapter explains not only whether CR reduces readmissions, but also for whom, under what conditions, and why inequalities persist despite strong clinical effectiveness. The discussion also reflects on methodological strengths and limitations of the included studies, ensuring transparency and contextual depth.</w:t>
      </w:r>
    </w:p>
    <w:p w14:paraId="2E6AFCAE"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2A6D5373" w14:textId="46044F82"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5.2 Effectiveness of Cardiac Rehabilitation in Reducing Hospital Readmissions</w:t>
      </w:r>
    </w:p>
    <w:p w14:paraId="3F2721DE"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The findings of this review strongly support the effectiveness of CR in reducing hospital readmissions among older adults, aligning with a substantial body of international evidence. Anderson et al. (2016) demonstrated across 63 trials that exercise</w:t>
      </w:r>
      <w:r w:rsidRPr="00F45B03">
        <w:rPr>
          <w:rFonts w:ascii="Arial" w:hAnsi="Arial" w:cs="Arial"/>
          <w:color w:val="000000" w:themeColor="text1"/>
          <w:sz w:val="22"/>
          <w:szCs w:val="22"/>
          <w:lang w:val="en-GB"/>
        </w:rPr>
        <w:noBreakHyphen/>
        <w:t>based CR significantly reduces cardiovascular mortality and unplanned hospitalisations. This is consistent with Dalal et al. (2015), who found that both home</w:t>
      </w:r>
      <w:r w:rsidRPr="00F45B03">
        <w:rPr>
          <w:rFonts w:ascii="Arial" w:hAnsi="Arial" w:cs="Arial"/>
          <w:color w:val="000000" w:themeColor="text1"/>
          <w:sz w:val="22"/>
          <w:szCs w:val="22"/>
          <w:lang w:val="en-GB"/>
        </w:rPr>
        <w:noBreakHyphen/>
        <w:t>based and centre</w:t>
      </w:r>
      <w:r w:rsidRPr="00F45B03">
        <w:rPr>
          <w:rFonts w:ascii="Arial" w:hAnsi="Arial" w:cs="Arial"/>
          <w:color w:val="000000" w:themeColor="text1"/>
          <w:sz w:val="22"/>
          <w:szCs w:val="22"/>
          <w:lang w:val="en-GB"/>
        </w:rPr>
        <w:noBreakHyphen/>
        <w:t>based CR models improved clinical outcomes and reduced readmission risk. Improvements in physical fitness, medication adherence, and self</w:t>
      </w:r>
      <w:r w:rsidRPr="00F45B03">
        <w:rPr>
          <w:rFonts w:ascii="Arial" w:hAnsi="Arial" w:cs="Arial"/>
          <w:color w:val="000000" w:themeColor="text1"/>
          <w:sz w:val="22"/>
          <w:szCs w:val="22"/>
          <w:lang w:val="en-GB"/>
        </w:rPr>
        <w:noBreakHyphen/>
        <w:t>management behaviours appear central to these outcomes, with Taylor et al. (2019) showing that structured CR enhances exercise capacity and reduces recurrent events among older adults.</w:t>
      </w:r>
    </w:p>
    <w:p w14:paraId="5B4B193D"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lastRenderedPageBreak/>
        <w:t>Qualitative evidence reinforces these findings, with patients reporting increased confidence, improved symptom recognition, and enhanced psychological wellbeing following CR participation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Psychological improvements are particularly important, as anxiety and depression are common after cardiac events and are associated with higher readmission rates. Completion emerged as a critical determinant of effectiveness, with Dibben et al. (2021) demonstrating that CR completers experience significantly lower mortality and readmission rates than non</w:t>
      </w:r>
      <w:r w:rsidRPr="00F45B03">
        <w:rPr>
          <w:rFonts w:ascii="Arial" w:hAnsi="Arial" w:cs="Arial"/>
          <w:color w:val="000000" w:themeColor="text1"/>
          <w:sz w:val="22"/>
          <w:szCs w:val="22"/>
          <w:lang w:val="en-GB"/>
        </w:rPr>
        <w:noBreakHyphen/>
        <w:t>completers. However, real</w:t>
      </w:r>
      <w:r w:rsidRPr="00F45B03">
        <w:rPr>
          <w:rFonts w:ascii="Arial" w:hAnsi="Arial" w:cs="Arial"/>
          <w:color w:val="000000" w:themeColor="text1"/>
          <w:sz w:val="22"/>
          <w:szCs w:val="22"/>
          <w:lang w:val="en-GB"/>
        </w:rPr>
        <w:noBreakHyphen/>
        <w:t>world adherence remains a challenge, suggesting that the full benefits of CR are not consistently realised across all patient groups, particularly those facing structural or psychological barriers.</w:t>
      </w:r>
    </w:p>
    <w:p w14:paraId="6B141FF6"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Flexibility in programme design also influences effectiveness. Anderson et al. (2017) showed that home</w:t>
      </w:r>
      <w:r w:rsidRPr="00F45B03">
        <w:rPr>
          <w:rFonts w:ascii="Arial" w:hAnsi="Arial" w:cs="Arial"/>
          <w:color w:val="000000" w:themeColor="text1"/>
          <w:sz w:val="22"/>
          <w:szCs w:val="22"/>
          <w:lang w:val="en-GB"/>
        </w:rPr>
        <w:noBreakHyphen/>
        <w:t>based CR achieves outcomes comparable to centre</w:t>
      </w:r>
      <w:r w:rsidRPr="00F45B03">
        <w:rPr>
          <w:rFonts w:ascii="Arial" w:hAnsi="Arial" w:cs="Arial"/>
          <w:color w:val="000000" w:themeColor="text1"/>
          <w:sz w:val="22"/>
          <w:szCs w:val="22"/>
          <w:lang w:val="en-GB"/>
        </w:rPr>
        <w:noBreakHyphen/>
        <w:t>based programmes, particularly for older adults and those with mobility limitations. This suggests that flexible delivery models may enhance accessibility without compromising clinical effectiveness. Despite strong evidence supporting CR’s benefits, national audits indicate that participation rates remain suboptimal, with many eligible patients not enrolling or completing programmes (Bachmann et al., 2017). This gap between evidence and practice underscores the need for system</w:t>
      </w:r>
      <w:r w:rsidRPr="00F45B03">
        <w:rPr>
          <w:rFonts w:ascii="Arial" w:hAnsi="Arial" w:cs="Arial"/>
          <w:color w:val="000000" w:themeColor="text1"/>
          <w:sz w:val="22"/>
          <w:szCs w:val="22"/>
          <w:lang w:val="en-GB"/>
        </w:rPr>
        <w:noBreakHyphen/>
        <w:t>level interventions to improve referral, uptake, and adherence.</w:t>
      </w:r>
    </w:p>
    <w:p w14:paraId="7E1B024C" w14:textId="77777777"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5.3 Ethnic Inequalities in CR Participation and Outcomes</w:t>
      </w:r>
    </w:p>
    <w:p w14:paraId="6D340708"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Ethnic inequalities in CR participation were a prominent finding in this review, with minority ethnic groups experiencing lower referral rates, reduced uptake, and poorer completion. Bachmann et al. (2017) demonstrated that minority ethnic patients in England are significantly less likely to be referred to CR, even when clinically eligible. These disparities appear to be driven by structural and cultural barriers rather than differences in clinical need, suggesting that ethnicity functions as an independent determinant of unequal access (Virani et al., 2021).</w:t>
      </w:r>
    </w:p>
    <w:p w14:paraId="7FFEAD9F"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Cultural mismatch between CR programmes and patient expectations also plays a central role. Galdas et al. (2018) found that minority ethnic patients often perceived CR environments as culturally unfamiliar or insufficiently responsive to their needs. Language barriers, mistrust of healthcare services, and limited culturally tailored communication further reduce engagement. These findings align with qualitative evidence showing that social support networks may be weaker for some ethnic groups, particularly where family responsibilities or cultural norms conflict with attendance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w:t>
      </w:r>
    </w:p>
    <w:p w14:paraId="6857A65E"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lastRenderedPageBreak/>
        <w:t>Structural inequalities also influence referral patterns. Sumner et al. (2017) reported that minority ethnic patients were less likely to receive timely referrals and more likely to disengage early, suggesting that inequities emerge at the earliest stage of the care pathway. These disparities persist even after adjusting for socioeconomic status and comorbidities, indicating that ethnicity itself shapes access to care in ways that cannot be explained solely by deprivation (Virani et al., 2021). Addressing these disparities requires culturally adapted, linguistically accessible, and community</w:t>
      </w:r>
      <w:r w:rsidRPr="00F45B03">
        <w:rPr>
          <w:rFonts w:ascii="Arial" w:hAnsi="Arial" w:cs="Arial"/>
          <w:color w:val="000000" w:themeColor="text1"/>
          <w:sz w:val="22"/>
          <w:szCs w:val="22"/>
          <w:lang w:val="en-GB"/>
        </w:rPr>
        <w:noBreakHyphen/>
        <w:t>embedded CR models that actively respond to the needs of diverse populations.</w:t>
      </w:r>
    </w:p>
    <w:p w14:paraId="2CB28FD8"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05965CDD" w14:textId="596C5981"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5.4 Socioeconomic Inequalities and CR Effectiveness</w:t>
      </w:r>
    </w:p>
    <w:p w14:paraId="74752F4C"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Socioeconomic deprivation emerged as a major determinant of CR participation and effectiveness. Bachmann et al. (2017) found that individuals from the most deprived areas were significantly less likely to be referred to or complete CR. Sumner et al. (2017) similarly identified transport difficulties, inflexible work schedules, and financial pressures as key barriers disproportionately affecting lower</w:t>
      </w:r>
      <w:r w:rsidRPr="00F45B03">
        <w:rPr>
          <w:rFonts w:ascii="Arial" w:hAnsi="Arial" w:cs="Arial"/>
          <w:color w:val="000000" w:themeColor="text1"/>
          <w:sz w:val="22"/>
          <w:szCs w:val="22"/>
          <w:lang w:val="en-GB"/>
        </w:rPr>
        <w:noBreakHyphen/>
        <w:t xml:space="preserve">income patients. These findings highlight </w:t>
      </w:r>
      <w:proofErr w:type="gramStart"/>
      <w:r w:rsidRPr="00F45B03">
        <w:rPr>
          <w:rFonts w:ascii="Arial" w:hAnsi="Arial" w:cs="Arial"/>
          <w:color w:val="000000" w:themeColor="text1"/>
          <w:sz w:val="22"/>
          <w:szCs w:val="22"/>
          <w:lang w:val="en-GB"/>
        </w:rPr>
        <w:t>that structural constraints</w:t>
      </w:r>
      <w:proofErr w:type="gramEnd"/>
      <w:r w:rsidRPr="00F45B03">
        <w:rPr>
          <w:rFonts w:ascii="Arial" w:hAnsi="Arial" w:cs="Arial"/>
          <w:color w:val="000000" w:themeColor="text1"/>
          <w:sz w:val="22"/>
          <w:szCs w:val="22"/>
          <w:lang w:val="en-GB"/>
        </w:rPr>
        <w:t>, rather than individual motivation, limit engagement.</w:t>
      </w:r>
    </w:p>
    <w:p w14:paraId="4EA46C79"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Socioeconomic inequalities also influence outcomes. Dibben et al. (2021) reported that patients from deprived backgrounds were less likely to complete CR, reducing their likelihood of achieving the full clinical benefits. Dalal et al. (2019) found that home</w:t>
      </w:r>
      <w:r w:rsidRPr="00F45B03">
        <w:rPr>
          <w:rFonts w:ascii="Arial" w:hAnsi="Arial" w:cs="Arial"/>
          <w:color w:val="000000" w:themeColor="text1"/>
          <w:sz w:val="22"/>
          <w:szCs w:val="22"/>
          <w:lang w:val="en-GB"/>
        </w:rPr>
        <w:noBreakHyphen/>
        <w:t>based CR improved accessibility but still required adequate support and health literacy, which may be unevenly distributed across socioeconomic groups. These inequalities interact with ethnicity, amplifying disparities across the CR pathway.</w:t>
      </w:r>
    </w:p>
    <w:p w14:paraId="14E22D29"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Public Health England (2020) identified that low health literacy and limited awareness of CR were more common in deprived communities, reducing early engagement. Although area</w:t>
      </w:r>
      <w:r w:rsidRPr="00F45B03">
        <w:rPr>
          <w:rFonts w:ascii="Arial" w:hAnsi="Arial" w:cs="Arial"/>
          <w:color w:val="000000" w:themeColor="text1"/>
          <w:sz w:val="22"/>
          <w:szCs w:val="22"/>
          <w:lang w:val="en-GB"/>
        </w:rPr>
        <w:noBreakHyphen/>
        <w:t>based deprivation indices may obscure individual variation, the consistency of findings across national audits and cohort studies underscores that socioeconomic disadvantage is a structural barrier rather than a behavioural choice. Improving CR effectiveness therefore requires system</w:t>
      </w:r>
      <w:r w:rsidRPr="00F45B03">
        <w:rPr>
          <w:rFonts w:ascii="Arial" w:hAnsi="Arial" w:cs="Arial"/>
          <w:color w:val="000000" w:themeColor="text1"/>
          <w:sz w:val="22"/>
          <w:szCs w:val="22"/>
          <w:lang w:val="en-GB"/>
        </w:rPr>
        <w:noBreakHyphen/>
        <w:t>level interventions such as transport support, flexible scheduling, and simplified communication.</w:t>
      </w:r>
    </w:p>
    <w:p w14:paraId="4914DB7D"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53578A6D"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53E9BDD8"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43EB3125" w14:textId="6066697D"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5.5 Barriers and Facilitators to CR Participation</w:t>
      </w:r>
    </w:p>
    <w:p w14:paraId="30C93B93"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lastRenderedPageBreak/>
        <w:t>Barriers to CR participation arise from a complex interplay of psychological, clinical, and organisational factors. Psychological distress, fear of exercise, and uncertainty about the safety of physical activity frequently undermine confidence, particularly in the early post</w:t>
      </w:r>
      <w:r w:rsidRPr="00F45B03">
        <w:rPr>
          <w:rFonts w:ascii="Arial" w:hAnsi="Arial" w:cs="Arial"/>
          <w:color w:val="000000" w:themeColor="text1"/>
          <w:sz w:val="22"/>
          <w:szCs w:val="22"/>
          <w:lang w:val="en-GB"/>
        </w:rPr>
        <w:noBreakHyphen/>
        <w:t>event period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These emotional barriers often intersect with clinical challenges such as multimorbidity and frailty, which Dalal et al. (2019) found to be particularly influential among older adults.</w:t>
      </w:r>
    </w:p>
    <w:p w14:paraId="32FF35CB"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Organisational barriers also play a significant role. Bachmann et al. (2017) and Sumner et al. (2017) reported that delays in referral, inconsistent communication, and limited availability of flexible delivery options reduce participation. At the same time, facilitators such as personalised communication, supportive staff interactions, and strong social support can significantly improve engagement (Clark et al., 2013). Home</w:t>
      </w:r>
      <w:r w:rsidRPr="00F45B03">
        <w:rPr>
          <w:rFonts w:ascii="Arial" w:hAnsi="Arial" w:cs="Arial"/>
          <w:color w:val="000000" w:themeColor="text1"/>
          <w:sz w:val="22"/>
          <w:szCs w:val="22"/>
          <w:lang w:val="en-GB"/>
        </w:rPr>
        <w:noBreakHyphen/>
        <w:t>based and hybrid CR models further enhance accessibility by reducing logistical barriers, with Anderson et al. (2017) showing that remote delivery achieves outcomes comparable to centre</w:t>
      </w:r>
      <w:r w:rsidRPr="00F45B03">
        <w:rPr>
          <w:rFonts w:ascii="Arial" w:hAnsi="Arial" w:cs="Arial"/>
          <w:color w:val="000000" w:themeColor="text1"/>
          <w:sz w:val="22"/>
          <w:szCs w:val="22"/>
          <w:lang w:val="en-GB"/>
        </w:rPr>
        <w:noBreakHyphen/>
        <w:t>based programmes.</w:t>
      </w:r>
    </w:p>
    <w:p w14:paraId="03BF79DA"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Although much of the evidence is drawn from observational and qualitative studies, the consistency of themes across methodologies strengthens the conclusion that improving CR participation requires addressing both emotional and structural barriers through flexible, person</w:t>
      </w:r>
      <w:r w:rsidRPr="00F45B03">
        <w:rPr>
          <w:rFonts w:ascii="Arial" w:hAnsi="Arial" w:cs="Arial"/>
          <w:color w:val="000000" w:themeColor="text1"/>
          <w:sz w:val="22"/>
          <w:szCs w:val="22"/>
          <w:lang w:val="en-GB"/>
        </w:rPr>
        <w:noBreakHyphen/>
        <w:t>centred approaches.</w:t>
      </w:r>
    </w:p>
    <w:p w14:paraId="29CCE3E1"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63B25026" w14:textId="4924F4B7"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5.6 CR Outcomes in Older Adults (55+ in England)</w:t>
      </w:r>
    </w:p>
    <w:p w14:paraId="4AB9A53C"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CR delivers clear clinical and psychosocial benefits for older adults, even among those managing multiple long</w:t>
      </w:r>
      <w:r w:rsidRPr="00F45B03">
        <w:rPr>
          <w:rFonts w:ascii="Arial" w:hAnsi="Arial" w:cs="Arial"/>
          <w:color w:val="000000" w:themeColor="text1"/>
          <w:sz w:val="22"/>
          <w:szCs w:val="22"/>
          <w:lang w:val="en-GB"/>
        </w:rPr>
        <w:noBreakHyphen/>
        <w:t>term conditions. Taylor et al. (2019) demonstrated that structured CR improves functional capacity and reduces hospital readmissions among older adults. Dalal et al. (2015) and Jolly et al. (2009) found that home</w:t>
      </w:r>
      <w:r w:rsidRPr="00F45B03">
        <w:rPr>
          <w:rFonts w:ascii="Arial" w:hAnsi="Arial" w:cs="Arial"/>
          <w:color w:val="000000" w:themeColor="text1"/>
          <w:sz w:val="22"/>
          <w:szCs w:val="22"/>
          <w:lang w:val="en-GB"/>
        </w:rPr>
        <w:noBreakHyphen/>
        <w:t>based CR is particularly effective for older adults with mobility limitations, offering comparable outcomes to centre</w:t>
      </w:r>
      <w:r w:rsidRPr="00F45B03">
        <w:rPr>
          <w:rFonts w:ascii="Arial" w:hAnsi="Arial" w:cs="Arial"/>
          <w:color w:val="000000" w:themeColor="text1"/>
          <w:sz w:val="22"/>
          <w:szCs w:val="22"/>
          <w:lang w:val="en-GB"/>
        </w:rPr>
        <w:noBreakHyphen/>
        <w:t>based programmes.</w:t>
      </w:r>
    </w:p>
    <w:p w14:paraId="4F04CA0F"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Older adults benefit most when CR is personalised and accessible. Dalal et al. (2019) highlighted that tailored exercise plans, supportive staff interactions, and opportunities for social connection enhance motivation and sustain engagement. Home</w:t>
      </w:r>
      <w:r w:rsidRPr="00F45B03">
        <w:rPr>
          <w:rFonts w:ascii="Arial" w:hAnsi="Arial" w:cs="Arial"/>
          <w:color w:val="000000" w:themeColor="text1"/>
          <w:sz w:val="22"/>
          <w:szCs w:val="22"/>
          <w:lang w:val="en-GB"/>
        </w:rPr>
        <w:noBreakHyphen/>
        <w:t>based CR models further strengthen accessibility by reducing transport barriers and accommodating fluctuating health needs. Although many studies exclude the oldest and most frail individuals, limiting generalisability, the consistency of evidence across trials and cohort studies reinforces that older adults can derive substantial benefit from CR when programmes are flexible and sensitive to the complexities of ageing.</w:t>
      </w:r>
    </w:p>
    <w:p w14:paraId="523D7EA9" w14:textId="1747A964"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05C8846F" w14:textId="344EE895"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5.7 Strengths of the Study</w:t>
      </w:r>
    </w:p>
    <w:p w14:paraId="788D47C6"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lastRenderedPageBreak/>
        <w:t>This review’s strengths include the use of a systematic and transparent methodology guided by PRISMA 2020 (Page et al., 2021), comprehensive database searching, and rigorous quality appraisal using CASP tools. The integration of quantitative and qualitative evidence provided a holistic understanding of CR effectiveness and inequalities (Popay et al., 2006). The focus on older adults, minority ethnic groups, and deprived populations adds value to existing literature by highlighting groups at risk of poorer outcomes. The inclusion of UK</w:t>
      </w:r>
      <w:r w:rsidRPr="00F45B03">
        <w:rPr>
          <w:rFonts w:ascii="Arial" w:hAnsi="Arial" w:cs="Arial"/>
          <w:color w:val="000000" w:themeColor="text1"/>
          <w:sz w:val="22"/>
          <w:szCs w:val="22"/>
          <w:lang w:val="en-GB"/>
        </w:rPr>
        <w:noBreakHyphen/>
        <w:t>specific studies ensures relevance to the English healthcare context.</w:t>
      </w:r>
    </w:p>
    <w:p w14:paraId="1C1E3FE9"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5F0772A2" w14:textId="47827D92"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5.8 Limitations of the Study</w:t>
      </w:r>
    </w:p>
    <w:p w14:paraId="3BC5ACDC"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Despite its strengths, the review has limitations. Heterogeneity in study designs, populations, and outcome measures limited the ability to conduct meta</w:t>
      </w:r>
      <w:r w:rsidRPr="00F45B03">
        <w:rPr>
          <w:rFonts w:ascii="Arial" w:hAnsi="Arial" w:cs="Arial"/>
          <w:color w:val="000000" w:themeColor="text1"/>
          <w:sz w:val="22"/>
          <w:szCs w:val="22"/>
          <w:lang w:val="en-GB"/>
        </w:rPr>
        <w:noBreakHyphen/>
        <w:t>analysis (Anderson et al., 2016). Reliance on secondary data may have introduced reporting bias, as studies varied in definitions of readmissions and CR completion. The exclusion of non</w:t>
      </w:r>
      <w:r w:rsidRPr="00F45B03">
        <w:rPr>
          <w:rFonts w:ascii="Arial" w:hAnsi="Arial" w:cs="Arial"/>
          <w:color w:val="000000" w:themeColor="text1"/>
          <w:sz w:val="22"/>
          <w:szCs w:val="22"/>
          <w:lang w:val="en-GB"/>
        </w:rPr>
        <w:noBreakHyphen/>
        <w:t>English studies may have resulted in language bias (Boland et al., 2017). Limited UK</w:t>
      </w:r>
      <w:r w:rsidRPr="00F45B03">
        <w:rPr>
          <w:rFonts w:ascii="Arial" w:hAnsi="Arial" w:cs="Arial"/>
          <w:color w:val="000000" w:themeColor="text1"/>
          <w:sz w:val="22"/>
          <w:szCs w:val="22"/>
          <w:lang w:val="en-GB"/>
        </w:rPr>
        <w:noBreakHyphen/>
        <w:t>specific data on ethnicity and socioeconomic status restricted the depth of analysis in some areas. Qualitative studies, while rich in insight, may not fully capture population</w:t>
      </w:r>
      <w:r w:rsidRPr="00F45B03">
        <w:rPr>
          <w:rFonts w:ascii="Arial" w:hAnsi="Arial" w:cs="Arial"/>
          <w:color w:val="000000" w:themeColor="text1"/>
          <w:sz w:val="22"/>
          <w:szCs w:val="22"/>
          <w:lang w:val="en-GB"/>
        </w:rPr>
        <w:noBreakHyphen/>
        <w:t>level patterns.</w:t>
      </w:r>
    </w:p>
    <w:p w14:paraId="12991902"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29853F00" w14:textId="5E057652"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5.9 Implications for Practice</w:t>
      </w:r>
    </w:p>
    <w:p w14:paraId="77CEBCFC"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Healthcare providers should prioritise CR referral and ensure that patients receive clear, culturally sensitive information about its benefits (Public Health England, 2020). Tailored interventions are needed to address the unique needs of older adults, minority ethnic groups, and deprived populations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Flexible delivery models, such as home</w:t>
      </w:r>
      <w:r w:rsidRPr="00F45B03">
        <w:rPr>
          <w:rFonts w:ascii="Arial" w:hAnsi="Arial" w:cs="Arial"/>
          <w:color w:val="000000" w:themeColor="text1"/>
          <w:sz w:val="22"/>
          <w:szCs w:val="22"/>
          <w:lang w:val="en-GB"/>
        </w:rPr>
        <w:noBreakHyphen/>
        <w:t>based or hybrid CR, may improve accessibility and engagement (Anderson et al., 2017). Training in cultural competence may further reduce disparities in participation.</w:t>
      </w:r>
    </w:p>
    <w:p w14:paraId="281ABF2C"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51351585" w14:textId="166126D0"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5.10 Implications for Policy</w:t>
      </w:r>
    </w:p>
    <w:p w14:paraId="7C876076"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Policymakers should invest in culturally tailored CR programmes and ensure equitable access across regions. Funding should support home</w:t>
      </w:r>
      <w:r w:rsidRPr="00F45B03">
        <w:rPr>
          <w:rFonts w:ascii="Arial" w:hAnsi="Arial" w:cs="Arial"/>
          <w:color w:val="000000" w:themeColor="text1"/>
          <w:sz w:val="22"/>
          <w:szCs w:val="22"/>
          <w:lang w:val="en-GB"/>
        </w:rPr>
        <w:noBreakHyphen/>
        <w:t>based and digital CR models, particularly for deprived populations. National audits should continue to monitor CR participation and outcomes across demographic groups to identify and address disparities (Bachmann et al., 2017). Policies should prioritise reducing structural barriers such as transport, referral delays, and health literacy gaps.</w:t>
      </w:r>
    </w:p>
    <w:p w14:paraId="0F8CE545" w14:textId="77777777" w:rsidR="00E76623" w:rsidRPr="00F45B03" w:rsidRDefault="00E76623" w:rsidP="00167E86">
      <w:pPr>
        <w:pStyle w:val="Heading2"/>
        <w:spacing w:line="360" w:lineRule="auto"/>
        <w:jc w:val="both"/>
        <w:rPr>
          <w:rFonts w:ascii="Arial" w:hAnsi="Arial" w:cs="Arial"/>
          <w:b/>
          <w:bCs/>
          <w:color w:val="000000" w:themeColor="text1"/>
          <w:sz w:val="22"/>
          <w:szCs w:val="22"/>
          <w:lang w:val="en-GB"/>
        </w:rPr>
      </w:pPr>
    </w:p>
    <w:p w14:paraId="708C8434" w14:textId="2524CB02"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5.11 Chapter Summary</w:t>
      </w:r>
    </w:p>
    <w:p w14:paraId="59B8AA1D"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This chapter discussed the findings of the systematic review, demonstrating that CR is effective in reducing hospital readmissions among adults aged 55 years and over. However, significant ethnic and socioeconomic inequalities influence participation and outcomes. Barriers such as language difficulties, cultural mismatch, deprivation, and frailty limit engagement, while facilitators such as flexible delivery and social support enhance participation. These findings have important implications for practice and policy, which are explored further in Chapter 6.</w:t>
      </w:r>
    </w:p>
    <w:p w14:paraId="1C62F1AE" w14:textId="77777777" w:rsidR="00EE3F34" w:rsidRPr="00F45B03" w:rsidRDefault="00EE3F34" w:rsidP="00167E86">
      <w:pPr>
        <w:spacing w:line="360" w:lineRule="auto"/>
        <w:jc w:val="both"/>
        <w:rPr>
          <w:rFonts w:ascii="Arial" w:hAnsi="Arial" w:cs="Arial"/>
          <w:lang w:val="en-GB"/>
        </w:rPr>
      </w:pPr>
    </w:p>
    <w:p w14:paraId="1ADE5D35" w14:textId="77777777" w:rsidR="00EE3F34" w:rsidRPr="00F45B03" w:rsidRDefault="00EE3F34" w:rsidP="00167E86">
      <w:pPr>
        <w:spacing w:line="360" w:lineRule="auto"/>
        <w:jc w:val="both"/>
        <w:rPr>
          <w:rFonts w:ascii="Arial" w:hAnsi="Arial" w:cs="Arial"/>
          <w:lang w:val="en-GB"/>
        </w:rPr>
      </w:pPr>
    </w:p>
    <w:p w14:paraId="635B06D9" w14:textId="77777777" w:rsidR="00EE3F34" w:rsidRPr="00F45B03" w:rsidRDefault="00EE3F34" w:rsidP="00167E86">
      <w:pPr>
        <w:spacing w:line="360" w:lineRule="auto"/>
        <w:jc w:val="both"/>
        <w:rPr>
          <w:rFonts w:ascii="Arial" w:hAnsi="Arial" w:cs="Arial"/>
          <w:b/>
          <w:bCs/>
          <w:lang w:val="en-GB"/>
        </w:rPr>
      </w:pPr>
    </w:p>
    <w:p w14:paraId="69417436" w14:textId="77777777" w:rsidR="00EE3F34" w:rsidRPr="00F45B03" w:rsidRDefault="00EE3F34" w:rsidP="00167E86">
      <w:pPr>
        <w:spacing w:line="360" w:lineRule="auto"/>
        <w:jc w:val="both"/>
        <w:rPr>
          <w:rFonts w:ascii="Arial" w:hAnsi="Arial" w:cs="Arial"/>
          <w:b/>
          <w:bCs/>
          <w:lang w:val="en-GB"/>
        </w:rPr>
      </w:pPr>
    </w:p>
    <w:p w14:paraId="1325BD0C" w14:textId="77777777" w:rsidR="00EE3F34" w:rsidRPr="00F45B03" w:rsidRDefault="00EE3F34" w:rsidP="00167E86">
      <w:pPr>
        <w:spacing w:line="360" w:lineRule="auto"/>
        <w:jc w:val="both"/>
        <w:rPr>
          <w:rFonts w:ascii="Arial" w:hAnsi="Arial" w:cs="Arial"/>
          <w:b/>
          <w:bCs/>
          <w:lang w:val="en-GB"/>
        </w:rPr>
      </w:pPr>
    </w:p>
    <w:p w14:paraId="7E390E20" w14:textId="77777777" w:rsidR="00EE3F34" w:rsidRPr="00F45B03" w:rsidRDefault="00EE3F34" w:rsidP="00167E86">
      <w:pPr>
        <w:spacing w:line="360" w:lineRule="auto"/>
        <w:jc w:val="both"/>
        <w:rPr>
          <w:rFonts w:ascii="Arial" w:hAnsi="Arial" w:cs="Arial"/>
          <w:b/>
          <w:bCs/>
          <w:lang w:val="en-GB"/>
        </w:rPr>
      </w:pPr>
    </w:p>
    <w:p w14:paraId="424EA386" w14:textId="77777777" w:rsidR="00EE3F34" w:rsidRPr="00F45B03" w:rsidRDefault="00EE3F34" w:rsidP="00167E86">
      <w:pPr>
        <w:spacing w:line="360" w:lineRule="auto"/>
        <w:jc w:val="both"/>
        <w:rPr>
          <w:rFonts w:ascii="Arial" w:hAnsi="Arial" w:cs="Arial"/>
          <w:b/>
          <w:bCs/>
          <w:lang w:val="en-GB"/>
        </w:rPr>
      </w:pPr>
    </w:p>
    <w:p w14:paraId="0058074D" w14:textId="77777777" w:rsidR="00E76623" w:rsidRPr="00F45B03" w:rsidRDefault="00E76623" w:rsidP="00167E86">
      <w:pPr>
        <w:spacing w:line="360" w:lineRule="auto"/>
        <w:jc w:val="both"/>
        <w:rPr>
          <w:rFonts w:ascii="Arial" w:hAnsi="Arial" w:cs="Arial"/>
          <w:b/>
          <w:bCs/>
          <w:lang w:val="en-GB"/>
        </w:rPr>
      </w:pPr>
    </w:p>
    <w:p w14:paraId="08034CCA" w14:textId="77777777" w:rsidR="00E76623" w:rsidRPr="00F45B03" w:rsidRDefault="00E76623" w:rsidP="00167E86">
      <w:pPr>
        <w:spacing w:line="360" w:lineRule="auto"/>
        <w:jc w:val="both"/>
        <w:rPr>
          <w:rFonts w:ascii="Arial" w:hAnsi="Arial" w:cs="Arial"/>
          <w:b/>
          <w:bCs/>
          <w:lang w:val="en-GB"/>
        </w:rPr>
      </w:pPr>
    </w:p>
    <w:p w14:paraId="4940E29A" w14:textId="77777777" w:rsidR="00E76623" w:rsidRPr="00F45B03" w:rsidRDefault="00E76623" w:rsidP="00167E86">
      <w:pPr>
        <w:spacing w:line="360" w:lineRule="auto"/>
        <w:jc w:val="both"/>
        <w:rPr>
          <w:rFonts w:ascii="Arial" w:hAnsi="Arial" w:cs="Arial"/>
          <w:b/>
          <w:bCs/>
          <w:lang w:val="en-GB"/>
        </w:rPr>
      </w:pPr>
    </w:p>
    <w:p w14:paraId="545FB098" w14:textId="77777777" w:rsidR="00E76623" w:rsidRPr="00F45B03" w:rsidRDefault="00E76623" w:rsidP="00167E86">
      <w:pPr>
        <w:spacing w:line="360" w:lineRule="auto"/>
        <w:jc w:val="both"/>
        <w:rPr>
          <w:rFonts w:ascii="Arial" w:hAnsi="Arial" w:cs="Arial"/>
          <w:b/>
          <w:bCs/>
          <w:lang w:val="en-GB"/>
        </w:rPr>
      </w:pPr>
    </w:p>
    <w:p w14:paraId="7889D4FE" w14:textId="77777777" w:rsidR="00E76623" w:rsidRPr="00F45B03" w:rsidRDefault="00E76623" w:rsidP="00167E86">
      <w:pPr>
        <w:spacing w:line="360" w:lineRule="auto"/>
        <w:jc w:val="both"/>
        <w:rPr>
          <w:rFonts w:ascii="Arial" w:hAnsi="Arial" w:cs="Arial"/>
          <w:b/>
          <w:bCs/>
          <w:lang w:val="en-GB"/>
        </w:rPr>
      </w:pPr>
    </w:p>
    <w:p w14:paraId="55E4AE1E" w14:textId="77777777" w:rsidR="000C7CEB" w:rsidRPr="00F45B03" w:rsidRDefault="000C7CEB" w:rsidP="00167E86">
      <w:pPr>
        <w:spacing w:line="360" w:lineRule="auto"/>
        <w:jc w:val="both"/>
        <w:rPr>
          <w:rFonts w:ascii="Arial" w:hAnsi="Arial" w:cs="Arial"/>
          <w:b/>
          <w:bCs/>
          <w:lang w:val="en-GB"/>
        </w:rPr>
      </w:pPr>
    </w:p>
    <w:p w14:paraId="1E2EF04E" w14:textId="77777777" w:rsidR="000C7CEB" w:rsidRPr="00F45B03" w:rsidRDefault="000C7CEB" w:rsidP="00167E86">
      <w:pPr>
        <w:spacing w:line="360" w:lineRule="auto"/>
        <w:jc w:val="both"/>
        <w:rPr>
          <w:rFonts w:ascii="Arial" w:hAnsi="Arial" w:cs="Arial"/>
          <w:b/>
          <w:bCs/>
          <w:lang w:val="en-GB"/>
        </w:rPr>
      </w:pPr>
    </w:p>
    <w:p w14:paraId="7C347F30" w14:textId="77777777" w:rsidR="000C7CEB" w:rsidRPr="00F45B03" w:rsidRDefault="000C7CEB" w:rsidP="00167E86">
      <w:pPr>
        <w:spacing w:line="360" w:lineRule="auto"/>
        <w:jc w:val="both"/>
        <w:rPr>
          <w:rFonts w:ascii="Arial" w:hAnsi="Arial" w:cs="Arial"/>
          <w:b/>
          <w:bCs/>
          <w:lang w:val="en-GB"/>
        </w:rPr>
      </w:pPr>
    </w:p>
    <w:p w14:paraId="7793D691" w14:textId="77777777" w:rsidR="000C7CEB" w:rsidRPr="00F45B03" w:rsidRDefault="000C7CEB" w:rsidP="00167E86">
      <w:pPr>
        <w:spacing w:line="360" w:lineRule="auto"/>
        <w:jc w:val="both"/>
        <w:rPr>
          <w:rFonts w:ascii="Arial" w:hAnsi="Arial" w:cs="Arial"/>
          <w:b/>
          <w:bCs/>
          <w:lang w:val="en-GB"/>
        </w:rPr>
      </w:pPr>
    </w:p>
    <w:p w14:paraId="50C6BE11" w14:textId="77777777" w:rsidR="000C7CEB" w:rsidRPr="00F45B03" w:rsidRDefault="000C7CEB" w:rsidP="00167E86">
      <w:pPr>
        <w:spacing w:line="360" w:lineRule="auto"/>
        <w:jc w:val="both"/>
        <w:rPr>
          <w:rFonts w:ascii="Arial" w:hAnsi="Arial" w:cs="Arial"/>
          <w:b/>
          <w:bCs/>
          <w:lang w:val="en-GB"/>
        </w:rPr>
      </w:pPr>
    </w:p>
    <w:p w14:paraId="23B58920" w14:textId="77777777" w:rsidR="000C7CEB" w:rsidRPr="00F45B03" w:rsidRDefault="000C7CEB" w:rsidP="00167E86">
      <w:pPr>
        <w:spacing w:line="360" w:lineRule="auto"/>
        <w:jc w:val="both"/>
        <w:rPr>
          <w:rFonts w:ascii="Arial" w:hAnsi="Arial" w:cs="Arial"/>
          <w:b/>
          <w:bCs/>
          <w:lang w:val="en-GB"/>
        </w:rPr>
      </w:pPr>
    </w:p>
    <w:p w14:paraId="505AE676" w14:textId="77777777" w:rsidR="000C7CEB" w:rsidRPr="00F45B03" w:rsidRDefault="000C7CEB" w:rsidP="00167E86">
      <w:pPr>
        <w:spacing w:line="360" w:lineRule="auto"/>
        <w:jc w:val="both"/>
        <w:rPr>
          <w:rFonts w:ascii="Arial" w:hAnsi="Arial" w:cs="Arial"/>
          <w:b/>
          <w:bCs/>
          <w:lang w:val="en-GB"/>
        </w:rPr>
      </w:pPr>
    </w:p>
    <w:p w14:paraId="5A3C225D" w14:textId="77777777" w:rsidR="00276E20" w:rsidRDefault="00276E20" w:rsidP="00167E86">
      <w:pPr>
        <w:spacing w:line="360" w:lineRule="auto"/>
        <w:jc w:val="both"/>
        <w:rPr>
          <w:rFonts w:ascii="Arial" w:hAnsi="Arial" w:cs="Arial"/>
          <w:b/>
          <w:bCs/>
          <w:lang w:val="en-GB"/>
        </w:rPr>
      </w:pPr>
    </w:p>
    <w:p w14:paraId="21CA6973" w14:textId="3E36E7C0" w:rsidR="00E76623" w:rsidRPr="00F45B03" w:rsidRDefault="00E76623" w:rsidP="00167E86">
      <w:pPr>
        <w:spacing w:line="360" w:lineRule="auto"/>
        <w:jc w:val="both"/>
        <w:rPr>
          <w:rFonts w:ascii="Arial" w:hAnsi="Arial" w:cs="Arial"/>
          <w:b/>
          <w:bCs/>
          <w:lang w:val="en-GB"/>
        </w:rPr>
      </w:pPr>
      <w:r w:rsidRPr="00F45B03">
        <w:rPr>
          <w:rFonts w:ascii="Arial" w:hAnsi="Arial" w:cs="Arial"/>
          <w:b/>
          <w:bCs/>
          <w:lang w:val="en-GB"/>
        </w:rPr>
        <w:lastRenderedPageBreak/>
        <w:t xml:space="preserve">Chapter 6 </w:t>
      </w:r>
    </w:p>
    <w:p w14:paraId="4A25CFFE" w14:textId="77777777" w:rsidR="00E76623" w:rsidRPr="00F45B03" w:rsidRDefault="00E76623" w:rsidP="00167E86">
      <w:pPr>
        <w:spacing w:line="360" w:lineRule="auto"/>
        <w:jc w:val="both"/>
        <w:rPr>
          <w:rFonts w:ascii="Arial" w:hAnsi="Arial" w:cs="Arial"/>
          <w:b/>
          <w:bCs/>
          <w:lang w:val="en-GB"/>
        </w:rPr>
      </w:pPr>
    </w:p>
    <w:p w14:paraId="5FAA682F" w14:textId="27A91F5D" w:rsidR="00EE3F34" w:rsidRPr="00F45B03" w:rsidRDefault="00EE3F34" w:rsidP="00167E86">
      <w:pPr>
        <w:spacing w:line="360" w:lineRule="auto"/>
        <w:jc w:val="both"/>
        <w:rPr>
          <w:rFonts w:ascii="Arial" w:hAnsi="Arial" w:cs="Arial"/>
          <w:b/>
          <w:bCs/>
          <w:lang w:val="en-GB"/>
        </w:rPr>
      </w:pPr>
      <w:r w:rsidRPr="00F45B03">
        <w:rPr>
          <w:rFonts w:ascii="Arial" w:hAnsi="Arial" w:cs="Arial"/>
          <w:b/>
          <w:bCs/>
          <w:lang w:val="en-GB"/>
        </w:rPr>
        <w:t xml:space="preserve">6.1 Introduction </w:t>
      </w:r>
    </w:p>
    <w:p w14:paraId="276BBA2D" w14:textId="77777777" w:rsidR="00EE3F34" w:rsidRPr="00F45B03" w:rsidRDefault="00EE3F34" w:rsidP="00167E86">
      <w:pPr>
        <w:spacing w:line="360" w:lineRule="auto"/>
        <w:jc w:val="both"/>
        <w:rPr>
          <w:rFonts w:ascii="Arial" w:hAnsi="Arial" w:cs="Arial"/>
          <w:lang w:val="en-GB"/>
        </w:rPr>
      </w:pPr>
      <w:r w:rsidRPr="00F45B03">
        <w:rPr>
          <w:rFonts w:ascii="Arial" w:hAnsi="Arial" w:cs="Arial"/>
          <w:lang w:val="en-GB"/>
        </w:rPr>
        <w:t>This chapter presents the overall conclusions of the systematic review and outlines recommendations for clinical practice, policy, and future research. The conclusions are based on the findings discussed in Chapter 5, which demonstrated that cardiac rehabilitation (CR) is effective in reducing hospital readmissions among adults aged 55 years and over, but that significant ethnic and socioeconomic inequalities influence participation and outcomes (Public Health England, 2020). Each conclusion is supported by evidence from the 15 included studies, with in</w:t>
      </w:r>
      <w:r w:rsidRPr="00F45B03">
        <w:rPr>
          <w:rFonts w:ascii="Arial" w:hAnsi="Arial" w:cs="Arial"/>
          <w:lang w:val="en-GB"/>
        </w:rPr>
        <w:noBreakHyphen/>
        <w:t>text citations used throughout to ensure transparency and academic rigour (Page et al., 2021).</w:t>
      </w:r>
    </w:p>
    <w:p w14:paraId="6AD227C9" w14:textId="341F65F9" w:rsidR="00EE3F34" w:rsidRPr="00F45B03" w:rsidRDefault="00EE3F34" w:rsidP="00167E86">
      <w:pPr>
        <w:spacing w:line="360" w:lineRule="auto"/>
        <w:jc w:val="both"/>
        <w:rPr>
          <w:rFonts w:ascii="Arial" w:hAnsi="Arial" w:cs="Arial"/>
          <w:lang w:val="en-GB"/>
        </w:rPr>
      </w:pPr>
      <w:r w:rsidRPr="00F45B03">
        <w:rPr>
          <w:rFonts w:ascii="Arial" w:hAnsi="Arial" w:cs="Arial"/>
          <w:lang w:val="en-GB"/>
        </w:rPr>
        <w:t>The chapter also highlights the implications of these findings for improving cardiovascular care in England, emphasising the need for equitable, accessible, and culturally responsive CR provision. This aligns with national and international evidence underscoring the importance of addressing inequalities in secondary prevention services to maximise population</w:t>
      </w:r>
      <w:r w:rsidRPr="00F45B03">
        <w:rPr>
          <w:rFonts w:ascii="Arial" w:hAnsi="Arial" w:cs="Arial"/>
          <w:lang w:val="en-GB"/>
        </w:rPr>
        <w:noBreakHyphen/>
        <w:t>level benefits (Public Health England, 2020; Bachmann et al., 2017). By synthesising the review’s findings into clear recommendations, this chapter provides a foundation for strengthening CR delivery and ensuring that all eligible older adults—regardless of ethnicity or socioeconomic status—can benefit from this essential component of post</w:t>
      </w:r>
      <w:r w:rsidRPr="00F45B03">
        <w:rPr>
          <w:rFonts w:ascii="Arial" w:hAnsi="Arial" w:cs="Arial"/>
          <w:lang w:val="en-GB"/>
        </w:rPr>
        <w:noBreakHyphen/>
        <w:t>cardiac care.</w:t>
      </w:r>
    </w:p>
    <w:p w14:paraId="7EFFE035" w14:textId="4C2498BC"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 xml:space="preserve"> 6.2 Overall Conclusion </w:t>
      </w:r>
    </w:p>
    <w:p w14:paraId="394947CB"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The systematic review found strong and consistent evidence that cardiac rehabilitation (CR) significantly reduces hospital readmissions among adults aged 55 years and over, aligning with previous research demonstrating the effectiveness of structured rehabilitation programmes (Anderson et al., 2016). Randomised controlled trials and cohort studies showed that CR participation improves functional capacity, enhances self</w:t>
      </w:r>
      <w:r w:rsidRPr="00F45B03">
        <w:rPr>
          <w:rFonts w:ascii="Arial" w:hAnsi="Arial" w:cs="Arial"/>
          <w:color w:val="000000" w:themeColor="text1"/>
          <w:sz w:val="22"/>
          <w:szCs w:val="22"/>
          <w:lang w:val="en-GB"/>
        </w:rPr>
        <w:noBreakHyphen/>
        <w:t>management, and reduces the likelihood of recurrent hospitalisation (Dalal et al., 2015; Taylor et al., 2019). These findings support national and international recommendations that CR should be a routine component of post</w:t>
      </w:r>
      <w:r w:rsidRPr="00F45B03">
        <w:rPr>
          <w:rFonts w:ascii="Arial" w:hAnsi="Arial" w:cs="Arial"/>
          <w:color w:val="000000" w:themeColor="text1"/>
          <w:sz w:val="22"/>
          <w:szCs w:val="22"/>
          <w:lang w:val="en-GB"/>
        </w:rPr>
        <w:noBreakHyphen/>
        <w:t>cardiac care for older adults, given its demonstrated benefits in reducing morbidity and improving long</w:t>
      </w:r>
      <w:r w:rsidRPr="00F45B03">
        <w:rPr>
          <w:rFonts w:ascii="Arial" w:hAnsi="Arial" w:cs="Arial"/>
          <w:color w:val="000000" w:themeColor="text1"/>
          <w:sz w:val="22"/>
          <w:szCs w:val="22"/>
          <w:lang w:val="en-GB"/>
        </w:rPr>
        <w:noBreakHyphen/>
        <w:t>term outcomes (Anderson et al., 2017).</w:t>
      </w:r>
    </w:p>
    <w:p w14:paraId="4B53F802"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 xml:space="preserve">However, the review also identified substantial ethnic and socioeconomic inequalities in CR participation and outcomes, consistent with national reports highlighting disparities in cardiovascular care (Public Health England, 2020). Minority ethnic groups were found to have lower referral, uptake, and completion rates, with qualitative evidence indicating that cultural mismatch, language barriers, and limited culturally tailored communication reduce engagement (Galdas et al., 2018;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Socioeconomic deprivation further reduced participation, with individuals from deprived areas facing structural barriers such as transport difficulties, competing responsibilities, and lower health literacy (Bachmann et al., 2017; Sumner et al., 2017). These inequalities limit the overall effectiveness of CR at a population level, as those who would benefit most are often least likely to participate.</w:t>
      </w:r>
    </w:p>
    <w:p w14:paraId="6F5E4695"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The review also found that older adults face unique barriers to CR participation, including frailty, multimorbidity, and fear of exercise, which require tailored support to ensure successful engagement (Dalal et al., 2019). Qualitative evidence showed that older adults valued the reassurance, structure, and social interaction provided by CR, highlighting the importance of personalised and supportive programme delivery (Clark et al., 2013). Evidence also suggests that home</w:t>
      </w:r>
      <w:r w:rsidRPr="00F45B03">
        <w:rPr>
          <w:rFonts w:ascii="Arial" w:hAnsi="Arial" w:cs="Arial"/>
          <w:color w:val="000000" w:themeColor="text1"/>
          <w:sz w:val="22"/>
          <w:szCs w:val="22"/>
          <w:lang w:val="en-GB"/>
        </w:rPr>
        <w:noBreakHyphen/>
        <w:t>based CR models may be particularly beneficial for older adults with mobility challenges, offering outcomes comparable to centre</w:t>
      </w:r>
      <w:r w:rsidRPr="00F45B03">
        <w:rPr>
          <w:rFonts w:ascii="Arial" w:hAnsi="Arial" w:cs="Arial"/>
          <w:color w:val="000000" w:themeColor="text1"/>
          <w:sz w:val="22"/>
          <w:szCs w:val="22"/>
          <w:lang w:val="en-GB"/>
        </w:rPr>
        <w:noBreakHyphen/>
        <w:t>based programmes (Anderson et al., 2017; Jolly et al., 2009).</w:t>
      </w:r>
    </w:p>
    <w:p w14:paraId="0EC6A483" w14:textId="3304475A"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Overall, the findings demonstrate that CR is effective but underutilised, and that addressing inequalities is essential for maximising its benefits. Improving accessibility, cultural relevance, and programme flexibility is critical to ensuring that all older adults—regardless of ethnicity or socioeconomic status—can benefit from this essential component of cardiovascular care.</w:t>
      </w:r>
    </w:p>
    <w:p w14:paraId="7F901AC4" w14:textId="77777777" w:rsidR="000C7CEB" w:rsidRPr="00F45B03" w:rsidRDefault="000C7CEB" w:rsidP="00167E86">
      <w:pPr>
        <w:pStyle w:val="Heading2"/>
        <w:spacing w:line="360" w:lineRule="auto"/>
        <w:jc w:val="both"/>
        <w:rPr>
          <w:rFonts w:ascii="Arial" w:hAnsi="Arial" w:cs="Arial"/>
          <w:b/>
          <w:bCs/>
          <w:color w:val="000000" w:themeColor="text1"/>
          <w:sz w:val="22"/>
          <w:szCs w:val="22"/>
          <w:lang w:val="en-GB"/>
        </w:rPr>
      </w:pPr>
    </w:p>
    <w:p w14:paraId="75A1FC18" w14:textId="0A65D459"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 xml:space="preserve">6.3 Recommendations for Clinical Practice </w:t>
      </w:r>
    </w:p>
    <w:p w14:paraId="6EEA8505"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625121FF" w14:textId="65364B10"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6.3.1 Improve culturally sensitive communication</w:t>
      </w:r>
    </w:p>
    <w:p w14:paraId="5D922873"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 xml:space="preserve">Healthcare professionals should provide culturally tailored information about CR to improve engagement among minority ethnic groups. Qualitative evidence shows that culturally adapted communication, including the use of interpreters, multilingual materials, and culturally relevant examples, improves understanding and reduces mistrust (Galdas et al., 2018;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Enhancing cultural competence within clinical teams may help reduce disparities in CR participation (Public Health England, 2020).</w:t>
      </w:r>
    </w:p>
    <w:p w14:paraId="6A6D71C6"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4B26A46F" w14:textId="35FDF359"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6.3.2 Enhance patient education and awareness</w:t>
      </w:r>
    </w:p>
    <w:p w14:paraId="247F1C4E"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Clear and accessible information about the benefits of CR should be provided at the point of discharge, as lack of awareness was a major barrier identified in the review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Education should emphasise CR’s role in reducing readmissions and improving long</w:t>
      </w:r>
      <w:r w:rsidRPr="00F45B03">
        <w:rPr>
          <w:rFonts w:ascii="Arial" w:hAnsi="Arial" w:cs="Arial"/>
          <w:color w:val="000000" w:themeColor="text1"/>
          <w:sz w:val="22"/>
          <w:szCs w:val="22"/>
          <w:lang w:val="en-GB"/>
        </w:rPr>
        <w:noBreakHyphen/>
        <w:t>term outcomes (</w:t>
      </w:r>
      <w:proofErr w:type="spellStart"/>
      <w:r w:rsidRPr="00F45B03">
        <w:rPr>
          <w:rFonts w:ascii="Arial" w:hAnsi="Arial" w:cs="Arial"/>
          <w:color w:val="000000" w:themeColor="text1"/>
          <w:sz w:val="22"/>
          <w:szCs w:val="22"/>
          <w:lang w:val="en-GB"/>
        </w:rPr>
        <w:t>Kabboul</w:t>
      </w:r>
      <w:proofErr w:type="spellEnd"/>
      <w:r w:rsidRPr="00F45B03">
        <w:rPr>
          <w:rFonts w:ascii="Arial" w:hAnsi="Arial" w:cs="Arial"/>
          <w:color w:val="000000" w:themeColor="text1"/>
          <w:sz w:val="22"/>
          <w:szCs w:val="22"/>
          <w:lang w:val="en-GB"/>
        </w:rPr>
        <w:t xml:space="preserve"> et al., 2018). Improving health literacy is essential, as low literacy is strongly associated with poor CR engagement (Public Health England, 2020).</w:t>
      </w:r>
    </w:p>
    <w:p w14:paraId="78C8D24A"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3B6D97FB" w14:textId="03B2ADF9"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6.3.3 Provide flexible and personalised CR delivery</w:t>
      </w:r>
    </w:p>
    <w:p w14:paraId="766C4223"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Flexible delivery models, such as home</w:t>
      </w:r>
      <w:r w:rsidRPr="00F45B03">
        <w:rPr>
          <w:rFonts w:ascii="Arial" w:hAnsi="Arial" w:cs="Arial"/>
          <w:color w:val="000000" w:themeColor="text1"/>
          <w:sz w:val="22"/>
          <w:szCs w:val="22"/>
          <w:lang w:val="en-GB"/>
        </w:rPr>
        <w:noBreakHyphen/>
        <w:t>based or hybrid CR, should be offered to accommodate the needs of older adults, minority ethnic groups, and deprived populations. Evidence shows that home</w:t>
      </w:r>
      <w:r w:rsidRPr="00F45B03">
        <w:rPr>
          <w:rFonts w:ascii="Arial" w:hAnsi="Arial" w:cs="Arial"/>
          <w:color w:val="000000" w:themeColor="text1"/>
          <w:sz w:val="22"/>
          <w:szCs w:val="22"/>
          <w:lang w:val="en-GB"/>
        </w:rPr>
        <w:noBreakHyphen/>
        <w:t>based CR is as effective as centre</w:t>
      </w:r>
      <w:r w:rsidRPr="00F45B03">
        <w:rPr>
          <w:rFonts w:ascii="Arial" w:hAnsi="Arial" w:cs="Arial"/>
          <w:color w:val="000000" w:themeColor="text1"/>
          <w:sz w:val="22"/>
          <w:szCs w:val="22"/>
          <w:lang w:val="en-GB"/>
        </w:rPr>
        <w:noBreakHyphen/>
        <w:t>based CR and may improve adherence among older adults (Dalal et al., 2015; Anderson et al., 2017). Personalised programmes that consider mobility limitations, cultural preferences, and individual goals may improve engagement and completion rates (Dalal et al., 2019).</w:t>
      </w:r>
    </w:p>
    <w:p w14:paraId="4CE8BB0D"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32321D45" w14:textId="4B3860DC"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6.3.4 Strengthen psychological support within CR</w:t>
      </w:r>
    </w:p>
    <w:p w14:paraId="4799B0EA"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Psychological distress, including anxiety and fear of exercise, was a major barrier to CR participation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Integrating psychological support—such as counselling, reassurance, or group</w:t>
      </w:r>
      <w:r w:rsidRPr="00F45B03">
        <w:rPr>
          <w:rFonts w:ascii="Arial" w:hAnsi="Arial" w:cs="Arial"/>
          <w:color w:val="000000" w:themeColor="text1"/>
          <w:sz w:val="22"/>
          <w:szCs w:val="22"/>
          <w:lang w:val="en-GB"/>
        </w:rPr>
        <w:noBreakHyphen/>
        <w:t>based interventions—may improve confidence and reduce dropout rates. Behavioural support has been shown to enhance adherence, particularly among older adults and those with multimorbidity (Sumner et al., 2017).</w:t>
      </w:r>
    </w:p>
    <w:p w14:paraId="5D5D606C"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6E24DA78" w14:textId="175CC77A"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6.3.5 Improve referral pathways and follow</w:t>
      </w:r>
      <w:r w:rsidRPr="00F45B03">
        <w:rPr>
          <w:rFonts w:ascii="Arial" w:hAnsi="Arial" w:cs="Arial"/>
          <w:b/>
          <w:bCs/>
          <w:color w:val="000000" w:themeColor="text1"/>
          <w:sz w:val="22"/>
          <w:szCs w:val="22"/>
          <w:lang w:val="en-GB"/>
        </w:rPr>
        <w:noBreakHyphen/>
        <w:t>up</w:t>
      </w:r>
    </w:p>
    <w:p w14:paraId="16DE2927"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Healthcare providers should ensure timely and consistent referral to CR, as delays reduce participation and outcomes (Bachmann et al., 2017). Structured follow</w:t>
      </w:r>
      <w:r w:rsidRPr="00F45B03">
        <w:rPr>
          <w:rFonts w:ascii="Arial" w:hAnsi="Arial" w:cs="Arial"/>
          <w:color w:val="000000" w:themeColor="text1"/>
          <w:sz w:val="22"/>
          <w:szCs w:val="22"/>
          <w:lang w:val="en-GB"/>
        </w:rPr>
        <w:noBreakHyphen/>
        <w:t>up, including telephone calls or digital reminders, may improve attendance and adherence, particularly among older adults (Public Health England, 2020). Strengthening referral systems can help ensure that eligible patients are not lost during transitions of care.</w:t>
      </w:r>
    </w:p>
    <w:p w14:paraId="219B35A8" w14:textId="77777777" w:rsidR="000C5931"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 xml:space="preserve"> </w:t>
      </w:r>
    </w:p>
    <w:p w14:paraId="1B56E772"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63DD84DF" w14:textId="5A6622EE"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6.4 Recommendations for Policy (Rewritten Using Only Verified Studies)</w:t>
      </w:r>
    </w:p>
    <w:p w14:paraId="592966FE"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443F58B2" w14:textId="6FF9B1DD"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6.4.1 Address structural inequalities in CR access</w:t>
      </w:r>
    </w:p>
    <w:p w14:paraId="4D3A7DE7"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Policymakers should prioritise reducing ethnic and socioeconomic inequalities in CR participation by investing in culturally tailored and community</w:t>
      </w:r>
      <w:r w:rsidRPr="00F45B03">
        <w:rPr>
          <w:rFonts w:ascii="Arial" w:hAnsi="Arial" w:cs="Arial"/>
          <w:color w:val="000000" w:themeColor="text1"/>
          <w:sz w:val="22"/>
          <w:szCs w:val="22"/>
          <w:lang w:val="en-GB"/>
        </w:rPr>
        <w:noBreakHyphen/>
        <w:t>based programmes. Evidence shows that structural inequalities are a major barrier to CR access in England (Public Health England, 2020; Bachmann et al., 2017).</w:t>
      </w:r>
    </w:p>
    <w:p w14:paraId="367A4973"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57FCED92" w14:textId="2460F3EB"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6.4.2 Expand home</w:t>
      </w:r>
      <w:r w:rsidRPr="00F45B03">
        <w:rPr>
          <w:rFonts w:ascii="Arial" w:hAnsi="Arial" w:cs="Arial"/>
          <w:b/>
          <w:bCs/>
          <w:color w:val="000000" w:themeColor="text1"/>
          <w:sz w:val="22"/>
          <w:szCs w:val="22"/>
          <w:lang w:val="en-GB"/>
        </w:rPr>
        <w:noBreakHyphen/>
        <w:t>based and digital CR options</w:t>
      </w:r>
    </w:p>
    <w:p w14:paraId="1D32CE09"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Home</w:t>
      </w:r>
      <w:r w:rsidRPr="00F45B03">
        <w:rPr>
          <w:rFonts w:ascii="Arial" w:hAnsi="Arial" w:cs="Arial"/>
          <w:color w:val="000000" w:themeColor="text1"/>
          <w:sz w:val="22"/>
          <w:szCs w:val="22"/>
          <w:lang w:val="en-GB"/>
        </w:rPr>
        <w:noBreakHyphen/>
        <w:t>based CR programmes can reduce transport and time barriers, particularly for deprived populations and older adults (Dalal et al., 2015; Anderson et al., 2017). Policymakers should support the expansion of remote CR models to ensure equitable access across regions.</w:t>
      </w:r>
    </w:p>
    <w:p w14:paraId="711E30CF"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4116FA7F" w14:textId="0C609AC5"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6.4.3 Standardise national monitoring of CR inequalities</w:t>
      </w:r>
    </w:p>
    <w:p w14:paraId="2994C210"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National audits should routinely collect and report data on CR participation and outcomes by ethnicity, age, and socioeconomic status. Standardised monitoring can help identify disparities and inform targeted interventions (Public Health England, 2020).</w:t>
      </w:r>
    </w:p>
    <w:p w14:paraId="6BAE512A"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4AE5B72E" w14:textId="2E436CB6"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6.4.4 Increase funding for culturally competent workforce training</w:t>
      </w:r>
    </w:p>
    <w:p w14:paraId="69B1319B"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Investment in cultural competence training for healthcare professionals is essential to improve communication and reduce disparities in CR participation. Training should include cultural awareness, anti</w:t>
      </w:r>
      <w:r w:rsidRPr="00F45B03">
        <w:rPr>
          <w:rFonts w:ascii="Arial" w:hAnsi="Arial" w:cs="Arial"/>
          <w:color w:val="000000" w:themeColor="text1"/>
          <w:sz w:val="22"/>
          <w:szCs w:val="22"/>
          <w:lang w:val="en-GB"/>
        </w:rPr>
        <w:noBreakHyphen/>
        <w:t>discrimination practices, and communication skills (Galdas et al., 2018).</w:t>
      </w:r>
    </w:p>
    <w:p w14:paraId="78CE1121"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4DC8F59A" w14:textId="43E0A383"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lastRenderedPageBreak/>
        <w:t xml:space="preserve"> 6.5 Recommendations for Future Research </w:t>
      </w:r>
    </w:p>
    <w:p w14:paraId="0AFC7F74"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3182FD2C" w14:textId="1BEDC071"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6.5.1 Explore culturally tailored CR interventions</w:t>
      </w:r>
    </w:p>
    <w:p w14:paraId="09374DDD"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Future research should examine the effectiveness of culturally tailored CR programmes for minority ethnic groups, as current evidence is limited (Galdas et al., 2018; Public Health England, 2020).</w:t>
      </w:r>
    </w:p>
    <w:p w14:paraId="29B2D8B3" w14:textId="77777777"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6.5.2 Investigate digital CR accessibility among deprived populations</w:t>
      </w:r>
    </w:p>
    <w:p w14:paraId="4D301475"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Research is needed to understand how digital exclusion affects participation in remote CR programmes, particularly among deprived populations (Neubeck et al., 2020).</w:t>
      </w:r>
    </w:p>
    <w:p w14:paraId="36A03DAB"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488DA6A4" w14:textId="3C6A8E81"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6.5.3 Examine long</w:t>
      </w:r>
      <w:r w:rsidRPr="00F45B03">
        <w:rPr>
          <w:rFonts w:ascii="Arial" w:hAnsi="Arial" w:cs="Arial"/>
          <w:b/>
          <w:bCs/>
          <w:color w:val="000000" w:themeColor="text1"/>
          <w:sz w:val="22"/>
          <w:szCs w:val="22"/>
          <w:lang w:val="en-GB"/>
        </w:rPr>
        <w:noBreakHyphen/>
        <w:t>term outcomes beyond 12 months</w:t>
      </w:r>
    </w:p>
    <w:p w14:paraId="7D3ECF1F"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Most studies focused on short</w:t>
      </w:r>
      <w:r w:rsidRPr="00F45B03">
        <w:rPr>
          <w:rFonts w:ascii="Arial" w:hAnsi="Arial" w:cs="Arial"/>
          <w:color w:val="000000" w:themeColor="text1"/>
          <w:sz w:val="22"/>
          <w:szCs w:val="22"/>
          <w:lang w:val="en-GB"/>
        </w:rPr>
        <w:noBreakHyphen/>
        <w:t>term or 12</w:t>
      </w:r>
      <w:r w:rsidRPr="00F45B03">
        <w:rPr>
          <w:rFonts w:ascii="Arial" w:hAnsi="Arial" w:cs="Arial"/>
          <w:color w:val="000000" w:themeColor="text1"/>
          <w:sz w:val="22"/>
          <w:szCs w:val="22"/>
          <w:lang w:val="en-GB"/>
        </w:rPr>
        <w:noBreakHyphen/>
        <w:t>month readmissions, leaving a gap in understanding long</w:t>
      </w:r>
      <w:r w:rsidRPr="00F45B03">
        <w:rPr>
          <w:rFonts w:ascii="Arial" w:hAnsi="Arial" w:cs="Arial"/>
          <w:color w:val="000000" w:themeColor="text1"/>
          <w:sz w:val="22"/>
          <w:szCs w:val="22"/>
          <w:lang w:val="en-GB"/>
        </w:rPr>
        <w:noBreakHyphen/>
        <w:t>term CR effectiveness. Longitudinal studies are needed to assess outcomes over multiple years (Anderson et al., 2016; Dalal et al., 2015).</w:t>
      </w:r>
    </w:p>
    <w:p w14:paraId="27F3130D"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6D9CC787" w14:textId="4A5131DF"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6.5.4 Evaluate CR adaptations for frail older adults</w:t>
      </w:r>
    </w:p>
    <w:p w14:paraId="329F7C35"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Given the high dropout rates among frail older adults, research should explore tailored CR models that accommodate physical limitations, including slower progression and enhanced psychological support (Dalal et al., 2019; Jelinek et al., 2020).</w:t>
      </w:r>
    </w:p>
    <w:p w14:paraId="1FE8214A"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2B6CC1F7" w14:textId="332EA7CD"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6.5.5 Investigate intersectional inequalities</w:t>
      </w:r>
    </w:p>
    <w:p w14:paraId="0659E9DD"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t>Future research should examine how ethnicity, socioeconomic status, age, and gender interact to influence CR participation and outcomes (Public Health England, 2020). Intersectional analysis can provide deeper insight into complex patterns of disadvantage.</w:t>
      </w:r>
    </w:p>
    <w:p w14:paraId="0C420D95" w14:textId="77777777" w:rsidR="000C5931" w:rsidRPr="00F45B03" w:rsidRDefault="000C5931" w:rsidP="00167E86">
      <w:pPr>
        <w:pStyle w:val="Heading2"/>
        <w:spacing w:line="360" w:lineRule="auto"/>
        <w:jc w:val="both"/>
        <w:rPr>
          <w:rFonts w:ascii="Arial" w:hAnsi="Arial" w:cs="Arial"/>
          <w:b/>
          <w:bCs/>
          <w:color w:val="000000" w:themeColor="text1"/>
          <w:sz w:val="22"/>
          <w:szCs w:val="22"/>
          <w:lang w:val="en-GB"/>
        </w:rPr>
      </w:pPr>
    </w:p>
    <w:p w14:paraId="426D818D" w14:textId="2751E81B" w:rsidR="00EE3F34" w:rsidRPr="00F45B03" w:rsidRDefault="00EE3F34" w:rsidP="00167E86">
      <w:pPr>
        <w:pStyle w:val="Heading2"/>
        <w:spacing w:line="360" w:lineRule="auto"/>
        <w:jc w:val="both"/>
        <w:rPr>
          <w:rFonts w:ascii="Arial" w:hAnsi="Arial" w:cs="Arial"/>
          <w:b/>
          <w:bCs/>
          <w:color w:val="000000" w:themeColor="text1"/>
          <w:sz w:val="22"/>
          <w:szCs w:val="22"/>
          <w:lang w:val="en-GB"/>
        </w:rPr>
      </w:pPr>
      <w:r w:rsidRPr="00F45B03">
        <w:rPr>
          <w:rFonts w:ascii="Arial" w:hAnsi="Arial" w:cs="Arial"/>
          <w:b/>
          <w:bCs/>
          <w:color w:val="000000" w:themeColor="text1"/>
          <w:sz w:val="22"/>
          <w:szCs w:val="22"/>
          <w:lang w:val="en-GB"/>
        </w:rPr>
        <w:t xml:space="preserve"> 6.6 Final Conclusion (Rewritten Using Only Verified Studies)</w:t>
      </w:r>
    </w:p>
    <w:p w14:paraId="7E0FD5E3" w14:textId="77777777" w:rsidR="00EE3F34" w:rsidRPr="00F45B03" w:rsidRDefault="00EE3F34" w:rsidP="00167E86">
      <w:pPr>
        <w:pStyle w:val="Heading2"/>
        <w:spacing w:line="360" w:lineRule="auto"/>
        <w:jc w:val="both"/>
        <w:rPr>
          <w:rFonts w:ascii="Arial" w:hAnsi="Arial" w:cs="Arial"/>
          <w:color w:val="000000" w:themeColor="text1"/>
          <w:sz w:val="22"/>
          <w:szCs w:val="22"/>
          <w:lang w:val="en-GB"/>
        </w:rPr>
      </w:pPr>
      <w:r w:rsidRPr="00F45B03">
        <w:rPr>
          <w:rFonts w:ascii="Arial" w:hAnsi="Arial" w:cs="Arial"/>
          <w:color w:val="000000" w:themeColor="text1"/>
          <w:sz w:val="22"/>
          <w:szCs w:val="22"/>
          <w:lang w:val="en-GB"/>
        </w:rPr>
        <w:lastRenderedPageBreak/>
        <w:t>This systematic review concludes that cardiac rehabilitation is a highly effective intervention for reducing hospital readmissions among adults aged 55 years and over. However, significant ethnic and socioeconomic inequalities limit its impact at a population level (Public Health England, 2020). Addressing these inequalities requires culturally sensitive communication, flexible delivery models, and targeted policy interventions (</w:t>
      </w:r>
      <w:proofErr w:type="spellStart"/>
      <w:r w:rsidRPr="00F45B03">
        <w:rPr>
          <w:rFonts w:ascii="Arial" w:hAnsi="Arial" w:cs="Arial"/>
          <w:color w:val="000000" w:themeColor="text1"/>
          <w:sz w:val="22"/>
          <w:szCs w:val="22"/>
          <w:lang w:val="en-GB"/>
        </w:rPr>
        <w:t>Resurrección</w:t>
      </w:r>
      <w:proofErr w:type="spellEnd"/>
      <w:r w:rsidRPr="00F45B03">
        <w:rPr>
          <w:rFonts w:ascii="Arial" w:hAnsi="Arial" w:cs="Arial"/>
          <w:color w:val="000000" w:themeColor="text1"/>
          <w:sz w:val="22"/>
          <w:szCs w:val="22"/>
          <w:lang w:val="en-GB"/>
        </w:rPr>
        <w:t xml:space="preserve"> et al., 2017; Bachmann et al., 2017). By improving accessibility and engagement, CR programmes can deliver substantial health benefits, reduce healthcare costs, and improve quality of life for older adults across England. The findings of this review highlight the urgent need for equitable, inclusive, and patient</w:t>
      </w:r>
      <w:r w:rsidRPr="00F45B03">
        <w:rPr>
          <w:rFonts w:ascii="Arial" w:hAnsi="Arial" w:cs="Arial"/>
          <w:color w:val="000000" w:themeColor="text1"/>
          <w:sz w:val="22"/>
          <w:szCs w:val="22"/>
          <w:lang w:val="en-GB"/>
        </w:rPr>
        <w:noBreakHyphen/>
        <w:t>centred CR services to ensure that all individuals can benefit from this essential component of cardiovascular care.</w:t>
      </w:r>
    </w:p>
    <w:p w14:paraId="00BB9149" w14:textId="36C15112" w:rsidR="00AA4B24" w:rsidRPr="00F45B03" w:rsidRDefault="00AA4B24" w:rsidP="00167E86">
      <w:pPr>
        <w:spacing w:line="360" w:lineRule="auto"/>
        <w:jc w:val="both"/>
        <w:rPr>
          <w:rFonts w:ascii="Arial" w:hAnsi="Arial" w:cs="Arial"/>
          <w:color w:val="000000" w:themeColor="text1"/>
        </w:rPr>
      </w:pPr>
    </w:p>
    <w:p w14:paraId="314FF82E" w14:textId="63F0DD71" w:rsidR="00AA4B24" w:rsidRPr="00F45B03" w:rsidRDefault="00AA4B24" w:rsidP="00167E86">
      <w:pPr>
        <w:spacing w:line="360" w:lineRule="auto"/>
        <w:jc w:val="both"/>
        <w:rPr>
          <w:rFonts w:ascii="Arial" w:hAnsi="Arial" w:cs="Arial"/>
          <w:color w:val="000000" w:themeColor="text1"/>
        </w:rPr>
      </w:pPr>
    </w:p>
    <w:p w14:paraId="2A6C2500" w14:textId="11D42886" w:rsidR="00AA4B24" w:rsidRPr="00F45B03" w:rsidRDefault="00AA4B24" w:rsidP="00167E86">
      <w:pPr>
        <w:spacing w:line="360" w:lineRule="auto"/>
        <w:jc w:val="both"/>
        <w:rPr>
          <w:rFonts w:ascii="Arial" w:hAnsi="Arial" w:cs="Arial"/>
          <w:color w:val="000000" w:themeColor="text1"/>
        </w:rPr>
      </w:pPr>
    </w:p>
    <w:p w14:paraId="13236703" w14:textId="503398C2" w:rsidR="00AA4B24" w:rsidRPr="00F45B03" w:rsidRDefault="00AA4B24" w:rsidP="00167E86">
      <w:pPr>
        <w:spacing w:line="360" w:lineRule="auto"/>
        <w:jc w:val="both"/>
        <w:rPr>
          <w:rFonts w:ascii="Arial" w:hAnsi="Arial" w:cs="Arial"/>
          <w:color w:val="000000" w:themeColor="text1"/>
        </w:rPr>
      </w:pPr>
    </w:p>
    <w:p w14:paraId="66782CEE" w14:textId="2B609A3A" w:rsidR="00AA4B24" w:rsidRPr="00F45B03" w:rsidRDefault="00AA4B24" w:rsidP="00167E86">
      <w:pPr>
        <w:spacing w:line="360" w:lineRule="auto"/>
        <w:jc w:val="both"/>
        <w:rPr>
          <w:rFonts w:ascii="Arial" w:hAnsi="Arial" w:cs="Arial"/>
          <w:color w:val="000000" w:themeColor="text1"/>
        </w:rPr>
      </w:pPr>
    </w:p>
    <w:p w14:paraId="34096EE6" w14:textId="68F04080" w:rsidR="00AA4B24" w:rsidRPr="00F45B03" w:rsidRDefault="00AA4B24" w:rsidP="00167E86">
      <w:pPr>
        <w:spacing w:line="360" w:lineRule="auto"/>
        <w:jc w:val="both"/>
        <w:rPr>
          <w:rFonts w:ascii="Arial" w:hAnsi="Arial" w:cs="Arial"/>
          <w:color w:val="000000" w:themeColor="text1"/>
        </w:rPr>
      </w:pPr>
    </w:p>
    <w:p w14:paraId="52A8D86A" w14:textId="328346DB" w:rsidR="00AA4B24" w:rsidRPr="00F45B03" w:rsidRDefault="00AA4B24" w:rsidP="00167E86">
      <w:pPr>
        <w:spacing w:line="360" w:lineRule="auto"/>
        <w:jc w:val="both"/>
        <w:rPr>
          <w:rFonts w:ascii="Arial" w:hAnsi="Arial" w:cs="Arial"/>
          <w:color w:val="000000" w:themeColor="text1"/>
        </w:rPr>
      </w:pPr>
    </w:p>
    <w:p w14:paraId="539F2B6C" w14:textId="680D72B4" w:rsidR="00AA4B24" w:rsidRPr="00F45B03" w:rsidRDefault="00AA4B24" w:rsidP="00167E86">
      <w:pPr>
        <w:spacing w:line="360" w:lineRule="auto"/>
        <w:jc w:val="both"/>
        <w:rPr>
          <w:rFonts w:ascii="Arial" w:hAnsi="Arial" w:cs="Arial"/>
          <w:color w:val="000000" w:themeColor="text1"/>
        </w:rPr>
      </w:pPr>
    </w:p>
    <w:p w14:paraId="3627C690" w14:textId="77777777" w:rsidR="000C7CEB" w:rsidRPr="00F45B03" w:rsidRDefault="000C7CEB" w:rsidP="00167E86">
      <w:pPr>
        <w:pStyle w:val="Heading1"/>
        <w:spacing w:line="360" w:lineRule="auto"/>
        <w:jc w:val="both"/>
        <w:rPr>
          <w:rFonts w:ascii="Arial" w:eastAsia="MS Mincho" w:hAnsi="Arial" w:cs="Arial"/>
          <w:sz w:val="22"/>
          <w:szCs w:val="22"/>
          <w:lang w:val="en-US" w:eastAsia="ja-JP"/>
        </w:rPr>
      </w:pPr>
      <w:bookmarkStart w:id="5" w:name="_Toc231463170"/>
    </w:p>
    <w:p w14:paraId="2CD5D26C" w14:textId="77777777" w:rsidR="000C7CEB" w:rsidRPr="00F45B03" w:rsidRDefault="000C7CEB" w:rsidP="00167E86">
      <w:pPr>
        <w:pStyle w:val="Heading1"/>
        <w:spacing w:line="360" w:lineRule="auto"/>
        <w:jc w:val="both"/>
        <w:rPr>
          <w:rFonts w:ascii="Arial" w:eastAsia="MS Mincho" w:hAnsi="Arial" w:cs="Arial"/>
          <w:sz w:val="22"/>
          <w:szCs w:val="22"/>
          <w:lang w:val="en-US" w:eastAsia="ja-JP"/>
        </w:rPr>
      </w:pPr>
    </w:p>
    <w:p w14:paraId="004E438E" w14:textId="77777777" w:rsidR="000C7CEB" w:rsidRPr="00F45B03" w:rsidRDefault="000C7CEB" w:rsidP="00167E86">
      <w:pPr>
        <w:pStyle w:val="Heading1"/>
        <w:spacing w:line="360" w:lineRule="auto"/>
        <w:jc w:val="both"/>
        <w:rPr>
          <w:rFonts w:ascii="Arial" w:eastAsia="MS Mincho" w:hAnsi="Arial" w:cs="Arial"/>
          <w:sz w:val="22"/>
          <w:szCs w:val="22"/>
          <w:lang w:val="en-US" w:eastAsia="ja-JP"/>
        </w:rPr>
      </w:pPr>
    </w:p>
    <w:p w14:paraId="031D26CB" w14:textId="77777777" w:rsidR="000C7CEB" w:rsidRPr="00F45B03" w:rsidRDefault="000C7CEB" w:rsidP="00167E86">
      <w:pPr>
        <w:pStyle w:val="Heading1"/>
        <w:spacing w:line="360" w:lineRule="auto"/>
        <w:jc w:val="both"/>
        <w:rPr>
          <w:rFonts w:ascii="Arial" w:eastAsia="MS Mincho" w:hAnsi="Arial" w:cs="Arial"/>
          <w:sz w:val="22"/>
          <w:szCs w:val="22"/>
          <w:lang w:val="en-US" w:eastAsia="ja-JP"/>
        </w:rPr>
      </w:pPr>
    </w:p>
    <w:p w14:paraId="2FF464C6" w14:textId="77777777" w:rsidR="000C7CEB" w:rsidRPr="00F45B03" w:rsidRDefault="000C7CEB" w:rsidP="00167E86">
      <w:pPr>
        <w:pStyle w:val="Heading1"/>
        <w:spacing w:line="360" w:lineRule="auto"/>
        <w:jc w:val="both"/>
        <w:rPr>
          <w:rFonts w:ascii="Arial" w:eastAsia="MS Mincho" w:hAnsi="Arial" w:cs="Arial"/>
          <w:sz w:val="22"/>
          <w:szCs w:val="22"/>
          <w:lang w:val="en-US" w:eastAsia="ja-JP"/>
        </w:rPr>
      </w:pPr>
    </w:p>
    <w:p w14:paraId="767395E1" w14:textId="77777777" w:rsidR="000C7CEB" w:rsidRPr="00F45B03" w:rsidRDefault="000C7CEB" w:rsidP="00167E86">
      <w:pPr>
        <w:pStyle w:val="Heading1"/>
        <w:spacing w:line="360" w:lineRule="auto"/>
        <w:jc w:val="both"/>
        <w:rPr>
          <w:rFonts w:ascii="Arial" w:eastAsia="MS Mincho" w:hAnsi="Arial" w:cs="Arial"/>
          <w:sz w:val="22"/>
          <w:szCs w:val="22"/>
          <w:lang w:val="en-US" w:eastAsia="ja-JP"/>
        </w:rPr>
      </w:pPr>
    </w:p>
    <w:p w14:paraId="7C13C7D6" w14:textId="77777777" w:rsidR="00170ED1" w:rsidRDefault="00170ED1" w:rsidP="00167E86">
      <w:pPr>
        <w:pStyle w:val="Heading1"/>
        <w:spacing w:line="360" w:lineRule="auto"/>
        <w:jc w:val="both"/>
        <w:rPr>
          <w:rFonts w:ascii="Arial" w:eastAsia="MS Mincho" w:hAnsi="Arial" w:cs="Arial"/>
          <w:sz w:val="22"/>
          <w:szCs w:val="22"/>
          <w:lang w:val="en-US" w:eastAsia="ja-JP"/>
        </w:rPr>
      </w:pPr>
    </w:p>
    <w:p w14:paraId="4746BCE3" w14:textId="1DE653A8" w:rsidR="002E7042" w:rsidRPr="00F45B03" w:rsidRDefault="002E7042" w:rsidP="00167E86">
      <w:pPr>
        <w:pStyle w:val="Heading1"/>
        <w:spacing w:line="360" w:lineRule="auto"/>
        <w:jc w:val="both"/>
        <w:rPr>
          <w:rFonts w:ascii="Arial" w:hAnsi="Arial" w:cs="Arial"/>
          <w:i/>
          <w:sz w:val="22"/>
          <w:szCs w:val="22"/>
        </w:rPr>
      </w:pPr>
      <w:r w:rsidRPr="00F45B03">
        <w:rPr>
          <w:rFonts w:ascii="Arial" w:eastAsia="MS Mincho" w:hAnsi="Arial" w:cs="Arial"/>
          <w:sz w:val="22"/>
          <w:szCs w:val="22"/>
          <w:lang w:val="en-US" w:eastAsia="ja-JP"/>
        </w:rPr>
        <w:t>Appendix 1:</w:t>
      </w:r>
      <w:bookmarkEnd w:id="5"/>
      <w:r w:rsidRPr="00F45B03">
        <w:rPr>
          <w:rFonts w:ascii="Arial" w:eastAsia="MS Mincho" w:hAnsi="Arial" w:cs="Arial"/>
          <w:sz w:val="22"/>
          <w:szCs w:val="22"/>
          <w:lang w:val="en-US" w:eastAsia="ja-JP"/>
        </w:rPr>
        <w:t xml:space="preserve"> </w:t>
      </w:r>
    </w:p>
    <w:p w14:paraId="7FC938FC" w14:textId="77777777" w:rsidR="002E7042" w:rsidRPr="00F45B03" w:rsidRDefault="002E7042" w:rsidP="00167E86">
      <w:pPr>
        <w:spacing w:line="360" w:lineRule="auto"/>
        <w:jc w:val="both"/>
        <w:rPr>
          <w:rFonts w:ascii="Arial" w:eastAsia="MS Mincho" w:hAnsi="Arial" w:cs="Arial"/>
          <w:b/>
          <w:bCs/>
          <w:lang w:val="en-US" w:eastAsia="ja-JP"/>
        </w:rPr>
      </w:pPr>
    </w:p>
    <w:p w14:paraId="4AF0FD8C" w14:textId="42F55EBF" w:rsidR="002E7042" w:rsidRPr="00F45B03" w:rsidRDefault="002E7042" w:rsidP="00167E86">
      <w:pPr>
        <w:spacing w:line="360" w:lineRule="auto"/>
        <w:jc w:val="both"/>
        <w:rPr>
          <w:rFonts w:ascii="Arial" w:eastAsia="MS Mincho" w:hAnsi="Arial" w:cs="Arial"/>
          <w:b/>
          <w:bCs/>
          <w:lang w:val="en-US" w:eastAsia="ja-JP"/>
        </w:rPr>
      </w:pPr>
      <w:r w:rsidRPr="00F45B03">
        <w:rPr>
          <w:rFonts w:ascii="Arial" w:eastAsia="MS Mincho" w:hAnsi="Arial" w:cs="Arial"/>
          <w:b/>
          <w:bCs/>
          <w:lang w:val="en-US" w:eastAsia="ja-JP"/>
        </w:rPr>
        <w:lastRenderedPageBreak/>
        <w:t>PRISMA Flow Diagram Showing the Study Selection Process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804"/>
        <w:gridCol w:w="1508"/>
      </w:tblGrid>
      <w:tr w:rsidR="002E7042" w:rsidRPr="00F45B03" w14:paraId="58AA724D" w14:textId="77777777" w:rsidTr="002E7042">
        <w:trPr>
          <w:tblHeader/>
          <w:tblCellSpacing w:w="15" w:type="dxa"/>
        </w:trPr>
        <w:tc>
          <w:tcPr>
            <w:tcW w:w="0" w:type="auto"/>
            <w:vAlign w:val="center"/>
            <w:hideMark/>
          </w:tcPr>
          <w:p w14:paraId="34AB63A8" w14:textId="76DA8B60" w:rsidR="002E7042" w:rsidRPr="00F45B03" w:rsidRDefault="002E7042" w:rsidP="00167E86">
            <w:pPr>
              <w:spacing w:after="0" w:line="360" w:lineRule="auto"/>
              <w:jc w:val="both"/>
              <w:rPr>
                <w:rFonts w:ascii="Arial" w:eastAsia="Times New Roman" w:hAnsi="Arial" w:cs="Arial"/>
                <w:b/>
                <w:bCs/>
                <w:lang w:eastAsia="en-IN"/>
              </w:rPr>
            </w:pPr>
          </w:p>
        </w:tc>
        <w:tc>
          <w:tcPr>
            <w:tcW w:w="0" w:type="auto"/>
            <w:vAlign w:val="center"/>
            <w:hideMark/>
          </w:tcPr>
          <w:p w14:paraId="2E1AE405"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Number of Records</w:t>
            </w:r>
          </w:p>
        </w:tc>
      </w:tr>
      <w:tr w:rsidR="002E7042" w:rsidRPr="00F45B03" w14:paraId="45200C74" w14:textId="77777777" w:rsidTr="002E7042">
        <w:trPr>
          <w:tblCellSpacing w:w="15" w:type="dxa"/>
        </w:trPr>
        <w:tc>
          <w:tcPr>
            <w:tcW w:w="0" w:type="auto"/>
            <w:vAlign w:val="center"/>
            <w:hideMark/>
          </w:tcPr>
          <w:p w14:paraId="1DEFCFB0"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Records identified through database searching (MEDLINE, CINAHL, Cochrane, Web of Science, Scopus, Google Scholar)</w:t>
            </w:r>
          </w:p>
        </w:tc>
        <w:tc>
          <w:tcPr>
            <w:tcW w:w="0" w:type="auto"/>
            <w:vAlign w:val="center"/>
            <w:hideMark/>
          </w:tcPr>
          <w:p w14:paraId="13FF5301"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1,600</w:t>
            </w:r>
          </w:p>
        </w:tc>
      </w:tr>
      <w:tr w:rsidR="002E7042" w:rsidRPr="00F45B03" w14:paraId="74DEC73A" w14:textId="77777777" w:rsidTr="002E7042">
        <w:trPr>
          <w:tblCellSpacing w:w="15" w:type="dxa"/>
        </w:trPr>
        <w:tc>
          <w:tcPr>
            <w:tcW w:w="0" w:type="auto"/>
            <w:vAlign w:val="center"/>
            <w:hideMark/>
          </w:tcPr>
          <w:p w14:paraId="798A95BB"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Additional records identified through hand searching</w:t>
            </w:r>
          </w:p>
        </w:tc>
        <w:tc>
          <w:tcPr>
            <w:tcW w:w="0" w:type="auto"/>
            <w:vAlign w:val="center"/>
            <w:hideMark/>
          </w:tcPr>
          <w:p w14:paraId="549F0DBC"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40</w:t>
            </w:r>
          </w:p>
        </w:tc>
      </w:tr>
      <w:tr w:rsidR="002E7042" w:rsidRPr="00F45B03" w14:paraId="35EAE4ED" w14:textId="77777777" w:rsidTr="002E7042">
        <w:trPr>
          <w:tblCellSpacing w:w="15" w:type="dxa"/>
        </w:trPr>
        <w:tc>
          <w:tcPr>
            <w:tcW w:w="0" w:type="auto"/>
            <w:vAlign w:val="center"/>
            <w:hideMark/>
          </w:tcPr>
          <w:p w14:paraId="218DE56C"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Total records identified</w:t>
            </w:r>
          </w:p>
        </w:tc>
        <w:tc>
          <w:tcPr>
            <w:tcW w:w="0" w:type="auto"/>
            <w:vAlign w:val="center"/>
            <w:hideMark/>
          </w:tcPr>
          <w:p w14:paraId="5BA722B2"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1,640</w:t>
            </w:r>
          </w:p>
        </w:tc>
      </w:tr>
      <w:tr w:rsidR="002E7042" w:rsidRPr="00F45B03" w14:paraId="3C11E215" w14:textId="77777777" w:rsidTr="002E7042">
        <w:trPr>
          <w:tblCellSpacing w:w="15" w:type="dxa"/>
        </w:trPr>
        <w:tc>
          <w:tcPr>
            <w:tcW w:w="0" w:type="auto"/>
            <w:vAlign w:val="center"/>
            <w:hideMark/>
          </w:tcPr>
          <w:p w14:paraId="0F5D1EE8"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Duplicate records removed</w:t>
            </w:r>
          </w:p>
        </w:tc>
        <w:tc>
          <w:tcPr>
            <w:tcW w:w="0" w:type="auto"/>
            <w:vAlign w:val="center"/>
            <w:hideMark/>
          </w:tcPr>
          <w:p w14:paraId="027776B6"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345</w:t>
            </w:r>
          </w:p>
        </w:tc>
      </w:tr>
      <w:tr w:rsidR="002E7042" w:rsidRPr="00F45B03" w14:paraId="166B8642" w14:textId="77777777" w:rsidTr="002E7042">
        <w:trPr>
          <w:tblCellSpacing w:w="15" w:type="dxa"/>
        </w:trPr>
        <w:tc>
          <w:tcPr>
            <w:tcW w:w="0" w:type="auto"/>
            <w:vAlign w:val="center"/>
            <w:hideMark/>
          </w:tcPr>
          <w:p w14:paraId="151B21CA"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Records after duplicates removed</w:t>
            </w:r>
          </w:p>
        </w:tc>
        <w:tc>
          <w:tcPr>
            <w:tcW w:w="0" w:type="auto"/>
            <w:vAlign w:val="center"/>
            <w:hideMark/>
          </w:tcPr>
          <w:p w14:paraId="4CEC0AEA"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1,295</w:t>
            </w:r>
          </w:p>
        </w:tc>
      </w:tr>
      <w:tr w:rsidR="002E7042" w:rsidRPr="00F45B03" w14:paraId="6CEFF1FE" w14:textId="77777777" w:rsidTr="002E7042">
        <w:trPr>
          <w:tblCellSpacing w:w="15" w:type="dxa"/>
        </w:trPr>
        <w:tc>
          <w:tcPr>
            <w:tcW w:w="0" w:type="auto"/>
            <w:vAlign w:val="center"/>
            <w:hideMark/>
          </w:tcPr>
          <w:p w14:paraId="360A3DE3"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Records excluded by title screening</w:t>
            </w:r>
          </w:p>
        </w:tc>
        <w:tc>
          <w:tcPr>
            <w:tcW w:w="0" w:type="auto"/>
            <w:vAlign w:val="center"/>
            <w:hideMark/>
          </w:tcPr>
          <w:p w14:paraId="41F4F1E0"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965</w:t>
            </w:r>
          </w:p>
        </w:tc>
      </w:tr>
      <w:tr w:rsidR="002E7042" w:rsidRPr="00F45B03" w14:paraId="0861EBB8" w14:textId="77777777" w:rsidTr="002E7042">
        <w:trPr>
          <w:tblCellSpacing w:w="15" w:type="dxa"/>
        </w:trPr>
        <w:tc>
          <w:tcPr>
            <w:tcW w:w="0" w:type="auto"/>
            <w:vAlign w:val="center"/>
            <w:hideMark/>
          </w:tcPr>
          <w:p w14:paraId="4C239263"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Records screened (titles + abstracts)</w:t>
            </w:r>
          </w:p>
        </w:tc>
        <w:tc>
          <w:tcPr>
            <w:tcW w:w="0" w:type="auto"/>
            <w:vAlign w:val="center"/>
            <w:hideMark/>
          </w:tcPr>
          <w:p w14:paraId="0BB3B636"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330</w:t>
            </w:r>
          </w:p>
        </w:tc>
      </w:tr>
      <w:tr w:rsidR="002E7042" w:rsidRPr="00F45B03" w14:paraId="3068802B" w14:textId="77777777" w:rsidTr="002E7042">
        <w:trPr>
          <w:tblCellSpacing w:w="15" w:type="dxa"/>
        </w:trPr>
        <w:tc>
          <w:tcPr>
            <w:tcW w:w="0" w:type="auto"/>
            <w:vAlign w:val="center"/>
            <w:hideMark/>
          </w:tcPr>
          <w:p w14:paraId="2F9CAADE"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Records excluded after abstract screening</w:t>
            </w:r>
          </w:p>
        </w:tc>
        <w:tc>
          <w:tcPr>
            <w:tcW w:w="0" w:type="auto"/>
            <w:vAlign w:val="center"/>
            <w:hideMark/>
          </w:tcPr>
          <w:p w14:paraId="2853C2E4"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235</w:t>
            </w:r>
          </w:p>
        </w:tc>
      </w:tr>
      <w:tr w:rsidR="002E7042" w:rsidRPr="00F45B03" w14:paraId="18149100" w14:textId="77777777" w:rsidTr="002E7042">
        <w:trPr>
          <w:tblCellSpacing w:w="15" w:type="dxa"/>
        </w:trPr>
        <w:tc>
          <w:tcPr>
            <w:tcW w:w="0" w:type="auto"/>
            <w:vAlign w:val="center"/>
            <w:hideMark/>
          </w:tcPr>
          <w:p w14:paraId="3409B535"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Reports sought for retrieval</w:t>
            </w:r>
          </w:p>
        </w:tc>
        <w:tc>
          <w:tcPr>
            <w:tcW w:w="0" w:type="auto"/>
            <w:vAlign w:val="center"/>
            <w:hideMark/>
          </w:tcPr>
          <w:p w14:paraId="737985F2"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95</w:t>
            </w:r>
          </w:p>
        </w:tc>
      </w:tr>
      <w:tr w:rsidR="002E7042" w:rsidRPr="00F45B03" w14:paraId="7D685A08" w14:textId="77777777" w:rsidTr="002E7042">
        <w:trPr>
          <w:tblCellSpacing w:w="15" w:type="dxa"/>
        </w:trPr>
        <w:tc>
          <w:tcPr>
            <w:tcW w:w="0" w:type="auto"/>
            <w:vAlign w:val="center"/>
            <w:hideMark/>
          </w:tcPr>
          <w:p w14:paraId="680B58AE"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Full</w:t>
            </w:r>
            <w:r w:rsidRPr="00F45B03">
              <w:rPr>
                <w:rFonts w:ascii="Arial" w:eastAsia="Times New Roman" w:hAnsi="Arial" w:cs="Arial"/>
                <w:b/>
                <w:bCs/>
                <w:lang w:eastAsia="en-IN"/>
              </w:rPr>
              <w:noBreakHyphen/>
              <w:t>text articles assessed for eligibility</w:t>
            </w:r>
          </w:p>
        </w:tc>
        <w:tc>
          <w:tcPr>
            <w:tcW w:w="0" w:type="auto"/>
            <w:vAlign w:val="center"/>
            <w:hideMark/>
          </w:tcPr>
          <w:p w14:paraId="16560772"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95</w:t>
            </w:r>
          </w:p>
        </w:tc>
      </w:tr>
      <w:tr w:rsidR="002E7042" w:rsidRPr="00F45B03" w14:paraId="2E1EAFAE" w14:textId="77777777" w:rsidTr="002E7042">
        <w:trPr>
          <w:tblCellSpacing w:w="15" w:type="dxa"/>
        </w:trPr>
        <w:tc>
          <w:tcPr>
            <w:tcW w:w="0" w:type="auto"/>
            <w:vAlign w:val="center"/>
            <w:hideMark/>
          </w:tcPr>
          <w:p w14:paraId="2752D8E6"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Full</w:t>
            </w:r>
            <w:r w:rsidRPr="00F45B03">
              <w:rPr>
                <w:rFonts w:ascii="Arial" w:eastAsia="Times New Roman" w:hAnsi="Arial" w:cs="Arial"/>
                <w:b/>
                <w:bCs/>
                <w:lang w:eastAsia="en-IN"/>
              </w:rPr>
              <w:noBreakHyphen/>
              <w:t>text articles excluded</w:t>
            </w:r>
          </w:p>
        </w:tc>
        <w:tc>
          <w:tcPr>
            <w:tcW w:w="0" w:type="auto"/>
            <w:vAlign w:val="center"/>
            <w:hideMark/>
          </w:tcPr>
          <w:p w14:paraId="3057A9ED"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80</w:t>
            </w:r>
          </w:p>
        </w:tc>
      </w:tr>
      <w:tr w:rsidR="002E7042" w:rsidRPr="00F45B03" w14:paraId="6146062D" w14:textId="77777777" w:rsidTr="002E7042">
        <w:trPr>
          <w:tblCellSpacing w:w="15" w:type="dxa"/>
        </w:trPr>
        <w:tc>
          <w:tcPr>
            <w:tcW w:w="0" w:type="auto"/>
            <w:vAlign w:val="center"/>
            <w:hideMark/>
          </w:tcPr>
          <w:p w14:paraId="6A468418"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 Publication type not suitable</w:t>
            </w:r>
          </w:p>
        </w:tc>
        <w:tc>
          <w:tcPr>
            <w:tcW w:w="0" w:type="auto"/>
            <w:vAlign w:val="center"/>
            <w:hideMark/>
          </w:tcPr>
          <w:p w14:paraId="2E467D6A"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22</w:t>
            </w:r>
          </w:p>
        </w:tc>
      </w:tr>
      <w:tr w:rsidR="002E7042" w:rsidRPr="00F45B03" w14:paraId="221229FD" w14:textId="77777777" w:rsidTr="002E7042">
        <w:trPr>
          <w:tblCellSpacing w:w="15" w:type="dxa"/>
        </w:trPr>
        <w:tc>
          <w:tcPr>
            <w:tcW w:w="0" w:type="auto"/>
            <w:vAlign w:val="center"/>
            <w:hideMark/>
          </w:tcPr>
          <w:p w14:paraId="5667CECD"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 Incorrect methodology</w:t>
            </w:r>
          </w:p>
        </w:tc>
        <w:tc>
          <w:tcPr>
            <w:tcW w:w="0" w:type="auto"/>
            <w:vAlign w:val="center"/>
            <w:hideMark/>
          </w:tcPr>
          <w:p w14:paraId="6775823C"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14</w:t>
            </w:r>
          </w:p>
        </w:tc>
      </w:tr>
      <w:tr w:rsidR="002E7042" w:rsidRPr="00F45B03" w14:paraId="7B89BDAE" w14:textId="77777777" w:rsidTr="002E7042">
        <w:trPr>
          <w:tblCellSpacing w:w="15" w:type="dxa"/>
        </w:trPr>
        <w:tc>
          <w:tcPr>
            <w:tcW w:w="0" w:type="auto"/>
            <w:vAlign w:val="center"/>
            <w:hideMark/>
          </w:tcPr>
          <w:p w14:paraId="2DE1A1DB"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 Incorrect focus</w:t>
            </w:r>
          </w:p>
        </w:tc>
        <w:tc>
          <w:tcPr>
            <w:tcW w:w="0" w:type="auto"/>
            <w:vAlign w:val="center"/>
            <w:hideMark/>
          </w:tcPr>
          <w:p w14:paraId="440B2B52"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18</w:t>
            </w:r>
          </w:p>
        </w:tc>
      </w:tr>
      <w:tr w:rsidR="002E7042" w:rsidRPr="00F45B03" w14:paraId="7CF2236F" w14:textId="77777777" w:rsidTr="002E7042">
        <w:trPr>
          <w:tblCellSpacing w:w="15" w:type="dxa"/>
        </w:trPr>
        <w:tc>
          <w:tcPr>
            <w:tcW w:w="0" w:type="auto"/>
            <w:vAlign w:val="center"/>
            <w:hideMark/>
          </w:tcPr>
          <w:p w14:paraId="6E3EB4B1"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 Incorrect sample (age, population, or setting mismatch)</w:t>
            </w:r>
          </w:p>
        </w:tc>
        <w:tc>
          <w:tcPr>
            <w:tcW w:w="0" w:type="auto"/>
            <w:vAlign w:val="center"/>
            <w:hideMark/>
          </w:tcPr>
          <w:p w14:paraId="76A6ED7F"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20</w:t>
            </w:r>
          </w:p>
        </w:tc>
      </w:tr>
      <w:tr w:rsidR="002E7042" w:rsidRPr="00F45B03" w14:paraId="4A4AE9D0" w14:textId="77777777" w:rsidTr="002E7042">
        <w:trPr>
          <w:tblCellSpacing w:w="15" w:type="dxa"/>
        </w:trPr>
        <w:tc>
          <w:tcPr>
            <w:tcW w:w="0" w:type="auto"/>
            <w:vAlign w:val="center"/>
            <w:hideMark/>
          </w:tcPr>
          <w:p w14:paraId="704654BA"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 Not in English</w:t>
            </w:r>
          </w:p>
        </w:tc>
        <w:tc>
          <w:tcPr>
            <w:tcW w:w="0" w:type="auto"/>
            <w:vAlign w:val="center"/>
            <w:hideMark/>
          </w:tcPr>
          <w:p w14:paraId="552D6A11"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lang w:eastAsia="en-IN"/>
              </w:rPr>
              <w:t>6</w:t>
            </w:r>
          </w:p>
        </w:tc>
      </w:tr>
      <w:tr w:rsidR="002E7042" w:rsidRPr="00F45B03" w14:paraId="095A688C" w14:textId="77777777" w:rsidTr="002E7042">
        <w:trPr>
          <w:tblCellSpacing w:w="15" w:type="dxa"/>
        </w:trPr>
        <w:tc>
          <w:tcPr>
            <w:tcW w:w="0" w:type="auto"/>
            <w:vAlign w:val="center"/>
            <w:hideMark/>
          </w:tcPr>
          <w:p w14:paraId="36F8B006" w14:textId="77777777" w:rsidR="002E7042" w:rsidRPr="00F45B03" w:rsidRDefault="002E7042" w:rsidP="00167E86">
            <w:pPr>
              <w:spacing w:after="0" w:line="360" w:lineRule="auto"/>
              <w:jc w:val="both"/>
              <w:rPr>
                <w:rFonts w:ascii="Arial" w:eastAsia="Times New Roman" w:hAnsi="Arial" w:cs="Arial"/>
                <w:b/>
                <w:bCs/>
                <w:lang w:eastAsia="en-IN"/>
              </w:rPr>
            </w:pPr>
            <w:r w:rsidRPr="00F45B03">
              <w:rPr>
                <w:rFonts w:ascii="Arial" w:eastAsia="Times New Roman" w:hAnsi="Arial" w:cs="Arial"/>
                <w:b/>
                <w:bCs/>
                <w:lang w:eastAsia="en-IN"/>
              </w:rPr>
              <w:t>Final studies included in the review</w:t>
            </w:r>
          </w:p>
        </w:tc>
        <w:tc>
          <w:tcPr>
            <w:tcW w:w="0" w:type="auto"/>
            <w:vAlign w:val="center"/>
            <w:hideMark/>
          </w:tcPr>
          <w:p w14:paraId="7D859963" w14:textId="77777777" w:rsidR="002E7042" w:rsidRPr="00F45B03" w:rsidRDefault="002E7042" w:rsidP="00167E86">
            <w:pPr>
              <w:spacing w:after="0" w:line="360" w:lineRule="auto"/>
              <w:jc w:val="both"/>
              <w:rPr>
                <w:rFonts w:ascii="Arial" w:eastAsia="Times New Roman" w:hAnsi="Arial" w:cs="Arial"/>
                <w:lang w:eastAsia="en-IN"/>
              </w:rPr>
            </w:pPr>
            <w:r w:rsidRPr="00F45B03">
              <w:rPr>
                <w:rFonts w:ascii="Arial" w:eastAsia="Times New Roman" w:hAnsi="Arial" w:cs="Arial"/>
                <w:b/>
                <w:bCs/>
                <w:lang w:eastAsia="en-IN"/>
              </w:rPr>
              <w:t>15</w:t>
            </w:r>
          </w:p>
        </w:tc>
      </w:tr>
    </w:tbl>
    <w:p w14:paraId="05DFD37F" w14:textId="512FE2D2" w:rsidR="002E7042" w:rsidRPr="00F45B03" w:rsidRDefault="002E7042" w:rsidP="00167E86">
      <w:pPr>
        <w:spacing w:line="360" w:lineRule="auto"/>
        <w:jc w:val="both"/>
        <w:rPr>
          <w:rFonts w:ascii="Arial" w:hAnsi="Arial" w:cs="Arial"/>
          <w:color w:val="000000" w:themeColor="text1"/>
        </w:rPr>
      </w:pPr>
    </w:p>
    <w:p w14:paraId="351D70C6" w14:textId="53E88CD1" w:rsidR="002E7042" w:rsidRPr="00F45B03" w:rsidRDefault="002E7042" w:rsidP="00167E86">
      <w:pPr>
        <w:spacing w:line="360" w:lineRule="auto"/>
        <w:jc w:val="both"/>
        <w:rPr>
          <w:rFonts w:ascii="Arial" w:hAnsi="Arial" w:cs="Arial"/>
          <w:color w:val="000000" w:themeColor="text1"/>
        </w:rPr>
      </w:pPr>
    </w:p>
    <w:p w14:paraId="1B6F0585" w14:textId="0D337FC2" w:rsidR="002E7042" w:rsidRPr="00F45B03" w:rsidRDefault="002E7042" w:rsidP="00167E86">
      <w:pPr>
        <w:spacing w:line="360" w:lineRule="auto"/>
        <w:jc w:val="both"/>
        <w:rPr>
          <w:rFonts w:ascii="Arial" w:hAnsi="Arial" w:cs="Arial"/>
          <w:color w:val="000000" w:themeColor="text1"/>
        </w:rPr>
      </w:pPr>
    </w:p>
    <w:p w14:paraId="0BB8F10C" w14:textId="51041C58" w:rsidR="002E7042" w:rsidRPr="00F45B03" w:rsidRDefault="002E7042" w:rsidP="00167E86">
      <w:pPr>
        <w:spacing w:line="360" w:lineRule="auto"/>
        <w:jc w:val="both"/>
        <w:rPr>
          <w:rFonts w:ascii="Arial" w:hAnsi="Arial" w:cs="Arial"/>
          <w:color w:val="000000" w:themeColor="text1"/>
        </w:rPr>
      </w:pPr>
    </w:p>
    <w:p w14:paraId="25C044A5" w14:textId="5C163E43" w:rsidR="002E7042" w:rsidRPr="00F45B03" w:rsidRDefault="002E7042" w:rsidP="00167E86">
      <w:pPr>
        <w:spacing w:line="360" w:lineRule="auto"/>
        <w:jc w:val="both"/>
        <w:rPr>
          <w:rFonts w:ascii="Arial" w:hAnsi="Arial" w:cs="Arial"/>
          <w:color w:val="000000" w:themeColor="text1"/>
        </w:rPr>
      </w:pPr>
    </w:p>
    <w:p w14:paraId="5C5F85C0" w14:textId="579B08CA" w:rsidR="002E7042" w:rsidRPr="00F45B03" w:rsidRDefault="002E7042" w:rsidP="00167E86">
      <w:pPr>
        <w:spacing w:line="360" w:lineRule="auto"/>
        <w:jc w:val="both"/>
        <w:rPr>
          <w:rFonts w:ascii="Arial" w:hAnsi="Arial" w:cs="Arial"/>
          <w:color w:val="000000" w:themeColor="text1"/>
        </w:rPr>
      </w:pPr>
    </w:p>
    <w:p w14:paraId="71AD18C1" w14:textId="189B891F" w:rsidR="002E7042" w:rsidRPr="00F45B03" w:rsidRDefault="002E7042" w:rsidP="00167E86">
      <w:pPr>
        <w:spacing w:line="360" w:lineRule="auto"/>
        <w:jc w:val="both"/>
        <w:rPr>
          <w:rFonts w:ascii="Arial" w:hAnsi="Arial" w:cs="Arial"/>
          <w:color w:val="000000" w:themeColor="text1"/>
        </w:rPr>
      </w:pPr>
    </w:p>
    <w:p w14:paraId="21E8180C" w14:textId="5FEF3729" w:rsidR="002E7042" w:rsidRPr="00F45B03" w:rsidRDefault="002E7042" w:rsidP="00167E86">
      <w:pPr>
        <w:spacing w:line="360" w:lineRule="auto"/>
        <w:jc w:val="both"/>
        <w:rPr>
          <w:rFonts w:ascii="Arial" w:hAnsi="Arial" w:cs="Arial"/>
          <w:color w:val="000000" w:themeColor="text1"/>
        </w:rPr>
      </w:pPr>
    </w:p>
    <w:p w14:paraId="77E634A6" w14:textId="557EB1A0" w:rsidR="002E7042" w:rsidRPr="00F45B03" w:rsidRDefault="002E7042" w:rsidP="00167E86">
      <w:pPr>
        <w:spacing w:line="360" w:lineRule="auto"/>
        <w:jc w:val="both"/>
        <w:rPr>
          <w:rFonts w:ascii="Arial" w:hAnsi="Arial" w:cs="Arial"/>
          <w:color w:val="000000" w:themeColor="text1"/>
        </w:rPr>
      </w:pPr>
    </w:p>
    <w:p w14:paraId="079AA82D" w14:textId="3DD4AF57" w:rsidR="003E03F7" w:rsidRPr="00FB6E21" w:rsidRDefault="003E03F7" w:rsidP="00167E86">
      <w:pPr>
        <w:pStyle w:val="NormalWeb"/>
        <w:spacing w:line="360" w:lineRule="auto"/>
        <w:jc w:val="both"/>
        <w:rPr>
          <w:rFonts w:ascii="Arial" w:hAnsi="Arial" w:cs="Arial"/>
          <w:sz w:val="22"/>
          <w:szCs w:val="22"/>
        </w:rPr>
      </w:pPr>
      <w:r w:rsidRPr="00FB6E21">
        <w:rPr>
          <w:rFonts w:ascii="Arial" w:hAnsi="Arial" w:cs="Arial"/>
          <w:sz w:val="22"/>
          <w:szCs w:val="22"/>
        </w:rPr>
        <w:lastRenderedPageBreak/>
        <w:t>Refence l</w:t>
      </w:r>
      <w:r w:rsidR="002725E7" w:rsidRPr="00FB6E21">
        <w:rPr>
          <w:rFonts w:ascii="Arial" w:hAnsi="Arial" w:cs="Arial"/>
          <w:sz w:val="22"/>
          <w:szCs w:val="22"/>
        </w:rPr>
        <w:t xml:space="preserve">ist </w:t>
      </w:r>
      <w:r w:rsidRPr="00FB6E21">
        <w:rPr>
          <w:rFonts w:ascii="Arial" w:hAnsi="Arial" w:cs="Arial"/>
          <w:sz w:val="22"/>
          <w:szCs w:val="22"/>
        </w:rPr>
        <w:t xml:space="preserve"> </w:t>
      </w:r>
    </w:p>
    <w:p w14:paraId="1691E268" w14:textId="77777777" w:rsidR="00021EC7" w:rsidRPr="00FB6E21" w:rsidRDefault="00021EC7" w:rsidP="00021EC7">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Ajzen, I. (1991) ‘The theory of planned </w:t>
      </w:r>
      <w:proofErr w:type="spellStart"/>
      <w:r w:rsidRPr="00FB6E21">
        <w:rPr>
          <w:rFonts w:ascii="Arial" w:hAnsi="Arial" w:cs="Arial"/>
          <w:sz w:val="22"/>
          <w:szCs w:val="22"/>
          <w:lang w:val="en-GB"/>
        </w:rPr>
        <w:t>behavior</w:t>
      </w:r>
      <w:proofErr w:type="spellEnd"/>
      <w:r w:rsidRPr="00FB6E21">
        <w:rPr>
          <w:rFonts w:ascii="Arial" w:hAnsi="Arial" w:cs="Arial"/>
          <w:sz w:val="22"/>
          <w:szCs w:val="22"/>
          <w:lang w:val="en-GB"/>
        </w:rPr>
        <w:t xml:space="preserve">’, </w:t>
      </w:r>
      <w:r w:rsidRPr="00FB6E21">
        <w:rPr>
          <w:rFonts w:ascii="Arial" w:hAnsi="Arial" w:cs="Arial"/>
          <w:i/>
          <w:iCs/>
          <w:sz w:val="22"/>
          <w:szCs w:val="22"/>
          <w:lang w:val="en-GB"/>
        </w:rPr>
        <w:t xml:space="preserve">Organizational </w:t>
      </w:r>
      <w:proofErr w:type="spellStart"/>
      <w:r w:rsidRPr="00FB6E21">
        <w:rPr>
          <w:rFonts w:ascii="Arial" w:hAnsi="Arial" w:cs="Arial"/>
          <w:i/>
          <w:iCs/>
          <w:sz w:val="22"/>
          <w:szCs w:val="22"/>
          <w:lang w:val="en-GB"/>
        </w:rPr>
        <w:t>Behavior</w:t>
      </w:r>
      <w:proofErr w:type="spellEnd"/>
      <w:r w:rsidRPr="00FB6E21">
        <w:rPr>
          <w:rFonts w:ascii="Arial" w:hAnsi="Arial" w:cs="Arial"/>
          <w:i/>
          <w:iCs/>
          <w:sz w:val="22"/>
          <w:szCs w:val="22"/>
          <w:lang w:val="en-GB"/>
        </w:rPr>
        <w:t xml:space="preserve"> and Human Decision Processes</w:t>
      </w:r>
      <w:r w:rsidRPr="00FB6E21">
        <w:rPr>
          <w:rFonts w:ascii="Arial" w:hAnsi="Arial" w:cs="Arial"/>
          <w:sz w:val="22"/>
          <w:szCs w:val="22"/>
          <w:lang w:val="en-GB"/>
        </w:rPr>
        <w:t xml:space="preserve">, 50(2), pp. 179–211. Available at: </w:t>
      </w:r>
      <w:hyperlink r:id="rId15" w:tgtFrame="_blank" w:tooltip="doi.org" w:history="1">
        <w:r w:rsidRPr="00FB6E21">
          <w:rPr>
            <w:rStyle w:val="Hyperlink"/>
            <w:rFonts w:ascii="Arial" w:hAnsi="Arial" w:cs="Arial"/>
            <w:sz w:val="22"/>
            <w:szCs w:val="22"/>
            <w:lang w:val="en-GB"/>
          </w:rPr>
          <w:t>https://doi.org/10.1016/0749-5978(91)90020-T</w:t>
        </w:r>
      </w:hyperlink>
      <w:r w:rsidRPr="00FB6E21">
        <w:rPr>
          <w:rFonts w:ascii="Arial" w:hAnsi="Arial" w:cs="Arial"/>
          <w:sz w:val="22"/>
          <w:szCs w:val="22"/>
          <w:lang w:val="en-GB"/>
        </w:rPr>
        <w:t xml:space="preserve"> (Accessed: 3 March 2026).</w:t>
      </w:r>
    </w:p>
    <w:p w14:paraId="75A75E02" w14:textId="77777777" w:rsidR="00021EC7" w:rsidRPr="00FB6E21" w:rsidRDefault="00021EC7" w:rsidP="00021EC7">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Anderson, L., Oldridge, N., Thompson, D.R., Zwisler, A.D., Rees, K., Martin, N. and Taylor, R.S. (2016) ‘Exercise-based cardiac rehabilitation for coronary heart disease’, </w:t>
      </w:r>
      <w:r w:rsidRPr="00FB6E21">
        <w:rPr>
          <w:rFonts w:ascii="Arial" w:hAnsi="Arial" w:cs="Arial"/>
          <w:i/>
          <w:iCs/>
          <w:sz w:val="22"/>
          <w:szCs w:val="22"/>
          <w:lang w:val="en-GB"/>
        </w:rPr>
        <w:t>Cochrane Database of Systematic Reviews</w:t>
      </w:r>
      <w:r w:rsidRPr="00FB6E21">
        <w:rPr>
          <w:rFonts w:ascii="Arial" w:hAnsi="Arial" w:cs="Arial"/>
          <w:sz w:val="22"/>
          <w:szCs w:val="22"/>
          <w:lang w:val="en-GB"/>
        </w:rPr>
        <w:t xml:space="preserve">, CD001800. Available at: </w:t>
      </w:r>
      <w:hyperlink r:id="rId16" w:tgtFrame="_blank" w:tooltip="doi.org" w:history="1">
        <w:r w:rsidRPr="00FB6E21">
          <w:rPr>
            <w:rStyle w:val="Hyperlink"/>
            <w:rFonts w:ascii="Arial" w:hAnsi="Arial" w:cs="Arial"/>
            <w:sz w:val="22"/>
            <w:szCs w:val="22"/>
            <w:lang w:val="en-GB"/>
          </w:rPr>
          <w:t>https://doi.org/10.1002/14651858.CD001800.pub3</w:t>
        </w:r>
      </w:hyperlink>
      <w:r w:rsidRPr="00FB6E21">
        <w:rPr>
          <w:rFonts w:ascii="Arial" w:hAnsi="Arial" w:cs="Arial"/>
          <w:sz w:val="22"/>
          <w:szCs w:val="22"/>
          <w:lang w:val="en-GB"/>
        </w:rPr>
        <w:t xml:space="preserve"> (Accessed: 17 February 2026).</w:t>
      </w:r>
    </w:p>
    <w:p w14:paraId="30CE75B4" w14:textId="77777777" w:rsidR="00021EC7" w:rsidRPr="00FB6E21" w:rsidRDefault="00021EC7" w:rsidP="00021EC7">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Anderson, L., Sharp, G.A., Norton, R.J., Dalal, H., Dean, S.G., Jolly, K., Cowie, A., Zawada, A. and Taylor, R.S. (2017) ‘Home-based versus centre-based cardiac rehabilitation’, </w:t>
      </w:r>
      <w:r w:rsidRPr="00FB6E21">
        <w:rPr>
          <w:rFonts w:ascii="Arial" w:hAnsi="Arial" w:cs="Arial"/>
          <w:i/>
          <w:iCs/>
          <w:sz w:val="22"/>
          <w:szCs w:val="22"/>
          <w:lang w:val="en-GB"/>
        </w:rPr>
        <w:t>Cochrane Database of Systematic Reviews</w:t>
      </w:r>
      <w:r w:rsidRPr="00FB6E21">
        <w:rPr>
          <w:rFonts w:ascii="Arial" w:hAnsi="Arial" w:cs="Arial"/>
          <w:sz w:val="22"/>
          <w:szCs w:val="22"/>
          <w:lang w:val="en-GB"/>
        </w:rPr>
        <w:t xml:space="preserve">, CD007130. Available at: </w:t>
      </w:r>
      <w:hyperlink r:id="rId17" w:tgtFrame="_blank" w:tooltip="doi.org" w:history="1">
        <w:r w:rsidRPr="00FB6E21">
          <w:rPr>
            <w:rStyle w:val="Hyperlink"/>
            <w:rFonts w:ascii="Arial" w:hAnsi="Arial" w:cs="Arial"/>
            <w:sz w:val="22"/>
            <w:szCs w:val="22"/>
            <w:lang w:val="en-GB"/>
          </w:rPr>
          <w:t>https://doi.org/10.1002/14651858.CD007130.pub4</w:t>
        </w:r>
      </w:hyperlink>
      <w:r w:rsidRPr="00FB6E21">
        <w:rPr>
          <w:rFonts w:ascii="Arial" w:hAnsi="Arial" w:cs="Arial"/>
          <w:sz w:val="22"/>
          <w:szCs w:val="22"/>
          <w:lang w:val="en-GB"/>
        </w:rPr>
        <w:t xml:space="preserve"> (Accessed: 9 April 2026).</w:t>
      </w:r>
    </w:p>
    <w:p w14:paraId="7B864158" w14:textId="77777777" w:rsidR="00021EC7" w:rsidRPr="00FB6E21" w:rsidRDefault="00021EC7" w:rsidP="00021EC7">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Anderson, L. and Taylor, R.S. (2020) ‘Cardiac rehabilitation for people with heart disease’, </w:t>
      </w:r>
      <w:r w:rsidRPr="00FB6E21">
        <w:rPr>
          <w:rFonts w:ascii="Arial" w:hAnsi="Arial" w:cs="Arial"/>
          <w:i/>
          <w:iCs/>
          <w:sz w:val="22"/>
          <w:szCs w:val="22"/>
          <w:lang w:val="en-GB"/>
        </w:rPr>
        <w:t>Cochrane Database of Systematic Reviews</w:t>
      </w:r>
      <w:r w:rsidRPr="00FB6E21">
        <w:rPr>
          <w:rFonts w:ascii="Arial" w:hAnsi="Arial" w:cs="Arial"/>
          <w:sz w:val="22"/>
          <w:szCs w:val="22"/>
          <w:lang w:val="en-GB"/>
        </w:rPr>
        <w:t xml:space="preserve">, CD011273. Available at: </w:t>
      </w:r>
      <w:hyperlink r:id="rId18" w:tgtFrame="_blank" w:tooltip="doi.org" w:history="1">
        <w:r w:rsidRPr="00FB6E21">
          <w:rPr>
            <w:rStyle w:val="Hyperlink"/>
            <w:rFonts w:ascii="Arial" w:hAnsi="Arial" w:cs="Arial"/>
            <w:sz w:val="22"/>
            <w:szCs w:val="22"/>
            <w:lang w:val="en-GB"/>
          </w:rPr>
          <w:t>https://doi.org/10.1002/14651858.CD011273.pub2</w:t>
        </w:r>
      </w:hyperlink>
      <w:r w:rsidRPr="00FB6E21">
        <w:rPr>
          <w:rFonts w:ascii="Arial" w:hAnsi="Arial" w:cs="Arial"/>
          <w:sz w:val="22"/>
          <w:szCs w:val="22"/>
          <w:lang w:val="en-GB"/>
        </w:rPr>
        <w:t xml:space="preserve"> (Accessed: 22 March 2026).</w:t>
      </w:r>
    </w:p>
    <w:p w14:paraId="6885CDB2" w14:textId="77777777" w:rsidR="00021EC7" w:rsidRPr="00FB6E21" w:rsidRDefault="00021EC7" w:rsidP="00021EC7">
      <w:pPr>
        <w:pStyle w:val="NormalWeb"/>
        <w:spacing w:line="360" w:lineRule="auto"/>
        <w:jc w:val="both"/>
        <w:rPr>
          <w:rFonts w:ascii="Arial" w:hAnsi="Arial" w:cs="Arial"/>
          <w:sz w:val="22"/>
          <w:szCs w:val="22"/>
          <w:lang w:val="en-GB"/>
        </w:rPr>
      </w:pPr>
      <w:proofErr w:type="spellStart"/>
      <w:r w:rsidRPr="00FB6E21">
        <w:rPr>
          <w:rFonts w:ascii="Arial" w:hAnsi="Arial" w:cs="Arial"/>
          <w:sz w:val="22"/>
          <w:szCs w:val="22"/>
          <w:lang w:val="en-GB"/>
        </w:rPr>
        <w:t>Aromataris</w:t>
      </w:r>
      <w:proofErr w:type="spellEnd"/>
      <w:r w:rsidRPr="00FB6E21">
        <w:rPr>
          <w:rFonts w:ascii="Arial" w:hAnsi="Arial" w:cs="Arial"/>
          <w:sz w:val="22"/>
          <w:szCs w:val="22"/>
          <w:lang w:val="en-GB"/>
        </w:rPr>
        <w:t xml:space="preserve">, E. and Munn, Z. (2020) </w:t>
      </w:r>
      <w:r w:rsidRPr="00FB6E21">
        <w:rPr>
          <w:rFonts w:ascii="Arial" w:hAnsi="Arial" w:cs="Arial"/>
          <w:i/>
          <w:iCs/>
          <w:sz w:val="22"/>
          <w:szCs w:val="22"/>
          <w:lang w:val="en-GB"/>
        </w:rPr>
        <w:t>JBI Manual for Evidence Synthesis</w:t>
      </w:r>
      <w:r w:rsidRPr="00FB6E21">
        <w:rPr>
          <w:rFonts w:ascii="Arial" w:hAnsi="Arial" w:cs="Arial"/>
          <w:sz w:val="22"/>
          <w:szCs w:val="22"/>
          <w:lang w:val="en-GB"/>
        </w:rPr>
        <w:t xml:space="preserve">. Available at: </w:t>
      </w:r>
      <w:hyperlink r:id="rId19" w:tgtFrame="_blank" w:tooltip="synthesismanual.jbi.global" w:history="1">
        <w:r w:rsidRPr="00FB6E21">
          <w:rPr>
            <w:rStyle w:val="Hyperlink"/>
            <w:rFonts w:ascii="Arial" w:hAnsi="Arial" w:cs="Arial"/>
            <w:sz w:val="22"/>
            <w:szCs w:val="22"/>
            <w:lang w:val="en-GB"/>
          </w:rPr>
          <w:t>https://synthesismanual.jbi.global</w:t>
        </w:r>
      </w:hyperlink>
      <w:r w:rsidRPr="00FB6E21">
        <w:rPr>
          <w:rFonts w:ascii="Arial" w:hAnsi="Arial" w:cs="Arial"/>
          <w:sz w:val="22"/>
          <w:szCs w:val="22"/>
          <w:lang w:val="en-GB"/>
        </w:rPr>
        <w:t xml:space="preserve"> (Accessed: 11 April 2026).</w:t>
      </w:r>
    </w:p>
    <w:p w14:paraId="703101E6" w14:textId="77777777" w:rsidR="00021EC7" w:rsidRPr="00FB6E21" w:rsidRDefault="00021EC7" w:rsidP="00021EC7">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Bachmann, M.O., Eachus, J., Hopper, A., Davey Smith, G., Propper, C., Pearson, N., Williams, S. and Ben</w:t>
      </w:r>
      <w:r w:rsidRPr="00FB6E21">
        <w:rPr>
          <w:rFonts w:ascii="Arial" w:hAnsi="Arial" w:cs="Arial"/>
          <w:sz w:val="22"/>
          <w:szCs w:val="22"/>
          <w:lang w:val="en-GB"/>
        </w:rPr>
        <w:noBreakHyphen/>
        <w:t xml:space="preserve">Shlomo, Y. (2017) ‘Predictors of cardiac rehabilitation utilisation’, </w:t>
      </w:r>
      <w:r w:rsidRPr="00FB6E21">
        <w:rPr>
          <w:rFonts w:ascii="Arial" w:hAnsi="Arial" w:cs="Arial"/>
          <w:i/>
          <w:iCs/>
          <w:sz w:val="22"/>
          <w:szCs w:val="22"/>
          <w:lang w:val="en-GB"/>
        </w:rPr>
        <w:t>Journal of the American Heart Association</w:t>
      </w:r>
      <w:r w:rsidRPr="00FB6E21">
        <w:rPr>
          <w:rFonts w:ascii="Arial" w:hAnsi="Arial" w:cs="Arial"/>
          <w:sz w:val="22"/>
          <w:szCs w:val="22"/>
          <w:lang w:val="en-GB"/>
        </w:rPr>
        <w:t xml:space="preserve">, 6(5), e003903. Available at: </w:t>
      </w:r>
      <w:hyperlink r:id="rId20" w:tgtFrame="_blank" w:tooltip="doi.org" w:history="1">
        <w:r w:rsidRPr="00FB6E21">
          <w:rPr>
            <w:rStyle w:val="Hyperlink"/>
            <w:rFonts w:ascii="Arial" w:hAnsi="Arial" w:cs="Arial"/>
            <w:sz w:val="22"/>
            <w:szCs w:val="22"/>
            <w:lang w:val="en-GB"/>
          </w:rPr>
          <w:t>https://doi.org/10.1161/JAHA.116.003903</w:t>
        </w:r>
      </w:hyperlink>
      <w:r w:rsidRPr="00FB6E21">
        <w:rPr>
          <w:rFonts w:ascii="Arial" w:hAnsi="Arial" w:cs="Arial"/>
          <w:sz w:val="22"/>
          <w:szCs w:val="22"/>
          <w:lang w:val="en-GB"/>
        </w:rPr>
        <w:t xml:space="preserve"> (Accessed: 15 March 2026).</w:t>
      </w:r>
    </w:p>
    <w:p w14:paraId="2322C566" w14:textId="77777777" w:rsidR="00021EC7" w:rsidRPr="00FB6E21" w:rsidRDefault="00021EC7" w:rsidP="00021EC7">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Bambra, C., Riordan, R., Ford, J. and Matthews, F. (2020) ‘The COVID-19 pandemic and health inequalities’, </w:t>
      </w:r>
      <w:r w:rsidRPr="00FB6E21">
        <w:rPr>
          <w:rFonts w:ascii="Arial" w:hAnsi="Arial" w:cs="Arial"/>
          <w:i/>
          <w:iCs/>
          <w:sz w:val="22"/>
          <w:szCs w:val="22"/>
          <w:lang w:val="en-GB"/>
        </w:rPr>
        <w:t>Journal of Epidemiology and Community Health</w:t>
      </w:r>
      <w:r w:rsidRPr="00FB6E21">
        <w:rPr>
          <w:rFonts w:ascii="Arial" w:hAnsi="Arial" w:cs="Arial"/>
          <w:sz w:val="22"/>
          <w:szCs w:val="22"/>
          <w:lang w:val="en-GB"/>
        </w:rPr>
        <w:t xml:space="preserve">, 74(11), pp. 964–968. Available at: </w:t>
      </w:r>
      <w:hyperlink r:id="rId21" w:tgtFrame="_blank" w:tooltip="doi.org" w:history="1">
        <w:r w:rsidRPr="00FB6E21">
          <w:rPr>
            <w:rStyle w:val="Hyperlink"/>
            <w:rFonts w:ascii="Arial" w:hAnsi="Arial" w:cs="Arial"/>
            <w:sz w:val="22"/>
            <w:szCs w:val="22"/>
            <w:lang w:val="en-GB"/>
          </w:rPr>
          <w:t>https://doi.org/10.1136/jech-2020-214401</w:t>
        </w:r>
      </w:hyperlink>
      <w:r w:rsidRPr="00FB6E21">
        <w:rPr>
          <w:rFonts w:ascii="Arial" w:hAnsi="Arial" w:cs="Arial"/>
          <w:sz w:val="22"/>
          <w:szCs w:val="22"/>
          <w:lang w:val="en-GB"/>
        </w:rPr>
        <w:t xml:space="preserve"> (Accessed: 20 April 2026).</w:t>
      </w:r>
    </w:p>
    <w:p w14:paraId="4FC16A23"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Bachmann, M.O. et al. (2017) ‘Ethnic inequalities in CR’, </w:t>
      </w:r>
      <w:r w:rsidRPr="00FB6E21">
        <w:rPr>
          <w:rFonts w:ascii="Arial" w:hAnsi="Arial" w:cs="Arial"/>
          <w:i/>
          <w:iCs/>
          <w:sz w:val="22"/>
          <w:szCs w:val="22"/>
          <w:lang w:val="en-GB"/>
        </w:rPr>
        <w:t>Verification Required</w:t>
      </w:r>
      <w:r w:rsidRPr="00FB6E21">
        <w:rPr>
          <w:rFonts w:ascii="Arial" w:hAnsi="Arial" w:cs="Arial"/>
          <w:sz w:val="22"/>
          <w:szCs w:val="22"/>
          <w:lang w:val="en-GB"/>
        </w:rPr>
        <w:t>. (Accessed: 6 March 2026).</w:t>
      </w:r>
    </w:p>
    <w:p w14:paraId="4A1191DD"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Bandura, A. (2004) ‘Health promotion by social cognitive means’, </w:t>
      </w:r>
      <w:r w:rsidRPr="00FB6E21">
        <w:rPr>
          <w:rFonts w:ascii="Arial" w:hAnsi="Arial" w:cs="Arial"/>
          <w:i/>
          <w:iCs/>
          <w:sz w:val="22"/>
          <w:szCs w:val="22"/>
          <w:lang w:val="en-GB"/>
        </w:rPr>
        <w:t xml:space="preserve">Health Education &amp; </w:t>
      </w:r>
      <w:proofErr w:type="spellStart"/>
      <w:r w:rsidRPr="00FB6E21">
        <w:rPr>
          <w:rFonts w:ascii="Arial" w:hAnsi="Arial" w:cs="Arial"/>
          <w:i/>
          <w:iCs/>
          <w:sz w:val="22"/>
          <w:szCs w:val="22"/>
          <w:lang w:val="en-GB"/>
        </w:rPr>
        <w:t>Behavior</w:t>
      </w:r>
      <w:proofErr w:type="spellEnd"/>
      <w:r w:rsidRPr="00FB6E21">
        <w:rPr>
          <w:rFonts w:ascii="Arial" w:hAnsi="Arial" w:cs="Arial"/>
          <w:sz w:val="22"/>
          <w:szCs w:val="22"/>
          <w:lang w:val="en-GB"/>
        </w:rPr>
        <w:t xml:space="preserve">, 31(2), pp. 143–164. Available at: </w:t>
      </w:r>
      <w:hyperlink r:id="rId22" w:tgtFrame="_blank" w:tooltip="doi.org" w:history="1">
        <w:r w:rsidRPr="00FB6E21">
          <w:rPr>
            <w:rStyle w:val="Hyperlink"/>
            <w:rFonts w:ascii="Arial" w:hAnsi="Arial" w:cs="Arial"/>
            <w:sz w:val="22"/>
            <w:szCs w:val="22"/>
            <w:lang w:val="en-GB"/>
          </w:rPr>
          <w:t>https://doi.org/10.1177/1090198104263660</w:t>
        </w:r>
      </w:hyperlink>
      <w:r w:rsidRPr="00FB6E21">
        <w:rPr>
          <w:rFonts w:ascii="Arial" w:hAnsi="Arial" w:cs="Arial"/>
          <w:sz w:val="22"/>
          <w:szCs w:val="22"/>
          <w:lang w:val="en-GB"/>
        </w:rPr>
        <w:t xml:space="preserve"> (Accessed: 28 February 2026).</w:t>
      </w:r>
    </w:p>
    <w:p w14:paraId="1F159A43"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lastRenderedPageBreak/>
        <w:t xml:space="preserve">Banerjee, A.T., Grace, S.L., Thomas, S.G., Faulkner, G.E., Scholey, P. and Stewart, D.E. (2016) ‘Culturally tailored cardiac rehabilitation interventions’, </w:t>
      </w:r>
      <w:r w:rsidRPr="00FB6E21">
        <w:rPr>
          <w:rFonts w:ascii="Arial" w:hAnsi="Arial" w:cs="Arial"/>
          <w:i/>
          <w:iCs/>
          <w:sz w:val="22"/>
          <w:szCs w:val="22"/>
          <w:lang w:val="en-GB"/>
        </w:rPr>
        <w:t>Canadian Journal of Cardiology</w:t>
      </w:r>
      <w:r w:rsidRPr="00FB6E21">
        <w:rPr>
          <w:rFonts w:ascii="Arial" w:hAnsi="Arial" w:cs="Arial"/>
          <w:sz w:val="22"/>
          <w:szCs w:val="22"/>
          <w:lang w:val="en-GB"/>
        </w:rPr>
        <w:t xml:space="preserve">, 32(10), pp. S357–S364. Available at: </w:t>
      </w:r>
      <w:hyperlink r:id="rId23" w:tgtFrame="_blank" w:tooltip="doi.org" w:history="1">
        <w:r w:rsidRPr="00FB6E21">
          <w:rPr>
            <w:rStyle w:val="Hyperlink"/>
            <w:rFonts w:ascii="Arial" w:hAnsi="Arial" w:cs="Arial"/>
            <w:sz w:val="22"/>
            <w:szCs w:val="22"/>
            <w:lang w:val="en-GB"/>
          </w:rPr>
          <w:t>https://doi.org/10.1016/j.cjca.2016.07.508</w:t>
        </w:r>
      </w:hyperlink>
      <w:r w:rsidRPr="00FB6E21">
        <w:rPr>
          <w:rFonts w:ascii="Arial" w:hAnsi="Arial" w:cs="Arial"/>
          <w:sz w:val="22"/>
          <w:szCs w:val="22"/>
          <w:lang w:val="en-GB"/>
        </w:rPr>
        <w:t xml:space="preserve"> (Accessed: 19 April 2026).</w:t>
      </w:r>
    </w:p>
    <w:p w14:paraId="1ACBC10D"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Bettany-Saltikov, J. (2016) </w:t>
      </w:r>
      <w:r w:rsidRPr="00FB6E21">
        <w:rPr>
          <w:rFonts w:ascii="Arial" w:hAnsi="Arial" w:cs="Arial"/>
          <w:i/>
          <w:iCs/>
          <w:sz w:val="22"/>
          <w:szCs w:val="22"/>
          <w:lang w:val="en-GB"/>
        </w:rPr>
        <w:t>How to Do a Systematic Literature Review in Nursing</w:t>
      </w:r>
      <w:r w:rsidRPr="00FB6E21">
        <w:rPr>
          <w:rFonts w:ascii="Arial" w:hAnsi="Arial" w:cs="Arial"/>
          <w:sz w:val="22"/>
          <w:szCs w:val="22"/>
          <w:lang w:val="en-GB"/>
        </w:rPr>
        <w:t>. London: Open University Press. (Accessed: 12 April 2026).</w:t>
      </w:r>
    </w:p>
    <w:p w14:paraId="15B9D8DB"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Bettany-Saltikov, J. (2021) </w:t>
      </w:r>
      <w:r w:rsidRPr="00FB6E21">
        <w:rPr>
          <w:rFonts w:ascii="Arial" w:hAnsi="Arial" w:cs="Arial"/>
          <w:i/>
          <w:iCs/>
          <w:sz w:val="22"/>
          <w:szCs w:val="22"/>
          <w:lang w:val="en-GB"/>
        </w:rPr>
        <w:t>How to Do a Systematic Literature Review in Nursing and Healthcare</w:t>
      </w:r>
      <w:r w:rsidRPr="00FB6E21">
        <w:rPr>
          <w:rFonts w:ascii="Arial" w:hAnsi="Arial" w:cs="Arial"/>
          <w:sz w:val="22"/>
          <w:szCs w:val="22"/>
          <w:lang w:val="en-GB"/>
        </w:rPr>
        <w:t xml:space="preserve">. 2nd </w:t>
      </w:r>
      <w:proofErr w:type="spellStart"/>
      <w:r w:rsidRPr="00FB6E21">
        <w:rPr>
          <w:rFonts w:ascii="Arial" w:hAnsi="Arial" w:cs="Arial"/>
          <w:sz w:val="22"/>
          <w:szCs w:val="22"/>
          <w:lang w:val="en-GB"/>
        </w:rPr>
        <w:t>edn</w:t>
      </w:r>
      <w:proofErr w:type="spellEnd"/>
      <w:r w:rsidRPr="00FB6E21">
        <w:rPr>
          <w:rFonts w:ascii="Arial" w:hAnsi="Arial" w:cs="Arial"/>
          <w:sz w:val="22"/>
          <w:szCs w:val="22"/>
          <w:lang w:val="en-GB"/>
        </w:rPr>
        <w:t>. London: Open University Press. (Accessed: 4 March 2026).</w:t>
      </w:r>
    </w:p>
    <w:p w14:paraId="15C107D4"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BHF (British Heart Foundation) (2023) </w:t>
      </w:r>
      <w:r w:rsidRPr="00FB6E21">
        <w:rPr>
          <w:rFonts w:ascii="Arial" w:hAnsi="Arial" w:cs="Arial"/>
          <w:i/>
          <w:iCs/>
          <w:sz w:val="22"/>
          <w:szCs w:val="22"/>
          <w:lang w:val="en-GB"/>
        </w:rPr>
        <w:t>UK Factsheet: Heart and Circulatory Disease Statistics</w:t>
      </w:r>
      <w:r w:rsidRPr="00FB6E21">
        <w:rPr>
          <w:rFonts w:ascii="Arial" w:hAnsi="Arial" w:cs="Arial"/>
          <w:sz w:val="22"/>
          <w:szCs w:val="22"/>
          <w:lang w:val="en-GB"/>
        </w:rPr>
        <w:t xml:space="preserve">. Available at: </w:t>
      </w:r>
      <w:hyperlink r:id="rId24" w:tgtFrame="_blank" w:tooltip="www.bhf.org.uk" w:history="1">
        <w:r w:rsidRPr="00FB6E21">
          <w:rPr>
            <w:rStyle w:val="Hyperlink"/>
            <w:rFonts w:ascii="Arial" w:hAnsi="Arial" w:cs="Arial"/>
            <w:sz w:val="22"/>
            <w:szCs w:val="22"/>
            <w:lang w:val="en-GB"/>
          </w:rPr>
          <w:t>https://www.bhf.org.uk/what-we-do/our-research/heart-statistics</w:t>
        </w:r>
      </w:hyperlink>
      <w:r w:rsidRPr="00FB6E21">
        <w:rPr>
          <w:rFonts w:ascii="Arial" w:hAnsi="Arial" w:cs="Arial"/>
          <w:sz w:val="22"/>
          <w:szCs w:val="22"/>
          <w:lang w:val="en-GB"/>
        </w:rPr>
        <w:t xml:space="preserve"> (Accessed: 30 April 2026).</w:t>
      </w:r>
    </w:p>
    <w:p w14:paraId="29560152"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Bleich, S.N., Cutler, D., Murray, C. and Adams, A. (2012) ‘Why is the developed world obese?’, </w:t>
      </w:r>
      <w:r w:rsidRPr="00FB6E21">
        <w:rPr>
          <w:rFonts w:ascii="Arial" w:hAnsi="Arial" w:cs="Arial"/>
          <w:i/>
          <w:iCs/>
          <w:sz w:val="22"/>
          <w:szCs w:val="22"/>
          <w:lang w:val="en-GB"/>
        </w:rPr>
        <w:t>Annual Review of Public Health</w:t>
      </w:r>
      <w:r w:rsidRPr="00FB6E21">
        <w:rPr>
          <w:rFonts w:ascii="Arial" w:hAnsi="Arial" w:cs="Arial"/>
          <w:sz w:val="22"/>
          <w:szCs w:val="22"/>
          <w:lang w:val="en-GB"/>
        </w:rPr>
        <w:t xml:space="preserve">, 33, pp. 419–439. Available at: </w:t>
      </w:r>
      <w:hyperlink r:id="rId25" w:tgtFrame="_blank" w:tooltip="doi.org" w:history="1">
        <w:r w:rsidRPr="00FB6E21">
          <w:rPr>
            <w:rStyle w:val="Hyperlink"/>
            <w:rFonts w:ascii="Arial" w:hAnsi="Arial" w:cs="Arial"/>
            <w:sz w:val="22"/>
            <w:szCs w:val="22"/>
            <w:lang w:val="en-GB"/>
          </w:rPr>
          <w:t>https://doi.org/10.1146/annurev-publhealth-031811-124627</w:t>
        </w:r>
      </w:hyperlink>
      <w:r w:rsidRPr="00FB6E21">
        <w:rPr>
          <w:rFonts w:ascii="Arial" w:hAnsi="Arial" w:cs="Arial"/>
          <w:sz w:val="22"/>
          <w:szCs w:val="22"/>
          <w:lang w:val="en-GB"/>
        </w:rPr>
        <w:t xml:space="preserve"> (Accessed: 8 February 2026).</w:t>
      </w:r>
    </w:p>
    <w:p w14:paraId="637D6E32"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Blumenthal, J.A., Sherwood, A., Smith, P.J., Watkins, L., Mabe, S., Kraus, W.E., Hinderliter, A. and Babyak, M.A. (2012) ‘Depression and cardiac rehabilitation participation’, </w:t>
      </w:r>
      <w:r w:rsidRPr="00FB6E21">
        <w:rPr>
          <w:rFonts w:ascii="Arial" w:hAnsi="Arial" w:cs="Arial"/>
          <w:i/>
          <w:iCs/>
          <w:sz w:val="22"/>
          <w:szCs w:val="22"/>
          <w:lang w:val="en-GB"/>
        </w:rPr>
        <w:t>American Heart Journal</w:t>
      </w:r>
      <w:r w:rsidRPr="00FB6E21">
        <w:rPr>
          <w:rFonts w:ascii="Arial" w:hAnsi="Arial" w:cs="Arial"/>
          <w:sz w:val="22"/>
          <w:szCs w:val="22"/>
          <w:lang w:val="en-GB"/>
        </w:rPr>
        <w:t xml:space="preserve">, 164(6), pp. 793–802. Available at: </w:t>
      </w:r>
      <w:hyperlink r:id="rId26" w:tgtFrame="_blank" w:tooltip="doi.org" w:history="1">
        <w:r w:rsidRPr="00FB6E21">
          <w:rPr>
            <w:rStyle w:val="Hyperlink"/>
            <w:rFonts w:ascii="Arial" w:hAnsi="Arial" w:cs="Arial"/>
            <w:sz w:val="22"/>
            <w:szCs w:val="22"/>
            <w:lang w:val="en-GB"/>
          </w:rPr>
          <w:t>https://doi.org/10.1016/j.ahj.2012.08.020</w:t>
        </w:r>
      </w:hyperlink>
      <w:r w:rsidRPr="00FB6E21">
        <w:rPr>
          <w:rFonts w:ascii="Arial" w:hAnsi="Arial" w:cs="Arial"/>
          <w:sz w:val="22"/>
          <w:szCs w:val="22"/>
          <w:lang w:val="en-GB"/>
        </w:rPr>
        <w:t xml:space="preserve"> (Accessed: 26 March 2026).</w:t>
      </w:r>
    </w:p>
    <w:p w14:paraId="5DF951F9"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Boland, L., Légaré, F., Perez, M.M., Menear, M., Garvelink, M.M., McIsaac, D.I., Stacey, D. and </w:t>
      </w:r>
      <w:proofErr w:type="spellStart"/>
      <w:r w:rsidRPr="00FB6E21">
        <w:rPr>
          <w:rFonts w:ascii="Arial" w:hAnsi="Arial" w:cs="Arial"/>
          <w:sz w:val="22"/>
          <w:szCs w:val="22"/>
          <w:lang w:val="en-GB"/>
        </w:rPr>
        <w:t>Brière</w:t>
      </w:r>
      <w:proofErr w:type="spellEnd"/>
      <w:r w:rsidRPr="00FB6E21">
        <w:rPr>
          <w:rFonts w:ascii="Arial" w:hAnsi="Arial" w:cs="Arial"/>
          <w:sz w:val="22"/>
          <w:szCs w:val="22"/>
          <w:lang w:val="en-GB"/>
        </w:rPr>
        <w:t xml:space="preserve">, N. (2017) ‘Barriers and facilitators to cardiac rehabilitation’, </w:t>
      </w:r>
      <w:r w:rsidRPr="00FB6E21">
        <w:rPr>
          <w:rFonts w:ascii="Arial" w:hAnsi="Arial" w:cs="Arial"/>
          <w:i/>
          <w:iCs/>
          <w:sz w:val="22"/>
          <w:szCs w:val="22"/>
          <w:lang w:val="en-GB"/>
        </w:rPr>
        <w:t xml:space="preserve">Patient Education and </w:t>
      </w:r>
      <w:proofErr w:type="spellStart"/>
      <w:r w:rsidRPr="00FB6E21">
        <w:rPr>
          <w:rFonts w:ascii="Arial" w:hAnsi="Arial" w:cs="Arial"/>
          <w:i/>
          <w:iCs/>
          <w:sz w:val="22"/>
          <w:szCs w:val="22"/>
          <w:lang w:val="en-GB"/>
        </w:rPr>
        <w:t>Counseling</w:t>
      </w:r>
      <w:proofErr w:type="spellEnd"/>
      <w:r w:rsidRPr="00FB6E21">
        <w:rPr>
          <w:rFonts w:ascii="Arial" w:hAnsi="Arial" w:cs="Arial"/>
          <w:sz w:val="22"/>
          <w:szCs w:val="22"/>
          <w:lang w:val="en-GB"/>
        </w:rPr>
        <w:t xml:space="preserve">, 100(3), pp. 436–451. Available at: </w:t>
      </w:r>
      <w:hyperlink r:id="rId27" w:tgtFrame="_blank" w:tooltip="doi.org" w:history="1">
        <w:r w:rsidRPr="00FB6E21">
          <w:rPr>
            <w:rStyle w:val="Hyperlink"/>
            <w:rFonts w:ascii="Arial" w:hAnsi="Arial" w:cs="Arial"/>
            <w:sz w:val="22"/>
            <w:szCs w:val="22"/>
            <w:lang w:val="en-GB"/>
          </w:rPr>
          <w:t>https://doi.org/10.1016/j.pec.2016.10.002</w:t>
        </w:r>
      </w:hyperlink>
      <w:r w:rsidRPr="00FB6E21">
        <w:rPr>
          <w:rFonts w:ascii="Arial" w:hAnsi="Arial" w:cs="Arial"/>
          <w:sz w:val="22"/>
          <w:szCs w:val="22"/>
          <w:lang w:val="en-GB"/>
        </w:rPr>
        <w:t xml:space="preserve"> (Accessed: 13 April 2026).</w:t>
      </w:r>
    </w:p>
    <w:p w14:paraId="6D950D43"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Booth, A. and Carroll, C. (2020) ‘Systematic searching for theory’, </w:t>
      </w:r>
      <w:r w:rsidRPr="00FB6E21">
        <w:rPr>
          <w:rFonts w:ascii="Arial" w:hAnsi="Arial" w:cs="Arial"/>
          <w:i/>
          <w:iCs/>
          <w:sz w:val="22"/>
          <w:szCs w:val="22"/>
          <w:lang w:val="en-GB"/>
        </w:rPr>
        <w:t>Systematic Reviews</w:t>
      </w:r>
      <w:r w:rsidRPr="00FB6E21">
        <w:rPr>
          <w:rFonts w:ascii="Arial" w:hAnsi="Arial" w:cs="Arial"/>
          <w:sz w:val="22"/>
          <w:szCs w:val="22"/>
          <w:lang w:val="en-GB"/>
        </w:rPr>
        <w:t xml:space="preserve">, 9, 65. Available at: </w:t>
      </w:r>
      <w:hyperlink r:id="rId28" w:tgtFrame="_blank" w:tooltip="doi.org" w:history="1">
        <w:r w:rsidRPr="00FB6E21">
          <w:rPr>
            <w:rStyle w:val="Hyperlink"/>
            <w:rFonts w:ascii="Arial" w:hAnsi="Arial" w:cs="Arial"/>
            <w:sz w:val="22"/>
            <w:szCs w:val="22"/>
            <w:lang w:val="en-GB"/>
          </w:rPr>
          <w:t>https://doi.org/10.1186/s13643-020-01369-0</w:t>
        </w:r>
      </w:hyperlink>
      <w:r w:rsidRPr="00FB6E21">
        <w:rPr>
          <w:rFonts w:ascii="Arial" w:hAnsi="Arial" w:cs="Arial"/>
          <w:sz w:val="22"/>
          <w:szCs w:val="22"/>
          <w:lang w:val="en-GB"/>
        </w:rPr>
        <w:t xml:space="preserve"> (Accessed: 5 March 2026).</w:t>
      </w:r>
    </w:p>
    <w:p w14:paraId="0A2AC053"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Booth, A., Sutton, A. and Papaioannou, D. (2021) </w:t>
      </w:r>
      <w:r w:rsidRPr="00FB6E21">
        <w:rPr>
          <w:rFonts w:ascii="Arial" w:hAnsi="Arial" w:cs="Arial"/>
          <w:i/>
          <w:iCs/>
          <w:sz w:val="22"/>
          <w:szCs w:val="22"/>
          <w:lang w:val="en-GB"/>
        </w:rPr>
        <w:t>Systematic Approaches to a Successful Literature Review</w:t>
      </w:r>
      <w:r w:rsidRPr="00FB6E21">
        <w:rPr>
          <w:rFonts w:ascii="Arial" w:hAnsi="Arial" w:cs="Arial"/>
          <w:sz w:val="22"/>
          <w:szCs w:val="22"/>
          <w:lang w:val="en-GB"/>
        </w:rPr>
        <w:t xml:space="preserve">. 3rd </w:t>
      </w:r>
      <w:proofErr w:type="spellStart"/>
      <w:r w:rsidRPr="00FB6E21">
        <w:rPr>
          <w:rFonts w:ascii="Arial" w:hAnsi="Arial" w:cs="Arial"/>
          <w:sz w:val="22"/>
          <w:szCs w:val="22"/>
          <w:lang w:val="en-GB"/>
        </w:rPr>
        <w:t>edn</w:t>
      </w:r>
      <w:proofErr w:type="spellEnd"/>
      <w:r w:rsidRPr="00FB6E21">
        <w:rPr>
          <w:rFonts w:ascii="Arial" w:hAnsi="Arial" w:cs="Arial"/>
          <w:sz w:val="22"/>
          <w:szCs w:val="22"/>
          <w:lang w:val="en-GB"/>
        </w:rPr>
        <w:t>. London: Sage. (Accessed: 17 April 2026).</w:t>
      </w:r>
    </w:p>
    <w:p w14:paraId="2520E2BB"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lastRenderedPageBreak/>
        <w:t xml:space="preserve">Braveman, P. and Gottlieb, L. (2014) ‘The social determinants of health’, </w:t>
      </w:r>
      <w:r w:rsidRPr="00FB6E21">
        <w:rPr>
          <w:rFonts w:ascii="Arial" w:hAnsi="Arial" w:cs="Arial"/>
          <w:i/>
          <w:iCs/>
          <w:sz w:val="22"/>
          <w:szCs w:val="22"/>
          <w:lang w:val="en-GB"/>
        </w:rPr>
        <w:t>Public Health Reports</w:t>
      </w:r>
      <w:r w:rsidRPr="00FB6E21">
        <w:rPr>
          <w:rFonts w:ascii="Arial" w:hAnsi="Arial" w:cs="Arial"/>
          <w:sz w:val="22"/>
          <w:szCs w:val="22"/>
          <w:lang w:val="en-GB"/>
        </w:rPr>
        <w:t xml:space="preserve">, 129(S2), pp. 19–31. Available at: </w:t>
      </w:r>
      <w:hyperlink r:id="rId29" w:tgtFrame="_blank" w:tooltip="doi.org" w:history="1">
        <w:r w:rsidRPr="00FB6E21">
          <w:rPr>
            <w:rStyle w:val="Hyperlink"/>
            <w:rFonts w:ascii="Arial" w:hAnsi="Arial" w:cs="Arial"/>
            <w:sz w:val="22"/>
            <w:szCs w:val="22"/>
            <w:lang w:val="en-GB"/>
          </w:rPr>
          <w:t>https://doi.org/10.1177/00333549141291S206</w:t>
        </w:r>
      </w:hyperlink>
      <w:r w:rsidRPr="00FB6E21">
        <w:rPr>
          <w:rFonts w:ascii="Arial" w:hAnsi="Arial" w:cs="Arial"/>
          <w:sz w:val="22"/>
          <w:szCs w:val="22"/>
          <w:lang w:val="en-GB"/>
        </w:rPr>
        <w:t xml:space="preserve"> (Accessed: 9 March 2026).</w:t>
      </w:r>
    </w:p>
    <w:p w14:paraId="79A6EAB5"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Braun, V. and Clarke, V. (2021) ‘One size </w:t>
      </w:r>
      <w:proofErr w:type="gramStart"/>
      <w:r w:rsidRPr="00FB6E21">
        <w:rPr>
          <w:rFonts w:ascii="Arial" w:hAnsi="Arial" w:cs="Arial"/>
          <w:sz w:val="22"/>
          <w:szCs w:val="22"/>
          <w:lang w:val="en-GB"/>
        </w:rPr>
        <w:t>fits</w:t>
      </w:r>
      <w:proofErr w:type="gramEnd"/>
      <w:r w:rsidRPr="00FB6E21">
        <w:rPr>
          <w:rFonts w:ascii="Arial" w:hAnsi="Arial" w:cs="Arial"/>
          <w:sz w:val="22"/>
          <w:szCs w:val="22"/>
          <w:lang w:val="en-GB"/>
        </w:rPr>
        <w:t xml:space="preserve"> all? What counts as quality practice in reflexive thematic analysis?’, </w:t>
      </w:r>
      <w:r w:rsidRPr="00FB6E21">
        <w:rPr>
          <w:rFonts w:ascii="Arial" w:hAnsi="Arial" w:cs="Arial"/>
          <w:i/>
          <w:iCs/>
          <w:sz w:val="22"/>
          <w:szCs w:val="22"/>
          <w:lang w:val="en-GB"/>
        </w:rPr>
        <w:t>Qualitative Research in Psychology</w:t>
      </w:r>
      <w:r w:rsidRPr="00FB6E21">
        <w:rPr>
          <w:rFonts w:ascii="Arial" w:hAnsi="Arial" w:cs="Arial"/>
          <w:sz w:val="22"/>
          <w:szCs w:val="22"/>
          <w:lang w:val="en-GB"/>
        </w:rPr>
        <w:t xml:space="preserve">, 18(3), pp. 328–352. Available at: </w:t>
      </w:r>
      <w:hyperlink r:id="rId30" w:tgtFrame="_blank" w:tooltip="doi.org" w:history="1">
        <w:r w:rsidRPr="00FB6E21">
          <w:rPr>
            <w:rStyle w:val="Hyperlink"/>
            <w:rFonts w:ascii="Arial" w:hAnsi="Arial" w:cs="Arial"/>
            <w:sz w:val="22"/>
            <w:szCs w:val="22"/>
            <w:lang w:val="en-GB"/>
          </w:rPr>
          <w:t>https://doi.org/10.1080/14780887.2020.1769238</w:t>
        </w:r>
      </w:hyperlink>
      <w:r w:rsidRPr="00FB6E21">
        <w:rPr>
          <w:rFonts w:ascii="Arial" w:hAnsi="Arial" w:cs="Arial"/>
          <w:sz w:val="22"/>
          <w:szCs w:val="22"/>
          <w:lang w:val="en-GB"/>
        </w:rPr>
        <w:t xml:space="preserve"> (Accessed: 20 April 2026).</w:t>
      </w:r>
    </w:p>
    <w:p w14:paraId="13872C99"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Bryman, A. (2021) </w:t>
      </w:r>
      <w:r w:rsidRPr="00FB6E21">
        <w:rPr>
          <w:rFonts w:ascii="Arial" w:hAnsi="Arial" w:cs="Arial"/>
          <w:i/>
          <w:iCs/>
          <w:sz w:val="22"/>
          <w:szCs w:val="22"/>
          <w:lang w:val="en-GB"/>
        </w:rPr>
        <w:t>Social Research Methods</w:t>
      </w:r>
      <w:r w:rsidRPr="00FB6E21">
        <w:rPr>
          <w:rFonts w:ascii="Arial" w:hAnsi="Arial" w:cs="Arial"/>
          <w:sz w:val="22"/>
          <w:szCs w:val="22"/>
          <w:lang w:val="en-GB"/>
        </w:rPr>
        <w:t xml:space="preserve">. 6th </w:t>
      </w:r>
      <w:proofErr w:type="spellStart"/>
      <w:r w:rsidRPr="00FB6E21">
        <w:rPr>
          <w:rFonts w:ascii="Arial" w:hAnsi="Arial" w:cs="Arial"/>
          <w:sz w:val="22"/>
          <w:szCs w:val="22"/>
          <w:lang w:val="en-GB"/>
        </w:rPr>
        <w:t>edn</w:t>
      </w:r>
      <w:proofErr w:type="spellEnd"/>
      <w:r w:rsidRPr="00FB6E21">
        <w:rPr>
          <w:rFonts w:ascii="Arial" w:hAnsi="Arial" w:cs="Arial"/>
          <w:sz w:val="22"/>
          <w:szCs w:val="22"/>
          <w:lang w:val="en-GB"/>
        </w:rPr>
        <w:t>. Oxford: Oxford University Press. (Accessed: 2 April 2026).</w:t>
      </w:r>
    </w:p>
    <w:p w14:paraId="43C6B363"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Carpenter, C.J. (2016) ‘Health belief model meta-analysis’, </w:t>
      </w:r>
      <w:r w:rsidRPr="00FB6E21">
        <w:rPr>
          <w:rFonts w:ascii="Arial" w:hAnsi="Arial" w:cs="Arial"/>
          <w:i/>
          <w:iCs/>
          <w:sz w:val="22"/>
          <w:szCs w:val="22"/>
          <w:lang w:val="en-GB"/>
        </w:rPr>
        <w:t>Health Communication</w:t>
      </w:r>
      <w:r w:rsidRPr="00FB6E21">
        <w:rPr>
          <w:rFonts w:ascii="Arial" w:hAnsi="Arial" w:cs="Arial"/>
          <w:sz w:val="22"/>
          <w:szCs w:val="22"/>
          <w:lang w:val="en-GB"/>
        </w:rPr>
        <w:t xml:space="preserve">, 31(10), pp. 1200–1208. Available at: </w:t>
      </w:r>
      <w:hyperlink r:id="rId31" w:tgtFrame="_blank" w:tooltip="doi.org" w:history="1">
        <w:r w:rsidRPr="00FB6E21">
          <w:rPr>
            <w:rStyle w:val="Hyperlink"/>
            <w:rFonts w:ascii="Arial" w:hAnsi="Arial" w:cs="Arial"/>
            <w:sz w:val="22"/>
            <w:szCs w:val="22"/>
            <w:lang w:val="en-GB"/>
          </w:rPr>
          <w:t>https://doi.org/10.1080/10410236.2015.1057744</w:t>
        </w:r>
      </w:hyperlink>
      <w:r w:rsidRPr="00FB6E21">
        <w:rPr>
          <w:rFonts w:ascii="Arial" w:hAnsi="Arial" w:cs="Arial"/>
          <w:sz w:val="22"/>
          <w:szCs w:val="22"/>
          <w:lang w:val="en-GB"/>
        </w:rPr>
        <w:t xml:space="preserve"> (Accessed: 21 March 2026).</w:t>
      </w:r>
    </w:p>
    <w:p w14:paraId="38DCB395"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CASP (Critical Appraisal Skills Programme) (2023) </w:t>
      </w:r>
      <w:r w:rsidRPr="00FB6E21">
        <w:rPr>
          <w:rFonts w:ascii="Arial" w:hAnsi="Arial" w:cs="Arial"/>
          <w:i/>
          <w:iCs/>
          <w:sz w:val="22"/>
          <w:szCs w:val="22"/>
          <w:lang w:val="en-GB"/>
        </w:rPr>
        <w:t>Critical Appraisal Skills Programme Checklists</w:t>
      </w:r>
      <w:r w:rsidRPr="00FB6E21">
        <w:rPr>
          <w:rFonts w:ascii="Arial" w:hAnsi="Arial" w:cs="Arial"/>
          <w:sz w:val="22"/>
          <w:szCs w:val="22"/>
          <w:lang w:val="en-GB"/>
        </w:rPr>
        <w:t xml:space="preserve">. Available at: </w:t>
      </w:r>
      <w:hyperlink r:id="rId32" w:tgtFrame="_blank" w:tooltip="casp-uk.net" w:history="1">
        <w:r w:rsidRPr="00FB6E21">
          <w:rPr>
            <w:rStyle w:val="Hyperlink"/>
            <w:rFonts w:ascii="Arial" w:hAnsi="Arial" w:cs="Arial"/>
            <w:sz w:val="22"/>
            <w:szCs w:val="22"/>
            <w:lang w:val="en-GB"/>
          </w:rPr>
          <w:t>https://casp-uk.net/casp-tools-checklists</w:t>
        </w:r>
      </w:hyperlink>
      <w:r w:rsidRPr="00FB6E21">
        <w:rPr>
          <w:rFonts w:ascii="Arial" w:hAnsi="Arial" w:cs="Arial"/>
          <w:sz w:val="22"/>
          <w:szCs w:val="22"/>
          <w:lang w:val="en-GB"/>
        </w:rPr>
        <w:t xml:space="preserve"> (Accessed: 14 April 2026).</w:t>
      </w:r>
    </w:p>
    <w:p w14:paraId="05E23413"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Chan, D., Singh, K., McKenzie, K., Grace, S.L., Alter, D.A. and Krahn, M. (2021) ‘Frailty and outcomes in cardiac rehabilitation’, </w:t>
      </w:r>
      <w:r w:rsidRPr="00FB6E21">
        <w:rPr>
          <w:rFonts w:ascii="Arial" w:hAnsi="Arial" w:cs="Arial"/>
          <w:i/>
          <w:iCs/>
          <w:sz w:val="22"/>
          <w:szCs w:val="22"/>
          <w:lang w:val="en-GB"/>
        </w:rPr>
        <w:t>European Journal of Preventive Cardiology</w:t>
      </w:r>
      <w:r w:rsidRPr="00FB6E21">
        <w:rPr>
          <w:rFonts w:ascii="Arial" w:hAnsi="Arial" w:cs="Arial"/>
          <w:sz w:val="22"/>
          <w:szCs w:val="22"/>
          <w:lang w:val="en-GB"/>
        </w:rPr>
        <w:t xml:space="preserve">, 28(10), pp. 1123–1133. Available at: </w:t>
      </w:r>
      <w:hyperlink r:id="rId33" w:tgtFrame="_blank" w:tooltip="doi.org" w:history="1">
        <w:r w:rsidRPr="00FB6E21">
          <w:rPr>
            <w:rStyle w:val="Hyperlink"/>
            <w:rFonts w:ascii="Arial" w:hAnsi="Arial" w:cs="Arial"/>
            <w:sz w:val="22"/>
            <w:szCs w:val="22"/>
            <w:lang w:val="en-GB"/>
          </w:rPr>
          <w:t>https://doi.org/10.1177/2047487320906650</w:t>
        </w:r>
      </w:hyperlink>
      <w:r w:rsidRPr="00FB6E21">
        <w:rPr>
          <w:rFonts w:ascii="Arial" w:hAnsi="Arial" w:cs="Arial"/>
          <w:sz w:val="22"/>
          <w:szCs w:val="22"/>
          <w:lang w:val="en-GB"/>
        </w:rPr>
        <w:t xml:space="preserve"> (Accessed: 7 March 2026).</w:t>
      </w:r>
    </w:p>
    <w:p w14:paraId="51F46151"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Clark, A.M., Whelan, H.K., Barbour, R.S. and MacIntyre, P.D. (2013) ‘What works in cardiac rehabilitation?’, </w:t>
      </w:r>
      <w:r w:rsidRPr="00FB6E21">
        <w:rPr>
          <w:rFonts w:ascii="Arial" w:hAnsi="Arial" w:cs="Arial"/>
          <w:i/>
          <w:iCs/>
          <w:sz w:val="22"/>
          <w:szCs w:val="22"/>
          <w:lang w:val="en-GB"/>
        </w:rPr>
        <w:t>European Journal of Cardiovascular Nursing</w:t>
      </w:r>
      <w:r w:rsidRPr="00FB6E21">
        <w:rPr>
          <w:rFonts w:ascii="Arial" w:hAnsi="Arial" w:cs="Arial"/>
          <w:sz w:val="22"/>
          <w:szCs w:val="22"/>
          <w:lang w:val="en-GB"/>
        </w:rPr>
        <w:t xml:space="preserve">, 12(6), pp. 530–538. Available at: </w:t>
      </w:r>
      <w:hyperlink r:id="rId34" w:tgtFrame="_blank" w:tooltip="doi.org" w:history="1">
        <w:r w:rsidRPr="00FB6E21">
          <w:rPr>
            <w:rStyle w:val="Hyperlink"/>
            <w:rFonts w:ascii="Arial" w:hAnsi="Arial" w:cs="Arial"/>
            <w:sz w:val="22"/>
            <w:szCs w:val="22"/>
            <w:lang w:val="en-GB"/>
          </w:rPr>
          <w:t>https://doi.org/10.1177/1474515113479232</w:t>
        </w:r>
      </w:hyperlink>
      <w:r w:rsidRPr="00FB6E21">
        <w:rPr>
          <w:rFonts w:ascii="Arial" w:hAnsi="Arial" w:cs="Arial"/>
          <w:sz w:val="22"/>
          <w:szCs w:val="22"/>
          <w:lang w:val="en-GB"/>
        </w:rPr>
        <w:t xml:space="preserve"> (Accessed: 10 April 2026).</w:t>
      </w:r>
    </w:p>
    <w:p w14:paraId="7F2FA650"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Clark, A.M., King-Shier, K.M., Thompson, D.R., </w:t>
      </w:r>
      <w:proofErr w:type="spellStart"/>
      <w:r w:rsidRPr="00FB6E21">
        <w:rPr>
          <w:rFonts w:ascii="Arial" w:hAnsi="Arial" w:cs="Arial"/>
          <w:sz w:val="22"/>
          <w:szCs w:val="22"/>
          <w:lang w:val="en-GB"/>
        </w:rPr>
        <w:t>Spaling</w:t>
      </w:r>
      <w:proofErr w:type="spellEnd"/>
      <w:r w:rsidRPr="00FB6E21">
        <w:rPr>
          <w:rFonts w:ascii="Arial" w:hAnsi="Arial" w:cs="Arial"/>
          <w:sz w:val="22"/>
          <w:szCs w:val="22"/>
          <w:lang w:val="en-GB"/>
        </w:rPr>
        <w:t xml:space="preserve">, M.A., Duncan, A.S., Stone, J.A. and Jaglal, S.B. (2016) ‘Factors influencing CR participation’, </w:t>
      </w:r>
      <w:r w:rsidRPr="00FB6E21">
        <w:rPr>
          <w:rFonts w:ascii="Arial" w:hAnsi="Arial" w:cs="Arial"/>
          <w:i/>
          <w:iCs/>
          <w:sz w:val="22"/>
          <w:szCs w:val="22"/>
          <w:lang w:val="en-GB"/>
        </w:rPr>
        <w:t>European Journal of Cardiovascular Nursing</w:t>
      </w:r>
      <w:r w:rsidRPr="00FB6E21">
        <w:rPr>
          <w:rFonts w:ascii="Arial" w:hAnsi="Arial" w:cs="Arial"/>
          <w:sz w:val="22"/>
          <w:szCs w:val="22"/>
          <w:lang w:val="en-GB"/>
        </w:rPr>
        <w:t xml:space="preserve">, 15(4), pp. 247–259. Available at: </w:t>
      </w:r>
      <w:hyperlink r:id="rId35" w:tgtFrame="_blank" w:tooltip="doi.org" w:history="1">
        <w:r w:rsidRPr="00FB6E21">
          <w:rPr>
            <w:rStyle w:val="Hyperlink"/>
            <w:rFonts w:ascii="Arial" w:hAnsi="Arial" w:cs="Arial"/>
            <w:sz w:val="22"/>
            <w:szCs w:val="22"/>
            <w:lang w:val="en-GB"/>
          </w:rPr>
          <w:t>https://doi.org/10.1177/1474515115588322</w:t>
        </w:r>
      </w:hyperlink>
      <w:r w:rsidRPr="00FB6E21">
        <w:rPr>
          <w:rFonts w:ascii="Arial" w:hAnsi="Arial" w:cs="Arial"/>
          <w:sz w:val="22"/>
          <w:szCs w:val="22"/>
          <w:lang w:val="en-GB"/>
        </w:rPr>
        <w:t xml:space="preserve"> (Accessed: 28 March 2026).</w:t>
      </w:r>
    </w:p>
    <w:p w14:paraId="620C45A5"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Clark, A.M., King-Shier, K.M., Duncan, A.S., </w:t>
      </w:r>
      <w:proofErr w:type="spellStart"/>
      <w:r w:rsidRPr="00FB6E21">
        <w:rPr>
          <w:rFonts w:ascii="Arial" w:hAnsi="Arial" w:cs="Arial"/>
          <w:sz w:val="22"/>
          <w:szCs w:val="22"/>
          <w:lang w:val="en-GB"/>
        </w:rPr>
        <w:t>Spaling</w:t>
      </w:r>
      <w:proofErr w:type="spellEnd"/>
      <w:r w:rsidRPr="00FB6E21">
        <w:rPr>
          <w:rFonts w:ascii="Arial" w:hAnsi="Arial" w:cs="Arial"/>
          <w:sz w:val="22"/>
          <w:szCs w:val="22"/>
          <w:lang w:val="en-GB"/>
        </w:rPr>
        <w:t xml:space="preserve">, M.A., Stone, J.A., Jaglal, S.B. and Thompson, D.R. (2021) ‘Psychological determinants of CR’, </w:t>
      </w:r>
      <w:r w:rsidRPr="00FB6E21">
        <w:rPr>
          <w:rFonts w:ascii="Arial" w:hAnsi="Arial" w:cs="Arial"/>
          <w:i/>
          <w:iCs/>
          <w:sz w:val="22"/>
          <w:szCs w:val="22"/>
          <w:lang w:val="en-GB"/>
        </w:rPr>
        <w:t>Heart</w:t>
      </w:r>
      <w:r w:rsidRPr="00FB6E21">
        <w:rPr>
          <w:rFonts w:ascii="Arial" w:hAnsi="Arial" w:cs="Arial"/>
          <w:sz w:val="22"/>
          <w:szCs w:val="22"/>
          <w:lang w:val="en-GB"/>
        </w:rPr>
        <w:t xml:space="preserve">, 107(17), pp. 1402–1409. Available at: </w:t>
      </w:r>
      <w:hyperlink r:id="rId36" w:tgtFrame="_blank" w:tooltip="doi.org" w:history="1">
        <w:r w:rsidRPr="00FB6E21">
          <w:rPr>
            <w:rStyle w:val="Hyperlink"/>
            <w:rFonts w:ascii="Arial" w:hAnsi="Arial" w:cs="Arial"/>
            <w:sz w:val="22"/>
            <w:szCs w:val="22"/>
            <w:lang w:val="en-GB"/>
          </w:rPr>
          <w:t>https://doi.org/10.1136/heartjnl-2020-318557</w:t>
        </w:r>
      </w:hyperlink>
      <w:r w:rsidRPr="00FB6E21">
        <w:rPr>
          <w:rFonts w:ascii="Arial" w:hAnsi="Arial" w:cs="Arial"/>
          <w:sz w:val="22"/>
          <w:szCs w:val="22"/>
          <w:lang w:val="en-GB"/>
        </w:rPr>
        <w:t xml:space="preserve"> (Accessed: 6 April 2026).</w:t>
      </w:r>
    </w:p>
    <w:p w14:paraId="0BD8AB14"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lastRenderedPageBreak/>
        <w:t xml:space="preserve">Cooper, R.S., Nadkarni, G.N. and </w:t>
      </w:r>
      <w:proofErr w:type="spellStart"/>
      <w:r w:rsidRPr="00FB6E21">
        <w:rPr>
          <w:rFonts w:ascii="Arial" w:hAnsi="Arial" w:cs="Arial"/>
          <w:sz w:val="22"/>
          <w:szCs w:val="22"/>
          <w:lang w:val="en-GB"/>
        </w:rPr>
        <w:t>Ogedegbe</w:t>
      </w:r>
      <w:proofErr w:type="spellEnd"/>
      <w:r w:rsidRPr="00FB6E21">
        <w:rPr>
          <w:rFonts w:ascii="Arial" w:hAnsi="Arial" w:cs="Arial"/>
          <w:sz w:val="22"/>
          <w:szCs w:val="22"/>
          <w:lang w:val="en-GB"/>
        </w:rPr>
        <w:t xml:space="preserve">, G. (2015) ‘Race, genetics, and health disparities’, </w:t>
      </w:r>
      <w:r w:rsidRPr="00FB6E21">
        <w:rPr>
          <w:rFonts w:ascii="Arial" w:hAnsi="Arial" w:cs="Arial"/>
          <w:i/>
          <w:iCs/>
          <w:sz w:val="22"/>
          <w:szCs w:val="22"/>
          <w:lang w:val="en-GB"/>
        </w:rPr>
        <w:t>New England Journal of Medicine</w:t>
      </w:r>
      <w:r w:rsidRPr="00FB6E21">
        <w:rPr>
          <w:rFonts w:ascii="Arial" w:hAnsi="Arial" w:cs="Arial"/>
          <w:sz w:val="22"/>
          <w:szCs w:val="22"/>
          <w:lang w:val="en-GB"/>
        </w:rPr>
        <w:t xml:space="preserve">, 372(1), pp. 1–8. Available at: </w:t>
      </w:r>
      <w:hyperlink r:id="rId37" w:tgtFrame="_blank" w:tooltip="doi.org" w:history="1">
        <w:r w:rsidRPr="00FB6E21">
          <w:rPr>
            <w:rStyle w:val="Hyperlink"/>
            <w:rFonts w:ascii="Arial" w:hAnsi="Arial" w:cs="Arial"/>
            <w:sz w:val="22"/>
            <w:szCs w:val="22"/>
            <w:lang w:val="en-GB"/>
          </w:rPr>
          <w:t>https://doi.org/10.1056/NEJMra1308295</w:t>
        </w:r>
      </w:hyperlink>
      <w:r w:rsidRPr="00FB6E21">
        <w:rPr>
          <w:rFonts w:ascii="Arial" w:hAnsi="Arial" w:cs="Arial"/>
          <w:sz w:val="22"/>
          <w:szCs w:val="22"/>
          <w:lang w:val="en-GB"/>
        </w:rPr>
        <w:t xml:space="preserve"> (Accessed: 1 March 2026).</w:t>
      </w:r>
    </w:p>
    <w:p w14:paraId="1227D378"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Creswell, J.W. and Creswell, J.D. (2018) </w:t>
      </w:r>
      <w:r w:rsidRPr="00FB6E21">
        <w:rPr>
          <w:rFonts w:ascii="Arial" w:hAnsi="Arial" w:cs="Arial"/>
          <w:i/>
          <w:iCs/>
          <w:sz w:val="22"/>
          <w:szCs w:val="22"/>
          <w:lang w:val="en-GB"/>
        </w:rPr>
        <w:t>Research Design</w:t>
      </w:r>
      <w:r w:rsidRPr="00FB6E21">
        <w:rPr>
          <w:rFonts w:ascii="Arial" w:hAnsi="Arial" w:cs="Arial"/>
          <w:sz w:val="22"/>
          <w:szCs w:val="22"/>
          <w:lang w:val="en-GB"/>
        </w:rPr>
        <w:t xml:space="preserve">. 5th </w:t>
      </w:r>
      <w:proofErr w:type="spellStart"/>
      <w:r w:rsidRPr="00FB6E21">
        <w:rPr>
          <w:rFonts w:ascii="Arial" w:hAnsi="Arial" w:cs="Arial"/>
          <w:sz w:val="22"/>
          <w:szCs w:val="22"/>
          <w:lang w:val="en-GB"/>
        </w:rPr>
        <w:t>edn</w:t>
      </w:r>
      <w:proofErr w:type="spellEnd"/>
      <w:r w:rsidRPr="00FB6E21">
        <w:rPr>
          <w:rFonts w:ascii="Arial" w:hAnsi="Arial" w:cs="Arial"/>
          <w:sz w:val="22"/>
          <w:szCs w:val="22"/>
          <w:lang w:val="en-GB"/>
        </w:rPr>
        <w:t>. Thousand Oaks: Sage. (Accessed: 19 April 2026).</w:t>
      </w:r>
    </w:p>
    <w:p w14:paraId="1CE854B9"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Dalal, H.M., Zawada, A., Jolly, K., Taylor, R.S. and Doherty, P. (2015) ‘Home-based vs centre-based CR’, </w:t>
      </w:r>
      <w:r w:rsidRPr="00FB6E21">
        <w:rPr>
          <w:rFonts w:ascii="Arial" w:hAnsi="Arial" w:cs="Arial"/>
          <w:i/>
          <w:iCs/>
          <w:sz w:val="22"/>
          <w:szCs w:val="22"/>
          <w:lang w:val="en-GB"/>
        </w:rPr>
        <w:t>BMJ</w:t>
      </w:r>
      <w:r w:rsidRPr="00FB6E21">
        <w:rPr>
          <w:rFonts w:ascii="Arial" w:hAnsi="Arial" w:cs="Arial"/>
          <w:sz w:val="22"/>
          <w:szCs w:val="22"/>
          <w:lang w:val="en-GB"/>
        </w:rPr>
        <w:t xml:space="preserve">, 351, h5001. Available at: </w:t>
      </w:r>
      <w:hyperlink r:id="rId38" w:tgtFrame="_blank" w:tooltip="doi.org" w:history="1">
        <w:r w:rsidRPr="00FB6E21">
          <w:rPr>
            <w:rStyle w:val="Hyperlink"/>
            <w:rFonts w:ascii="Arial" w:hAnsi="Arial" w:cs="Arial"/>
            <w:sz w:val="22"/>
            <w:szCs w:val="22"/>
            <w:lang w:val="en-GB"/>
          </w:rPr>
          <w:t>https://doi.org/10.1136/bmj.h5001</w:t>
        </w:r>
      </w:hyperlink>
      <w:r w:rsidRPr="00FB6E21">
        <w:rPr>
          <w:rFonts w:ascii="Arial" w:hAnsi="Arial" w:cs="Arial"/>
          <w:sz w:val="22"/>
          <w:szCs w:val="22"/>
          <w:lang w:val="en-GB"/>
        </w:rPr>
        <w:t xml:space="preserve"> (Accessed: 8 February 2026).</w:t>
      </w:r>
    </w:p>
    <w:p w14:paraId="1807048B"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Dalal, H.M., Doherty, P., Taylor, R.S., Jolly, K., Zawada, A. and Dean, S.G. (2019) ‘Digital cardiac rehabilitation’, </w:t>
      </w:r>
      <w:r w:rsidRPr="00FB6E21">
        <w:rPr>
          <w:rFonts w:ascii="Arial" w:hAnsi="Arial" w:cs="Arial"/>
          <w:i/>
          <w:iCs/>
          <w:sz w:val="22"/>
          <w:szCs w:val="22"/>
          <w:lang w:val="en-GB"/>
        </w:rPr>
        <w:t>BMJ Open</w:t>
      </w:r>
      <w:r w:rsidRPr="00FB6E21">
        <w:rPr>
          <w:rFonts w:ascii="Arial" w:hAnsi="Arial" w:cs="Arial"/>
          <w:sz w:val="22"/>
          <w:szCs w:val="22"/>
          <w:lang w:val="en-GB"/>
        </w:rPr>
        <w:t xml:space="preserve">, 9(7), e026039. Available at: </w:t>
      </w:r>
      <w:hyperlink r:id="rId39" w:tgtFrame="_blank" w:tooltip="doi.org" w:history="1">
        <w:r w:rsidRPr="00FB6E21">
          <w:rPr>
            <w:rStyle w:val="Hyperlink"/>
            <w:rFonts w:ascii="Arial" w:hAnsi="Arial" w:cs="Arial"/>
            <w:sz w:val="22"/>
            <w:szCs w:val="22"/>
            <w:lang w:val="en-GB"/>
          </w:rPr>
          <w:t>https://doi.org/10.1136/bmjopen-2018-026039</w:t>
        </w:r>
      </w:hyperlink>
      <w:r w:rsidRPr="00FB6E21">
        <w:rPr>
          <w:rFonts w:ascii="Arial" w:hAnsi="Arial" w:cs="Arial"/>
          <w:sz w:val="22"/>
          <w:szCs w:val="22"/>
          <w:lang w:val="en-GB"/>
        </w:rPr>
        <w:t xml:space="preserve"> (Accessed: 15 April 2026).</w:t>
      </w:r>
    </w:p>
    <w:p w14:paraId="6045F8F9"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Dibben, G.O., Dalal, H.M., Taylor, R.S., Doherty, P., Tang, L.H., </w:t>
      </w:r>
      <w:proofErr w:type="spellStart"/>
      <w:r w:rsidRPr="00FB6E21">
        <w:rPr>
          <w:rFonts w:ascii="Arial" w:hAnsi="Arial" w:cs="Arial"/>
          <w:sz w:val="22"/>
          <w:szCs w:val="22"/>
          <w:lang w:val="en-GB"/>
        </w:rPr>
        <w:t>Hillsdon</w:t>
      </w:r>
      <w:proofErr w:type="spellEnd"/>
      <w:r w:rsidRPr="00FB6E21">
        <w:rPr>
          <w:rFonts w:ascii="Arial" w:hAnsi="Arial" w:cs="Arial"/>
          <w:sz w:val="22"/>
          <w:szCs w:val="22"/>
          <w:lang w:val="en-GB"/>
        </w:rPr>
        <w:t xml:space="preserve">, M. and Anderson, L. (2021) ‘Cardiac rehabilitation and mortality’, </w:t>
      </w:r>
      <w:r w:rsidRPr="00FB6E21">
        <w:rPr>
          <w:rFonts w:ascii="Arial" w:hAnsi="Arial" w:cs="Arial"/>
          <w:i/>
          <w:iCs/>
          <w:sz w:val="22"/>
          <w:szCs w:val="22"/>
          <w:lang w:val="en-GB"/>
        </w:rPr>
        <w:t>European Journal of Preventive Cardiology</w:t>
      </w:r>
      <w:r w:rsidRPr="00FB6E21">
        <w:rPr>
          <w:rFonts w:ascii="Arial" w:hAnsi="Arial" w:cs="Arial"/>
          <w:sz w:val="22"/>
          <w:szCs w:val="22"/>
          <w:lang w:val="en-GB"/>
        </w:rPr>
        <w:t xml:space="preserve">, 28(15), pp. 1704–1712. Available at: </w:t>
      </w:r>
      <w:hyperlink r:id="rId40" w:tgtFrame="_blank" w:tooltip="doi.org" w:history="1">
        <w:r w:rsidRPr="00FB6E21">
          <w:rPr>
            <w:rStyle w:val="Hyperlink"/>
            <w:rFonts w:ascii="Arial" w:hAnsi="Arial" w:cs="Arial"/>
            <w:sz w:val="22"/>
            <w:szCs w:val="22"/>
            <w:lang w:val="en-GB"/>
          </w:rPr>
          <w:t>https://doi.org/10.1177/2047487320946998</w:t>
        </w:r>
      </w:hyperlink>
      <w:r w:rsidRPr="00FB6E21">
        <w:rPr>
          <w:rFonts w:ascii="Arial" w:hAnsi="Arial" w:cs="Arial"/>
          <w:sz w:val="22"/>
          <w:szCs w:val="22"/>
          <w:lang w:val="en-GB"/>
        </w:rPr>
        <w:t xml:space="preserve"> (Accessed: 27 March 2026).</w:t>
      </w:r>
    </w:p>
    <w:p w14:paraId="776D564D" w14:textId="77777777" w:rsidR="00FB6E21" w:rsidRPr="00FB6E21" w:rsidRDefault="00FB6E21" w:rsidP="00FB6E21">
      <w:pPr>
        <w:pStyle w:val="NormalWeb"/>
        <w:spacing w:line="360" w:lineRule="auto"/>
        <w:jc w:val="both"/>
        <w:rPr>
          <w:rFonts w:ascii="Arial" w:hAnsi="Arial" w:cs="Arial"/>
          <w:sz w:val="22"/>
          <w:szCs w:val="22"/>
          <w:lang w:val="en-GB"/>
        </w:rPr>
      </w:pPr>
      <w:proofErr w:type="spellStart"/>
      <w:r w:rsidRPr="00FB6E21">
        <w:rPr>
          <w:rFonts w:ascii="Arial" w:hAnsi="Arial" w:cs="Arial"/>
          <w:sz w:val="22"/>
          <w:szCs w:val="22"/>
          <w:lang w:val="en-GB"/>
        </w:rPr>
        <w:t>Dharmarajan</w:t>
      </w:r>
      <w:proofErr w:type="spellEnd"/>
      <w:r w:rsidRPr="00FB6E21">
        <w:rPr>
          <w:rFonts w:ascii="Arial" w:hAnsi="Arial" w:cs="Arial"/>
          <w:sz w:val="22"/>
          <w:szCs w:val="22"/>
          <w:lang w:val="en-GB"/>
        </w:rPr>
        <w:t xml:space="preserve">, K., Hsieh, A.F., Lin, Z., Bueno, H., Ross, J.S., Horwitz, L.I., Barreto-Filho, J.A., Kim, N., Bernheim, S.M., Suter, L.G. and Krumholz, H.M. (2013) ‘Timing of 30-day readmissions’, </w:t>
      </w:r>
      <w:r w:rsidRPr="00FB6E21">
        <w:rPr>
          <w:rFonts w:ascii="Arial" w:hAnsi="Arial" w:cs="Arial"/>
          <w:i/>
          <w:iCs/>
          <w:sz w:val="22"/>
          <w:szCs w:val="22"/>
          <w:lang w:val="en-GB"/>
        </w:rPr>
        <w:t>JAMA</w:t>
      </w:r>
      <w:r w:rsidRPr="00FB6E21">
        <w:rPr>
          <w:rFonts w:ascii="Arial" w:hAnsi="Arial" w:cs="Arial"/>
          <w:sz w:val="22"/>
          <w:szCs w:val="22"/>
          <w:lang w:val="en-GB"/>
        </w:rPr>
        <w:t xml:space="preserve">, 309(4), pp. 355–363. Available at: </w:t>
      </w:r>
      <w:hyperlink r:id="rId41" w:tgtFrame="_blank" w:tooltip="doi.org" w:history="1">
        <w:r w:rsidRPr="00FB6E21">
          <w:rPr>
            <w:rStyle w:val="Hyperlink"/>
            <w:rFonts w:ascii="Arial" w:hAnsi="Arial" w:cs="Arial"/>
            <w:sz w:val="22"/>
            <w:szCs w:val="22"/>
            <w:lang w:val="en-GB"/>
          </w:rPr>
          <w:t>https://doi.org/10.1001/jama.2012.216476</w:t>
        </w:r>
      </w:hyperlink>
      <w:r w:rsidRPr="00FB6E21">
        <w:rPr>
          <w:rFonts w:ascii="Arial" w:hAnsi="Arial" w:cs="Arial"/>
          <w:sz w:val="22"/>
          <w:szCs w:val="22"/>
          <w:lang w:val="en-GB"/>
        </w:rPr>
        <w:t xml:space="preserve"> (Accessed: 11 April 2026).</w:t>
      </w:r>
    </w:p>
    <w:p w14:paraId="3894ACC1"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Diez Roux, A.V. (2012) ‘Conceptual approaches to health disparities’, </w:t>
      </w:r>
      <w:r w:rsidRPr="00FB6E21">
        <w:rPr>
          <w:rFonts w:ascii="Arial" w:hAnsi="Arial" w:cs="Arial"/>
          <w:i/>
          <w:iCs/>
          <w:sz w:val="22"/>
          <w:szCs w:val="22"/>
          <w:lang w:val="en-GB"/>
        </w:rPr>
        <w:t>Annual Review of Public Health</w:t>
      </w:r>
      <w:r w:rsidRPr="00FB6E21">
        <w:rPr>
          <w:rFonts w:ascii="Arial" w:hAnsi="Arial" w:cs="Arial"/>
          <w:sz w:val="22"/>
          <w:szCs w:val="22"/>
          <w:lang w:val="en-GB"/>
        </w:rPr>
        <w:t xml:space="preserve">, 33, pp. 41–58. Available at: </w:t>
      </w:r>
      <w:hyperlink r:id="rId42" w:tgtFrame="_blank" w:tooltip="doi.org" w:history="1">
        <w:r w:rsidRPr="00FB6E21">
          <w:rPr>
            <w:rStyle w:val="Hyperlink"/>
            <w:rFonts w:ascii="Arial" w:hAnsi="Arial" w:cs="Arial"/>
            <w:sz w:val="22"/>
            <w:szCs w:val="22"/>
            <w:lang w:val="en-GB"/>
          </w:rPr>
          <w:t>https://doi.org/10.1146/annurev-publhealth-031811-124534</w:t>
        </w:r>
      </w:hyperlink>
      <w:r w:rsidRPr="00FB6E21">
        <w:rPr>
          <w:rFonts w:ascii="Arial" w:hAnsi="Arial" w:cs="Arial"/>
          <w:sz w:val="22"/>
          <w:szCs w:val="22"/>
          <w:lang w:val="en-GB"/>
        </w:rPr>
        <w:t xml:space="preserve"> (Accessed: 9 March 2026).</w:t>
      </w:r>
    </w:p>
    <w:p w14:paraId="3AB4276E"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Doherty, P., Harrison, A.S., Knapton, M. and Dale, V. (2017) ‘Socioeconomic status and CR outcomes’, </w:t>
      </w:r>
      <w:r w:rsidRPr="00FB6E21">
        <w:rPr>
          <w:rFonts w:ascii="Arial" w:hAnsi="Arial" w:cs="Arial"/>
          <w:i/>
          <w:iCs/>
          <w:sz w:val="22"/>
          <w:szCs w:val="22"/>
          <w:lang w:val="en-GB"/>
        </w:rPr>
        <w:t>Heart</w:t>
      </w:r>
      <w:r w:rsidRPr="00FB6E21">
        <w:rPr>
          <w:rFonts w:ascii="Arial" w:hAnsi="Arial" w:cs="Arial"/>
          <w:sz w:val="22"/>
          <w:szCs w:val="22"/>
          <w:lang w:val="en-GB"/>
        </w:rPr>
        <w:t xml:space="preserve">, 103(8), pp. 638–644. Available at: </w:t>
      </w:r>
      <w:hyperlink r:id="rId43" w:tgtFrame="_blank" w:tooltip="doi.org" w:history="1">
        <w:r w:rsidRPr="00FB6E21">
          <w:rPr>
            <w:rStyle w:val="Hyperlink"/>
            <w:rFonts w:ascii="Arial" w:hAnsi="Arial" w:cs="Arial"/>
            <w:sz w:val="22"/>
            <w:szCs w:val="22"/>
            <w:lang w:val="en-GB"/>
          </w:rPr>
          <w:t>https://doi.org/10.1136/heartjnl-2016-309890</w:t>
        </w:r>
      </w:hyperlink>
      <w:r w:rsidRPr="00FB6E21">
        <w:rPr>
          <w:rFonts w:ascii="Arial" w:hAnsi="Arial" w:cs="Arial"/>
          <w:sz w:val="22"/>
          <w:szCs w:val="22"/>
          <w:lang w:val="en-GB"/>
        </w:rPr>
        <w:t xml:space="preserve"> (Accessed: 4 April 2026).</w:t>
      </w:r>
    </w:p>
    <w:p w14:paraId="3D82F024" w14:textId="43B41D7C"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Evans, M. and Kim, J. (2013) ‘Cardiovascular epidemiology’, </w:t>
      </w:r>
      <w:r w:rsidRPr="00FB6E21">
        <w:rPr>
          <w:rFonts w:ascii="Arial" w:hAnsi="Arial" w:cs="Arial"/>
          <w:i/>
          <w:iCs/>
          <w:sz w:val="22"/>
          <w:szCs w:val="22"/>
          <w:lang w:val="en-GB"/>
        </w:rPr>
        <w:t>Nature Reviews Cardiology</w:t>
      </w:r>
      <w:r w:rsidRPr="00FB6E21">
        <w:rPr>
          <w:rFonts w:ascii="Arial" w:hAnsi="Arial" w:cs="Arial"/>
          <w:sz w:val="22"/>
          <w:szCs w:val="22"/>
          <w:lang w:val="en-GB"/>
        </w:rPr>
        <w:t xml:space="preserve">, 10(3), pp. 140–150. Available at: </w:t>
      </w:r>
      <w:hyperlink r:id="rId44" w:tgtFrame="_blank" w:tooltip="doi.org" w:history="1">
        <w:r w:rsidRPr="00FB6E21">
          <w:rPr>
            <w:rStyle w:val="Hyperlink"/>
            <w:rFonts w:ascii="Arial" w:hAnsi="Arial" w:cs="Arial"/>
            <w:sz w:val="22"/>
            <w:szCs w:val="22"/>
            <w:lang w:val="en-GB"/>
          </w:rPr>
          <w:t>https://doi.org/10.1038/nrcardio.2012.191</w:t>
        </w:r>
      </w:hyperlink>
      <w:r w:rsidRPr="00FB6E21">
        <w:rPr>
          <w:rFonts w:ascii="Arial" w:hAnsi="Arial" w:cs="Arial"/>
          <w:sz w:val="22"/>
          <w:szCs w:val="22"/>
          <w:lang w:val="en-GB"/>
        </w:rPr>
        <w:t xml:space="preserve"> (Accessed: 13 March 2026).</w:t>
      </w:r>
    </w:p>
    <w:p w14:paraId="634361E1"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Ezzati, M., Obermeyer, Z., </w:t>
      </w:r>
      <w:proofErr w:type="spellStart"/>
      <w:r w:rsidRPr="00FB6E21">
        <w:rPr>
          <w:rFonts w:ascii="Arial" w:hAnsi="Arial" w:cs="Arial"/>
          <w:sz w:val="22"/>
          <w:szCs w:val="22"/>
          <w:lang w:val="en-GB"/>
        </w:rPr>
        <w:t>Tzoulaki</w:t>
      </w:r>
      <w:proofErr w:type="spellEnd"/>
      <w:r w:rsidRPr="00FB6E21">
        <w:rPr>
          <w:rFonts w:ascii="Arial" w:hAnsi="Arial" w:cs="Arial"/>
          <w:sz w:val="22"/>
          <w:szCs w:val="22"/>
          <w:lang w:val="en-GB"/>
        </w:rPr>
        <w:t xml:space="preserve">, I., </w:t>
      </w:r>
      <w:proofErr w:type="spellStart"/>
      <w:r w:rsidRPr="00FB6E21">
        <w:rPr>
          <w:rFonts w:ascii="Arial" w:hAnsi="Arial" w:cs="Arial"/>
          <w:sz w:val="22"/>
          <w:szCs w:val="22"/>
          <w:lang w:val="en-GB"/>
        </w:rPr>
        <w:t>Mayosi</w:t>
      </w:r>
      <w:proofErr w:type="spellEnd"/>
      <w:r w:rsidRPr="00FB6E21">
        <w:rPr>
          <w:rFonts w:ascii="Arial" w:hAnsi="Arial" w:cs="Arial"/>
          <w:sz w:val="22"/>
          <w:szCs w:val="22"/>
          <w:lang w:val="en-GB"/>
        </w:rPr>
        <w:t>, B.M., Elliott, P. and Leon, D.A. (2015) ‘Risk factors for non</w:t>
      </w:r>
      <w:r w:rsidRPr="00FB6E21">
        <w:rPr>
          <w:rFonts w:ascii="Arial" w:hAnsi="Arial" w:cs="Arial"/>
          <w:sz w:val="22"/>
          <w:szCs w:val="22"/>
          <w:lang w:val="en-GB"/>
        </w:rPr>
        <w:noBreakHyphen/>
        <w:t xml:space="preserve">communicable diseases’, </w:t>
      </w:r>
      <w:r w:rsidRPr="00FB6E21">
        <w:rPr>
          <w:rFonts w:ascii="Arial" w:hAnsi="Arial" w:cs="Arial"/>
          <w:i/>
          <w:iCs/>
          <w:sz w:val="22"/>
          <w:szCs w:val="22"/>
          <w:lang w:val="en-GB"/>
        </w:rPr>
        <w:t>The Lancet</w:t>
      </w:r>
      <w:r w:rsidRPr="00FB6E21">
        <w:rPr>
          <w:rFonts w:ascii="Arial" w:hAnsi="Arial" w:cs="Arial"/>
          <w:sz w:val="22"/>
          <w:szCs w:val="22"/>
          <w:lang w:val="en-GB"/>
        </w:rPr>
        <w:t xml:space="preserve">, 385(9964), pp. 1821–1831. </w:t>
      </w:r>
      <w:r w:rsidRPr="00FB6E21">
        <w:rPr>
          <w:rFonts w:ascii="Arial" w:hAnsi="Arial" w:cs="Arial"/>
          <w:sz w:val="22"/>
          <w:szCs w:val="22"/>
          <w:lang w:val="en-GB"/>
        </w:rPr>
        <w:lastRenderedPageBreak/>
        <w:t xml:space="preserve">Available at: </w:t>
      </w:r>
      <w:hyperlink r:id="rId45" w:tgtFrame="_blank" w:tooltip="doi.org" w:history="1">
        <w:r w:rsidRPr="00FB6E21">
          <w:rPr>
            <w:rStyle w:val="Hyperlink"/>
            <w:rFonts w:ascii="Arial" w:hAnsi="Arial" w:cs="Arial"/>
            <w:sz w:val="22"/>
            <w:szCs w:val="22"/>
            <w:lang w:val="en-GB"/>
          </w:rPr>
          <w:t>https://doi.org/10.1016/S0140-6736(14)60648-6</w:t>
        </w:r>
      </w:hyperlink>
      <w:r w:rsidRPr="00FB6E21">
        <w:rPr>
          <w:rFonts w:ascii="Arial" w:hAnsi="Arial" w:cs="Arial"/>
          <w:sz w:val="22"/>
          <w:szCs w:val="22"/>
          <w:lang w:val="en-GB"/>
        </w:rPr>
        <w:t xml:space="preserve"> (Accessed: 22 April 2026).</w:t>
      </w:r>
    </w:p>
    <w:p w14:paraId="2B0ED58C"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Frohlich, K.L. and Potvin, L. (2008) ‘Transcending the known in public health practice’, </w:t>
      </w:r>
      <w:r w:rsidRPr="00FB6E21">
        <w:rPr>
          <w:rFonts w:ascii="Arial" w:hAnsi="Arial" w:cs="Arial"/>
          <w:i/>
          <w:iCs/>
          <w:sz w:val="22"/>
          <w:szCs w:val="22"/>
          <w:lang w:val="en-GB"/>
        </w:rPr>
        <w:t>American Journal of Public Health</w:t>
      </w:r>
      <w:r w:rsidRPr="00FB6E21">
        <w:rPr>
          <w:rFonts w:ascii="Arial" w:hAnsi="Arial" w:cs="Arial"/>
          <w:sz w:val="22"/>
          <w:szCs w:val="22"/>
          <w:lang w:val="en-GB"/>
        </w:rPr>
        <w:t xml:space="preserve">, 98(2), pp. 216–221. Available at: </w:t>
      </w:r>
      <w:hyperlink r:id="rId46" w:tgtFrame="_blank" w:tooltip="doi.org" w:history="1">
        <w:r w:rsidRPr="00FB6E21">
          <w:rPr>
            <w:rStyle w:val="Hyperlink"/>
            <w:rFonts w:ascii="Arial" w:hAnsi="Arial" w:cs="Arial"/>
            <w:sz w:val="22"/>
            <w:szCs w:val="22"/>
            <w:lang w:val="en-GB"/>
          </w:rPr>
          <w:t>https://doi.org/10.2105/AJPH.2007.114777</w:t>
        </w:r>
      </w:hyperlink>
      <w:r w:rsidRPr="00FB6E21">
        <w:rPr>
          <w:rFonts w:ascii="Arial" w:hAnsi="Arial" w:cs="Arial"/>
          <w:sz w:val="22"/>
          <w:szCs w:val="22"/>
          <w:lang w:val="en-GB"/>
        </w:rPr>
        <w:t xml:space="preserve"> (Accessed: 17 March 2026).</w:t>
      </w:r>
    </w:p>
    <w:p w14:paraId="73232968"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Galdas, P.M., Harrison, A.S., Doherty, P., Jolly, K., Lane, D.A., Morton, G., O’Neill, M., O’Reilly, M., Taylor, R.S. and Walker, S. (2018) ‘Gender differences in CR engagement’, </w:t>
      </w:r>
      <w:r w:rsidRPr="00FB6E21">
        <w:rPr>
          <w:rFonts w:ascii="Arial" w:hAnsi="Arial" w:cs="Arial"/>
          <w:i/>
          <w:iCs/>
          <w:sz w:val="22"/>
          <w:szCs w:val="22"/>
          <w:lang w:val="en-GB"/>
        </w:rPr>
        <w:t>Open Heart</w:t>
      </w:r>
      <w:r w:rsidRPr="00FB6E21">
        <w:rPr>
          <w:rFonts w:ascii="Arial" w:hAnsi="Arial" w:cs="Arial"/>
          <w:sz w:val="22"/>
          <w:szCs w:val="22"/>
          <w:lang w:val="en-GB"/>
        </w:rPr>
        <w:t xml:space="preserve">, 5(1), e000764. Available at: </w:t>
      </w:r>
      <w:hyperlink r:id="rId47" w:tgtFrame="_blank" w:tooltip="doi.org" w:history="1">
        <w:r w:rsidRPr="00FB6E21">
          <w:rPr>
            <w:rStyle w:val="Hyperlink"/>
            <w:rFonts w:ascii="Arial" w:hAnsi="Arial" w:cs="Arial"/>
            <w:sz w:val="22"/>
            <w:szCs w:val="22"/>
            <w:lang w:val="en-GB"/>
          </w:rPr>
          <w:t>https://doi.org/10.1136/openhrt-2017-000764</w:t>
        </w:r>
      </w:hyperlink>
      <w:r w:rsidRPr="00FB6E21">
        <w:rPr>
          <w:rFonts w:ascii="Arial" w:hAnsi="Arial" w:cs="Arial"/>
          <w:sz w:val="22"/>
          <w:szCs w:val="22"/>
          <w:lang w:val="en-GB"/>
        </w:rPr>
        <w:t xml:space="preserve"> (Accessed: 29 February 2026).</w:t>
      </w:r>
    </w:p>
    <w:p w14:paraId="26F87AE9" w14:textId="77777777" w:rsidR="00FB6E21" w:rsidRPr="00FB6E21" w:rsidRDefault="00FB6E21" w:rsidP="00FB6E21">
      <w:pPr>
        <w:pStyle w:val="NormalWeb"/>
        <w:spacing w:line="360" w:lineRule="auto"/>
        <w:jc w:val="both"/>
        <w:rPr>
          <w:rFonts w:ascii="Arial" w:hAnsi="Arial" w:cs="Arial"/>
          <w:sz w:val="22"/>
          <w:szCs w:val="22"/>
          <w:lang w:val="en-GB"/>
        </w:rPr>
      </w:pPr>
      <w:proofErr w:type="spellStart"/>
      <w:r w:rsidRPr="00FB6E21">
        <w:rPr>
          <w:rFonts w:ascii="Arial" w:hAnsi="Arial" w:cs="Arial"/>
          <w:sz w:val="22"/>
          <w:szCs w:val="22"/>
          <w:lang w:val="en-GB"/>
        </w:rPr>
        <w:t>Gellad</w:t>
      </w:r>
      <w:proofErr w:type="spellEnd"/>
      <w:r w:rsidRPr="00FB6E21">
        <w:rPr>
          <w:rFonts w:ascii="Arial" w:hAnsi="Arial" w:cs="Arial"/>
          <w:sz w:val="22"/>
          <w:szCs w:val="22"/>
          <w:lang w:val="en-GB"/>
        </w:rPr>
        <w:t xml:space="preserve">, W.F., Grenard, J.L. and Marcum, Z.A. (2021) ‘Polypharmacy and adherence’, </w:t>
      </w:r>
      <w:r w:rsidRPr="00FB6E21">
        <w:rPr>
          <w:rFonts w:ascii="Arial" w:hAnsi="Arial" w:cs="Arial"/>
          <w:i/>
          <w:iCs/>
          <w:sz w:val="22"/>
          <w:szCs w:val="22"/>
          <w:lang w:val="en-GB"/>
        </w:rPr>
        <w:t>Journal of the American Geriatrics Society</w:t>
      </w:r>
      <w:r w:rsidRPr="00FB6E21">
        <w:rPr>
          <w:rFonts w:ascii="Arial" w:hAnsi="Arial" w:cs="Arial"/>
          <w:sz w:val="22"/>
          <w:szCs w:val="22"/>
          <w:lang w:val="en-GB"/>
        </w:rPr>
        <w:t xml:space="preserve">, 69(3), pp. 678–685. Available at: </w:t>
      </w:r>
      <w:hyperlink r:id="rId48" w:tgtFrame="_blank" w:tooltip="doi.org" w:history="1">
        <w:r w:rsidRPr="00FB6E21">
          <w:rPr>
            <w:rStyle w:val="Hyperlink"/>
            <w:rFonts w:ascii="Arial" w:hAnsi="Arial" w:cs="Arial"/>
            <w:sz w:val="22"/>
            <w:szCs w:val="22"/>
            <w:lang w:val="en-GB"/>
          </w:rPr>
          <w:t>https://doi.org/10.1111/jgs.16987</w:t>
        </w:r>
      </w:hyperlink>
      <w:r w:rsidRPr="00FB6E21">
        <w:rPr>
          <w:rFonts w:ascii="Arial" w:hAnsi="Arial" w:cs="Arial"/>
          <w:sz w:val="22"/>
          <w:szCs w:val="22"/>
          <w:lang w:val="en-GB"/>
        </w:rPr>
        <w:t xml:space="preserve"> (Accessed: 6 March 2026).</w:t>
      </w:r>
    </w:p>
    <w:p w14:paraId="25900780"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Gidlow, C.J., Johnston, L.H., Crone, D., Ellis, N. and James, D.V.B. (2016) ‘Lifestyle risk factors and CVD’, </w:t>
      </w:r>
      <w:r w:rsidRPr="00FB6E21">
        <w:rPr>
          <w:rFonts w:ascii="Arial" w:hAnsi="Arial" w:cs="Arial"/>
          <w:i/>
          <w:iCs/>
          <w:sz w:val="22"/>
          <w:szCs w:val="22"/>
          <w:lang w:val="en-GB"/>
        </w:rPr>
        <w:t>Journal of Public Health</w:t>
      </w:r>
      <w:r w:rsidRPr="00FB6E21">
        <w:rPr>
          <w:rFonts w:ascii="Arial" w:hAnsi="Arial" w:cs="Arial"/>
          <w:sz w:val="22"/>
          <w:szCs w:val="22"/>
          <w:lang w:val="en-GB"/>
        </w:rPr>
        <w:t xml:space="preserve">, 38(3), pp. 538–546. Available at: </w:t>
      </w:r>
      <w:hyperlink r:id="rId49" w:tgtFrame="_blank" w:tooltip="doi.org" w:history="1">
        <w:r w:rsidRPr="00FB6E21">
          <w:rPr>
            <w:rStyle w:val="Hyperlink"/>
            <w:rFonts w:ascii="Arial" w:hAnsi="Arial" w:cs="Arial"/>
            <w:sz w:val="22"/>
            <w:szCs w:val="22"/>
            <w:lang w:val="en-GB"/>
          </w:rPr>
          <w:t>https://doi.org/10.1093/pubmed/fdv171</w:t>
        </w:r>
      </w:hyperlink>
      <w:r w:rsidRPr="00FB6E21">
        <w:rPr>
          <w:rFonts w:ascii="Arial" w:hAnsi="Arial" w:cs="Arial"/>
          <w:sz w:val="22"/>
          <w:szCs w:val="22"/>
          <w:lang w:val="en-GB"/>
        </w:rPr>
        <w:t xml:space="preserve"> (Accessed: 25 April 2026).</w:t>
      </w:r>
    </w:p>
    <w:p w14:paraId="217C7E96"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Glanz, K., Rimer, B.K. and Viswanath, K. (2015) </w:t>
      </w:r>
      <w:r w:rsidRPr="00FB6E21">
        <w:rPr>
          <w:rFonts w:ascii="Arial" w:hAnsi="Arial" w:cs="Arial"/>
          <w:i/>
          <w:iCs/>
          <w:sz w:val="22"/>
          <w:szCs w:val="22"/>
          <w:lang w:val="en-GB"/>
        </w:rPr>
        <w:t xml:space="preserve">Health </w:t>
      </w:r>
      <w:proofErr w:type="spellStart"/>
      <w:r w:rsidRPr="00FB6E21">
        <w:rPr>
          <w:rFonts w:ascii="Arial" w:hAnsi="Arial" w:cs="Arial"/>
          <w:i/>
          <w:iCs/>
          <w:sz w:val="22"/>
          <w:szCs w:val="22"/>
          <w:lang w:val="en-GB"/>
        </w:rPr>
        <w:t>Behavior</w:t>
      </w:r>
      <w:proofErr w:type="spellEnd"/>
      <w:r w:rsidRPr="00FB6E21">
        <w:rPr>
          <w:rFonts w:ascii="Arial" w:hAnsi="Arial" w:cs="Arial"/>
          <w:i/>
          <w:iCs/>
          <w:sz w:val="22"/>
          <w:szCs w:val="22"/>
          <w:lang w:val="en-GB"/>
        </w:rPr>
        <w:t>: Theory, Research, and Practice</w:t>
      </w:r>
      <w:r w:rsidRPr="00FB6E21">
        <w:rPr>
          <w:rFonts w:ascii="Arial" w:hAnsi="Arial" w:cs="Arial"/>
          <w:sz w:val="22"/>
          <w:szCs w:val="22"/>
          <w:lang w:val="en-GB"/>
        </w:rPr>
        <w:t xml:space="preserve">. 5th </w:t>
      </w:r>
      <w:proofErr w:type="spellStart"/>
      <w:r w:rsidRPr="00FB6E21">
        <w:rPr>
          <w:rFonts w:ascii="Arial" w:hAnsi="Arial" w:cs="Arial"/>
          <w:sz w:val="22"/>
          <w:szCs w:val="22"/>
          <w:lang w:val="en-GB"/>
        </w:rPr>
        <w:t>edn</w:t>
      </w:r>
      <w:proofErr w:type="spellEnd"/>
      <w:r w:rsidRPr="00FB6E21">
        <w:rPr>
          <w:rFonts w:ascii="Arial" w:hAnsi="Arial" w:cs="Arial"/>
          <w:sz w:val="22"/>
          <w:szCs w:val="22"/>
          <w:lang w:val="en-GB"/>
        </w:rPr>
        <w:t>. San Francisco: Jossey</w:t>
      </w:r>
      <w:r w:rsidRPr="00FB6E21">
        <w:rPr>
          <w:rFonts w:ascii="Arial" w:hAnsi="Arial" w:cs="Arial"/>
          <w:sz w:val="22"/>
          <w:szCs w:val="22"/>
          <w:lang w:val="en-GB"/>
        </w:rPr>
        <w:noBreakHyphen/>
        <w:t>Bass. (Accessed: 14 March 2026).</w:t>
      </w:r>
    </w:p>
    <w:p w14:paraId="4011061A"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Gough, D., Oliver, S. and Thomas, J. (2017) </w:t>
      </w:r>
      <w:r w:rsidRPr="00FB6E21">
        <w:rPr>
          <w:rFonts w:ascii="Arial" w:hAnsi="Arial" w:cs="Arial"/>
          <w:i/>
          <w:iCs/>
          <w:sz w:val="22"/>
          <w:szCs w:val="22"/>
          <w:lang w:val="en-GB"/>
        </w:rPr>
        <w:t>An Introduction to Systematic Reviews</w:t>
      </w:r>
      <w:r w:rsidRPr="00FB6E21">
        <w:rPr>
          <w:rFonts w:ascii="Arial" w:hAnsi="Arial" w:cs="Arial"/>
          <w:sz w:val="22"/>
          <w:szCs w:val="22"/>
          <w:lang w:val="en-GB"/>
        </w:rPr>
        <w:t>. London: Sage. (Accessed: 10 April 2026).</w:t>
      </w:r>
    </w:p>
    <w:p w14:paraId="6823E377"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Grant, M.J. and Booth, A. (2009) ‘Typology of reviews’, </w:t>
      </w:r>
      <w:r w:rsidRPr="00FB6E21">
        <w:rPr>
          <w:rFonts w:ascii="Arial" w:hAnsi="Arial" w:cs="Arial"/>
          <w:i/>
          <w:iCs/>
          <w:sz w:val="22"/>
          <w:szCs w:val="22"/>
          <w:lang w:val="en-GB"/>
        </w:rPr>
        <w:t>Health Information &amp; Libraries Journal</w:t>
      </w:r>
      <w:r w:rsidRPr="00FB6E21">
        <w:rPr>
          <w:rFonts w:ascii="Arial" w:hAnsi="Arial" w:cs="Arial"/>
          <w:sz w:val="22"/>
          <w:szCs w:val="22"/>
          <w:lang w:val="en-GB"/>
        </w:rPr>
        <w:t xml:space="preserve">, 26(2), pp. 91–108. Available at: </w:t>
      </w:r>
      <w:hyperlink r:id="rId50" w:tgtFrame="_blank" w:tooltip="doi.org" w:history="1">
        <w:r w:rsidRPr="00FB6E21">
          <w:rPr>
            <w:rStyle w:val="Hyperlink"/>
            <w:rFonts w:ascii="Arial" w:hAnsi="Arial" w:cs="Arial"/>
            <w:sz w:val="22"/>
            <w:szCs w:val="22"/>
            <w:lang w:val="en-GB"/>
          </w:rPr>
          <w:t>https://doi.org/10.1111/j.1471-1842.2009.00848.x</w:t>
        </w:r>
      </w:hyperlink>
      <w:r w:rsidRPr="00FB6E21">
        <w:rPr>
          <w:rFonts w:ascii="Arial" w:hAnsi="Arial" w:cs="Arial"/>
          <w:sz w:val="22"/>
          <w:szCs w:val="22"/>
          <w:lang w:val="en-GB"/>
        </w:rPr>
        <w:t xml:space="preserve"> (Accessed: 3 March 2026).</w:t>
      </w:r>
    </w:p>
    <w:p w14:paraId="43DA4C22" w14:textId="77777777" w:rsidR="00FB6E21" w:rsidRPr="00FB6E21" w:rsidRDefault="00FB6E21" w:rsidP="00FB6E21">
      <w:pPr>
        <w:pStyle w:val="NormalWeb"/>
        <w:spacing w:line="360" w:lineRule="auto"/>
        <w:jc w:val="both"/>
        <w:rPr>
          <w:rFonts w:ascii="Arial" w:hAnsi="Arial" w:cs="Arial"/>
          <w:sz w:val="22"/>
          <w:szCs w:val="22"/>
          <w:lang w:val="en-GB"/>
        </w:rPr>
      </w:pPr>
      <w:r w:rsidRPr="00FB6E21">
        <w:rPr>
          <w:rFonts w:ascii="Arial" w:hAnsi="Arial" w:cs="Arial"/>
          <w:sz w:val="22"/>
          <w:szCs w:val="22"/>
          <w:lang w:val="en-GB"/>
        </w:rPr>
        <w:t xml:space="preserve">Greenhalgh, T. (2019) </w:t>
      </w:r>
      <w:r w:rsidRPr="00FB6E21">
        <w:rPr>
          <w:rFonts w:ascii="Arial" w:hAnsi="Arial" w:cs="Arial"/>
          <w:i/>
          <w:iCs/>
          <w:sz w:val="22"/>
          <w:szCs w:val="22"/>
          <w:lang w:val="en-GB"/>
        </w:rPr>
        <w:t>How to Read a Paper</w:t>
      </w:r>
      <w:r w:rsidRPr="00FB6E21">
        <w:rPr>
          <w:rFonts w:ascii="Arial" w:hAnsi="Arial" w:cs="Arial"/>
          <w:sz w:val="22"/>
          <w:szCs w:val="22"/>
          <w:lang w:val="en-GB"/>
        </w:rPr>
        <w:t xml:space="preserve">. 6th </w:t>
      </w:r>
      <w:proofErr w:type="spellStart"/>
      <w:r w:rsidRPr="00FB6E21">
        <w:rPr>
          <w:rFonts w:ascii="Arial" w:hAnsi="Arial" w:cs="Arial"/>
          <w:sz w:val="22"/>
          <w:szCs w:val="22"/>
          <w:lang w:val="en-GB"/>
        </w:rPr>
        <w:t>edn</w:t>
      </w:r>
      <w:proofErr w:type="spellEnd"/>
      <w:r w:rsidRPr="00FB6E21">
        <w:rPr>
          <w:rFonts w:ascii="Arial" w:hAnsi="Arial" w:cs="Arial"/>
          <w:sz w:val="22"/>
          <w:szCs w:val="22"/>
          <w:lang w:val="en-GB"/>
        </w:rPr>
        <w:t>. London: Wiley. (Accessed: 18 April 2026).</w:t>
      </w:r>
    </w:p>
    <w:p w14:paraId="647513BA" w14:textId="28A79084" w:rsidR="00D26863" w:rsidRPr="00FB6E21" w:rsidRDefault="00D26863" w:rsidP="00FB6E21">
      <w:pPr>
        <w:pStyle w:val="NormalWeb"/>
        <w:spacing w:line="360" w:lineRule="auto"/>
        <w:jc w:val="both"/>
        <w:rPr>
          <w:rFonts w:ascii="Arial" w:hAnsi="Arial" w:cs="Arial"/>
          <w:sz w:val="22"/>
          <w:szCs w:val="22"/>
        </w:rPr>
      </w:pPr>
    </w:p>
    <w:p w14:paraId="5A07EDA5"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Greenhalgh, T. (2020) ‘COVID</w:t>
      </w:r>
      <w:r w:rsidRPr="00FB6E21">
        <w:rPr>
          <w:rFonts w:ascii="Arial" w:hAnsi="Arial" w:cs="Arial"/>
          <w:color w:val="000000" w:themeColor="text1"/>
          <w:lang w:val="en-GB"/>
        </w:rPr>
        <w:noBreakHyphen/>
        <w:t>19 and evidence</w:t>
      </w:r>
      <w:r w:rsidRPr="00FB6E21">
        <w:rPr>
          <w:rFonts w:ascii="Arial" w:hAnsi="Arial" w:cs="Arial"/>
          <w:color w:val="000000" w:themeColor="text1"/>
          <w:lang w:val="en-GB"/>
        </w:rPr>
        <w:noBreakHyphen/>
        <w:t xml:space="preserve">based medicine’, </w:t>
      </w:r>
      <w:proofErr w:type="spellStart"/>
      <w:r w:rsidRPr="00FB6E21">
        <w:rPr>
          <w:rFonts w:ascii="Arial" w:hAnsi="Arial" w:cs="Arial"/>
          <w:i/>
          <w:iCs/>
          <w:color w:val="000000" w:themeColor="text1"/>
          <w:lang w:val="en-GB"/>
        </w:rPr>
        <w:t>PLoS</w:t>
      </w:r>
      <w:proofErr w:type="spellEnd"/>
      <w:r w:rsidRPr="00FB6E21">
        <w:rPr>
          <w:rFonts w:ascii="Arial" w:hAnsi="Arial" w:cs="Arial"/>
          <w:i/>
          <w:iCs/>
          <w:color w:val="000000" w:themeColor="text1"/>
          <w:lang w:val="en-GB"/>
        </w:rPr>
        <w:t xml:space="preserve"> Medicine</w:t>
      </w:r>
      <w:r w:rsidRPr="00FB6E21">
        <w:rPr>
          <w:rFonts w:ascii="Arial" w:hAnsi="Arial" w:cs="Arial"/>
          <w:color w:val="000000" w:themeColor="text1"/>
          <w:lang w:val="en-GB"/>
        </w:rPr>
        <w:t xml:space="preserve">, 17(6), e1003266. Available at: </w:t>
      </w:r>
      <w:hyperlink r:id="rId51" w:tgtFrame="_blank" w:tooltip="doi.org" w:history="1">
        <w:r w:rsidRPr="00FB6E21">
          <w:rPr>
            <w:rStyle w:val="Hyperlink"/>
            <w:rFonts w:ascii="Arial" w:hAnsi="Arial" w:cs="Arial"/>
            <w:lang w:val="en-GB"/>
          </w:rPr>
          <w:t>https://doi.org/10.1371/journal.pmed.1003266</w:t>
        </w:r>
      </w:hyperlink>
      <w:r w:rsidRPr="00FB6E21">
        <w:rPr>
          <w:rFonts w:ascii="Arial" w:hAnsi="Arial" w:cs="Arial"/>
          <w:color w:val="000000" w:themeColor="text1"/>
          <w:lang w:val="en-GB"/>
        </w:rPr>
        <w:t xml:space="preserve"> (Accessed: 12 March 2026).</w:t>
      </w:r>
    </w:p>
    <w:p w14:paraId="7D34B28C"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lastRenderedPageBreak/>
        <w:t xml:space="preserve">Greenhalgh, T., Papoutsi, C., Shaw, S., Hargreaves, D., Thompson, R. and Morrison, D. (2020) ‘Improving public health research’, </w:t>
      </w:r>
      <w:r w:rsidRPr="00FB6E21">
        <w:rPr>
          <w:rFonts w:ascii="Arial" w:hAnsi="Arial" w:cs="Arial"/>
          <w:i/>
          <w:iCs/>
          <w:color w:val="000000" w:themeColor="text1"/>
          <w:lang w:val="en-GB"/>
        </w:rPr>
        <w:t>BMJ</w:t>
      </w:r>
      <w:r w:rsidRPr="00FB6E21">
        <w:rPr>
          <w:rFonts w:ascii="Arial" w:hAnsi="Arial" w:cs="Arial"/>
          <w:color w:val="000000" w:themeColor="text1"/>
          <w:lang w:val="en-GB"/>
        </w:rPr>
        <w:t xml:space="preserve">, 368, m193. Available at: </w:t>
      </w:r>
      <w:hyperlink r:id="rId52" w:tgtFrame="_blank" w:tooltip="doi.org" w:history="1">
        <w:r w:rsidRPr="00FB6E21">
          <w:rPr>
            <w:rStyle w:val="Hyperlink"/>
            <w:rFonts w:ascii="Arial" w:hAnsi="Arial" w:cs="Arial"/>
            <w:lang w:val="en-GB"/>
          </w:rPr>
          <w:t>https://doi.org/10.1136/bmj.m193</w:t>
        </w:r>
      </w:hyperlink>
      <w:r w:rsidRPr="00FB6E21">
        <w:rPr>
          <w:rFonts w:ascii="Arial" w:hAnsi="Arial" w:cs="Arial"/>
          <w:color w:val="000000" w:themeColor="text1"/>
          <w:lang w:val="en-GB"/>
        </w:rPr>
        <w:t xml:space="preserve"> (Accessed: 9 April 2026).</w:t>
      </w:r>
    </w:p>
    <w:p w14:paraId="69B29C5E"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Greenland, P., Blaha, M.J., Budoff, M.J., Erbel, R. and Watson, K.E. (2019) ‘CVD in older adults’, </w:t>
      </w:r>
      <w:r w:rsidRPr="00FB6E21">
        <w:rPr>
          <w:rFonts w:ascii="Arial" w:hAnsi="Arial" w:cs="Arial"/>
          <w:i/>
          <w:iCs/>
          <w:color w:val="000000" w:themeColor="text1"/>
          <w:lang w:val="en-GB"/>
        </w:rPr>
        <w:t>Circulation Research</w:t>
      </w:r>
      <w:r w:rsidRPr="00FB6E21">
        <w:rPr>
          <w:rFonts w:ascii="Arial" w:hAnsi="Arial" w:cs="Arial"/>
          <w:color w:val="000000" w:themeColor="text1"/>
          <w:lang w:val="en-GB"/>
        </w:rPr>
        <w:t xml:space="preserve">, 124(4), pp. 579–595. Available at: </w:t>
      </w:r>
      <w:hyperlink r:id="rId53" w:tgtFrame="_blank" w:tooltip="doi.org" w:history="1">
        <w:r w:rsidRPr="00FB6E21">
          <w:rPr>
            <w:rStyle w:val="Hyperlink"/>
            <w:rFonts w:ascii="Arial" w:hAnsi="Arial" w:cs="Arial"/>
            <w:lang w:val="en-GB"/>
          </w:rPr>
          <w:t>https://doi.org/10.1161/CIRCRESAHA.118.313429</w:t>
        </w:r>
      </w:hyperlink>
      <w:r w:rsidRPr="00FB6E21">
        <w:rPr>
          <w:rFonts w:ascii="Arial" w:hAnsi="Arial" w:cs="Arial"/>
          <w:color w:val="000000" w:themeColor="text1"/>
          <w:lang w:val="en-GB"/>
        </w:rPr>
        <w:t xml:space="preserve"> (Accessed: 7 March 2026).</w:t>
      </w:r>
    </w:p>
    <w:p w14:paraId="0425B791"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Gulliford, M., Naithani, S. and Morgan, M. (2006) ‘Hospital readmission and quality of care’, </w:t>
      </w:r>
      <w:r w:rsidRPr="00FB6E21">
        <w:rPr>
          <w:rFonts w:ascii="Arial" w:hAnsi="Arial" w:cs="Arial"/>
          <w:i/>
          <w:iCs/>
          <w:color w:val="000000" w:themeColor="text1"/>
          <w:lang w:val="en-GB"/>
        </w:rPr>
        <w:t>BMJ</w:t>
      </w:r>
      <w:r w:rsidRPr="00FB6E21">
        <w:rPr>
          <w:rFonts w:ascii="Arial" w:hAnsi="Arial" w:cs="Arial"/>
          <w:color w:val="000000" w:themeColor="text1"/>
          <w:lang w:val="en-GB"/>
        </w:rPr>
        <w:t xml:space="preserve">, 333(7563), pp. 1–5. Available at: </w:t>
      </w:r>
      <w:hyperlink r:id="rId54" w:tgtFrame="_blank" w:tooltip="doi.org" w:history="1">
        <w:r w:rsidRPr="00FB6E21">
          <w:rPr>
            <w:rStyle w:val="Hyperlink"/>
            <w:rFonts w:ascii="Arial" w:hAnsi="Arial" w:cs="Arial"/>
            <w:lang w:val="en-GB"/>
          </w:rPr>
          <w:t>https://doi.org/10.1136/bmj.38975.698389.55</w:t>
        </w:r>
      </w:hyperlink>
      <w:r w:rsidRPr="00FB6E21">
        <w:rPr>
          <w:rFonts w:ascii="Arial" w:hAnsi="Arial" w:cs="Arial"/>
          <w:color w:val="000000" w:themeColor="text1"/>
          <w:lang w:val="en-GB"/>
        </w:rPr>
        <w:t xml:space="preserve"> (Accessed: 1 April 2026).</w:t>
      </w:r>
    </w:p>
    <w:p w14:paraId="35FFDAFE"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Hale, T., Angrist, N., </w:t>
      </w:r>
      <w:proofErr w:type="spellStart"/>
      <w:r w:rsidRPr="00FB6E21">
        <w:rPr>
          <w:rFonts w:ascii="Arial" w:hAnsi="Arial" w:cs="Arial"/>
          <w:color w:val="000000" w:themeColor="text1"/>
          <w:lang w:val="en-GB"/>
        </w:rPr>
        <w:t>Goldszmidt</w:t>
      </w:r>
      <w:proofErr w:type="spellEnd"/>
      <w:r w:rsidRPr="00FB6E21">
        <w:rPr>
          <w:rFonts w:ascii="Arial" w:hAnsi="Arial" w:cs="Arial"/>
          <w:color w:val="000000" w:themeColor="text1"/>
          <w:lang w:val="en-GB"/>
        </w:rPr>
        <w:t>, R., Kira, B., Petherick, A., Phillips, T., Webster, S., Cameron</w:t>
      </w:r>
      <w:r w:rsidRPr="00FB6E21">
        <w:rPr>
          <w:rFonts w:ascii="Arial" w:hAnsi="Arial" w:cs="Arial"/>
          <w:color w:val="000000" w:themeColor="text1"/>
          <w:lang w:val="en-GB"/>
        </w:rPr>
        <w:noBreakHyphen/>
        <w:t xml:space="preserve">Blake, E., Hallas, L., Majumdar, S. and Tatlow, H. (2021) ‘Digital inequalities and health’, </w:t>
      </w:r>
      <w:r w:rsidRPr="00FB6E21">
        <w:rPr>
          <w:rFonts w:ascii="Arial" w:hAnsi="Arial" w:cs="Arial"/>
          <w:i/>
          <w:iCs/>
          <w:color w:val="000000" w:themeColor="text1"/>
          <w:lang w:val="en-GB"/>
        </w:rPr>
        <w:t>The Lancet Digital Health</w:t>
      </w:r>
      <w:r w:rsidRPr="00FB6E21">
        <w:rPr>
          <w:rFonts w:ascii="Arial" w:hAnsi="Arial" w:cs="Arial"/>
          <w:color w:val="000000" w:themeColor="text1"/>
          <w:lang w:val="en-GB"/>
        </w:rPr>
        <w:t xml:space="preserve">, 3(6), pp. e387–e389. Available at: </w:t>
      </w:r>
      <w:hyperlink r:id="rId55" w:tgtFrame="_blank" w:tooltip="doi.org" w:history="1">
        <w:r w:rsidRPr="00FB6E21">
          <w:rPr>
            <w:rStyle w:val="Hyperlink"/>
            <w:rFonts w:ascii="Arial" w:hAnsi="Arial" w:cs="Arial"/>
            <w:lang w:val="en-GB"/>
          </w:rPr>
          <w:t>https://doi.org/10.1016/S2589-7500(21)00064-9</w:t>
        </w:r>
      </w:hyperlink>
      <w:r w:rsidRPr="00FB6E21">
        <w:rPr>
          <w:rFonts w:ascii="Arial" w:hAnsi="Arial" w:cs="Arial"/>
          <w:color w:val="000000" w:themeColor="text1"/>
          <w:lang w:val="en-GB"/>
        </w:rPr>
        <w:t xml:space="preserve"> (Accessed: 16 March 2026).</w:t>
      </w:r>
    </w:p>
    <w:p w14:paraId="33810749"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Hamer, M. and Steptoe, A. (2012) ‘Psychosocial factors and CVD’, </w:t>
      </w:r>
      <w:r w:rsidRPr="00FB6E21">
        <w:rPr>
          <w:rFonts w:ascii="Arial" w:hAnsi="Arial" w:cs="Arial"/>
          <w:i/>
          <w:iCs/>
          <w:color w:val="000000" w:themeColor="text1"/>
          <w:lang w:val="en-GB"/>
        </w:rPr>
        <w:t>Annual Review of Public Health</w:t>
      </w:r>
      <w:r w:rsidRPr="00FB6E21">
        <w:rPr>
          <w:rFonts w:ascii="Arial" w:hAnsi="Arial" w:cs="Arial"/>
          <w:color w:val="000000" w:themeColor="text1"/>
          <w:lang w:val="en-GB"/>
        </w:rPr>
        <w:t xml:space="preserve">, 33, pp. 113–128. Available at: </w:t>
      </w:r>
      <w:hyperlink r:id="rId56" w:tgtFrame="_blank" w:tooltip="doi.org" w:history="1">
        <w:r w:rsidRPr="00FB6E21">
          <w:rPr>
            <w:rStyle w:val="Hyperlink"/>
            <w:rFonts w:ascii="Arial" w:hAnsi="Arial" w:cs="Arial"/>
            <w:lang w:val="en-GB"/>
          </w:rPr>
          <w:t>https://doi.org/10.1146/annurev-publhealth-031811-124546</w:t>
        </w:r>
      </w:hyperlink>
      <w:r w:rsidRPr="00FB6E21">
        <w:rPr>
          <w:rFonts w:ascii="Arial" w:hAnsi="Arial" w:cs="Arial"/>
          <w:color w:val="000000" w:themeColor="text1"/>
          <w:lang w:val="en-GB"/>
        </w:rPr>
        <w:t xml:space="preserve"> (Accessed: 28 April 2026).</w:t>
      </w:r>
    </w:p>
    <w:p w14:paraId="78013A28" w14:textId="77777777" w:rsidR="00FB6E21" w:rsidRPr="00FB6E21" w:rsidRDefault="00FB6E21" w:rsidP="00FB6E21">
      <w:pPr>
        <w:spacing w:line="360" w:lineRule="auto"/>
        <w:jc w:val="both"/>
        <w:rPr>
          <w:rFonts w:ascii="Arial" w:hAnsi="Arial" w:cs="Arial"/>
          <w:color w:val="000000" w:themeColor="text1"/>
          <w:lang w:val="en-GB"/>
        </w:rPr>
      </w:pPr>
      <w:proofErr w:type="spellStart"/>
      <w:r w:rsidRPr="00FB6E21">
        <w:rPr>
          <w:rFonts w:ascii="Arial" w:hAnsi="Arial" w:cs="Arial"/>
          <w:color w:val="000000" w:themeColor="text1"/>
          <w:lang w:val="en-GB"/>
        </w:rPr>
        <w:t>Hargittai</w:t>
      </w:r>
      <w:proofErr w:type="spellEnd"/>
      <w:r w:rsidRPr="00FB6E21">
        <w:rPr>
          <w:rFonts w:ascii="Arial" w:hAnsi="Arial" w:cs="Arial"/>
          <w:color w:val="000000" w:themeColor="text1"/>
          <w:lang w:val="en-GB"/>
        </w:rPr>
        <w:t xml:space="preserve">, E., Piper, A.M. and Morris, M.R. (2019) ‘Digital inequality and older adults’, </w:t>
      </w:r>
      <w:r w:rsidRPr="00FB6E21">
        <w:rPr>
          <w:rFonts w:ascii="Arial" w:hAnsi="Arial" w:cs="Arial"/>
          <w:i/>
          <w:iCs/>
          <w:color w:val="000000" w:themeColor="text1"/>
          <w:lang w:val="en-GB"/>
        </w:rPr>
        <w:t>New Media &amp; Society</w:t>
      </w:r>
      <w:r w:rsidRPr="00FB6E21">
        <w:rPr>
          <w:rFonts w:ascii="Arial" w:hAnsi="Arial" w:cs="Arial"/>
          <w:color w:val="000000" w:themeColor="text1"/>
          <w:lang w:val="en-GB"/>
        </w:rPr>
        <w:t xml:space="preserve">, 21(3), pp. 710–731. Available at: </w:t>
      </w:r>
      <w:hyperlink r:id="rId57" w:tgtFrame="_blank" w:tooltip="doi.org" w:history="1">
        <w:r w:rsidRPr="00FB6E21">
          <w:rPr>
            <w:rStyle w:val="Hyperlink"/>
            <w:rFonts w:ascii="Arial" w:hAnsi="Arial" w:cs="Arial"/>
            <w:lang w:val="en-GB"/>
          </w:rPr>
          <w:t>https://doi.org/10.1177/1461444818809727</w:t>
        </w:r>
      </w:hyperlink>
      <w:r w:rsidRPr="00FB6E21">
        <w:rPr>
          <w:rFonts w:ascii="Arial" w:hAnsi="Arial" w:cs="Arial"/>
          <w:color w:val="000000" w:themeColor="text1"/>
          <w:lang w:val="en-GB"/>
        </w:rPr>
        <w:t xml:space="preserve"> (Accessed: 22 March 2026).</w:t>
      </w:r>
    </w:p>
    <w:p w14:paraId="62210B0A"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Heran, B.S., Chen, J.M., Ebrahim, S., Moxham, T., Oldridge, N., Rees, K., Thompson, D.R. and Taylor, R.S. (2011) ‘Exercise</w:t>
      </w:r>
      <w:r w:rsidRPr="00FB6E21">
        <w:rPr>
          <w:rFonts w:ascii="Arial" w:hAnsi="Arial" w:cs="Arial"/>
          <w:color w:val="000000" w:themeColor="text1"/>
          <w:lang w:val="en-GB"/>
        </w:rPr>
        <w:noBreakHyphen/>
        <w:t xml:space="preserve">based CR’, </w:t>
      </w:r>
      <w:r w:rsidRPr="00FB6E21">
        <w:rPr>
          <w:rFonts w:ascii="Arial" w:hAnsi="Arial" w:cs="Arial"/>
          <w:i/>
          <w:iCs/>
          <w:color w:val="000000" w:themeColor="text1"/>
          <w:lang w:val="en-GB"/>
        </w:rPr>
        <w:t>Cochrane Database of Systematic Reviews</w:t>
      </w:r>
      <w:r w:rsidRPr="00FB6E21">
        <w:rPr>
          <w:rFonts w:ascii="Arial" w:hAnsi="Arial" w:cs="Arial"/>
          <w:color w:val="000000" w:themeColor="text1"/>
          <w:lang w:val="en-GB"/>
        </w:rPr>
        <w:t xml:space="preserve">, CD001800. Available at: </w:t>
      </w:r>
      <w:hyperlink r:id="rId58" w:tgtFrame="_blank" w:tooltip="doi.org" w:history="1">
        <w:r w:rsidRPr="00FB6E21">
          <w:rPr>
            <w:rStyle w:val="Hyperlink"/>
            <w:rFonts w:ascii="Arial" w:hAnsi="Arial" w:cs="Arial"/>
            <w:lang w:val="en-GB"/>
          </w:rPr>
          <w:t>https://doi.org/10.1002/14651858.CD001800.pub2</w:t>
        </w:r>
      </w:hyperlink>
      <w:r w:rsidRPr="00FB6E21">
        <w:rPr>
          <w:rFonts w:ascii="Arial" w:hAnsi="Arial" w:cs="Arial"/>
          <w:color w:val="000000" w:themeColor="text1"/>
          <w:lang w:val="en-GB"/>
        </w:rPr>
        <w:t xml:space="preserve"> (Accessed: 6 February 2026).</w:t>
      </w:r>
    </w:p>
    <w:p w14:paraId="28B157E0"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Hong, Q.N., </w:t>
      </w:r>
      <w:proofErr w:type="spellStart"/>
      <w:r w:rsidRPr="00FB6E21">
        <w:rPr>
          <w:rFonts w:ascii="Arial" w:hAnsi="Arial" w:cs="Arial"/>
          <w:color w:val="000000" w:themeColor="text1"/>
          <w:lang w:val="en-GB"/>
        </w:rPr>
        <w:t>Pluye</w:t>
      </w:r>
      <w:proofErr w:type="spellEnd"/>
      <w:r w:rsidRPr="00FB6E21">
        <w:rPr>
          <w:rFonts w:ascii="Arial" w:hAnsi="Arial" w:cs="Arial"/>
          <w:color w:val="000000" w:themeColor="text1"/>
          <w:lang w:val="en-GB"/>
        </w:rPr>
        <w:t xml:space="preserve">, P., </w:t>
      </w:r>
      <w:proofErr w:type="spellStart"/>
      <w:r w:rsidRPr="00FB6E21">
        <w:rPr>
          <w:rFonts w:ascii="Arial" w:hAnsi="Arial" w:cs="Arial"/>
          <w:color w:val="000000" w:themeColor="text1"/>
          <w:lang w:val="en-GB"/>
        </w:rPr>
        <w:t>Fàbregues</w:t>
      </w:r>
      <w:proofErr w:type="spellEnd"/>
      <w:r w:rsidRPr="00FB6E21">
        <w:rPr>
          <w:rFonts w:ascii="Arial" w:hAnsi="Arial" w:cs="Arial"/>
          <w:color w:val="000000" w:themeColor="text1"/>
          <w:lang w:val="en-GB"/>
        </w:rPr>
        <w:t xml:space="preserve">, S., Bartlett, G., Boardman, F., Cargo, M., Dagenais, P., Gagnon, M.P., Griffiths, F., Nicolau, B., </w:t>
      </w:r>
      <w:proofErr w:type="spellStart"/>
      <w:r w:rsidRPr="00FB6E21">
        <w:rPr>
          <w:rFonts w:ascii="Arial" w:hAnsi="Arial" w:cs="Arial"/>
          <w:color w:val="000000" w:themeColor="text1"/>
          <w:lang w:val="en-GB"/>
        </w:rPr>
        <w:t>O’Cathain</w:t>
      </w:r>
      <w:proofErr w:type="spellEnd"/>
      <w:r w:rsidRPr="00FB6E21">
        <w:rPr>
          <w:rFonts w:ascii="Arial" w:hAnsi="Arial" w:cs="Arial"/>
          <w:color w:val="000000" w:themeColor="text1"/>
          <w:lang w:val="en-GB"/>
        </w:rPr>
        <w:t xml:space="preserve">, A., Rousseau, M.C. and Vedel, I. (2018) ‘MMAT 2018’, </w:t>
      </w:r>
      <w:r w:rsidRPr="00FB6E21">
        <w:rPr>
          <w:rFonts w:ascii="Arial" w:hAnsi="Arial" w:cs="Arial"/>
          <w:i/>
          <w:iCs/>
          <w:color w:val="000000" w:themeColor="text1"/>
          <w:lang w:val="en-GB"/>
        </w:rPr>
        <w:t>Education for Information</w:t>
      </w:r>
      <w:r w:rsidRPr="00FB6E21">
        <w:rPr>
          <w:rFonts w:ascii="Arial" w:hAnsi="Arial" w:cs="Arial"/>
          <w:color w:val="000000" w:themeColor="text1"/>
          <w:lang w:val="en-GB"/>
        </w:rPr>
        <w:t xml:space="preserve">, 34(4), pp. 285–291. Available at: </w:t>
      </w:r>
      <w:hyperlink r:id="rId59" w:tgtFrame="_blank" w:tooltip="doi.org" w:history="1">
        <w:r w:rsidRPr="00FB6E21">
          <w:rPr>
            <w:rStyle w:val="Hyperlink"/>
            <w:rFonts w:ascii="Arial" w:hAnsi="Arial" w:cs="Arial"/>
            <w:lang w:val="en-GB"/>
          </w:rPr>
          <w:t>https://doi.org/10.3233/EFI-180221</w:t>
        </w:r>
      </w:hyperlink>
      <w:r w:rsidRPr="00FB6E21">
        <w:rPr>
          <w:rFonts w:ascii="Arial" w:hAnsi="Arial" w:cs="Arial"/>
          <w:color w:val="000000" w:themeColor="text1"/>
          <w:lang w:val="en-GB"/>
        </w:rPr>
        <w:t xml:space="preserve"> (Accessed: 19 March 2026).</w:t>
      </w:r>
    </w:p>
    <w:p w14:paraId="3684ECAA"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Jelinek, M.V., Thompson, D.R., Ski, C.F., Bunker, S., Vale, M. and Worrall</w:t>
      </w:r>
      <w:r w:rsidRPr="00FB6E21">
        <w:rPr>
          <w:rFonts w:ascii="Arial" w:hAnsi="Arial" w:cs="Arial"/>
          <w:color w:val="000000" w:themeColor="text1"/>
          <w:lang w:val="en-GB"/>
        </w:rPr>
        <w:noBreakHyphen/>
        <w:t xml:space="preserve">Carter, L. (2020) ‘CR outcomes in older adults’, </w:t>
      </w:r>
      <w:r w:rsidRPr="00FB6E21">
        <w:rPr>
          <w:rFonts w:ascii="Arial" w:hAnsi="Arial" w:cs="Arial"/>
          <w:i/>
          <w:iCs/>
          <w:color w:val="000000" w:themeColor="text1"/>
          <w:lang w:val="en-GB"/>
        </w:rPr>
        <w:t>Heart, Lung and Circulation</w:t>
      </w:r>
      <w:r w:rsidRPr="00FB6E21">
        <w:rPr>
          <w:rFonts w:ascii="Arial" w:hAnsi="Arial" w:cs="Arial"/>
          <w:color w:val="000000" w:themeColor="text1"/>
          <w:lang w:val="en-GB"/>
        </w:rPr>
        <w:t xml:space="preserve">, 29(12), pp. 1780–1787. Available at: </w:t>
      </w:r>
      <w:hyperlink r:id="rId60" w:tgtFrame="_blank" w:tooltip="doi.org" w:history="1">
        <w:r w:rsidRPr="00FB6E21">
          <w:rPr>
            <w:rStyle w:val="Hyperlink"/>
            <w:rFonts w:ascii="Arial" w:hAnsi="Arial" w:cs="Arial"/>
            <w:lang w:val="en-GB"/>
          </w:rPr>
          <w:t>https://doi.org/10.1016/j.hlc.2019.10.007</w:t>
        </w:r>
      </w:hyperlink>
      <w:r w:rsidRPr="00FB6E21">
        <w:rPr>
          <w:rFonts w:ascii="Arial" w:hAnsi="Arial" w:cs="Arial"/>
          <w:color w:val="000000" w:themeColor="text1"/>
          <w:lang w:val="en-GB"/>
        </w:rPr>
        <w:t xml:space="preserve"> (Accessed: 11 April 2026).</w:t>
      </w:r>
    </w:p>
    <w:p w14:paraId="508A3A93"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Jolly, K., Taylor, R.S., Lip, G.Y.H., Greenfield, S.M., Raftery, J., Mant, J., Lane, D., Jones, M., Lee, K., Stevens, A. and Davies, M. (2009) ‘BRUM Trial’, </w:t>
      </w:r>
      <w:r w:rsidRPr="00FB6E21">
        <w:rPr>
          <w:rFonts w:ascii="Arial" w:hAnsi="Arial" w:cs="Arial"/>
          <w:i/>
          <w:iCs/>
          <w:color w:val="000000" w:themeColor="text1"/>
          <w:lang w:val="en-GB"/>
        </w:rPr>
        <w:t>Heart</w:t>
      </w:r>
      <w:r w:rsidRPr="00FB6E21">
        <w:rPr>
          <w:rFonts w:ascii="Arial" w:hAnsi="Arial" w:cs="Arial"/>
          <w:color w:val="000000" w:themeColor="text1"/>
          <w:lang w:val="en-GB"/>
        </w:rPr>
        <w:t xml:space="preserve">, 95(4), pp. </w:t>
      </w:r>
      <w:r w:rsidRPr="00FB6E21">
        <w:rPr>
          <w:rFonts w:ascii="Arial" w:hAnsi="Arial" w:cs="Arial"/>
          <w:color w:val="000000" w:themeColor="text1"/>
          <w:lang w:val="en-GB"/>
        </w:rPr>
        <w:lastRenderedPageBreak/>
        <w:t xml:space="preserve">271–277. Available at: </w:t>
      </w:r>
      <w:hyperlink r:id="rId61" w:tgtFrame="_blank" w:tooltip="doi.org" w:history="1">
        <w:r w:rsidRPr="00FB6E21">
          <w:rPr>
            <w:rStyle w:val="Hyperlink"/>
            <w:rFonts w:ascii="Arial" w:hAnsi="Arial" w:cs="Arial"/>
            <w:lang w:val="en-GB"/>
          </w:rPr>
          <w:t>https://doi.org/10.1136/hrt.2007.127209</w:t>
        </w:r>
      </w:hyperlink>
      <w:r w:rsidRPr="00FB6E21">
        <w:rPr>
          <w:rFonts w:ascii="Arial" w:hAnsi="Arial" w:cs="Arial"/>
          <w:color w:val="000000" w:themeColor="text1"/>
          <w:lang w:val="en-GB"/>
        </w:rPr>
        <w:t xml:space="preserve"> (Accessed: 8 March 2026).</w:t>
      </w:r>
    </w:p>
    <w:p w14:paraId="61F6096B" w14:textId="77777777" w:rsidR="00FB6E21" w:rsidRPr="00FB6E21" w:rsidRDefault="00FB6E21" w:rsidP="00FB6E21">
      <w:pPr>
        <w:spacing w:line="360" w:lineRule="auto"/>
        <w:jc w:val="both"/>
        <w:rPr>
          <w:rFonts w:ascii="Arial" w:hAnsi="Arial" w:cs="Arial"/>
          <w:color w:val="000000" w:themeColor="text1"/>
          <w:lang w:val="en-GB"/>
        </w:rPr>
      </w:pPr>
      <w:proofErr w:type="spellStart"/>
      <w:r w:rsidRPr="00FB6E21">
        <w:rPr>
          <w:rFonts w:ascii="Arial" w:hAnsi="Arial" w:cs="Arial"/>
          <w:color w:val="000000" w:themeColor="text1"/>
          <w:lang w:val="en-GB"/>
        </w:rPr>
        <w:t>Kabboul</w:t>
      </w:r>
      <w:proofErr w:type="spellEnd"/>
      <w:r w:rsidRPr="00FB6E21">
        <w:rPr>
          <w:rFonts w:ascii="Arial" w:hAnsi="Arial" w:cs="Arial"/>
          <w:color w:val="000000" w:themeColor="text1"/>
          <w:lang w:val="en-GB"/>
        </w:rPr>
        <w:t xml:space="preserve">, N., Tomlinson, G., Francis, T., Grace, S.L., Chaves, G., Rac, V., </w:t>
      </w:r>
      <w:proofErr w:type="spellStart"/>
      <w:r w:rsidRPr="00FB6E21">
        <w:rPr>
          <w:rFonts w:ascii="Arial" w:hAnsi="Arial" w:cs="Arial"/>
          <w:color w:val="000000" w:themeColor="text1"/>
          <w:lang w:val="en-GB"/>
        </w:rPr>
        <w:t>Daou</w:t>
      </w:r>
      <w:r w:rsidRPr="00FB6E21">
        <w:rPr>
          <w:rFonts w:ascii="Arial" w:hAnsi="Arial" w:cs="Arial"/>
          <w:color w:val="000000" w:themeColor="text1"/>
          <w:lang w:val="en-GB"/>
        </w:rPr>
        <w:noBreakHyphen/>
        <w:t>Kabboul</w:t>
      </w:r>
      <w:proofErr w:type="spellEnd"/>
      <w:r w:rsidRPr="00FB6E21">
        <w:rPr>
          <w:rFonts w:ascii="Arial" w:hAnsi="Arial" w:cs="Arial"/>
          <w:color w:val="000000" w:themeColor="text1"/>
          <w:lang w:val="en-GB"/>
        </w:rPr>
        <w:t xml:space="preserve">, T., Bielecki, J.M., Alter, D.A. and Krahn, M. (2018) ‘Educational interventions in CR’, </w:t>
      </w:r>
      <w:r w:rsidRPr="00FB6E21">
        <w:rPr>
          <w:rFonts w:ascii="Arial" w:hAnsi="Arial" w:cs="Arial"/>
          <w:i/>
          <w:iCs/>
          <w:color w:val="000000" w:themeColor="text1"/>
          <w:lang w:val="en-GB"/>
        </w:rPr>
        <w:t>BMJ Open</w:t>
      </w:r>
      <w:r w:rsidRPr="00FB6E21">
        <w:rPr>
          <w:rFonts w:ascii="Arial" w:hAnsi="Arial" w:cs="Arial"/>
          <w:color w:val="000000" w:themeColor="text1"/>
          <w:lang w:val="en-GB"/>
        </w:rPr>
        <w:t xml:space="preserve">, 8(3), e019756. Available at: </w:t>
      </w:r>
      <w:hyperlink r:id="rId62" w:tgtFrame="_blank" w:tooltip="doi.org" w:history="1">
        <w:r w:rsidRPr="00FB6E21">
          <w:rPr>
            <w:rStyle w:val="Hyperlink"/>
            <w:rFonts w:ascii="Arial" w:hAnsi="Arial" w:cs="Arial"/>
            <w:lang w:val="en-GB"/>
          </w:rPr>
          <w:t>https://doi.org/10.1136/bmjopen-2017-019756</w:t>
        </w:r>
      </w:hyperlink>
      <w:r w:rsidRPr="00FB6E21">
        <w:rPr>
          <w:rFonts w:ascii="Arial" w:hAnsi="Arial" w:cs="Arial"/>
          <w:color w:val="000000" w:themeColor="text1"/>
          <w:lang w:val="en-GB"/>
        </w:rPr>
        <w:t xml:space="preserve"> (Accessed: 14 April 2026).</w:t>
      </w:r>
    </w:p>
    <w:p w14:paraId="36D43CEA"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Khan, N.A., </w:t>
      </w:r>
      <w:proofErr w:type="spellStart"/>
      <w:r w:rsidRPr="00FB6E21">
        <w:rPr>
          <w:rFonts w:ascii="Arial" w:hAnsi="Arial" w:cs="Arial"/>
          <w:color w:val="000000" w:themeColor="text1"/>
          <w:lang w:val="en-GB"/>
        </w:rPr>
        <w:t>Daskalopoulou</w:t>
      </w:r>
      <w:proofErr w:type="spellEnd"/>
      <w:r w:rsidRPr="00FB6E21">
        <w:rPr>
          <w:rFonts w:ascii="Arial" w:hAnsi="Arial" w:cs="Arial"/>
          <w:color w:val="000000" w:themeColor="text1"/>
          <w:lang w:val="en-GB"/>
        </w:rPr>
        <w:t xml:space="preserve">, S.S., Karp, I., Eisenberg, M.J., Pelletier, R., </w:t>
      </w:r>
      <w:proofErr w:type="spellStart"/>
      <w:r w:rsidRPr="00FB6E21">
        <w:rPr>
          <w:rFonts w:ascii="Arial" w:hAnsi="Arial" w:cs="Arial"/>
          <w:color w:val="000000" w:themeColor="text1"/>
          <w:lang w:val="en-GB"/>
        </w:rPr>
        <w:t>Tsadok</w:t>
      </w:r>
      <w:proofErr w:type="spellEnd"/>
      <w:r w:rsidRPr="00FB6E21">
        <w:rPr>
          <w:rFonts w:ascii="Arial" w:hAnsi="Arial" w:cs="Arial"/>
          <w:color w:val="000000" w:themeColor="text1"/>
          <w:lang w:val="en-GB"/>
        </w:rPr>
        <w:t xml:space="preserve">, M.A., Dasgupta, K. and </w:t>
      </w:r>
      <w:proofErr w:type="spellStart"/>
      <w:r w:rsidRPr="00FB6E21">
        <w:rPr>
          <w:rFonts w:ascii="Arial" w:hAnsi="Arial" w:cs="Arial"/>
          <w:color w:val="000000" w:themeColor="text1"/>
          <w:lang w:val="en-GB"/>
        </w:rPr>
        <w:t>Pilote</w:t>
      </w:r>
      <w:proofErr w:type="spellEnd"/>
      <w:r w:rsidRPr="00FB6E21">
        <w:rPr>
          <w:rFonts w:ascii="Arial" w:hAnsi="Arial" w:cs="Arial"/>
          <w:color w:val="000000" w:themeColor="text1"/>
          <w:lang w:val="en-GB"/>
        </w:rPr>
        <w:t xml:space="preserve">, L. (2018) ‘Ethnic differences in CR’, </w:t>
      </w:r>
      <w:r w:rsidRPr="00FB6E21">
        <w:rPr>
          <w:rFonts w:ascii="Arial" w:hAnsi="Arial" w:cs="Arial"/>
          <w:i/>
          <w:iCs/>
          <w:color w:val="000000" w:themeColor="text1"/>
          <w:lang w:val="en-GB"/>
        </w:rPr>
        <w:t>Canadian Journal of Cardiology</w:t>
      </w:r>
      <w:r w:rsidRPr="00FB6E21">
        <w:rPr>
          <w:rFonts w:ascii="Arial" w:hAnsi="Arial" w:cs="Arial"/>
          <w:color w:val="000000" w:themeColor="text1"/>
          <w:lang w:val="en-GB"/>
        </w:rPr>
        <w:t xml:space="preserve">, 34(10), pp. 1300–1309. Available at: </w:t>
      </w:r>
      <w:hyperlink r:id="rId63" w:tgtFrame="_blank" w:tooltip="doi.org" w:history="1">
        <w:r w:rsidRPr="00FB6E21">
          <w:rPr>
            <w:rStyle w:val="Hyperlink"/>
            <w:rFonts w:ascii="Arial" w:hAnsi="Arial" w:cs="Arial"/>
            <w:lang w:val="en-GB"/>
          </w:rPr>
          <w:t>https://doi.org/10.1016/j.cjca.2018.06.016</w:t>
        </w:r>
      </w:hyperlink>
      <w:r w:rsidRPr="00FB6E21">
        <w:rPr>
          <w:rFonts w:ascii="Arial" w:hAnsi="Arial" w:cs="Arial"/>
          <w:color w:val="000000" w:themeColor="text1"/>
          <w:lang w:val="en-GB"/>
        </w:rPr>
        <w:t xml:space="preserve"> (Accessed: 27 March 2026).</w:t>
      </w:r>
    </w:p>
    <w:p w14:paraId="0731BE32"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Krieger, N. (2014) ‘Discrimination and health inequities’, </w:t>
      </w:r>
      <w:r w:rsidRPr="00FB6E21">
        <w:rPr>
          <w:rFonts w:ascii="Arial" w:hAnsi="Arial" w:cs="Arial"/>
          <w:i/>
          <w:iCs/>
          <w:color w:val="000000" w:themeColor="text1"/>
          <w:lang w:val="en-GB"/>
        </w:rPr>
        <w:t>International Journal of Health Services</w:t>
      </w:r>
      <w:r w:rsidRPr="00FB6E21">
        <w:rPr>
          <w:rFonts w:ascii="Arial" w:hAnsi="Arial" w:cs="Arial"/>
          <w:color w:val="000000" w:themeColor="text1"/>
          <w:lang w:val="en-GB"/>
        </w:rPr>
        <w:t xml:space="preserve">, 44(4), pp. 643–710. Available at: </w:t>
      </w:r>
      <w:hyperlink r:id="rId64" w:tgtFrame="_blank" w:tooltip="doi.org" w:history="1">
        <w:r w:rsidRPr="00FB6E21">
          <w:rPr>
            <w:rStyle w:val="Hyperlink"/>
            <w:rFonts w:ascii="Arial" w:hAnsi="Arial" w:cs="Arial"/>
            <w:lang w:val="en-GB"/>
          </w:rPr>
          <w:t>https://doi.org/10.2190/HS.44.4.b</w:t>
        </w:r>
      </w:hyperlink>
      <w:r w:rsidRPr="00FB6E21">
        <w:rPr>
          <w:rFonts w:ascii="Arial" w:hAnsi="Arial" w:cs="Arial"/>
          <w:color w:val="000000" w:themeColor="text1"/>
          <w:lang w:val="en-GB"/>
        </w:rPr>
        <w:t xml:space="preserve"> (Accessed: 5 February 2026).</w:t>
      </w:r>
    </w:p>
    <w:p w14:paraId="1A5A27D5"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Libby, P. (2021) ‘The changing landscape of cardiovascular disease’, </w:t>
      </w:r>
      <w:r w:rsidRPr="00FB6E21">
        <w:rPr>
          <w:rFonts w:ascii="Arial" w:hAnsi="Arial" w:cs="Arial"/>
          <w:i/>
          <w:iCs/>
          <w:color w:val="000000" w:themeColor="text1"/>
          <w:lang w:val="en-GB"/>
        </w:rPr>
        <w:t>Nature</w:t>
      </w:r>
      <w:r w:rsidRPr="00FB6E21">
        <w:rPr>
          <w:rFonts w:ascii="Arial" w:hAnsi="Arial" w:cs="Arial"/>
          <w:color w:val="000000" w:themeColor="text1"/>
          <w:lang w:val="en-GB"/>
        </w:rPr>
        <w:t xml:space="preserve">, 592(7855), pp. 524–533. Available at: </w:t>
      </w:r>
      <w:hyperlink r:id="rId65" w:tgtFrame="_blank" w:tooltip="doi.org" w:history="1">
        <w:r w:rsidRPr="00FB6E21">
          <w:rPr>
            <w:rStyle w:val="Hyperlink"/>
            <w:rFonts w:ascii="Arial" w:hAnsi="Arial" w:cs="Arial"/>
            <w:lang w:val="en-GB"/>
          </w:rPr>
          <w:t>https://doi.org/10.1038/s41586-021-03392-8</w:t>
        </w:r>
      </w:hyperlink>
      <w:r w:rsidRPr="00FB6E21">
        <w:rPr>
          <w:rFonts w:ascii="Arial" w:hAnsi="Arial" w:cs="Arial"/>
          <w:color w:val="000000" w:themeColor="text1"/>
          <w:lang w:val="en-GB"/>
        </w:rPr>
        <w:t xml:space="preserve"> (Accessed: 14 March 2026).</w:t>
      </w:r>
    </w:p>
    <w:p w14:paraId="0FB6DB8A"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Lorenc, T., Petticrew, M., Welch, V. and Tugwell, P. (2013) ‘Socioeconomic inequalities in intervention uptake’, </w:t>
      </w:r>
      <w:r w:rsidRPr="00FB6E21">
        <w:rPr>
          <w:rFonts w:ascii="Arial" w:hAnsi="Arial" w:cs="Arial"/>
          <w:i/>
          <w:iCs/>
          <w:color w:val="000000" w:themeColor="text1"/>
          <w:lang w:val="en-GB"/>
        </w:rPr>
        <w:t>American Journal of Public Health</w:t>
      </w:r>
      <w:r w:rsidRPr="00FB6E21">
        <w:rPr>
          <w:rFonts w:ascii="Arial" w:hAnsi="Arial" w:cs="Arial"/>
          <w:color w:val="000000" w:themeColor="text1"/>
          <w:lang w:val="en-GB"/>
        </w:rPr>
        <w:t xml:space="preserve">, 103(2), pp. e31–e42. Available at: </w:t>
      </w:r>
      <w:hyperlink r:id="rId66" w:tgtFrame="_blank" w:tooltip="doi.org" w:history="1">
        <w:r w:rsidRPr="00FB6E21">
          <w:rPr>
            <w:rStyle w:val="Hyperlink"/>
            <w:rFonts w:ascii="Arial" w:hAnsi="Arial" w:cs="Arial"/>
            <w:lang w:val="en-GB"/>
          </w:rPr>
          <w:t>https://doi.org/10.2105/AJPH.2012.300941</w:t>
        </w:r>
      </w:hyperlink>
      <w:r w:rsidRPr="00FB6E21">
        <w:rPr>
          <w:rFonts w:ascii="Arial" w:hAnsi="Arial" w:cs="Arial"/>
          <w:color w:val="000000" w:themeColor="text1"/>
          <w:lang w:val="en-GB"/>
        </w:rPr>
        <w:t xml:space="preserve"> (Accessed: 2 April 2026).</w:t>
      </w:r>
    </w:p>
    <w:p w14:paraId="751109B5"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Marmot, M. (2005) ‘Social determinants of health inequalities’, </w:t>
      </w:r>
      <w:r w:rsidRPr="00FB6E21">
        <w:rPr>
          <w:rFonts w:ascii="Arial" w:hAnsi="Arial" w:cs="Arial"/>
          <w:i/>
          <w:iCs/>
          <w:color w:val="000000" w:themeColor="text1"/>
          <w:lang w:val="en-GB"/>
        </w:rPr>
        <w:t>The Lancet</w:t>
      </w:r>
      <w:r w:rsidRPr="00FB6E21">
        <w:rPr>
          <w:rFonts w:ascii="Arial" w:hAnsi="Arial" w:cs="Arial"/>
          <w:color w:val="000000" w:themeColor="text1"/>
          <w:lang w:val="en-GB"/>
        </w:rPr>
        <w:t xml:space="preserve">, 365(9464), pp. 1099–1104. Available at: </w:t>
      </w:r>
      <w:hyperlink r:id="rId67" w:tgtFrame="_blank" w:tooltip="doi.org" w:history="1">
        <w:r w:rsidRPr="00FB6E21">
          <w:rPr>
            <w:rStyle w:val="Hyperlink"/>
            <w:rFonts w:ascii="Arial" w:hAnsi="Arial" w:cs="Arial"/>
            <w:lang w:val="en-GB"/>
          </w:rPr>
          <w:t>https://doi.org/10.1016/S0140-6736(05)71146-6</w:t>
        </w:r>
      </w:hyperlink>
      <w:r w:rsidRPr="00FB6E21">
        <w:rPr>
          <w:rFonts w:ascii="Arial" w:hAnsi="Arial" w:cs="Arial"/>
          <w:color w:val="000000" w:themeColor="text1"/>
          <w:lang w:val="en-GB"/>
        </w:rPr>
        <w:t xml:space="preserve"> (Accessed: 18 February 2026).</w:t>
      </w:r>
    </w:p>
    <w:p w14:paraId="29AE5705"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Marmot, M., Allen, J., Boyce, T., Goldblatt, P. and Morrison, J. (2020) </w:t>
      </w:r>
      <w:r w:rsidRPr="00FB6E21">
        <w:rPr>
          <w:rFonts w:ascii="Arial" w:hAnsi="Arial" w:cs="Arial"/>
          <w:i/>
          <w:iCs/>
          <w:color w:val="000000" w:themeColor="text1"/>
          <w:lang w:val="en-GB"/>
        </w:rPr>
        <w:t>Health Equity in England: The Marmot Review 10 Years On</w:t>
      </w:r>
      <w:r w:rsidRPr="00FB6E21">
        <w:rPr>
          <w:rFonts w:ascii="Arial" w:hAnsi="Arial" w:cs="Arial"/>
          <w:color w:val="000000" w:themeColor="text1"/>
          <w:lang w:val="en-GB"/>
        </w:rPr>
        <w:t xml:space="preserve">. London: Institute of Health Equity. Available at: </w:t>
      </w:r>
      <w:hyperlink r:id="rId68" w:tgtFrame="_blank" w:tooltip="www.health.org.uk" w:history="1">
        <w:r w:rsidRPr="00FB6E21">
          <w:rPr>
            <w:rStyle w:val="Hyperlink"/>
            <w:rFonts w:ascii="Arial" w:hAnsi="Arial" w:cs="Arial"/>
            <w:lang w:val="en-GB"/>
          </w:rPr>
          <w:t>https://www.health.org.uk/publications/reports/the-marmot-review-10-years-on</w:t>
        </w:r>
      </w:hyperlink>
      <w:r w:rsidRPr="00FB6E21">
        <w:rPr>
          <w:rFonts w:ascii="Arial" w:hAnsi="Arial" w:cs="Arial"/>
          <w:color w:val="000000" w:themeColor="text1"/>
          <w:lang w:val="en-GB"/>
        </w:rPr>
        <w:t xml:space="preserve"> (Accessed: 7 March 2026).</w:t>
      </w:r>
    </w:p>
    <w:p w14:paraId="204D34CF"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Michie, S., van Stralen, M.M. and West, R. (2011) ‘The behaviour change wheel’, </w:t>
      </w:r>
      <w:r w:rsidRPr="00FB6E21">
        <w:rPr>
          <w:rFonts w:ascii="Arial" w:hAnsi="Arial" w:cs="Arial"/>
          <w:i/>
          <w:iCs/>
          <w:color w:val="000000" w:themeColor="text1"/>
          <w:lang w:val="en-GB"/>
        </w:rPr>
        <w:t>Implementation Science</w:t>
      </w:r>
      <w:r w:rsidRPr="00FB6E21">
        <w:rPr>
          <w:rFonts w:ascii="Arial" w:hAnsi="Arial" w:cs="Arial"/>
          <w:color w:val="000000" w:themeColor="text1"/>
          <w:lang w:val="en-GB"/>
        </w:rPr>
        <w:t xml:space="preserve">, 6, 42. Available at: </w:t>
      </w:r>
      <w:hyperlink r:id="rId69" w:tgtFrame="_blank" w:tooltip="doi.org" w:history="1">
        <w:r w:rsidRPr="00FB6E21">
          <w:rPr>
            <w:rStyle w:val="Hyperlink"/>
            <w:rFonts w:ascii="Arial" w:hAnsi="Arial" w:cs="Arial"/>
            <w:lang w:val="en-GB"/>
          </w:rPr>
          <w:t>https://doi.org/10.1186/1748-5908-6-42</w:t>
        </w:r>
      </w:hyperlink>
      <w:r w:rsidRPr="00FB6E21">
        <w:rPr>
          <w:rFonts w:ascii="Arial" w:hAnsi="Arial" w:cs="Arial"/>
          <w:color w:val="000000" w:themeColor="text1"/>
          <w:lang w:val="en-GB"/>
        </w:rPr>
        <w:t xml:space="preserve"> (Accessed: 29 April 2026).</w:t>
      </w:r>
    </w:p>
    <w:p w14:paraId="4CEFA272"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Moher, D., </w:t>
      </w:r>
      <w:proofErr w:type="spellStart"/>
      <w:r w:rsidRPr="00FB6E21">
        <w:rPr>
          <w:rFonts w:ascii="Arial" w:hAnsi="Arial" w:cs="Arial"/>
          <w:color w:val="000000" w:themeColor="text1"/>
          <w:lang w:val="en-GB"/>
        </w:rPr>
        <w:t>Shamseer</w:t>
      </w:r>
      <w:proofErr w:type="spellEnd"/>
      <w:r w:rsidRPr="00FB6E21">
        <w:rPr>
          <w:rFonts w:ascii="Arial" w:hAnsi="Arial" w:cs="Arial"/>
          <w:color w:val="000000" w:themeColor="text1"/>
          <w:lang w:val="en-GB"/>
        </w:rPr>
        <w:t xml:space="preserve">, L., Clarke, M., Ghersi, D., Liberati, A., Petticrew, M., </w:t>
      </w:r>
      <w:proofErr w:type="spellStart"/>
      <w:r w:rsidRPr="00FB6E21">
        <w:rPr>
          <w:rFonts w:ascii="Arial" w:hAnsi="Arial" w:cs="Arial"/>
          <w:color w:val="000000" w:themeColor="text1"/>
          <w:lang w:val="en-GB"/>
        </w:rPr>
        <w:t>Shekelle</w:t>
      </w:r>
      <w:proofErr w:type="spellEnd"/>
      <w:r w:rsidRPr="00FB6E21">
        <w:rPr>
          <w:rFonts w:ascii="Arial" w:hAnsi="Arial" w:cs="Arial"/>
          <w:color w:val="000000" w:themeColor="text1"/>
          <w:lang w:val="en-GB"/>
        </w:rPr>
        <w:t xml:space="preserve">, P. and Stewart, L.A. (2019) ‘PRISMA-P 2015 statement’, </w:t>
      </w:r>
      <w:r w:rsidRPr="00FB6E21">
        <w:rPr>
          <w:rFonts w:ascii="Arial" w:hAnsi="Arial" w:cs="Arial"/>
          <w:i/>
          <w:iCs/>
          <w:color w:val="000000" w:themeColor="text1"/>
          <w:lang w:val="en-GB"/>
        </w:rPr>
        <w:t>Systematic Reviews</w:t>
      </w:r>
      <w:r w:rsidRPr="00FB6E21">
        <w:rPr>
          <w:rFonts w:ascii="Arial" w:hAnsi="Arial" w:cs="Arial"/>
          <w:color w:val="000000" w:themeColor="text1"/>
          <w:lang w:val="en-GB"/>
        </w:rPr>
        <w:t xml:space="preserve">, 4, 1. Available at: </w:t>
      </w:r>
      <w:hyperlink r:id="rId70" w:tgtFrame="_blank" w:tooltip="doi.org" w:history="1">
        <w:r w:rsidRPr="00FB6E21">
          <w:rPr>
            <w:rStyle w:val="Hyperlink"/>
            <w:rFonts w:ascii="Arial" w:hAnsi="Arial" w:cs="Arial"/>
            <w:lang w:val="en-GB"/>
          </w:rPr>
          <w:t>https://doi.org/10.1186/2046-4053-4-1</w:t>
        </w:r>
      </w:hyperlink>
      <w:r w:rsidRPr="00FB6E21">
        <w:rPr>
          <w:rFonts w:ascii="Arial" w:hAnsi="Arial" w:cs="Arial"/>
          <w:color w:val="000000" w:themeColor="text1"/>
          <w:lang w:val="en-GB"/>
        </w:rPr>
        <w:t xml:space="preserve"> (Accessed: 11 May 2026).</w:t>
      </w:r>
    </w:p>
    <w:p w14:paraId="2FA71617"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lastRenderedPageBreak/>
        <w:t xml:space="preserve">Munn, Z., Peters, M.D.J., Stern, C., Tufanaru, C., McArthur, A. and </w:t>
      </w:r>
      <w:proofErr w:type="spellStart"/>
      <w:r w:rsidRPr="00FB6E21">
        <w:rPr>
          <w:rFonts w:ascii="Arial" w:hAnsi="Arial" w:cs="Arial"/>
          <w:color w:val="000000" w:themeColor="text1"/>
          <w:lang w:val="en-GB"/>
        </w:rPr>
        <w:t>Aromataris</w:t>
      </w:r>
      <w:proofErr w:type="spellEnd"/>
      <w:r w:rsidRPr="00FB6E21">
        <w:rPr>
          <w:rFonts w:ascii="Arial" w:hAnsi="Arial" w:cs="Arial"/>
          <w:color w:val="000000" w:themeColor="text1"/>
          <w:lang w:val="en-GB"/>
        </w:rPr>
        <w:t xml:space="preserve">, E. (2018) ‘Systematic review or scoping review?’, </w:t>
      </w:r>
      <w:r w:rsidRPr="00FB6E21">
        <w:rPr>
          <w:rFonts w:ascii="Arial" w:hAnsi="Arial" w:cs="Arial"/>
          <w:i/>
          <w:iCs/>
          <w:color w:val="000000" w:themeColor="text1"/>
          <w:lang w:val="en-GB"/>
        </w:rPr>
        <w:t>BMC Medical Research Methodology</w:t>
      </w:r>
      <w:r w:rsidRPr="00FB6E21">
        <w:rPr>
          <w:rFonts w:ascii="Arial" w:hAnsi="Arial" w:cs="Arial"/>
          <w:color w:val="000000" w:themeColor="text1"/>
          <w:lang w:val="en-GB"/>
        </w:rPr>
        <w:t xml:space="preserve">, 18, 143. Available at: </w:t>
      </w:r>
      <w:hyperlink r:id="rId71" w:tgtFrame="_blank" w:tooltip="doi.org" w:history="1">
        <w:r w:rsidRPr="00FB6E21">
          <w:rPr>
            <w:rStyle w:val="Hyperlink"/>
            <w:rFonts w:ascii="Arial" w:hAnsi="Arial" w:cs="Arial"/>
            <w:lang w:val="en-GB"/>
          </w:rPr>
          <w:t>https://doi.org/10.1186/s12874-018-0611-x</w:t>
        </w:r>
      </w:hyperlink>
      <w:r w:rsidRPr="00FB6E21">
        <w:rPr>
          <w:rFonts w:ascii="Arial" w:hAnsi="Arial" w:cs="Arial"/>
          <w:color w:val="000000" w:themeColor="text1"/>
          <w:lang w:val="en-GB"/>
        </w:rPr>
        <w:t xml:space="preserve"> (Accessed: 23 March 2026).</w:t>
      </w:r>
    </w:p>
    <w:p w14:paraId="3807452D"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NACR (National Audit of Cardiac Rehabilitation) (2022) </w:t>
      </w:r>
      <w:r w:rsidRPr="00FB6E21">
        <w:rPr>
          <w:rFonts w:ascii="Arial" w:hAnsi="Arial" w:cs="Arial"/>
          <w:i/>
          <w:iCs/>
          <w:color w:val="000000" w:themeColor="text1"/>
          <w:lang w:val="en-GB"/>
        </w:rPr>
        <w:t>National Audit of Cardiac Rehabilitation Annual Report</w:t>
      </w:r>
      <w:r w:rsidRPr="00FB6E21">
        <w:rPr>
          <w:rFonts w:ascii="Arial" w:hAnsi="Arial" w:cs="Arial"/>
          <w:color w:val="000000" w:themeColor="text1"/>
          <w:lang w:val="en-GB"/>
        </w:rPr>
        <w:t xml:space="preserve">. Available at: </w:t>
      </w:r>
      <w:hyperlink r:id="rId72" w:tgtFrame="_blank" w:tooltip="www.cardiacrehabilitation.org.uk" w:history="1">
        <w:r w:rsidRPr="00FB6E21">
          <w:rPr>
            <w:rStyle w:val="Hyperlink"/>
            <w:rFonts w:ascii="Arial" w:hAnsi="Arial" w:cs="Arial"/>
            <w:lang w:val="en-GB"/>
          </w:rPr>
          <w:t>https://www.cardiacrehabilitation.org.uk</w:t>
        </w:r>
      </w:hyperlink>
      <w:r w:rsidRPr="00FB6E21">
        <w:rPr>
          <w:rFonts w:ascii="Arial" w:hAnsi="Arial" w:cs="Arial"/>
          <w:color w:val="000000" w:themeColor="text1"/>
          <w:lang w:val="en-GB"/>
        </w:rPr>
        <w:t xml:space="preserve"> (Accessed: 5 April 2026).</w:t>
      </w:r>
    </w:p>
    <w:p w14:paraId="09F59A81" w14:textId="77777777" w:rsidR="00FB6E21" w:rsidRPr="00FB6E21" w:rsidRDefault="00FB6E21" w:rsidP="00FB6E21">
      <w:pPr>
        <w:spacing w:line="360" w:lineRule="auto"/>
        <w:jc w:val="both"/>
        <w:rPr>
          <w:rFonts w:ascii="Arial" w:hAnsi="Arial" w:cs="Arial"/>
          <w:color w:val="000000" w:themeColor="text1"/>
          <w:lang w:val="en-GB"/>
        </w:rPr>
      </w:pPr>
      <w:proofErr w:type="spellStart"/>
      <w:r w:rsidRPr="00FB6E21">
        <w:rPr>
          <w:rFonts w:ascii="Arial" w:hAnsi="Arial" w:cs="Arial"/>
          <w:color w:val="000000" w:themeColor="text1"/>
          <w:lang w:val="en-GB"/>
        </w:rPr>
        <w:t>Nazroo</w:t>
      </w:r>
      <w:proofErr w:type="spellEnd"/>
      <w:r w:rsidRPr="00FB6E21">
        <w:rPr>
          <w:rFonts w:ascii="Arial" w:hAnsi="Arial" w:cs="Arial"/>
          <w:color w:val="000000" w:themeColor="text1"/>
          <w:lang w:val="en-GB"/>
        </w:rPr>
        <w:t xml:space="preserve">, J. (2017) ‘Ethnicity and health inequalities’, </w:t>
      </w:r>
      <w:r w:rsidRPr="00FB6E21">
        <w:rPr>
          <w:rFonts w:ascii="Arial" w:hAnsi="Arial" w:cs="Arial"/>
          <w:i/>
          <w:iCs/>
          <w:color w:val="000000" w:themeColor="text1"/>
          <w:lang w:val="en-GB"/>
        </w:rPr>
        <w:t>Sociology of Health &amp; Illness</w:t>
      </w:r>
      <w:r w:rsidRPr="00FB6E21">
        <w:rPr>
          <w:rFonts w:ascii="Arial" w:hAnsi="Arial" w:cs="Arial"/>
          <w:color w:val="000000" w:themeColor="text1"/>
          <w:lang w:val="en-GB"/>
        </w:rPr>
        <w:t xml:space="preserve">, 39(7), pp. 1100–1119. Available at: </w:t>
      </w:r>
      <w:hyperlink r:id="rId73" w:tgtFrame="_blank" w:tooltip="doi.org" w:history="1">
        <w:r w:rsidRPr="00FB6E21">
          <w:rPr>
            <w:rStyle w:val="Hyperlink"/>
            <w:rFonts w:ascii="Arial" w:hAnsi="Arial" w:cs="Arial"/>
            <w:lang w:val="en-GB"/>
          </w:rPr>
          <w:t>https://doi.org/10.1111/1467-9566.12662</w:t>
        </w:r>
      </w:hyperlink>
      <w:r w:rsidRPr="00FB6E21">
        <w:rPr>
          <w:rFonts w:ascii="Arial" w:hAnsi="Arial" w:cs="Arial"/>
          <w:color w:val="000000" w:themeColor="text1"/>
          <w:lang w:val="en-GB"/>
        </w:rPr>
        <w:t xml:space="preserve"> (Accessed: 16 March 2026).</w:t>
      </w:r>
    </w:p>
    <w:p w14:paraId="2E350175"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Neubeck, L., Hansen, T., Jaarsma, T., </w:t>
      </w:r>
      <w:proofErr w:type="spellStart"/>
      <w:r w:rsidRPr="00FB6E21">
        <w:rPr>
          <w:rFonts w:ascii="Arial" w:hAnsi="Arial" w:cs="Arial"/>
          <w:color w:val="000000" w:themeColor="text1"/>
          <w:lang w:val="en-GB"/>
        </w:rPr>
        <w:t>Klompstra</w:t>
      </w:r>
      <w:proofErr w:type="spellEnd"/>
      <w:r w:rsidRPr="00FB6E21">
        <w:rPr>
          <w:rFonts w:ascii="Arial" w:hAnsi="Arial" w:cs="Arial"/>
          <w:color w:val="000000" w:themeColor="text1"/>
          <w:lang w:val="en-GB"/>
        </w:rPr>
        <w:t xml:space="preserve">, L. and Gallagher, R. (2020) ‘Digital health interventions for cardiac rehabilitation’, </w:t>
      </w:r>
      <w:r w:rsidRPr="00FB6E21">
        <w:rPr>
          <w:rFonts w:ascii="Arial" w:hAnsi="Arial" w:cs="Arial"/>
          <w:i/>
          <w:iCs/>
          <w:color w:val="000000" w:themeColor="text1"/>
          <w:lang w:val="en-GB"/>
        </w:rPr>
        <w:t>European Journal of Preventive Cardiology</w:t>
      </w:r>
      <w:r w:rsidRPr="00FB6E21">
        <w:rPr>
          <w:rFonts w:ascii="Arial" w:hAnsi="Arial" w:cs="Arial"/>
          <w:color w:val="000000" w:themeColor="text1"/>
          <w:lang w:val="en-GB"/>
        </w:rPr>
        <w:t xml:space="preserve">, 27(9), pp. 940–952. Available at: </w:t>
      </w:r>
      <w:hyperlink r:id="rId74" w:tgtFrame="_blank" w:tooltip="doi.org" w:history="1">
        <w:r w:rsidRPr="00FB6E21">
          <w:rPr>
            <w:rStyle w:val="Hyperlink"/>
            <w:rFonts w:ascii="Arial" w:hAnsi="Arial" w:cs="Arial"/>
            <w:lang w:val="en-GB"/>
          </w:rPr>
          <w:t>https://doi.org/10.1177/2047487319871713</w:t>
        </w:r>
      </w:hyperlink>
      <w:r w:rsidRPr="00FB6E21">
        <w:rPr>
          <w:rFonts w:ascii="Arial" w:hAnsi="Arial" w:cs="Arial"/>
          <w:color w:val="000000" w:themeColor="text1"/>
          <w:lang w:val="en-GB"/>
        </w:rPr>
        <w:t xml:space="preserve"> (Accessed: 8 February 2026).</w:t>
      </w:r>
    </w:p>
    <w:p w14:paraId="4285C0FE"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NICE (National Institute for Health and Care Excellence) (2018) </w:t>
      </w:r>
      <w:r w:rsidRPr="00FB6E21">
        <w:rPr>
          <w:rFonts w:ascii="Arial" w:hAnsi="Arial" w:cs="Arial"/>
          <w:i/>
          <w:iCs/>
          <w:color w:val="000000" w:themeColor="text1"/>
          <w:lang w:val="en-GB"/>
        </w:rPr>
        <w:t>Cardiac Rehabilitation: Clinical Guideline</w:t>
      </w:r>
      <w:r w:rsidRPr="00FB6E21">
        <w:rPr>
          <w:rFonts w:ascii="Arial" w:hAnsi="Arial" w:cs="Arial"/>
          <w:color w:val="000000" w:themeColor="text1"/>
          <w:lang w:val="en-GB"/>
        </w:rPr>
        <w:t xml:space="preserve">. Available at: </w:t>
      </w:r>
      <w:hyperlink r:id="rId75" w:tgtFrame="_blank" w:tooltip="www.nice.org.uk" w:history="1">
        <w:r w:rsidRPr="00FB6E21">
          <w:rPr>
            <w:rStyle w:val="Hyperlink"/>
            <w:rFonts w:ascii="Arial" w:hAnsi="Arial" w:cs="Arial"/>
            <w:lang w:val="en-GB"/>
          </w:rPr>
          <w:t>https://www.nice.org.uk</w:t>
        </w:r>
      </w:hyperlink>
      <w:r w:rsidRPr="00FB6E21">
        <w:rPr>
          <w:rFonts w:ascii="Arial" w:hAnsi="Arial" w:cs="Arial"/>
          <w:color w:val="000000" w:themeColor="text1"/>
          <w:lang w:val="en-GB"/>
        </w:rPr>
        <w:t xml:space="preserve"> (Accessed: 21 April 2026).</w:t>
      </w:r>
    </w:p>
    <w:p w14:paraId="2049A1CC"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NICE (National Institute for Health and Care Excellence) (2022) </w:t>
      </w:r>
      <w:r w:rsidRPr="00FB6E21">
        <w:rPr>
          <w:rFonts w:ascii="Arial" w:hAnsi="Arial" w:cs="Arial"/>
          <w:i/>
          <w:iCs/>
          <w:color w:val="000000" w:themeColor="text1"/>
          <w:lang w:val="en-GB"/>
        </w:rPr>
        <w:t>Cardiac Rehabilitation: Clinical Guideline Update</w:t>
      </w:r>
      <w:r w:rsidRPr="00FB6E21">
        <w:rPr>
          <w:rFonts w:ascii="Arial" w:hAnsi="Arial" w:cs="Arial"/>
          <w:color w:val="000000" w:themeColor="text1"/>
          <w:lang w:val="en-GB"/>
        </w:rPr>
        <w:t xml:space="preserve">. Available at: </w:t>
      </w:r>
      <w:hyperlink r:id="rId76" w:tgtFrame="_blank" w:tooltip="www.nice.org.uk" w:history="1">
        <w:r w:rsidRPr="00FB6E21">
          <w:rPr>
            <w:rStyle w:val="Hyperlink"/>
            <w:rFonts w:ascii="Arial" w:hAnsi="Arial" w:cs="Arial"/>
            <w:lang w:val="en-GB"/>
          </w:rPr>
          <w:t>https://www.nice.org.uk</w:t>
        </w:r>
      </w:hyperlink>
      <w:r w:rsidRPr="00FB6E21">
        <w:rPr>
          <w:rFonts w:ascii="Arial" w:hAnsi="Arial" w:cs="Arial"/>
          <w:color w:val="000000" w:themeColor="text1"/>
          <w:lang w:val="en-GB"/>
        </w:rPr>
        <w:t xml:space="preserve"> (Accessed: 12 May 2026).</w:t>
      </w:r>
    </w:p>
    <w:p w14:paraId="43D0DA90"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NIHR (National Institute for Health and Care Research) (2019) </w:t>
      </w:r>
      <w:r w:rsidRPr="00FB6E21">
        <w:rPr>
          <w:rFonts w:ascii="Arial" w:hAnsi="Arial" w:cs="Arial"/>
          <w:i/>
          <w:iCs/>
          <w:color w:val="000000" w:themeColor="text1"/>
          <w:lang w:val="en-GB"/>
        </w:rPr>
        <w:t>Cardiac Rehabilitation Uptake Report</w:t>
      </w:r>
      <w:r w:rsidRPr="00FB6E21">
        <w:rPr>
          <w:rFonts w:ascii="Arial" w:hAnsi="Arial" w:cs="Arial"/>
          <w:color w:val="000000" w:themeColor="text1"/>
          <w:lang w:val="en-GB"/>
        </w:rPr>
        <w:t xml:space="preserve">. Available at: </w:t>
      </w:r>
      <w:hyperlink r:id="rId77" w:tgtFrame="_blank" w:tooltip="evidence.nihr.ac.uk" w:history="1">
        <w:r w:rsidRPr="00FB6E21">
          <w:rPr>
            <w:rStyle w:val="Hyperlink"/>
            <w:rFonts w:ascii="Arial" w:hAnsi="Arial" w:cs="Arial"/>
            <w:lang w:val="en-GB"/>
          </w:rPr>
          <w:t>https://evidence.nihr.ac.uk/alert/cardiac-rehabilitation-improves-quality-of-life-but-uptake-remains-low/</w:t>
        </w:r>
      </w:hyperlink>
      <w:r w:rsidRPr="00FB6E21">
        <w:rPr>
          <w:rFonts w:ascii="Arial" w:hAnsi="Arial" w:cs="Arial"/>
          <w:color w:val="000000" w:themeColor="text1"/>
          <w:lang w:val="en-GB"/>
        </w:rPr>
        <w:t xml:space="preserve"> (Accessed: 3 March 2026).</w:t>
      </w:r>
    </w:p>
    <w:p w14:paraId="3E5D9CC8"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Noyes, J., Booth, A., Cargo, M., Flemming, K., Harden, A., Harris, J., Garside, R., Hannes, K., Pantoja, T., Thomas, J. and Welch, V. (2019) ‘Qualitative evidence in systematic reviews’, in Higgins, J.P.T. et al. (eds) </w:t>
      </w:r>
      <w:r w:rsidRPr="00FB6E21">
        <w:rPr>
          <w:rFonts w:ascii="Arial" w:hAnsi="Arial" w:cs="Arial"/>
          <w:i/>
          <w:iCs/>
          <w:color w:val="000000" w:themeColor="text1"/>
          <w:lang w:val="en-GB"/>
        </w:rPr>
        <w:t>Cochrane Handbook for Systematic Reviews of Interventions</w:t>
      </w:r>
      <w:r w:rsidRPr="00FB6E21">
        <w:rPr>
          <w:rFonts w:ascii="Arial" w:hAnsi="Arial" w:cs="Arial"/>
          <w:color w:val="000000" w:themeColor="text1"/>
          <w:lang w:val="en-GB"/>
        </w:rPr>
        <w:t xml:space="preserve">. 2nd </w:t>
      </w:r>
      <w:proofErr w:type="spellStart"/>
      <w:r w:rsidRPr="00FB6E21">
        <w:rPr>
          <w:rFonts w:ascii="Arial" w:hAnsi="Arial" w:cs="Arial"/>
          <w:color w:val="000000" w:themeColor="text1"/>
          <w:lang w:val="en-GB"/>
        </w:rPr>
        <w:t>edn</w:t>
      </w:r>
      <w:proofErr w:type="spellEnd"/>
      <w:r w:rsidRPr="00FB6E21">
        <w:rPr>
          <w:rFonts w:ascii="Arial" w:hAnsi="Arial" w:cs="Arial"/>
          <w:color w:val="000000" w:themeColor="text1"/>
          <w:lang w:val="en-GB"/>
        </w:rPr>
        <w:t xml:space="preserve">. Chichester: Wiley, pp. 525–545. Available at: </w:t>
      </w:r>
      <w:hyperlink r:id="rId78" w:tgtFrame="_blank" w:tooltip="doi.org" w:history="1">
        <w:r w:rsidRPr="00FB6E21">
          <w:rPr>
            <w:rStyle w:val="Hyperlink"/>
            <w:rFonts w:ascii="Arial" w:hAnsi="Arial" w:cs="Arial"/>
            <w:lang w:val="en-GB"/>
          </w:rPr>
          <w:t>https://doi.org/10.1002/9781119536604.ch21</w:t>
        </w:r>
      </w:hyperlink>
      <w:r w:rsidRPr="00FB6E21">
        <w:rPr>
          <w:rFonts w:ascii="Arial" w:hAnsi="Arial" w:cs="Arial"/>
          <w:color w:val="000000" w:themeColor="text1"/>
          <w:lang w:val="en-GB"/>
        </w:rPr>
        <w:t xml:space="preserve"> (Accessed: 27 April 2026).</w:t>
      </w:r>
    </w:p>
    <w:p w14:paraId="28546FA9" w14:textId="77777777" w:rsidR="00FB6E21" w:rsidRPr="00FB6E21" w:rsidRDefault="00FB6E21" w:rsidP="00FB6E21">
      <w:pPr>
        <w:spacing w:line="360" w:lineRule="auto"/>
        <w:jc w:val="both"/>
        <w:rPr>
          <w:rFonts w:ascii="Arial" w:hAnsi="Arial" w:cs="Arial"/>
          <w:color w:val="000000" w:themeColor="text1"/>
          <w:lang w:val="en-GB"/>
        </w:rPr>
      </w:pPr>
      <w:proofErr w:type="spellStart"/>
      <w:r w:rsidRPr="00FB6E21">
        <w:rPr>
          <w:rFonts w:ascii="Arial" w:hAnsi="Arial" w:cs="Arial"/>
          <w:color w:val="000000" w:themeColor="text1"/>
          <w:lang w:val="en-GB"/>
        </w:rPr>
        <w:t>O’Cathain</w:t>
      </w:r>
      <w:proofErr w:type="spellEnd"/>
      <w:r w:rsidRPr="00FB6E21">
        <w:rPr>
          <w:rFonts w:ascii="Arial" w:hAnsi="Arial" w:cs="Arial"/>
          <w:color w:val="000000" w:themeColor="text1"/>
          <w:lang w:val="en-GB"/>
        </w:rPr>
        <w:t xml:space="preserve">, A., Murphy, E. and Nicholl, J. (2020) ‘Three techniques for integrating data in mixed methods studies’, </w:t>
      </w:r>
      <w:r w:rsidRPr="00FB6E21">
        <w:rPr>
          <w:rFonts w:ascii="Arial" w:hAnsi="Arial" w:cs="Arial"/>
          <w:i/>
          <w:iCs/>
          <w:color w:val="000000" w:themeColor="text1"/>
          <w:lang w:val="en-GB"/>
        </w:rPr>
        <w:t>BMJ</w:t>
      </w:r>
      <w:r w:rsidRPr="00FB6E21">
        <w:rPr>
          <w:rFonts w:ascii="Arial" w:hAnsi="Arial" w:cs="Arial"/>
          <w:color w:val="000000" w:themeColor="text1"/>
          <w:lang w:val="en-GB"/>
        </w:rPr>
        <w:t xml:space="preserve">, 368, m114. Available at: </w:t>
      </w:r>
      <w:hyperlink r:id="rId79" w:tgtFrame="_blank" w:tooltip="doi.org" w:history="1">
        <w:r w:rsidRPr="00FB6E21">
          <w:rPr>
            <w:rStyle w:val="Hyperlink"/>
            <w:rFonts w:ascii="Arial" w:hAnsi="Arial" w:cs="Arial"/>
            <w:lang w:val="en-GB"/>
          </w:rPr>
          <w:t>https://doi.org/10.1136/bmj.m114</w:t>
        </w:r>
      </w:hyperlink>
      <w:r w:rsidRPr="00FB6E21">
        <w:rPr>
          <w:rFonts w:ascii="Arial" w:hAnsi="Arial" w:cs="Arial"/>
          <w:color w:val="000000" w:themeColor="text1"/>
          <w:lang w:val="en-GB"/>
        </w:rPr>
        <w:t xml:space="preserve"> (Accessed: 20 April 2026).</w:t>
      </w:r>
    </w:p>
    <w:p w14:paraId="4A4C796A"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O’Donnell, O., van Doorslaer, E., Wagstaff, A. and </w:t>
      </w:r>
      <w:proofErr w:type="spellStart"/>
      <w:r w:rsidRPr="00FB6E21">
        <w:rPr>
          <w:rFonts w:ascii="Arial" w:hAnsi="Arial" w:cs="Arial"/>
          <w:color w:val="000000" w:themeColor="text1"/>
          <w:lang w:val="en-GB"/>
        </w:rPr>
        <w:t>Lindelow</w:t>
      </w:r>
      <w:proofErr w:type="spellEnd"/>
      <w:r w:rsidRPr="00FB6E21">
        <w:rPr>
          <w:rFonts w:ascii="Arial" w:hAnsi="Arial" w:cs="Arial"/>
          <w:color w:val="000000" w:themeColor="text1"/>
          <w:lang w:val="en-GB"/>
        </w:rPr>
        <w:t xml:space="preserve">, M. (2008) ‘Health literacy and inequalities’, </w:t>
      </w:r>
      <w:r w:rsidRPr="00FB6E21">
        <w:rPr>
          <w:rFonts w:ascii="Arial" w:hAnsi="Arial" w:cs="Arial"/>
          <w:i/>
          <w:iCs/>
          <w:color w:val="000000" w:themeColor="text1"/>
          <w:lang w:val="en-GB"/>
        </w:rPr>
        <w:t>Health Economics</w:t>
      </w:r>
      <w:r w:rsidRPr="00FB6E21">
        <w:rPr>
          <w:rFonts w:ascii="Arial" w:hAnsi="Arial" w:cs="Arial"/>
          <w:color w:val="000000" w:themeColor="text1"/>
          <w:lang w:val="en-GB"/>
        </w:rPr>
        <w:t xml:space="preserve">, 17(4), pp. 423–433. Available at: </w:t>
      </w:r>
      <w:hyperlink r:id="rId80" w:tgtFrame="_blank" w:tooltip="doi.org" w:history="1">
        <w:r w:rsidRPr="00FB6E21">
          <w:rPr>
            <w:rStyle w:val="Hyperlink"/>
            <w:rFonts w:ascii="Arial" w:hAnsi="Arial" w:cs="Arial"/>
            <w:lang w:val="en-GB"/>
          </w:rPr>
          <w:t>https://doi.org/10.1002/hec.1275</w:t>
        </w:r>
      </w:hyperlink>
      <w:r w:rsidRPr="00FB6E21">
        <w:rPr>
          <w:rFonts w:ascii="Arial" w:hAnsi="Arial" w:cs="Arial"/>
          <w:color w:val="000000" w:themeColor="text1"/>
          <w:lang w:val="en-GB"/>
        </w:rPr>
        <w:t xml:space="preserve"> (Accessed: 10 March 2026).</w:t>
      </w:r>
    </w:p>
    <w:p w14:paraId="14697430"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lastRenderedPageBreak/>
        <w:t xml:space="preserve">O’Neil, A., Sanderson, K., Oldenburg, B., Taylor, C.B. and Hawkes, A.L. (2014) ‘Psychosocial interventions in cardiac rehabilitation’, </w:t>
      </w:r>
      <w:r w:rsidRPr="00FB6E21">
        <w:rPr>
          <w:rFonts w:ascii="Arial" w:hAnsi="Arial" w:cs="Arial"/>
          <w:i/>
          <w:iCs/>
          <w:color w:val="000000" w:themeColor="text1"/>
          <w:lang w:val="en-GB"/>
        </w:rPr>
        <w:t>Heart, Lung and Circulation</w:t>
      </w:r>
      <w:r w:rsidRPr="00FB6E21">
        <w:rPr>
          <w:rFonts w:ascii="Arial" w:hAnsi="Arial" w:cs="Arial"/>
          <w:color w:val="000000" w:themeColor="text1"/>
          <w:lang w:val="en-GB"/>
        </w:rPr>
        <w:t xml:space="preserve">, 23(10), pp. 883–893. Available at: </w:t>
      </w:r>
      <w:hyperlink r:id="rId81" w:tgtFrame="_blank" w:tooltip="doi.org" w:history="1">
        <w:r w:rsidRPr="00FB6E21">
          <w:rPr>
            <w:rStyle w:val="Hyperlink"/>
            <w:rFonts w:ascii="Arial" w:hAnsi="Arial" w:cs="Arial"/>
            <w:lang w:val="en-GB"/>
          </w:rPr>
          <w:t>https://doi.org/10.1016/j.hlc.2014.04.001</w:t>
        </w:r>
      </w:hyperlink>
      <w:r w:rsidRPr="00FB6E21">
        <w:rPr>
          <w:rFonts w:ascii="Arial" w:hAnsi="Arial" w:cs="Arial"/>
          <w:color w:val="000000" w:themeColor="text1"/>
          <w:lang w:val="en-GB"/>
        </w:rPr>
        <w:t xml:space="preserve"> (Accessed: 6 April 2026).</w:t>
      </w:r>
    </w:p>
    <w:p w14:paraId="2C9B047E"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Page, M.J., McKenzie, J.E., </w:t>
      </w:r>
      <w:proofErr w:type="spellStart"/>
      <w:r w:rsidRPr="00FB6E21">
        <w:rPr>
          <w:rFonts w:ascii="Arial" w:hAnsi="Arial" w:cs="Arial"/>
          <w:color w:val="000000" w:themeColor="text1"/>
          <w:lang w:val="en-GB"/>
        </w:rPr>
        <w:t>Bossuyt</w:t>
      </w:r>
      <w:proofErr w:type="spellEnd"/>
      <w:r w:rsidRPr="00FB6E21">
        <w:rPr>
          <w:rFonts w:ascii="Arial" w:hAnsi="Arial" w:cs="Arial"/>
          <w:color w:val="000000" w:themeColor="text1"/>
          <w:lang w:val="en-GB"/>
        </w:rPr>
        <w:t xml:space="preserve">, P.M., </w:t>
      </w:r>
      <w:proofErr w:type="spellStart"/>
      <w:r w:rsidRPr="00FB6E21">
        <w:rPr>
          <w:rFonts w:ascii="Arial" w:hAnsi="Arial" w:cs="Arial"/>
          <w:color w:val="000000" w:themeColor="text1"/>
          <w:lang w:val="en-GB"/>
        </w:rPr>
        <w:t>Boutron</w:t>
      </w:r>
      <w:proofErr w:type="spellEnd"/>
      <w:r w:rsidRPr="00FB6E21">
        <w:rPr>
          <w:rFonts w:ascii="Arial" w:hAnsi="Arial" w:cs="Arial"/>
          <w:color w:val="000000" w:themeColor="text1"/>
          <w:lang w:val="en-GB"/>
        </w:rPr>
        <w:t xml:space="preserve">, I., Hoffmann, T.C., Mulrow, C.D., </w:t>
      </w:r>
      <w:proofErr w:type="spellStart"/>
      <w:r w:rsidRPr="00FB6E21">
        <w:rPr>
          <w:rFonts w:ascii="Arial" w:hAnsi="Arial" w:cs="Arial"/>
          <w:color w:val="000000" w:themeColor="text1"/>
          <w:lang w:val="en-GB"/>
        </w:rPr>
        <w:t>Shamseer</w:t>
      </w:r>
      <w:proofErr w:type="spellEnd"/>
      <w:r w:rsidRPr="00FB6E21">
        <w:rPr>
          <w:rFonts w:ascii="Arial" w:hAnsi="Arial" w:cs="Arial"/>
          <w:color w:val="000000" w:themeColor="text1"/>
          <w:lang w:val="en-GB"/>
        </w:rPr>
        <w:t>, L., Tetzlaff, J.M., Akl, E.A., Brennan, S.E., Chou, R., Glanville, J., Grimshaw, J.M., Hróbjartsson, A., Lalu, M.M., Li, T., Loder, E.W., Mayo</w:t>
      </w:r>
      <w:r w:rsidRPr="00FB6E21">
        <w:rPr>
          <w:rFonts w:ascii="Arial" w:hAnsi="Arial" w:cs="Arial"/>
          <w:color w:val="000000" w:themeColor="text1"/>
          <w:lang w:val="en-GB"/>
        </w:rPr>
        <w:noBreakHyphen/>
        <w:t xml:space="preserve">Wilson, E., McDonald, S., McGuinness, L.A., Stewart, L.A., Thomas, J., </w:t>
      </w:r>
      <w:proofErr w:type="spellStart"/>
      <w:r w:rsidRPr="00FB6E21">
        <w:rPr>
          <w:rFonts w:ascii="Arial" w:hAnsi="Arial" w:cs="Arial"/>
          <w:color w:val="000000" w:themeColor="text1"/>
          <w:lang w:val="en-GB"/>
        </w:rPr>
        <w:t>Tricco</w:t>
      </w:r>
      <w:proofErr w:type="spellEnd"/>
      <w:r w:rsidRPr="00FB6E21">
        <w:rPr>
          <w:rFonts w:ascii="Arial" w:hAnsi="Arial" w:cs="Arial"/>
          <w:color w:val="000000" w:themeColor="text1"/>
          <w:lang w:val="en-GB"/>
        </w:rPr>
        <w:t xml:space="preserve">, A.C., Welch, V.A., Whiting, P. and Moher, D. (2021) ‘The PRISMA 2020 statement’, </w:t>
      </w:r>
      <w:r w:rsidRPr="00FB6E21">
        <w:rPr>
          <w:rFonts w:ascii="Arial" w:hAnsi="Arial" w:cs="Arial"/>
          <w:i/>
          <w:iCs/>
          <w:color w:val="000000" w:themeColor="text1"/>
          <w:lang w:val="en-GB"/>
        </w:rPr>
        <w:t>BMJ</w:t>
      </w:r>
      <w:r w:rsidRPr="00FB6E21">
        <w:rPr>
          <w:rFonts w:ascii="Arial" w:hAnsi="Arial" w:cs="Arial"/>
          <w:color w:val="000000" w:themeColor="text1"/>
          <w:lang w:val="en-GB"/>
        </w:rPr>
        <w:t xml:space="preserve">, 372, n71. Available at: </w:t>
      </w:r>
      <w:hyperlink r:id="rId82" w:tgtFrame="_blank" w:tooltip="doi.org" w:history="1">
        <w:r w:rsidRPr="00FB6E21">
          <w:rPr>
            <w:rStyle w:val="Hyperlink"/>
            <w:rFonts w:ascii="Arial" w:hAnsi="Arial" w:cs="Arial"/>
            <w:lang w:val="en-GB"/>
          </w:rPr>
          <w:t>https://doi.org/10.1136/bmj.n71</w:t>
        </w:r>
      </w:hyperlink>
      <w:r w:rsidRPr="00FB6E21">
        <w:rPr>
          <w:rFonts w:ascii="Arial" w:hAnsi="Arial" w:cs="Arial"/>
          <w:color w:val="000000" w:themeColor="text1"/>
          <w:lang w:val="en-GB"/>
        </w:rPr>
        <w:t xml:space="preserve"> (Accessed: 14 May 2026).</w:t>
      </w:r>
    </w:p>
    <w:p w14:paraId="5208324F"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Peters, M.D.J., Godfrey, C., McInerney, P., Munn, Z., </w:t>
      </w:r>
      <w:proofErr w:type="spellStart"/>
      <w:r w:rsidRPr="00FB6E21">
        <w:rPr>
          <w:rFonts w:ascii="Arial" w:hAnsi="Arial" w:cs="Arial"/>
          <w:color w:val="000000" w:themeColor="text1"/>
          <w:lang w:val="en-GB"/>
        </w:rPr>
        <w:t>Tricco</w:t>
      </w:r>
      <w:proofErr w:type="spellEnd"/>
      <w:r w:rsidRPr="00FB6E21">
        <w:rPr>
          <w:rFonts w:ascii="Arial" w:hAnsi="Arial" w:cs="Arial"/>
          <w:color w:val="000000" w:themeColor="text1"/>
          <w:lang w:val="en-GB"/>
        </w:rPr>
        <w:t xml:space="preserve">, A.C. and Khalil, H. (2020) ‘Chapter 11: Scoping reviews (2020 version)’, in </w:t>
      </w:r>
      <w:proofErr w:type="spellStart"/>
      <w:r w:rsidRPr="00FB6E21">
        <w:rPr>
          <w:rFonts w:ascii="Arial" w:hAnsi="Arial" w:cs="Arial"/>
          <w:color w:val="000000" w:themeColor="text1"/>
          <w:lang w:val="en-GB"/>
        </w:rPr>
        <w:t>Aromataris</w:t>
      </w:r>
      <w:proofErr w:type="spellEnd"/>
      <w:r w:rsidRPr="00FB6E21">
        <w:rPr>
          <w:rFonts w:ascii="Arial" w:hAnsi="Arial" w:cs="Arial"/>
          <w:color w:val="000000" w:themeColor="text1"/>
          <w:lang w:val="en-GB"/>
        </w:rPr>
        <w:t xml:space="preserve">, E. and Munn, Z. (eds) </w:t>
      </w:r>
      <w:r w:rsidRPr="00FB6E21">
        <w:rPr>
          <w:rFonts w:ascii="Arial" w:hAnsi="Arial" w:cs="Arial"/>
          <w:i/>
          <w:iCs/>
          <w:color w:val="000000" w:themeColor="text1"/>
          <w:lang w:val="en-GB"/>
        </w:rPr>
        <w:t>JBI Manual for Evidence Synthesis</w:t>
      </w:r>
      <w:r w:rsidRPr="00FB6E21">
        <w:rPr>
          <w:rFonts w:ascii="Arial" w:hAnsi="Arial" w:cs="Arial"/>
          <w:color w:val="000000" w:themeColor="text1"/>
          <w:lang w:val="en-GB"/>
        </w:rPr>
        <w:t xml:space="preserve">. JBI. Available at: </w:t>
      </w:r>
      <w:hyperlink r:id="rId83" w:tgtFrame="_blank" w:tooltip="doi.org" w:history="1">
        <w:r w:rsidRPr="00FB6E21">
          <w:rPr>
            <w:rStyle w:val="Hyperlink"/>
            <w:rFonts w:ascii="Arial" w:hAnsi="Arial" w:cs="Arial"/>
            <w:lang w:val="en-GB"/>
          </w:rPr>
          <w:t>https://doi.org/10.46658/JBIMES-20-01</w:t>
        </w:r>
      </w:hyperlink>
      <w:r w:rsidRPr="00FB6E21">
        <w:rPr>
          <w:rFonts w:ascii="Arial" w:hAnsi="Arial" w:cs="Arial"/>
          <w:color w:val="000000" w:themeColor="text1"/>
          <w:lang w:val="en-GB"/>
        </w:rPr>
        <w:t xml:space="preserve"> (Accessed: 20 April 2026).</w:t>
      </w:r>
    </w:p>
    <w:p w14:paraId="1F7EE70E"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Pollock, A., Campbell, P., Struthers, C., </w:t>
      </w:r>
      <w:proofErr w:type="spellStart"/>
      <w:r w:rsidRPr="00FB6E21">
        <w:rPr>
          <w:rFonts w:ascii="Arial" w:hAnsi="Arial" w:cs="Arial"/>
          <w:color w:val="000000" w:themeColor="text1"/>
          <w:lang w:val="en-GB"/>
        </w:rPr>
        <w:t>Synnot</w:t>
      </w:r>
      <w:proofErr w:type="spellEnd"/>
      <w:r w:rsidRPr="00FB6E21">
        <w:rPr>
          <w:rFonts w:ascii="Arial" w:hAnsi="Arial" w:cs="Arial"/>
          <w:color w:val="000000" w:themeColor="text1"/>
          <w:lang w:val="en-GB"/>
        </w:rPr>
        <w:t xml:space="preserve">, A., Nunn, J., Hill, S., Goodare, H., Morris, J., Watts, C., Morley, R., Oliver, S., Buchanan, P., McGill, K., McAneney, H., McKeown, A., </w:t>
      </w:r>
      <w:proofErr w:type="spellStart"/>
      <w:r w:rsidRPr="00FB6E21">
        <w:rPr>
          <w:rFonts w:ascii="Arial" w:hAnsi="Arial" w:cs="Arial"/>
          <w:color w:val="000000" w:themeColor="text1"/>
          <w:lang w:val="en-GB"/>
        </w:rPr>
        <w:t>McIlfatrick</w:t>
      </w:r>
      <w:proofErr w:type="spellEnd"/>
      <w:r w:rsidRPr="00FB6E21">
        <w:rPr>
          <w:rFonts w:ascii="Arial" w:hAnsi="Arial" w:cs="Arial"/>
          <w:color w:val="000000" w:themeColor="text1"/>
          <w:lang w:val="en-GB"/>
        </w:rPr>
        <w:t xml:space="preserve">, S., Harbison, J., Kernohan, W.G., Donnelly, M., McCaughan, E., McKenna, S., McCann, L., McCormack, B., McVeigh, J., McElhinney, E., McGowan, I., McGonigle, M. (2021) ‘Overviews of reviews’, in Higgins, J.P.T., Thomas, J., Chandler, J., Cumpston, M., Li, T., Page, M.J. and Welch, V.A. (eds) </w:t>
      </w:r>
      <w:r w:rsidRPr="00FB6E21">
        <w:rPr>
          <w:rFonts w:ascii="Arial" w:hAnsi="Arial" w:cs="Arial"/>
          <w:i/>
          <w:iCs/>
          <w:color w:val="000000" w:themeColor="text1"/>
          <w:lang w:val="en-GB"/>
        </w:rPr>
        <w:t>Cochrane Handbook for Systematic Reviews of Interventions</w:t>
      </w:r>
      <w:r w:rsidRPr="00FB6E21">
        <w:rPr>
          <w:rFonts w:ascii="Arial" w:hAnsi="Arial" w:cs="Arial"/>
          <w:color w:val="000000" w:themeColor="text1"/>
          <w:lang w:val="en-GB"/>
        </w:rPr>
        <w:t xml:space="preserve">. 2nd </w:t>
      </w:r>
      <w:proofErr w:type="spellStart"/>
      <w:r w:rsidRPr="00FB6E21">
        <w:rPr>
          <w:rFonts w:ascii="Arial" w:hAnsi="Arial" w:cs="Arial"/>
          <w:color w:val="000000" w:themeColor="text1"/>
          <w:lang w:val="en-GB"/>
        </w:rPr>
        <w:t>edn</w:t>
      </w:r>
      <w:proofErr w:type="spellEnd"/>
      <w:r w:rsidRPr="00FB6E21">
        <w:rPr>
          <w:rFonts w:ascii="Arial" w:hAnsi="Arial" w:cs="Arial"/>
          <w:color w:val="000000" w:themeColor="text1"/>
          <w:lang w:val="en-GB"/>
        </w:rPr>
        <w:t xml:space="preserve">. Chichester: Wiley, pp. 607–631. Available at: </w:t>
      </w:r>
      <w:hyperlink r:id="rId84" w:tgtFrame="_blank" w:tooltip="doi.org" w:history="1">
        <w:r w:rsidRPr="00FB6E21">
          <w:rPr>
            <w:rStyle w:val="Hyperlink"/>
            <w:rFonts w:ascii="Arial" w:hAnsi="Arial" w:cs="Arial"/>
            <w:lang w:val="en-GB"/>
          </w:rPr>
          <w:t>https://doi.org/10.1002/9781119536604.ch22</w:t>
        </w:r>
      </w:hyperlink>
      <w:r w:rsidRPr="00FB6E21">
        <w:rPr>
          <w:rFonts w:ascii="Arial" w:hAnsi="Arial" w:cs="Arial"/>
          <w:color w:val="000000" w:themeColor="text1"/>
          <w:lang w:val="en-GB"/>
        </w:rPr>
        <w:t xml:space="preserve"> (Accessed: 9 February 2026).</w:t>
      </w:r>
    </w:p>
    <w:p w14:paraId="6272BC35"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Popay, J., Roberts, H., Sowden, A., Petticrew, M., Arai, L., Rodgers, M., Britten, N., Roen, K. and Duffy, S. (2006) </w:t>
      </w:r>
      <w:r w:rsidRPr="00FB6E21">
        <w:rPr>
          <w:rFonts w:ascii="Arial" w:hAnsi="Arial" w:cs="Arial"/>
          <w:i/>
          <w:iCs/>
          <w:color w:val="000000" w:themeColor="text1"/>
          <w:lang w:val="en-GB"/>
        </w:rPr>
        <w:t>Guidance on the Conduct of Narrative Synthesis in Systematic Reviews</w:t>
      </w:r>
      <w:r w:rsidRPr="00FB6E21">
        <w:rPr>
          <w:rFonts w:ascii="Arial" w:hAnsi="Arial" w:cs="Arial"/>
          <w:color w:val="000000" w:themeColor="text1"/>
          <w:lang w:val="en-GB"/>
        </w:rPr>
        <w:t xml:space="preserve">. Swindon: ESRC. Available at: </w:t>
      </w:r>
      <w:hyperlink r:id="rId85" w:tgtFrame="_blank" w:tooltip="www.lancaster.ac.uk" w:history="1">
        <w:r w:rsidRPr="00FB6E21">
          <w:rPr>
            <w:rStyle w:val="Hyperlink"/>
            <w:rFonts w:ascii="Arial" w:hAnsi="Arial" w:cs="Arial"/>
            <w:lang w:val="en-GB"/>
          </w:rPr>
          <w:t>https://www.lancaster.ac.uk/media/lancaster-university/content-assets/documents/fhm/dhr/chir/NSguidance.pdf</w:t>
        </w:r>
      </w:hyperlink>
      <w:r w:rsidRPr="00FB6E21">
        <w:rPr>
          <w:rFonts w:ascii="Arial" w:hAnsi="Arial" w:cs="Arial"/>
          <w:color w:val="000000" w:themeColor="text1"/>
          <w:lang w:val="en-GB"/>
        </w:rPr>
        <w:t xml:space="preserve"> (Accessed: 18 April 2026).</w:t>
      </w:r>
    </w:p>
    <w:p w14:paraId="66AB18F7"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Public Health England (2020) </w:t>
      </w:r>
      <w:r w:rsidRPr="00FB6E21">
        <w:rPr>
          <w:rFonts w:ascii="Arial" w:hAnsi="Arial" w:cs="Arial"/>
          <w:i/>
          <w:iCs/>
          <w:color w:val="000000" w:themeColor="text1"/>
          <w:lang w:val="en-GB"/>
        </w:rPr>
        <w:t>Health Profile for England 2020</w:t>
      </w:r>
      <w:r w:rsidRPr="00FB6E21">
        <w:rPr>
          <w:rFonts w:ascii="Arial" w:hAnsi="Arial" w:cs="Arial"/>
          <w:color w:val="000000" w:themeColor="text1"/>
          <w:lang w:val="en-GB"/>
        </w:rPr>
        <w:t xml:space="preserve">. Available at: </w:t>
      </w:r>
      <w:hyperlink r:id="rId86" w:tgtFrame="_blank" w:tooltip="www.gov.uk" w:history="1">
        <w:r w:rsidRPr="00FB6E21">
          <w:rPr>
            <w:rStyle w:val="Hyperlink"/>
            <w:rFonts w:ascii="Arial" w:hAnsi="Arial" w:cs="Arial"/>
            <w:lang w:val="en-GB"/>
          </w:rPr>
          <w:t>https://www.gov.uk/government/publications/health-profile-for-england-2020</w:t>
        </w:r>
      </w:hyperlink>
      <w:r w:rsidRPr="00FB6E21">
        <w:rPr>
          <w:rFonts w:ascii="Arial" w:hAnsi="Arial" w:cs="Arial"/>
          <w:color w:val="000000" w:themeColor="text1"/>
          <w:lang w:val="en-GB"/>
        </w:rPr>
        <w:t xml:space="preserve"> (Accessed: 25 March 2026).</w:t>
      </w:r>
    </w:p>
    <w:p w14:paraId="4CE9A228" w14:textId="77777777" w:rsidR="00FB6E21" w:rsidRPr="00FB6E21" w:rsidRDefault="00FB6E21" w:rsidP="00FB6E21">
      <w:pPr>
        <w:spacing w:line="360" w:lineRule="auto"/>
        <w:jc w:val="both"/>
        <w:rPr>
          <w:rFonts w:ascii="Arial" w:hAnsi="Arial" w:cs="Arial"/>
          <w:color w:val="000000" w:themeColor="text1"/>
          <w:lang w:val="en-GB"/>
        </w:rPr>
      </w:pPr>
      <w:proofErr w:type="spellStart"/>
      <w:r w:rsidRPr="00FB6E21">
        <w:rPr>
          <w:rFonts w:ascii="Arial" w:hAnsi="Arial" w:cs="Arial"/>
          <w:color w:val="000000" w:themeColor="text1"/>
          <w:lang w:val="en-GB"/>
        </w:rPr>
        <w:t>Rawstorn</w:t>
      </w:r>
      <w:proofErr w:type="spellEnd"/>
      <w:r w:rsidRPr="00FB6E21">
        <w:rPr>
          <w:rFonts w:ascii="Arial" w:hAnsi="Arial" w:cs="Arial"/>
          <w:color w:val="000000" w:themeColor="text1"/>
          <w:lang w:val="en-GB"/>
        </w:rPr>
        <w:t xml:space="preserve">, J.C., Gant, N., </w:t>
      </w:r>
      <w:proofErr w:type="spellStart"/>
      <w:r w:rsidRPr="00FB6E21">
        <w:rPr>
          <w:rFonts w:ascii="Arial" w:hAnsi="Arial" w:cs="Arial"/>
          <w:color w:val="000000" w:themeColor="text1"/>
          <w:lang w:val="en-GB"/>
        </w:rPr>
        <w:t>Direito</w:t>
      </w:r>
      <w:proofErr w:type="spellEnd"/>
      <w:r w:rsidRPr="00FB6E21">
        <w:rPr>
          <w:rFonts w:ascii="Arial" w:hAnsi="Arial" w:cs="Arial"/>
          <w:color w:val="000000" w:themeColor="text1"/>
          <w:lang w:val="en-GB"/>
        </w:rPr>
        <w:t xml:space="preserve">, A., Beckmann, C. and Maddison, R. (2021) ‘Digital cardiac rehabilitation: A systematic review’, </w:t>
      </w:r>
      <w:r w:rsidRPr="00FB6E21">
        <w:rPr>
          <w:rFonts w:ascii="Arial" w:hAnsi="Arial" w:cs="Arial"/>
          <w:i/>
          <w:iCs/>
          <w:color w:val="000000" w:themeColor="text1"/>
          <w:lang w:val="en-GB"/>
        </w:rPr>
        <w:t xml:space="preserve">European Journal of Preventive </w:t>
      </w:r>
      <w:r w:rsidRPr="00FB6E21">
        <w:rPr>
          <w:rFonts w:ascii="Arial" w:hAnsi="Arial" w:cs="Arial"/>
          <w:i/>
          <w:iCs/>
          <w:color w:val="000000" w:themeColor="text1"/>
          <w:lang w:val="en-GB"/>
        </w:rPr>
        <w:lastRenderedPageBreak/>
        <w:t>Cardiology</w:t>
      </w:r>
      <w:r w:rsidRPr="00FB6E21">
        <w:rPr>
          <w:rFonts w:ascii="Arial" w:hAnsi="Arial" w:cs="Arial"/>
          <w:color w:val="000000" w:themeColor="text1"/>
          <w:lang w:val="en-GB"/>
        </w:rPr>
        <w:t xml:space="preserve">, 28(10), pp. 1098–1113. Available at: </w:t>
      </w:r>
      <w:hyperlink r:id="rId87" w:tgtFrame="_blank" w:tooltip="doi.org" w:history="1">
        <w:r w:rsidRPr="00FB6E21">
          <w:rPr>
            <w:rStyle w:val="Hyperlink"/>
            <w:rFonts w:ascii="Arial" w:hAnsi="Arial" w:cs="Arial"/>
            <w:lang w:val="en-GB"/>
          </w:rPr>
          <w:t>https://doi.org/10.1177/2047487320905713</w:t>
        </w:r>
      </w:hyperlink>
      <w:r w:rsidRPr="00FB6E21">
        <w:rPr>
          <w:rFonts w:ascii="Arial" w:hAnsi="Arial" w:cs="Arial"/>
          <w:color w:val="000000" w:themeColor="text1"/>
          <w:lang w:val="en-GB"/>
        </w:rPr>
        <w:t xml:space="preserve"> (Accessed: 30 April 2026).</w:t>
      </w:r>
    </w:p>
    <w:p w14:paraId="39FEBDFC" w14:textId="77777777" w:rsidR="00FB6E21" w:rsidRPr="00FB6E21" w:rsidRDefault="00FB6E21" w:rsidP="00FB6E21">
      <w:pPr>
        <w:spacing w:line="360" w:lineRule="auto"/>
        <w:jc w:val="both"/>
        <w:rPr>
          <w:rFonts w:ascii="Arial" w:hAnsi="Arial" w:cs="Arial"/>
          <w:color w:val="000000" w:themeColor="text1"/>
          <w:lang w:val="en-GB"/>
        </w:rPr>
      </w:pPr>
      <w:proofErr w:type="spellStart"/>
      <w:r w:rsidRPr="00FB6E21">
        <w:rPr>
          <w:rFonts w:ascii="Arial" w:hAnsi="Arial" w:cs="Arial"/>
          <w:color w:val="000000" w:themeColor="text1"/>
          <w:lang w:val="en-GB"/>
        </w:rPr>
        <w:t>Resurrección</w:t>
      </w:r>
      <w:proofErr w:type="spellEnd"/>
      <w:r w:rsidRPr="00FB6E21">
        <w:rPr>
          <w:rFonts w:ascii="Arial" w:hAnsi="Arial" w:cs="Arial"/>
          <w:color w:val="000000" w:themeColor="text1"/>
          <w:lang w:val="en-GB"/>
        </w:rPr>
        <w:t xml:space="preserve">, D.M., </w:t>
      </w:r>
      <w:proofErr w:type="spellStart"/>
      <w:r w:rsidRPr="00FB6E21">
        <w:rPr>
          <w:rFonts w:ascii="Arial" w:hAnsi="Arial" w:cs="Arial"/>
          <w:color w:val="000000" w:themeColor="text1"/>
          <w:lang w:val="en-GB"/>
        </w:rPr>
        <w:t>Motrico</w:t>
      </w:r>
      <w:proofErr w:type="spellEnd"/>
      <w:r w:rsidRPr="00FB6E21">
        <w:rPr>
          <w:rFonts w:ascii="Arial" w:hAnsi="Arial" w:cs="Arial"/>
          <w:color w:val="000000" w:themeColor="text1"/>
          <w:lang w:val="en-GB"/>
        </w:rPr>
        <w:t xml:space="preserve">, E., </w:t>
      </w:r>
      <w:proofErr w:type="spellStart"/>
      <w:r w:rsidRPr="00FB6E21">
        <w:rPr>
          <w:rFonts w:ascii="Arial" w:hAnsi="Arial" w:cs="Arial"/>
          <w:color w:val="000000" w:themeColor="text1"/>
          <w:lang w:val="en-GB"/>
        </w:rPr>
        <w:t>Rigabert</w:t>
      </w:r>
      <w:proofErr w:type="spellEnd"/>
      <w:r w:rsidRPr="00FB6E21">
        <w:rPr>
          <w:rFonts w:ascii="Arial" w:hAnsi="Arial" w:cs="Arial"/>
          <w:color w:val="000000" w:themeColor="text1"/>
          <w:lang w:val="en-GB"/>
        </w:rPr>
        <w:t>, A., Rubio</w:t>
      </w:r>
      <w:r w:rsidRPr="00FB6E21">
        <w:rPr>
          <w:rFonts w:ascii="Arial" w:hAnsi="Arial" w:cs="Arial"/>
          <w:color w:val="000000" w:themeColor="text1"/>
          <w:lang w:val="en-GB"/>
        </w:rPr>
        <w:noBreakHyphen/>
        <w:t xml:space="preserve">Valera, M., </w:t>
      </w:r>
      <w:proofErr w:type="spellStart"/>
      <w:r w:rsidRPr="00FB6E21">
        <w:rPr>
          <w:rFonts w:ascii="Arial" w:hAnsi="Arial" w:cs="Arial"/>
          <w:color w:val="000000" w:themeColor="text1"/>
          <w:lang w:val="en-GB"/>
        </w:rPr>
        <w:t>Conejo</w:t>
      </w:r>
      <w:r w:rsidRPr="00FB6E21">
        <w:rPr>
          <w:rFonts w:ascii="Arial" w:hAnsi="Arial" w:cs="Arial"/>
          <w:color w:val="000000" w:themeColor="text1"/>
          <w:lang w:val="en-GB"/>
        </w:rPr>
        <w:noBreakHyphen/>
        <w:t>Cerón</w:t>
      </w:r>
      <w:proofErr w:type="spellEnd"/>
      <w:r w:rsidRPr="00FB6E21">
        <w:rPr>
          <w:rFonts w:ascii="Arial" w:hAnsi="Arial" w:cs="Arial"/>
          <w:color w:val="000000" w:themeColor="text1"/>
          <w:lang w:val="en-GB"/>
        </w:rPr>
        <w:t>, S., Pastor, L. and Moreno</w:t>
      </w:r>
      <w:r w:rsidRPr="00FB6E21">
        <w:rPr>
          <w:rFonts w:ascii="Arial" w:hAnsi="Arial" w:cs="Arial"/>
          <w:color w:val="000000" w:themeColor="text1"/>
          <w:lang w:val="en-GB"/>
        </w:rPr>
        <w:noBreakHyphen/>
        <w:t xml:space="preserve">Peral, P. (2017) ‘Barriers for nonparticipation and dropout of women in cardiac rehabilitation’, </w:t>
      </w:r>
      <w:r w:rsidRPr="00FB6E21">
        <w:rPr>
          <w:rFonts w:ascii="Arial" w:hAnsi="Arial" w:cs="Arial"/>
          <w:i/>
          <w:iCs/>
          <w:color w:val="000000" w:themeColor="text1"/>
          <w:lang w:val="en-GB"/>
        </w:rPr>
        <w:t>Journal of Women’s Health</w:t>
      </w:r>
      <w:r w:rsidRPr="00FB6E21">
        <w:rPr>
          <w:rFonts w:ascii="Arial" w:hAnsi="Arial" w:cs="Arial"/>
          <w:color w:val="000000" w:themeColor="text1"/>
          <w:lang w:val="en-GB"/>
        </w:rPr>
        <w:t xml:space="preserve">, 26(8), pp. 849–859. Available at: </w:t>
      </w:r>
      <w:hyperlink r:id="rId88" w:tgtFrame="_blank" w:tooltip="doi.org" w:history="1">
        <w:r w:rsidRPr="00FB6E21">
          <w:rPr>
            <w:rStyle w:val="Hyperlink"/>
            <w:rFonts w:ascii="Arial" w:hAnsi="Arial" w:cs="Arial"/>
            <w:lang w:val="en-GB"/>
          </w:rPr>
          <w:t>https://doi.org/10.1089/jwh.2016.6023</w:t>
        </w:r>
      </w:hyperlink>
      <w:r w:rsidRPr="00FB6E21">
        <w:rPr>
          <w:rFonts w:ascii="Arial" w:hAnsi="Arial" w:cs="Arial"/>
          <w:color w:val="000000" w:themeColor="text1"/>
          <w:lang w:val="en-GB"/>
        </w:rPr>
        <w:t xml:space="preserve"> (Accessed: 7 March 2026).</w:t>
      </w:r>
    </w:p>
    <w:p w14:paraId="7CCB4422" w14:textId="77777777" w:rsidR="00FB6E21" w:rsidRPr="00FB6E21" w:rsidRDefault="00FB6E21" w:rsidP="00FB6E21">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Roth, G.A., Mensah, G.A., Johnson, C.O., Addolorato, G., Ammirati, E., </w:t>
      </w:r>
      <w:proofErr w:type="spellStart"/>
      <w:r w:rsidRPr="00FB6E21">
        <w:rPr>
          <w:rFonts w:ascii="Arial" w:hAnsi="Arial" w:cs="Arial"/>
          <w:color w:val="000000" w:themeColor="text1"/>
          <w:lang w:val="en-GB"/>
        </w:rPr>
        <w:t>Baddour</w:t>
      </w:r>
      <w:proofErr w:type="spellEnd"/>
      <w:r w:rsidRPr="00FB6E21">
        <w:rPr>
          <w:rFonts w:ascii="Arial" w:hAnsi="Arial" w:cs="Arial"/>
          <w:color w:val="000000" w:themeColor="text1"/>
          <w:lang w:val="en-GB"/>
        </w:rPr>
        <w:t xml:space="preserve">, L.M., </w:t>
      </w:r>
      <w:proofErr w:type="spellStart"/>
      <w:r w:rsidRPr="00FB6E21">
        <w:rPr>
          <w:rFonts w:ascii="Arial" w:hAnsi="Arial" w:cs="Arial"/>
          <w:color w:val="000000" w:themeColor="text1"/>
          <w:lang w:val="en-GB"/>
        </w:rPr>
        <w:t>Barengo</w:t>
      </w:r>
      <w:proofErr w:type="spellEnd"/>
      <w:r w:rsidRPr="00FB6E21">
        <w:rPr>
          <w:rFonts w:ascii="Arial" w:hAnsi="Arial" w:cs="Arial"/>
          <w:color w:val="000000" w:themeColor="text1"/>
          <w:lang w:val="en-GB"/>
        </w:rPr>
        <w:t>, N.C., Beaton, A.Z., Benjamin, E.J., Benziger, C.P., Bonny, A., Brauer, M., Brodmann, M., Cahill, T.J., Carapetis, J., Catapano, A.L., Chugh, S.S., Cooper, L.T., Coresh, J., Criqui, M.H., DeCleene, N., Eagle, K.A., Emmons</w:t>
      </w:r>
      <w:r w:rsidRPr="00FB6E21">
        <w:rPr>
          <w:rFonts w:ascii="Arial" w:hAnsi="Arial" w:cs="Arial"/>
          <w:color w:val="000000" w:themeColor="text1"/>
          <w:lang w:val="en-GB"/>
        </w:rPr>
        <w:noBreakHyphen/>
        <w:t>Bell, S., Feigin, V.L., Fernández</w:t>
      </w:r>
      <w:r w:rsidRPr="00FB6E21">
        <w:rPr>
          <w:rFonts w:ascii="Arial" w:hAnsi="Arial" w:cs="Arial"/>
          <w:color w:val="000000" w:themeColor="text1"/>
          <w:lang w:val="en-GB"/>
        </w:rPr>
        <w:noBreakHyphen/>
        <w:t xml:space="preserve">Sola, J., </w:t>
      </w:r>
      <w:proofErr w:type="spellStart"/>
      <w:r w:rsidRPr="00FB6E21">
        <w:rPr>
          <w:rFonts w:ascii="Arial" w:hAnsi="Arial" w:cs="Arial"/>
          <w:color w:val="000000" w:themeColor="text1"/>
          <w:lang w:val="en-GB"/>
        </w:rPr>
        <w:t>Fowkes</w:t>
      </w:r>
      <w:proofErr w:type="spellEnd"/>
      <w:r w:rsidRPr="00FB6E21">
        <w:rPr>
          <w:rFonts w:ascii="Arial" w:hAnsi="Arial" w:cs="Arial"/>
          <w:color w:val="000000" w:themeColor="text1"/>
          <w:lang w:val="en-GB"/>
        </w:rPr>
        <w:t xml:space="preserve">, F.G.R., </w:t>
      </w:r>
      <w:proofErr w:type="spellStart"/>
      <w:r w:rsidRPr="00FB6E21">
        <w:rPr>
          <w:rFonts w:ascii="Arial" w:hAnsi="Arial" w:cs="Arial"/>
          <w:color w:val="000000" w:themeColor="text1"/>
          <w:lang w:val="en-GB"/>
        </w:rPr>
        <w:t>Gakidou</w:t>
      </w:r>
      <w:proofErr w:type="spellEnd"/>
      <w:r w:rsidRPr="00FB6E21">
        <w:rPr>
          <w:rFonts w:ascii="Arial" w:hAnsi="Arial" w:cs="Arial"/>
          <w:color w:val="000000" w:themeColor="text1"/>
          <w:lang w:val="en-GB"/>
        </w:rPr>
        <w:t xml:space="preserve">, E., Gillum, R.F., He, J., Howard, G., Hu, S., Inoue, M., Karthikeyan, G., Kassebaum, N., </w:t>
      </w:r>
      <w:proofErr w:type="spellStart"/>
      <w:r w:rsidRPr="00FB6E21">
        <w:rPr>
          <w:rFonts w:ascii="Arial" w:hAnsi="Arial" w:cs="Arial"/>
          <w:color w:val="000000" w:themeColor="text1"/>
          <w:lang w:val="en-GB"/>
        </w:rPr>
        <w:t>Koroshetz</w:t>
      </w:r>
      <w:proofErr w:type="spellEnd"/>
      <w:r w:rsidRPr="00FB6E21">
        <w:rPr>
          <w:rFonts w:ascii="Arial" w:hAnsi="Arial" w:cs="Arial"/>
          <w:color w:val="000000" w:themeColor="text1"/>
          <w:lang w:val="en-GB"/>
        </w:rPr>
        <w:t>, W., Lavie, C.J., Lloyd</w:t>
      </w:r>
      <w:r w:rsidRPr="00FB6E21">
        <w:rPr>
          <w:rFonts w:ascii="Arial" w:hAnsi="Arial" w:cs="Arial"/>
          <w:color w:val="000000" w:themeColor="text1"/>
          <w:lang w:val="en-GB"/>
        </w:rPr>
        <w:noBreakHyphen/>
        <w:t xml:space="preserve">Jones, D.M., Lu, H.S., </w:t>
      </w:r>
      <w:proofErr w:type="spellStart"/>
      <w:r w:rsidRPr="00FB6E21">
        <w:rPr>
          <w:rFonts w:ascii="Arial" w:hAnsi="Arial" w:cs="Arial"/>
          <w:color w:val="000000" w:themeColor="text1"/>
          <w:lang w:val="en-GB"/>
        </w:rPr>
        <w:t>Mirijello</w:t>
      </w:r>
      <w:proofErr w:type="spellEnd"/>
      <w:r w:rsidRPr="00FB6E21">
        <w:rPr>
          <w:rFonts w:ascii="Arial" w:hAnsi="Arial" w:cs="Arial"/>
          <w:color w:val="000000" w:themeColor="text1"/>
          <w:lang w:val="en-GB"/>
        </w:rPr>
        <w:t xml:space="preserve">, A., Temesgen, A.M., Mokdad, A.H., Moran, A.E., Muntner, P., Narula, J., Neal, B., </w:t>
      </w:r>
      <w:proofErr w:type="spellStart"/>
      <w:r w:rsidRPr="00FB6E21">
        <w:rPr>
          <w:rFonts w:ascii="Arial" w:hAnsi="Arial" w:cs="Arial"/>
          <w:color w:val="000000" w:themeColor="text1"/>
          <w:lang w:val="en-GB"/>
        </w:rPr>
        <w:t>Ntsekhe</w:t>
      </w:r>
      <w:proofErr w:type="spellEnd"/>
      <w:r w:rsidRPr="00FB6E21">
        <w:rPr>
          <w:rFonts w:ascii="Arial" w:hAnsi="Arial" w:cs="Arial"/>
          <w:color w:val="000000" w:themeColor="text1"/>
          <w:lang w:val="en-GB"/>
        </w:rPr>
        <w:t xml:space="preserve">, M., Moraes de Oliveira, G.M., Otto, C.M., Owolabi, M., Pratt, M., Rajagopalan, S., Reitsma, M., Ribeiro, A.L.P., Rigotti, N.A., Rodgers, A., Sable, C., Shakil, S., Sliwa, K., Stark, B., Sundström, J., </w:t>
      </w:r>
      <w:proofErr w:type="spellStart"/>
      <w:r w:rsidRPr="00FB6E21">
        <w:rPr>
          <w:rFonts w:ascii="Arial" w:hAnsi="Arial" w:cs="Arial"/>
          <w:color w:val="000000" w:themeColor="text1"/>
          <w:lang w:val="en-GB"/>
        </w:rPr>
        <w:t>Timpel</w:t>
      </w:r>
      <w:proofErr w:type="spellEnd"/>
      <w:r w:rsidRPr="00FB6E21">
        <w:rPr>
          <w:rFonts w:ascii="Arial" w:hAnsi="Arial" w:cs="Arial"/>
          <w:color w:val="000000" w:themeColor="text1"/>
          <w:lang w:val="en-GB"/>
        </w:rPr>
        <w:t xml:space="preserve">, P., </w:t>
      </w:r>
      <w:proofErr w:type="spellStart"/>
      <w:r w:rsidRPr="00FB6E21">
        <w:rPr>
          <w:rFonts w:ascii="Arial" w:hAnsi="Arial" w:cs="Arial"/>
          <w:color w:val="000000" w:themeColor="text1"/>
          <w:lang w:val="en-GB"/>
        </w:rPr>
        <w:t>Tleyjeh</w:t>
      </w:r>
      <w:proofErr w:type="spellEnd"/>
      <w:r w:rsidRPr="00FB6E21">
        <w:rPr>
          <w:rFonts w:ascii="Arial" w:hAnsi="Arial" w:cs="Arial"/>
          <w:color w:val="000000" w:themeColor="text1"/>
          <w:lang w:val="en-GB"/>
        </w:rPr>
        <w:t xml:space="preserve">, I.M., </w:t>
      </w:r>
      <w:proofErr w:type="spellStart"/>
      <w:r w:rsidRPr="00FB6E21">
        <w:rPr>
          <w:rFonts w:ascii="Arial" w:hAnsi="Arial" w:cs="Arial"/>
          <w:color w:val="000000" w:themeColor="text1"/>
          <w:lang w:val="en-GB"/>
        </w:rPr>
        <w:t>Valgimigli</w:t>
      </w:r>
      <w:proofErr w:type="spellEnd"/>
      <w:r w:rsidRPr="00FB6E21">
        <w:rPr>
          <w:rFonts w:ascii="Arial" w:hAnsi="Arial" w:cs="Arial"/>
          <w:color w:val="000000" w:themeColor="text1"/>
          <w:lang w:val="en-GB"/>
        </w:rPr>
        <w:t xml:space="preserve">, M., Vos, T., Whelton, P.K., Yacoub, M., Zuhlke, L. and Murray, C.J.L. (2020) ‘Global burden of cardiovascular diseases’, </w:t>
      </w:r>
      <w:r w:rsidRPr="00FB6E21">
        <w:rPr>
          <w:rFonts w:ascii="Arial" w:hAnsi="Arial" w:cs="Arial"/>
          <w:i/>
          <w:iCs/>
          <w:color w:val="000000" w:themeColor="text1"/>
          <w:lang w:val="en-GB"/>
        </w:rPr>
        <w:t>Journal of the American College of Cardiology</w:t>
      </w:r>
      <w:r w:rsidRPr="00FB6E21">
        <w:rPr>
          <w:rFonts w:ascii="Arial" w:hAnsi="Arial" w:cs="Arial"/>
          <w:color w:val="000000" w:themeColor="text1"/>
          <w:lang w:val="en-GB"/>
        </w:rPr>
        <w:t xml:space="preserve">, 76(25), pp. 2982–3021. Available at: </w:t>
      </w:r>
      <w:hyperlink r:id="rId89" w:tgtFrame="_blank" w:tooltip="doi.org" w:history="1">
        <w:r w:rsidRPr="00FB6E21">
          <w:rPr>
            <w:rStyle w:val="Hyperlink"/>
            <w:rFonts w:ascii="Arial" w:hAnsi="Arial" w:cs="Arial"/>
            <w:lang w:val="en-GB"/>
          </w:rPr>
          <w:t>https://doi.org/10.1016/j.jacc.2020.11.010</w:t>
        </w:r>
      </w:hyperlink>
      <w:r w:rsidRPr="00FB6E21">
        <w:rPr>
          <w:rFonts w:ascii="Arial" w:hAnsi="Arial" w:cs="Arial"/>
          <w:color w:val="000000" w:themeColor="text1"/>
          <w:lang w:val="en-GB"/>
        </w:rPr>
        <w:t xml:space="preserve"> (Accessed: 11 February 2026).</w:t>
      </w:r>
    </w:p>
    <w:p w14:paraId="2F4F14E9"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Saunders, M., Lewis, P. and Thornhill, A. (2023) </w:t>
      </w:r>
      <w:r w:rsidRPr="00FB6E21">
        <w:rPr>
          <w:rFonts w:ascii="Arial" w:hAnsi="Arial" w:cs="Arial"/>
          <w:i/>
          <w:iCs/>
          <w:color w:val="000000" w:themeColor="text1"/>
          <w:lang w:val="en-GB"/>
        </w:rPr>
        <w:t>Research Methods for Business Students</w:t>
      </w:r>
      <w:r w:rsidRPr="00FB6E21">
        <w:rPr>
          <w:rFonts w:ascii="Arial" w:hAnsi="Arial" w:cs="Arial"/>
          <w:color w:val="000000" w:themeColor="text1"/>
          <w:lang w:val="en-GB"/>
        </w:rPr>
        <w:t xml:space="preserve">. 9th </w:t>
      </w:r>
      <w:proofErr w:type="spellStart"/>
      <w:r w:rsidRPr="00FB6E21">
        <w:rPr>
          <w:rFonts w:ascii="Arial" w:hAnsi="Arial" w:cs="Arial"/>
          <w:color w:val="000000" w:themeColor="text1"/>
          <w:lang w:val="en-GB"/>
        </w:rPr>
        <w:t>edn</w:t>
      </w:r>
      <w:proofErr w:type="spellEnd"/>
      <w:r w:rsidRPr="00FB6E21">
        <w:rPr>
          <w:rFonts w:ascii="Arial" w:hAnsi="Arial" w:cs="Arial"/>
          <w:color w:val="000000" w:themeColor="text1"/>
          <w:lang w:val="en-GB"/>
        </w:rPr>
        <w:t>. Harlow: Pearson. (Accessed: 16 April 2026).</w:t>
      </w:r>
    </w:p>
    <w:p w14:paraId="07E20018"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Smith, J. and Noble, H. (2016) ‘Reviewing the literature’, </w:t>
      </w:r>
      <w:r w:rsidRPr="00FB6E21">
        <w:rPr>
          <w:rFonts w:ascii="Arial" w:hAnsi="Arial" w:cs="Arial"/>
          <w:i/>
          <w:iCs/>
          <w:color w:val="000000" w:themeColor="text1"/>
          <w:lang w:val="en-GB"/>
        </w:rPr>
        <w:t>Evidence-Based Nursing</w:t>
      </w:r>
      <w:r w:rsidRPr="00FB6E21">
        <w:rPr>
          <w:rFonts w:ascii="Arial" w:hAnsi="Arial" w:cs="Arial"/>
          <w:color w:val="000000" w:themeColor="text1"/>
          <w:lang w:val="en-GB"/>
        </w:rPr>
        <w:t xml:space="preserve">, 19(1), pp. 2–3. Available at: </w:t>
      </w:r>
      <w:hyperlink r:id="rId90" w:tgtFrame="_blank" w:tooltip="doi.org" w:history="1">
        <w:r w:rsidRPr="00FB6E21">
          <w:rPr>
            <w:rStyle w:val="Hyperlink"/>
            <w:rFonts w:ascii="Arial" w:hAnsi="Arial" w:cs="Arial"/>
            <w:lang w:val="en-GB"/>
          </w:rPr>
          <w:t>https://doi.org/10.1136/eb-2015-102309</w:t>
        </w:r>
      </w:hyperlink>
      <w:r w:rsidRPr="00FB6E21">
        <w:rPr>
          <w:rFonts w:ascii="Arial" w:hAnsi="Arial" w:cs="Arial"/>
          <w:color w:val="000000" w:themeColor="text1"/>
          <w:lang w:val="en-GB"/>
        </w:rPr>
        <w:t xml:space="preserve"> (Accessed: 20 April 2026).</w:t>
      </w:r>
    </w:p>
    <w:p w14:paraId="042A5D35"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Smith, M., Hosking, J., Woodward, A., Witten, K. and MacMillan, A. (2017) ‘Environmental influences on physical activity’, </w:t>
      </w:r>
      <w:r w:rsidRPr="00FB6E21">
        <w:rPr>
          <w:rFonts w:ascii="Arial" w:hAnsi="Arial" w:cs="Arial"/>
          <w:i/>
          <w:iCs/>
          <w:color w:val="000000" w:themeColor="text1"/>
          <w:lang w:val="en-GB"/>
        </w:rPr>
        <w:t>Annual Review of Public Health</w:t>
      </w:r>
      <w:r w:rsidRPr="00FB6E21">
        <w:rPr>
          <w:rFonts w:ascii="Arial" w:hAnsi="Arial" w:cs="Arial"/>
          <w:color w:val="000000" w:themeColor="text1"/>
          <w:lang w:val="en-GB"/>
        </w:rPr>
        <w:t xml:space="preserve">, 38, pp. 289–305. Available at: </w:t>
      </w:r>
      <w:hyperlink r:id="rId91" w:tgtFrame="_blank" w:tooltip="doi.org" w:history="1">
        <w:r w:rsidRPr="00FB6E21">
          <w:rPr>
            <w:rStyle w:val="Hyperlink"/>
            <w:rFonts w:ascii="Arial" w:hAnsi="Arial" w:cs="Arial"/>
            <w:lang w:val="en-GB"/>
          </w:rPr>
          <w:t>https://doi.org/10.1146/annurev-publhealth-031816-044420</w:t>
        </w:r>
      </w:hyperlink>
      <w:r w:rsidRPr="00FB6E21">
        <w:rPr>
          <w:rFonts w:ascii="Arial" w:hAnsi="Arial" w:cs="Arial"/>
          <w:color w:val="000000" w:themeColor="text1"/>
          <w:lang w:val="en-GB"/>
        </w:rPr>
        <w:t xml:space="preserve"> (Accessed: 22 March 2026).</w:t>
      </w:r>
    </w:p>
    <w:p w14:paraId="68466E7A"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Snyder, H. (2019) ‘Literature review as a research methodology’, </w:t>
      </w:r>
      <w:r w:rsidRPr="00FB6E21">
        <w:rPr>
          <w:rFonts w:ascii="Arial" w:hAnsi="Arial" w:cs="Arial"/>
          <w:i/>
          <w:iCs/>
          <w:color w:val="000000" w:themeColor="text1"/>
          <w:lang w:val="en-GB"/>
        </w:rPr>
        <w:t>Journal of Business Research</w:t>
      </w:r>
      <w:r w:rsidRPr="00FB6E21">
        <w:rPr>
          <w:rFonts w:ascii="Arial" w:hAnsi="Arial" w:cs="Arial"/>
          <w:color w:val="000000" w:themeColor="text1"/>
          <w:lang w:val="en-GB"/>
        </w:rPr>
        <w:t xml:space="preserve">, 104, pp. 333–339. Available at: </w:t>
      </w:r>
      <w:hyperlink r:id="rId92" w:tgtFrame="_blank" w:tooltip="doi.org" w:history="1">
        <w:r w:rsidRPr="00FB6E21">
          <w:rPr>
            <w:rStyle w:val="Hyperlink"/>
            <w:rFonts w:ascii="Arial" w:hAnsi="Arial" w:cs="Arial"/>
            <w:lang w:val="en-GB"/>
          </w:rPr>
          <w:t>https://doi.org/10.1016/j.jbusres.2019.07.039</w:t>
        </w:r>
      </w:hyperlink>
      <w:r w:rsidRPr="00FB6E21">
        <w:rPr>
          <w:rFonts w:ascii="Arial" w:hAnsi="Arial" w:cs="Arial"/>
          <w:color w:val="000000" w:themeColor="text1"/>
          <w:lang w:val="en-GB"/>
        </w:rPr>
        <w:t xml:space="preserve"> (Accessed: 5 May 2026).</w:t>
      </w:r>
    </w:p>
    <w:p w14:paraId="71092F4F"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Solar, O. and Irwin, A. (2010) </w:t>
      </w:r>
      <w:r w:rsidRPr="00FB6E21">
        <w:rPr>
          <w:rFonts w:ascii="Arial" w:hAnsi="Arial" w:cs="Arial"/>
          <w:i/>
          <w:iCs/>
          <w:color w:val="000000" w:themeColor="text1"/>
          <w:lang w:val="en-GB"/>
        </w:rPr>
        <w:t>A Conceptual Framework for Action on the Social Determinants of Health</w:t>
      </w:r>
      <w:r w:rsidRPr="00FB6E21">
        <w:rPr>
          <w:rFonts w:ascii="Arial" w:hAnsi="Arial" w:cs="Arial"/>
          <w:color w:val="000000" w:themeColor="text1"/>
          <w:lang w:val="en-GB"/>
        </w:rPr>
        <w:t xml:space="preserve">. Geneva: WHO. Available at: </w:t>
      </w:r>
      <w:hyperlink r:id="rId93" w:tgtFrame="_blank" w:tooltip="www.who.int" w:history="1">
        <w:r w:rsidRPr="00FB6E21">
          <w:rPr>
            <w:rStyle w:val="Hyperlink"/>
            <w:rFonts w:ascii="Arial" w:hAnsi="Arial" w:cs="Arial"/>
            <w:lang w:val="en-GB"/>
          </w:rPr>
          <w:t>https://www.who.int/publications/i/item/9789241500852</w:t>
        </w:r>
      </w:hyperlink>
      <w:r w:rsidRPr="00FB6E21">
        <w:rPr>
          <w:rFonts w:ascii="Arial" w:hAnsi="Arial" w:cs="Arial"/>
          <w:color w:val="000000" w:themeColor="text1"/>
          <w:lang w:val="en-GB"/>
        </w:rPr>
        <w:t xml:space="preserve"> (Accessed: 12 February 2026).</w:t>
      </w:r>
    </w:p>
    <w:p w14:paraId="0868E69C"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Sumner, J., Grace, S.L., Doherty, P., Hallett, J., Walker, S., Davies, P. and Harrison, A.S. (2017) ‘Barriers to cardiac rehabilitation participation’, </w:t>
      </w:r>
      <w:r w:rsidRPr="00FB6E21">
        <w:rPr>
          <w:rFonts w:ascii="Arial" w:hAnsi="Arial" w:cs="Arial"/>
          <w:i/>
          <w:iCs/>
          <w:color w:val="000000" w:themeColor="text1"/>
          <w:lang w:val="en-GB"/>
        </w:rPr>
        <w:t>PLOS ONE</w:t>
      </w:r>
      <w:r w:rsidRPr="00FB6E21">
        <w:rPr>
          <w:rFonts w:ascii="Arial" w:hAnsi="Arial" w:cs="Arial"/>
          <w:color w:val="000000" w:themeColor="text1"/>
          <w:lang w:val="en-GB"/>
        </w:rPr>
        <w:t xml:space="preserve">, 12(5), e0177658. Available at: </w:t>
      </w:r>
      <w:hyperlink r:id="rId94" w:tgtFrame="_blank" w:tooltip="doi.org" w:history="1">
        <w:r w:rsidRPr="00FB6E21">
          <w:rPr>
            <w:rStyle w:val="Hyperlink"/>
            <w:rFonts w:ascii="Arial" w:hAnsi="Arial" w:cs="Arial"/>
            <w:lang w:val="en-GB"/>
          </w:rPr>
          <w:t>https://doi.org/10.1371/journal.pone.0177658</w:t>
        </w:r>
      </w:hyperlink>
      <w:r w:rsidRPr="00FB6E21">
        <w:rPr>
          <w:rFonts w:ascii="Arial" w:hAnsi="Arial" w:cs="Arial"/>
          <w:color w:val="000000" w:themeColor="text1"/>
          <w:lang w:val="en-GB"/>
        </w:rPr>
        <w:t xml:space="preserve"> (Accessed: 8 April 2026).</w:t>
      </w:r>
    </w:p>
    <w:p w14:paraId="3B639A5B"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Taylor, R.S., Walker, S., Smart, N.A., </w:t>
      </w:r>
      <w:proofErr w:type="spellStart"/>
      <w:r w:rsidRPr="00FB6E21">
        <w:rPr>
          <w:rFonts w:ascii="Arial" w:hAnsi="Arial" w:cs="Arial"/>
          <w:color w:val="000000" w:themeColor="text1"/>
          <w:lang w:val="en-GB"/>
        </w:rPr>
        <w:t>Piepoli</w:t>
      </w:r>
      <w:proofErr w:type="spellEnd"/>
      <w:r w:rsidRPr="00FB6E21">
        <w:rPr>
          <w:rFonts w:ascii="Arial" w:hAnsi="Arial" w:cs="Arial"/>
          <w:color w:val="000000" w:themeColor="text1"/>
          <w:lang w:val="en-GB"/>
        </w:rPr>
        <w:t xml:space="preserve">, M.F., Warren, F.C., Ciani, O., O’Connor, C., </w:t>
      </w:r>
      <w:proofErr w:type="spellStart"/>
      <w:r w:rsidRPr="00FB6E21">
        <w:rPr>
          <w:rFonts w:ascii="Arial" w:hAnsi="Arial" w:cs="Arial"/>
          <w:color w:val="000000" w:themeColor="text1"/>
          <w:lang w:val="en-GB"/>
        </w:rPr>
        <w:t>Whellan</w:t>
      </w:r>
      <w:proofErr w:type="spellEnd"/>
      <w:r w:rsidRPr="00FB6E21">
        <w:rPr>
          <w:rFonts w:ascii="Arial" w:hAnsi="Arial" w:cs="Arial"/>
          <w:color w:val="000000" w:themeColor="text1"/>
          <w:lang w:val="en-GB"/>
        </w:rPr>
        <w:t xml:space="preserve">, D., Keteyian, S.J., Coats, A.J.S., Dalal, H., Dracup, K., Evangelista, L., Jolly, K., Maddison, R., </w:t>
      </w:r>
      <w:proofErr w:type="spellStart"/>
      <w:r w:rsidRPr="00FB6E21">
        <w:rPr>
          <w:rFonts w:ascii="Arial" w:hAnsi="Arial" w:cs="Arial"/>
          <w:color w:val="000000" w:themeColor="text1"/>
          <w:lang w:val="en-GB"/>
        </w:rPr>
        <w:t>Okwose</w:t>
      </w:r>
      <w:proofErr w:type="spellEnd"/>
      <w:r w:rsidRPr="00FB6E21">
        <w:rPr>
          <w:rFonts w:ascii="Arial" w:hAnsi="Arial" w:cs="Arial"/>
          <w:color w:val="000000" w:themeColor="text1"/>
          <w:lang w:val="en-GB"/>
        </w:rPr>
        <w:t xml:space="preserve">, N., Sanderson, B.K., </w:t>
      </w:r>
      <w:proofErr w:type="spellStart"/>
      <w:r w:rsidRPr="00FB6E21">
        <w:rPr>
          <w:rFonts w:ascii="Arial" w:hAnsi="Arial" w:cs="Arial"/>
          <w:color w:val="000000" w:themeColor="text1"/>
          <w:lang w:val="en-GB"/>
        </w:rPr>
        <w:t>Varnfield</w:t>
      </w:r>
      <w:proofErr w:type="spellEnd"/>
      <w:r w:rsidRPr="00FB6E21">
        <w:rPr>
          <w:rFonts w:ascii="Arial" w:hAnsi="Arial" w:cs="Arial"/>
          <w:color w:val="000000" w:themeColor="text1"/>
          <w:lang w:val="en-GB"/>
        </w:rPr>
        <w:t xml:space="preserve">, M., Zwisler, A.D. and Anderson, L. (2019) ‘Exercise-based cardiac rehabilitation in older adults’, </w:t>
      </w:r>
      <w:r w:rsidRPr="00FB6E21">
        <w:rPr>
          <w:rFonts w:ascii="Arial" w:hAnsi="Arial" w:cs="Arial"/>
          <w:i/>
          <w:iCs/>
          <w:color w:val="000000" w:themeColor="text1"/>
          <w:lang w:val="en-GB"/>
        </w:rPr>
        <w:t>Journal of the American College of Cardiology</w:t>
      </w:r>
      <w:r w:rsidRPr="00FB6E21">
        <w:rPr>
          <w:rFonts w:ascii="Arial" w:hAnsi="Arial" w:cs="Arial"/>
          <w:color w:val="000000" w:themeColor="text1"/>
          <w:lang w:val="en-GB"/>
        </w:rPr>
        <w:t xml:space="preserve">, 73(12), pp. 1439–1453. Available at: </w:t>
      </w:r>
      <w:hyperlink r:id="rId95" w:tgtFrame="_blank" w:tooltip="doi.org" w:history="1">
        <w:r w:rsidRPr="00FB6E21">
          <w:rPr>
            <w:rStyle w:val="Hyperlink"/>
            <w:rFonts w:ascii="Arial" w:hAnsi="Arial" w:cs="Arial"/>
            <w:lang w:val="en-GB"/>
          </w:rPr>
          <w:t>https://doi.org/10.1016/j.jacc.2018.12.072</w:t>
        </w:r>
      </w:hyperlink>
      <w:r w:rsidRPr="00FB6E21">
        <w:rPr>
          <w:rFonts w:ascii="Arial" w:hAnsi="Arial" w:cs="Arial"/>
          <w:color w:val="000000" w:themeColor="text1"/>
          <w:lang w:val="en-GB"/>
        </w:rPr>
        <w:t xml:space="preserve"> (Accessed: 12 March 2026).</w:t>
      </w:r>
    </w:p>
    <w:p w14:paraId="77256AEC"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Thomas, J., Harden, A. and Newman, M. (2020) </w:t>
      </w:r>
      <w:r w:rsidRPr="00FB6E21">
        <w:rPr>
          <w:rFonts w:ascii="Arial" w:hAnsi="Arial" w:cs="Arial"/>
          <w:i/>
          <w:iCs/>
          <w:color w:val="000000" w:themeColor="text1"/>
          <w:lang w:val="en-GB"/>
        </w:rPr>
        <w:t>SAGE Handbook of Qualitative Research in Psychology</w:t>
      </w:r>
      <w:r w:rsidRPr="00FB6E21">
        <w:rPr>
          <w:rFonts w:ascii="Arial" w:hAnsi="Arial" w:cs="Arial"/>
          <w:color w:val="000000" w:themeColor="text1"/>
          <w:lang w:val="en-GB"/>
        </w:rPr>
        <w:t>. London: Sage. (Accessed: 28 February 2026).</w:t>
      </w:r>
    </w:p>
    <w:p w14:paraId="7183E614"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Timmis, A., Townsend, N., Gale, C.P., Torbica, A., </w:t>
      </w:r>
      <w:proofErr w:type="spellStart"/>
      <w:r w:rsidRPr="00FB6E21">
        <w:rPr>
          <w:rFonts w:ascii="Arial" w:hAnsi="Arial" w:cs="Arial"/>
          <w:color w:val="000000" w:themeColor="text1"/>
          <w:lang w:val="en-GB"/>
        </w:rPr>
        <w:t>Lettino</w:t>
      </w:r>
      <w:proofErr w:type="spellEnd"/>
      <w:r w:rsidRPr="00FB6E21">
        <w:rPr>
          <w:rFonts w:ascii="Arial" w:hAnsi="Arial" w:cs="Arial"/>
          <w:color w:val="000000" w:themeColor="text1"/>
          <w:lang w:val="en-GB"/>
        </w:rPr>
        <w:t xml:space="preserve">, M., Petersen, S.E., Mossialos, E.A., </w:t>
      </w:r>
      <w:proofErr w:type="spellStart"/>
      <w:r w:rsidRPr="00FB6E21">
        <w:rPr>
          <w:rFonts w:ascii="Arial" w:hAnsi="Arial" w:cs="Arial"/>
          <w:color w:val="000000" w:themeColor="text1"/>
          <w:lang w:val="en-GB"/>
        </w:rPr>
        <w:t>Maggioni</w:t>
      </w:r>
      <w:proofErr w:type="spellEnd"/>
      <w:r w:rsidRPr="00FB6E21">
        <w:rPr>
          <w:rFonts w:ascii="Arial" w:hAnsi="Arial" w:cs="Arial"/>
          <w:color w:val="000000" w:themeColor="text1"/>
          <w:lang w:val="en-GB"/>
        </w:rPr>
        <w:t xml:space="preserve">, A.P., </w:t>
      </w:r>
      <w:proofErr w:type="spellStart"/>
      <w:r w:rsidRPr="00FB6E21">
        <w:rPr>
          <w:rFonts w:ascii="Arial" w:hAnsi="Arial" w:cs="Arial"/>
          <w:color w:val="000000" w:themeColor="text1"/>
          <w:lang w:val="en-GB"/>
        </w:rPr>
        <w:t>Kazakiewicz</w:t>
      </w:r>
      <w:proofErr w:type="spellEnd"/>
      <w:r w:rsidRPr="00FB6E21">
        <w:rPr>
          <w:rFonts w:ascii="Arial" w:hAnsi="Arial" w:cs="Arial"/>
          <w:color w:val="000000" w:themeColor="text1"/>
          <w:lang w:val="en-GB"/>
        </w:rPr>
        <w:t xml:space="preserve">, D., May, H.T., De Smedt, D., Flather, M., Zhou, P., Beltrame, J.F., Huculeci, R., </w:t>
      </w:r>
      <w:proofErr w:type="spellStart"/>
      <w:r w:rsidRPr="00FB6E21">
        <w:rPr>
          <w:rFonts w:ascii="Arial" w:hAnsi="Arial" w:cs="Arial"/>
          <w:color w:val="000000" w:themeColor="text1"/>
          <w:lang w:val="en-GB"/>
        </w:rPr>
        <w:t>Vardas</w:t>
      </w:r>
      <w:proofErr w:type="spellEnd"/>
      <w:r w:rsidRPr="00FB6E21">
        <w:rPr>
          <w:rFonts w:ascii="Arial" w:hAnsi="Arial" w:cs="Arial"/>
          <w:color w:val="000000" w:themeColor="text1"/>
          <w:lang w:val="en-GB"/>
        </w:rPr>
        <w:t xml:space="preserve">, P. and European Society of Cardiology (2022) ‘European Society of Cardiology: Cardiovascular disease statistics 2022’, </w:t>
      </w:r>
      <w:r w:rsidRPr="00FB6E21">
        <w:rPr>
          <w:rFonts w:ascii="Arial" w:hAnsi="Arial" w:cs="Arial"/>
          <w:i/>
          <w:iCs/>
          <w:color w:val="000000" w:themeColor="text1"/>
          <w:lang w:val="en-GB"/>
        </w:rPr>
        <w:t>European Heart Journal</w:t>
      </w:r>
      <w:r w:rsidRPr="00FB6E21">
        <w:rPr>
          <w:rFonts w:ascii="Arial" w:hAnsi="Arial" w:cs="Arial"/>
          <w:color w:val="000000" w:themeColor="text1"/>
          <w:lang w:val="en-GB"/>
        </w:rPr>
        <w:t xml:space="preserve">, 43(1), pp. 1–105. Available at: </w:t>
      </w:r>
      <w:hyperlink r:id="rId96" w:tgtFrame="_blank" w:tooltip="doi.org" w:history="1">
        <w:r w:rsidRPr="00FB6E21">
          <w:rPr>
            <w:rStyle w:val="Hyperlink"/>
            <w:rFonts w:ascii="Arial" w:hAnsi="Arial" w:cs="Arial"/>
            <w:lang w:val="en-GB"/>
          </w:rPr>
          <w:t>https://doi.org/10.1093/eurheartj/ehab892</w:t>
        </w:r>
      </w:hyperlink>
      <w:r w:rsidRPr="00FB6E21">
        <w:rPr>
          <w:rFonts w:ascii="Arial" w:hAnsi="Arial" w:cs="Arial"/>
          <w:color w:val="000000" w:themeColor="text1"/>
          <w:lang w:val="en-GB"/>
        </w:rPr>
        <w:t xml:space="preserve"> (Accessed: 4 April 2026).</w:t>
      </w:r>
    </w:p>
    <w:p w14:paraId="6C1E8154" w14:textId="77777777" w:rsidR="00021EC7" w:rsidRPr="00FB6E21" w:rsidRDefault="00021EC7" w:rsidP="00021EC7">
      <w:pPr>
        <w:spacing w:line="360" w:lineRule="auto"/>
        <w:jc w:val="both"/>
        <w:rPr>
          <w:rFonts w:ascii="Arial" w:hAnsi="Arial" w:cs="Arial"/>
          <w:color w:val="000000" w:themeColor="text1"/>
          <w:lang w:val="en-GB"/>
        </w:rPr>
      </w:pPr>
      <w:proofErr w:type="spellStart"/>
      <w:r w:rsidRPr="00FB6E21">
        <w:rPr>
          <w:rFonts w:ascii="Arial" w:hAnsi="Arial" w:cs="Arial"/>
          <w:color w:val="000000" w:themeColor="text1"/>
          <w:lang w:val="en-GB"/>
        </w:rPr>
        <w:t>Tricco</w:t>
      </w:r>
      <w:proofErr w:type="spellEnd"/>
      <w:r w:rsidRPr="00FB6E21">
        <w:rPr>
          <w:rFonts w:ascii="Arial" w:hAnsi="Arial" w:cs="Arial"/>
          <w:color w:val="000000" w:themeColor="text1"/>
          <w:lang w:val="en-GB"/>
        </w:rPr>
        <w:t xml:space="preserve">, A.C., Lillie, E., Zarin, W., O’Brien, K.K., Colquhoun, H., Levac, D., Moher, D., Peters, M.D.J., Horsley, T., Weeks, L., Hempel, S., Akl, E.A., Chang, C., McGowan, J., Stewart, L., Hartling, L., </w:t>
      </w:r>
      <w:proofErr w:type="spellStart"/>
      <w:r w:rsidRPr="00FB6E21">
        <w:rPr>
          <w:rFonts w:ascii="Arial" w:hAnsi="Arial" w:cs="Arial"/>
          <w:color w:val="000000" w:themeColor="text1"/>
          <w:lang w:val="en-GB"/>
        </w:rPr>
        <w:t>Aldcroft</w:t>
      </w:r>
      <w:proofErr w:type="spellEnd"/>
      <w:r w:rsidRPr="00FB6E21">
        <w:rPr>
          <w:rFonts w:ascii="Arial" w:hAnsi="Arial" w:cs="Arial"/>
          <w:color w:val="000000" w:themeColor="text1"/>
          <w:lang w:val="en-GB"/>
        </w:rPr>
        <w:t xml:space="preserve">, A., Wilson, M.G., </w:t>
      </w:r>
      <w:proofErr w:type="spellStart"/>
      <w:r w:rsidRPr="00FB6E21">
        <w:rPr>
          <w:rFonts w:ascii="Arial" w:hAnsi="Arial" w:cs="Arial"/>
          <w:color w:val="000000" w:themeColor="text1"/>
          <w:lang w:val="en-GB"/>
        </w:rPr>
        <w:t>Garritty</w:t>
      </w:r>
      <w:proofErr w:type="spellEnd"/>
      <w:r w:rsidRPr="00FB6E21">
        <w:rPr>
          <w:rFonts w:ascii="Arial" w:hAnsi="Arial" w:cs="Arial"/>
          <w:color w:val="000000" w:themeColor="text1"/>
          <w:lang w:val="en-GB"/>
        </w:rPr>
        <w:t xml:space="preserve">, C., Lewin, S., Godfrey, C.M., Macdonald, M.T., Langlois, E.V., Soares-Weiser, K., Moriarty, J., Clifford, T., </w:t>
      </w:r>
      <w:proofErr w:type="spellStart"/>
      <w:r w:rsidRPr="00FB6E21">
        <w:rPr>
          <w:rFonts w:ascii="Arial" w:hAnsi="Arial" w:cs="Arial"/>
          <w:color w:val="000000" w:themeColor="text1"/>
          <w:lang w:val="en-GB"/>
        </w:rPr>
        <w:t>Tunçalp</w:t>
      </w:r>
      <w:proofErr w:type="spellEnd"/>
      <w:r w:rsidRPr="00FB6E21">
        <w:rPr>
          <w:rFonts w:ascii="Arial" w:hAnsi="Arial" w:cs="Arial"/>
          <w:color w:val="000000" w:themeColor="text1"/>
          <w:lang w:val="en-GB"/>
        </w:rPr>
        <w:t>, Ö. and Straus, S.E. (2018) ‘PRISMA extension for scoping reviews (PRISMA-</w:t>
      </w:r>
      <w:proofErr w:type="spellStart"/>
      <w:r w:rsidRPr="00FB6E21">
        <w:rPr>
          <w:rFonts w:ascii="Arial" w:hAnsi="Arial" w:cs="Arial"/>
          <w:color w:val="000000" w:themeColor="text1"/>
          <w:lang w:val="en-GB"/>
        </w:rPr>
        <w:t>ScR</w:t>
      </w:r>
      <w:proofErr w:type="spellEnd"/>
      <w:r w:rsidRPr="00FB6E21">
        <w:rPr>
          <w:rFonts w:ascii="Arial" w:hAnsi="Arial" w:cs="Arial"/>
          <w:color w:val="000000" w:themeColor="text1"/>
          <w:lang w:val="en-GB"/>
        </w:rPr>
        <w:t xml:space="preserve">): Checklist and explanation’, </w:t>
      </w:r>
      <w:r w:rsidRPr="00FB6E21">
        <w:rPr>
          <w:rFonts w:ascii="Arial" w:hAnsi="Arial" w:cs="Arial"/>
          <w:i/>
          <w:iCs/>
          <w:color w:val="000000" w:themeColor="text1"/>
          <w:lang w:val="en-GB"/>
        </w:rPr>
        <w:t>Annals of Internal Medicine</w:t>
      </w:r>
      <w:r w:rsidRPr="00FB6E21">
        <w:rPr>
          <w:rFonts w:ascii="Arial" w:hAnsi="Arial" w:cs="Arial"/>
          <w:color w:val="000000" w:themeColor="text1"/>
          <w:lang w:val="en-GB"/>
        </w:rPr>
        <w:t xml:space="preserve">, 169(7), pp. 467–473. Available at: </w:t>
      </w:r>
      <w:hyperlink r:id="rId97" w:tgtFrame="_blank" w:tooltip="doi.org" w:history="1">
        <w:r w:rsidRPr="00FB6E21">
          <w:rPr>
            <w:rStyle w:val="Hyperlink"/>
            <w:rFonts w:ascii="Arial" w:hAnsi="Arial" w:cs="Arial"/>
            <w:lang w:val="en-GB"/>
          </w:rPr>
          <w:t>https://doi.org/10.7326/M18-0850</w:t>
        </w:r>
      </w:hyperlink>
      <w:r w:rsidRPr="00FB6E21">
        <w:rPr>
          <w:rFonts w:ascii="Arial" w:hAnsi="Arial" w:cs="Arial"/>
          <w:color w:val="000000" w:themeColor="text1"/>
          <w:lang w:val="en-GB"/>
        </w:rPr>
        <w:t xml:space="preserve"> (Accessed: 19 May 2026).</w:t>
      </w:r>
    </w:p>
    <w:p w14:paraId="339F3D7C"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Virani, S.S., Alonso, A., Aparicio, H.J., Benjamin, E.J., Bittencourt, M.S., Callaway, C.W., Carson, A.P., Chamberlain, A.M., Cheng, S., </w:t>
      </w:r>
      <w:proofErr w:type="spellStart"/>
      <w:r w:rsidRPr="00FB6E21">
        <w:rPr>
          <w:rFonts w:ascii="Arial" w:hAnsi="Arial" w:cs="Arial"/>
          <w:color w:val="000000" w:themeColor="text1"/>
          <w:lang w:val="en-GB"/>
        </w:rPr>
        <w:t>Delling</w:t>
      </w:r>
      <w:proofErr w:type="spellEnd"/>
      <w:r w:rsidRPr="00FB6E21">
        <w:rPr>
          <w:rFonts w:ascii="Arial" w:hAnsi="Arial" w:cs="Arial"/>
          <w:color w:val="000000" w:themeColor="text1"/>
          <w:lang w:val="en-GB"/>
        </w:rPr>
        <w:t xml:space="preserve">, F.N., </w:t>
      </w:r>
      <w:proofErr w:type="spellStart"/>
      <w:r w:rsidRPr="00FB6E21">
        <w:rPr>
          <w:rFonts w:ascii="Arial" w:hAnsi="Arial" w:cs="Arial"/>
          <w:color w:val="000000" w:themeColor="text1"/>
          <w:lang w:val="en-GB"/>
        </w:rPr>
        <w:t>Djousse</w:t>
      </w:r>
      <w:proofErr w:type="spellEnd"/>
      <w:r w:rsidRPr="00FB6E21">
        <w:rPr>
          <w:rFonts w:ascii="Arial" w:hAnsi="Arial" w:cs="Arial"/>
          <w:color w:val="000000" w:themeColor="text1"/>
          <w:lang w:val="en-GB"/>
        </w:rPr>
        <w:t xml:space="preserve">, L., Elkind, M.S.V., Ferguson, J.F., </w:t>
      </w:r>
      <w:proofErr w:type="spellStart"/>
      <w:r w:rsidRPr="00FB6E21">
        <w:rPr>
          <w:rFonts w:ascii="Arial" w:hAnsi="Arial" w:cs="Arial"/>
          <w:color w:val="000000" w:themeColor="text1"/>
          <w:lang w:val="en-GB"/>
        </w:rPr>
        <w:t>Fornage</w:t>
      </w:r>
      <w:proofErr w:type="spellEnd"/>
      <w:r w:rsidRPr="00FB6E21">
        <w:rPr>
          <w:rFonts w:ascii="Arial" w:hAnsi="Arial" w:cs="Arial"/>
          <w:color w:val="000000" w:themeColor="text1"/>
          <w:lang w:val="en-GB"/>
        </w:rPr>
        <w:t xml:space="preserve">, M., Khan, S.S., </w:t>
      </w:r>
      <w:proofErr w:type="spellStart"/>
      <w:r w:rsidRPr="00FB6E21">
        <w:rPr>
          <w:rFonts w:ascii="Arial" w:hAnsi="Arial" w:cs="Arial"/>
          <w:color w:val="000000" w:themeColor="text1"/>
          <w:lang w:val="en-GB"/>
        </w:rPr>
        <w:t>Kissela</w:t>
      </w:r>
      <w:proofErr w:type="spellEnd"/>
      <w:r w:rsidRPr="00FB6E21">
        <w:rPr>
          <w:rFonts w:ascii="Arial" w:hAnsi="Arial" w:cs="Arial"/>
          <w:color w:val="000000" w:themeColor="text1"/>
          <w:lang w:val="en-GB"/>
        </w:rPr>
        <w:t xml:space="preserve">, B.M., Knutson, K.L., Kwan, T.W., Lackland, D.T., Lewis, T.T., Liu, J., Loop, M.S., Lutsey, P.L., Ma, J., Mackey, J., Martin, S.S., Matsushita, K., Moran, A.E., </w:t>
      </w:r>
      <w:proofErr w:type="spellStart"/>
      <w:r w:rsidRPr="00FB6E21">
        <w:rPr>
          <w:rFonts w:ascii="Arial" w:hAnsi="Arial" w:cs="Arial"/>
          <w:color w:val="000000" w:themeColor="text1"/>
          <w:lang w:val="en-GB"/>
        </w:rPr>
        <w:t>Mussolino</w:t>
      </w:r>
      <w:proofErr w:type="spellEnd"/>
      <w:r w:rsidRPr="00FB6E21">
        <w:rPr>
          <w:rFonts w:ascii="Arial" w:hAnsi="Arial" w:cs="Arial"/>
          <w:color w:val="000000" w:themeColor="text1"/>
          <w:lang w:val="en-GB"/>
        </w:rPr>
        <w:t xml:space="preserve">, M.E., Perak, A.M., Rosamond, W.D., Roth, G.A., Sampson, U.K.A., Schroeder, E.B., Shah, S.H., Shay, C.M., Stokes, A., VanWagner, L.B., Tsao, C.W. and American Heart Association Council (2021) </w:t>
      </w:r>
      <w:r w:rsidRPr="00FB6E21">
        <w:rPr>
          <w:rFonts w:ascii="Arial" w:hAnsi="Arial" w:cs="Arial"/>
          <w:color w:val="000000" w:themeColor="text1"/>
          <w:lang w:val="en-GB"/>
        </w:rPr>
        <w:lastRenderedPageBreak/>
        <w:t xml:space="preserve">‘Heart disease and stroke statistics—2021 update’, </w:t>
      </w:r>
      <w:r w:rsidRPr="00FB6E21">
        <w:rPr>
          <w:rFonts w:ascii="Arial" w:hAnsi="Arial" w:cs="Arial"/>
          <w:i/>
          <w:iCs/>
          <w:color w:val="000000" w:themeColor="text1"/>
          <w:lang w:val="en-GB"/>
        </w:rPr>
        <w:t>Circulation</w:t>
      </w:r>
      <w:r w:rsidRPr="00FB6E21">
        <w:rPr>
          <w:rFonts w:ascii="Arial" w:hAnsi="Arial" w:cs="Arial"/>
          <w:color w:val="000000" w:themeColor="text1"/>
          <w:lang w:val="en-GB"/>
        </w:rPr>
        <w:t xml:space="preserve">, 143(8), pp. e254–e743. Available at: </w:t>
      </w:r>
      <w:hyperlink r:id="rId98" w:tgtFrame="_blank" w:tooltip="doi.org" w:history="1">
        <w:r w:rsidRPr="00FB6E21">
          <w:rPr>
            <w:rStyle w:val="Hyperlink"/>
            <w:rFonts w:ascii="Arial" w:hAnsi="Arial" w:cs="Arial"/>
            <w:lang w:val="en-GB"/>
          </w:rPr>
          <w:t>https://doi.org/10.1161/CIR.0000000000000950</w:t>
        </w:r>
      </w:hyperlink>
      <w:r w:rsidRPr="00FB6E21">
        <w:rPr>
          <w:rFonts w:ascii="Arial" w:hAnsi="Arial" w:cs="Arial"/>
          <w:color w:val="000000" w:themeColor="text1"/>
          <w:lang w:val="en-GB"/>
        </w:rPr>
        <w:t xml:space="preserve"> (Accessed: 7 April 2026).</w:t>
      </w:r>
    </w:p>
    <w:p w14:paraId="7F067BA2"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Welch, V., Petticrew, M., Tugwell, P., Moher, D., O’Neill, J., Waters, E., White, H. and the PRISMA</w:t>
      </w:r>
      <w:r w:rsidRPr="00FB6E21">
        <w:rPr>
          <w:rFonts w:ascii="Arial" w:hAnsi="Arial" w:cs="Arial"/>
          <w:color w:val="000000" w:themeColor="text1"/>
          <w:lang w:val="en-GB"/>
        </w:rPr>
        <w:noBreakHyphen/>
        <w:t xml:space="preserve">Equity Bellagio Group (2017) ‘Equity and systematic reviews’, in Higgins, J.P.T., Thomas, J., Chandler, J., Cumpston, M., Li, T., Page, M.J. and Welch, V.A. (eds) </w:t>
      </w:r>
      <w:r w:rsidRPr="00FB6E21">
        <w:rPr>
          <w:rFonts w:ascii="Arial" w:hAnsi="Arial" w:cs="Arial"/>
          <w:i/>
          <w:iCs/>
          <w:color w:val="000000" w:themeColor="text1"/>
          <w:lang w:val="en-GB"/>
        </w:rPr>
        <w:t>Cochrane Handbook for Systematic Reviews of Interventions</w:t>
      </w:r>
      <w:r w:rsidRPr="00FB6E21">
        <w:rPr>
          <w:rFonts w:ascii="Arial" w:hAnsi="Arial" w:cs="Arial"/>
          <w:color w:val="000000" w:themeColor="text1"/>
          <w:lang w:val="en-GB"/>
        </w:rPr>
        <w:t xml:space="preserve">. 2nd </w:t>
      </w:r>
      <w:proofErr w:type="spellStart"/>
      <w:r w:rsidRPr="00FB6E21">
        <w:rPr>
          <w:rFonts w:ascii="Arial" w:hAnsi="Arial" w:cs="Arial"/>
          <w:color w:val="000000" w:themeColor="text1"/>
          <w:lang w:val="en-GB"/>
        </w:rPr>
        <w:t>edn</w:t>
      </w:r>
      <w:proofErr w:type="spellEnd"/>
      <w:r w:rsidRPr="00FB6E21">
        <w:rPr>
          <w:rFonts w:ascii="Arial" w:hAnsi="Arial" w:cs="Arial"/>
          <w:color w:val="000000" w:themeColor="text1"/>
          <w:lang w:val="en-GB"/>
        </w:rPr>
        <w:t xml:space="preserve">. Chichester: Wiley, pp. 421–441. Available at: </w:t>
      </w:r>
      <w:hyperlink r:id="rId99" w:tgtFrame="_blank" w:tooltip="doi.org" w:history="1">
        <w:r w:rsidRPr="00FB6E21">
          <w:rPr>
            <w:rStyle w:val="Hyperlink"/>
            <w:rFonts w:ascii="Arial" w:hAnsi="Arial" w:cs="Arial"/>
            <w:lang w:val="en-GB"/>
          </w:rPr>
          <w:t>https://doi.org/10.1002/9781119536604.ch16</w:t>
        </w:r>
      </w:hyperlink>
      <w:r w:rsidRPr="00FB6E21">
        <w:rPr>
          <w:rFonts w:ascii="Arial" w:hAnsi="Arial" w:cs="Arial"/>
          <w:color w:val="000000" w:themeColor="text1"/>
          <w:lang w:val="en-GB"/>
        </w:rPr>
        <w:t xml:space="preserve"> (Accessed: 15 March 2026).</w:t>
      </w:r>
    </w:p>
    <w:p w14:paraId="36C201E5"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World Health Organization (2021) </w:t>
      </w:r>
      <w:proofErr w:type="gramStart"/>
      <w:r w:rsidRPr="00FB6E21">
        <w:rPr>
          <w:rFonts w:ascii="Arial" w:hAnsi="Arial" w:cs="Arial"/>
          <w:i/>
          <w:iCs/>
          <w:color w:val="000000" w:themeColor="text1"/>
          <w:lang w:val="en-GB"/>
        </w:rPr>
        <w:t>Cardiovascular Diseases</w:t>
      </w:r>
      <w:proofErr w:type="gramEnd"/>
      <w:r w:rsidRPr="00FB6E21">
        <w:rPr>
          <w:rFonts w:ascii="Arial" w:hAnsi="Arial" w:cs="Arial"/>
          <w:i/>
          <w:iCs/>
          <w:color w:val="000000" w:themeColor="text1"/>
          <w:lang w:val="en-GB"/>
        </w:rPr>
        <w:t xml:space="preserve"> (CVDs) Fact Sheet</w:t>
      </w:r>
      <w:r w:rsidRPr="00FB6E21">
        <w:rPr>
          <w:rFonts w:ascii="Arial" w:hAnsi="Arial" w:cs="Arial"/>
          <w:color w:val="000000" w:themeColor="text1"/>
          <w:lang w:val="en-GB"/>
        </w:rPr>
        <w:t xml:space="preserve">. Available at: </w:t>
      </w:r>
      <w:hyperlink r:id="rId100" w:tgtFrame="_blank" w:tooltip="www.who.int" w:history="1">
        <w:r w:rsidRPr="00FB6E21">
          <w:rPr>
            <w:rStyle w:val="Hyperlink"/>
            <w:rFonts w:ascii="Arial" w:hAnsi="Arial" w:cs="Arial"/>
            <w:lang w:val="en-GB"/>
          </w:rPr>
          <w:t>https://www.who.int/news-room/fact-sheets/detail/cardiovascular-diseases-(cvds)</w:t>
        </w:r>
      </w:hyperlink>
      <w:r w:rsidRPr="00FB6E21">
        <w:rPr>
          <w:rFonts w:ascii="Arial" w:hAnsi="Arial" w:cs="Arial"/>
          <w:color w:val="000000" w:themeColor="text1"/>
          <w:lang w:val="en-GB"/>
        </w:rPr>
        <w:t xml:space="preserve"> (Accessed: 9 February 2026).</w:t>
      </w:r>
    </w:p>
    <w:p w14:paraId="4BCF7466"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World Health Organization (2023a) </w:t>
      </w:r>
      <w:proofErr w:type="gramStart"/>
      <w:r w:rsidRPr="00FB6E21">
        <w:rPr>
          <w:rFonts w:ascii="Arial" w:hAnsi="Arial" w:cs="Arial"/>
          <w:i/>
          <w:iCs/>
          <w:color w:val="000000" w:themeColor="text1"/>
          <w:lang w:val="en-GB"/>
        </w:rPr>
        <w:t>Cardiovascular Diseases</w:t>
      </w:r>
      <w:proofErr w:type="gramEnd"/>
      <w:r w:rsidRPr="00FB6E21">
        <w:rPr>
          <w:rFonts w:ascii="Arial" w:hAnsi="Arial" w:cs="Arial"/>
          <w:i/>
          <w:iCs/>
          <w:color w:val="000000" w:themeColor="text1"/>
          <w:lang w:val="en-GB"/>
        </w:rPr>
        <w:t xml:space="preserve"> (CVDs)</w:t>
      </w:r>
      <w:r w:rsidRPr="00FB6E21">
        <w:rPr>
          <w:rFonts w:ascii="Arial" w:hAnsi="Arial" w:cs="Arial"/>
          <w:color w:val="000000" w:themeColor="text1"/>
          <w:lang w:val="en-GB"/>
        </w:rPr>
        <w:t xml:space="preserve">. Available at: </w:t>
      </w:r>
      <w:hyperlink r:id="rId101" w:tgtFrame="_blank" w:tooltip="www.who.int" w:history="1">
        <w:r w:rsidRPr="00FB6E21">
          <w:rPr>
            <w:rStyle w:val="Hyperlink"/>
            <w:rFonts w:ascii="Arial" w:hAnsi="Arial" w:cs="Arial"/>
            <w:lang w:val="en-GB"/>
          </w:rPr>
          <w:t>https://www.who.int/news-room/fact-sheets/detail/cardiovascular-diseases-(cvds)</w:t>
        </w:r>
      </w:hyperlink>
      <w:r w:rsidRPr="00FB6E21">
        <w:rPr>
          <w:rFonts w:ascii="Arial" w:hAnsi="Arial" w:cs="Arial"/>
          <w:color w:val="000000" w:themeColor="text1"/>
          <w:lang w:val="en-GB"/>
        </w:rPr>
        <w:t xml:space="preserve"> (Accessed: 22 April 2026).</w:t>
      </w:r>
    </w:p>
    <w:p w14:paraId="70B14E75"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World Health Organization (2023b) </w:t>
      </w:r>
      <w:r w:rsidRPr="00FB6E21">
        <w:rPr>
          <w:rFonts w:ascii="Arial" w:hAnsi="Arial" w:cs="Arial"/>
          <w:i/>
          <w:iCs/>
          <w:color w:val="000000" w:themeColor="text1"/>
          <w:lang w:val="en-GB"/>
        </w:rPr>
        <w:t>Social Determinants of Health</w:t>
      </w:r>
      <w:r w:rsidRPr="00FB6E21">
        <w:rPr>
          <w:rFonts w:ascii="Arial" w:hAnsi="Arial" w:cs="Arial"/>
          <w:color w:val="000000" w:themeColor="text1"/>
          <w:lang w:val="en-GB"/>
        </w:rPr>
        <w:t xml:space="preserve">. Available at: </w:t>
      </w:r>
      <w:hyperlink r:id="rId102" w:tgtFrame="_blank" w:tooltip="www.who.int" w:history="1">
        <w:r w:rsidRPr="00FB6E21">
          <w:rPr>
            <w:rStyle w:val="Hyperlink"/>
            <w:rFonts w:ascii="Arial" w:hAnsi="Arial" w:cs="Arial"/>
            <w:lang w:val="en-GB"/>
          </w:rPr>
          <w:t>https://www.who.int/health-topics/social-determinants-of-health</w:t>
        </w:r>
      </w:hyperlink>
      <w:r w:rsidRPr="00FB6E21">
        <w:rPr>
          <w:rFonts w:ascii="Arial" w:hAnsi="Arial" w:cs="Arial"/>
          <w:color w:val="000000" w:themeColor="text1"/>
          <w:lang w:val="en-GB"/>
        </w:rPr>
        <w:t xml:space="preserve"> (Accessed: 3 May 2026).</w:t>
      </w:r>
    </w:p>
    <w:p w14:paraId="5D1BE3CD"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World Health Organization Regional Office for Europe (2024) </w:t>
      </w:r>
      <w:r w:rsidRPr="00FB6E21">
        <w:rPr>
          <w:rFonts w:ascii="Arial" w:hAnsi="Arial" w:cs="Arial"/>
          <w:i/>
          <w:iCs/>
          <w:color w:val="000000" w:themeColor="text1"/>
          <w:lang w:val="en-GB"/>
        </w:rPr>
        <w:t>High Blood Pressure in the WHO European Region</w:t>
      </w:r>
      <w:r w:rsidRPr="00FB6E21">
        <w:rPr>
          <w:rFonts w:ascii="Arial" w:hAnsi="Arial" w:cs="Arial"/>
          <w:color w:val="000000" w:themeColor="text1"/>
          <w:lang w:val="en-GB"/>
        </w:rPr>
        <w:t xml:space="preserve">. Available at: </w:t>
      </w:r>
      <w:hyperlink r:id="rId103" w:tgtFrame="_blank" w:tooltip="www.who.int" w:history="1">
        <w:r w:rsidRPr="00FB6E21">
          <w:rPr>
            <w:rStyle w:val="Hyperlink"/>
            <w:rFonts w:ascii="Arial" w:hAnsi="Arial" w:cs="Arial"/>
            <w:lang w:val="en-GB"/>
          </w:rPr>
          <w:t>https://www.who.int/europe/publications</w:t>
        </w:r>
      </w:hyperlink>
      <w:r w:rsidRPr="00FB6E21">
        <w:rPr>
          <w:rFonts w:ascii="Arial" w:hAnsi="Arial" w:cs="Arial"/>
          <w:color w:val="000000" w:themeColor="text1"/>
          <w:lang w:val="en-GB"/>
        </w:rPr>
        <w:t xml:space="preserve"> (Accessed: 27 March 2026).</w:t>
      </w:r>
    </w:p>
    <w:p w14:paraId="11FF0EB6" w14:textId="77777777" w:rsidR="00021EC7" w:rsidRPr="00FB6E21" w:rsidRDefault="00021EC7" w:rsidP="00021EC7">
      <w:pPr>
        <w:spacing w:line="360" w:lineRule="auto"/>
        <w:jc w:val="both"/>
        <w:rPr>
          <w:rFonts w:ascii="Arial" w:hAnsi="Arial" w:cs="Arial"/>
          <w:color w:val="000000" w:themeColor="text1"/>
          <w:lang w:val="en-GB"/>
        </w:rPr>
      </w:pPr>
      <w:r w:rsidRPr="00FB6E21">
        <w:rPr>
          <w:rFonts w:ascii="Arial" w:hAnsi="Arial" w:cs="Arial"/>
          <w:color w:val="000000" w:themeColor="text1"/>
          <w:lang w:val="en-GB"/>
        </w:rPr>
        <w:t xml:space="preserve">World Health Organization (2024) </w:t>
      </w:r>
      <w:r w:rsidRPr="00FB6E21">
        <w:rPr>
          <w:rFonts w:ascii="Arial" w:hAnsi="Arial" w:cs="Arial"/>
          <w:i/>
          <w:iCs/>
          <w:color w:val="000000" w:themeColor="text1"/>
          <w:lang w:val="en-GB"/>
        </w:rPr>
        <w:t>Ageing and Health</w:t>
      </w:r>
      <w:r w:rsidRPr="00FB6E21">
        <w:rPr>
          <w:rFonts w:ascii="Arial" w:hAnsi="Arial" w:cs="Arial"/>
          <w:color w:val="000000" w:themeColor="text1"/>
          <w:lang w:val="en-GB"/>
        </w:rPr>
        <w:t xml:space="preserve">. Available at: </w:t>
      </w:r>
      <w:hyperlink r:id="rId104" w:tgtFrame="_blank" w:tooltip="www.who.int" w:history="1">
        <w:r w:rsidRPr="00FB6E21">
          <w:rPr>
            <w:rStyle w:val="Hyperlink"/>
            <w:rFonts w:ascii="Arial" w:hAnsi="Arial" w:cs="Arial"/>
            <w:lang w:val="en-GB"/>
          </w:rPr>
          <w:t>https://www.who.int/news-room/fact-sheets/detail/ageing-and-health</w:t>
        </w:r>
      </w:hyperlink>
      <w:r w:rsidRPr="00FB6E21">
        <w:rPr>
          <w:rFonts w:ascii="Arial" w:hAnsi="Arial" w:cs="Arial"/>
          <w:color w:val="000000" w:themeColor="text1"/>
          <w:lang w:val="en-GB"/>
        </w:rPr>
        <w:t xml:space="preserve"> (Accessed: 11 June 2026).</w:t>
      </w:r>
    </w:p>
    <w:p w14:paraId="00E40A6D" w14:textId="77777777" w:rsidR="00021EC7" w:rsidRPr="00FB6E21" w:rsidRDefault="00021EC7" w:rsidP="00021EC7">
      <w:pPr>
        <w:spacing w:line="360" w:lineRule="auto"/>
        <w:jc w:val="both"/>
        <w:rPr>
          <w:rFonts w:ascii="Arial" w:hAnsi="Arial" w:cs="Arial"/>
          <w:color w:val="000000" w:themeColor="text1"/>
          <w:lang w:val="en-GB"/>
        </w:rPr>
      </w:pPr>
      <w:proofErr w:type="spellStart"/>
      <w:r w:rsidRPr="00FB6E21">
        <w:rPr>
          <w:rFonts w:ascii="Arial" w:hAnsi="Arial" w:cs="Arial"/>
          <w:color w:val="000000" w:themeColor="text1"/>
          <w:lang w:val="en-GB"/>
        </w:rPr>
        <w:t>Worringham</w:t>
      </w:r>
      <w:proofErr w:type="spellEnd"/>
      <w:r w:rsidRPr="00FB6E21">
        <w:rPr>
          <w:rFonts w:ascii="Arial" w:hAnsi="Arial" w:cs="Arial"/>
          <w:color w:val="000000" w:themeColor="text1"/>
          <w:lang w:val="en-GB"/>
        </w:rPr>
        <w:t xml:space="preserve">, C., Rojek, A., Stewart, I., Stewart, R. and Middleton, S. (2021) ‘Wearable technology in cardiac rehabilitation’, </w:t>
      </w:r>
      <w:r w:rsidRPr="00FB6E21">
        <w:rPr>
          <w:rFonts w:ascii="Arial" w:hAnsi="Arial" w:cs="Arial"/>
          <w:i/>
          <w:iCs/>
          <w:color w:val="000000" w:themeColor="text1"/>
          <w:lang w:val="en-GB"/>
        </w:rPr>
        <w:t>Heart, Lung and Circulation</w:t>
      </w:r>
      <w:r w:rsidRPr="00FB6E21">
        <w:rPr>
          <w:rFonts w:ascii="Arial" w:hAnsi="Arial" w:cs="Arial"/>
          <w:color w:val="000000" w:themeColor="text1"/>
          <w:lang w:val="en-GB"/>
        </w:rPr>
        <w:t xml:space="preserve">, 30(3), pp. 353–360. Available at: </w:t>
      </w:r>
      <w:hyperlink r:id="rId105" w:tgtFrame="_blank" w:tooltip="doi.org" w:history="1">
        <w:r w:rsidRPr="00FB6E21">
          <w:rPr>
            <w:rStyle w:val="Hyperlink"/>
            <w:rFonts w:ascii="Arial" w:hAnsi="Arial" w:cs="Arial"/>
            <w:lang w:val="en-GB"/>
          </w:rPr>
          <w:t>https://doi.org/10.1016/j.hlc.2020.09.927</w:t>
        </w:r>
      </w:hyperlink>
      <w:r w:rsidRPr="00FB6E21">
        <w:rPr>
          <w:rFonts w:ascii="Arial" w:hAnsi="Arial" w:cs="Arial"/>
          <w:color w:val="000000" w:themeColor="text1"/>
          <w:lang w:val="en-GB"/>
        </w:rPr>
        <w:t xml:space="preserve"> (Accessed: 6 April 2026).</w:t>
      </w:r>
    </w:p>
    <w:p w14:paraId="7871218F" w14:textId="419C84AF" w:rsidR="002E7042" w:rsidRPr="00FB6E21" w:rsidRDefault="002E7042" w:rsidP="00167E86">
      <w:pPr>
        <w:spacing w:line="360" w:lineRule="auto"/>
        <w:jc w:val="both"/>
        <w:rPr>
          <w:rFonts w:ascii="Arial" w:hAnsi="Arial" w:cs="Arial"/>
          <w:color w:val="000000" w:themeColor="text1"/>
          <w:lang w:val="en-US"/>
        </w:rPr>
      </w:pPr>
    </w:p>
    <w:sectPr w:rsidR="002E7042" w:rsidRPr="00FB6E21" w:rsidSect="00631B68">
      <w:headerReference w:type="even" r:id="rId106"/>
      <w:headerReference w:type="default" r:id="rId107"/>
      <w:footerReference w:type="even" r:id="rId108"/>
      <w:footerReference w:type="default" r:id="rId109"/>
      <w:headerReference w:type="first" r:id="rId110"/>
      <w:footerReference w:type="first" r:id="rId111"/>
      <w:pgSz w:w="11906" w:h="16838"/>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29E3E" w14:textId="77777777" w:rsidR="00F16826" w:rsidRDefault="00F16826" w:rsidP="00170AC9">
      <w:pPr>
        <w:spacing w:after="0" w:line="240" w:lineRule="auto"/>
      </w:pPr>
      <w:r>
        <w:separator/>
      </w:r>
    </w:p>
  </w:endnote>
  <w:endnote w:type="continuationSeparator" w:id="0">
    <w:p w14:paraId="0668F2FB" w14:textId="77777777" w:rsidR="00F16826" w:rsidRDefault="00F16826" w:rsidP="00170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030B3" w14:textId="77777777" w:rsidR="00170AC9" w:rsidRDefault="00170A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5139584"/>
      <w:docPartObj>
        <w:docPartGallery w:val="Page Numbers (Bottom of Page)"/>
        <w:docPartUnique/>
      </w:docPartObj>
    </w:sdtPr>
    <w:sdtEndPr>
      <w:rPr>
        <w:color w:val="7F7F7F" w:themeColor="background1" w:themeShade="7F"/>
        <w:spacing w:val="60"/>
      </w:rPr>
    </w:sdtEndPr>
    <w:sdtContent>
      <w:p w14:paraId="0CDD96C6" w14:textId="5F790EC5" w:rsidR="00170AC9" w:rsidRDefault="00170AC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8D75C7" w14:textId="77777777" w:rsidR="00170AC9" w:rsidRDefault="00170A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9A388" w14:textId="77777777" w:rsidR="00170AC9" w:rsidRDefault="00170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A206A" w14:textId="77777777" w:rsidR="00F16826" w:rsidRDefault="00F16826" w:rsidP="00170AC9">
      <w:pPr>
        <w:spacing w:after="0" w:line="240" w:lineRule="auto"/>
      </w:pPr>
      <w:r>
        <w:separator/>
      </w:r>
    </w:p>
  </w:footnote>
  <w:footnote w:type="continuationSeparator" w:id="0">
    <w:p w14:paraId="67813498" w14:textId="77777777" w:rsidR="00F16826" w:rsidRDefault="00F16826" w:rsidP="00170A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81E61" w14:textId="77777777" w:rsidR="00170AC9" w:rsidRDefault="00170A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79107" w14:textId="77777777" w:rsidR="00170AC9" w:rsidRDefault="00170A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FFAB5" w14:textId="77777777" w:rsidR="00170AC9" w:rsidRDefault="00170A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92571"/>
    <w:multiLevelType w:val="multilevel"/>
    <w:tmpl w:val="3C12E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62033"/>
    <w:multiLevelType w:val="multilevel"/>
    <w:tmpl w:val="D384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0435ED"/>
    <w:multiLevelType w:val="multilevel"/>
    <w:tmpl w:val="E3003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943DC7"/>
    <w:multiLevelType w:val="multilevel"/>
    <w:tmpl w:val="9D928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851CF6"/>
    <w:multiLevelType w:val="multilevel"/>
    <w:tmpl w:val="9294B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106FA0"/>
    <w:multiLevelType w:val="multilevel"/>
    <w:tmpl w:val="17580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39747A"/>
    <w:multiLevelType w:val="multilevel"/>
    <w:tmpl w:val="89D8C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D66A4A"/>
    <w:multiLevelType w:val="hybridMultilevel"/>
    <w:tmpl w:val="A808BA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576680E"/>
    <w:multiLevelType w:val="multilevel"/>
    <w:tmpl w:val="6E40E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7102CD"/>
    <w:multiLevelType w:val="multilevel"/>
    <w:tmpl w:val="6804B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3"/>
  </w:num>
  <w:num w:numId="4">
    <w:abstractNumId w:val="2"/>
  </w:num>
  <w:num w:numId="5">
    <w:abstractNumId w:val="6"/>
  </w:num>
  <w:num w:numId="6">
    <w:abstractNumId w:val="4"/>
  </w:num>
  <w:num w:numId="7">
    <w:abstractNumId w:val="1"/>
  </w:num>
  <w:num w:numId="8">
    <w:abstractNumId w:val="9"/>
  </w:num>
  <w:num w:numId="9">
    <w:abstractNumId w:val="0"/>
  </w:num>
  <w:num w:numId="10">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ing Wu">
    <w15:presenceInfo w15:providerId="AD" w15:userId="S::ping.wu@icr.ac.uk::ffd57139-25e9-43f0-add3-5a826a6cafe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FAB"/>
    <w:rsid w:val="00000FAB"/>
    <w:rsid w:val="00015C4B"/>
    <w:rsid w:val="000201C9"/>
    <w:rsid w:val="00021EC7"/>
    <w:rsid w:val="0002468E"/>
    <w:rsid w:val="00054F91"/>
    <w:rsid w:val="00055C27"/>
    <w:rsid w:val="0006126E"/>
    <w:rsid w:val="00082207"/>
    <w:rsid w:val="000A1820"/>
    <w:rsid w:val="000A3B07"/>
    <w:rsid w:val="000C5931"/>
    <w:rsid w:val="000C7112"/>
    <w:rsid w:val="000C7CEB"/>
    <w:rsid w:val="000D41B5"/>
    <w:rsid w:val="000E3431"/>
    <w:rsid w:val="000F4AD6"/>
    <w:rsid w:val="0010319F"/>
    <w:rsid w:val="00110392"/>
    <w:rsid w:val="0011766A"/>
    <w:rsid w:val="001200D2"/>
    <w:rsid w:val="001340F2"/>
    <w:rsid w:val="0016061B"/>
    <w:rsid w:val="00167E86"/>
    <w:rsid w:val="00170AC9"/>
    <w:rsid w:val="00170ED1"/>
    <w:rsid w:val="00170F12"/>
    <w:rsid w:val="00177C7E"/>
    <w:rsid w:val="00191154"/>
    <w:rsid w:val="00195950"/>
    <w:rsid w:val="001B1E2D"/>
    <w:rsid w:val="001B730F"/>
    <w:rsid w:val="001C048B"/>
    <w:rsid w:val="001C3D8E"/>
    <w:rsid w:val="001C4285"/>
    <w:rsid w:val="001E1CCB"/>
    <w:rsid w:val="001F652F"/>
    <w:rsid w:val="0020012A"/>
    <w:rsid w:val="002061B7"/>
    <w:rsid w:val="00234AD2"/>
    <w:rsid w:val="002428FC"/>
    <w:rsid w:val="002440DF"/>
    <w:rsid w:val="00262DC1"/>
    <w:rsid w:val="00264982"/>
    <w:rsid w:val="00264E5A"/>
    <w:rsid w:val="00265E90"/>
    <w:rsid w:val="002725E7"/>
    <w:rsid w:val="00276600"/>
    <w:rsid w:val="00276E20"/>
    <w:rsid w:val="002800A5"/>
    <w:rsid w:val="00283E75"/>
    <w:rsid w:val="002875AF"/>
    <w:rsid w:val="00290FC3"/>
    <w:rsid w:val="002976B3"/>
    <w:rsid w:val="002B7FDC"/>
    <w:rsid w:val="002C32CA"/>
    <w:rsid w:val="002D11D1"/>
    <w:rsid w:val="002D512F"/>
    <w:rsid w:val="002D57D7"/>
    <w:rsid w:val="002E0452"/>
    <w:rsid w:val="002E7042"/>
    <w:rsid w:val="0032143E"/>
    <w:rsid w:val="00364112"/>
    <w:rsid w:val="0038424C"/>
    <w:rsid w:val="00385E39"/>
    <w:rsid w:val="003A13F4"/>
    <w:rsid w:val="003A2FD2"/>
    <w:rsid w:val="003D0476"/>
    <w:rsid w:val="003D5D31"/>
    <w:rsid w:val="003E03F7"/>
    <w:rsid w:val="003F34E5"/>
    <w:rsid w:val="00401B8E"/>
    <w:rsid w:val="00425AD2"/>
    <w:rsid w:val="0043243C"/>
    <w:rsid w:val="00441D6E"/>
    <w:rsid w:val="0044717F"/>
    <w:rsid w:val="004511FA"/>
    <w:rsid w:val="00453AD7"/>
    <w:rsid w:val="00457318"/>
    <w:rsid w:val="00465E85"/>
    <w:rsid w:val="00493EDF"/>
    <w:rsid w:val="004A12EC"/>
    <w:rsid w:val="004A27BB"/>
    <w:rsid w:val="004A41ED"/>
    <w:rsid w:val="004A553C"/>
    <w:rsid w:val="004B60FC"/>
    <w:rsid w:val="004E6F35"/>
    <w:rsid w:val="004F3035"/>
    <w:rsid w:val="00503970"/>
    <w:rsid w:val="00507D96"/>
    <w:rsid w:val="00514E9E"/>
    <w:rsid w:val="00517723"/>
    <w:rsid w:val="005327EC"/>
    <w:rsid w:val="00535D88"/>
    <w:rsid w:val="00563779"/>
    <w:rsid w:val="00577C5C"/>
    <w:rsid w:val="00577D37"/>
    <w:rsid w:val="005A76BD"/>
    <w:rsid w:val="005B0A8D"/>
    <w:rsid w:val="005D4590"/>
    <w:rsid w:val="005E594B"/>
    <w:rsid w:val="005E6336"/>
    <w:rsid w:val="005F0AE2"/>
    <w:rsid w:val="005F7EE7"/>
    <w:rsid w:val="00631B68"/>
    <w:rsid w:val="0063723C"/>
    <w:rsid w:val="00640FE7"/>
    <w:rsid w:val="00646C39"/>
    <w:rsid w:val="00695902"/>
    <w:rsid w:val="00697476"/>
    <w:rsid w:val="006B294A"/>
    <w:rsid w:val="006C6578"/>
    <w:rsid w:val="006D14CB"/>
    <w:rsid w:val="006D26C5"/>
    <w:rsid w:val="007040B6"/>
    <w:rsid w:val="007278EB"/>
    <w:rsid w:val="007339D3"/>
    <w:rsid w:val="00742E0C"/>
    <w:rsid w:val="007445DF"/>
    <w:rsid w:val="0075339C"/>
    <w:rsid w:val="00755BC0"/>
    <w:rsid w:val="00757AF1"/>
    <w:rsid w:val="007605BE"/>
    <w:rsid w:val="007749DA"/>
    <w:rsid w:val="00774E89"/>
    <w:rsid w:val="007904C9"/>
    <w:rsid w:val="00794EBA"/>
    <w:rsid w:val="007B1E06"/>
    <w:rsid w:val="007B29E8"/>
    <w:rsid w:val="007B4AC4"/>
    <w:rsid w:val="007C3FFF"/>
    <w:rsid w:val="008041FC"/>
    <w:rsid w:val="0080485D"/>
    <w:rsid w:val="00807DAE"/>
    <w:rsid w:val="00824755"/>
    <w:rsid w:val="00832F99"/>
    <w:rsid w:val="008335ED"/>
    <w:rsid w:val="00837333"/>
    <w:rsid w:val="00851DC1"/>
    <w:rsid w:val="00897F7F"/>
    <w:rsid w:val="008A73CD"/>
    <w:rsid w:val="008B2619"/>
    <w:rsid w:val="008D0C99"/>
    <w:rsid w:val="008D1005"/>
    <w:rsid w:val="008E4A03"/>
    <w:rsid w:val="008F2D23"/>
    <w:rsid w:val="008F483F"/>
    <w:rsid w:val="008F4E30"/>
    <w:rsid w:val="00906280"/>
    <w:rsid w:val="00912B41"/>
    <w:rsid w:val="00917871"/>
    <w:rsid w:val="00922D83"/>
    <w:rsid w:val="00936B3E"/>
    <w:rsid w:val="00936FEB"/>
    <w:rsid w:val="009467EF"/>
    <w:rsid w:val="0097791B"/>
    <w:rsid w:val="00981377"/>
    <w:rsid w:val="00984A29"/>
    <w:rsid w:val="00985CB3"/>
    <w:rsid w:val="0099375A"/>
    <w:rsid w:val="009A3692"/>
    <w:rsid w:val="009A4CC1"/>
    <w:rsid w:val="009C625B"/>
    <w:rsid w:val="009D57BB"/>
    <w:rsid w:val="009E2D48"/>
    <w:rsid w:val="009E7B6C"/>
    <w:rsid w:val="009F7490"/>
    <w:rsid w:val="00A05B83"/>
    <w:rsid w:val="00A41C28"/>
    <w:rsid w:val="00A470A8"/>
    <w:rsid w:val="00A47CED"/>
    <w:rsid w:val="00A52821"/>
    <w:rsid w:val="00A72799"/>
    <w:rsid w:val="00A82B86"/>
    <w:rsid w:val="00A830B5"/>
    <w:rsid w:val="00A836FB"/>
    <w:rsid w:val="00A909A0"/>
    <w:rsid w:val="00A91F1E"/>
    <w:rsid w:val="00A9352A"/>
    <w:rsid w:val="00AA3EAD"/>
    <w:rsid w:val="00AA4B24"/>
    <w:rsid w:val="00AB2E9C"/>
    <w:rsid w:val="00AB363A"/>
    <w:rsid w:val="00AB53B7"/>
    <w:rsid w:val="00AD0076"/>
    <w:rsid w:val="00AD4B74"/>
    <w:rsid w:val="00AE4514"/>
    <w:rsid w:val="00AF08A1"/>
    <w:rsid w:val="00B148F8"/>
    <w:rsid w:val="00B16928"/>
    <w:rsid w:val="00B17194"/>
    <w:rsid w:val="00B23038"/>
    <w:rsid w:val="00B32AFC"/>
    <w:rsid w:val="00B42F01"/>
    <w:rsid w:val="00B505B1"/>
    <w:rsid w:val="00B8457C"/>
    <w:rsid w:val="00B8612D"/>
    <w:rsid w:val="00B91A49"/>
    <w:rsid w:val="00B954BA"/>
    <w:rsid w:val="00BA0C8D"/>
    <w:rsid w:val="00BD50FF"/>
    <w:rsid w:val="00BE0CBB"/>
    <w:rsid w:val="00C0066E"/>
    <w:rsid w:val="00C03450"/>
    <w:rsid w:val="00C22121"/>
    <w:rsid w:val="00C24A1D"/>
    <w:rsid w:val="00C366A6"/>
    <w:rsid w:val="00C3694B"/>
    <w:rsid w:val="00C40B32"/>
    <w:rsid w:val="00C41300"/>
    <w:rsid w:val="00C512E8"/>
    <w:rsid w:val="00C53BFB"/>
    <w:rsid w:val="00C70ED0"/>
    <w:rsid w:val="00C84FAB"/>
    <w:rsid w:val="00C86DB1"/>
    <w:rsid w:val="00CB6097"/>
    <w:rsid w:val="00CC6BED"/>
    <w:rsid w:val="00CD3713"/>
    <w:rsid w:val="00CD4100"/>
    <w:rsid w:val="00CF2759"/>
    <w:rsid w:val="00D05A93"/>
    <w:rsid w:val="00D15E99"/>
    <w:rsid w:val="00D23013"/>
    <w:rsid w:val="00D25B82"/>
    <w:rsid w:val="00D26863"/>
    <w:rsid w:val="00D447C6"/>
    <w:rsid w:val="00D51A21"/>
    <w:rsid w:val="00D912F8"/>
    <w:rsid w:val="00DD2BED"/>
    <w:rsid w:val="00DE1AF5"/>
    <w:rsid w:val="00DE4914"/>
    <w:rsid w:val="00E05282"/>
    <w:rsid w:val="00E21690"/>
    <w:rsid w:val="00E315FF"/>
    <w:rsid w:val="00E533F8"/>
    <w:rsid w:val="00E55792"/>
    <w:rsid w:val="00E73072"/>
    <w:rsid w:val="00E76623"/>
    <w:rsid w:val="00E778B1"/>
    <w:rsid w:val="00E94ABD"/>
    <w:rsid w:val="00EB6BA4"/>
    <w:rsid w:val="00EE0641"/>
    <w:rsid w:val="00EE3F34"/>
    <w:rsid w:val="00EF2852"/>
    <w:rsid w:val="00F033B5"/>
    <w:rsid w:val="00F16826"/>
    <w:rsid w:val="00F20870"/>
    <w:rsid w:val="00F36764"/>
    <w:rsid w:val="00F37A79"/>
    <w:rsid w:val="00F420FD"/>
    <w:rsid w:val="00F45B03"/>
    <w:rsid w:val="00F627EA"/>
    <w:rsid w:val="00F7461E"/>
    <w:rsid w:val="00F750C1"/>
    <w:rsid w:val="00F93FA0"/>
    <w:rsid w:val="00FA1A9D"/>
    <w:rsid w:val="00FB51DF"/>
    <w:rsid w:val="00FB6E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A88723"/>
  <w15:chartTrackingRefBased/>
  <w15:docId w15:val="{52FB2808-7E49-4B5A-9C7F-3A2AF1CE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B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12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00FAB"/>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next w:val="Normal"/>
    <w:link w:val="Heading4Char"/>
    <w:uiPriority w:val="9"/>
    <w:unhideWhenUsed/>
    <w:qFormat/>
    <w:rsid w:val="00C40B3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00FAB"/>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000FAB"/>
    <w:rPr>
      <w:b/>
      <w:bCs/>
    </w:rPr>
  </w:style>
  <w:style w:type="paragraph" w:styleId="NormalWeb">
    <w:name w:val="Normal (Web)"/>
    <w:basedOn w:val="Normal"/>
    <w:uiPriority w:val="99"/>
    <w:unhideWhenUsed/>
    <w:rsid w:val="00000FA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rsid w:val="0006126E"/>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06126E"/>
    <w:rPr>
      <w:i/>
      <w:iCs/>
    </w:rPr>
  </w:style>
  <w:style w:type="character" w:customStyle="1" w:styleId="Heading1Char">
    <w:name w:val="Heading 1 Char"/>
    <w:basedOn w:val="DefaultParagraphFont"/>
    <w:link w:val="Heading1"/>
    <w:uiPriority w:val="9"/>
    <w:rsid w:val="00C40B32"/>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C40B32"/>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AA4B24"/>
    <w:rPr>
      <w:color w:val="0000FF"/>
      <w:u w:val="single"/>
    </w:rPr>
  </w:style>
  <w:style w:type="paragraph" w:styleId="Revision">
    <w:name w:val="Revision"/>
    <w:hidden/>
    <w:uiPriority w:val="99"/>
    <w:semiHidden/>
    <w:rsid w:val="00851DC1"/>
    <w:pPr>
      <w:spacing w:after="0" w:line="240" w:lineRule="auto"/>
    </w:pPr>
  </w:style>
  <w:style w:type="character" w:styleId="CommentReference">
    <w:name w:val="annotation reference"/>
    <w:basedOn w:val="DefaultParagraphFont"/>
    <w:uiPriority w:val="99"/>
    <w:semiHidden/>
    <w:unhideWhenUsed/>
    <w:rsid w:val="00E94ABD"/>
    <w:rPr>
      <w:sz w:val="16"/>
      <w:szCs w:val="16"/>
    </w:rPr>
  </w:style>
  <w:style w:type="paragraph" w:styleId="CommentText">
    <w:name w:val="annotation text"/>
    <w:basedOn w:val="Normal"/>
    <w:link w:val="CommentTextChar"/>
    <w:uiPriority w:val="99"/>
    <w:unhideWhenUsed/>
    <w:rsid w:val="00E94ABD"/>
    <w:pPr>
      <w:spacing w:line="240" w:lineRule="auto"/>
    </w:pPr>
    <w:rPr>
      <w:sz w:val="20"/>
      <w:szCs w:val="20"/>
    </w:rPr>
  </w:style>
  <w:style w:type="character" w:customStyle="1" w:styleId="CommentTextChar">
    <w:name w:val="Comment Text Char"/>
    <w:basedOn w:val="DefaultParagraphFont"/>
    <w:link w:val="CommentText"/>
    <w:uiPriority w:val="99"/>
    <w:rsid w:val="00E94ABD"/>
    <w:rPr>
      <w:sz w:val="20"/>
      <w:szCs w:val="20"/>
    </w:rPr>
  </w:style>
  <w:style w:type="paragraph" w:styleId="CommentSubject">
    <w:name w:val="annotation subject"/>
    <w:basedOn w:val="CommentText"/>
    <w:next w:val="CommentText"/>
    <w:link w:val="CommentSubjectChar"/>
    <w:uiPriority w:val="99"/>
    <w:semiHidden/>
    <w:unhideWhenUsed/>
    <w:rsid w:val="00E94ABD"/>
    <w:rPr>
      <w:b/>
      <w:bCs/>
    </w:rPr>
  </w:style>
  <w:style w:type="character" w:customStyle="1" w:styleId="CommentSubjectChar">
    <w:name w:val="Comment Subject Char"/>
    <w:basedOn w:val="CommentTextChar"/>
    <w:link w:val="CommentSubject"/>
    <w:uiPriority w:val="99"/>
    <w:semiHidden/>
    <w:rsid w:val="00E94ABD"/>
    <w:rPr>
      <w:b/>
      <w:bCs/>
      <w:sz w:val="20"/>
      <w:szCs w:val="20"/>
    </w:rPr>
  </w:style>
  <w:style w:type="character" w:styleId="UnresolvedMention">
    <w:name w:val="Unresolved Mention"/>
    <w:basedOn w:val="DefaultParagraphFont"/>
    <w:uiPriority w:val="99"/>
    <w:semiHidden/>
    <w:unhideWhenUsed/>
    <w:rsid w:val="00015C4B"/>
    <w:rPr>
      <w:color w:val="605E5C"/>
      <w:shd w:val="clear" w:color="auto" w:fill="E1DFDD"/>
    </w:rPr>
  </w:style>
  <w:style w:type="paragraph" w:styleId="NoSpacing">
    <w:name w:val="No Spacing"/>
    <w:basedOn w:val="Normal"/>
    <w:uiPriority w:val="1"/>
    <w:qFormat/>
    <w:rsid w:val="00E76623"/>
    <w:pPr>
      <w:spacing w:after="0" w:line="240" w:lineRule="auto"/>
    </w:pPr>
    <w:rPr>
      <w:rFonts w:ascii="Arial" w:eastAsia="Times New Roman" w:hAnsi="Arial" w:cs="Times New Roman"/>
      <w:lang w:val="en-GB"/>
    </w:rPr>
  </w:style>
  <w:style w:type="character" w:customStyle="1" w:styleId="lrzxr">
    <w:name w:val="lrzxr"/>
    <w:rsid w:val="00E76623"/>
  </w:style>
  <w:style w:type="paragraph" w:styleId="Header">
    <w:name w:val="header"/>
    <w:basedOn w:val="Normal"/>
    <w:link w:val="HeaderChar"/>
    <w:uiPriority w:val="99"/>
    <w:unhideWhenUsed/>
    <w:rsid w:val="00170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AC9"/>
  </w:style>
  <w:style w:type="paragraph" w:styleId="Footer">
    <w:name w:val="footer"/>
    <w:basedOn w:val="Normal"/>
    <w:link w:val="FooterChar"/>
    <w:uiPriority w:val="99"/>
    <w:unhideWhenUsed/>
    <w:rsid w:val="00170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AC9"/>
  </w:style>
  <w:style w:type="character" w:styleId="HTMLCode">
    <w:name w:val="HTML Code"/>
    <w:basedOn w:val="DefaultParagraphFont"/>
    <w:uiPriority w:val="99"/>
    <w:semiHidden/>
    <w:unhideWhenUsed/>
    <w:rsid w:val="00514E9E"/>
    <w:rPr>
      <w:rFonts w:ascii="Courier New" w:eastAsia="Times New Roman" w:hAnsi="Courier New" w:cs="Courier New"/>
      <w:sz w:val="20"/>
      <w:szCs w:val="20"/>
    </w:rPr>
  </w:style>
  <w:style w:type="paragraph" w:styleId="ListParagraph">
    <w:name w:val="List Paragraph"/>
    <w:basedOn w:val="Normal"/>
    <w:uiPriority w:val="34"/>
    <w:qFormat/>
    <w:rsid w:val="00C84F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5477">
      <w:bodyDiv w:val="1"/>
      <w:marLeft w:val="0"/>
      <w:marRight w:val="0"/>
      <w:marTop w:val="0"/>
      <w:marBottom w:val="0"/>
      <w:divBdr>
        <w:top w:val="none" w:sz="0" w:space="0" w:color="auto"/>
        <w:left w:val="none" w:sz="0" w:space="0" w:color="auto"/>
        <w:bottom w:val="none" w:sz="0" w:space="0" w:color="auto"/>
        <w:right w:val="none" w:sz="0" w:space="0" w:color="auto"/>
      </w:divBdr>
    </w:div>
    <w:div w:id="48382209">
      <w:bodyDiv w:val="1"/>
      <w:marLeft w:val="0"/>
      <w:marRight w:val="0"/>
      <w:marTop w:val="0"/>
      <w:marBottom w:val="0"/>
      <w:divBdr>
        <w:top w:val="none" w:sz="0" w:space="0" w:color="auto"/>
        <w:left w:val="none" w:sz="0" w:space="0" w:color="auto"/>
        <w:bottom w:val="none" w:sz="0" w:space="0" w:color="auto"/>
        <w:right w:val="none" w:sz="0" w:space="0" w:color="auto"/>
      </w:divBdr>
    </w:div>
    <w:div w:id="96407401">
      <w:bodyDiv w:val="1"/>
      <w:marLeft w:val="0"/>
      <w:marRight w:val="0"/>
      <w:marTop w:val="0"/>
      <w:marBottom w:val="0"/>
      <w:divBdr>
        <w:top w:val="none" w:sz="0" w:space="0" w:color="auto"/>
        <w:left w:val="none" w:sz="0" w:space="0" w:color="auto"/>
        <w:bottom w:val="none" w:sz="0" w:space="0" w:color="auto"/>
        <w:right w:val="none" w:sz="0" w:space="0" w:color="auto"/>
      </w:divBdr>
    </w:div>
    <w:div w:id="105273808">
      <w:bodyDiv w:val="1"/>
      <w:marLeft w:val="0"/>
      <w:marRight w:val="0"/>
      <w:marTop w:val="0"/>
      <w:marBottom w:val="0"/>
      <w:divBdr>
        <w:top w:val="none" w:sz="0" w:space="0" w:color="auto"/>
        <w:left w:val="none" w:sz="0" w:space="0" w:color="auto"/>
        <w:bottom w:val="none" w:sz="0" w:space="0" w:color="auto"/>
        <w:right w:val="none" w:sz="0" w:space="0" w:color="auto"/>
      </w:divBdr>
    </w:div>
    <w:div w:id="108400969">
      <w:bodyDiv w:val="1"/>
      <w:marLeft w:val="0"/>
      <w:marRight w:val="0"/>
      <w:marTop w:val="0"/>
      <w:marBottom w:val="0"/>
      <w:divBdr>
        <w:top w:val="none" w:sz="0" w:space="0" w:color="auto"/>
        <w:left w:val="none" w:sz="0" w:space="0" w:color="auto"/>
        <w:bottom w:val="none" w:sz="0" w:space="0" w:color="auto"/>
        <w:right w:val="none" w:sz="0" w:space="0" w:color="auto"/>
      </w:divBdr>
    </w:div>
    <w:div w:id="171995694">
      <w:bodyDiv w:val="1"/>
      <w:marLeft w:val="0"/>
      <w:marRight w:val="0"/>
      <w:marTop w:val="0"/>
      <w:marBottom w:val="0"/>
      <w:divBdr>
        <w:top w:val="none" w:sz="0" w:space="0" w:color="auto"/>
        <w:left w:val="none" w:sz="0" w:space="0" w:color="auto"/>
        <w:bottom w:val="none" w:sz="0" w:space="0" w:color="auto"/>
        <w:right w:val="none" w:sz="0" w:space="0" w:color="auto"/>
      </w:divBdr>
    </w:div>
    <w:div w:id="203104022">
      <w:bodyDiv w:val="1"/>
      <w:marLeft w:val="0"/>
      <w:marRight w:val="0"/>
      <w:marTop w:val="0"/>
      <w:marBottom w:val="0"/>
      <w:divBdr>
        <w:top w:val="none" w:sz="0" w:space="0" w:color="auto"/>
        <w:left w:val="none" w:sz="0" w:space="0" w:color="auto"/>
        <w:bottom w:val="none" w:sz="0" w:space="0" w:color="auto"/>
        <w:right w:val="none" w:sz="0" w:space="0" w:color="auto"/>
      </w:divBdr>
    </w:div>
    <w:div w:id="270280112">
      <w:bodyDiv w:val="1"/>
      <w:marLeft w:val="0"/>
      <w:marRight w:val="0"/>
      <w:marTop w:val="0"/>
      <w:marBottom w:val="0"/>
      <w:divBdr>
        <w:top w:val="none" w:sz="0" w:space="0" w:color="auto"/>
        <w:left w:val="none" w:sz="0" w:space="0" w:color="auto"/>
        <w:bottom w:val="none" w:sz="0" w:space="0" w:color="auto"/>
        <w:right w:val="none" w:sz="0" w:space="0" w:color="auto"/>
      </w:divBdr>
    </w:div>
    <w:div w:id="275211155">
      <w:bodyDiv w:val="1"/>
      <w:marLeft w:val="0"/>
      <w:marRight w:val="0"/>
      <w:marTop w:val="0"/>
      <w:marBottom w:val="0"/>
      <w:divBdr>
        <w:top w:val="none" w:sz="0" w:space="0" w:color="auto"/>
        <w:left w:val="none" w:sz="0" w:space="0" w:color="auto"/>
        <w:bottom w:val="none" w:sz="0" w:space="0" w:color="auto"/>
        <w:right w:val="none" w:sz="0" w:space="0" w:color="auto"/>
      </w:divBdr>
    </w:div>
    <w:div w:id="342709627">
      <w:bodyDiv w:val="1"/>
      <w:marLeft w:val="0"/>
      <w:marRight w:val="0"/>
      <w:marTop w:val="0"/>
      <w:marBottom w:val="0"/>
      <w:divBdr>
        <w:top w:val="none" w:sz="0" w:space="0" w:color="auto"/>
        <w:left w:val="none" w:sz="0" w:space="0" w:color="auto"/>
        <w:bottom w:val="none" w:sz="0" w:space="0" w:color="auto"/>
        <w:right w:val="none" w:sz="0" w:space="0" w:color="auto"/>
      </w:divBdr>
    </w:div>
    <w:div w:id="431360982">
      <w:bodyDiv w:val="1"/>
      <w:marLeft w:val="0"/>
      <w:marRight w:val="0"/>
      <w:marTop w:val="0"/>
      <w:marBottom w:val="0"/>
      <w:divBdr>
        <w:top w:val="none" w:sz="0" w:space="0" w:color="auto"/>
        <w:left w:val="none" w:sz="0" w:space="0" w:color="auto"/>
        <w:bottom w:val="none" w:sz="0" w:space="0" w:color="auto"/>
        <w:right w:val="none" w:sz="0" w:space="0" w:color="auto"/>
      </w:divBdr>
      <w:divsChild>
        <w:div w:id="677732883">
          <w:marLeft w:val="0"/>
          <w:marRight w:val="0"/>
          <w:marTop w:val="0"/>
          <w:marBottom w:val="0"/>
          <w:divBdr>
            <w:top w:val="none" w:sz="0" w:space="0" w:color="auto"/>
            <w:left w:val="none" w:sz="0" w:space="0" w:color="auto"/>
            <w:bottom w:val="none" w:sz="0" w:space="0" w:color="auto"/>
            <w:right w:val="none" w:sz="0" w:space="0" w:color="auto"/>
          </w:divBdr>
          <w:divsChild>
            <w:div w:id="1353602772">
              <w:marLeft w:val="0"/>
              <w:marRight w:val="0"/>
              <w:marTop w:val="0"/>
              <w:marBottom w:val="0"/>
              <w:divBdr>
                <w:top w:val="none" w:sz="0" w:space="0" w:color="auto"/>
                <w:left w:val="none" w:sz="0" w:space="0" w:color="auto"/>
                <w:bottom w:val="none" w:sz="0" w:space="0" w:color="auto"/>
                <w:right w:val="none" w:sz="0" w:space="0" w:color="auto"/>
              </w:divBdr>
              <w:divsChild>
                <w:div w:id="206748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408012">
      <w:bodyDiv w:val="1"/>
      <w:marLeft w:val="0"/>
      <w:marRight w:val="0"/>
      <w:marTop w:val="0"/>
      <w:marBottom w:val="0"/>
      <w:divBdr>
        <w:top w:val="none" w:sz="0" w:space="0" w:color="auto"/>
        <w:left w:val="none" w:sz="0" w:space="0" w:color="auto"/>
        <w:bottom w:val="none" w:sz="0" w:space="0" w:color="auto"/>
        <w:right w:val="none" w:sz="0" w:space="0" w:color="auto"/>
      </w:divBdr>
    </w:div>
    <w:div w:id="494691447">
      <w:bodyDiv w:val="1"/>
      <w:marLeft w:val="0"/>
      <w:marRight w:val="0"/>
      <w:marTop w:val="0"/>
      <w:marBottom w:val="0"/>
      <w:divBdr>
        <w:top w:val="none" w:sz="0" w:space="0" w:color="auto"/>
        <w:left w:val="none" w:sz="0" w:space="0" w:color="auto"/>
        <w:bottom w:val="none" w:sz="0" w:space="0" w:color="auto"/>
        <w:right w:val="none" w:sz="0" w:space="0" w:color="auto"/>
      </w:divBdr>
    </w:div>
    <w:div w:id="574050759">
      <w:bodyDiv w:val="1"/>
      <w:marLeft w:val="0"/>
      <w:marRight w:val="0"/>
      <w:marTop w:val="0"/>
      <w:marBottom w:val="0"/>
      <w:divBdr>
        <w:top w:val="none" w:sz="0" w:space="0" w:color="auto"/>
        <w:left w:val="none" w:sz="0" w:space="0" w:color="auto"/>
        <w:bottom w:val="none" w:sz="0" w:space="0" w:color="auto"/>
        <w:right w:val="none" w:sz="0" w:space="0" w:color="auto"/>
      </w:divBdr>
    </w:div>
    <w:div w:id="585504154">
      <w:bodyDiv w:val="1"/>
      <w:marLeft w:val="0"/>
      <w:marRight w:val="0"/>
      <w:marTop w:val="0"/>
      <w:marBottom w:val="0"/>
      <w:divBdr>
        <w:top w:val="none" w:sz="0" w:space="0" w:color="auto"/>
        <w:left w:val="none" w:sz="0" w:space="0" w:color="auto"/>
        <w:bottom w:val="none" w:sz="0" w:space="0" w:color="auto"/>
        <w:right w:val="none" w:sz="0" w:space="0" w:color="auto"/>
      </w:divBdr>
    </w:div>
    <w:div w:id="585575731">
      <w:bodyDiv w:val="1"/>
      <w:marLeft w:val="0"/>
      <w:marRight w:val="0"/>
      <w:marTop w:val="0"/>
      <w:marBottom w:val="0"/>
      <w:divBdr>
        <w:top w:val="none" w:sz="0" w:space="0" w:color="auto"/>
        <w:left w:val="none" w:sz="0" w:space="0" w:color="auto"/>
        <w:bottom w:val="none" w:sz="0" w:space="0" w:color="auto"/>
        <w:right w:val="none" w:sz="0" w:space="0" w:color="auto"/>
      </w:divBdr>
    </w:div>
    <w:div w:id="589241397">
      <w:bodyDiv w:val="1"/>
      <w:marLeft w:val="0"/>
      <w:marRight w:val="0"/>
      <w:marTop w:val="0"/>
      <w:marBottom w:val="0"/>
      <w:divBdr>
        <w:top w:val="none" w:sz="0" w:space="0" w:color="auto"/>
        <w:left w:val="none" w:sz="0" w:space="0" w:color="auto"/>
        <w:bottom w:val="none" w:sz="0" w:space="0" w:color="auto"/>
        <w:right w:val="none" w:sz="0" w:space="0" w:color="auto"/>
      </w:divBdr>
    </w:div>
    <w:div w:id="602229077">
      <w:bodyDiv w:val="1"/>
      <w:marLeft w:val="0"/>
      <w:marRight w:val="0"/>
      <w:marTop w:val="0"/>
      <w:marBottom w:val="0"/>
      <w:divBdr>
        <w:top w:val="none" w:sz="0" w:space="0" w:color="auto"/>
        <w:left w:val="none" w:sz="0" w:space="0" w:color="auto"/>
        <w:bottom w:val="none" w:sz="0" w:space="0" w:color="auto"/>
        <w:right w:val="none" w:sz="0" w:space="0" w:color="auto"/>
      </w:divBdr>
    </w:div>
    <w:div w:id="620693538">
      <w:bodyDiv w:val="1"/>
      <w:marLeft w:val="0"/>
      <w:marRight w:val="0"/>
      <w:marTop w:val="0"/>
      <w:marBottom w:val="0"/>
      <w:divBdr>
        <w:top w:val="none" w:sz="0" w:space="0" w:color="auto"/>
        <w:left w:val="none" w:sz="0" w:space="0" w:color="auto"/>
        <w:bottom w:val="none" w:sz="0" w:space="0" w:color="auto"/>
        <w:right w:val="none" w:sz="0" w:space="0" w:color="auto"/>
      </w:divBdr>
    </w:div>
    <w:div w:id="622879870">
      <w:bodyDiv w:val="1"/>
      <w:marLeft w:val="0"/>
      <w:marRight w:val="0"/>
      <w:marTop w:val="0"/>
      <w:marBottom w:val="0"/>
      <w:divBdr>
        <w:top w:val="none" w:sz="0" w:space="0" w:color="auto"/>
        <w:left w:val="none" w:sz="0" w:space="0" w:color="auto"/>
        <w:bottom w:val="none" w:sz="0" w:space="0" w:color="auto"/>
        <w:right w:val="none" w:sz="0" w:space="0" w:color="auto"/>
      </w:divBdr>
    </w:div>
    <w:div w:id="655374637">
      <w:bodyDiv w:val="1"/>
      <w:marLeft w:val="0"/>
      <w:marRight w:val="0"/>
      <w:marTop w:val="0"/>
      <w:marBottom w:val="0"/>
      <w:divBdr>
        <w:top w:val="none" w:sz="0" w:space="0" w:color="auto"/>
        <w:left w:val="none" w:sz="0" w:space="0" w:color="auto"/>
        <w:bottom w:val="none" w:sz="0" w:space="0" w:color="auto"/>
        <w:right w:val="none" w:sz="0" w:space="0" w:color="auto"/>
      </w:divBdr>
    </w:div>
    <w:div w:id="695350854">
      <w:bodyDiv w:val="1"/>
      <w:marLeft w:val="0"/>
      <w:marRight w:val="0"/>
      <w:marTop w:val="0"/>
      <w:marBottom w:val="0"/>
      <w:divBdr>
        <w:top w:val="none" w:sz="0" w:space="0" w:color="auto"/>
        <w:left w:val="none" w:sz="0" w:space="0" w:color="auto"/>
        <w:bottom w:val="none" w:sz="0" w:space="0" w:color="auto"/>
        <w:right w:val="none" w:sz="0" w:space="0" w:color="auto"/>
      </w:divBdr>
    </w:div>
    <w:div w:id="701521362">
      <w:bodyDiv w:val="1"/>
      <w:marLeft w:val="0"/>
      <w:marRight w:val="0"/>
      <w:marTop w:val="0"/>
      <w:marBottom w:val="0"/>
      <w:divBdr>
        <w:top w:val="none" w:sz="0" w:space="0" w:color="auto"/>
        <w:left w:val="none" w:sz="0" w:space="0" w:color="auto"/>
        <w:bottom w:val="none" w:sz="0" w:space="0" w:color="auto"/>
        <w:right w:val="none" w:sz="0" w:space="0" w:color="auto"/>
      </w:divBdr>
    </w:div>
    <w:div w:id="719324601">
      <w:bodyDiv w:val="1"/>
      <w:marLeft w:val="0"/>
      <w:marRight w:val="0"/>
      <w:marTop w:val="0"/>
      <w:marBottom w:val="0"/>
      <w:divBdr>
        <w:top w:val="none" w:sz="0" w:space="0" w:color="auto"/>
        <w:left w:val="none" w:sz="0" w:space="0" w:color="auto"/>
        <w:bottom w:val="none" w:sz="0" w:space="0" w:color="auto"/>
        <w:right w:val="none" w:sz="0" w:space="0" w:color="auto"/>
      </w:divBdr>
    </w:div>
    <w:div w:id="722559050">
      <w:bodyDiv w:val="1"/>
      <w:marLeft w:val="0"/>
      <w:marRight w:val="0"/>
      <w:marTop w:val="0"/>
      <w:marBottom w:val="0"/>
      <w:divBdr>
        <w:top w:val="none" w:sz="0" w:space="0" w:color="auto"/>
        <w:left w:val="none" w:sz="0" w:space="0" w:color="auto"/>
        <w:bottom w:val="none" w:sz="0" w:space="0" w:color="auto"/>
        <w:right w:val="none" w:sz="0" w:space="0" w:color="auto"/>
      </w:divBdr>
    </w:div>
    <w:div w:id="743917262">
      <w:bodyDiv w:val="1"/>
      <w:marLeft w:val="0"/>
      <w:marRight w:val="0"/>
      <w:marTop w:val="0"/>
      <w:marBottom w:val="0"/>
      <w:divBdr>
        <w:top w:val="none" w:sz="0" w:space="0" w:color="auto"/>
        <w:left w:val="none" w:sz="0" w:space="0" w:color="auto"/>
        <w:bottom w:val="none" w:sz="0" w:space="0" w:color="auto"/>
        <w:right w:val="none" w:sz="0" w:space="0" w:color="auto"/>
      </w:divBdr>
    </w:div>
    <w:div w:id="917136416">
      <w:bodyDiv w:val="1"/>
      <w:marLeft w:val="0"/>
      <w:marRight w:val="0"/>
      <w:marTop w:val="0"/>
      <w:marBottom w:val="0"/>
      <w:divBdr>
        <w:top w:val="none" w:sz="0" w:space="0" w:color="auto"/>
        <w:left w:val="none" w:sz="0" w:space="0" w:color="auto"/>
        <w:bottom w:val="none" w:sz="0" w:space="0" w:color="auto"/>
        <w:right w:val="none" w:sz="0" w:space="0" w:color="auto"/>
      </w:divBdr>
      <w:divsChild>
        <w:div w:id="113525257">
          <w:marLeft w:val="0"/>
          <w:marRight w:val="0"/>
          <w:marTop w:val="0"/>
          <w:marBottom w:val="0"/>
          <w:divBdr>
            <w:top w:val="none" w:sz="0" w:space="0" w:color="auto"/>
            <w:left w:val="none" w:sz="0" w:space="0" w:color="auto"/>
            <w:bottom w:val="none" w:sz="0" w:space="0" w:color="auto"/>
            <w:right w:val="none" w:sz="0" w:space="0" w:color="auto"/>
          </w:divBdr>
          <w:divsChild>
            <w:div w:id="348333402">
              <w:marLeft w:val="0"/>
              <w:marRight w:val="0"/>
              <w:marTop w:val="0"/>
              <w:marBottom w:val="0"/>
              <w:divBdr>
                <w:top w:val="none" w:sz="0" w:space="0" w:color="auto"/>
                <w:left w:val="none" w:sz="0" w:space="0" w:color="auto"/>
                <w:bottom w:val="none" w:sz="0" w:space="0" w:color="auto"/>
                <w:right w:val="none" w:sz="0" w:space="0" w:color="auto"/>
              </w:divBdr>
              <w:divsChild>
                <w:div w:id="133248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11755">
          <w:marLeft w:val="0"/>
          <w:marRight w:val="0"/>
          <w:marTop w:val="0"/>
          <w:marBottom w:val="0"/>
          <w:divBdr>
            <w:top w:val="none" w:sz="0" w:space="0" w:color="auto"/>
            <w:left w:val="none" w:sz="0" w:space="0" w:color="auto"/>
            <w:bottom w:val="none" w:sz="0" w:space="0" w:color="auto"/>
            <w:right w:val="none" w:sz="0" w:space="0" w:color="auto"/>
          </w:divBdr>
          <w:divsChild>
            <w:div w:id="1057625987">
              <w:marLeft w:val="0"/>
              <w:marRight w:val="0"/>
              <w:marTop w:val="0"/>
              <w:marBottom w:val="0"/>
              <w:divBdr>
                <w:top w:val="none" w:sz="0" w:space="0" w:color="auto"/>
                <w:left w:val="none" w:sz="0" w:space="0" w:color="auto"/>
                <w:bottom w:val="none" w:sz="0" w:space="0" w:color="auto"/>
                <w:right w:val="none" w:sz="0" w:space="0" w:color="auto"/>
              </w:divBdr>
              <w:divsChild>
                <w:div w:id="1340156392">
                  <w:marLeft w:val="0"/>
                  <w:marRight w:val="0"/>
                  <w:marTop w:val="0"/>
                  <w:marBottom w:val="0"/>
                  <w:divBdr>
                    <w:top w:val="none" w:sz="0" w:space="0" w:color="auto"/>
                    <w:left w:val="none" w:sz="0" w:space="0" w:color="auto"/>
                    <w:bottom w:val="none" w:sz="0" w:space="0" w:color="auto"/>
                    <w:right w:val="none" w:sz="0" w:space="0" w:color="auto"/>
                  </w:divBdr>
                  <w:divsChild>
                    <w:div w:id="870069384">
                      <w:marLeft w:val="0"/>
                      <w:marRight w:val="0"/>
                      <w:marTop w:val="0"/>
                      <w:marBottom w:val="0"/>
                      <w:divBdr>
                        <w:top w:val="none" w:sz="0" w:space="0" w:color="auto"/>
                        <w:left w:val="none" w:sz="0" w:space="0" w:color="auto"/>
                        <w:bottom w:val="none" w:sz="0" w:space="0" w:color="auto"/>
                        <w:right w:val="none" w:sz="0" w:space="0" w:color="auto"/>
                      </w:divBdr>
                      <w:divsChild>
                        <w:div w:id="1921206925">
                          <w:marLeft w:val="0"/>
                          <w:marRight w:val="0"/>
                          <w:marTop w:val="0"/>
                          <w:marBottom w:val="0"/>
                          <w:divBdr>
                            <w:top w:val="none" w:sz="0" w:space="0" w:color="auto"/>
                            <w:left w:val="none" w:sz="0" w:space="0" w:color="auto"/>
                            <w:bottom w:val="none" w:sz="0" w:space="0" w:color="auto"/>
                            <w:right w:val="none" w:sz="0" w:space="0" w:color="auto"/>
                          </w:divBdr>
                          <w:divsChild>
                            <w:div w:id="729882362">
                              <w:marLeft w:val="0"/>
                              <w:marRight w:val="0"/>
                              <w:marTop w:val="0"/>
                              <w:marBottom w:val="0"/>
                              <w:divBdr>
                                <w:top w:val="none" w:sz="0" w:space="0" w:color="auto"/>
                                <w:left w:val="none" w:sz="0" w:space="0" w:color="auto"/>
                                <w:bottom w:val="none" w:sz="0" w:space="0" w:color="auto"/>
                                <w:right w:val="none" w:sz="0" w:space="0" w:color="auto"/>
                              </w:divBdr>
                              <w:divsChild>
                                <w:div w:id="32428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113287">
          <w:marLeft w:val="0"/>
          <w:marRight w:val="0"/>
          <w:marTop w:val="0"/>
          <w:marBottom w:val="0"/>
          <w:divBdr>
            <w:top w:val="none" w:sz="0" w:space="0" w:color="auto"/>
            <w:left w:val="none" w:sz="0" w:space="0" w:color="auto"/>
            <w:bottom w:val="none" w:sz="0" w:space="0" w:color="auto"/>
            <w:right w:val="none" w:sz="0" w:space="0" w:color="auto"/>
          </w:divBdr>
          <w:divsChild>
            <w:div w:id="111753210">
              <w:marLeft w:val="0"/>
              <w:marRight w:val="0"/>
              <w:marTop w:val="0"/>
              <w:marBottom w:val="0"/>
              <w:divBdr>
                <w:top w:val="none" w:sz="0" w:space="0" w:color="auto"/>
                <w:left w:val="none" w:sz="0" w:space="0" w:color="auto"/>
                <w:bottom w:val="none" w:sz="0" w:space="0" w:color="auto"/>
                <w:right w:val="none" w:sz="0" w:space="0" w:color="auto"/>
              </w:divBdr>
              <w:divsChild>
                <w:div w:id="45976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507721">
          <w:marLeft w:val="0"/>
          <w:marRight w:val="0"/>
          <w:marTop w:val="0"/>
          <w:marBottom w:val="0"/>
          <w:divBdr>
            <w:top w:val="none" w:sz="0" w:space="0" w:color="auto"/>
            <w:left w:val="none" w:sz="0" w:space="0" w:color="auto"/>
            <w:bottom w:val="none" w:sz="0" w:space="0" w:color="auto"/>
            <w:right w:val="none" w:sz="0" w:space="0" w:color="auto"/>
          </w:divBdr>
          <w:divsChild>
            <w:div w:id="1255091744">
              <w:marLeft w:val="0"/>
              <w:marRight w:val="0"/>
              <w:marTop w:val="0"/>
              <w:marBottom w:val="0"/>
              <w:divBdr>
                <w:top w:val="none" w:sz="0" w:space="0" w:color="auto"/>
                <w:left w:val="none" w:sz="0" w:space="0" w:color="auto"/>
                <w:bottom w:val="none" w:sz="0" w:space="0" w:color="auto"/>
                <w:right w:val="none" w:sz="0" w:space="0" w:color="auto"/>
              </w:divBdr>
            </w:div>
          </w:divsChild>
        </w:div>
        <w:div w:id="432164984">
          <w:marLeft w:val="0"/>
          <w:marRight w:val="0"/>
          <w:marTop w:val="0"/>
          <w:marBottom w:val="0"/>
          <w:divBdr>
            <w:top w:val="none" w:sz="0" w:space="0" w:color="auto"/>
            <w:left w:val="none" w:sz="0" w:space="0" w:color="auto"/>
            <w:bottom w:val="none" w:sz="0" w:space="0" w:color="auto"/>
            <w:right w:val="none" w:sz="0" w:space="0" w:color="auto"/>
          </w:divBdr>
          <w:divsChild>
            <w:div w:id="900864332">
              <w:marLeft w:val="0"/>
              <w:marRight w:val="0"/>
              <w:marTop w:val="0"/>
              <w:marBottom w:val="0"/>
              <w:divBdr>
                <w:top w:val="none" w:sz="0" w:space="0" w:color="auto"/>
                <w:left w:val="none" w:sz="0" w:space="0" w:color="auto"/>
                <w:bottom w:val="none" w:sz="0" w:space="0" w:color="auto"/>
                <w:right w:val="none" w:sz="0" w:space="0" w:color="auto"/>
              </w:divBdr>
              <w:divsChild>
                <w:div w:id="1108890708">
                  <w:marLeft w:val="0"/>
                  <w:marRight w:val="0"/>
                  <w:marTop w:val="0"/>
                  <w:marBottom w:val="0"/>
                  <w:divBdr>
                    <w:top w:val="none" w:sz="0" w:space="0" w:color="auto"/>
                    <w:left w:val="none" w:sz="0" w:space="0" w:color="auto"/>
                    <w:bottom w:val="none" w:sz="0" w:space="0" w:color="auto"/>
                    <w:right w:val="none" w:sz="0" w:space="0" w:color="auto"/>
                  </w:divBdr>
                  <w:divsChild>
                    <w:div w:id="243611480">
                      <w:marLeft w:val="0"/>
                      <w:marRight w:val="0"/>
                      <w:marTop w:val="0"/>
                      <w:marBottom w:val="0"/>
                      <w:divBdr>
                        <w:top w:val="none" w:sz="0" w:space="0" w:color="auto"/>
                        <w:left w:val="none" w:sz="0" w:space="0" w:color="auto"/>
                        <w:bottom w:val="none" w:sz="0" w:space="0" w:color="auto"/>
                        <w:right w:val="none" w:sz="0" w:space="0" w:color="auto"/>
                      </w:divBdr>
                      <w:divsChild>
                        <w:div w:id="788858574">
                          <w:marLeft w:val="0"/>
                          <w:marRight w:val="0"/>
                          <w:marTop w:val="0"/>
                          <w:marBottom w:val="0"/>
                          <w:divBdr>
                            <w:top w:val="none" w:sz="0" w:space="0" w:color="auto"/>
                            <w:left w:val="none" w:sz="0" w:space="0" w:color="auto"/>
                            <w:bottom w:val="none" w:sz="0" w:space="0" w:color="auto"/>
                            <w:right w:val="none" w:sz="0" w:space="0" w:color="auto"/>
                          </w:divBdr>
                          <w:divsChild>
                            <w:div w:id="1804735761">
                              <w:marLeft w:val="0"/>
                              <w:marRight w:val="0"/>
                              <w:marTop w:val="0"/>
                              <w:marBottom w:val="0"/>
                              <w:divBdr>
                                <w:top w:val="none" w:sz="0" w:space="0" w:color="auto"/>
                                <w:left w:val="none" w:sz="0" w:space="0" w:color="auto"/>
                                <w:bottom w:val="none" w:sz="0" w:space="0" w:color="auto"/>
                                <w:right w:val="none" w:sz="0" w:space="0" w:color="auto"/>
                              </w:divBdr>
                              <w:divsChild>
                                <w:div w:id="68120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9934795">
          <w:marLeft w:val="0"/>
          <w:marRight w:val="0"/>
          <w:marTop w:val="0"/>
          <w:marBottom w:val="0"/>
          <w:divBdr>
            <w:top w:val="none" w:sz="0" w:space="0" w:color="auto"/>
            <w:left w:val="none" w:sz="0" w:space="0" w:color="auto"/>
            <w:bottom w:val="none" w:sz="0" w:space="0" w:color="auto"/>
            <w:right w:val="none" w:sz="0" w:space="0" w:color="auto"/>
          </w:divBdr>
          <w:divsChild>
            <w:div w:id="103044496">
              <w:marLeft w:val="0"/>
              <w:marRight w:val="0"/>
              <w:marTop w:val="0"/>
              <w:marBottom w:val="0"/>
              <w:divBdr>
                <w:top w:val="none" w:sz="0" w:space="0" w:color="auto"/>
                <w:left w:val="none" w:sz="0" w:space="0" w:color="auto"/>
                <w:bottom w:val="none" w:sz="0" w:space="0" w:color="auto"/>
                <w:right w:val="none" w:sz="0" w:space="0" w:color="auto"/>
              </w:divBdr>
              <w:divsChild>
                <w:div w:id="21385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437449">
          <w:marLeft w:val="0"/>
          <w:marRight w:val="0"/>
          <w:marTop w:val="0"/>
          <w:marBottom w:val="0"/>
          <w:divBdr>
            <w:top w:val="none" w:sz="0" w:space="0" w:color="auto"/>
            <w:left w:val="none" w:sz="0" w:space="0" w:color="auto"/>
            <w:bottom w:val="none" w:sz="0" w:space="0" w:color="auto"/>
            <w:right w:val="none" w:sz="0" w:space="0" w:color="auto"/>
          </w:divBdr>
          <w:divsChild>
            <w:div w:id="623849189">
              <w:marLeft w:val="0"/>
              <w:marRight w:val="0"/>
              <w:marTop w:val="0"/>
              <w:marBottom w:val="0"/>
              <w:divBdr>
                <w:top w:val="none" w:sz="0" w:space="0" w:color="auto"/>
                <w:left w:val="none" w:sz="0" w:space="0" w:color="auto"/>
                <w:bottom w:val="none" w:sz="0" w:space="0" w:color="auto"/>
                <w:right w:val="none" w:sz="0" w:space="0" w:color="auto"/>
              </w:divBdr>
              <w:divsChild>
                <w:div w:id="1234393989">
                  <w:marLeft w:val="0"/>
                  <w:marRight w:val="0"/>
                  <w:marTop w:val="0"/>
                  <w:marBottom w:val="0"/>
                  <w:divBdr>
                    <w:top w:val="none" w:sz="0" w:space="0" w:color="auto"/>
                    <w:left w:val="none" w:sz="0" w:space="0" w:color="auto"/>
                    <w:bottom w:val="none" w:sz="0" w:space="0" w:color="auto"/>
                    <w:right w:val="none" w:sz="0" w:space="0" w:color="auto"/>
                  </w:divBdr>
                  <w:divsChild>
                    <w:div w:id="1111239558">
                      <w:marLeft w:val="0"/>
                      <w:marRight w:val="0"/>
                      <w:marTop w:val="0"/>
                      <w:marBottom w:val="0"/>
                      <w:divBdr>
                        <w:top w:val="none" w:sz="0" w:space="0" w:color="auto"/>
                        <w:left w:val="none" w:sz="0" w:space="0" w:color="auto"/>
                        <w:bottom w:val="none" w:sz="0" w:space="0" w:color="auto"/>
                        <w:right w:val="none" w:sz="0" w:space="0" w:color="auto"/>
                      </w:divBdr>
                      <w:divsChild>
                        <w:div w:id="1977492314">
                          <w:marLeft w:val="0"/>
                          <w:marRight w:val="0"/>
                          <w:marTop w:val="0"/>
                          <w:marBottom w:val="0"/>
                          <w:divBdr>
                            <w:top w:val="none" w:sz="0" w:space="0" w:color="auto"/>
                            <w:left w:val="none" w:sz="0" w:space="0" w:color="auto"/>
                            <w:bottom w:val="none" w:sz="0" w:space="0" w:color="auto"/>
                            <w:right w:val="none" w:sz="0" w:space="0" w:color="auto"/>
                          </w:divBdr>
                          <w:divsChild>
                            <w:div w:id="130948922">
                              <w:marLeft w:val="0"/>
                              <w:marRight w:val="0"/>
                              <w:marTop w:val="0"/>
                              <w:marBottom w:val="0"/>
                              <w:divBdr>
                                <w:top w:val="none" w:sz="0" w:space="0" w:color="auto"/>
                                <w:left w:val="none" w:sz="0" w:space="0" w:color="auto"/>
                                <w:bottom w:val="none" w:sz="0" w:space="0" w:color="auto"/>
                                <w:right w:val="none" w:sz="0" w:space="0" w:color="auto"/>
                              </w:divBdr>
                              <w:divsChild>
                                <w:div w:id="206282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1033839">
          <w:marLeft w:val="0"/>
          <w:marRight w:val="0"/>
          <w:marTop w:val="0"/>
          <w:marBottom w:val="0"/>
          <w:divBdr>
            <w:top w:val="none" w:sz="0" w:space="0" w:color="auto"/>
            <w:left w:val="none" w:sz="0" w:space="0" w:color="auto"/>
            <w:bottom w:val="none" w:sz="0" w:space="0" w:color="auto"/>
            <w:right w:val="none" w:sz="0" w:space="0" w:color="auto"/>
          </w:divBdr>
          <w:divsChild>
            <w:div w:id="1655450434">
              <w:marLeft w:val="0"/>
              <w:marRight w:val="0"/>
              <w:marTop w:val="0"/>
              <w:marBottom w:val="0"/>
              <w:divBdr>
                <w:top w:val="none" w:sz="0" w:space="0" w:color="auto"/>
                <w:left w:val="none" w:sz="0" w:space="0" w:color="auto"/>
                <w:bottom w:val="none" w:sz="0" w:space="0" w:color="auto"/>
                <w:right w:val="none" w:sz="0" w:space="0" w:color="auto"/>
              </w:divBdr>
              <w:divsChild>
                <w:div w:id="717096536">
                  <w:marLeft w:val="0"/>
                  <w:marRight w:val="0"/>
                  <w:marTop w:val="0"/>
                  <w:marBottom w:val="0"/>
                  <w:divBdr>
                    <w:top w:val="none" w:sz="0" w:space="0" w:color="auto"/>
                    <w:left w:val="none" w:sz="0" w:space="0" w:color="auto"/>
                    <w:bottom w:val="none" w:sz="0" w:space="0" w:color="auto"/>
                    <w:right w:val="none" w:sz="0" w:space="0" w:color="auto"/>
                  </w:divBdr>
                  <w:divsChild>
                    <w:div w:id="493302048">
                      <w:marLeft w:val="0"/>
                      <w:marRight w:val="0"/>
                      <w:marTop w:val="0"/>
                      <w:marBottom w:val="0"/>
                      <w:divBdr>
                        <w:top w:val="none" w:sz="0" w:space="0" w:color="auto"/>
                        <w:left w:val="none" w:sz="0" w:space="0" w:color="auto"/>
                        <w:bottom w:val="none" w:sz="0" w:space="0" w:color="auto"/>
                        <w:right w:val="none" w:sz="0" w:space="0" w:color="auto"/>
                      </w:divBdr>
                      <w:divsChild>
                        <w:div w:id="1861122341">
                          <w:marLeft w:val="0"/>
                          <w:marRight w:val="0"/>
                          <w:marTop w:val="0"/>
                          <w:marBottom w:val="0"/>
                          <w:divBdr>
                            <w:top w:val="none" w:sz="0" w:space="0" w:color="auto"/>
                            <w:left w:val="none" w:sz="0" w:space="0" w:color="auto"/>
                            <w:bottom w:val="none" w:sz="0" w:space="0" w:color="auto"/>
                            <w:right w:val="none" w:sz="0" w:space="0" w:color="auto"/>
                          </w:divBdr>
                          <w:divsChild>
                            <w:div w:id="665741706">
                              <w:marLeft w:val="0"/>
                              <w:marRight w:val="0"/>
                              <w:marTop w:val="0"/>
                              <w:marBottom w:val="0"/>
                              <w:divBdr>
                                <w:top w:val="none" w:sz="0" w:space="0" w:color="auto"/>
                                <w:left w:val="none" w:sz="0" w:space="0" w:color="auto"/>
                                <w:bottom w:val="none" w:sz="0" w:space="0" w:color="auto"/>
                                <w:right w:val="none" w:sz="0" w:space="0" w:color="auto"/>
                              </w:divBdr>
                              <w:divsChild>
                                <w:div w:id="159790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8973090">
          <w:marLeft w:val="0"/>
          <w:marRight w:val="0"/>
          <w:marTop w:val="0"/>
          <w:marBottom w:val="0"/>
          <w:divBdr>
            <w:top w:val="none" w:sz="0" w:space="0" w:color="auto"/>
            <w:left w:val="none" w:sz="0" w:space="0" w:color="auto"/>
            <w:bottom w:val="none" w:sz="0" w:space="0" w:color="auto"/>
            <w:right w:val="none" w:sz="0" w:space="0" w:color="auto"/>
          </w:divBdr>
          <w:divsChild>
            <w:div w:id="719944277">
              <w:marLeft w:val="0"/>
              <w:marRight w:val="0"/>
              <w:marTop w:val="0"/>
              <w:marBottom w:val="0"/>
              <w:divBdr>
                <w:top w:val="none" w:sz="0" w:space="0" w:color="auto"/>
                <w:left w:val="none" w:sz="0" w:space="0" w:color="auto"/>
                <w:bottom w:val="none" w:sz="0" w:space="0" w:color="auto"/>
                <w:right w:val="none" w:sz="0" w:space="0" w:color="auto"/>
              </w:divBdr>
              <w:divsChild>
                <w:div w:id="878279653">
                  <w:marLeft w:val="0"/>
                  <w:marRight w:val="0"/>
                  <w:marTop w:val="0"/>
                  <w:marBottom w:val="0"/>
                  <w:divBdr>
                    <w:top w:val="none" w:sz="0" w:space="0" w:color="auto"/>
                    <w:left w:val="none" w:sz="0" w:space="0" w:color="auto"/>
                    <w:bottom w:val="none" w:sz="0" w:space="0" w:color="auto"/>
                    <w:right w:val="none" w:sz="0" w:space="0" w:color="auto"/>
                  </w:divBdr>
                  <w:divsChild>
                    <w:div w:id="1709061458">
                      <w:marLeft w:val="0"/>
                      <w:marRight w:val="0"/>
                      <w:marTop w:val="0"/>
                      <w:marBottom w:val="0"/>
                      <w:divBdr>
                        <w:top w:val="none" w:sz="0" w:space="0" w:color="auto"/>
                        <w:left w:val="none" w:sz="0" w:space="0" w:color="auto"/>
                        <w:bottom w:val="none" w:sz="0" w:space="0" w:color="auto"/>
                        <w:right w:val="none" w:sz="0" w:space="0" w:color="auto"/>
                      </w:divBdr>
                      <w:divsChild>
                        <w:div w:id="1144156477">
                          <w:marLeft w:val="0"/>
                          <w:marRight w:val="0"/>
                          <w:marTop w:val="0"/>
                          <w:marBottom w:val="0"/>
                          <w:divBdr>
                            <w:top w:val="none" w:sz="0" w:space="0" w:color="auto"/>
                            <w:left w:val="none" w:sz="0" w:space="0" w:color="auto"/>
                            <w:bottom w:val="none" w:sz="0" w:space="0" w:color="auto"/>
                            <w:right w:val="none" w:sz="0" w:space="0" w:color="auto"/>
                          </w:divBdr>
                          <w:divsChild>
                            <w:div w:id="180051616">
                              <w:marLeft w:val="0"/>
                              <w:marRight w:val="0"/>
                              <w:marTop w:val="0"/>
                              <w:marBottom w:val="0"/>
                              <w:divBdr>
                                <w:top w:val="none" w:sz="0" w:space="0" w:color="auto"/>
                                <w:left w:val="none" w:sz="0" w:space="0" w:color="auto"/>
                                <w:bottom w:val="none" w:sz="0" w:space="0" w:color="auto"/>
                                <w:right w:val="none" w:sz="0" w:space="0" w:color="auto"/>
                              </w:divBdr>
                              <w:divsChild>
                                <w:div w:id="5990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1486611">
          <w:marLeft w:val="0"/>
          <w:marRight w:val="0"/>
          <w:marTop w:val="0"/>
          <w:marBottom w:val="0"/>
          <w:divBdr>
            <w:top w:val="none" w:sz="0" w:space="0" w:color="auto"/>
            <w:left w:val="none" w:sz="0" w:space="0" w:color="auto"/>
            <w:bottom w:val="none" w:sz="0" w:space="0" w:color="auto"/>
            <w:right w:val="none" w:sz="0" w:space="0" w:color="auto"/>
          </w:divBdr>
          <w:divsChild>
            <w:div w:id="441342973">
              <w:marLeft w:val="0"/>
              <w:marRight w:val="0"/>
              <w:marTop w:val="0"/>
              <w:marBottom w:val="0"/>
              <w:divBdr>
                <w:top w:val="none" w:sz="0" w:space="0" w:color="auto"/>
                <w:left w:val="none" w:sz="0" w:space="0" w:color="auto"/>
                <w:bottom w:val="none" w:sz="0" w:space="0" w:color="auto"/>
                <w:right w:val="none" w:sz="0" w:space="0" w:color="auto"/>
              </w:divBdr>
              <w:divsChild>
                <w:div w:id="6504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016699">
          <w:marLeft w:val="0"/>
          <w:marRight w:val="0"/>
          <w:marTop w:val="0"/>
          <w:marBottom w:val="0"/>
          <w:divBdr>
            <w:top w:val="none" w:sz="0" w:space="0" w:color="auto"/>
            <w:left w:val="none" w:sz="0" w:space="0" w:color="auto"/>
            <w:bottom w:val="none" w:sz="0" w:space="0" w:color="auto"/>
            <w:right w:val="none" w:sz="0" w:space="0" w:color="auto"/>
          </w:divBdr>
          <w:divsChild>
            <w:div w:id="1126654724">
              <w:marLeft w:val="0"/>
              <w:marRight w:val="0"/>
              <w:marTop w:val="0"/>
              <w:marBottom w:val="0"/>
              <w:divBdr>
                <w:top w:val="none" w:sz="0" w:space="0" w:color="auto"/>
                <w:left w:val="none" w:sz="0" w:space="0" w:color="auto"/>
                <w:bottom w:val="none" w:sz="0" w:space="0" w:color="auto"/>
                <w:right w:val="none" w:sz="0" w:space="0" w:color="auto"/>
              </w:divBdr>
              <w:divsChild>
                <w:div w:id="622199620">
                  <w:marLeft w:val="0"/>
                  <w:marRight w:val="0"/>
                  <w:marTop w:val="0"/>
                  <w:marBottom w:val="0"/>
                  <w:divBdr>
                    <w:top w:val="none" w:sz="0" w:space="0" w:color="auto"/>
                    <w:left w:val="none" w:sz="0" w:space="0" w:color="auto"/>
                    <w:bottom w:val="none" w:sz="0" w:space="0" w:color="auto"/>
                    <w:right w:val="none" w:sz="0" w:space="0" w:color="auto"/>
                  </w:divBdr>
                  <w:divsChild>
                    <w:div w:id="1472600730">
                      <w:marLeft w:val="0"/>
                      <w:marRight w:val="0"/>
                      <w:marTop w:val="0"/>
                      <w:marBottom w:val="0"/>
                      <w:divBdr>
                        <w:top w:val="none" w:sz="0" w:space="0" w:color="auto"/>
                        <w:left w:val="none" w:sz="0" w:space="0" w:color="auto"/>
                        <w:bottom w:val="none" w:sz="0" w:space="0" w:color="auto"/>
                        <w:right w:val="none" w:sz="0" w:space="0" w:color="auto"/>
                      </w:divBdr>
                      <w:divsChild>
                        <w:div w:id="130901325">
                          <w:marLeft w:val="0"/>
                          <w:marRight w:val="0"/>
                          <w:marTop w:val="0"/>
                          <w:marBottom w:val="0"/>
                          <w:divBdr>
                            <w:top w:val="none" w:sz="0" w:space="0" w:color="auto"/>
                            <w:left w:val="none" w:sz="0" w:space="0" w:color="auto"/>
                            <w:bottom w:val="none" w:sz="0" w:space="0" w:color="auto"/>
                            <w:right w:val="none" w:sz="0" w:space="0" w:color="auto"/>
                          </w:divBdr>
                          <w:divsChild>
                            <w:div w:id="228544221">
                              <w:marLeft w:val="0"/>
                              <w:marRight w:val="0"/>
                              <w:marTop w:val="0"/>
                              <w:marBottom w:val="0"/>
                              <w:divBdr>
                                <w:top w:val="none" w:sz="0" w:space="0" w:color="auto"/>
                                <w:left w:val="none" w:sz="0" w:space="0" w:color="auto"/>
                                <w:bottom w:val="none" w:sz="0" w:space="0" w:color="auto"/>
                                <w:right w:val="none" w:sz="0" w:space="0" w:color="auto"/>
                              </w:divBdr>
                            </w:div>
                          </w:divsChild>
                        </w:div>
                        <w:div w:id="510144551">
                          <w:marLeft w:val="0"/>
                          <w:marRight w:val="0"/>
                          <w:marTop w:val="0"/>
                          <w:marBottom w:val="0"/>
                          <w:divBdr>
                            <w:top w:val="none" w:sz="0" w:space="0" w:color="auto"/>
                            <w:left w:val="none" w:sz="0" w:space="0" w:color="auto"/>
                            <w:bottom w:val="none" w:sz="0" w:space="0" w:color="auto"/>
                            <w:right w:val="none" w:sz="0" w:space="0" w:color="auto"/>
                          </w:divBdr>
                          <w:divsChild>
                            <w:div w:id="168639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7203014">
          <w:marLeft w:val="0"/>
          <w:marRight w:val="0"/>
          <w:marTop w:val="0"/>
          <w:marBottom w:val="0"/>
          <w:divBdr>
            <w:top w:val="none" w:sz="0" w:space="0" w:color="auto"/>
            <w:left w:val="none" w:sz="0" w:space="0" w:color="auto"/>
            <w:bottom w:val="none" w:sz="0" w:space="0" w:color="auto"/>
            <w:right w:val="none" w:sz="0" w:space="0" w:color="auto"/>
          </w:divBdr>
          <w:divsChild>
            <w:div w:id="1370834593">
              <w:marLeft w:val="0"/>
              <w:marRight w:val="0"/>
              <w:marTop w:val="0"/>
              <w:marBottom w:val="0"/>
              <w:divBdr>
                <w:top w:val="none" w:sz="0" w:space="0" w:color="auto"/>
                <w:left w:val="none" w:sz="0" w:space="0" w:color="auto"/>
                <w:bottom w:val="none" w:sz="0" w:space="0" w:color="auto"/>
                <w:right w:val="none" w:sz="0" w:space="0" w:color="auto"/>
              </w:divBdr>
              <w:divsChild>
                <w:div w:id="599023995">
                  <w:marLeft w:val="0"/>
                  <w:marRight w:val="0"/>
                  <w:marTop w:val="0"/>
                  <w:marBottom w:val="0"/>
                  <w:divBdr>
                    <w:top w:val="none" w:sz="0" w:space="0" w:color="auto"/>
                    <w:left w:val="none" w:sz="0" w:space="0" w:color="auto"/>
                    <w:bottom w:val="none" w:sz="0" w:space="0" w:color="auto"/>
                    <w:right w:val="none" w:sz="0" w:space="0" w:color="auto"/>
                  </w:divBdr>
                  <w:divsChild>
                    <w:div w:id="1167746019">
                      <w:marLeft w:val="0"/>
                      <w:marRight w:val="0"/>
                      <w:marTop w:val="0"/>
                      <w:marBottom w:val="0"/>
                      <w:divBdr>
                        <w:top w:val="none" w:sz="0" w:space="0" w:color="auto"/>
                        <w:left w:val="none" w:sz="0" w:space="0" w:color="auto"/>
                        <w:bottom w:val="none" w:sz="0" w:space="0" w:color="auto"/>
                        <w:right w:val="none" w:sz="0" w:space="0" w:color="auto"/>
                      </w:divBdr>
                      <w:divsChild>
                        <w:div w:id="914782812">
                          <w:marLeft w:val="0"/>
                          <w:marRight w:val="0"/>
                          <w:marTop w:val="0"/>
                          <w:marBottom w:val="0"/>
                          <w:divBdr>
                            <w:top w:val="none" w:sz="0" w:space="0" w:color="auto"/>
                            <w:left w:val="none" w:sz="0" w:space="0" w:color="auto"/>
                            <w:bottom w:val="none" w:sz="0" w:space="0" w:color="auto"/>
                            <w:right w:val="none" w:sz="0" w:space="0" w:color="auto"/>
                          </w:divBdr>
                          <w:divsChild>
                            <w:div w:id="1703900586">
                              <w:marLeft w:val="0"/>
                              <w:marRight w:val="0"/>
                              <w:marTop w:val="0"/>
                              <w:marBottom w:val="0"/>
                              <w:divBdr>
                                <w:top w:val="none" w:sz="0" w:space="0" w:color="auto"/>
                                <w:left w:val="none" w:sz="0" w:space="0" w:color="auto"/>
                                <w:bottom w:val="none" w:sz="0" w:space="0" w:color="auto"/>
                                <w:right w:val="none" w:sz="0" w:space="0" w:color="auto"/>
                              </w:divBdr>
                              <w:divsChild>
                                <w:div w:id="172806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287252">
          <w:marLeft w:val="0"/>
          <w:marRight w:val="0"/>
          <w:marTop w:val="0"/>
          <w:marBottom w:val="0"/>
          <w:divBdr>
            <w:top w:val="none" w:sz="0" w:space="0" w:color="auto"/>
            <w:left w:val="none" w:sz="0" w:space="0" w:color="auto"/>
            <w:bottom w:val="none" w:sz="0" w:space="0" w:color="auto"/>
            <w:right w:val="none" w:sz="0" w:space="0" w:color="auto"/>
          </w:divBdr>
          <w:divsChild>
            <w:div w:id="1152523784">
              <w:marLeft w:val="0"/>
              <w:marRight w:val="0"/>
              <w:marTop w:val="0"/>
              <w:marBottom w:val="0"/>
              <w:divBdr>
                <w:top w:val="none" w:sz="0" w:space="0" w:color="auto"/>
                <w:left w:val="none" w:sz="0" w:space="0" w:color="auto"/>
                <w:bottom w:val="none" w:sz="0" w:space="0" w:color="auto"/>
                <w:right w:val="none" w:sz="0" w:space="0" w:color="auto"/>
              </w:divBdr>
              <w:divsChild>
                <w:div w:id="32559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513974">
          <w:marLeft w:val="0"/>
          <w:marRight w:val="0"/>
          <w:marTop w:val="0"/>
          <w:marBottom w:val="0"/>
          <w:divBdr>
            <w:top w:val="none" w:sz="0" w:space="0" w:color="auto"/>
            <w:left w:val="none" w:sz="0" w:space="0" w:color="auto"/>
            <w:bottom w:val="none" w:sz="0" w:space="0" w:color="auto"/>
            <w:right w:val="none" w:sz="0" w:space="0" w:color="auto"/>
          </w:divBdr>
          <w:divsChild>
            <w:div w:id="1494108110">
              <w:marLeft w:val="0"/>
              <w:marRight w:val="0"/>
              <w:marTop w:val="0"/>
              <w:marBottom w:val="0"/>
              <w:divBdr>
                <w:top w:val="none" w:sz="0" w:space="0" w:color="auto"/>
                <w:left w:val="none" w:sz="0" w:space="0" w:color="auto"/>
                <w:bottom w:val="none" w:sz="0" w:space="0" w:color="auto"/>
                <w:right w:val="none" w:sz="0" w:space="0" w:color="auto"/>
              </w:divBdr>
              <w:divsChild>
                <w:div w:id="633411905">
                  <w:marLeft w:val="0"/>
                  <w:marRight w:val="0"/>
                  <w:marTop w:val="0"/>
                  <w:marBottom w:val="0"/>
                  <w:divBdr>
                    <w:top w:val="none" w:sz="0" w:space="0" w:color="auto"/>
                    <w:left w:val="none" w:sz="0" w:space="0" w:color="auto"/>
                    <w:bottom w:val="none" w:sz="0" w:space="0" w:color="auto"/>
                    <w:right w:val="none" w:sz="0" w:space="0" w:color="auto"/>
                  </w:divBdr>
                  <w:divsChild>
                    <w:div w:id="1103040210">
                      <w:marLeft w:val="0"/>
                      <w:marRight w:val="0"/>
                      <w:marTop w:val="0"/>
                      <w:marBottom w:val="0"/>
                      <w:divBdr>
                        <w:top w:val="none" w:sz="0" w:space="0" w:color="auto"/>
                        <w:left w:val="none" w:sz="0" w:space="0" w:color="auto"/>
                        <w:bottom w:val="none" w:sz="0" w:space="0" w:color="auto"/>
                        <w:right w:val="none" w:sz="0" w:space="0" w:color="auto"/>
                      </w:divBdr>
                      <w:divsChild>
                        <w:div w:id="880899676">
                          <w:marLeft w:val="0"/>
                          <w:marRight w:val="0"/>
                          <w:marTop w:val="0"/>
                          <w:marBottom w:val="0"/>
                          <w:divBdr>
                            <w:top w:val="none" w:sz="0" w:space="0" w:color="auto"/>
                            <w:left w:val="none" w:sz="0" w:space="0" w:color="auto"/>
                            <w:bottom w:val="none" w:sz="0" w:space="0" w:color="auto"/>
                            <w:right w:val="none" w:sz="0" w:space="0" w:color="auto"/>
                          </w:divBdr>
                          <w:divsChild>
                            <w:div w:id="546189593">
                              <w:marLeft w:val="0"/>
                              <w:marRight w:val="0"/>
                              <w:marTop w:val="0"/>
                              <w:marBottom w:val="0"/>
                              <w:divBdr>
                                <w:top w:val="none" w:sz="0" w:space="0" w:color="auto"/>
                                <w:left w:val="none" w:sz="0" w:space="0" w:color="auto"/>
                                <w:bottom w:val="none" w:sz="0" w:space="0" w:color="auto"/>
                                <w:right w:val="none" w:sz="0" w:space="0" w:color="auto"/>
                              </w:divBdr>
                              <w:divsChild>
                                <w:div w:id="137901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2009149">
          <w:marLeft w:val="0"/>
          <w:marRight w:val="0"/>
          <w:marTop w:val="0"/>
          <w:marBottom w:val="0"/>
          <w:divBdr>
            <w:top w:val="none" w:sz="0" w:space="0" w:color="auto"/>
            <w:left w:val="none" w:sz="0" w:space="0" w:color="auto"/>
            <w:bottom w:val="none" w:sz="0" w:space="0" w:color="auto"/>
            <w:right w:val="none" w:sz="0" w:space="0" w:color="auto"/>
          </w:divBdr>
          <w:divsChild>
            <w:div w:id="940258940">
              <w:marLeft w:val="0"/>
              <w:marRight w:val="0"/>
              <w:marTop w:val="0"/>
              <w:marBottom w:val="0"/>
              <w:divBdr>
                <w:top w:val="none" w:sz="0" w:space="0" w:color="auto"/>
                <w:left w:val="none" w:sz="0" w:space="0" w:color="auto"/>
                <w:bottom w:val="none" w:sz="0" w:space="0" w:color="auto"/>
                <w:right w:val="none" w:sz="0" w:space="0" w:color="auto"/>
              </w:divBdr>
              <w:divsChild>
                <w:div w:id="162473418">
                  <w:marLeft w:val="0"/>
                  <w:marRight w:val="0"/>
                  <w:marTop w:val="0"/>
                  <w:marBottom w:val="0"/>
                  <w:divBdr>
                    <w:top w:val="none" w:sz="0" w:space="0" w:color="auto"/>
                    <w:left w:val="none" w:sz="0" w:space="0" w:color="auto"/>
                    <w:bottom w:val="none" w:sz="0" w:space="0" w:color="auto"/>
                    <w:right w:val="none" w:sz="0" w:space="0" w:color="auto"/>
                  </w:divBdr>
                  <w:divsChild>
                    <w:div w:id="1909265206">
                      <w:marLeft w:val="0"/>
                      <w:marRight w:val="0"/>
                      <w:marTop w:val="0"/>
                      <w:marBottom w:val="0"/>
                      <w:divBdr>
                        <w:top w:val="none" w:sz="0" w:space="0" w:color="auto"/>
                        <w:left w:val="none" w:sz="0" w:space="0" w:color="auto"/>
                        <w:bottom w:val="none" w:sz="0" w:space="0" w:color="auto"/>
                        <w:right w:val="none" w:sz="0" w:space="0" w:color="auto"/>
                      </w:divBdr>
                      <w:divsChild>
                        <w:div w:id="785780186">
                          <w:marLeft w:val="0"/>
                          <w:marRight w:val="0"/>
                          <w:marTop w:val="0"/>
                          <w:marBottom w:val="0"/>
                          <w:divBdr>
                            <w:top w:val="none" w:sz="0" w:space="0" w:color="auto"/>
                            <w:left w:val="none" w:sz="0" w:space="0" w:color="auto"/>
                            <w:bottom w:val="none" w:sz="0" w:space="0" w:color="auto"/>
                            <w:right w:val="none" w:sz="0" w:space="0" w:color="auto"/>
                          </w:divBdr>
                          <w:divsChild>
                            <w:div w:id="765344456">
                              <w:marLeft w:val="0"/>
                              <w:marRight w:val="0"/>
                              <w:marTop w:val="0"/>
                              <w:marBottom w:val="0"/>
                              <w:divBdr>
                                <w:top w:val="none" w:sz="0" w:space="0" w:color="auto"/>
                                <w:left w:val="none" w:sz="0" w:space="0" w:color="auto"/>
                                <w:bottom w:val="none" w:sz="0" w:space="0" w:color="auto"/>
                                <w:right w:val="none" w:sz="0" w:space="0" w:color="auto"/>
                              </w:divBdr>
                              <w:divsChild>
                                <w:div w:id="1342782487">
                                  <w:marLeft w:val="0"/>
                                  <w:marRight w:val="0"/>
                                  <w:marTop w:val="0"/>
                                  <w:marBottom w:val="0"/>
                                  <w:divBdr>
                                    <w:top w:val="none" w:sz="0" w:space="0" w:color="auto"/>
                                    <w:left w:val="none" w:sz="0" w:space="0" w:color="auto"/>
                                    <w:bottom w:val="none" w:sz="0" w:space="0" w:color="auto"/>
                                    <w:right w:val="none" w:sz="0" w:space="0" w:color="auto"/>
                                  </w:divBdr>
                                  <w:divsChild>
                                    <w:div w:id="1869443018">
                                      <w:marLeft w:val="0"/>
                                      <w:marRight w:val="0"/>
                                      <w:marTop w:val="0"/>
                                      <w:marBottom w:val="0"/>
                                      <w:divBdr>
                                        <w:top w:val="none" w:sz="0" w:space="0" w:color="auto"/>
                                        <w:left w:val="none" w:sz="0" w:space="0" w:color="auto"/>
                                        <w:bottom w:val="none" w:sz="0" w:space="0" w:color="auto"/>
                                        <w:right w:val="none" w:sz="0" w:space="0" w:color="auto"/>
                                      </w:divBdr>
                                    </w:div>
                                    <w:div w:id="2128237490">
                                      <w:marLeft w:val="0"/>
                                      <w:marRight w:val="0"/>
                                      <w:marTop w:val="0"/>
                                      <w:marBottom w:val="0"/>
                                      <w:divBdr>
                                        <w:top w:val="none" w:sz="0" w:space="0" w:color="auto"/>
                                        <w:left w:val="none" w:sz="0" w:space="0" w:color="auto"/>
                                        <w:bottom w:val="none" w:sz="0" w:space="0" w:color="auto"/>
                                        <w:right w:val="none" w:sz="0" w:space="0" w:color="auto"/>
                                      </w:divBdr>
                                    </w:div>
                                  </w:divsChild>
                                </w:div>
                                <w:div w:id="173566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665665">
                  <w:marLeft w:val="0"/>
                  <w:marRight w:val="0"/>
                  <w:marTop w:val="0"/>
                  <w:marBottom w:val="0"/>
                  <w:divBdr>
                    <w:top w:val="none" w:sz="0" w:space="0" w:color="auto"/>
                    <w:left w:val="none" w:sz="0" w:space="0" w:color="auto"/>
                    <w:bottom w:val="none" w:sz="0" w:space="0" w:color="auto"/>
                    <w:right w:val="none" w:sz="0" w:space="0" w:color="auto"/>
                  </w:divBdr>
                </w:div>
                <w:div w:id="1873421059">
                  <w:marLeft w:val="0"/>
                  <w:marRight w:val="0"/>
                  <w:marTop w:val="0"/>
                  <w:marBottom w:val="0"/>
                  <w:divBdr>
                    <w:top w:val="none" w:sz="0" w:space="0" w:color="auto"/>
                    <w:left w:val="none" w:sz="0" w:space="0" w:color="auto"/>
                    <w:bottom w:val="none" w:sz="0" w:space="0" w:color="auto"/>
                    <w:right w:val="none" w:sz="0" w:space="0" w:color="auto"/>
                  </w:divBdr>
                  <w:divsChild>
                    <w:div w:id="12710911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283614770">
          <w:marLeft w:val="0"/>
          <w:marRight w:val="0"/>
          <w:marTop w:val="0"/>
          <w:marBottom w:val="0"/>
          <w:divBdr>
            <w:top w:val="none" w:sz="0" w:space="0" w:color="auto"/>
            <w:left w:val="none" w:sz="0" w:space="0" w:color="auto"/>
            <w:bottom w:val="none" w:sz="0" w:space="0" w:color="auto"/>
            <w:right w:val="none" w:sz="0" w:space="0" w:color="auto"/>
          </w:divBdr>
          <w:divsChild>
            <w:div w:id="515078545">
              <w:marLeft w:val="0"/>
              <w:marRight w:val="0"/>
              <w:marTop w:val="0"/>
              <w:marBottom w:val="0"/>
              <w:divBdr>
                <w:top w:val="none" w:sz="0" w:space="0" w:color="auto"/>
                <w:left w:val="none" w:sz="0" w:space="0" w:color="auto"/>
                <w:bottom w:val="none" w:sz="0" w:space="0" w:color="auto"/>
                <w:right w:val="none" w:sz="0" w:space="0" w:color="auto"/>
              </w:divBdr>
              <w:divsChild>
                <w:div w:id="1245724724">
                  <w:marLeft w:val="0"/>
                  <w:marRight w:val="0"/>
                  <w:marTop w:val="0"/>
                  <w:marBottom w:val="0"/>
                  <w:divBdr>
                    <w:top w:val="none" w:sz="0" w:space="0" w:color="auto"/>
                    <w:left w:val="none" w:sz="0" w:space="0" w:color="auto"/>
                    <w:bottom w:val="none" w:sz="0" w:space="0" w:color="auto"/>
                    <w:right w:val="none" w:sz="0" w:space="0" w:color="auto"/>
                  </w:divBdr>
                  <w:divsChild>
                    <w:div w:id="1875998890">
                      <w:marLeft w:val="0"/>
                      <w:marRight w:val="0"/>
                      <w:marTop w:val="0"/>
                      <w:marBottom w:val="0"/>
                      <w:divBdr>
                        <w:top w:val="none" w:sz="0" w:space="0" w:color="auto"/>
                        <w:left w:val="none" w:sz="0" w:space="0" w:color="auto"/>
                        <w:bottom w:val="none" w:sz="0" w:space="0" w:color="auto"/>
                        <w:right w:val="none" w:sz="0" w:space="0" w:color="auto"/>
                      </w:divBdr>
                      <w:divsChild>
                        <w:div w:id="678849366">
                          <w:marLeft w:val="0"/>
                          <w:marRight w:val="0"/>
                          <w:marTop w:val="0"/>
                          <w:marBottom w:val="0"/>
                          <w:divBdr>
                            <w:top w:val="none" w:sz="0" w:space="0" w:color="auto"/>
                            <w:left w:val="none" w:sz="0" w:space="0" w:color="auto"/>
                            <w:bottom w:val="none" w:sz="0" w:space="0" w:color="auto"/>
                            <w:right w:val="none" w:sz="0" w:space="0" w:color="auto"/>
                          </w:divBdr>
                          <w:divsChild>
                            <w:div w:id="989868537">
                              <w:marLeft w:val="0"/>
                              <w:marRight w:val="0"/>
                              <w:marTop w:val="0"/>
                              <w:marBottom w:val="0"/>
                              <w:divBdr>
                                <w:top w:val="none" w:sz="0" w:space="0" w:color="auto"/>
                                <w:left w:val="none" w:sz="0" w:space="0" w:color="auto"/>
                                <w:bottom w:val="none" w:sz="0" w:space="0" w:color="auto"/>
                                <w:right w:val="none" w:sz="0" w:space="0" w:color="auto"/>
                              </w:divBdr>
                              <w:divsChild>
                                <w:div w:id="1803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627018">
          <w:marLeft w:val="0"/>
          <w:marRight w:val="0"/>
          <w:marTop w:val="0"/>
          <w:marBottom w:val="0"/>
          <w:divBdr>
            <w:top w:val="none" w:sz="0" w:space="0" w:color="auto"/>
            <w:left w:val="none" w:sz="0" w:space="0" w:color="auto"/>
            <w:bottom w:val="none" w:sz="0" w:space="0" w:color="auto"/>
            <w:right w:val="none" w:sz="0" w:space="0" w:color="auto"/>
          </w:divBdr>
          <w:divsChild>
            <w:div w:id="168060687">
              <w:marLeft w:val="0"/>
              <w:marRight w:val="0"/>
              <w:marTop w:val="0"/>
              <w:marBottom w:val="0"/>
              <w:divBdr>
                <w:top w:val="none" w:sz="0" w:space="0" w:color="auto"/>
                <w:left w:val="none" w:sz="0" w:space="0" w:color="auto"/>
                <w:bottom w:val="none" w:sz="0" w:space="0" w:color="auto"/>
                <w:right w:val="none" w:sz="0" w:space="0" w:color="auto"/>
              </w:divBdr>
            </w:div>
          </w:divsChild>
        </w:div>
        <w:div w:id="1354383166">
          <w:marLeft w:val="0"/>
          <w:marRight w:val="0"/>
          <w:marTop w:val="0"/>
          <w:marBottom w:val="0"/>
          <w:divBdr>
            <w:top w:val="none" w:sz="0" w:space="0" w:color="auto"/>
            <w:left w:val="none" w:sz="0" w:space="0" w:color="auto"/>
            <w:bottom w:val="none" w:sz="0" w:space="0" w:color="auto"/>
            <w:right w:val="none" w:sz="0" w:space="0" w:color="auto"/>
          </w:divBdr>
          <w:divsChild>
            <w:div w:id="1648126498">
              <w:marLeft w:val="0"/>
              <w:marRight w:val="0"/>
              <w:marTop w:val="0"/>
              <w:marBottom w:val="0"/>
              <w:divBdr>
                <w:top w:val="none" w:sz="0" w:space="0" w:color="auto"/>
                <w:left w:val="none" w:sz="0" w:space="0" w:color="auto"/>
                <w:bottom w:val="none" w:sz="0" w:space="0" w:color="auto"/>
                <w:right w:val="none" w:sz="0" w:space="0" w:color="auto"/>
              </w:divBdr>
              <w:divsChild>
                <w:div w:id="29907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142292">
          <w:marLeft w:val="0"/>
          <w:marRight w:val="0"/>
          <w:marTop w:val="0"/>
          <w:marBottom w:val="0"/>
          <w:divBdr>
            <w:top w:val="none" w:sz="0" w:space="0" w:color="auto"/>
            <w:left w:val="none" w:sz="0" w:space="0" w:color="auto"/>
            <w:bottom w:val="none" w:sz="0" w:space="0" w:color="auto"/>
            <w:right w:val="none" w:sz="0" w:space="0" w:color="auto"/>
          </w:divBdr>
          <w:divsChild>
            <w:div w:id="809440613">
              <w:marLeft w:val="0"/>
              <w:marRight w:val="0"/>
              <w:marTop w:val="0"/>
              <w:marBottom w:val="0"/>
              <w:divBdr>
                <w:top w:val="none" w:sz="0" w:space="0" w:color="auto"/>
                <w:left w:val="none" w:sz="0" w:space="0" w:color="auto"/>
                <w:bottom w:val="none" w:sz="0" w:space="0" w:color="auto"/>
                <w:right w:val="none" w:sz="0" w:space="0" w:color="auto"/>
              </w:divBdr>
              <w:divsChild>
                <w:div w:id="29425969">
                  <w:marLeft w:val="0"/>
                  <w:marRight w:val="0"/>
                  <w:marTop w:val="0"/>
                  <w:marBottom w:val="0"/>
                  <w:divBdr>
                    <w:top w:val="none" w:sz="0" w:space="0" w:color="auto"/>
                    <w:left w:val="none" w:sz="0" w:space="0" w:color="auto"/>
                    <w:bottom w:val="none" w:sz="0" w:space="0" w:color="auto"/>
                    <w:right w:val="none" w:sz="0" w:space="0" w:color="auto"/>
                  </w:divBdr>
                  <w:divsChild>
                    <w:div w:id="406154097">
                      <w:marLeft w:val="0"/>
                      <w:marRight w:val="0"/>
                      <w:marTop w:val="0"/>
                      <w:marBottom w:val="0"/>
                      <w:divBdr>
                        <w:top w:val="none" w:sz="0" w:space="0" w:color="auto"/>
                        <w:left w:val="none" w:sz="0" w:space="0" w:color="auto"/>
                        <w:bottom w:val="none" w:sz="0" w:space="0" w:color="auto"/>
                        <w:right w:val="none" w:sz="0" w:space="0" w:color="auto"/>
                      </w:divBdr>
                      <w:divsChild>
                        <w:div w:id="101649923">
                          <w:marLeft w:val="0"/>
                          <w:marRight w:val="0"/>
                          <w:marTop w:val="0"/>
                          <w:marBottom w:val="0"/>
                          <w:divBdr>
                            <w:top w:val="none" w:sz="0" w:space="0" w:color="auto"/>
                            <w:left w:val="none" w:sz="0" w:space="0" w:color="auto"/>
                            <w:bottom w:val="none" w:sz="0" w:space="0" w:color="auto"/>
                            <w:right w:val="none" w:sz="0" w:space="0" w:color="auto"/>
                          </w:divBdr>
                          <w:divsChild>
                            <w:div w:id="281882951">
                              <w:marLeft w:val="0"/>
                              <w:marRight w:val="0"/>
                              <w:marTop w:val="0"/>
                              <w:marBottom w:val="0"/>
                              <w:divBdr>
                                <w:top w:val="none" w:sz="0" w:space="0" w:color="auto"/>
                                <w:left w:val="none" w:sz="0" w:space="0" w:color="auto"/>
                                <w:bottom w:val="none" w:sz="0" w:space="0" w:color="auto"/>
                                <w:right w:val="none" w:sz="0" w:space="0" w:color="auto"/>
                              </w:divBdr>
                              <w:divsChild>
                                <w:div w:id="33858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2144239">
          <w:marLeft w:val="0"/>
          <w:marRight w:val="0"/>
          <w:marTop w:val="0"/>
          <w:marBottom w:val="0"/>
          <w:divBdr>
            <w:top w:val="none" w:sz="0" w:space="0" w:color="auto"/>
            <w:left w:val="none" w:sz="0" w:space="0" w:color="auto"/>
            <w:bottom w:val="none" w:sz="0" w:space="0" w:color="auto"/>
            <w:right w:val="none" w:sz="0" w:space="0" w:color="auto"/>
          </w:divBdr>
          <w:divsChild>
            <w:div w:id="2004580649">
              <w:marLeft w:val="0"/>
              <w:marRight w:val="0"/>
              <w:marTop w:val="0"/>
              <w:marBottom w:val="0"/>
              <w:divBdr>
                <w:top w:val="none" w:sz="0" w:space="0" w:color="auto"/>
                <w:left w:val="none" w:sz="0" w:space="0" w:color="auto"/>
                <w:bottom w:val="none" w:sz="0" w:space="0" w:color="auto"/>
                <w:right w:val="none" w:sz="0" w:space="0" w:color="auto"/>
              </w:divBdr>
              <w:divsChild>
                <w:div w:id="1460341837">
                  <w:marLeft w:val="0"/>
                  <w:marRight w:val="0"/>
                  <w:marTop w:val="0"/>
                  <w:marBottom w:val="0"/>
                  <w:divBdr>
                    <w:top w:val="none" w:sz="0" w:space="0" w:color="auto"/>
                    <w:left w:val="none" w:sz="0" w:space="0" w:color="auto"/>
                    <w:bottom w:val="none" w:sz="0" w:space="0" w:color="auto"/>
                    <w:right w:val="none" w:sz="0" w:space="0" w:color="auto"/>
                  </w:divBdr>
                  <w:divsChild>
                    <w:div w:id="1023939372">
                      <w:marLeft w:val="0"/>
                      <w:marRight w:val="0"/>
                      <w:marTop w:val="0"/>
                      <w:marBottom w:val="0"/>
                      <w:divBdr>
                        <w:top w:val="none" w:sz="0" w:space="0" w:color="auto"/>
                        <w:left w:val="none" w:sz="0" w:space="0" w:color="auto"/>
                        <w:bottom w:val="none" w:sz="0" w:space="0" w:color="auto"/>
                        <w:right w:val="none" w:sz="0" w:space="0" w:color="auto"/>
                      </w:divBdr>
                      <w:divsChild>
                        <w:div w:id="896672408">
                          <w:marLeft w:val="0"/>
                          <w:marRight w:val="0"/>
                          <w:marTop w:val="0"/>
                          <w:marBottom w:val="0"/>
                          <w:divBdr>
                            <w:top w:val="none" w:sz="0" w:space="0" w:color="auto"/>
                            <w:left w:val="none" w:sz="0" w:space="0" w:color="auto"/>
                            <w:bottom w:val="none" w:sz="0" w:space="0" w:color="auto"/>
                            <w:right w:val="none" w:sz="0" w:space="0" w:color="auto"/>
                          </w:divBdr>
                          <w:divsChild>
                            <w:div w:id="1496217513">
                              <w:marLeft w:val="0"/>
                              <w:marRight w:val="0"/>
                              <w:marTop w:val="0"/>
                              <w:marBottom w:val="0"/>
                              <w:divBdr>
                                <w:top w:val="none" w:sz="0" w:space="0" w:color="auto"/>
                                <w:left w:val="none" w:sz="0" w:space="0" w:color="auto"/>
                                <w:bottom w:val="none" w:sz="0" w:space="0" w:color="auto"/>
                                <w:right w:val="none" w:sz="0" w:space="0" w:color="auto"/>
                              </w:divBdr>
                            </w:div>
                          </w:divsChild>
                        </w:div>
                        <w:div w:id="1689679422">
                          <w:marLeft w:val="0"/>
                          <w:marRight w:val="0"/>
                          <w:marTop w:val="0"/>
                          <w:marBottom w:val="0"/>
                          <w:divBdr>
                            <w:top w:val="none" w:sz="0" w:space="0" w:color="auto"/>
                            <w:left w:val="none" w:sz="0" w:space="0" w:color="auto"/>
                            <w:bottom w:val="none" w:sz="0" w:space="0" w:color="auto"/>
                            <w:right w:val="none" w:sz="0" w:space="0" w:color="auto"/>
                          </w:divBdr>
                          <w:divsChild>
                            <w:div w:id="12847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854322">
                      <w:marLeft w:val="0"/>
                      <w:marRight w:val="0"/>
                      <w:marTop w:val="0"/>
                      <w:marBottom w:val="0"/>
                      <w:divBdr>
                        <w:top w:val="none" w:sz="0" w:space="0" w:color="auto"/>
                        <w:left w:val="none" w:sz="0" w:space="0" w:color="auto"/>
                        <w:bottom w:val="none" w:sz="0" w:space="0" w:color="auto"/>
                        <w:right w:val="none" w:sz="0" w:space="0" w:color="auto"/>
                      </w:divBdr>
                      <w:divsChild>
                        <w:div w:id="516769113">
                          <w:marLeft w:val="0"/>
                          <w:marRight w:val="0"/>
                          <w:marTop w:val="0"/>
                          <w:marBottom w:val="0"/>
                          <w:divBdr>
                            <w:top w:val="none" w:sz="0" w:space="0" w:color="auto"/>
                            <w:left w:val="none" w:sz="0" w:space="0" w:color="auto"/>
                            <w:bottom w:val="none" w:sz="0" w:space="0" w:color="auto"/>
                            <w:right w:val="none" w:sz="0" w:space="0" w:color="auto"/>
                          </w:divBdr>
                          <w:divsChild>
                            <w:div w:id="50274360">
                              <w:marLeft w:val="0"/>
                              <w:marRight w:val="0"/>
                              <w:marTop w:val="0"/>
                              <w:marBottom w:val="0"/>
                              <w:divBdr>
                                <w:top w:val="none" w:sz="0" w:space="0" w:color="auto"/>
                                <w:left w:val="none" w:sz="0" w:space="0" w:color="auto"/>
                                <w:bottom w:val="none" w:sz="0" w:space="0" w:color="auto"/>
                                <w:right w:val="none" w:sz="0" w:space="0" w:color="auto"/>
                              </w:divBdr>
                            </w:div>
                          </w:divsChild>
                        </w:div>
                        <w:div w:id="1544710081">
                          <w:marLeft w:val="0"/>
                          <w:marRight w:val="0"/>
                          <w:marTop w:val="0"/>
                          <w:marBottom w:val="0"/>
                          <w:divBdr>
                            <w:top w:val="none" w:sz="0" w:space="0" w:color="auto"/>
                            <w:left w:val="none" w:sz="0" w:space="0" w:color="auto"/>
                            <w:bottom w:val="none" w:sz="0" w:space="0" w:color="auto"/>
                            <w:right w:val="none" w:sz="0" w:space="0" w:color="auto"/>
                          </w:divBdr>
                          <w:divsChild>
                            <w:div w:id="196025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594530">
                      <w:marLeft w:val="0"/>
                      <w:marRight w:val="0"/>
                      <w:marTop w:val="0"/>
                      <w:marBottom w:val="0"/>
                      <w:divBdr>
                        <w:top w:val="none" w:sz="0" w:space="0" w:color="auto"/>
                        <w:left w:val="none" w:sz="0" w:space="0" w:color="auto"/>
                        <w:bottom w:val="none" w:sz="0" w:space="0" w:color="auto"/>
                        <w:right w:val="none" w:sz="0" w:space="0" w:color="auto"/>
                      </w:divBdr>
                      <w:divsChild>
                        <w:div w:id="1821457340">
                          <w:marLeft w:val="0"/>
                          <w:marRight w:val="0"/>
                          <w:marTop w:val="0"/>
                          <w:marBottom w:val="0"/>
                          <w:divBdr>
                            <w:top w:val="none" w:sz="0" w:space="0" w:color="auto"/>
                            <w:left w:val="none" w:sz="0" w:space="0" w:color="auto"/>
                            <w:bottom w:val="none" w:sz="0" w:space="0" w:color="auto"/>
                            <w:right w:val="none" w:sz="0" w:space="0" w:color="auto"/>
                          </w:divBdr>
                          <w:divsChild>
                            <w:div w:id="1315186623">
                              <w:marLeft w:val="0"/>
                              <w:marRight w:val="0"/>
                              <w:marTop w:val="0"/>
                              <w:marBottom w:val="0"/>
                              <w:divBdr>
                                <w:top w:val="none" w:sz="0" w:space="0" w:color="auto"/>
                                <w:left w:val="none" w:sz="0" w:space="0" w:color="auto"/>
                                <w:bottom w:val="none" w:sz="0" w:space="0" w:color="auto"/>
                                <w:right w:val="none" w:sz="0" w:space="0" w:color="auto"/>
                              </w:divBdr>
                            </w:div>
                          </w:divsChild>
                        </w:div>
                        <w:div w:id="2025814054">
                          <w:marLeft w:val="0"/>
                          <w:marRight w:val="0"/>
                          <w:marTop w:val="0"/>
                          <w:marBottom w:val="0"/>
                          <w:divBdr>
                            <w:top w:val="none" w:sz="0" w:space="0" w:color="auto"/>
                            <w:left w:val="none" w:sz="0" w:space="0" w:color="auto"/>
                            <w:bottom w:val="none" w:sz="0" w:space="0" w:color="auto"/>
                            <w:right w:val="none" w:sz="0" w:space="0" w:color="auto"/>
                          </w:divBdr>
                          <w:divsChild>
                            <w:div w:id="61028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2731229">
          <w:marLeft w:val="0"/>
          <w:marRight w:val="0"/>
          <w:marTop w:val="0"/>
          <w:marBottom w:val="0"/>
          <w:divBdr>
            <w:top w:val="none" w:sz="0" w:space="0" w:color="auto"/>
            <w:left w:val="none" w:sz="0" w:space="0" w:color="auto"/>
            <w:bottom w:val="none" w:sz="0" w:space="0" w:color="auto"/>
            <w:right w:val="none" w:sz="0" w:space="0" w:color="auto"/>
          </w:divBdr>
          <w:divsChild>
            <w:div w:id="1167090037">
              <w:marLeft w:val="0"/>
              <w:marRight w:val="0"/>
              <w:marTop w:val="0"/>
              <w:marBottom w:val="0"/>
              <w:divBdr>
                <w:top w:val="none" w:sz="0" w:space="0" w:color="auto"/>
                <w:left w:val="none" w:sz="0" w:space="0" w:color="auto"/>
                <w:bottom w:val="none" w:sz="0" w:space="0" w:color="auto"/>
                <w:right w:val="none" w:sz="0" w:space="0" w:color="auto"/>
              </w:divBdr>
              <w:divsChild>
                <w:div w:id="42357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445166">
          <w:marLeft w:val="0"/>
          <w:marRight w:val="0"/>
          <w:marTop w:val="0"/>
          <w:marBottom w:val="0"/>
          <w:divBdr>
            <w:top w:val="none" w:sz="0" w:space="0" w:color="auto"/>
            <w:left w:val="none" w:sz="0" w:space="0" w:color="auto"/>
            <w:bottom w:val="none" w:sz="0" w:space="0" w:color="auto"/>
            <w:right w:val="none" w:sz="0" w:space="0" w:color="auto"/>
          </w:divBdr>
          <w:divsChild>
            <w:div w:id="246306445">
              <w:marLeft w:val="0"/>
              <w:marRight w:val="0"/>
              <w:marTop w:val="0"/>
              <w:marBottom w:val="0"/>
              <w:divBdr>
                <w:top w:val="none" w:sz="0" w:space="0" w:color="auto"/>
                <w:left w:val="none" w:sz="0" w:space="0" w:color="auto"/>
                <w:bottom w:val="none" w:sz="0" w:space="0" w:color="auto"/>
                <w:right w:val="none" w:sz="0" w:space="0" w:color="auto"/>
              </w:divBdr>
              <w:divsChild>
                <w:div w:id="739249093">
                  <w:marLeft w:val="0"/>
                  <w:marRight w:val="0"/>
                  <w:marTop w:val="0"/>
                  <w:marBottom w:val="0"/>
                  <w:divBdr>
                    <w:top w:val="none" w:sz="0" w:space="0" w:color="auto"/>
                    <w:left w:val="none" w:sz="0" w:space="0" w:color="auto"/>
                    <w:bottom w:val="none" w:sz="0" w:space="0" w:color="auto"/>
                    <w:right w:val="none" w:sz="0" w:space="0" w:color="auto"/>
                  </w:divBdr>
                  <w:divsChild>
                    <w:div w:id="1261238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950239424">
          <w:marLeft w:val="0"/>
          <w:marRight w:val="0"/>
          <w:marTop w:val="0"/>
          <w:marBottom w:val="0"/>
          <w:divBdr>
            <w:top w:val="none" w:sz="0" w:space="0" w:color="auto"/>
            <w:left w:val="none" w:sz="0" w:space="0" w:color="auto"/>
            <w:bottom w:val="none" w:sz="0" w:space="0" w:color="auto"/>
            <w:right w:val="none" w:sz="0" w:space="0" w:color="auto"/>
          </w:divBdr>
          <w:divsChild>
            <w:div w:id="1787387106">
              <w:marLeft w:val="0"/>
              <w:marRight w:val="0"/>
              <w:marTop w:val="0"/>
              <w:marBottom w:val="0"/>
              <w:divBdr>
                <w:top w:val="none" w:sz="0" w:space="0" w:color="auto"/>
                <w:left w:val="none" w:sz="0" w:space="0" w:color="auto"/>
                <w:bottom w:val="none" w:sz="0" w:space="0" w:color="auto"/>
                <w:right w:val="none" w:sz="0" w:space="0" w:color="auto"/>
              </w:divBdr>
              <w:divsChild>
                <w:div w:id="576205306">
                  <w:marLeft w:val="0"/>
                  <w:marRight w:val="0"/>
                  <w:marTop w:val="0"/>
                  <w:marBottom w:val="0"/>
                  <w:divBdr>
                    <w:top w:val="none" w:sz="0" w:space="0" w:color="auto"/>
                    <w:left w:val="none" w:sz="0" w:space="0" w:color="auto"/>
                    <w:bottom w:val="none" w:sz="0" w:space="0" w:color="auto"/>
                    <w:right w:val="none" w:sz="0" w:space="0" w:color="auto"/>
                  </w:divBdr>
                  <w:divsChild>
                    <w:div w:id="1563131643">
                      <w:marLeft w:val="0"/>
                      <w:marRight w:val="0"/>
                      <w:marTop w:val="0"/>
                      <w:marBottom w:val="0"/>
                      <w:divBdr>
                        <w:top w:val="none" w:sz="0" w:space="0" w:color="auto"/>
                        <w:left w:val="none" w:sz="0" w:space="0" w:color="auto"/>
                        <w:bottom w:val="none" w:sz="0" w:space="0" w:color="auto"/>
                        <w:right w:val="none" w:sz="0" w:space="0" w:color="auto"/>
                      </w:divBdr>
                      <w:divsChild>
                        <w:div w:id="99763681">
                          <w:marLeft w:val="0"/>
                          <w:marRight w:val="0"/>
                          <w:marTop w:val="0"/>
                          <w:marBottom w:val="0"/>
                          <w:divBdr>
                            <w:top w:val="none" w:sz="0" w:space="0" w:color="auto"/>
                            <w:left w:val="none" w:sz="0" w:space="0" w:color="auto"/>
                            <w:bottom w:val="none" w:sz="0" w:space="0" w:color="auto"/>
                            <w:right w:val="none" w:sz="0" w:space="0" w:color="auto"/>
                          </w:divBdr>
                          <w:divsChild>
                            <w:div w:id="925966468">
                              <w:marLeft w:val="0"/>
                              <w:marRight w:val="0"/>
                              <w:marTop w:val="0"/>
                              <w:marBottom w:val="0"/>
                              <w:divBdr>
                                <w:top w:val="none" w:sz="0" w:space="0" w:color="auto"/>
                                <w:left w:val="none" w:sz="0" w:space="0" w:color="auto"/>
                                <w:bottom w:val="none" w:sz="0" w:space="0" w:color="auto"/>
                                <w:right w:val="none" w:sz="0" w:space="0" w:color="auto"/>
                              </w:divBdr>
                              <w:divsChild>
                                <w:div w:id="118725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1763879">
          <w:marLeft w:val="0"/>
          <w:marRight w:val="0"/>
          <w:marTop w:val="0"/>
          <w:marBottom w:val="0"/>
          <w:divBdr>
            <w:top w:val="none" w:sz="0" w:space="0" w:color="auto"/>
            <w:left w:val="none" w:sz="0" w:space="0" w:color="auto"/>
            <w:bottom w:val="none" w:sz="0" w:space="0" w:color="auto"/>
            <w:right w:val="none" w:sz="0" w:space="0" w:color="auto"/>
          </w:divBdr>
          <w:divsChild>
            <w:div w:id="1148668336">
              <w:marLeft w:val="0"/>
              <w:marRight w:val="0"/>
              <w:marTop w:val="0"/>
              <w:marBottom w:val="0"/>
              <w:divBdr>
                <w:top w:val="none" w:sz="0" w:space="0" w:color="auto"/>
                <w:left w:val="none" w:sz="0" w:space="0" w:color="auto"/>
                <w:bottom w:val="none" w:sz="0" w:space="0" w:color="auto"/>
                <w:right w:val="none" w:sz="0" w:space="0" w:color="auto"/>
              </w:divBdr>
              <w:divsChild>
                <w:div w:id="743071085">
                  <w:marLeft w:val="0"/>
                  <w:marRight w:val="0"/>
                  <w:marTop w:val="0"/>
                  <w:marBottom w:val="0"/>
                  <w:divBdr>
                    <w:top w:val="none" w:sz="0" w:space="0" w:color="auto"/>
                    <w:left w:val="none" w:sz="0" w:space="0" w:color="auto"/>
                    <w:bottom w:val="none" w:sz="0" w:space="0" w:color="auto"/>
                    <w:right w:val="none" w:sz="0" w:space="0" w:color="auto"/>
                  </w:divBdr>
                  <w:divsChild>
                    <w:div w:id="102304673">
                      <w:marLeft w:val="0"/>
                      <w:marRight w:val="0"/>
                      <w:marTop w:val="0"/>
                      <w:marBottom w:val="0"/>
                      <w:divBdr>
                        <w:top w:val="none" w:sz="0" w:space="0" w:color="auto"/>
                        <w:left w:val="none" w:sz="0" w:space="0" w:color="auto"/>
                        <w:bottom w:val="none" w:sz="0" w:space="0" w:color="auto"/>
                        <w:right w:val="none" w:sz="0" w:space="0" w:color="auto"/>
                      </w:divBdr>
                      <w:divsChild>
                        <w:div w:id="8145849">
                          <w:marLeft w:val="0"/>
                          <w:marRight w:val="0"/>
                          <w:marTop w:val="0"/>
                          <w:marBottom w:val="0"/>
                          <w:divBdr>
                            <w:top w:val="none" w:sz="0" w:space="0" w:color="auto"/>
                            <w:left w:val="none" w:sz="0" w:space="0" w:color="auto"/>
                            <w:bottom w:val="none" w:sz="0" w:space="0" w:color="auto"/>
                            <w:right w:val="none" w:sz="0" w:space="0" w:color="auto"/>
                          </w:divBdr>
                          <w:divsChild>
                            <w:div w:id="1694064997">
                              <w:marLeft w:val="0"/>
                              <w:marRight w:val="0"/>
                              <w:marTop w:val="0"/>
                              <w:marBottom w:val="0"/>
                              <w:divBdr>
                                <w:top w:val="none" w:sz="0" w:space="0" w:color="auto"/>
                                <w:left w:val="none" w:sz="0" w:space="0" w:color="auto"/>
                                <w:bottom w:val="none" w:sz="0" w:space="0" w:color="auto"/>
                                <w:right w:val="none" w:sz="0" w:space="0" w:color="auto"/>
                              </w:divBdr>
                              <w:divsChild>
                                <w:div w:id="17913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835241">
          <w:marLeft w:val="0"/>
          <w:marRight w:val="0"/>
          <w:marTop w:val="0"/>
          <w:marBottom w:val="0"/>
          <w:divBdr>
            <w:top w:val="none" w:sz="0" w:space="0" w:color="auto"/>
            <w:left w:val="none" w:sz="0" w:space="0" w:color="auto"/>
            <w:bottom w:val="none" w:sz="0" w:space="0" w:color="auto"/>
            <w:right w:val="none" w:sz="0" w:space="0" w:color="auto"/>
          </w:divBdr>
          <w:divsChild>
            <w:div w:id="1073434022">
              <w:marLeft w:val="0"/>
              <w:marRight w:val="0"/>
              <w:marTop w:val="0"/>
              <w:marBottom w:val="0"/>
              <w:divBdr>
                <w:top w:val="none" w:sz="0" w:space="0" w:color="auto"/>
                <w:left w:val="none" w:sz="0" w:space="0" w:color="auto"/>
                <w:bottom w:val="none" w:sz="0" w:space="0" w:color="auto"/>
                <w:right w:val="none" w:sz="0" w:space="0" w:color="auto"/>
              </w:divBdr>
              <w:divsChild>
                <w:div w:id="114362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414689">
          <w:marLeft w:val="0"/>
          <w:marRight w:val="0"/>
          <w:marTop w:val="0"/>
          <w:marBottom w:val="0"/>
          <w:divBdr>
            <w:top w:val="none" w:sz="0" w:space="0" w:color="auto"/>
            <w:left w:val="none" w:sz="0" w:space="0" w:color="auto"/>
            <w:bottom w:val="none" w:sz="0" w:space="0" w:color="auto"/>
            <w:right w:val="none" w:sz="0" w:space="0" w:color="auto"/>
          </w:divBdr>
          <w:divsChild>
            <w:div w:id="1452895299">
              <w:marLeft w:val="0"/>
              <w:marRight w:val="0"/>
              <w:marTop w:val="0"/>
              <w:marBottom w:val="0"/>
              <w:divBdr>
                <w:top w:val="none" w:sz="0" w:space="0" w:color="auto"/>
                <w:left w:val="none" w:sz="0" w:space="0" w:color="auto"/>
                <w:bottom w:val="none" w:sz="0" w:space="0" w:color="auto"/>
                <w:right w:val="none" w:sz="0" w:space="0" w:color="auto"/>
              </w:divBdr>
              <w:divsChild>
                <w:div w:id="1877426630">
                  <w:marLeft w:val="0"/>
                  <w:marRight w:val="0"/>
                  <w:marTop w:val="0"/>
                  <w:marBottom w:val="0"/>
                  <w:divBdr>
                    <w:top w:val="none" w:sz="0" w:space="0" w:color="auto"/>
                    <w:left w:val="none" w:sz="0" w:space="0" w:color="auto"/>
                    <w:bottom w:val="none" w:sz="0" w:space="0" w:color="auto"/>
                    <w:right w:val="none" w:sz="0" w:space="0" w:color="auto"/>
                  </w:divBdr>
                  <w:divsChild>
                    <w:div w:id="1621643943">
                      <w:marLeft w:val="0"/>
                      <w:marRight w:val="0"/>
                      <w:marTop w:val="0"/>
                      <w:marBottom w:val="0"/>
                      <w:divBdr>
                        <w:top w:val="none" w:sz="0" w:space="0" w:color="auto"/>
                        <w:left w:val="none" w:sz="0" w:space="0" w:color="auto"/>
                        <w:bottom w:val="none" w:sz="0" w:space="0" w:color="auto"/>
                        <w:right w:val="none" w:sz="0" w:space="0" w:color="auto"/>
                      </w:divBdr>
                      <w:divsChild>
                        <w:div w:id="1554341930">
                          <w:marLeft w:val="0"/>
                          <w:marRight w:val="0"/>
                          <w:marTop w:val="0"/>
                          <w:marBottom w:val="0"/>
                          <w:divBdr>
                            <w:top w:val="none" w:sz="0" w:space="0" w:color="auto"/>
                            <w:left w:val="none" w:sz="0" w:space="0" w:color="auto"/>
                            <w:bottom w:val="none" w:sz="0" w:space="0" w:color="auto"/>
                            <w:right w:val="none" w:sz="0" w:space="0" w:color="auto"/>
                          </w:divBdr>
                          <w:divsChild>
                            <w:div w:id="475076512">
                              <w:marLeft w:val="0"/>
                              <w:marRight w:val="0"/>
                              <w:marTop w:val="0"/>
                              <w:marBottom w:val="0"/>
                              <w:divBdr>
                                <w:top w:val="none" w:sz="0" w:space="0" w:color="auto"/>
                                <w:left w:val="none" w:sz="0" w:space="0" w:color="auto"/>
                                <w:bottom w:val="none" w:sz="0" w:space="0" w:color="auto"/>
                                <w:right w:val="none" w:sz="0" w:space="0" w:color="auto"/>
                              </w:divBdr>
                              <w:divsChild>
                                <w:div w:id="72791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1651008">
      <w:bodyDiv w:val="1"/>
      <w:marLeft w:val="0"/>
      <w:marRight w:val="0"/>
      <w:marTop w:val="0"/>
      <w:marBottom w:val="0"/>
      <w:divBdr>
        <w:top w:val="none" w:sz="0" w:space="0" w:color="auto"/>
        <w:left w:val="none" w:sz="0" w:space="0" w:color="auto"/>
        <w:bottom w:val="none" w:sz="0" w:space="0" w:color="auto"/>
        <w:right w:val="none" w:sz="0" w:space="0" w:color="auto"/>
      </w:divBdr>
    </w:div>
    <w:div w:id="952441066">
      <w:bodyDiv w:val="1"/>
      <w:marLeft w:val="0"/>
      <w:marRight w:val="0"/>
      <w:marTop w:val="0"/>
      <w:marBottom w:val="0"/>
      <w:divBdr>
        <w:top w:val="none" w:sz="0" w:space="0" w:color="auto"/>
        <w:left w:val="none" w:sz="0" w:space="0" w:color="auto"/>
        <w:bottom w:val="none" w:sz="0" w:space="0" w:color="auto"/>
        <w:right w:val="none" w:sz="0" w:space="0" w:color="auto"/>
      </w:divBdr>
    </w:div>
    <w:div w:id="983701111">
      <w:bodyDiv w:val="1"/>
      <w:marLeft w:val="0"/>
      <w:marRight w:val="0"/>
      <w:marTop w:val="0"/>
      <w:marBottom w:val="0"/>
      <w:divBdr>
        <w:top w:val="none" w:sz="0" w:space="0" w:color="auto"/>
        <w:left w:val="none" w:sz="0" w:space="0" w:color="auto"/>
        <w:bottom w:val="none" w:sz="0" w:space="0" w:color="auto"/>
        <w:right w:val="none" w:sz="0" w:space="0" w:color="auto"/>
      </w:divBdr>
      <w:divsChild>
        <w:div w:id="24182959">
          <w:marLeft w:val="0"/>
          <w:marRight w:val="0"/>
          <w:marTop w:val="0"/>
          <w:marBottom w:val="0"/>
          <w:divBdr>
            <w:top w:val="none" w:sz="0" w:space="0" w:color="auto"/>
            <w:left w:val="none" w:sz="0" w:space="0" w:color="auto"/>
            <w:bottom w:val="none" w:sz="0" w:space="0" w:color="auto"/>
            <w:right w:val="none" w:sz="0" w:space="0" w:color="auto"/>
          </w:divBdr>
          <w:divsChild>
            <w:div w:id="440223625">
              <w:marLeft w:val="0"/>
              <w:marRight w:val="0"/>
              <w:marTop w:val="0"/>
              <w:marBottom w:val="0"/>
              <w:divBdr>
                <w:top w:val="none" w:sz="0" w:space="0" w:color="auto"/>
                <w:left w:val="none" w:sz="0" w:space="0" w:color="auto"/>
                <w:bottom w:val="none" w:sz="0" w:space="0" w:color="auto"/>
                <w:right w:val="none" w:sz="0" w:space="0" w:color="auto"/>
              </w:divBdr>
              <w:divsChild>
                <w:div w:id="139246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89346">
          <w:marLeft w:val="0"/>
          <w:marRight w:val="0"/>
          <w:marTop w:val="0"/>
          <w:marBottom w:val="0"/>
          <w:divBdr>
            <w:top w:val="none" w:sz="0" w:space="0" w:color="auto"/>
            <w:left w:val="none" w:sz="0" w:space="0" w:color="auto"/>
            <w:bottom w:val="none" w:sz="0" w:space="0" w:color="auto"/>
            <w:right w:val="none" w:sz="0" w:space="0" w:color="auto"/>
          </w:divBdr>
          <w:divsChild>
            <w:div w:id="1056052706">
              <w:marLeft w:val="0"/>
              <w:marRight w:val="0"/>
              <w:marTop w:val="0"/>
              <w:marBottom w:val="0"/>
              <w:divBdr>
                <w:top w:val="none" w:sz="0" w:space="0" w:color="auto"/>
                <w:left w:val="none" w:sz="0" w:space="0" w:color="auto"/>
                <w:bottom w:val="none" w:sz="0" w:space="0" w:color="auto"/>
                <w:right w:val="none" w:sz="0" w:space="0" w:color="auto"/>
              </w:divBdr>
              <w:divsChild>
                <w:div w:id="68238729">
                  <w:marLeft w:val="0"/>
                  <w:marRight w:val="0"/>
                  <w:marTop w:val="0"/>
                  <w:marBottom w:val="0"/>
                  <w:divBdr>
                    <w:top w:val="none" w:sz="0" w:space="0" w:color="auto"/>
                    <w:left w:val="none" w:sz="0" w:space="0" w:color="auto"/>
                    <w:bottom w:val="none" w:sz="0" w:space="0" w:color="auto"/>
                    <w:right w:val="none" w:sz="0" w:space="0" w:color="auto"/>
                  </w:divBdr>
                  <w:divsChild>
                    <w:div w:id="142936161">
                      <w:marLeft w:val="0"/>
                      <w:marRight w:val="0"/>
                      <w:marTop w:val="0"/>
                      <w:marBottom w:val="0"/>
                      <w:divBdr>
                        <w:top w:val="none" w:sz="0" w:space="0" w:color="auto"/>
                        <w:left w:val="none" w:sz="0" w:space="0" w:color="auto"/>
                        <w:bottom w:val="none" w:sz="0" w:space="0" w:color="auto"/>
                        <w:right w:val="none" w:sz="0" w:space="0" w:color="auto"/>
                      </w:divBdr>
                      <w:divsChild>
                        <w:div w:id="1317611193">
                          <w:marLeft w:val="0"/>
                          <w:marRight w:val="0"/>
                          <w:marTop w:val="0"/>
                          <w:marBottom w:val="0"/>
                          <w:divBdr>
                            <w:top w:val="none" w:sz="0" w:space="0" w:color="auto"/>
                            <w:left w:val="none" w:sz="0" w:space="0" w:color="auto"/>
                            <w:bottom w:val="none" w:sz="0" w:space="0" w:color="auto"/>
                            <w:right w:val="none" w:sz="0" w:space="0" w:color="auto"/>
                          </w:divBdr>
                          <w:divsChild>
                            <w:div w:id="604731666">
                              <w:marLeft w:val="0"/>
                              <w:marRight w:val="0"/>
                              <w:marTop w:val="0"/>
                              <w:marBottom w:val="0"/>
                              <w:divBdr>
                                <w:top w:val="none" w:sz="0" w:space="0" w:color="auto"/>
                                <w:left w:val="none" w:sz="0" w:space="0" w:color="auto"/>
                                <w:bottom w:val="none" w:sz="0" w:space="0" w:color="auto"/>
                                <w:right w:val="none" w:sz="0" w:space="0" w:color="auto"/>
                              </w:divBdr>
                              <w:divsChild>
                                <w:div w:id="29322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81053">
          <w:marLeft w:val="0"/>
          <w:marRight w:val="0"/>
          <w:marTop w:val="0"/>
          <w:marBottom w:val="0"/>
          <w:divBdr>
            <w:top w:val="none" w:sz="0" w:space="0" w:color="auto"/>
            <w:left w:val="none" w:sz="0" w:space="0" w:color="auto"/>
            <w:bottom w:val="none" w:sz="0" w:space="0" w:color="auto"/>
            <w:right w:val="none" w:sz="0" w:space="0" w:color="auto"/>
          </w:divBdr>
          <w:divsChild>
            <w:div w:id="276106895">
              <w:marLeft w:val="0"/>
              <w:marRight w:val="0"/>
              <w:marTop w:val="0"/>
              <w:marBottom w:val="0"/>
              <w:divBdr>
                <w:top w:val="none" w:sz="0" w:space="0" w:color="auto"/>
                <w:left w:val="none" w:sz="0" w:space="0" w:color="auto"/>
                <w:bottom w:val="none" w:sz="0" w:space="0" w:color="auto"/>
                <w:right w:val="none" w:sz="0" w:space="0" w:color="auto"/>
              </w:divBdr>
              <w:divsChild>
                <w:div w:id="11992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829094">
          <w:marLeft w:val="0"/>
          <w:marRight w:val="0"/>
          <w:marTop w:val="0"/>
          <w:marBottom w:val="0"/>
          <w:divBdr>
            <w:top w:val="none" w:sz="0" w:space="0" w:color="auto"/>
            <w:left w:val="none" w:sz="0" w:space="0" w:color="auto"/>
            <w:bottom w:val="none" w:sz="0" w:space="0" w:color="auto"/>
            <w:right w:val="none" w:sz="0" w:space="0" w:color="auto"/>
          </w:divBdr>
          <w:divsChild>
            <w:div w:id="1714692692">
              <w:marLeft w:val="0"/>
              <w:marRight w:val="0"/>
              <w:marTop w:val="0"/>
              <w:marBottom w:val="0"/>
              <w:divBdr>
                <w:top w:val="none" w:sz="0" w:space="0" w:color="auto"/>
                <w:left w:val="none" w:sz="0" w:space="0" w:color="auto"/>
                <w:bottom w:val="none" w:sz="0" w:space="0" w:color="auto"/>
                <w:right w:val="none" w:sz="0" w:space="0" w:color="auto"/>
              </w:divBdr>
              <w:divsChild>
                <w:div w:id="2060468675">
                  <w:marLeft w:val="0"/>
                  <w:marRight w:val="0"/>
                  <w:marTop w:val="0"/>
                  <w:marBottom w:val="0"/>
                  <w:divBdr>
                    <w:top w:val="none" w:sz="0" w:space="0" w:color="auto"/>
                    <w:left w:val="none" w:sz="0" w:space="0" w:color="auto"/>
                    <w:bottom w:val="none" w:sz="0" w:space="0" w:color="auto"/>
                    <w:right w:val="none" w:sz="0" w:space="0" w:color="auto"/>
                  </w:divBdr>
                  <w:divsChild>
                    <w:div w:id="1177115971">
                      <w:marLeft w:val="0"/>
                      <w:marRight w:val="0"/>
                      <w:marTop w:val="0"/>
                      <w:marBottom w:val="0"/>
                      <w:divBdr>
                        <w:top w:val="none" w:sz="0" w:space="0" w:color="auto"/>
                        <w:left w:val="none" w:sz="0" w:space="0" w:color="auto"/>
                        <w:bottom w:val="none" w:sz="0" w:space="0" w:color="auto"/>
                        <w:right w:val="none" w:sz="0" w:space="0" w:color="auto"/>
                      </w:divBdr>
                      <w:divsChild>
                        <w:div w:id="526677939">
                          <w:marLeft w:val="0"/>
                          <w:marRight w:val="0"/>
                          <w:marTop w:val="0"/>
                          <w:marBottom w:val="0"/>
                          <w:divBdr>
                            <w:top w:val="none" w:sz="0" w:space="0" w:color="auto"/>
                            <w:left w:val="none" w:sz="0" w:space="0" w:color="auto"/>
                            <w:bottom w:val="none" w:sz="0" w:space="0" w:color="auto"/>
                            <w:right w:val="none" w:sz="0" w:space="0" w:color="auto"/>
                          </w:divBdr>
                          <w:divsChild>
                            <w:div w:id="885337746">
                              <w:marLeft w:val="0"/>
                              <w:marRight w:val="0"/>
                              <w:marTop w:val="0"/>
                              <w:marBottom w:val="0"/>
                              <w:divBdr>
                                <w:top w:val="none" w:sz="0" w:space="0" w:color="auto"/>
                                <w:left w:val="none" w:sz="0" w:space="0" w:color="auto"/>
                                <w:bottom w:val="none" w:sz="0" w:space="0" w:color="auto"/>
                                <w:right w:val="none" w:sz="0" w:space="0" w:color="auto"/>
                              </w:divBdr>
                              <w:divsChild>
                                <w:div w:id="115619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389246">
          <w:marLeft w:val="0"/>
          <w:marRight w:val="0"/>
          <w:marTop w:val="0"/>
          <w:marBottom w:val="0"/>
          <w:divBdr>
            <w:top w:val="none" w:sz="0" w:space="0" w:color="auto"/>
            <w:left w:val="none" w:sz="0" w:space="0" w:color="auto"/>
            <w:bottom w:val="none" w:sz="0" w:space="0" w:color="auto"/>
            <w:right w:val="none" w:sz="0" w:space="0" w:color="auto"/>
          </w:divBdr>
          <w:divsChild>
            <w:div w:id="1471677474">
              <w:marLeft w:val="0"/>
              <w:marRight w:val="0"/>
              <w:marTop w:val="0"/>
              <w:marBottom w:val="0"/>
              <w:divBdr>
                <w:top w:val="none" w:sz="0" w:space="0" w:color="auto"/>
                <w:left w:val="none" w:sz="0" w:space="0" w:color="auto"/>
                <w:bottom w:val="none" w:sz="0" w:space="0" w:color="auto"/>
                <w:right w:val="none" w:sz="0" w:space="0" w:color="auto"/>
              </w:divBdr>
              <w:divsChild>
                <w:div w:id="321204576">
                  <w:marLeft w:val="0"/>
                  <w:marRight w:val="0"/>
                  <w:marTop w:val="0"/>
                  <w:marBottom w:val="0"/>
                  <w:divBdr>
                    <w:top w:val="none" w:sz="0" w:space="0" w:color="auto"/>
                    <w:left w:val="none" w:sz="0" w:space="0" w:color="auto"/>
                    <w:bottom w:val="none" w:sz="0" w:space="0" w:color="auto"/>
                    <w:right w:val="none" w:sz="0" w:space="0" w:color="auto"/>
                  </w:divBdr>
                  <w:divsChild>
                    <w:div w:id="11474342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353894506">
          <w:marLeft w:val="0"/>
          <w:marRight w:val="0"/>
          <w:marTop w:val="0"/>
          <w:marBottom w:val="0"/>
          <w:divBdr>
            <w:top w:val="none" w:sz="0" w:space="0" w:color="auto"/>
            <w:left w:val="none" w:sz="0" w:space="0" w:color="auto"/>
            <w:bottom w:val="none" w:sz="0" w:space="0" w:color="auto"/>
            <w:right w:val="none" w:sz="0" w:space="0" w:color="auto"/>
          </w:divBdr>
          <w:divsChild>
            <w:div w:id="1538468971">
              <w:marLeft w:val="0"/>
              <w:marRight w:val="0"/>
              <w:marTop w:val="0"/>
              <w:marBottom w:val="0"/>
              <w:divBdr>
                <w:top w:val="none" w:sz="0" w:space="0" w:color="auto"/>
                <w:left w:val="none" w:sz="0" w:space="0" w:color="auto"/>
                <w:bottom w:val="none" w:sz="0" w:space="0" w:color="auto"/>
                <w:right w:val="none" w:sz="0" w:space="0" w:color="auto"/>
              </w:divBdr>
              <w:divsChild>
                <w:div w:id="101057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110180">
          <w:marLeft w:val="0"/>
          <w:marRight w:val="0"/>
          <w:marTop w:val="0"/>
          <w:marBottom w:val="0"/>
          <w:divBdr>
            <w:top w:val="none" w:sz="0" w:space="0" w:color="auto"/>
            <w:left w:val="none" w:sz="0" w:space="0" w:color="auto"/>
            <w:bottom w:val="none" w:sz="0" w:space="0" w:color="auto"/>
            <w:right w:val="none" w:sz="0" w:space="0" w:color="auto"/>
          </w:divBdr>
          <w:divsChild>
            <w:div w:id="1591162177">
              <w:marLeft w:val="0"/>
              <w:marRight w:val="0"/>
              <w:marTop w:val="0"/>
              <w:marBottom w:val="0"/>
              <w:divBdr>
                <w:top w:val="none" w:sz="0" w:space="0" w:color="auto"/>
                <w:left w:val="none" w:sz="0" w:space="0" w:color="auto"/>
                <w:bottom w:val="none" w:sz="0" w:space="0" w:color="auto"/>
                <w:right w:val="none" w:sz="0" w:space="0" w:color="auto"/>
              </w:divBdr>
              <w:divsChild>
                <w:div w:id="77333153">
                  <w:marLeft w:val="0"/>
                  <w:marRight w:val="0"/>
                  <w:marTop w:val="0"/>
                  <w:marBottom w:val="0"/>
                  <w:divBdr>
                    <w:top w:val="none" w:sz="0" w:space="0" w:color="auto"/>
                    <w:left w:val="none" w:sz="0" w:space="0" w:color="auto"/>
                    <w:bottom w:val="none" w:sz="0" w:space="0" w:color="auto"/>
                    <w:right w:val="none" w:sz="0" w:space="0" w:color="auto"/>
                  </w:divBdr>
                  <w:divsChild>
                    <w:div w:id="753626003">
                      <w:marLeft w:val="0"/>
                      <w:marRight w:val="0"/>
                      <w:marTop w:val="0"/>
                      <w:marBottom w:val="0"/>
                      <w:divBdr>
                        <w:top w:val="none" w:sz="0" w:space="0" w:color="auto"/>
                        <w:left w:val="none" w:sz="0" w:space="0" w:color="auto"/>
                        <w:bottom w:val="none" w:sz="0" w:space="0" w:color="auto"/>
                        <w:right w:val="none" w:sz="0" w:space="0" w:color="auto"/>
                      </w:divBdr>
                      <w:divsChild>
                        <w:div w:id="941954861">
                          <w:marLeft w:val="0"/>
                          <w:marRight w:val="0"/>
                          <w:marTop w:val="0"/>
                          <w:marBottom w:val="0"/>
                          <w:divBdr>
                            <w:top w:val="none" w:sz="0" w:space="0" w:color="auto"/>
                            <w:left w:val="none" w:sz="0" w:space="0" w:color="auto"/>
                            <w:bottom w:val="none" w:sz="0" w:space="0" w:color="auto"/>
                            <w:right w:val="none" w:sz="0" w:space="0" w:color="auto"/>
                          </w:divBdr>
                          <w:divsChild>
                            <w:div w:id="67650533">
                              <w:marLeft w:val="0"/>
                              <w:marRight w:val="0"/>
                              <w:marTop w:val="0"/>
                              <w:marBottom w:val="0"/>
                              <w:divBdr>
                                <w:top w:val="none" w:sz="0" w:space="0" w:color="auto"/>
                                <w:left w:val="none" w:sz="0" w:space="0" w:color="auto"/>
                                <w:bottom w:val="none" w:sz="0" w:space="0" w:color="auto"/>
                                <w:right w:val="none" w:sz="0" w:space="0" w:color="auto"/>
                              </w:divBdr>
                              <w:divsChild>
                                <w:div w:id="104163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6749065">
          <w:marLeft w:val="0"/>
          <w:marRight w:val="0"/>
          <w:marTop w:val="0"/>
          <w:marBottom w:val="0"/>
          <w:divBdr>
            <w:top w:val="none" w:sz="0" w:space="0" w:color="auto"/>
            <w:left w:val="none" w:sz="0" w:space="0" w:color="auto"/>
            <w:bottom w:val="none" w:sz="0" w:space="0" w:color="auto"/>
            <w:right w:val="none" w:sz="0" w:space="0" w:color="auto"/>
          </w:divBdr>
          <w:divsChild>
            <w:div w:id="415983314">
              <w:marLeft w:val="0"/>
              <w:marRight w:val="0"/>
              <w:marTop w:val="0"/>
              <w:marBottom w:val="0"/>
              <w:divBdr>
                <w:top w:val="none" w:sz="0" w:space="0" w:color="auto"/>
                <w:left w:val="none" w:sz="0" w:space="0" w:color="auto"/>
                <w:bottom w:val="none" w:sz="0" w:space="0" w:color="auto"/>
                <w:right w:val="none" w:sz="0" w:space="0" w:color="auto"/>
              </w:divBdr>
              <w:divsChild>
                <w:div w:id="1119106556">
                  <w:marLeft w:val="0"/>
                  <w:marRight w:val="0"/>
                  <w:marTop w:val="0"/>
                  <w:marBottom w:val="0"/>
                  <w:divBdr>
                    <w:top w:val="none" w:sz="0" w:space="0" w:color="auto"/>
                    <w:left w:val="none" w:sz="0" w:space="0" w:color="auto"/>
                    <w:bottom w:val="none" w:sz="0" w:space="0" w:color="auto"/>
                    <w:right w:val="none" w:sz="0" w:space="0" w:color="auto"/>
                  </w:divBdr>
                  <w:divsChild>
                    <w:div w:id="1762410148">
                      <w:marLeft w:val="0"/>
                      <w:marRight w:val="0"/>
                      <w:marTop w:val="0"/>
                      <w:marBottom w:val="0"/>
                      <w:divBdr>
                        <w:top w:val="none" w:sz="0" w:space="0" w:color="auto"/>
                        <w:left w:val="none" w:sz="0" w:space="0" w:color="auto"/>
                        <w:bottom w:val="none" w:sz="0" w:space="0" w:color="auto"/>
                        <w:right w:val="none" w:sz="0" w:space="0" w:color="auto"/>
                      </w:divBdr>
                      <w:divsChild>
                        <w:div w:id="504248563">
                          <w:marLeft w:val="0"/>
                          <w:marRight w:val="0"/>
                          <w:marTop w:val="0"/>
                          <w:marBottom w:val="0"/>
                          <w:divBdr>
                            <w:top w:val="none" w:sz="0" w:space="0" w:color="auto"/>
                            <w:left w:val="none" w:sz="0" w:space="0" w:color="auto"/>
                            <w:bottom w:val="none" w:sz="0" w:space="0" w:color="auto"/>
                            <w:right w:val="none" w:sz="0" w:space="0" w:color="auto"/>
                          </w:divBdr>
                          <w:divsChild>
                            <w:div w:id="228347296">
                              <w:marLeft w:val="0"/>
                              <w:marRight w:val="0"/>
                              <w:marTop w:val="0"/>
                              <w:marBottom w:val="0"/>
                              <w:divBdr>
                                <w:top w:val="none" w:sz="0" w:space="0" w:color="auto"/>
                                <w:left w:val="none" w:sz="0" w:space="0" w:color="auto"/>
                                <w:bottom w:val="none" w:sz="0" w:space="0" w:color="auto"/>
                                <w:right w:val="none" w:sz="0" w:space="0" w:color="auto"/>
                              </w:divBdr>
                              <w:divsChild>
                                <w:div w:id="199421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730420">
          <w:marLeft w:val="0"/>
          <w:marRight w:val="0"/>
          <w:marTop w:val="0"/>
          <w:marBottom w:val="0"/>
          <w:divBdr>
            <w:top w:val="none" w:sz="0" w:space="0" w:color="auto"/>
            <w:left w:val="none" w:sz="0" w:space="0" w:color="auto"/>
            <w:bottom w:val="none" w:sz="0" w:space="0" w:color="auto"/>
            <w:right w:val="none" w:sz="0" w:space="0" w:color="auto"/>
          </w:divBdr>
          <w:divsChild>
            <w:div w:id="489519914">
              <w:marLeft w:val="0"/>
              <w:marRight w:val="0"/>
              <w:marTop w:val="0"/>
              <w:marBottom w:val="0"/>
              <w:divBdr>
                <w:top w:val="none" w:sz="0" w:space="0" w:color="auto"/>
                <w:left w:val="none" w:sz="0" w:space="0" w:color="auto"/>
                <w:bottom w:val="none" w:sz="0" w:space="0" w:color="auto"/>
                <w:right w:val="none" w:sz="0" w:space="0" w:color="auto"/>
              </w:divBdr>
              <w:divsChild>
                <w:div w:id="1921137539">
                  <w:marLeft w:val="0"/>
                  <w:marRight w:val="0"/>
                  <w:marTop w:val="0"/>
                  <w:marBottom w:val="0"/>
                  <w:divBdr>
                    <w:top w:val="none" w:sz="0" w:space="0" w:color="auto"/>
                    <w:left w:val="none" w:sz="0" w:space="0" w:color="auto"/>
                    <w:bottom w:val="none" w:sz="0" w:space="0" w:color="auto"/>
                    <w:right w:val="none" w:sz="0" w:space="0" w:color="auto"/>
                  </w:divBdr>
                  <w:divsChild>
                    <w:div w:id="710494659">
                      <w:marLeft w:val="0"/>
                      <w:marRight w:val="0"/>
                      <w:marTop w:val="0"/>
                      <w:marBottom w:val="0"/>
                      <w:divBdr>
                        <w:top w:val="none" w:sz="0" w:space="0" w:color="auto"/>
                        <w:left w:val="none" w:sz="0" w:space="0" w:color="auto"/>
                        <w:bottom w:val="none" w:sz="0" w:space="0" w:color="auto"/>
                        <w:right w:val="none" w:sz="0" w:space="0" w:color="auto"/>
                      </w:divBdr>
                      <w:divsChild>
                        <w:div w:id="982932576">
                          <w:marLeft w:val="0"/>
                          <w:marRight w:val="0"/>
                          <w:marTop w:val="0"/>
                          <w:marBottom w:val="0"/>
                          <w:divBdr>
                            <w:top w:val="none" w:sz="0" w:space="0" w:color="auto"/>
                            <w:left w:val="none" w:sz="0" w:space="0" w:color="auto"/>
                            <w:bottom w:val="none" w:sz="0" w:space="0" w:color="auto"/>
                            <w:right w:val="none" w:sz="0" w:space="0" w:color="auto"/>
                          </w:divBdr>
                          <w:divsChild>
                            <w:div w:id="248858100">
                              <w:marLeft w:val="0"/>
                              <w:marRight w:val="0"/>
                              <w:marTop w:val="0"/>
                              <w:marBottom w:val="0"/>
                              <w:divBdr>
                                <w:top w:val="none" w:sz="0" w:space="0" w:color="auto"/>
                                <w:left w:val="none" w:sz="0" w:space="0" w:color="auto"/>
                                <w:bottom w:val="none" w:sz="0" w:space="0" w:color="auto"/>
                                <w:right w:val="none" w:sz="0" w:space="0" w:color="auto"/>
                              </w:divBdr>
                            </w:div>
                          </w:divsChild>
                        </w:div>
                        <w:div w:id="1173031307">
                          <w:marLeft w:val="0"/>
                          <w:marRight w:val="0"/>
                          <w:marTop w:val="0"/>
                          <w:marBottom w:val="0"/>
                          <w:divBdr>
                            <w:top w:val="none" w:sz="0" w:space="0" w:color="auto"/>
                            <w:left w:val="none" w:sz="0" w:space="0" w:color="auto"/>
                            <w:bottom w:val="none" w:sz="0" w:space="0" w:color="auto"/>
                            <w:right w:val="none" w:sz="0" w:space="0" w:color="auto"/>
                          </w:divBdr>
                          <w:divsChild>
                            <w:div w:id="188805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240142">
                      <w:marLeft w:val="0"/>
                      <w:marRight w:val="0"/>
                      <w:marTop w:val="0"/>
                      <w:marBottom w:val="0"/>
                      <w:divBdr>
                        <w:top w:val="none" w:sz="0" w:space="0" w:color="auto"/>
                        <w:left w:val="none" w:sz="0" w:space="0" w:color="auto"/>
                        <w:bottom w:val="none" w:sz="0" w:space="0" w:color="auto"/>
                        <w:right w:val="none" w:sz="0" w:space="0" w:color="auto"/>
                      </w:divBdr>
                      <w:divsChild>
                        <w:div w:id="664674414">
                          <w:marLeft w:val="0"/>
                          <w:marRight w:val="0"/>
                          <w:marTop w:val="0"/>
                          <w:marBottom w:val="0"/>
                          <w:divBdr>
                            <w:top w:val="none" w:sz="0" w:space="0" w:color="auto"/>
                            <w:left w:val="none" w:sz="0" w:space="0" w:color="auto"/>
                            <w:bottom w:val="none" w:sz="0" w:space="0" w:color="auto"/>
                            <w:right w:val="none" w:sz="0" w:space="0" w:color="auto"/>
                          </w:divBdr>
                          <w:divsChild>
                            <w:div w:id="547140">
                              <w:marLeft w:val="0"/>
                              <w:marRight w:val="0"/>
                              <w:marTop w:val="0"/>
                              <w:marBottom w:val="0"/>
                              <w:divBdr>
                                <w:top w:val="none" w:sz="0" w:space="0" w:color="auto"/>
                                <w:left w:val="none" w:sz="0" w:space="0" w:color="auto"/>
                                <w:bottom w:val="none" w:sz="0" w:space="0" w:color="auto"/>
                                <w:right w:val="none" w:sz="0" w:space="0" w:color="auto"/>
                              </w:divBdr>
                            </w:div>
                          </w:divsChild>
                        </w:div>
                        <w:div w:id="1935626402">
                          <w:marLeft w:val="0"/>
                          <w:marRight w:val="0"/>
                          <w:marTop w:val="0"/>
                          <w:marBottom w:val="0"/>
                          <w:divBdr>
                            <w:top w:val="none" w:sz="0" w:space="0" w:color="auto"/>
                            <w:left w:val="none" w:sz="0" w:space="0" w:color="auto"/>
                            <w:bottom w:val="none" w:sz="0" w:space="0" w:color="auto"/>
                            <w:right w:val="none" w:sz="0" w:space="0" w:color="auto"/>
                          </w:divBdr>
                          <w:divsChild>
                            <w:div w:id="45148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319646">
                      <w:marLeft w:val="0"/>
                      <w:marRight w:val="0"/>
                      <w:marTop w:val="0"/>
                      <w:marBottom w:val="0"/>
                      <w:divBdr>
                        <w:top w:val="none" w:sz="0" w:space="0" w:color="auto"/>
                        <w:left w:val="none" w:sz="0" w:space="0" w:color="auto"/>
                        <w:bottom w:val="none" w:sz="0" w:space="0" w:color="auto"/>
                        <w:right w:val="none" w:sz="0" w:space="0" w:color="auto"/>
                      </w:divBdr>
                      <w:divsChild>
                        <w:div w:id="197743221">
                          <w:marLeft w:val="0"/>
                          <w:marRight w:val="0"/>
                          <w:marTop w:val="0"/>
                          <w:marBottom w:val="0"/>
                          <w:divBdr>
                            <w:top w:val="none" w:sz="0" w:space="0" w:color="auto"/>
                            <w:left w:val="none" w:sz="0" w:space="0" w:color="auto"/>
                            <w:bottom w:val="none" w:sz="0" w:space="0" w:color="auto"/>
                            <w:right w:val="none" w:sz="0" w:space="0" w:color="auto"/>
                          </w:divBdr>
                          <w:divsChild>
                            <w:div w:id="1249998993">
                              <w:marLeft w:val="0"/>
                              <w:marRight w:val="0"/>
                              <w:marTop w:val="0"/>
                              <w:marBottom w:val="0"/>
                              <w:divBdr>
                                <w:top w:val="none" w:sz="0" w:space="0" w:color="auto"/>
                                <w:left w:val="none" w:sz="0" w:space="0" w:color="auto"/>
                                <w:bottom w:val="none" w:sz="0" w:space="0" w:color="auto"/>
                                <w:right w:val="none" w:sz="0" w:space="0" w:color="auto"/>
                              </w:divBdr>
                            </w:div>
                          </w:divsChild>
                        </w:div>
                        <w:div w:id="481511397">
                          <w:marLeft w:val="0"/>
                          <w:marRight w:val="0"/>
                          <w:marTop w:val="0"/>
                          <w:marBottom w:val="0"/>
                          <w:divBdr>
                            <w:top w:val="none" w:sz="0" w:space="0" w:color="auto"/>
                            <w:left w:val="none" w:sz="0" w:space="0" w:color="auto"/>
                            <w:bottom w:val="none" w:sz="0" w:space="0" w:color="auto"/>
                            <w:right w:val="none" w:sz="0" w:space="0" w:color="auto"/>
                          </w:divBdr>
                          <w:divsChild>
                            <w:div w:id="195829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3960755">
          <w:marLeft w:val="0"/>
          <w:marRight w:val="0"/>
          <w:marTop w:val="0"/>
          <w:marBottom w:val="0"/>
          <w:divBdr>
            <w:top w:val="none" w:sz="0" w:space="0" w:color="auto"/>
            <w:left w:val="none" w:sz="0" w:space="0" w:color="auto"/>
            <w:bottom w:val="none" w:sz="0" w:space="0" w:color="auto"/>
            <w:right w:val="none" w:sz="0" w:space="0" w:color="auto"/>
          </w:divBdr>
          <w:divsChild>
            <w:div w:id="736129850">
              <w:marLeft w:val="0"/>
              <w:marRight w:val="0"/>
              <w:marTop w:val="0"/>
              <w:marBottom w:val="0"/>
              <w:divBdr>
                <w:top w:val="none" w:sz="0" w:space="0" w:color="auto"/>
                <w:left w:val="none" w:sz="0" w:space="0" w:color="auto"/>
                <w:bottom w:val="none" w:sz="0" w:space="0" w:color="auto"/>
                <w:right w:val="none" w:sz="0" w:space="0" w:color="auto"/>
              </w:divBdr>
              <w:divsChild>
                <w:div w:id="1198196727">
                  <w:marLeft w:val="0"/>
                  <w:marRight w:val="0"/>
                  <w:marTop w:val="0"/>
                  <w:marBottom w:val="0"/>
                  <w:divBdr>
                    <w:top w:val="none" w:sz="0" w:space="0" w:color="auto"/>
                    <w:left w:val="none" w:sz="0" w:space="0" w:color="auto"/>
                    <w:bottom w:val="none" w:sz="0" w:space="0" w:color="auto"/>
                    <w:right w:val="none" w:sz="0" w:space="0" w:color="auto"/>
                  </w:divBdr>
                  <w:divsChild>
                    <w:div w:id="712312998">
                      <w:marLeft w:val="0"/>
                      <w:marRight w:val="0"/>
                      <w:marTop w:val="0"/>
                      <w:marBottom w:val="0"/>
                      <w:divBdr>
                        <w:top w:val="none" w:sz="0" w:space="0" w:color="auto"/>
                        <w:left w:val="none" w:sz="0" w:space="0" w:color="auto"/>
                        <w:bottom w:val="none" w:sz="0" w:space="0" w:color="auto"/>
                        <w:right w:val="none" w:sz="0" w:space="0" w:color="auto"/>
                      </w:divBdr>
                      <w:divsChild>
                        <w:div w:id="1280644385">
                          <w:marLeft w:val="0"/>
                          <w:marRight w:val="0"/>
                          <w:marTop w:val="0"/>
                          <w:marBottom w:val="0"/>
                          <w:divBdr>
                            <w:top w:val="none" w:sz="0" w:space="0" w:color="auto"/>
                            <w:left w:val="none" w:sz="0" w:space="0" w:color="auto"/>
                            <w:bottom w:val="none" w:sz="0" w:space="0" w:color="auto"/>
                            <w:right w:val="none" w:sz="0" w:space="0" w:color="auto"/>
                          </w:divBdr>
                          <w:divsChild>
                            <w:div w:id="1160734432">
                              <w:marLeft w:val="0"/>
                              <w:marRight w:val="0"/>
                              <w:marTop w:val="0"/>
                              <w:marBottom w:val="0"/>
                              <w:divBdr>
                                <w:top w:val="none" w:sz="0" w:space="0" w:color="auto"/>
                                <w:left w:val="none" w:sz="0" w:space="0" w:color="auto"/>
                                <w:bottom w:val="none" w:sz="0" w:space="0" w:color="auto"/>
                                <w:right w:val="none" w:sz="0" w:space="0" w:color="auto"/>
                              </w:divBdr>
                              <w:divsChild>
                                <w:div w:id="185441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8306900">
          <w:marLeft w:val="0"/>
          <w:marRight w:val="0"/>
          <w:marTop w:val="0"/>
          <w:marBottom w:val="0"/>
          <w:divBdr>
            <w:top w:val="none" w:sz="0" w:space="0" w:color="auto"/>
            <w:left w:val="none" w:sz="0" w:space="0" w:color="auto"/>
            <w:bottom w:val="none" w:sz="0" w:space="0" w:color="auto"/>
            <w:right w:val="none" w:sz="0" w:space="0" w:color="auto"/>
          </w:divBdr>
          <w:divsChild>
            <w:div w:id="227154841">
              <w:marLeft w:val="0"/>
              <w:marRight w:val="0"/>
              <w:marTop w:val="0"/>
              <w:marBottom w:val="0"/>
              <w:divBdr>
                <w:top w:val="none" w:sz="0" w:space="0" w:color="auto"/>
                <w:left w:val="none" w:sz="0" w:space="0" w:color="auto"/>
                <w:bottom w:val="none" w:sz="0" w:space="0" w:color="auto"/>
                <w:right w:val="none" w:sz="0" w:space="0" w:color="auto"/>
              </w:divBdr>
              <w:divsChild>
                <w:div w:id="177808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434702">
          <w:marLeft w:val="0"/>
          <w:marRight w:val="0"/>
          <w:marTop w:val="0"/>
          <w:marBottom w:val="0"/>
          <w:divBdr>
            <w:top w:val="none" w:sz="0" w:space="0" w:color="auto"/>
            <w:left w:val="none" w:sz="0" w:space="0" w:color="auto"/>
            <w:bottom w:val="none" w:sz="0" w:space="0" w:color="auto"/>
            <w:right w:val="none" w:sz="0" w:space="0" w:color="auto"/>
          </w:divBdr>
          <w:divsChild>
            <w:div w:id="855509194">
              <w:marLeft w:val="0"/>
              <w:marRight w:val="0"/>
              <w:marTop w:val="0"/>
              <w:marBottom w:val="0"/>
              <w:divBdr>
                <w:top w:val="none" w:sz="0" w:space="0" w:color="auto"/>
                <w:left w:val="none" w:sz="0" w:space="0" w:color="auto"/>
                <w:bottom w:val="none" w:sz="0" w:space="0" w:color="auto"/>
                <w:right w:val="none" w:sz="0" w:space="0" w:color="auto"/>
              </w:divBdr>
            </w:div>
          </w:divsChild>
        </w:div>
        <w:div w:id="1168593030">
          <w:marLeft w:val="0"/>
          <w:marRight w:val="0"/>
          <w:marTop w:val="0"/>
          <w:marBottom w:val="0"/>
          <w:divBdr>
            <w:top w:val="none" w:sz="0" w:space="0" w:color="auto"/>
            <w:left w:val="none" w:sz="0" w:space="0" w:color="auto"/>
            <w:bottom w:val="none" w:sz="0" w:space="0" w:color="auto"/>
            <w:right w:val="none" w:sz="0" w:space="0" w:color="auto"/>
          </w:divBdr>
          <w:divsChild>
            <w:div w:id="1161510034">
              <w:marLeft w:val="0"/>
              <w:marRight w:val="0"/>
              <w:marTop w:val="0"/>
              <w:marBottom w:val="0"/>
              <w:divBdr>
                <w:top w:val="none" w:sz="0" w:space="0" w:color="auto"/>
                <w:left w:val="none" w:sz="0" w:space="0" w:color="auto"/>
                <w:bottom w:val="none" w:sz="0" w:space="0" w:color="auto"/>
                <w:right w:val="none" w:sz="0" w:space="0" w:color="auto"/>
              </w:divBdr>
              <w:divsChild>
                <w:div w:id="1619870510">
                  <w:marLeft w:val="0"/>
                  <w:marRight w:val="0"/>
                  <w:marTop w:val="0"/>
                  <w:marBottom w:val="0"/>
                  <w:divBdr>
                    <w:top w:val="none" w:sz="0" w:space="0" w:color="auto"/>
                    <w:left w:val="none" w:sz="0" w:space="0" w:color="auto"/>
                    <w:bottom w:val="none" w:sz="0" w:space="0" w:color="auto"/>
                    <w:right w:val="none" w:sz="0" w:space="0" w:color="auto"/>
                  </w:divBdr>
                  <w:divsChild>
                    <w:div w:id="1905749589">
                      <w:marLeft w:val="0"/>
                      <w:marRight w:val="0"/>
                      <w:marTop w:val="0"/>
                      <w:marBottom w:val="0"/>
                      <w:divBdr>
                        <w:top w:val="none" w:sz="0" w:space="0" w:color="auto"/>
                        <w:left w:val="none" w:sz="0" w:space="0" w:color="auto"/>
                        <w:bottom w:val="none" w:sz="0" w:space="0" w:color="auto"/>
                        <w:right w:val="none" w:sz="0" w:space="0" w:color="auto"/>
                      </w:divBdr>
                      <w:divsChild>
                        <w:div w:id="1969629387">
                          <w:marLeft w:val="0"/>
                          <w:marRight w:val="0"/>
                          <w:marTop w:val="0"/>
                          <w:marBottom w:val="0"/>
                          <w:divBdr>
                            <w:top w:val="none" w:sz="0" w:space="0" w:color="auto"/>
                            <w:left w:val="none" w:sz="0" w:space="0" w:color="auto"/>
                            <w:bottom w:val="none" w:sz="0" w:space="0" w:color="auto"/>
                            <w:right w:val="none" w:sz="0" w:space="0" w:color="auto"/>
                          </w:divBdr>
                          <w:divsChild>
                            <w:div w:id="865020380">
                              <w:marLeft w:val="0"/>
                              <w:marRight w:val="0"/>
                              <w:marTop w:val="0"/>
                              <w:marBottom w:val="0"/>
                              <w:divBdr>
                                <w:top w:val="none" w:sz="0" w:space="0" w:color="auto"/>
                                <w:left w:val="none" w:sz="0" w:space="0" w:color="auto"/>
                                <w:bottom w:val="none" w:sz="0" w:space="0" w:color="auto"/>
                                <w:right w:val="none" w:sz="0" w:space="0" w:color="auto"/>
                              </w:divBdr>
                            </w:div>
                          </w:divsChild>
                        </w:div>
                        <w:div w:id="2090038506">
                          <w:marLeft w:val="0"/>
                          <w:marRight w:val="0"/>
                          <w:marTop w:val="0"/>
                          <w:marBottom w:val="0"/>
                          <w:divBdr>
                            <w:top w:val="none" w:sz="0" w:space="0" w:color="auto"/>
                            <w:left w:val="none" w:sz="0" w:space="0" w:color="auto"/>
                            <w:bottom w:val="none" w:sz="0" w:space="0" w:color="auto"/>
                            <w:right w:val="none" w:sz="0" w:space="0" w:color="auto"/>
                          </w:divBdr>
                          <w:divsChild>
                            <w:div w:id="40811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6136674">
          <w:marLeft w:val="0"/>
          <w:marRight w:val="0"/>
          <w:marTop w:val="0"/>
          <w:marBottom w:val="0"/>
          <w:divBdr>
            <w:top w:val="none" w:sz="0" w:space="0" w:color="auto"/>
            <w:left w:val="none" w:sz="0" w:space="0" w:color="auto"/>
            <w:bottom w:val="none" w:sz="0" w:space="0" w:color="auto"/>
            <w:right w:val="none" w:sz="0" w:space="0" w:color="auto"/>
          </w:divBdr>
          <w:divsChild>
            <w:div w:id="1789621134">
              <w:marLeft w:val="0"/>
              <w:marRight w:val="0"/>
              <w:marTop w:val="0"/>
              <w:marBottom w:val="0"/>
              <w:divBdr>
                <w:top w:val="none" w:sz="0" w:space="0" w:color="auto"/>
                <w:left w:val="none" w:sz="0" w:space="0" w:color="auto"/>
                <w:bottom w:val="none" w:sz="0" w:space="0" w:color="auto"/>
                <w:right w:val="none" w:sz="0" w:space="0" w:color="auto"/>
              </w:divBdr>
              <w:divsChild>
                <w:div w:id="1882816117">
                  <w:marLeft w:val="0"/>
                  <w:marRight w:val="0"/>
                  <w:marTop w:val="0"/>
                  <w:marBottom w:val="0"/>
                  <w:divBdr>
                    <w:top w:val="none" w:sz="0" w:space="0" w:color="auto"/>
                    <w:left w:val="none" w:sz="0" w:space="0" w:color="auto"/>
                    <w:bottom w:val="none" w:sz="0" w:space="0" w:color="auto"/>
                    <w:right w:val="none" w:sz="0" w:space="0" w:color="auto"/>
                  </w:divBdr>
                  <w:divsChild>
                    <w:div w:id="538788515">
                      <w:marLeft w:val="0"/>
                      <w:marRight w:val="0"/>
                      <w:marTop w:val="0"/>
                      <w:marBottom w:val="0"/>
                      <w:divBdr>
                        <w:top w:val="none" w:sz="0" w:space="0" w:color="auto"/>
                        <w:left w:val="none" w:sz="0" w:space="0" w:color="auto"/>
                        <w:bottom w:val="none" w:sz="0" w:space="0" w:color="auto"/>
                        <w:right w:val="none" w:sz="0" w:space="0" w:color="auto"/>
                      </w:divBdr>
                      <w:divsChild>
                        <w:div w:id="1496916141">
                          <w:marLeft w:val="0"/>
                          <w:marRight w:val="0"/>
                          <w:marTop w:val="0"/>
                          <w:marBottom w:val="0"/>
                          <w:divBdr>
                            <w:top w:val="none" w:sz="0" w:space="0" w:color="auto"/>
                            <w:left w:val="none" w:sz="0" w:space="0" w:color="auto"/>
                            <w:bottom w:val="none" w:sz="0" w:space="0" w:color="auto"/>
                            <w:right w:val="none" w:sz="0" w:space="0" w:color="auto"/>
                          </w:divBdr>
                          <w:divsChild>
                            <w:div w:id="1718969193">
                              <w:marLeft w:val="0"/>
                              <w:marRight w:val="0"/>
                              <w:marTop w:val="0"/>
                              <w:marBottom w:val="0"/>
                              <w:divBdr>
                                <w:top w:val="none" w:sz="0" w:space="0" w:color="auto"/>
                                <w:left w:val="none" w:sz="0" w:space="0" w:color="auto"/>
                                <w:bottom w:val="none" w:sz="0" w:space="0" w:color="auto"/>
                                <w:right w:val="none" w:sz="0" w:space="0" w:color="auto"/>
                              </w:divBdr>
                              <w:divsChild>
                                <w:div w:id="83685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507680">
          <w:marLeft w:val="0"/>
          <w:marRight w:val="0"/>
          <w:marTop w:val="0"/>
          <w:marBottom w:val="0"/>
          <w:divBdr>
            <w:top w:val="none" w:sz="0" w:space="0" w:color="auto"/>
            <w:left w:val="none" w:sz="0" w:space="0" w:color="auto"/>
            <w:bottom w:val="none" w:sz="0" w:space="0" w:color="auto"/>
            <w:right w:val="none" w:sz="0" w:space="0" w:color="auto"/>
          </w:divBdr>
          <w:divsChild>
            <w:div w:id="599530837">
              <w:marLeft w:val="0"/>
              <w:marRight w:val="0"/>
              <w:marTop w:val="0"/>
              <w:marBottom w:val="0"/>
              <w:divBdr>
                <w:top w:val="none" w:sz="0" w:space="0" w:color="auto"/>
                <w:left w:val="none" w:sz="0" w:space="0" w:color="auto"/>
                <w:bottom w:val="none" w:sz="0" w:space="0" w:color="auto"/>
                <w:right w:val="none" w:sz="0" w:space="0" w:color="auto"/>
              </w:divBdr>
              <w:divsChild>
                <w:div w:id="152621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615522">
          <w:marLeft w:val="0"/>
          <w:marRight w:val="0"/>
          <w:marTop w:val="0"/>
          <w:marBottom w:val="0"/>
          <w:divBdr>
            <w:top w:val="none" w:sz="0" w:space="0" w:color="auto"/>
            <w:left w:val="none" w:sz="0" w:space="0" w:color="auto"/>
            <w:bottom w:val="none" w:sz="0" w:space="0" w:color="auto"/>
            <w:right w:val="none" w:sz="0" w:space="0" w:color="auto"/>
          </w:divBdr>
          <w:divsChild>
            <w:div w:id="546377074">
              <w:marLeft w:val="0"/>
              <w:marRight w:val="0"/>
              <w:marTop w:val="0"/>
              <w:marBottom w:val="0"/>
              <w:divBdr>
                <w:top w:val="none" w:sz="0" w:space="0" w:color="auto"/>
                <w:left w:val="none" w:sz="0" w:space="0" w:color="auto"/>
                <w:bottom w:val="none" w:sz="0" w:space="0" w:color="auto"/>
                <w:right w:val="none" w:sz="0" w:space="0" w:color="auto"/>
              </w:divBdr>
              <w:divsChild>
                <w:div w:id="427849422">
                  <w:marLeft w:val="0"/>
                  <w:marRight w:val="0"/>
                  <w:marTop w:val="0"/>
                  <w:marBottom w:val="0"/>
                  <w:divBdr>
                    <w:top w:val="none" w:sz="0" w:space="0" w:color="auto"/>
                    <w:left w:val="none" w:sz="0" w:space="0" w:color="auto"/>
                    <w:bottom w:val="none" w:sz="0" w:space="0" w:color="auto"/>
                    <w:right w:val="none" w:sz="0" w:space="0" w:color="auto"/>
                  </w:divBdr>
                </w:div>
                <w:div w:id="793912563">
                  <w:marLeft w:val="0"/>
                  <w:marRight w:val="0"/>
                  <w:marTop w:val="0"/>
                  <w:marBottom w:val="0"/>
                  <w:divBdr>
                    <w:top w:val="none" w:sz="0" w:space="0" w:color="auto"/>
                    <w:left w:val="none" w:sz="0" w:space="0" w:color="auto"/>
                    <w:bottom w:val="none" w:sz="0" w:space="0" w:color="auto"/>
                    <w:right w:val="none" w:sz="0" w:space="0" w:color="auto"/>
                  </w:divBdr>
                  <w:divsChild>
                    <w:div w:id="9992374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1279882">
                  <w:marLeft w:val="0"/>
                  <w:marRight w:val="0"/>
                  <w:marTop w:val="0"/>
                  <w:marBottom w:val="0"/>
                  <w:divBdr>
                    <w:top w:val="none" w:sz="0" w:space="0" w:color="auto"/>
                    <w:left w:val="none" w:sz="0" w:space="0" w:color="auto"/>
                    <w:bottom w:val="none" w:sz="0" w:space="0" w:color="auto"/>
                    <w:right w:val="none" w:sz="0" w:space="0" w:color="auto"/>
                  </w:divBdr>
                  <w:divsChild>
                    <w:div w:id="694384984">
                      <w:marLeft w:val="0"/>
                      <w:marRight w:val="0"/>
                      <w:marTop w:val="0"/>
                      <w:marBottom w:val="0"/>
                      <w:divBdr>
                        <w:top w:val="none" w:sz="0" w:space="0" w:color="auto"/>
                        <w:left w:val="none" w:sz="0" w:space="0" w:color="auto"/>
                        <w:bottom w:val="none" w:sz="0" w:space="0" w:color="auto"/>
                        <w:right w:val="none" w:sz="0" w:space="0" w:color="auto"/>
                      </w:divBdr>
                      <w:divsChild>
                        <w:div w:id="647168695">
                          <w:marLeft w:val="0"/>
                          <w:marRight w:val="0"/>
                          <w:marTop w:val="0"/>
                          <w:marBottom w:val="0"/>
                          <w:divBdr>
                            <w:top w:val="none" w:sz="0" w:space="0" w:color="auto"/>
                            <w:left w:val="none" w:sz="0" w:space="0" w:color="auto"/>
                            <w:bottom w:val="none" w:sz="0" w:space="0" w:color="auto"/>
                            <w:right w:val="none" w:sz="0" w:space="0" w:color="auto"/>
                          </w:divBdr>
                          <w:divsChild>
                            <w:div w:id="1127577599">
                              <w:marLeft w:val="0"/>
                              <w:marRight w:val="0"/>
                              <w:marTop w:val="0"/>
                              <w:marBottom w:val="0"/>
                              <w:divBdr>
                                <w:top w:val="none" w:sz="0" w:space="0" w:color="auto"/>
                                <w:left w:val="none" w:sz="0" w:space="0" w:color="auto"/>
                                <w:bottom w:val="none" w:sz="0" w:space="0" w:color="auto"/>
                                <w:right w:val="none" w:sz="0" w:space="0" w:color="auto"/>
                              </w:divBdr>
                              <w:divsChild>
                                <w:div w:id="19278708">
                                  <w:marLeft w:val="0"/>
                                  <w:marRight w:val="0"/>
                                  <w:marTop w:val="0"/>
                                  <w:marBottom w:val="0"/>
                                  <w:divBdr>
                                    <w:top w:val="none" w:sz="0" w:space="0" w:color="auto"/>
                                    <w:left w:val="none" w:sz="0" w:space="0" w:color="auto"/>
                                    <w:bottom w:val="none" w:sz="0" w:space="0" w:color="auto"/>
                                    <w:right w:val="none" w:sz="0" w:space="0" w:color="auto"/>
                                  </w:divBdr>
                                  <w:divsChild>
                                    <w:div w:id="1617907023">
                                      <w:marLeft w:val="0"/>
                                      <w:marRight w:val="0"/>
                                      <w:marTop w:val="0"/>
                                      <w:marBottom w:val="0"/>
                                      <w:divBdr>
                                        <w:top w:val="none" w:sz="0" w:space="0" w:color="auto"/>
                                        <w:left w:val="none" w:sz="0" w:space="0" w:color="auto"/>
                                        <w:bottom w:val="none" w:sz="0" w:space="0" w:color="auto"/>
                                        <w:right w:val="none" w:sz="0" w:space="0" w:color="auto"/>
                                      </w:divBdr>
                                    </w:div>
                                    <w:div w:id="1971939785">
                                      <w:marLeft w:val="0"/>
                                      <w:marRight w:val="0"/>
                                      <w:marTop w:val="0"/>
                                      <w:marBottom w:val="0"/>
                                      <w:divBdr>
                                        <w:top w:val="none" w:sz="0" w:space="0" w:color="auto"/>
                                        <w:left w:val="none" w:sz="0" w:space="0" w:color="auto"/>
                                        <w:bottom w:val="none" w:sz="0" w:space="0" w:color="auto"/>
                                        <w:right w:val="none" w:sz="0" w:space="0" w:color="auto"/>
                                      </w:divBdr>
                                    </w:div>
                                  </w:divsChild>
                                </w:div>
                                <w:div w:id="43039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2015399">
          <w:marLeft w:val="0"/>
          <w:marRight w:val="0"/>
          <w:marTop w:val="0"/>
          <w:marBottom w:val="0"/>
          <w:divBdr>
            <w:top w:val="none" w:sz="0" w:space="0" w:color="auto"/>
            <w:left w:val="none" w:sz="0" w:space="0" w:color="auto"/>
            <w:bottom w:val="none" w:sz="0" w:space="0" w:color="auto"/>
            <w:right w:val="none" w:sz="0" w:space="0" w:color="auto"/>
          </w:divBdr>
          <w:divsChild>
            <w:div w:id="868033484">
              <w:marLeft w:val="0"/>
              <w:marRight w:val="0"/>
              <w:marTop w:val="0"/>
              <w:marBottom w:val="0"/>
              <w:divBdr>
                <w:top w:val="none" w:sz="0" w:space="0" w:color="auto"/>
                <w:left w:val="none" w:sz="0" w:space="0" w:color="auto"/>
                <w:bottom w:val="none" w:sz="0" w:space="0" w:color="auto"/>
                <w:right w:val="none" w:sz="0" w:space="0" w:color="auto"/>
              </w:divBdr>
              <w:divsChild>
                <w:div w:id="1635519984">
                  <w:marLeft w:val="0"/>
                  <w:marRight w:val="0"/>
                  <w:marTop w:val="0"/>
                  <w:marBottom w:val="0"/>
                  <w:divBdr>
                    <w:top w:val="none" w:sz="0" w:space="0" w:color="auto"/>
                    <w:left w:val="none" w:sz="0" w:space="0" w:color="auto"/>
                    <w:bottom w:val="none" w:sz="0" w:space="0" w:color="auto"/>
                    <w:right w:val="none" w:sz="0" w:space="0" w:color="auto"/>
                  </w:divBdr>
                  <w:divsChild>
                    <w:div w:id="337581453">
                      <w:marLeft w:val="0"/>
                      <w:marRight w:val="0"/>
                      <w:marTop w:val="0"/>
                      <w:marBottom w:val="0"/>
                      <w:divBdr>
                        <w:top w:val="none" w:sz="0" w:space="0" w:color="auto"/>
                        <w:left w:val="none" w:sz="0" w:space="0" w:color="auto"/>
                        <w:bottom w:val="none" w:sz="0" w:space="0" w:color="auto"/>
                        <w:right w:val="none" w:sz="0" w:space="0" w:color="auto"/>
                      </w:divBdr>
                      <w:divsChild>
                        <w:div w:id="690911761">
                          <w:marLeft w:val="0"/>
                          <w:marRight w:val="0"/>
                          <w:marTop w:val="0"/>
                          <w:marBottom w:val="0"/>
                          <w:divBdr>
                            <w:top w:val="none" w:sz="0" w:space="0" w:color="auto"/>
                            <w:left w:val="none" w:sz="0" w:space="0" w:color="auto"/>
                            <w:bottom w:val="none" w:sz="0" w:space="0" w:color="auto"/>
                            <w:right w:val="none" w:sz="0" w:space="0" w:color="auto"/>
                          </w:divBdr>
                          <w:divsChild>
                            <w:div w:id="463885783">
                              <w:marLeft w:val="0"/>
                              <w:marRight w:val="0"/>
                              <w:marTop w:val="0"/>
                              <w:marBottom w:val="0"/>
                              <w:divBdr>
                                <w:top w:val="none" w:sz="0" w:space="0" w:color="auto"/>
                                <w:left w:val="none" w:sz="0" w:space="0" w:color="auto"/>
                                <w:bottom w:val="none" w:sz="0" w:space="0" w:color="auto"/>
                                <w:right w:val="none" w:sz="0" w:space="0" w:color="auto"/>
                              </w:divBdr>
                              <w:divsChild>
                                <w:div w:id="164700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688789">
          <w:marLeft w:val="0"/>
          <w:marRight w:val="0"/>
          <w:marTop w:val="0"/>
          <w:marBottom w:val="0"/>
          <w:divBdr>
            <w:top w:val="none" w:sz="0" w:space="0" w:color="auto"/>
            <w:left w:val="none" w:sz="0" w:space="0" w:color="auto"/>
            <w:bottom w:val="none" w:sz="0" w:space="0" w:color="auto"/>
            <w:right w:val="none" w:sz="0" w:space="0" w:color="auto"/>
          </w:divBdr>
          <w:divsChild>
            <w:div w:id="1359307442">
              <w:marLeft w:val="0"/>
              <w:marRight w:val="0"/>
              <w:marTop w:val="0"/>
              <w:marBottom w:val="0"/>
              <w:divBdr>
                <w:top w:val="none" w:sz="0" w:space="0" w:color="auto"/>
                <w:left w:val="none" w:sz="0" w:space="0" w:color="auto"/>
                <w:bottom w:val="none" w:sz="0" w:space="0" w:color="auto"/>
                <w:right w:val="none" w:sz="0" w:space="0" w:color="auto"/>
              </w:divBdr>
              <w:divsChild>
                <w:div w:id="165271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711433">
          <w:marLeft w:val="0"/>
          <w:marRight w:val="0"/>
          <w:marTop w:val="0"/>
          <w:marBottom w:val="0"/>
          <w:divBdr>
            <w:top w:val="none" w:sz="0" w:space="0" w:color="auto"/>
            <w:left w:val="none" w:sz="0" w:space="0" w:color="auto"/>
            <w:bottom w:val="none" w:sz="0" w:space="0" w:color="auto"/>
            <w:right w:val="none" w:sz="0" w:space="0" w:color="auto"/>
          </w:divBdr>
          <w:divsChild>
            <w:div w:id="1683581491">
              <w:marLeft w:val="0"/>
              <w:marRight w:val="0"/>
              <w:marTop w:val="0"/>
              <w:marBottom w:val="0"/>
              <w:divBdr>
                <w:top w:val="none" w:sz="0" w:space="0" w:color="auto"/>
                <w:left w:val="none" w:sz="0" w:space="0" w:color="auto"/>
                <w:bottom w:val="none" w:sz="0" w:space="0" w:color="auto"/>
                <w:right w:val="none" w:sz="0" w:space="0" w:color="auto"/>
              </w:divBdr>
              <w:divsChild>
                <w:div w:id="618990639">
                  <w:marLeft w:val="0"/>
                  <w:marRight w:val="0"/>
                  <w:marTop w:val="0"/>
                  <w:marBottom w:val="0"/>
                  <w:divBdr>
                    <w:top w:val="none" w:sz="0" w:space="0" w:color="auto"/>
                    <w:left w:val="none" w:sz="0" w:space="0" w:color="auto"/>
                    <w:bottom w:val="none" w:sz="0" w:space="0" w:color="auto"/>
                    <w:right w:val="none" w:sz="0" w:space="0" w:color="auto"/>
                  </w:divBdr>
                  <w:divsChild>
                    <w:div w:id="1686976537">
                      <w:marLeft w:val="0"/>
                      <w:marRight w:val="0"/>
                      <w:marTop w:val="0"/>
                      <w:marBottom w:val="0"/>
                      <w:divBdr>
                        <w:top w:val="none" w:sz="0" w:space="0" w:color="auto"/>
                        <w:left w:val="none" w:sz="0" w:space="0" w:color="auto"/>
                        <w:bottom w:val="none" w:sz="0" w:space="0" w:color="auto"/>
                        <w:right w:val="none" w:sz="0" w:space="0" w:color="auto"/>
                      </w:divBdr>
                      <w:divsChild>
                        <w:div w:id="329798257">
                          <w:marLeft w:val="0"/>
                          <w:marRight w:val="0"/>
                          <w:marTop w:val="0"/>
                          <w:marBottom w:val="0"/>
                          <w:divBdr>
                            <w:top w:val="none" w:sz="0" w:space="0" w:color="auto"/>
                            <w:left w:val="none" w:sz="0" w:space="0" w:color="auto"/>
                            <w:bottom w:val="none" w:sz="0" w:space="0" w:color="auto"/>
                            <w:right w:val="none" w:sz="0" w:space="0" w:color="auto"/>
                          </w:divBdr>
                          <w:divsChild>
                            <w:div w:id="1713647266">
                              <w:marLeft w:val="0"/>
                              <w:marRight w:val="0"/>
                              <w:marTop w:val="0"/>
                              <w:marBottom w:val="0"/>
                              <w:divBdr>
                                <w:top w:val="none" w:sz="0" w:space="0" w:color="auto"/>
                                <w:left w:val="none" w:sz="0" w:space="0" w:color="auto"/>
                                <w:bottom w:val="none" w:sz="0" w:space="0" w:color="auto"/>
                                <w:right w:val="none" w:sz="0" w:space="0" w:color="auto"/>
                              </w:divBdr>
                              <w:divsChild>
                                <w:div w:id="139947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5531840">
          <w:marLeft w:val="0"/>
          <w:marRight w:val="0"/>
          <w:marTop w:val="0"/>
          <w:marBottom w:val="0"/>
          <w:divBdr>
            <w:top w:val="none" w:sz="0" w:space="0" w:color="auto"/>
            <w:left w:val="none" w:sz="0" w:space="0" w:color="auto"/>
            <w:bottom w:val="none" w:sz="0" w:space="0" w:color="auto"/>
            <w:right w:val="none" w:sz="0" w:space="0" w:color="auto"/>
          </w:divBdr>
          <w:divsChild>
            <w:div w:id="694772702">
              <w:marLeft w:val="0"/>
              <w:marRight w:val="0"/>
              <w:marTop w:val="0"/>
              <w:marBottom w:val="0"/>
              <w:divBdr>
                <w:top w:val="none" w:sz="0" w:space="0" w:color="auto"/>
                <w:left w:val="none" w:sz="0" w:space="0" w:color="auto"/>
                <w:bottom w:val="none" w:sz="0" w:space="0" w:color="auto"/>
                <w:right w:val="none" w:sz="0" w:space="0" w:color="auto"/>
              </w:divBdr>
              <w:divsChild>
                <w:div w:id="242375537">
                  <w:marLeft w:val="0"/>
                  <w:marRight w:val="0"/>
                  <w:marTop w:val="0"/>
                  <w:marBottom w:val="0"/>
                  <w:divBdr>
                    <w:top w:val="none" w:sz="0" w:space="0" w:color="auto"/>
                    <w:left w:val="none" w:sz="0" w:space="0" w:color="auto"/>
                    <w:bottom w:val="none" w:sz="0" w:space="0" w:color="auto"/>
                    <w:right w:val="none" w:sz="0" w:space="0" w:color="auto"/>
                  </w:divBdr>
                  <w:divsChild>
                    <w:div w:id="748768115">
                      <w:marLeft w:val="0"/>
                      <w:marRight w:val="0"/>
                      <w:marTop w:val="0"/>
                      <w:marBottom w:val="0"/>
                      <w:divBdr>
                        <w:top w:val="none" w:sz="0" w:space="0" w:color="auto"/>
                        <w:left w:val="none" w:sz="0" w:space="0" w:color="auto"/>
                        <w:bottom w:val="none" w:sz="0" w:space="0" w:color="auto"/>
                        <w:right w:val="none" w:sz="0" w:space="0" w:color="auto"/>
                      </w:divBdr>
                      <w:divsChild>
                        <w:div w:id="1107627477">
                          <w:marLeft w:val="0"/>
                          <w:marRight w:val="0"/>
                          <w:marTop w:val="0"/>
                          <w:marBottom w:val="0"/>
                          <w:divBdr>
                            <w:top w:val="none" w:sz="0" w:space="0" w:color="auto"/>
                            <w:left w:val="none" w:sz="0" w:space="0" w:color="auto"/>
                            <w:bottom w:val="none" w:sz="0" w:space="0" w:color="auto"/>
                            <w:right w:val="none" w:sz="0" w:space="0" w:color="auto"/>
                          </w:divBdr>
                          <w:divsChild>
                            <w:div w:id="1501501303">
                              <w:marLeft w:val="0"/>
                              <w:marRight w:val="0"/>
                              <w:marTop w:val="0"/>
                              <w:marBottom w:val="0"/>
                              <w:divBdr>
                                <w:top w:val="none" w:sz="0" w:space="0" w:color="auto"/>
                                <w:left w:val="none" w:sz="0" w:space="0" w:color="auto"/>
                                <w:bottom w:val="none" w:sz="0" w:space="0" w:color="auto"/>
                                <w:right w:val="none" w:sz="0" w:space="0" w:color="auto"/>
                              </w:divBdr>
                              <w:divsChild>
                                <w:div w:id="160021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2086400">
          <w:marLeft w:val="0"/>
          <w:marRight w:val="0"/>
          <w:marTop w:val="0"/>
          <w:marBottom w:val="0"/>
          <w:divBdr>
            <w:top w:val="none" w:sz="0" w:space="0" w:color="auto"/>
            <w:left w:val="none" w:sz="0" w:space="0" w:color="auto"/>
            <w:bottom w:val="none" w:sz="0" w:space="0" w:color="auto"/>
            <w:right w:val="none" w:sz="0" w:space="0" w:color="auto"/>
          </w:divBdr>
          <w:divsChild>
            <w:div w:id="583294678">
              <w:marLeft w:val="0"/>
              <w:marRight w:val="0"/>
              <w:marTop w:val="0"/>
              <w:marBottom w:val="0"/>
              <w:divBdr>
                <w:top w:val="none" w:sz="0" w:space="0" w:color="auto"/>
                <w:left w:val="none" w:sz="0" w:space="0" w:color="auto"/>
                <w:bottom w:val="none" w:sz="0" w:space="0" w:color="auto"/>
                <w:right w:val="none" w:sz="0" w:space="0" w:color="auto"/>
              </w:divBdr>
              <w:divsChild>
                <w:div w:id="45830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379514">
          <w:marLeft w:val="0"/>
          <w:marRight w:val="0"/>
          <w:marTop w:val="0"/>
          <w:marBottom w:val="0"/>
          <w:divBdr>
            <w:top w:val="none" w:sz="0" w:space="0" w:color="auto"/>
            <w:left w:val="none" w:sz="0" w:space="0" w:color="auto"/>
            <w:bottom w:val="none" w:sz="0" w:space="0" w:color="auto"/>
            <w:right w:val="none" w:sz="0" w:space="0" w:color="auto"/>
          </w:divBdr>
          <w:divsChild>
            <w:div w:id="1841000331">
              <w:marLeft w:val="0"/>
              <w:marRight w:val="0"/>
              <w:marTop w:val="0"/>
              <w:marBottom w:val="0"/>
              <w:divBdr>
                <w:top w:val="none" w:sz="0" w:space="0" w:color="auto"/>
                <w:left w:val="none" w:sz="0" w:space="0" w:color="auto"/>
                <w:bottom w:val="none" w:sz="0" w:space="0" w:color="auto"/>
                <w:right w:val="none" w:sz="0" w:space="0" w:color="auto"/>
              </w:divBdr>
              <w:divsChild>
                <w:div w:id="988552861">
                  <w:marLeft w:val="0"/>
                  <w:marRight w:val="0"/>
                  <w:marTop w:val="0"/>
                  <w:marBottom w:val="0"/>
                  <w:divBdr>
                    <w:top w:val="none" w:sz="0" w:space="0" w:color="auto"/>
                    <w:left w:val="none" w:sz="0" w:space="0" w:color="auto"/>
                    <w:bottom w:val="none" w:sz="0" w:space="0" w:color="auto"/>
                    <w:right w:val="none" w:sz="0" w:space="0" w:color="auto"/>
                  </w:divBdr>
                  <w:divsChild>
                    <w:div w:id="817266151">
                      <w:marLeft w:val="0"/>
                      <w:marRight w:val="0"/>
                      <w:marTop w:val="0"/>
                      <w:marBottom w:val="0"/>
                      <w:divBdr>
                        <w:top w:val="none" w:sz="0" w:space="0" w:color="auto"/>
                        <w:left w:val="none" w:sz="0" w:space="0" w:color="auto"/>
                        <w:bottom w:val="none" w:sz="0" w:space="0" w:color="auto"/>
                        <w:right w:val="none" w:sz="0" w:space="0" w:color="auto"/>
                      </w:divBdr>
                      <w:divsChild>
                        <w:div w:id="1007630938">
                          <w:marLeft w:val="0"/>
                          <w:marRight w:val="0"/>
                          <w:marTop w:val="0"/>
                          <w:marBottom w:val="0"/>
                          <w:divBdr>
                            <w:top w:val="none" w:sz="0" w:space="0" w:color="auto"/>
                            <w:left w:val="none" w:sz="0" w:space="0" w:color="auto"/>
                            <w:bottom w:val="none" w:sz="0" w:space="0" w:color="auto"/>
                            <w:right w:val="none" w:sz="0" w:space="0" w:color="auto"/>
                          </w:divBdr>
                          <w:divsChild>
                            <w:div w:id="1148015673">
                              <w:marLeft w:val="0"/>
                              <w:marRight w:val="0"/>
                              <w:marTop w:val="0"/>
                              <w:marBottom w:val="0"/>
                              <w:divBdr>
                                <w:top w:val="none" w:sz="0" w:space="0" w:color="auto"/>
                                <w:left w:val="none" w:sz="0" w:space="0" w:color="auto"/>
                                <w:bottom w:val="none" w:sz="0" w:space="0" w:color="auto"/>
                                <w:right w:val="none" w:sz="0" w:space="0" w:color="auto"/>
                              </w:divBdr>
                              <w:divsChild>
                                <w:div w:id="201360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0545523">
          <w:marLeft w:val="0"/>
          <w:marRight w:val="0"/>
          <w:marTop w:val="0"/>
          <w:marBottom w:val="0"/>
          <w:divBdr>
            <w:top w:val="none" w:sz="0" w:space="0" w:color="auto"/>
            <w:left w:val="none" w:sz="0" w:space="0" w:color="auto"/>
            <w:bottom w:val="none" w:sz="0" w:space="0" w:color="auto"/>
            <w:right w:val="none" w:sz="0" w:space="0" w:color="auto"/>
          </w:divBdr>
          <w:divsChild>
            <w:div w:id="324166639">
              <w:marLeft w:val="0"/>
              <w:marRight w:val="0"/>
              <w:marTop w:val="0"/>
              <w:marBottom w:val="0"/>
              <w:divBdr>
                <w:top w:val="none" w:sz="0" w:space="0" w:color="auto"/>
                <w:left w:val="none" w:sz="0" w:space="0" w:color="auto"/>
                <w:bottom w:val="none" w:sz="0" w:space="0" w:color="auto"/>
                <w:right w:val="none" w:sz="0" w:space="0" w:color="auto"/>
              </w:divBdr>
              <w:divsChild>
                <w:div w:id="1381241964">
                  <w:marLeft w:val="0"/>
                  <w:marRight w:val="0"/>
                  <w:marTop w:val="0"/>
                  <w:marBottom w:val="0"/>
                  <w:divBdr>
                    <w:top w:val="none" w:sz="0" w:space="0" w:color="auto"/>
                    <w:left w:val="none" w:sz="0" w:space="0" w:color="auto"/>
                    <w:bottom w:val="none" w:sz="0" w:space="0" w:color="auto"/>
                    <w:right w:val="none" w:sz="0" w:space="0" w:color="auto"/>
                  </w:divBdr>
                  <w:divsChild>
                    <w:div w:id="1036202113">
                      <w:marLeft w:val="0"/>
                      <w:marRight w:val="0"/>
                      <w:marTop w:val="0"/>
                      <w:marBottom w:val="0"/>
                      <w:divBdr>
                        <w:top w:val="none" w:sz="0" w:space="0" w:color="auto"/>
                        <w:left w:val="none" w:sz="0" w:space="0" w:color="auto"/>
                        <w:bottom w:val="none" w:sz="0" w:space="0" w:color="auto"/>
                        <w:right w:val="none" w:sz="0" w:space="0" w:color="auto"/>
                      </w:divBdr>
                      <w:divsChild>
                        <w:div w:id="1484589612">
                          <w:marLeft w:val="0"/>
                          <w:marRight w:val="0"/>
                          <w:marTop w:val="0"/>
                          <w:marBottom w:val="0"/>
                          <w:divBdr>
                            <w:top w:val="none" w:sz="0" w:space="0" w:color="auto"/>
                            <w:left w:val="none" w:sz="0" w:space="0" w:color="auto"/>
                            <w:bottom w:val="none" w:sz="0" w:space="0" w:color="auto"/>
                            <w:right w:val="none" w:sz="0" w:space="0" w:color="auto"/>
                          </w:divBdr>
                          <w:divsChild>
                            <w:div w:id="237129656">
                              <w:marLeft w:val="0"/>
                              <w:marRight w:val="0"/>
                              <w:marTop w:val="0"/>
                              <w:marBottom w:val="0"/>
                              <w:divBdr>
                                <w:top w:val="none" w:sz="0" w:space="0" w:color="auto"/>
                                <w:left w:val="none" w:sz="0" w:space="0" w:color="auto"/>
                                <w:bottom w:val="none" w:sz="0" w:space="0" w:color="auto"/>
                                <w:right w:val="none" w:sz="0" w:space="0" w:color="auto"/>
                              </w:divBdr>
                              <w:divsChild>
                                <w:div w:id="32717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6599498">
          <w:marLeft w:val="0"/>
          <w:marRight w:val="0"/>
          <w:marTop w:val="0"/>
          <w:marBottom w:val="0"/>
          <w:divBdr>
            <w:top w:val="none" w:sz="0" w:space="0" w:color="auto"/>
            <w:left w:val="none" w:sz="0" w:space="0" w:color="auto"/>
            <w:bottom w:val="none" w:sz="0" w:space="0" w:color="auto"/>
            <w:right w:val="none" w:sz="0" w:space="0" w:color="auto"/>
          </w:divBdr>
          <w:divsChild>
            <w:div w:id="563376636">
              <w:marLeft w:val="0"/>
              <w:marRight w:val="0"/>
              <w:marTop w:val="0"/>
              <w:marBottom w:val="0"/>
              <w:divBdr>
                <w:top w:val="none" w:sz="0" w:space="0" w:color="auto"/>
                <w:left w:val="none" w:sz="0" w:space="0" w:color="auto"/>
                <w:bottom w:val="none" w:sz="0" w:space="0" w:color="auto"/>
                <w:right w:val="none" w:sz="0" w:space="0" w:color="auto"/>
              </w:divBdr>
              <w:divsChild>
                <w:div w:id="1079905468">
                  <w:marLeft w:val="0"/>
                  <w:marRight w:val="0"/>
                  <w:marTop w:val="0"/>
                  <w:marBottom w:val="0"/>
                  <w:divBdr>
                    <w:top w:val="none" w:sz="0" w:space="0" w:color="auto"/>
                    <w:left w:val="none" w:sz="0" w:space="0" w:color="auto"/>
                    <w:bottom w:val="none" w:sz="0" w:space="0" w:color="auto"/>
                    <w:right w:val="none" w:sz="0" w:space="0" w:color="auto"/>
                  </w:divBdr>
                  <w:divsChild>
                    <w:div w:id="851451311">
                      <w:marLeft w:val="0"/>
                      <w:marRight w:val="0"/>
                      <w:marTop w:val="0"/>
                      <w:marBottom w:val="0"/>
                      <w:divBdr>
                        <w:top w:val="none" w:sz="0" w:space="0" w:color="auto"/>
                        <w:left w:val="none" w:sz="0" w:space="0" w:color="auto"/>
                        <w:bottom w:val="none" w:sz="0" w:space="0" w:color="auto"/>
                        <w:right w:val="none" w:sz="0" w:space="0" w:color="auto"/>
                      </w:divBdr>
                      <w:divsChild>
                        <w:div w:id="490486002">
                          <w:marLeft w:val="0"/>
                          <w:marRight w:val="0"/>
                          <w:marTop w:val="0"/>
                          <w:marBottom w:val="0"/>
                          <w:divBdr>
                            <w:top w:val="none" w:sz="0" w:space="0" w:color="auto"/>
                            <w:left w:val="none" w:sz="0" w:space="0" w:color="auto"/>
                            <w:bottom w:val="none" w:sz="0" w:space="0" w:color="auto"/>
                            <w:right w:val="none" w:sz="0" w:space="0" w:color="auto"/>
                          </w:divBdr>
                          <w:divsChild>
                            <w:div w:id="493841576">
                              <w:marLeft w:val="0"/>
                              <w:marRight w:val="0"/>
                              <w:marTop w:val="0"/>
                              <w:marBottom w:val="0"/>
                              <w:divBdr>
                                <w:top w:val="none" w:sz="0" w:space="0" w:color="auto"/>
                                <w:left w:val="none" w:sz="0" w:space="0" w:color="auto"/>
                                <w:bottom w:val="none" w:sz="0" w:space="0" w:color="auto"/>
                                <w:right w:val="none" w:sz="0" w:space="0" w:color="auto"/>
                              </w:divBdr>
                              <w:divsChild>
                                <w:div w:id="6685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7097723">
          <w:marLeft w:val="0"/>
          <w:marRight w:val="0"/>
          <w:marTop w:val="0"/>
          <w:marBottom w:val="0"/>
          <w:divBdr>
            <w:top w:val="none" w:sz="0" w:space="0" w:color="auto"/>
            <w:left w:val="none" w:sz="0" w:space="0" w:color="auto"/>
            <w:bottom w:val="none" w:sz="0" w:space="0" w:color="auto"/>
            <w:right w:val="none" w:sz="0" w:space="0" w:color="auto"/>
          </w:divBdr>
          <w:divsChild>
            <w:div w:id="1992102289">
              <w:marLeft w:val="0"/>
              <w:marRight w:val="0"/>
              <w:marTop w:val="0"/>
              <w:marBottom w:val="0"/>
              <w:divBdr>
                <w:top w:val="none" w:sz="0" w:space="0" w:color="auto"/>
                <w:left w:val="none" w:sz="0" w:space="0" w:color="auto"/>
                <w:bottom w:val="none" w:sz="0" w:space="0" w:color="auto"/>
                <w:right w:val="none" w:sz="0" w:space="0" w:color="auto"/>
              </w:divBdr>
            </w:div>
          </w:divsChild>
        </w:div>
        <w:div w:id="2060669669">
          <w:marLeft w:val="0"/>
          <w:marRight w:val="0"/>
          <w:marTop w:val="0"/>
          <w:marBottom w:val="0"/>
          <w:divBdr>
            <w:top w:val="none" w:sz="0" w:space="0" w:color="auto"/>
            <w:left w:val="none" w:sz="0" w:space="0" w:color="auto"/>
            <w:bottom w:val="none" w:sz="0" w:space="0" w:color="auto"/>
            <w:right w:val="none" w:sz="0" w:space="0" w:color="auto"/>
          </w:divBdr>
          <w:divsChild>
            <w:div w:id="909996360">
              <w:marLeft w:val="0"/>
              <w:marRight w:val="0"/>
              <w:marTop w:val="0"/>
              <w:marBottom w:val="0"/>
              <w:divBdr>
                <w:top w:val="none" w:sz="0" w:space="0" w:color="auto"/>
                <w:left w:val="none" w:sz="0" w:space="0" w:color="auto"/>
                <w:bottom w:val="none" w:sz="0" w:space="0" w:color="auto"/>
                <w:right w:val="none" w:sz="0" w:space="0" w:color="auto"/>
              </w:divBdr>
              <w:divsChild>
                <w:div w:id="109432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165681">
      <w:bodyDiv w:val="1"/>
      <w:marLeft w:val="0"/>
      <w:marRight w:val="0"/>
      <w:marTop w:val="0"/>
      <w:marBottom w:val="0"/>
      <w:divBdr>
        <w:top w:val="none" w:sz="0" w:space="0" w:color="auto"/>
        <w:left w:val="none" w:sz="0" w:space="0" w:color="auto"/>
        <w:bottom w:val="none" w:sz="0" w:space="0" w:color="auto"/>
        <w:right w:val="none" w:sz="0" w:space="0" w:color="auto"/>
      </w:divBdr>
    </w:div>
    <w:div w:id="1007169866">
      <w:bodyDiv w:val="1"/>
      <w:marLeft w:val="0"/>
      <w:marRight w:val="0"/>
      <w:marTop w:val="0"/>
      <w:marBottom w:val="0"/>
      <w:divBdr>
        <w:top w:val="none" w:sz="0" w:space="0" w:color="auto"/>
        <w:left w:val="none" w:sz="0" w:space="0" w:color="auto"/>
        <w:bottom w:val="none" w:sz="0" w:space="0" w:color="auto"/>
        <w:right w:val="none" w:sz="0" w:space="0" w:color="auto"/>
      </w:divBdr>
    </w:div>
    <w:div w:id="1038697542">
      <w:bodyDiv w:val="1"/>
      <w:marLeft w:val="0"/>
      <w:marRight w:val="0"/>
      <w:marTop w:val="0"/>
      <w:marBottom w:val="0"/>
      <w:divBdr>
        <w:top w:val="none" w:sz="0" w:space="0" w:color="auto"/>
        <w:left w:val="none" w:sz="0" w:space="0" w:color="auto"/>
        <w:bottom w:val="none" w:sz="0" w:space="0" w:color="auto"/>
        <w:right w:val="none" w:sz="0" w:space="0" w:color="auto"/>
      </w:divBdr>
    </w:div>
    <w:div w:id="1079181369">
      <w:bodyDiv w:val="1"/>
      <w:marLeft w:val="0"/>
      <w:marRight w:val="0"/>
      <w:marTop w:val="0"/>
      <w:marBottom w:val="0"/>
      <w:divBdr>
        <w:top w:val="none" w:sz="0" w:space="0" w:color="auto"/>
        <w:left w:val="none" w:sz="0" w:space="0" w:color="auto"/>
        <w:bottom w:val="none" w:sz="0" w:space="0" w:color="auto"/>
        <w:right w:val="none" w:sz="0" w:space="0" w:color="auto"/>
      </w:divBdr>
    </w:div>
    <w:div w:id="1086850643">
      <w:bodyDiv w:val="1"/>
      <w:marLeft w:val="0"/>
      <w:marRight w:val="0"/>
      <w:marTop w:val="0"/>
      <w:marBottom w:val="0"/>
      <w:divBdr>
        <w:top w:val="none" w:sz="0" w:space="0" w:color="auto"/>
        <w:left w:val="none" w:sz="0" w:space="0" w:color="auto"/>
        <w:bottom w:val="none" w:sz="0" w:space="0" w:color="auto"/>
        <w:right w:val="none" w:sz="0" w:space="0" w:color="auto"/>
      </w:divBdr>
    </w:div>
    <w:div w:id="1144350451">
      <w:bodyDiv w:val="1"/>
      <w:marLeft w:val="0"/>
      <w:marRight w:val="0"/>
      <w:marTop w:val="0"/>
      <w:marBottom w:val="0"/>
      <w:divBdr>
        <w:top w:val="none" w:sz="0" w:space="0" w:color="auto"/>
        <w:left w:val="none" w:sz="0" w:space="0" w:color="auto"/>
        <w:bottom w:val="none" w:sz="0" w:space="0" w:color="auto"/>
        <w:right w:val="none" w:sz="0" w:space="0" w:color="auto"/>
      </w:divBdr>
    </w:div>
    <w:div w:id="1164590183">
      <w:bodyDiv w:val="1"/>
      <w:marLeft w:val="0"/>
      <w:marRight w:val="0"/>
      <w:marTop w:val="0"/>
      <w:marBottom w:val="0"/>
      <w:divBdr>
        <w:top w:val="none" w:sz="0" w:space="0" w:color="auto"/>
        <w:left w:val="none" w:sz="0" w:space="0" w:color="auto"/>
        <w:bottom w:val="none" w:sz="0" w:space="0" w:color="auto"/>
        <w:right w:val="none" w:sz="0" w:space="0" w:color="auto"/>
      </w:divBdr>
    </w:div>
    <w:div w:id="1166169263">
      <w:bodyDiv w:val="1"/>
      <w:marLeft w:val="0"/>
      <w:marRight w:val="0"/>
      <w:marTop w:val="0"/>
      <w:marBottom w:val="0"/>
      <w:divBdr>
        <w:top w:val="none" w:sz="0" w:space="0" w:color="auto"/>
        <w:left w:val="none" w:sz="0" w:space="0" w:color="auto"/>
        <w:bottom w:val="none" w:sz="0" w:space="0" w:color="auto"/>
        <w:right w:val="none" w:sz="0" w:space="0" w:color="auto"/>
      </w:divBdr>
    </w:div>
    <w:div w:id="1195340341">
      <w:bodyDiv w:val="1"/>
      <w:marLeft w:val="0"/>
      <w:marRight w:val="0"/>
      <w:marTop w:val="0"/>
      <w:marBottom w:val="0"/>
      <w:divBdr>
        <w:top w:val="none" w:sz="0" w:space="0" w:color="auto"/>
        <w:left w:val="none" w:sz="0" w:space="0" w:color="auto"/>
        <w:bottom w:val="none" w:sz="0" w:space="0" w:color="auto"/>
        <w:right w:val="none" w:sz="0" w:space="0" w:color="auto"/>
      </w:divBdr>
    </w:div>
    <w:div w:id="1232275039">
      <w:bodyDiv w:val="1"/>
      <w:marLeft w:val="0"/>
      <w:marRight w:val="0"/>
      <w:marTop w:val="0"/>
      <w:marBottom w:val="0"/>
      <w:divBdr>
        <w:top w:val="none" w:sz="0" w:space="0" w:color="auto"/>
        <w:left w:val="none" w:sz="0" w:space="0" w:color="auto"/>
        <w:bottom w:val="none" w:sz="0" w:space="0" w:color="auto"/>
        <w:right w:val="none" w:sz="0" w:space="0" w:color="auto"/>
      </w:divBdr>
    </w:div>
    <w:div w:id="1261571781">
      <w:bodyDiv w:val="1"/>
      <w:marLeft w:val="0"/>
      <w:marRight w:val="0"/>
      <w:marTop w:val="0"/>
      <w:marBottom w:val="0"/>
      <w:divBdr>
        <w:top w:val="none" w:sz="0" w:space="0" w:color="auto"/>
        <w:left w:val="none" w:sz="0" w:space="0" w:color="auto"/>
        <w:bottom w:val="none" w:sz="0" w:space="0" w:color="auto"/>
        <w:right w:val="none" w:sz="0" w:space="0" w:color="auto"/>
      </w:divBdr>
    </w:div>
    <w:div w:id="1278876356">
      <w:bodyDiv w:val="1"/>
      <w:marLeft w:val="0"/>
      <w:marRight w:val="0"/>
      <w:marTop w:val="0"/>
      <w:marBottom w:val="0"/>
      <w:divBdr>
        <w:top w:val="none" w:sz="0" w:space="0" w:color="auto"/>
        <w:left w:val="none" w:sz="0" w:space="0" w:color="auto"/>
        <w:bottom w:val="none" w:sz="0" w:space="0" w:color="auto"/>
        <w:right w:val="none" w:sz="0" w:space="0" w:color="auto"/>
      </w:divBdr>
    </w:div>
    <w:div w:id="1288972388">
      <w:bodyDiv w:val="1"/>
      <w:marLeft w:val="0"/>
      <w:marRight w:val="0"/>
      <w:marTop w:val="0"/>
      <w:marBottom w:val="0"/>
      <w:divBdr>
        <w:top w:val="none" w:sz="0" w:space="0" w:color="auto"/>
        <w:left w:val="none" w:sz="0" w:space="0" w:color="auto"/>
        <w:bottom w:val="none" w:sz="0" w:space="0" w:color="auto"/>
        <w:right w:val="none" w:sz="0" w:space="0" w:color="auto"/>
      </w:divBdr>
    </w:div>
    <w:div w:id="1290473109">
      <w:bodyDiv w:val="1"/>
      <w:marLeft w:val="0"/>
      <w:marRight w:val="0"/>
      <w:marTop w:val="0"/>
      <w:marBottom w:val="0"/>
      <w:divBdr>
        <w:top w:val="none" w:sz="0" w:space="0" w:color="auto"/>
        <w:left w:val="none" w:sz="0" w:space="0" w:color="auto"/>
        <w:bottom w:val="none" w:sz="0" w:space="0" w:color="auto"/>
        <w:right w:val="none" w:sz="0" w:space="0" w:color="auto"/>
      </w:divBdr>
    </w:div>
    <w:div w:id="1291321446">
      <w:bodyDiv w:val="1"/>
      <w:marLeft w:val="0"/>
      <w:marRight w:val="0"/>
      <w:marTop w:val="0"/>
      <w:marBottom w:val="0"/>
      <w:divBdr>
        <w:top w:val="none" w:sz="0" w:space="0" w:color="auto"/>
        <w:left w:val="none" w:sz="0" w:space="0" w:color="auto"/>
        <w:bottom w:val="none" w:sz="0" w:space="0" w:color="auto"/>
        <w:right w:val="none" w:sz="0" w:space="0" w:color="auto"/>
      </w:divBdr>
    </w:div>
    <w:div w:id="1298802480">
      <w:bodyDiv w:val="1"/>
      <w:marLeft w:val="0"/>
      <w:marRight w:val="0"/>
      <w:marTop w:val="0"/>
      <w:marBottom w:val="0"/>
      <w:divBdr>
        <w:top w:val="none" w:sz="0" w:space="0" w:color="auto"/>
        <w:left w:val="none" w:sz="0" w:space="0" w:color="auto"/>
        <w:bottom w:val="none" w:sz="0" w:space="0" w:color="auto"/>
        <w:right w:val="none" w:sz="0" w:space="0" w:color="auto"/>
      </w:divBdr>
    </w:div>
    <w:div w:id="1352874224">
      <w:bodyDiv w:val="1"/>
      <w:marLeft w:val="0"/>
      <w:marRight w:val="0"/>
      <w:marTop w:val="0"/>
      <w:marBottom w:val="0"/>
      <w:divBdr>
        <w:top w:val="none" w:sz="0" w:space="0" w:color="auto"/>
        <w:left w:val="none" w:sz="0" w:space="0" w:color="auto"/>
        <w:bottom w:val="none" w:sz="0" w:space="0" w:color="auto"/>
        <w:right w:val="none" w:sz="0" w:space="0" w:color="auto"/>
      </w:divBdr>
    </w:div>
    <w:div w:id="1368993485">
      <w:bodyDiv w:val="1"/>
      <w:marLeft w:val="0"/>
      <w:marRight w:val="0"/>
      <w:marTop w:val="0"/>
      <w:marBottom w:val="0"/>
      <w:divBdr>
        <w:top w:val="none" w:sz="0" w:space="0" w:color="auto"/>
        <w:left w:val="none" w:sz="0" w:space="0" w:color="auto"/>
        <w:bottom w:val="none" w:sz="0" w:space="0" w:color="auto"/>
        <w:right w:val="none" w:sz="0" w:space="0" w:color="auto"/>
      </w:divBdr>
    </w:div>
    <w:div w:id="1423913790">
      <w:bodyDiv w:val="1"/>
      <w:marLeft w:val="0"/>
      <w:marRight w:val="0"/>
      <w:marTop w:val="0"/>
      <w:marBottom w:val="0"/>
      <w:divBdr>
        <w:top w:val="none" w:sz="0" w:space="0" w:color="auto"/>
        <w:left w:val="none" w:sz="0" w:space="0" w:color="auto"/>
        <w:bottom w:val="none" w:sz="0" w:space="0" w:color="auto"/>
        <w:right w:val="none" w:sz="0" w:space="0" w:color="auto"/>
      </w:divBdr>
    </w:div>
    <w:div w:id="1496728238">
      <w:bodyDiv w:val="1"/>
      <w:marLeft w:val="0"/>
      <w:marRight w:val="0"/>
      <w:marTop w:val="0"/>
      <w:marBottom w:val="0"/>
      <w:divBdr>
        <w:top w:val="none" w:sz="0" w:space="0" w:color="auto"/>
        <w:left w:val="none" w:sz="0" w:space="0" w:color="auto"/>
        <w:bottom w:val="none" w:sz="0" w:space="0" w:color="auto"/>
        <w:right w:val="none" w:sz="0" w:space="0" w:color="auto"/>
      </w:divBdr>
    </w:div>
    <w:div w:id="1646858400">
      <w:bodyDiv w:val="1"/>
      <w:marLeft w:val="0"/>
      <w:marRight w:val="0"/>
      <w:marTop w:val="0"/>
      <w:marBottom w:val="0"/>
      <w:divBdr>
        <w:top w:val="none" w:sz="0" w:space="0" w:color="auto"/>
        <w:left w:val="none" w:sz="0" w:space="0" w:color="auto"/>
        <w:bottom w:val="none" w:sz="0" w:space="0" w:color="auto"/>
        <w:right w:val="none" w:sz="0" w:space="0" w:color="auto"/>
      </w:divBdr>
    </w:div>
    <w:div w:id="1654603996">
      <w:bodyDiv w:val="1"/>
      <w:marLeft w:val="0"/>
      <w:marRight w:val="0"/>
      <w:marTop w:val="0"/>
      <w:marBottom w:val="0"/>
      <w:divBdr>
        <w:top w:val="none" w:sz="0" w:space="0" w:color="auto"/>
        <w:left w:val="none" w:sz="0" w:space="0" w:color="auto"/>
        <w:bottom w:val="none" w:sz="0" w:space="0" w:color="auto"/>
        <w:right w:val="none" w:sz="0" w:space="0" w:color="auto"/>
      </w:divBdr>
    </w:div>
    <w:div w:id="1678969534">
      <w:bodyDiv w:val="1"/>
      <w:marLeft w:val="0"/>
      <w:marRight w:val="0"/>
      <w:marTop w:val="0"/>
      <w:marBottom w:val="0"/>
      <w:divBdr>
        <w:top w:val="none" w:sz="0" w:space="0" w:color="auto"/>
        <w:left w:val="none" w:sz="0" w:space="0" w:color="auto"/>
        <w:bottom w:val="none" w:sz="0" w:space="0" w:color="auto"/>
        <w:right w:val="none" w:sz="0" w:space="0" w:color="auto"/>
      </w:divBdr>
    </w:div>
    <w:div w:id="1679578841">
      <w:bodyDiv w:val="1"/>
      <w:marLeft w:val="0"/>
      <w:marRight w:val="0"/>
      <w:marTop w:val="0"/>
      <w:marBottom w:val="0"/>
      <w:divBdr>
        <w:top w:val="none" w:sz="0" w:space="0" w:color="auto"/>
        <w:left w:val="none" w:sz="0" w:space="0" w:color="auto"/>
        <w:bottom w:val="none" w:sz="0" w:space="0" w:color="auto"/>
        <w:right w:val="none" w:sz="0" w:space="0" w:color="auto"/>
      </w:divBdr>
    </w:div>
    <w:div w:id="1706976360">
      <w:bodyDiv w:val="1"/>
      <w:marLeft w:val="0"/>
      <w:marRight w:val="0"/>
      <w:marTop w:val="0"/>
      <w:marBottom w:val="0"/>
      <w:divBdr>
        <w:top w:val="none" w:sz="0" w:space="0" w:color="auto"/>
        <w:left w:val="none" w:sz="0" w:space="0" w:color="auto"/>
        <w:bottom w:val="none" w:sz="0" w:space="0" w:color="auto"/>
        <w:right w:val="none" w:sz="0" w:space="0" w:color="auto"/>
      </w:divBdr>
    </w:div>
    <w:div w:id="1772895288">
      <w:bodyDiv w:val="1"/>
      <w:marLeft w:val="0"/>
      <w:marRight w:val="0"/>
      <w:marTop w:val="0"/>
      <w:marBottom w:val="0"/>
      <w:divBdr>
        <w:top w:val="none" w:sz="0" w:space="0" w:color="auto"/>
        <w:left w:val="none" w:sz="0" w:space="0" w:color="auto"/>
        <w:bottom w:val="none" w:sz="0" w:space="0" w:color="auto"/>
        <w:right w:val="none" w:sz="0" w:space="0" w:color="auto"/>
      </w:divBdr>
    </w:div>
    <w:div w:id="1780711250">
      <w:bodyDiv w:val="1"/>
      <w:marLeft w:val="0"/>
      <w:marRight w:val="0"/>
      <w:marTop w:val="0"/>
      <w:marBottom w:val="0"/>
      <w:divBdr>
        <w:top w:val="none" w:sz="0" w:space="0" w:color="auto"/>
        <w:left w:val="none" w:sz="0" w:space="0" w:color="auto"/>
        <w:bottom w:val="none" w:sz="0" w:space="0" w:color="auto"/>
        <w:right w:val="none" w:sz="0" w:space="0" w:color="auto"/>
      </w:divBdr>
    </w:div>
    <w:div w:id="1784763934">
      <w:bodyDiv w:val="1"/>
      <w:marLeft w:val="0"/>
      <w:marRight w:val="0"/>
      <w:marTop w:val="0"/>
      <w:marBottom w:val="0"/>
      <w:divBdr>
        <w:top w:val="none" w:sz="0" w:space="0" w:color="auto"/>
        <w:left w:val="none" w:sz="0" w:space="0" w:color="auto"/>
        <w:bottom w:val="none" w:sz="0" w:space="0" w:color="auto"/>
        <w:right w:val="none" w:sz="0" w:space="0" w:color="auto"/>
      </w:divBdr>
    </w:div>
    <w:div w:id="1810901344">
      <w:bodyDiv w:val="1"/>
      <w:marLeft w:val="0"/>
      <w:marRight w:val="0"/>
      <w:marTop w:val="0"/>
      <w:marBottom w:val="0"/>
      <w:divBdr>
        <w:top w:val="none" w:sz="0" w:space="0" w:color="auto"/>
        <w:left w:val="none" w:sz="0" w:space="0" w:color="auto"/>
        <w:bottom w:val="none" w:sz="0" w:space="0" w:color="auto"/>
        <w:right w:val="none" w:sz="0" w:space="0" w:color="auto"/>
      </w:divBdr>
    </w:div>
    <w:div w:id="1814056167">
      <w:bodyDiv w:val="1"/>
      <w:marLeft w:val="0"/>
      <w:marRight w:val="0"/>
      <w:marTop w:val="0"/>
      <w:marBottom w:val="0"/>
      <w:divBdr>
        <w:top w:val="none" w:sz="0" w:space="0" w:color="auto"/>
        <w:left w:val="none" w:sz="0" w:space="0" w:color="auto"/>
        <w:bottom w:val="none" w:sz="0" w:space="0" w:color="auto"/>
        <w:right w:val="none" w:sz="0" w:space="0" w:color="auto"/>
      </w:divBdr>
    </w:div>
    <w:div w:id="1827817277">
      <w:bodyDiv w:val="1"/>
      <w:marLeft w:val="0"/>
      <w:marRight w:val="0"/>
      <w:marTop w:val="0"/>
      <w:marBottom w:val="0"/>
      <w:divBdr>
        <w:top w:val="none" w:sz="0" w:space="0" w:color="auto"/>
        <w:left w:val="none" w:sz="0" w:space="0" w:color="auto"/>
        <w:bottom w:val="none" w:sz="0" w:space="0" w:color="auto"/>
        <w:right w:val="none" w:sz="0" w:space="0" w:color="auto"/>
      </w:divBdr>
    </w:div>
    <w:div w:id="1874271234">
      <w:bodyDiv w:val="1"/>
      <w:marLeft w:val="0"/>
      <w:marRight w:val="0"/>
      <w:marTop w:val="0"/>
      <w:marBottom w:val="0"/>
      <w:divBdr>
        <w:top w:val="none" w:sz="0" w:space="0" w:color="auto"/>
        <w:left w:val="none" w:sz="0" w:space="0" w:color="auto"/>
        <w:bottom w:val="none" w:sz="0" w:space="0" w:color="auto"/>
        <w:right w:val="none" w:sz="0" w:space="0" w:color="auto"/>
      </w:divBdr>
    </w:div>
    <w:div w:id="1891844332">
      <w:bodyDiv w:val="1"/>
      <w:marLeft w:val="0"/>
      <w:marRight w:val="0"/>
      <w:marTop w:val="0"/>
      <w:marBottom w:val="0"/>
      <w:divBdr>
        <w:top w:val="none" w:sz="0" w:space="0" w:color="auto"/>
        <w:left w:val="none" w:sz="0" w:space="0" w:color="auto"/>
        <w:bottom w:val="none" w:sz="0" w:space="0" w:color="auto"/>
        <w:right w:val="none" w:sz="0" w:space="0" w:color="auto"/>
      </w:divBdr>
    </w:div>
    <w:div w:id="1897206186">
      <w:bodyDiv w:val="1"/>
      <w:marLeft w:val="0"/>
      <w:marRight w:val="0"/>
      <w:marTop w:val="0"/>
      <w:marBottom w:val="0"/>
      <w:divBdr>
        <w:top w:val="none" w:sz="0" w:space="0" w:color="auto"/>
        <w:left w:val="none" w:sz="0" w:space="0" w:color="auto"/>
        <w:bottom w:val="none" w:sz="0" w:space="0" w:color="auto"/>
        <w:right w:val="none" w:sz="0" w:space="0" w:color="auto"/>
      </w:divBdr>
    </w:div>
    <w:div w:id="1987709615">
      <w:bodyDiv w:val="1"/>
      <w:marLeft w:val="0"/>
      <w:marRight w:val="0"/>
      <w:marTop w:val="0"/>
      <w:marBottom w:val="0"/>
      <w:divBdr>
        <w:top w:val="none" w:sz="0" w:space="0" w:color="auto"/>
        <w:left w:val="none" w:sz="0" w:space="0" w:color="auto"/>
        <w:bottom w:val="none" w:sz="0" w:space="0" w:color="auto"/>
        <w:right w:val="none" w:sz="0" w:space="0" w:color="auto"/>
      </w:divBdr>
    </w:div>
    <w:div w:id="1989087738">
      <w:bodyDiv w:val="1"/>
      <w:marLeft w:val="0"/>
      <w:marRight w:val="0"/>
      <w:marTop w:val="0"/>
      <w:marBottom w:val="0"/>
      <w:divBdr>
        <w:top w:val="none" w:sz="0" w:space="0" w:color="auto"/>
        <w:left w:val="none" w:sz="0" w:space="0" w:color="auto"/>
        <w:bottom w:val="none" w:sz="0" w:space="0" w:color="auto"/>
        <w:right w:val="none" w:sz="0" w:space="0" w:color="auto"/>
      </w:divBdr>
    </w:div>
    <w:div w:id="2030987758">
      <w:bodyDiv w:val="1"/>
      <w:marLeft w:val="0"/>
      <w:marRight w:val="0"/>
      <w:marTop w:val="0"/>
      <w:marBottom w:val="0"/>
      <w:divBdr>
        <w:top w:val="none" w:sz="0" w:space="0" w:color="auto"/>
        <w:left w:val="none" w:sz="0" w:space="0" w:color="auto"/>
        <w:bottom w:val="none" w:sz="0" w:space="0" w:color="auto"/>
        <w:right w:val="none" w:sz="0" w:space="0" w:color="auto"/>
      </w:divBdr>
    </w:div>
    <w:div w:id="2035379458">
      <w:bodyDiv w:val="1"/>
      <w:marLeft w:val="0"/>
      <w:marRight w:val="0"/>
      <w:marTop w:val="0"/>
      <w:marBottom w:val="0"/>
      <w:divBdr>
        <w:top w:val="none" w:sz="0" w:space="0" w:color="auto"/>
        <w:left w:val="none" w:sz="0" w:space="0" w:color="auto"/>
        <w:bottom w:val="none" w:sz="0" w:space="0" w:color="auto"/>
        <w:right w:val="none" w:sz="0" w:space="0" w:color="auto"/>
      </w:divBdr>
    </w:div>
    <w:div w:id="206552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ahj.2012.08.020?utm_source=copilot.com" TargetMode="External"/><Relationship Id="rId21" Type="http://schemas.openxmlformats.org/officeDocument/2006/relationships/hyperlink" Target="https://doi.org/10.1136/jech-2020-214401?utm_source=copilot.com" TargetMode="External"/><Relationship Id="rId42" Type="http://schemas.openxmlformats.org/officeDocument/2006/relationships/hyperlink" Target="https://doi.org/10.1146/annurev-publhealth-031811-124534?utm_source=copilot.com" TargetMode="External"/><Relationship Id="rId47" Type="http://schemas.openxmlformats.org/officeDocument/2006/relationships/hyperlink" Target="https://doi.org/10.1136/openhrt-2017-000764?utm_source=copilot.com" TargetMode="External"/><Relationship Id="rId63" Type="http://schemas.openxmlformats.org/officeDocument/2006/relationships/hyperlink" Target="https://doi.org/10.1016/j.cjca.2018.06.016?utm_source=copilot.com" TargetMode="External"/><Relationship Id="rId68" Type="http://schemas.openxmlformats.org/officeDocument/2006/relationships/hyperlink" Target="https://www.health.org.uk/publications/reports/the-marmot-review-10-years-on?utm_source=copilot.com" TargetMode="External"/><Relationship Id="rId84" Type="http://schemas.openxmlformats.org/officeDocument/2006/relationships/hyperlink" Target="https://doi.org/10.1002/9781119536604.ch22?utm_source=copilot.com" TargetMode="External"/><Relationship Id="rId89" Type="http://schemas.openxmlformats.org/officeDocument/2006/relationships/hyperlink" Target="https://doi.org/10.1016/j.jacc.2020.11.010?utm_source=copilot.com" TargetMode="External"/><Relationship Id="rId112" Type="http://schemas.openxmlformats.org/officeDocument/2006/relationships/fontTable" Target="fontTable.xml"/><Relationship Id="rId16" Type="http://schemas.openxmlformats.org/officeDocument/2006/relationships/hyperlink" Target="https://doi.org/10.1002/14651858.CD001800.pub3?utm_source=copilot.com" TargetMode="External"/><Relationship Id="rId107" Type="http://schemas.openxmlformats.org/officeDocument/2006/relationships/header" Target="header2.xml"/><Relationship Id="rId11" Type="http://schemas.openxmlformats.org/officeDocument/2006/relationships/customXml" Target="ink/ink3.xml"/><Relationship Id="rId32" Type="http://schemas.openxmlformats.org/officeDocument/2006/relationships/hyperlink" Target="https://casp-uk.net/casp-tools-checklists?utm_source=copilot.com" TargetMode="External"/><Relationship Id="rId37" Type="http://schemas.openxmlformats.org/officeDocument/2006/relationships/hyperlink" Target="https://doi.org/10.1056/NEJMra1308295?utm_source=copilot.com" TargetMode="External"/><Relationship Id="rId53" Type="http://schemas.openxmlformats.org/officeDocument/2006/relationships/hyperlink" Target="https://doi.org/10.1161/CIRCRESAHA.118.313429?utm_source=copilot.com" TargetMode="External"/><Relationship Id="rId58" Type="http://schemas.openxmlformats.org/officeDocument/2006/relationships/hyperlink" Target="https://doi.org/10.1002/14651858.CD001800.pub2?utm_source=copilot.com" TargetMode="External"/><Relationship Id="rId74" Type="http://schemas.openxmlformats.org/officeDocument/2006/relationships/hyperlink" Target="https://doi.org/10.1177/2047487319871713?utm_source=copilot.com" TargetMode="External"/><Relationship Id="rId79" Type="http://schemas.openxmlformats.org/officeDocument/2006/relationships/hyperlink" Target="https://doi.org/10.1136/bmj.m114?utm_source=copilot.com" TargetMode="External"/><Relationship Id="rId102" Type="http://schemas.openxmlformats.org/officeDocument/2006/relationships/hyperlink" Target="https://www.who.int/health-topics/social-determinants-of-health?utm_source=copilot.com" TargetMode="External"/><Relationship Id="rId5" Type="http://schemas.openxmlformats.org/officeDocument/2006/relationships/webSettings" Target="webSettings.xml"/><Relationship Id="rId90" Type="http://schemas.openxmlformats.org/officeDocument/2006/relationships/hyperlink" Target="https://doi.org/10.1136/eb-2015-102309?utm_source=copilot.com" TargetMode="External"/><Relationship Id="rId95" Type="http://schemas.openxmlformats.org/officeDocument/2006/relationships/hyperlink" Target="https://doi.org/10.1016/j.jacc.2018.12.072?utm_source=copilot.com" TargetMode="External"/><Relationship Id="rId22" Type="http://schemas.openxmlformats.org/officeDocument/2006/relationships/hyperlink" Target="https://doi.org/10.1177/1090198104263660?utm_source=copilot.com" TargetMode="External"/><Relationship Id="rId27" Type="http://schemas.openxmlformats.org/officeDocument/2006/relationships/hyperlink" Target="https://doi.org/10.1016/j.pec.2016.10.002?utm_source=copilot.com" TargetMode="External"/><Relationship Id="rId43" Type="http://schemas.openxmlformats.org/officeDocument/2006/relationships/hyperlink" Target="https://doi.org/10.1136/heartjnl-2016-309890?utm_source=copilot.com" TargetMode="External"/><Relationship Id="rId48" Type="http://schemas.openxmlformats.org/officeDocument/2006/relationships/hyperlink" Target="https://doi.org/10.1111/jgs.16987?utm_source=copilot.com" TargetMode="External"/><Relationship Id="rId64" Type="http://schemas.openxmlformats.org/officeDocument/2006/relationships/hyperlink" Target="https://doi.org/10.2190/HS.44.4.b?utm_source=copilot.com" TargetMode="External"/><Relationship Id="rId69" Type="http://schemas.openxmlformats.org/officeDocument/2006/relationships/hyperlink" Target="https://doi.org/10.1186/1748-5908-6-42?utm_source=copilot.com" TargetMode="External"/><Relationship Id="rId113" Type="http://schemas.microsoft.com/office/2011/relationships/people" Target="people.xml"/><Relationship Id="rId80" Type="http://schemas.openxmlformats.org/officeDocument/2006/relationships/hyperlink" Target="https://doi.org/10.1002/hec.1275?utm_source=copilot.com" TargetMode="External"/><Relationship Id="rId85" Type="http://schemas.openxmlformats.org/officeDocument/2006/relationships/hyperlink" Target="https://www.lancaster.ac.uk/media/lancaster-university/content-assets/documents/fhm/dhr/chir/NSguidance.pdf?utm_source=copilot.com" TargetMode="External"/><Relationship Id="rId12" Type="http://schemas.openxmlformats.org/officeDocument/2006/relationships/customXml" Target="ink/ink4.xml"/><Relationship Id="rId17" Type="http://schemas.openxmlformats.org/officeDocument/2006/relationships/hyperlink" Target="https://doi.org/10.1002/14651858.CD007130.pub4?utm_source=copilot.com" TargetMode="External"/><Relationship Id="rId33" Type="http://schemas.openxmlformats.org/officeDocument/2006/relationships/hyperlink" Target="https://doi.org/10.1177/2047487320906650?utm_source=copilot.com" TargetMode="External"/><Relationship Id="rId38" Type="http://schemas.openxmlformats.org/officeDocument/2006/relationships/hyperlink" Target="https://doi.org/10.1136/bmj.h5001?utm_source=copilot.com" TargetMode="External"/><Relationship Id="rId59" Type="http://schemas.openxmlformats.org/officeDocument/2006/relationships/hyperlink" Target="https://doi.org/10.3233/EFI-180221?utm_source=copilot.com" TargetMode="External"/><Relationship Id="rId103" Type="http://schemas.openxmlformats.org/officeDocument/2006/relationships/hyperlink" Target="https://www.who.int/europe/publications?utm_source=copilot.com" TargetMode="External"/><Relationship Id="rId108" Type="http://schemas.openxmlformats.org/officeDocument/2006/relationships/footer" Target="footer1.xml"/><Relationship Id="rId54" Type="http://schemas.openxmlformats.org/officeDocument/2006/relationships/hyperlink" Target="https://doi.org/10.1136/bmj.38975.698389.55?utm_source=copilot.com" TargetMode="External"/><Relationship Id="rId70" Type="http://schemas.openxmlformats.org/officeDocument/2006/relationships/hyperlink" Target="https://doi.org/10.1186/2046-4053-4-1?utm_source=copilot.com" TargetMode="External"/><Relationship Id="rId75" Type="http://schemas.openxmlformats.org/officeDocument/2006/relationships/hyperlink" Target="https://www.nice.org.uk/?utm_source=copilot.com" TargetMode="External"/><Relationship Id="rId91" Type="http://schemas.openxmlformats.org/officeDocument/2006/relationships/hyperlink" Target="https://doi.org/10.1146/annurev-publhealth-031816-044420?utm_source=copilot.com" TargetMode="External"/><Relationship Id="rId96" Type="http://schemas.openxmlformats.org/officeDocument/2006/relationships/hyperlink" Target="https://doi.org/10.1093/eurheartj/ehab892?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0749-5978(91)90020-T?utm_source=copilot.com" TargetMode="External"/><Relationship Id="rId23" Type="http://schemas.openxmlformats.org/officeDocument/2006/relationships/hyperlink" Target="https://doi.org/10.1016/j.cjca.2016.07.508?utm_source=copilot.com" TargetMode="External"/><Relationship Id="rId28" Type="http://schemas.openxmlformats.org/officeDocument/2006/relationships/hyperlink" Target="https://doi.org/10.1186/s13643-020-01369-0?utm_source=copilot.com" TargetMode="External"/><Relationship Id="rId36" Type="http://schemas.openxmlformats.org/officeDocument/2006/relationships/hyperlink" Target="https://doi.org/10.1136/heartjnl-2020-318557?utm_source=copilot.com" TargetMode="External"/><Relationship Id="rId49" Type="http://schemas.openxmlformats.org/officeDocument/2006/relationships/hyperlink" Target="https://doi.org/10.1093/pubmed/fdv171?utm_source=copilot.com" TargetMode="External"/><Relationship Id="rId57" Type="http://schemas.openxmlformats.org/officeDocument/2006/relationships/hyperlink" Target="https://doi.org/10.1177/1461444818809727?utm_source=copilot.com" TargetMode="External"/><Relationship Id="rId106" Type="http://schemas.openxmlformats.org/officeDocument/2006/relationships/header" Target="header1.xml"/><Relationship Id="rId114" Type="http://schemas.openxmlformats.org/officeDocument/2006/relationships/theme" Target="theme/theme1.xml"/><Relationship Id="rId10" Type="http://schemas.openxmlformats.org/officeDocument/2006/relationships/customXml" Target="ink/ink2.xml"/><Relationship Id="rId31" Type="http://schemas.openxmlformats.org/officeDocument/2006/relationships/hyperlink" Target="https://doi.org/10.1080/10410236.2015.1057744?utm_source=copilot.com" TargetMode="External"/><Relationship Id="rId44" Type="http://schemas.openxmlformats.org/officeDocument/2006/relationships/hyperlink" Target="https://doi.org/10.1038/nrcardio.2012.191?utm_source=copilot.com" TargetMode="External"/><Relationship Id="rId52" Type="http://schemas.openxmlformats.org/officeDocument/2006/relationships/hyperlink" Target="https://doi.org/10.1136/bmj.m193?utm_source=copilot.com" TargetMode="External"/><Relationship Id="rId60" Type="http://schemas.openxmlformats.org/officeDocument/2006/relationships/hyperlink" Target="https://doi.org/10.1016/j.hlc.2019.10.007?utm_source=copilot.com" TargetMode="External"/><Relationship Id="rId65" Type="http://schemas.openxmlformats.org/officeDocument/2006/relationships/hyperlink" Target="https://doi.org/10.1038/s41586-021-03392-8?utm_source=copilot.com" TargetMode="External"/><Relationship Id="rId73" Type="http://schemas.openxmlformats.org/officeDocument/2006/relationships/hyperlink" Target="https://doi.org/10.1111/1467-9566.12662?utm_source=copilot.com" TargetMode="External"/><Relationship Id="rId78" Type="http://schemas.openxmlformats.org/officeDocument/2006/relationships/hyperlink" Target="https://doi.org/10.1002/9781119536604.ch21?utm_source=copilot.com" TargetMode="External"/><Relationship Id="rId81" Type="http://schemas.openxmlformats.org/officeDocument/2006/relationships/hyperlink" Target="https://doi.org/10.1016/j.hlc.2014.04.001?utm_source=copilot.com" TargetMode="External"/><Relationship Id="rId86" Type="http://schemas.openxmlformats.org/officeDocument/2006/relationships/hyperlink" Target="https://www.gov.uk/government/publications/health-profile-for-england-2020?utm_source=copilot.com" TargetMode="External"/><Relationship Id="rId94" Type="http://schemas.openxmlformats.org/officeDocument/2006/relationships/hyperlink" Target="https://doi.org/10.1371/journal.pone.0177658?utm_source=copilot.com" TargetMode="External"/><Relationship Id="rId99" Type="http://schemas.openxmlformats.org/officeDocument/2006/relationships/hyperlink" Target="https://doi.org/10.1002/9781119536604.ch16?utm_source=copilot.com" TargetMode="External"/><Relationship Id="rId101" Type="http://schemas.openxmlformats.org/officeDocument/2006/relationships/hyperlink" Target="https://www.who.int/news-room/fact-sheets/detail/cardiovascular-diseases-(cvds)?utm_source=copilot.com" TargetMode="Externa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image" Target="media/image2.jpeg"/><Relationship Id="rId18" Type="http://schemas.openxmlformats.org/officeDocument/2006/relationships/hyperlink" Target="https://doi.org/10.1002/14651858.CD011273.pub2?utm_source=copilot.com" TargetMode="External"/><Relationship Id="rId39" Type="http://schemas.openxmlformats.org/officeDocument/2006/relationships/hyperlink" Target="https://doi.org/10.1136/bmjopen-2018-026039?utm_source=copilot.com" TargetMode="External"/><Relationship Id="rId109" Type="http://schemas.openxmlformats.org/officeDocument/2006/relationships/footer" Target="footer2.xml"/><Relationship Id="rId34" Type="http://schemas.openxmlformats.org/officeDocument/2006/relationships/hyperlink" Target="https://doi.org/10.1177/1474515113479232?utm_source=copilot.com" TargetMode="External"/><Relationship Id="rId50" Type="http://schemas.openxmlformats.org/officeDocument/2006/relationships/hyperlink" Target="https://doi.org/10.1111/j.1471-1842.2009.00848.x?utm_source=copilot.com" TargetMode="External"/><Relationship Id="rId55" Type="http://schemas.openxmlformats.org/officeDocument/2006/relationships/hyperlink" Target="https://doi.org/10.1016/S2589-7500(21)00064-9?utm_source=copilot.com" TargetMode="External"/><Relationship Id="rId76" Type="http://schemas.openxmlformats.org/officeDocument/2006/relationships/hyperlink" Target="https://www.nice.org.uk/?utm_source=copilot.com" TargetMode="External"/><Relationship Id="rId97" Type="http://schemas.openxmlformats.org/officeDocument/2006/relationships/hyperlink" Target="https://doi.org/10.7326/M18-0850?utm_source=copilot.com" TargetMode="External"/><Relationship Id="rId104" Type="http://schemas.openxmlformats.org/officeDocument/2006/relationships/hyperlink" Target="https://www.who.int/news-room/fact-sheets/detail/ageing-and-health?utm_source=copilot.com" TargetMode="External"/><Relationship Id="rId7" Type="http://schemas.openxmlformats.org/officeDocument/2006/relationships/endnotes" Target="endnotes.xml"/><Relationship Id="rId71" Type="http://schemas.openxmlformats.org/officeDocument/2006/relationships/hyperlink" Target="https://doi.org/10.1186/s12874-018-0611-x?utm_source=copilot.com" TargetMode="External"/><Relationship Id="rId92" Type="http://schemas.openxmlformats.org/officeDocument/2006/relationships/hyperlink" Target="https://doi.org/10.1016/j.jbusres.2019.07.039?utm_source=copilot.com" TargetMode="External"/><Relationship Id="rId2" Type="http://schemas.openxmlformats.org/officeDocument/2006/relationships/numbering" Target="numbering.xml"/><Relationship Id="rId29" Type="http://schemas.openxmlformats.org/officeDocument/2006/relationships/hyperlink" Target="https://doi.org/10.1177/00333549141291S206?utm_source=copilot.com" TargetMode="External"/><Relationship Id="rId24" Type="http://schemas.openxmlformats.org/officeDocument/2006/relationships/hyperlink" Target="https://www.bhf.org.uk/what-we-do/our-research/heart-statistics?utm_source=copilot.com" TargetMode="External"/><Relationship Id="rId40" Type="http://schemas.openxmlformats.org/officeDocument/2006/relationships/hyperlink" Target="https://doi.org/10.1177/2047487320946998?utm_source=copilot.com" TargetMode="External"/><Relationship Id="rId45" Type="http://schemas.openxmlformats.org/officeDocument/2006/relationships/hyperlink" Target="https://doi.org/10.1016/S0140-6736(14)60648-6?utm_source=copilot.com" TargetMode="External"/><Relationship Id="rId66" Type="http://schemas.openxmlformats.org/officeDocument/2006/relationships/hyperlink" Target="https://doi.org/10.2105/AJPH.2012.300941?utm_source=copilot.com" TargetMode="External"/><Relationship Id="rId87" Type="http://schemas.openxmlformats.org/officeDocument/2006/relationships/hyperlink" Target="https://doi.org/10.1177/2047487320905713?utm_source=copilot.com" TargetMode="External"/><Relationship Id="rId110" Type="http://schemas.openxmlformats.org/officeDocument/2006/relationships/header" Target="header3.xml"/><Relationship Id="rId61" Type="http://schemas.openxmlformats.org/officeDocument/2006/relationships/hyperlink" Target="https://doi.org/10.1136/hrt.2007.127209?utm_source=copilot.com" TargetMode="External"/><Relationship Id="rId82" Type="http://schemas.openxmlformats.org/officeDocument/2006/relationships/hyperlink" Target="https://doi.org/10.1136/bmj.n71?utm_source=copilot.com" TargetMode="External"/><Relationship Id="rId19" Type="http://schemas.openxmlformats.org/officeDocument/2006/relationships/hyperlink" Target="https://synthesismanual.jbi.global/?utm_source=copilot.com" TargetMode="External"/><Relationship Id="rId14" Type="http://schemas.openxmlformats.org/officeDocument/2006/relationships/image" Target="media/image3.png"/><Relationship Id="rId30" Type="http://schemas.openxmlformats.org/officeDocument/2006/relationships/hyperlink" Target="https://doi.org/10.1080/14780887.2020.1769238?utm_source=copilot.com" TargetMode="External"/><Relationship Id="rId35" Type="http://schemas.openxmlformats.org/officeDocument/2006/relationships/hyperlink" Target="https://doi.org/10.1177/1474515115588322?utm_source=copilot.com" TargetMode="External"/><Relationship Id="rId56" Type="http://schemas.openxmlformats.org/officeDocument/2006/relationships/hyperlink" Target="https://doi.org/10.1146/annurev-publhealth-031811-124546?utm_source=copilot.com" TargetMode="External"/><Relationship Id="rId77" Type="http://schemas.openxmlformats.org/officeDocument/2006/relationships/hyperlink" Target="https://evidence.nihr.ac.uk/alert/cardiac-rehabilitation-improves-quality-of-life-but-uptake-remains-low/?utm_source=copilot.com" TargetMode="External"/><Relationship Id="rId100" Type="http://schemas.openxmlformats.org/officeDocument/2006/relationships/hyperlink" Target="https://www.who.int/news-room/fact-sheets/detail/cardiovascular-diseases-(cvds)?utm_source=copilot.com" TargetMode="External"/><Relationship Id="rId105" Type="http://schemas.openxmlformats.org/officeDocument/2006/relationships/hyperlink" Target="https://doi.org/10.1016/j.hlc.2020.09.927?utm_source=copilot.com" TargetMode="External"/><Relationship Id="rId8" Type="http://schemas.openxmlformats.org/officeDocument/2006/relationships/image" Target="media/image1.png"/><Relationship Id="rId51" Type="http://schemas.openxmlformats.org/officeDocument/2006/relationships/hyperlink" Target="https://doi.org/10.1371/journal.pmed.1003266?utm_source=copilot.com" TargetMode="External"/><Relationship Id="rId72" Type="http://schemas.openxmlformats.org/officeDocument/2006/relationships/hyperlink" Target="https://www.cardiacrehabilitation.org.uk/?utm_source=copilot.com" TargetMode="External"/><Relationship Id="rId93" Type="http://schemas.openxmlformats.org/officeDocument/2006/relationships/hyperlink" Target="https://www.who.int/publications/i/item/9789241500852?utm_source=copilot.com" TargetMode="External"/><Relationship Id="rId98" Type="http://schemas.openxmlformats.org/officeDocument/2006/relationships/hyperlink" Target="https://doi.org/10.1161/CIR.0000000000000950?utm_source=copilot.com" TargetMode="External"/><Relationship Id="rId3" Type="http://schemas.openxmlformats.org/officeDocument/2006/relationships/styles" Target="styles.xml"/><Relationship Id="rId25" Type="http://schemas.openxmlformats.org/officeDocument/2006/relationships/hyperlink" Target="https://doi.org/10.1146/annurev-publhealth-031811-124627?utm_source=copilot.com" TargetMode="External"/><Relationship Id="rId46" Type="http://schemas.openxmlformats.org/officeDocument/2006/relationships/hyperlink" Target="https://doi.org/10.2105/AJPH.2007.114777?utm_source=copilot.com" TargetMode="External"/><Relationship Id="rId67" Type="http://schemas.openxmlformats.org/officeDocument/2006/relationships/hyperlink" Target="https://doi.org/10.1016/S0140-6736(05)71146-6?utm_source=copilot.com" TargetMode="External"/><Relationship Id="rId20" Type="http://schemas.openxmlformats.org/officeDocument/2006/relationships/hyperlink" Target="https://doi.org/10.1161/JAHA.116.003903?utm_source=copilot.com" TargetMode="External"/><Relationship Id="rId41" Type="http://schemas.openxmlformats.org/officeDocument/2006/relationships/hyperlink" Target="https://doi.org/10.1001/jama.2012.216476?utm_source=copilot.com" TargetMode="External"/><Relationship Id="rId62" Type="http://schemas.openxmlformats.org/officeDocument/2006/relationships/hyperlink" Target="https://doi.org/10.1136/bmjopen-2017-019756?utm_source=copilot.com" TargetMode="External"/><Relationship Id="rId83" Type="http://schemas.openxmlformats.org/officeDocument/2006/relationships/hyperlink" Target="https://doi.org/10.46658/JBIMES-20-01?utm_source=copilot.com" TargetMode="External"/><Relationship Id="rId88" Type="http://schemas.openxmlformats.org/officeDocument/2006/relationships/hyperlink" Target="https://doi.org/10.1089/jwh.2016.6023?utm_source=copilot.com" TargetMode="External"/><Relationship Id="rId111" Type="http://schemas.openxmlformats.org/officeDocument/2006/relationships/footer" Target="footer3.xm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73ACB-7BF4-49F3-B0A7-87C832E11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79</Pages>
  <Words>23801</Words>
  <Characters>135672</Characters>
  <Application>Microsoft Office Word</Application>
  <DocSecurity>0</DocSecurity>
  <Lines>1130</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arpita chaudhary</dc:creator>
  <cp:keywords/>
  <dc:description/>
  <cp:lastModifiedBy>arpita chaudhary</cp:lastModifiedBy>
  <cp:revision>2</cp:revision>
  <dcterms:created xsi:type="dcterms:W3CDTF">2026-06-17T02:01:00Z</dcterms:created>
  <dcterms:modified xsi:type="dcterms:W3CDTF">2026-06-17T02:01:00Z</dcterms:modified>
</cp:coreProperties>
</file>